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7746" w14:textId="51CB089B" w:rsidR="00F14C0A" w:rsidRPr="00F848BF" w:rsidRDefault="00F14C0A" w:rsidP="00B830AC">
      <w:pPr>
        <w:spacing w:line="480" w:lineRule="auto"/>
        <w:rPr>
          <w:rFonts w:ascii="Arial" w:hAnsi="Arial" w:cs="Arial"/>
          <w:b/>
          <w:sz w:val="24"/>
        </w:rPr>
      </w:pPr>
      <w:bookmarkStart w:id="0" w:name="_GoBack"/>
      <w:bookmarkEnd w:id="0"/>
      <w:r w:rsidRPr="00F848BF">
        <w:rPr>
          <w:rFonts w:ascii="Arial" w:hAnsi="Arial" w:cs="Arial"/>
          <w:b/>
          <w:sz w:val="24"/>
        </w:rPr>
        <w:t xml:space="preserve">Plasma NRTI concentration and their associations with liver and renal </w:t>
      </w:r>
      <w:r w:rsidR="00BD6AF6">
        <w:rPr>
          <w:rFonts w:ascii="Arial" w:hAnsi="Arial" w:cs="Arial"/>
          <w:b/>
          <w:sz w:val="24"/>
        </w:rPr>
        <w:t>parameters</w:t>
      </w:r>
      <w:r w:rsidRPr="00F848BF">
        <w:rPr>
          <w:rFonts w:ascii="Arial" w:hAnsi="Arial" w:cs="Arial"/>
          <w:b/>
          <w:sz w:val="24"/>
        </w:rPr>
        <w:t xml:space="preserve"> in people living with HIV</w:t>
      </w:r>
    </w:p>
    <w:p w14:paraId="6F8D88AD" w14:textId="375C6920" w:rsidR="00F14C0A" w:rsidRPr="00F848BF" w:rsidRDefault="00F14C0A" w:rsidP="00B830AC">
      <w:pPr>
        <w:spacing w:line="480" w:lineRule="auto"/>
        <w:rPr>
          <w:rFonts w:ascii="Arial" w:hAnsi="Arial" w:cs="Arial"/>
          <w:szCs w:val="66"/>
        </w:rPr>
      </w:pPr>
      <w:r w:rsidRPr="00F848BF">
        <w:rPr>
          <w:rFonts w:ascii="Arial" w:hAnsi="Arial" w:cs="Arial"/>
          <w:sz w:val="6"/>
        </w:rPr>
        <w:t xml:space="preserve"> </w:t>
      </w:r>
      <w:r w:rsidRPr="00F848BF">
        <w:rPr>
          <w:rFonts w:ascii="Arial" w:hAnsi="Arial" w:cs="Arial"/>
          <w:szCs w:val="66"/>
        </w:rPr>
        <w:t>Xinzhu Wang</w:t>
      </w:r>
      <w:r w:rsidRPr="00F848BF">
        <w:rPr>
          <w:rFonts w:ascii="Arial" w:hAnsi="Arial" w:cs="Arial"/>
          <w:szCs w:val="66"/>
          <w:vertAlign w:val="superscript"/>
        </w:rPr>
        <w:t>1</w:t>
      </w:r>
      <w:r w:rsidRPr="00F848BF">
        <w:rPr>
          <w:rFonts w:ascii="Arial" w:hAnsi="Arial" w:cs="Arial"/>
          <w:szCs w:val="66"/>
        </w:rPr>
        <w:t xml:space="preserve">, Marta </w:t>
      </w:r>
      <w:r w:rsidRPr="007E6C86">
        <w:rPr>
          <w:rFonts w:ascii="Arial" w:hAnsi="Arial" w:cs="Arial"/>
          <w:szCs w:val="66"/>
        </w:rPr>
        <w:t>Boffito</w:t>
      </w:r>
      <w:r w:rsidRPr="007E6C86">
        <w:rPr>
          <w:rFonts w:ascii="Arial" w:hAnsi="Arial" w:cs="Arial"/>
          <w:szCs w:val="66"/>
          <w:vertAlign w:val="superscript"/>
        </w:rPr>
        <w:t>1,2</w:t>
      </w:r>
      <w:r w:rsidRPr="007E6C86">
        <w:rPr>
          <w:rFonts w:ascii="Arial" w:hAnsi="Arial" w:cs="Arial"/>
          <w:szCs w:val="66"/>
        </w:rPr>
        <w:t>, Laura Dickinson</w:t>
      </w:r>
      <w:r w:rsidRPr="007E6C86">
        <w:rPr>
          <w:rFonts w:ascii="Arial" w:hAnsi="Arial" w:cs="Arial"/>
          <w:szCs w:val="66"/>
          <w:vertAlign w:val="superscript"/>
        </w:rPr>
        <w:t>3</w:t>
      </w:r>
      <w:r w:rsidRPr="007E6C86">
        <w:rPr>
          <w:rFonts w:ascii="Arial" w:hAnsi="Arial" w:cs="Arial"/>
          <w:szCs w:val="66"/>
        </w:rPr>
        <w:t>, Emmanouil Bagkeris</w:t>
      </w:r>
      <w:r w:rsidRPr="007E6C86">
        <w:rPr>
          <w:rFonts w:ascii="Arial" w:hAnsi="Arial" w:cs="Arial"/>
          <w:szCs w:val="66"/>
          <w:vertAlign w:val="superscript"/>
        </w:rPr>
        <w:t>4</w:t>
      </w:r>
      <w:r w:rsidRPr="007E6C86">
        <w:rPr>
          <w:rFonts w:ascii="Arial" w:hAnsi="Arial" w:cs="Arial"/>
          <w:szCs w:val="66"/>
        </w:rPr>
        <w:t>, Saye</w:t>
      </w:r>
      <w:r w:rsidRPr="00F848BF">
        <w:rPr>
          <w:rFonts w:ascii="Arial" w:hAnsi="Arial" w:cs="Arial"/>
          <w:szCs w:val="66"/>
        </w:rPr>
        <w:t xml:space="preserve"> Khoo</w:t>
      </w:r>
      <w:r w:rsidRPr="00F848BF">
        <w:rPr>
          <w:rFonts w:ascii="Arial" w:hAnsi="Arial" w:cs="Arial"/>
          <w:szCs w:val="66"/>
          <w:vertAlign w:val="superscript"/>
        </w:rPr>
        <w:t>3</w:t>
      </w:r>
      <w:r w:rsidRPr="00F848BF">
        <w:rPr>
          <w:rFonts w:ascii="Arial" w:hAnsi="Arial" w:cs="Arial"/>
          <w:szCs w:val="66"/>
        </w:rPr>
        <w:t xml:space="preserve">, Frank </w:t>
      </w:r>
      <w:r w:rsidR="005B4EEC">
        <w:rPr>
          <w:rFonts w:ascii="Arial" w:hAnsi="Arial" w:cs="Arial"/>
          <w:szCs w:val="66"/>
        </w:rPr>
        <w:t xml:space="preserve">A. </w:t>
      </w:r>
      <w:r w:rsidRPr="00F848BF">
        <w:rPr>
          <w:rFonts w:ascii="Arial" w:hAnsi="Arial" w:cs="Arial"/>
          <w:szCs w:val="66"/>
        </w:rPr>
        <w:t>Post</w:t>
      </w:r>
      <w:r w:rsidRPr="00F848BF">
        <w:rPr>
          <w:rFonts w:ascii="Arial" w:hAnsi="Arial" w:cs="Arial"/>
          <w:szCs w:val="66"/>
          <w:vertAlign w:val="superscript"/>
        </w:rPr>
        <w:t>5</w:t>
      </w:r>
      <w:r w:rsidRPr="00F848BF">
        <w:rPr>
          <w:rFonts w:ascii="Arial" w:hAnsi="Arial" w:cs="Arial"/>
          <w:szCs w:val="66"/>
        </w:rPr>
        <w:t>, Jaime Vera</w:t>
      </w:r>
      <w:r w:rsidRPr="00F848BF">
        <w:rPr>
          <w:rFonts w:ascii="Arial" w:hAnsi="Arial" w:cs="Arial"/>
          <w:szCs w:val="66"/>
          <w:vertAlign w:val="superscript"/>
        </w:rPr>
        <w:t>6</w:t>
      </w:r>
      <w:r w:rsidRPr="00F848BF">
        <w:rPr>
          <w:rFonts w:ascii="Arial" w:hAnsi="Arial" w:cs="Arial"/>
          <w:szCs w:val="66"/>
        </w:rPr>
        <w:t>, Ian Williams</w:t>
      </w:r>
      <w:r w:rsidR="00F75D96">
        <w:rPr>
          <w:rFonts w:ascii="Arial" w:hAnsi="Arial" w:cs="Arial"/>
          <w:szCs w:val="66"/>
          <w:vertAlign w:val="superscript"/>
        </w:rPr>
        <w:t>4</w:t>
      </w:r>
      <w:r w:rsidR="00E77ACB">
        <w:rPr>
          <w:rFonts w:ascii="Arial" w:hAnsi="Arial" w:cs="Arial"/>
          <w:szCs w:val="66"/>
        </w:rPr>
        <w:t>, Amalia Ndoutoumou</w:t>
      </w:r>
      <w:r w:rsidRPr="00F848BF">
        <w:rPr>
          <w:rFonts w:ascii="Arial" w:hAnsi="Arial" w:cs="Arial"/>
          <w:szCs w:val="66"/>
          <w:vertAlign w:val="superscript"/>
        </w:rPr>
        <w:t>7</w:t>
      </w:r>
      <w:r w:rsidRPr="00F848BF">
        <w:rPr>
          <w:rFonts w:ascii="Arial" w:hAnsi="Arial" w:cs="Arial"/>
          <w:szCs w:val="66"/>
        </w:rPr>
        <w:t>, Jane Anderson</w:t>
      </w:r>
      <w:r w:rsidRPr="00F848BF">
        <w:rPr>
          <w:rFonts w:ascii="Arial" w:hAnsi="Arial" w:cs="Arial"/>
          <w:szCs w:val="66"/>
          <w:vertAlign w:val="superscript"/>
        </w:rPr>
        <w:t>8</w:t>
      </w:r>
      <w:r w:rsidRPr="00F848BF">
        <w:rPr>
          <w:rFonts w:ascii="Arial" w:hAnsi="Arial" w:cs="Arial"/>
          <w:szCs w:val="66"/>
        </w:rPr>
        <w:t>, Patrick Mallon</w:t>
      </w:r>
      <w:r w:rsidRPr="00F848BF">
        <w:rPr>
          <w:rFonts w:ascii="Arial" w:hAnsi="Arial" w:cs="Arial"/>
          <w:szCs w:val="66"/>
          <w:vertAlign w:val="superscript"/>
        </w:rPr>
        <w:t>9</w:t>
      </w:r>
      <w:r w:rsidRPr="00F848BF">
        <w:rPr>
          <w:rFonts w:ascii="Arial" w:hAnsi="Arial" w:cs="Arial"/>
          <w:szCs w:val="66"/>
        </w:rPr>
        <w:t>, Myra McClure</w:t>
      </w:r>
      <w:r w:rsidRPr="00F848BF">
        <w:rPr>
          <w:rFonts w:ascii="Arial" w:hAnsi="Arial" w:cs="Arial"/>
          <w:szCs w:val="66"/>
          <w:vertAlign w:val="superscript"/>
        </w:rPr>
        <w:t>1</w:t>
      </w:r>
      <w:r w:rsidRPr="00F848BF">
        <w:rPr>
          <w:rFonts w:ascii="Arial" w:hAnsi="Arial" w:cs="Arial"/>
          <w:szCs w:val="66"/>
        </w:rPr>
        <w:t>, Alan Winston</w:t>
      </w:r>
      <w:r w:rsidRPr="00F848BF">
        <w:rPr>
          <w:rFonts w:ascii="Arial" w:hAnsi="Arial" w:cs="Arial"/>
          <w:szCs w:val="66"/>
          <w:vertAlign w:val="superscript"/>
        </w:rPr>
        <w:t>1</w:t>
      </w:r>
      <w:r w:rsidRPr="00F848BF">
        <w:rPr>
          <w:rFonts w:ascii="Arial" w:hAnsi="Arial" w:cs="Arial"/>
          <w:szCs w:val="66"/>
        </w:rPr>
        <w:t>, Caroline Sabin</w:t>
      </w:r>
      <w:r w:rsidRPr="00F848BF">
        <w:rPr>
          <w:rFonts w:ascii="Arial" w:hAnsi="Arial" w:cs="Arial"/>
          <w:szCs w:val="66"/>
          <w:vertAlign w:val="superscript"/>
        </w:rPr>
        <w:t>4</w:t>
      </w:r>
      <w:r w:rsidRPr="00F848BF">
        <w:rPr>
          <w:rFonts w:ascii="Arial" w:hAnsi="Arial" w:cs="Arial"/>
          <w:szCs w:val="66"/>
        </w:rPr>
        <w:t xml:space="preserve"> on behalf of the POPPY Study.</w:t>
      </w:r>
    </w:p>
    <w:p w14:paraId="23C1434B" w14:textId="77777777" w:rsidR="00F14C0A" w:rsidRPr="00F848BF" w:rsidRDefault="00F14C0A" w:rsidP="00B830AC">
      <w:pPr>
        <w:pStyle w:val="Default"/>
        <w:spacing w:line="480" w:lineRule="auto"/>
        <w:rPr>
          <w:rFonts w:ascii="Arial" w:hAnsi="Arial" w:cs="Arial"/>
          <w:sz w:val="32"/>
        </w:rPr>
      </w:pPr>
    </w:p>
    <w:p w14:paraId="483F6432" w14:textId="4B14F6D4" w:rsidR="00F14C0A" w:rsidRPr="00F848BF" w:rsidRDefault="00F14C0A" w:rsidP="0071557A">
      <w:pPr>
        <w:spacing w:line="480" w:lineRule="auto"/>
        <w:rPr>
          <w:rFonts w:ascii="Arial" w:hAnsi="Arial" w:cs="Arial"/>
          <w:szCs w:val="18"/>
        </w:rPr>
      </w:pPr>
      <w:r w:rsidRPr="00F848BF">
        <w:rPr>
          <w:rFonts w:ascii="Arial" w:hAnsi="Arial" w:cs="Arial"/>
          <w:szCs w:val="18"/>
        </w:rPr>
        <w:t>1 Imperial College London, London, UK; 2 Chelsea and Westminster Hospital, London; 3 University of Liverpool, Liverpool, UK; 4 University College London, London, UK; 5 Kings College Hospital NHS Foundation Trust, London, UK; 6 Brighton and Sussex Medical School, Brighton, UK; 7 Imperial Clinical Trials Unit, London, UK; 8 Homerton</w:t>
      </w:r>
      <w:r w:rsidR="00B35A90" w:rsidRPr="00F848BF">
        <w:rPr>
          <w:rFonts w:ascii="Arial" w:hAnsi="Arial" w:cs="Arial"/>
          <w:szCs w:val="18"/>
        </w:rPr>
        <w:t xml:space="preserve"> </w:t>
      </w:r>
      <w:r w:rsidRPr="00F848BF">
        <w:rPr>
          <w:rFonts w:ascii="Arial" w:hAnsi="Arial" w:cs="Arial"/>
          <w:szCs w:val="18"/>
        </w:rPr>
        <w:t>University Hospital NHS Trust, London, UK; 9 University College Dublin, Dublin, Ireland</w:t>
      </w:r>
    </w:p>
    <w:p w14:paraId="471F9014" w14:textId="77777777" w:rsidR="00864049" w:rsidRDefault="00864049" w:rsidP="0071557A">
      <w:pPr>
        <w:spacing w:line="480" w:lineRule="auto"/>
        <w:rPr>
          <w:rFonts w:ascii="Arial" w:hAnsi="Arial" w:cs="Arial"/>
          <w:b/>
        </w:rPr>
      </w:pPr>
    </w:p>
    <w:p w14:paraId="55C25DFA" w14:textId="77777777" w:rsidR="00B830AC" w:rsidRDefault="00B830AC" w:rsidP="0071557A">
      <w:pPr>
        <w:spacing w:line="480" w:lineRule="auto"/>
        <w:rPr>
          <w:rFonts w:ascii="Arial" w:hAnsi="Arial" w:cs="Arial"/>
          <w:b/>
        </w:rPr>
      </w:pPr>
      <w:r w:rsidRPr="00B830AC">
        <w:rPr>
          <w:rFonts w:ascii="Arial" w:hAnsi="Arial" w:cs="Arial"/>
          <w:b/>
        </w:rPr>
        <w:t>CORRESPONDING AUTHOR:</w:t>
      </w:r>
    </w:p>
    <w:p w14:paraId="7950A3D5" w14:textId="0198F066" w:rsidR="00F92EA5" w:rsidRDefault="00234CB6" w:rsidP="0071557A">
      <w:pPr>
        <w:spacing w:line="480" w:lineRule="auto"/>
        <w:rPr>
          <w:rFonts w:ascii="Arial" w:hAnsi="Arial" w:cs="Arial"/>
        </w:rPr>
      </w:pPr>
      <w:r>
        <w:rPr>
          <w:rFonts w:ascii="Arial" w:hAnsi="Arial" w:cs="Arial"/>
        </w:rPr>
        <w:t xml:space="preserve">Dr </w:t>
      </w:r>
      <w:r w:rsidR="00F92EA5" w:rsidRPr="00F92EA5">
        <w:rPr>
          <w:rFonts w:ascii="Arial" w:hAnsi="Arial" w:cs="Arial"/>
        </w:rPr>
        <w:t>Xinzhu Wang</w:t>
      </w:r>
    </w:p>
    <w:p w14:paraId="42219788" w14:textId="77777777" w:rsidR="00234CB6" w:rsidRPr="00234CB6" w:rsidRDefault="00234CB6" w:rsidP="00234CB6">
      <w:pPr>
        <w:spacing w:line="480" w:lineRule="auto"/>
        <w:rPr>
          <w:rFonts w:ascii="Arial" w:hAnsi="Arial" w:cs="Arial"/>
        </w:rPr>
      </w:pPr>
      <w:r w:rsidRPr="00234CB6">
        <w:rPr>
          <w:rFonts w:ascii="Arial" w:hAnsi="Arial" w:cs="Arial"/>
        </w:rPr>
        <w:t>Jefferies Research Trust Laboratories</w:t>
      </w:r>
    </w:p>
    <w:p w14:paraId="218CAC48" w14:textId="77777777" w:rsidR="00234CB6" w:rsidRDefault="00234CB6" w:rsidP="00234CB6">
      <w:pPr>
        <w:spacing w:line="480" w:lineRule="auto"/>
        <w:rPr>
          <w:rFonts w:ascii="Arial" w:hAnsi="Arial" w:cs="Arial"/>
        </w:rPr>
      </w:pPr>
      <w:r>
        <w:rPr>
          <w:rFonts w:ascii="Arial" w:hAnsi="Arial" w:cs="Arial"/>
        </w:rPr>
        <w:t xml:space="preserve">Wright-Fleming Institute, </w:t>
      </w:r>
      <w:r w:rsidRPr="00234CB6">
        <w:rPr>
          <w:rFonts w:ascii="Arial" w:hAnsi="Arial" w:cs="Arial"/>
        </w:rPr>
        <w:t>Imperial College London</w:t>
      </w:r>
      <w:r>
        <w:rPr>
          <w:rFonts w:ascii="Arial" w:hAnsi="Arial" w:cs="Arial"/>
        </w:rPr>
        <w:t>, Dept. of Medicine,</w:t>
      </w:r>
    </w:p>
    <w:p w14:paraId="7A663316" w14:textId="6067F2BB" w:rsidR="00234CB6" w:rsidRDefault="00234CB6" w:rsidP="00234CB6">
      <w:pPr>
        <w:spacing w:line="480" w:lineRule="auto"/>
        <w:rPr>
          <w:rFonts w:ascii="Arial" w:hAnsi="Arial" w:cs="Arial"/>
        </w:rPr>
      </w:pPr>
      <w:r w:rsidRPr="00234CB6">
        <w:rPr>
          <w:rFonts w:ascii="Arial" w:hAnsi="Arial" w:cs="Arial"/>
        </w:rPr>
        <w:t>St Mary’s Campus</w:t>
      </w:r>
      <w:r>
        <w:rPr>
          <w:rFonts w:ascii="Arial" w:hAnsi="Arial" w:cs="Arial"/>
        </w:rPr>
        <w:t xml:space="preserve">, </w:t>
      </w:r>
      <w:r w:rsidRPr="00234CB6">
        <w:rPr>
          <w:rFonts w:ascii="Arial" w:hAnsi="Arial" w:cs="Arial"/>
        </w:rPr>
        <w:t>Norfolk Place</w:t>
      </w:r>
      <w:r>
        <w:rPr>
          <w:rFonts w:ascii="Arial" w:hAnsi="Arial" w:cs="Arial"/>
        </w:rPr>
        <w:t xml:space="preserve">, </w:t>
      </w:r>
      <w:r w:rsidRPr="00234CB6">
        <w:rPr>
          <w:rFonts w:ascii="Arial" w:hAnsi="Arial" w:cs="Arial"/>
        </w:rPr>
        <w:t>London W2 1PG</w:t>
      </w:r>
      <w:r>
        <w:rPr>
          <w:rFonts w:ascii="Arial" w:hAnsi="Arial" w:cs="Arial"/>
        </w:rPr>
        <w:t>, UK</w:t>
      </w:r>
    </w:p>
    <w:p w14:paraId="0ED7D0D7" w14:textId="188DC78E" w:rsidR="00234CB6" w:rsidRPr="00234CB6" w:rsidRDefault="00234CB6" w:rsidP="00234CB6">
      <w:pPr>
        <w:spacing w:line="480" w:lineRule="auto"/>
        <w:rPr>
          <w:rFonts w:ascii="Arial" w:hAnsi="Arial" w:cs="Arial"/>
        </w:rPr>
      </w:pPr>
      <w:r w:rsidRPr="00234CB6">
        <w:rPr>
          <w:rFonts w:ascii="Arial" w:hAnsi="Arial" w:cs="Arial"/>
          <w:i/>
        </w:rPr>
        <w:t>Email</w:t>
      </w:r>
      <w:r>
        <w:rPr>
          <w:rFonts w:ascii="Arial" w:hAnsi="Arial" w:cs="Arial"/>
        </w:rPr>
        <w:t>: xinzhu.wang@imperial.ac.uk</w:t>
      </w:r>
    </w:p>
    <w:p w14:paraId="243F0C3F" w14:textId="0E933140" w:rsidR="00B830AC" w:rsidRPr="00B830AC" w:rsidRDefault="00B830AC" w:rsidP="0071557A">
      <w:pPr>
        <w:spacing w:line="480" w:lineRule="auto"/>
        <w:rPr>
          <w:rFonts w:ascii="Arial" w:hAnsi="Arial" w:cs="Arial"/>
          <w:b/>
        </w:rPr>
      </w:pPr>
      <w:r w:rsidRPr="00B830AC">
        <w:rPr>
          <w:rFonts w:ascii="Arial" w:hAnsi="Arial" w:cs="Arial"/>
          <w:b/>
        </w:rPr>
        <w:t>RUNNING TITLE:</w:t>
      </w:r>
      <w:r w:rsidR="007C1E75">
        <w:rPr>
          <w:rFonts w:ascii="Arial" w:hAnsi="Arial" w:cs="Arial"/>
          <w:b/>
        </w:rPr>
        <w:t xml:space="preserve"> </w:t>
      </w:r>
      <w:r w:rsidR="007C1E75" w:rsidRPr="007C1E75">
        <w:rPr>
          <w:rFonts w:ascii="Arial" w:hAnsi="Arial" w:cs="Arial"/>
        </w:rPr>
        <w:t>NRTI pharmacokinetics</w:t>
      </w:r>
    </w:p>
    <w:p w14:paraId="212E1F06" w14:textId="23ABF016" w:rsidR="00B830AC" w:rsidRPr="00B830AC" w:rsidRDefault="00B830AC" w:rsidP="0071557A">
      <w:pPr>
        <w:spacing w:line="480" w:lineRule="auto"/>
        <w:rPr>
          <w:rFonts w:ascii="Arial" w:hAnsi="Arial" w:cs="Arial"/>
        </w:rPr>
      </w:pPr>
      <w:r w:rsidRPr="00B830AC">
        <w:rPr>
          <w:rFonts w:ascii="Arial" w:hAnsi="Arial" w:cs="Arial"/>
          <w:b/>
        </w:rPr>
        <w:t xml:space="preserve">WORD COUNT: </w:t>
      </w:r>
      <w:r w:rsidRPr="005A004B">
        <w:rPr>
          <w:rFonts w:ascii="Arial" w:hAnsi="Arial" w:cs="Arial"/>
        </w:rPr>
        <w:t>Abstract 75,</w:t>
      </w:r>
      <w:r w:rsidRPr="00B830AC">
        <w:rPr>
          <w:rFonts w:ascii="Arial" w:hAnsi="Arial" w:cs="Arial"/>
        </w:rPr>
        <w:t xml:space="preserve"> Main Manuscript </w:t>
      </w:r>
      <w:r w:rsidR="005F47B3">
        <w:rPr>
          <w:rFonts w:ascii="Arial" w:hAnsi="Arial" w:cs="Arial"/>
        </w:rPr>
        <w:t>928</w:t>
      </w:r>
    </w:p>
    <w:p w14:paraId="0168E893" w14:textId="0104DD99" w:rsidR="00B830AC" w:rsidRDefault="00B830AC" w:rsidP="0071557A">
      <w:pPr>
        <w:spacing w:line="480" w:lineRule="auto"/>
        <w:rPr>
          <w:rFonts w:ascii="Arial" w:hAnsi="Arial" w:cs="Arial"/>
        </w:rPr>
      </w:pPr>
      <w:r w:rsidRPr="00B830AC">
        <w:rPr>
          <w:rFonts w:ascii="Arial" w:hAnsi="Arial" w:cs="Arial"/>
          <w:b/>
        </w:rPr>
        <w:t xml:space="preserve">KEY WORDS: </w:t>
      </w:r>
      <w:r w:rsidRPr="00B830AC">
        <w:rPr>
          <w:rFonts w:ascii="Arial" w:hAnsi="Arial" w:cs="Arial"/>
        </w:rPr>
        <w:t>antiretroviral therapy, nucleoside reverse transcriptase inhibitors, pharmacokinetics. </w:t>
      </w:r>
    </w:p>
    <w:p w14:paraId="7FFE218F" w14:textId="77777777" w:rsidR="00C8175D" w:rsidRDefault="00C8175D" w:rsidP="00C8175D">
      <w:pPr>
        <w:rPr>
          <w:rFonts w:ascii="Arial" w:hAnsi="Arial" w:cs="Arial"/>
          <w:b/>
        </w:rPr>
      </w:pPr>
    </w:p>
    <w:p w14:paraId="150A35F0" w14:textId="440279E2" w:rsidR="00C8175D" w:rsidRDefault="00C8175D" w:rsidP="00C8175D">
      <w:pPr>
        <w:rPr>
          <w:rFonts w:ascii="Arial" w:hAnsi="Arial" w:cs="Arial"/>
          <w:b/>
        </w:rPr>
      </w:pPr>
      <w:r>
        <w:rPr>
          <w:rFonts w:ascii="Arial" w:hAnsi="Arial" w:cs="Arial"/>
          <w:b/>
        </w:rPr>
        <w:lastRenderedPageBreak/>
        <w:t>Conflicts of interest and Source of Funding</w:t>
      </w:r>
    </w:p>
    <w:p w14:paraId="32B5EC9B" w14:textId="43C3E213" w:rsidR="00C8175D" w:rsidRPr="00B830AC" w:rsidRDefault="00C8175D" w:rsidP="00C8175D">
      <w:pPr>
        <w:spacing w:line="480" w:lineRule="auto"/>
        <w:rPr>
          <w:rFonts w:ascii="Arial" w:hAnsi="Arial" w:cs="Arial"/>
          <w:b/>
        </w:rPr>
      </w:pPr>
      <w:r w:rsidRPr="001A6733">
        <w:rPr>
          <w:rFonts w:ascii="Arial" w:hAnsi="Arial" w:cs="Arial"/>
          <w:szCs w:val="18"/>
        </w:rPr>
        <w:t>F.P. has received grants from Gilead, ViiV and Janssen and personal fees from Gilead, ViiV and MSD. C.S. has received funding from Gilead Sciences, ViiV Healthcare, and Janssen-Cilag for membership of data safety and monitoring boards, advisory boards, and speaker panels and preparation of educational materials. M.B. has received speaker fees from Gilead, MSD/Merck and Janssen, advisory fees from ViiV, Gilead and MSD/Merck, honoraria from Gilead for speakers’ bureau and a travel grant from Gilead, and has been the principal investigator in clinical trials sponsored by Gilead, ViiV, Mylan, Janssen and Bristol-Meyers Squibb. J.A. receives grants, personal fees and non-financial support from Gilead Sciences; MSD, Janssen and BMS, and non-financial support from ViiV</w:t>
      </w:r>
      <w:r>
        <w:rPr>
          <w:rFonts w:ascii="Arial" w:hAnsi="Arial" w:cs="Arial"/>
          <w:szCs w:val="18"/>
        </w:rPr>
        <w:t>.</w:t>
      </w:r>
      <w:r w:rsidRPr="001A6733">
        <w:rPr>
          <w:rFonts w:ascii="Arial" w:hAnsi="Arial" w:cs="Arial"/>
          <w:szCs w:val="18"/>
        </w:rPr>
        <w:t xml:space="preserve"> A.W. has received honoraria or research grants from VIiV Healthcare, Gilead Sciences, BMS, Merck and Co. and Janssen.</w:t>
      </w:r>
    </w:p>
    <w:p w14:paraId="2EEF03A6" w14:textId="21E0116E" w:rsidR="00B830AC" w:rsidRDefault="00B830AC" w:rsidP="0071557A">
      <w:pPr>
        <w:spacing w:line="480" w:lineRule="auto"/>
        <w:rPr>
          <w:rFonts w:ascii="Arial" w:hAnsi="Arial" w:cs="Arial"/>
          <w:b/>
        </w:rPr>
      </w:pPr>
      <w:r>
        <w:rPr>
          <w:rFonts w:ascii="Arial" w:hAnsi="Arial" w:cs="Arial"/>
          <w:b/>
        </w:rPr>
        <w:br w:type="page"/>
      </w:r>
    </w:p>
    <w:p w14:paraId="3F7AA27A" w14:textId="0732F8C6" w:rsidR="00B1773C" w:rsidRPr="00B1773C" w:rsidRDefault="00995FB7" w:rsidP="0071557A">
      <w:pPr>
        <w:spacing w:line="480" w:lineRule="auto"/>
        <w:rPr>
          <w:rFonts w:ascii="Arial" w:hAnsi="Arial" w:cs="Arial"/>
          <w:b/>
        </w:rPr>
      </w:pPr>
      <w:r w:rsidRPr="004361B3">
        <w:rPr>
          <w:rFonts w:ascii="Arial" w:hAnsi="Arial" w:cs="Arial"/>
          <w:b/>
        </w:rPr>
        <w:lastRenderedPageBreak/>
        <w:t>Abstract</w:t>
      </w:r>
    </w:p>
    <w:p w14:paraId="429112F2" w14:textId="4E6B66D2" w:rsidR="00931925" w:rsidRPr="00510CF6" w:rsidRDefault="00FC5AAD" w:rsidP="0071557A">
      <w:pPr>
        <w:spacing w:line="480" w:lineRule="auto"/>
        <w:rPr>
          <w:rFonts w:ascii="Arial" w:hAnsi="Arial" w:cs="Arial"/>
        </w:rPr>
      </w:pPr>
      <w:r>
        <w:rPr>
          <w:rFonts w:ascii="Arial" w:hAnsi="Arial" w:cs="Arial"/>
        </w:rPr>
        <w:t>Associations between markers</w:t>
      </w:r>
      <w:r w:rsidR="005B4EEC">
        <w:rPr>
          <w:rFonts w:ascii="Arial" w:hAnsi="Arial" w:cs="Arial"/>
        </w:rPr>
        <w:t xml:space="preserve"> of liver and renal dysfunction </w:t>
      </w:r>
      <w:r>
        <w:rPr>
          <w:rFonts w:ascii="Arial" w:hAnsi="Arial" w:cs="Arial"/>
        </w:rPr>
        <w:t>and</w:t>
      </w:r>
      <w:r w:rsidR="005B4EEC">
        <w:rPr>
          <w:rFonts w:ascii="Arial" w:hAnsi="Arial" w:cs="Arial"/>
        </w:rPr>
        <w:t xml:space="preserve"> </w:t>
      </w:r>
      <w:r w:rsidR="00E96E00">
        <w:rPr>
          <w:rFonts w:ascii="Arial" w:hAnsi="Arial" w:cs="Arial"/>
        </w:rPr>
        <w:t>NRTI</w:t>
      </w:r>
      <w:r w:rsidR="00450F29">
        <w:rPr>
          <w:rFonts w:ascii="Arial" w:hAnsi="Arial" w:cs="Arial"/>
        </w:rPr>
        <w:t xml:space="preserve"> </w:t>
      </w:r>
      <w:r w:rsidR="006C107C">
        <w:rPr>
          <w:rFonts w:ascii="Arial" w:hAnsi="Arial" w:cs="Arial"/>
        </w:rPr>
        <w:t xml:space="preserve">plasma exposure </w:t>
      </w:r>
      <w:r w:rsidR="00450F29">
        <w:rPr>
          <w:rFonts w:ascii="Arial" w:hAnsi="Arial" w:cs="Arial"/>
        </w:rPr>
        <w:t>are ill-defined.</w:t>
      </w:r>
      <w:r w:rsidR="006C107C">
        <w:rPr>
          <w:rFonts w:ascii="Arial" w:hAnsi="Arial" w:cs="Arial"/>
        </w:rPr>
        <w:t xml:space="preserve"> </w:t>
      </w:r>
      <w:r w:rsidR="00E96E00">
        <w:rPr>
          <w:rFonts w:ascii="Arial" w:hAnsi="Arial" w:cs="Arial"/>
        </w:rPr>
        <w:t>A</w:t>
      </w:r>
      <w:r w:rsidR="006C107C">
        <w:rPr>
          <w:rFonts w:ascii="Arial" w:hAnsi="Arial" w:cs="Arial"/>
        </w:rPr>
        <w:t xml:space="preserve">s part of a large cohort study </w:t>
      </w:r>
      <w:r w:rsidR="00E96E00">
        <w:rPr>
          <w:rFonts w:ascii="Arial" w:hAnsi="Arial" w:cs="Arial"/>
        </w:rPr>
        <w:t>(POPPY), we analysed associations between</w:t>
      </w:r>
      <w:r w:rsidR="00B26449">
        <w:rPr>
          <w:rFonts w:ascii="Arial" w:hAnsi="Arial" w:cs="Arial"/>
        </w:rPr>
        <w:t xml:space="preserve"> ALT </w:t>
      </w:r>
      <w:r w:rsidR="00E96E00">
        <w:rPr>
          <w:rFonts w:ascii="Arial" w:hAnsi="Arial" w:cs="Arial"/>
        </w:rPr>
        <w:t xml:space="preserve">and eGFR results in people </w:t>
      </w:r>
      <w:r w:rsidR="0013462D">
        <w:rPr>
          <w:rFonts w:ascii="Arial" w:hAnsi="Arial" w:cs="Arial"/>
        </w:rPr>
        <w:t xml:space="preserve">living with HIV </w:t>
      </w:r>
      <w:r w:rsidR="00E96E00">
        <w:rPr>
          <w:rFonts w:ascii="Arial" w:hAnsi="Arial" w:cs="Arial"/>
        </w:rPr>
        <w:t xml:space="preserve">on </w:t>
      </w:r>
      <w:r w:rsidR="00E13F0B">
        <w:rPr>
          <w:rFonts w:ascii="Arial" w:hAnsi="Arial" w:cs="Arial"/>
        </w:rPr>
        <w:t xml:space="preserve">tenofovir </w:t>
      </w:r>
      <w:r w:rsidR="00E96E00">
        <w:rPr>
          <w:rFonts w:ascii="Arial" w:hAnsi="Arial" w:cs="Arial"/>
        </w:rPr>
        <w:t xml:space="preserve">(TFV) </w:t>
      </w:r>
      <w:r w:rsidR="00E13F0B">
        <w:rPr>
          <w:rFonts w:ascii="Arial" w:hAnsi="Arial" w:cs="Arial"/>
        </w:rPr>
        <w:t>disoproxil fumarate (TDF)</w:t>
      </w:r>
      <w:r w:rsidR="00B26449">
        <w:rPr>
          <w:rFonts w:ascii="Arial" w:hAnsi="Arial" w:cs="Arial"/>
        </w:rPr>
        <w:t xml:space="preserve">, </w:t>
      </w:r>
      <w:r w:rsidR="00E96E00">
        <w:rPr>
          <w:rFonts w:ascii="Arial" w:hAnsi="Arial" w:cs="Arial"/>
        </w:rPr>
        <w:t xml:space="preserve">emtricitabine (FTC), abacavir (ABC) and lamivudine (3TC). While </w:t>
      </w:r>
      <w:r w:rsidR="00C671CC">
        <w:rPr>
          <w:rFonts w:ascii="Arial" w:hAnsi="Arial" w:cs="Arial"/>
        </w:rPr>
        <w:t xml:space="preserve">we found no associations between NRTI </w:t>
      </w:r>
      <w:r w:rsidR="00E96E00">
        <w:rPr>
          <w:rFonts w:ascii="Arial" w:hAnsi="Arial" w:cs="Arial"/>
        </w:rPr>
        <w:t>concentrations</w:t>
      </w:r>
      <w:r w:rsidR="00C671CC">
        <w:rPr>
          <w:rFonts w:ascii="Arial" w:hAnsi="Arial" w:cs="Arial"/>
        </w:rPr>
        <w:t xml:space="preserve"> and </w:t>
      </w:r>
      <w:r w:rsidR="00BD6AF6">
        <w:rPr>
          <w:rFonts w:ascii="Arial" w:hAnsi="Arial" w:cs="Arial"/>
        </w:rPr>
        <w:t>ALT</w:t>
      </w:r>
      <w:r w:rsidR="00E96E00">
        <w:rPr>
          <w:rFonts w:ascii="Arial" w:hAnsi="Arial" w:cs="Arial"/>
        </w:rPr>
        <w:t>, l</w:t>
      </w:r>
      <w:r w:rsidR="00BD6AF6">
        <w:rPr>
          <w:rFonts w:ascii="Arial" w:hAnsi="Arial" w:cs="Arial"/>
        </w:rPr>
        <w:t xml:space="preserve">ower </w:t>
      </w:r>
      <w:r w:rsidR="00C671CC">
        <w:rPr>
          <w:rFonts w:ascii="Arial" w:hAnsi="Arial" w:cs="Arial"/>
        </w:rPr>
        <w:t xml:space="preserve">eGFR values were </w:t>
      </w:r>
      <w:r w:rsidR="00BD6AF6">
        <w:rPr>
          <w:rFonts w:ascii="Arial" w:hAnsi="Arial" w:cs="Arial"/>
        </w:rPr>
        <w:t xml:space="preserve">associated </w:t>
      </w:r>
      <w:r w:rsidR="00C671CC">
        <w:rPr>
          <w:rFonts w:ascii="Arial" w:hAnsi="Arial" w:cs="Arial"/>
        </w:rPr>
        <w:t xml:space="preserve">with </w:t>
      </w:r>
      <w:r w:rsidR="00BD6AF6">
        <w:rPr>
          <w:rFonts w:ascii="Arial" w:hAnsi="Arial" w:cs="Arial"/>
        </w:rPr>
        <w:t>greater</w:t>
      </w:r>
      <w:r w:rsidR="00C671CC">
        <w:rPr>
          <w:rFonts w:ascii="Arial" w:hAnsi="Arial" w:cs="Arial"/>
        </w:rPr>
        <w:t xml:space="preserve"> TFV, FTC and 3TC </w:t>
      </w:r>
      <w:r w:rsidR="00E96E00">
        <w:rPr>
          <w:rFonts w:ascii="Arial" w:hAnsi="Arial" w:cs="Arial"/>
        </w:rPr>
        <w:t>exposure</w:t>
      </w:r>
      <w:r w:rsidR="004B109A">
        <w:rPr>
          <w:rFonts w:ascii="Arial" w:hAnsi="Arial" w:cs="Arial"/>
        </w:rPr>
        <w:t>,</w:t>
      </w:r>
      <w:r w:rsidR="00C671CC">
        <w:rPr>
          <w:rFonts w:ascii="Arial" w:hAnsi="Arial" w:cs="Arial"/>
        </w:rPr>
        <w:t xml:space="preserve"> </w:t>
      </w:r>
      <w:r w:rsidR="00257584">
        <w:rPr>
          <w:rFonts w:ascii="Arial" w:hAnsi="Arial" w:cs="Arial"/>
        </w:rPr>
        <w:t xml:space="preserve">whereas ABC showed no associations. </w:t>
      </w:r>
      <w:r w:rsidR="00931925" w:rsidRPr="004361B3">
        <w:rPr>
          <w:rFonts w:ascii="Arial" w:hAnsi="Arial" w:cs="Arial"/>
        </w:rPr>
        <w:br w:type="page"/>
      </w:r>
    </w:p>
    <w:p w14:paraId="2C99CFA3" w14:textId="623A324C" w:rsidR="00ED2DAD" w:rsidRPr="00ED2DAD" w:rsidRDefault="00ED2DAD" w:rsidP="00A3439D">
      <w:pPr>
        <w:spacing w:before="240" w:after="0" w:line="480" w:lineRule="auto"/>
        <w:rPr>
          <w:rFonts w:ascii="Arial" w:hAnsi="Arial" w:cs="Arial"/>
          <w:b/>
        </w:rPr>
      </w:pPr>
      <w:r w:rsidRPr="00ED2DAD">
        <w:rPr>
          <w:rFonts w:ascii="Arial" w:hAnsi="Arial" w:cs="Arial"/>
          <w:b/>
        </w:rPr>
        <w:t>Main Text</w:t>
      </w:r>
    </w:p>
    <w:p w14:paraId="60B61AFE" w14:textId="6EA3E5BE" w:rsidR="00D50A42" w:rsidRPr="009B6B13" w:rsidRDefault="0019219B" w:rsidP="00A3439D">
      <w:pPr>
        <w:spacing w:before="240" w:after="0" w:line="480" w:lineRule="auto"/>
        <w:rPr>
          <w:rFonts w:ascii="Arial" w:hAnsi="Arial" w:cs="Arial"/>
          <w:b/>
        </w:rPr>
      </w:pPr>
      <w:r>
        <w:rPr>
          <w:rFonts w:ascii="Arial" w:hAnsi="Arial" w:cs="Arial"/>
        </w:rPr>
        <w:t>With the ag</w:t>
      </w:r>
      <w:r w:rsidR="00AF1916">
        <w:rPr>
          <w:rFonts w:ascii="Arial" w:hAnsi="Arial" w:cs="Arial"/>
        </w:rPr>
        <w:t>e</w:t>
      </w:r>
      <w:r>
        <w:rPr>
          <w:rFonts w:ascii="Arial" w:hAnsi="Arial" w:cs="Arial"/>
        </w:rPr>
        <w:t>ing population of people with HIV</w:t>
      </w:r>
      <w:r w:rsidR="00DA301A">
        <w:rPr>
          <w:rFonts w:ascii="Arial" w:hAnsi="Arial" w:cs="Arial"/>
        </w:rPr>
        <w:t xml:space="preserve">, clinical priorities are </w:t>
      </w:r>
      <w:r w:rsidR="00F853E7">
        <w:rPr>
          <w:rFonts w:ascii="Arial" w:hAnsi="Arial" w:cs="Arial"/>
        </w:rPr>
        <w:t xml:space="preserve">increasingly focused on </w:t>
      </w:r>
      <w:r w:rsidR="00DA301A">
        <w:rPr>
          <w:rFonts w:ascii="Arial" w:hAnsi="Arial" w:cs="Arial"/>
        </w:rPr>
        <w:t>managing age- and HIV-a</w:t>
      </w:r>
      <w:r w:rsidR="0013462D">
        <w:rPr>
          <w:rFonts w:ascii="Arial" w:hAnsi="Arial" w:cs="Arial"/>
        </w:rPr>
        <w:t xml:space="preserve">ssociated chronic comorbidities, </w:t>
      </w:r>
      <w:r w:rsidR="00DA301A">
        <w:rPr>
          <w:rFonts w:ascii="Arial" w:hAnsi="Arial" w:cs="Arial"/>
        </w:rPr>
        <w:t>preventing long-term antiretroviral drug toxicity</w:t>
      </w:r>
      <w:r w:rsidR="00822F84">
        <w:rPr>
          <w:rFonts w:ascii="Arial" w:hAnsi="Arial" w:cs="Arial"/>
        </w:rPr>
        <w:t xml:space="preserve"> </w:t>
      </w:r>
      <w:r w:rsidR="0013462D">
        <w:rPr>
          <w:rFonts w:ascii="Arial" w:hAnsi="Arial" w:cs="Arial"/>
        </w:rPr>
        <w:t xml:space="preserve">and managing polypharmacy or altered drug exposure due to age-associated physiological changes of drug metabolic pathways </w:t>
      </w:r>
      <w:r w:rsidR="00822F84">
        <w:rPr>
          <w:rFonts w:ascii="Arial" w:hAnsi="Arial" w:cs="Arial"/>
        </w:rPr>
        <w:t>[1]</w:t>
      </w:r>
      <w:r w:rsidR="00DA301A">
        <w:rPr>
          <w:rFonts w:ascii="Arial" w:hAnsi="Arial" w:cs="Arial"/>
        </w:rPr>
        <w:t xml:space="preserve">.  </w:t>
      </w:r>
    </w:p>
    <w:p w14:paraId="23C87171" w14:textId="1D693EC8" w:rsidR="00F957FA" w:rsidRDefault="00F957FA" w:rsidP="00A3439D">
      <w:pPr>
        <w:spacing w:before="240" w:after="0" w:line="480" w:lineRule="auto"/>
        <w:rPr>
          <w:rFonts w:ascii="Arial" w:hAnsi="Arial" w:cs="Arial"/>
        </w:rPr>
      </w:pPr>
      <w:r>
        <w:rPr>
          <w:rFonts w:ascii="Arial" w:hAnsi="Arial" w:cs="Arial"/>
        </w:rPr>
        <w:t>Nucleoside</w:t>
      </w:r>
      <w:r w:rsidR="00E13F0B">
        <w:rPr>
          <w:rFonts w:ascii="Arial" w:hAnsi="Arial" w:cs="Arial"/>
        </w:rPr>
        <w:t>/nucleotide</w:t>
      </w:r>
      <w:r>
        <w:rPr>
          <w:rFonts w:ascii="Arial" w:hAnsi="Arial" w:cs="Arial"/>
        </w:rPr>
        <w:t xml:space="preserve"> reverse transcriptase inhibitors (NRTIs) constitute the ‘backbone’ of a typ</w:t>
      </w:r>
      <w:r w:rsidR="004B109A">
        <w:rPr>
          <w:rFonts w:ascii="Arial" w:hAnsi="Arial" w:cs="Arial"/>
        </w:rPr>
        <w:t xml:space="preserve">ical </w:t>
      </w:r>
      <w:r w:rsidR="009B6B13">
        <w:rPr>
          <w:rFonts w:ascii="Arial" w:hAnsi="Arial" w:cs="Arial"/>
        </w:rPr>
        <w:t>combination antiretroviral (c</w:t>
      </w:r>
      <w:r w:rsidR="004B109A">
        <w:rPr>
          <w:rFonts w:ascii="Arial" w:hAnsi="Arial" w:cs="Arial"/>
        </w:rPr>
        <w:t>ART</w:t>
      </w:r>
      <w:r w:rsidR="009B6B13">
        <w:rPr>
          <w:rFonts w:ascii="Arial" w:hAnsi="Arial" w:cs="Arial"/>
        </w:rPr>
        <w:t>)</w:t>
      </w:r>
      <w:r w:rsidR="004B109A">
        <w:rPr>
          <w:rFonts w:ascii="Arial" w:hAnsi="Arial" w:cs="Arial"/>
        </w:rPr>
        <w:t xml:space="preserve"> regimen. </w:t>
      </w:r>
      <w:r w:rsidR="00822F84">
        <w:rPr>
          <w:rFonts w:ascii="Arial" w:hAnsi="Arial" w:cs="Arial"/>
        </w:rPr>
        <w:t>NRTIs are pro-drugs and require intracellular phosphorylation in order to be effective against HIV replication</w:t>
      </w:r>
      <w:r w:rsidR="009B6B13">
        <w:rPr>
          <w:rFonts w:ascii="Arial" w:hAnsi="Arial" w:cs="Arial"/>
        </w:rPr>
        <w:t xml:space="preserve"> [2]</w:t>
      </w:r>
      <w:r w:rsidR="00822F84">
        <w:rPr>
          <w:rFonts w:ascii="Arial" w:hAnsi="Arial" w:cs="Arial"/>
        </w:rPr>
        <w:t>. However, NRTI-related toxicities may also be the consequence of their plasma concentrations, as has been clea</w:t>
      </w:r>
      <w:r w:rsidR="00E078F6">
        <w:rPr>
          <w:rFonts w:ascii="Arial" w:hAnsi="Arial" w:cs="Arial"/>
        </w:rPr>
        <w:t>rly shown for tenofovir (TFV) [3</w:t>
      </w:r>
      <w:r w:rsidR="00822F84">
        <w:rPr>
          <w:rFonts w:ascii="Arial" w:hAnsi="Arial" w:cs="Arial"/>
        </w:rPr>
        <w:t>]. Importantly, c</w:t>
      </w:r>
      <w:r w:rsidR="00822F84" w:rsidRPr="00822F84">
        <w:rPr>
          <w:rFonts w:ascii="Arial" w:hAnsi="Arial" w:cs="Arial"/>
        </w:rPr>
        <w:t>o</w:t>
      </w:r>
      <w:r w:rsidR="00822F84">
        <w:rPr>
          <w:rFonts w:ascii="Arial" w:hAnsi="Arial" w:cs="Arial"/>
        </w:rPr>
        <w:t>-</w:t>
      </w:r>
      <w:r w:rsidR="00822F84" w:rsidRPr="00822F84">
        <w:rPr>
          <w:rFonts w:ascii="Arial" w:hAnsi="Arial" w:cs="Arial"/>
        </w:rPr>
        <w:t xml:space="preserve">administration </w:t>
      </w:r>
      <w:r w:rsidR="00822F84">
        <w:rPr>
          <w:rFonts w:ascii="Arial" w:hAnsi="Arial" w:cs="Arial"/>
        </w:rPr>
        <w:t>of tenofovir disoproxil fumarate (TDF) and boosting agents like cobicistat</w:t>
      </w:r>
      <w:r w:rsidR="00822F84" w:rsidRPr="00822F84">
        <w:rPr>
          <w:rFonts w:ascii="Arial" w:hAnsi="Arial" w:cs="Arial"/>
        </w:rPr>
        <w:t xml:space="preserve"> </w:t>
      </w:r>
      <w:r w:rsidR="00822F84">
        <w:rPr>
          <w:rFonts w:ascii="Arial" w:hAnsi="Arial" w:cs="Arial"/>
        </w:rPr>
        <w:t>that lead to higher TFV plasma concentrations results</w:t>
      </w:r>
      <w:r w:rsidR="00822F84" w:rsidRPr="00822F84">
        <w:rPr>
          <w:rFonts w:ascii="Arial" w:hAnsi="Arial" w:cs="Arial"/>
        </w:rPr>
        <w:t xml:space="preserve"> in significantly higher TDF discontinuation </w:t>
      </w:r>
      <w:r w:rsidR="00E078F6">
        <w:rPr>
          <w:rFonts w:ascii="Arial" w:hAnsi="Arial" w:cs="Arial"/>
        </w:rPr>
        <w:t>rates [3,4</w:t>
      </w:r>
      <w:r w:rsidR="00822F84">
        <w:rPr>
          <w:rFonts w:ascii="Arial" w:hAnsi="Arial" w:cs="Arial"/>
        </w:rPr>
        <w:t>].</w:t>
      </w:r>
      <w:r w:rsidR="00F852C3">
        <w:rPr>
          <w:rFonts w:ascii="Arial" w:hAnsi="Arial" w:cs="Arial"/>
        </w:rPr>
        <w:t xml:space="preserve"> On the other hand, while older NRTIs like zidovudine were associated with hepatotoxicity, newer ones have led to only </w:t>
      </w:r>
      <w:r w:rsidR="00F852C3" w:rsidRPr="00F852C3">
        <w:rPr>
          <w:rFonts w:ascii="Arial" w:hAnsi="Arial" w:cs="Arial"/>
        </w:rPr>
        <w:t xml:space="preserve">few cases </w:t>
      </w:r>
      <w:r w:rsidR="00F852C3">
        <w:rPr>
          <w:rFonts w:ascii="Arial" w:hAnsi="Arial" w:cs="Arial"/>
        </w:rPr>
        <w:t>of</w:t>
      </w:r>
      <w:r w:rsidR="00F852C3" w:rsidRPr="00F852C3">
        <w:rPr>
          <w:rFonts w:ascii="Arial" w:hAnsi="Arial" w:cs="Arial"/>
        </w:rPr>
        <w:t xml:space="preserve"> NRTI-induced liver toxicities</w:t>
      </w:r>
      <w:r w:rsidR="00F852C3">
        <w:rPr>
          <w:rFonts w:ascii="Arial" w:hAnsi="Arial" w:cs="Arial"/>
        </w:rPr>
        <w:t xml:space="preserve"> [5,6].</w:t>
      </w:r>
    </w:p>
    <w:p w14:paraId="0103739F" w14:textId="7B3A3ECB" w:rsidR="00A079C8" w:rsidRDefault="008E457B" w:rsidP="00A3439D">
      <w:pPr>
        <w:spacing w:before="240" w:after="0" w:line="480" w:lineRule="auto"/>
        <w:rPr>
          <w:rFonts w:ascii="Arial" w:hAnsi="Arial" w:cs="Arial"/>
        </w:rPr>
      </w:pPr>
      <w:r>
        <w:rPr>
          <w:rFonts w:ascii="Arial" w:hAnsi="Arial" w:cs="Arial"/>
        </w:rPr>
        <w:t xml:space="preserve">Nevertheless, the association between NRTI plasma exposure and measures of liver and renal dysfunction has rarely been investigated. </w:t>
      </w:r>
    </w:p>
    <w:p w14:paraId="502CC48F" w14:textId="081DF88D" w:rsidR="00BB7195" w:rsidRPr="00C91F74" w:rsidRDefault="00EC02B0" w:rsidP="00C91F74">
      <w:pPr>
        <w:spacing w:before="240" w:after="0" w:line="480" w:lineRule="auto"/>
        <w:rPr>
          <w:rFonts w:ascii="Arial" w:hAnsi="Arial" w:cs="Arial"/>
        </w:rPr>
      </w:pPr>
      <w:r>
        <w:rPr>
          <w:rFonts w:ascii="Arial" w:hAnsi="Arial" w:cs="Arial"/>
        </w:rPr>
        <w:t xml:space="preserve">In the present study, we </w:t>
      </w:r>
      <w:r w:rsidRPr="00871D2E">
        <w:rPr>
          <w:rFonts w:ascii="Arial" w:hAnsi="Arial" w:cs="Arial"/>
        </w:rPr>
        <w:t>investigate</w:t>
      </w:r>
      <w:r w:rsidR="008E457B" w:rsidRPr="00871D2E">
        <w:rPr>
          <w:rFonts w:ascii="Arial" w:hAnsi="Arial" w:cs="Arial"/>
        </w:rPr>
        <w:t xml:space="preserve"> the</w:t>
      </w:r>
      <w:r w:rsidR="00E55A59" w:rsidRPr="00871D2E">
        <w:rPr>
          <w:rFonts w:ascii="Arial" w:hAnsi="Arial" w:cs="Arial"/>
        </w:rPr>
        <w:t xml:space="preserve"> associations between</w:t>
      </w:r>
      <w:r w:rsidR="00683AE1" w:rsidRPr="00871D2E">
        <w:rPr>
          <w:rFonts w:ascii="Arial" w:hAnsi="Arial" w:cs="Arial"/>
        </w:rPr>
        <w:t xml:space="preserve"> plasma</w:t>
      </w:r>
      <w:r w:rsidRPr="00871D2E">
        <w:rPr>
          <w:rFonts w:ascii="Arial" w:hAnsi="Arial" w:cs="Arial"/>
        </w:rPr>
        <w:t xml:space="preserve"> </w:t>
      </w:r>
      <w:r w:rsidR="00360F79" w:rsidRPr="00871D2E">
        <w:rPr>
          <w:rFonts w:ascii="Arial" w:hAnsi="Arial" w:cs="Arial"/>
        </w:rPr>
        <w:t xml:space="preserve">exposure </w:t>
      </w:r>
      <w:r w:rsidR="00E55A59" w:rsidRPr="00871D2E">
        <w:rPr>
          <w:rFonts w:ascii="Arial" w:hAnsi="Arial" w:cs="Arial"/>
        </w:rPr>
        <w:t>of</w:t>
      </w:r>
      <w:r w:rsidR="00360F79" w:rsidRPr="00871D2E">
        <w:rPr>
          <w:rFonts w:ascii="Arial" w:hAnsi="Arial" w:cs="Arial"/>
        </w:rPr>
        <w:t xml:space="preserve"> four </w:t>
      </w:r>
      <w:r w:rsidR="00E55A59" w:rsidRPr="00C91F74">
        <w:rPr>
          <w:rFonts w:ascii="Arial" w:hAnsi="Arial" w:cs="Arial"/>
        </w:rPr>
        <w:t>frequently</w:t>
      </w:r>
      <w:r w:rsidR="00360F79" w:rsidRPr="00C91F74">
        <w:rPr>
          <w:rFonts w:ascii="Arial" w:hAnsi="Arial" w:cs="Arial"/>
        </w:rPr>
        <w:t xml:space="preserve"> used NRTIs </w:t>
      </w:r>
      <w:r w:rsidR="008E457B" w:rsidRPr="00C91F74">
        <w:rPr>
          <w:rFonts w:ascii="Arial" w:hAnsi="Arial" w:cs="Arial"/>
        </w:rPr>
        <w:t>(</w:t>
      </w:r>
      <w:r w:rsidR="00360F79" w:rsidRPr="00C91F74">
        <w:rPr>
          <w:rFonts w:ascii="Arial" w:hAnsi="Arial" w:cs="Arial"/>
        </w:rPr>
        <w:t>T</w:t>
      </w:r>
      <w:r w:rsidR="00E55A59" w:rsidRPr="00C91F74">
        <w:rPr>
          <w:rFonts w:ascii="Arial" w:hAnsi="Arial" w:cs="Arial"/>
        </w:rPr>
        <w:t>DF</w:t>
      </w:r>
      <w:r w:rsidR="008E457B" w:rsidRPr="00C91F74">
        <w:rPr>
          <w:rFonts w:ascii="Arial" w:hAnsi="Arial" w:cs="Arial"/>
        </w:rPr>
        <w:t>;</w:t>
      </w:r>
      <w:r w:rsidR="00E13F0B" w:rsidRPr="00C91F74">
        <w:rPr>
          <w:rFonts w:ascii="Arial" w:hAnsi="Arial" w:cs="Arial"/>
        </w:rPr>
        <w:t xml:space="preserve"> </w:t>
      </w:r>
      <w:r w:rsidR="008E457B" w:rsidRPr="00C91F74">
        <w:rPr>
          <w:rFonts w:ascii="Arial" w:hAnsi="Arial" w:cs="Arial"/>
        </w:rPr>
        <w:t>emtricitabine, FTC;</w:t>
      </w:r>
      <w:r w:rsidR="00E13F0B" w:rsidRPr="00C91F74">
        <w:rPr>
          <w:rFonts w:ascii="Arial" w:hAnsi="Arial" w:cs="Arial"/>
        </w:rPr>
        <w:t xml:space="preserve"> </w:t>
      </w:r>
      <w:r w:rsidR="008E457B" w:rsidRPr="00C91F74">
        <w:rPr>
          <w:rFonts w:ascii="Arial" w:hAnsi="Arial" w:cs="Arial"/>
        </w:rPr>
        <w:t xml:space="preserve">abacavir, ABC; and lamivudine, 3TC) </w:t>
      </w:r>
      <w:r w:rsidRPr="00C91F74">
        <w:rPr>
          <w:rFonts w:ascii="Arial" w:hAnsi="Arial" w:cs="Arial"/>
        </w:rPr>
        <w:t xml:space="preserve">with </w:t>
      </w:r>
      <w:r w:rsidR="005930D0">
        <w:rPr>
          <w:rFonts w:ascii="Arial" w:hAnsi="Arial" w:cs="Arial"/>
        </w:rPr>
        <w:t xml:space="preserve">plasma </w:t>
      </w:r>
      <w:r w:rsidR="000855CE" w:rsidRPr="00C91F74">
        <w:rPr>
          <w:rFonts w:ascii="Arial" w:hAnsi="Arial" w:cs="Arial"/>
        </w:rPr>
        <w:t>alanine aminotransferase (</w:t>
      </w:r>
      <w:r w:rsidR="00871D2E" w:rsidRPr="00C91F74">
        <w:rPr>
          <w:rFonts w:ascii="Arial" w:hAnsi="Arial" w:cs="Arial"/>
        </w:rPr>
        <w:t>ALT</w:t>
      </w:r>
      <w:r w:rsidR="000855CE" w:rsidRPr="00C91F74">
        <w:rPr>
          <w:rFonts w:ascii="Arial" w:hAnsi="Arial" w:cs="Arial"/>
        </w:rPr>
        <w:t>)</w:t>
      </w:r>
      <w:r w:rsidR="00871D2E" w:rsidRPr="00C91F74">
        <w:rPr>
          <w:rFonts w:ascii="Arial" w:hAnsi="Arial" w:cs="Arial"/>
        </w:rPr>
        <w:t xml:space="preserve"> </w:t>
      </w:r>
      <w:r w:rsidR="005930D0">
        <w:rPr>
          <w:rFonts w:ascii="Arial" w:hAnsi="Arial" w:cs="Arial"/>
        </w:rPr>
        <w:t>concentrations</w:t>
      </w:r>
      <w:r w:rsidR="00871D2E" w:rsidRPr="00C91F74">
        <w:rPr>
          <w:rFonts w:ascii="Arial" w:hAnsi="Arial" w:cs="Arial"/>
        </w:rPr>
        <w:t xml:space="preserve"> </w:t>
      </w:r>
      <w:r w:rsidR="0013462D" w:rsidRPr="00C91F74">
        <w:rPr>
          <w:rFonts w:ascii="Arial" w:hAnsi="Arial" w:cs="Arial"/>
        </w:rPr>
        <w:t>or</w:t>
      </w:r>
      <w:r w:rsidR="00871D2E" w:rsidRPr="00C91F74">
        <w:rPr>
          <w:rFonts w:ascii="Arial" w:hAnsi="Arial" w:cs="Arial"/>
        </w:rPr>
        <w:t xml:space="preserve"> </w:t>
      </w:r>
      <w:r w:rsidR="000855CE" w:rsidRPr="00C91F74">
        <w:rPr>
          <w:rFonts w:ascii="Arial" w:hAnsi="Arial" w:cs="Arial"/>
        </w:rPr>
        <w:t>estimated glomerular filtration rate (</w:t>
      </w:r>
      <w:r w:rsidR="00871D2E" w:rsidRPr="00C91F74">
        <w:rPr>
          <w:rFonts w:ascii="Arial" w:hAnsi="Arial" w:cs="Arial"/>
        </w:rPr>
        <w:t>eGFR</w:t>
      </w:r>
      <w:r w:rsidR="000855CE" w:rsidRPr="00C91F74">
        <w:rPr>
          <w:rFonts w:ascii="Arial" w:hAnsi="Arial" w:cs="Arial"/>
        </w:rPr>
        <w:t>)</w:t>
      </w:r>
      <w:r w:rsidR="00871D2E" w:rsidRPr="00C91F74">
        <w:rPr>
          <w:rFonts w:ascii="Arial" w:hAnsi="Arial" w:cs="Arial"/>
        </w:rPr>
        <w:t xml:space="preserve"> results</w:t>
      </w:r>
      <w:r w:rsidR="00F46257" w:rsidRPr="00C91F74">
        <w:rPr>
          <w:rFonts w:ascii="Arial" w:hAnsi="Arial" w:cs="Arial"/>
        </w:rPr>
        <w:t xml:space="preserve"> </w:t>
      </w:r>
      <w:r w:rsidR="00871D2E" w:rsidRPr="00C91F74">
        <w:rPr>
          <w:rFonts w:ascii="Arial" w:hAnsi="Arial" w:cs="Arial"/>
        </w:rPr>
        <w:t>in the</w:t>
      </w:r>
      <w:r w:rsidRPr="00C91F74">
        <w:rPr>
          <w:rFonts w:ascii="Arial" w:hAnsi="Arial" w:cs="Arial"/>
        </w:rPr>
        <w:t xml:space="preserve"> large </w:t>
      </w:r>
      <w:r w:rsidR="00871D2E" w:rsidRPr="00C91F74">
        <w:rPr>
          <w:rFonts w:ascii="Arial" w:hAnsi="Arial" w:cs="Arial"/>
        </w:rPr>
        <w:t>POPPY (Pharmacokinetic and Clinical Observations in People over Fifty)</w:t>
      </w:r>
      <w:r w:rsidR="0019219B">
        <w:rPr>
          <w:rFonts w:ascii="Arial" w:hAnsi="Arial" w:cs="Arial"/>
        </w:rPr>
        <w:t xml:space="preserve"> cohort study</w:t>
      </w:r>
      <w:r w:rsidR="00871D2E" w:rsidRPr="00C91F74">
        <w:rPr>
          <w:rFonts w:ascii="Arial" w:hAnsi="Arial" w:cs="Arial"/>
        </w:rPr>
        <w:t xml:space="preserve">. </w:t>
      </w:r>
      <w:r w:rsidR="00BB7195" w:rsidRPr="00C91F74">
        <w:rPr>
          <w:rFonts w:ascii="Arial" w:hAnsi="Arial" w:cs="Arial"/>
          <w:b/>
        </w:rPr>
        <w:br w:type="page"/>
      </w:r>
    </w:p>
    <w:p w14:paraId="420EF96C" w14:textId="77C7FB1A" w:rsidR="00C91F74" w:rsidRPr="00C91F74" w:rsidRDefault="0072521D" w:rsidP="00C91F74">
      <w:pPr>
        <w:spacing w:line="480" w:lineRule="auto"/>
        <w:rPr>
          <w:rFonts w:ascii="Arial" w:eastAsia="Times New Roman" w:hAnsi="Arial" w:cs="Arial"/>
          <w:sz w:val="20"/>
          <w:szCs w:val="20"/>
          <w:lang w:eastAsia="en-US"/>
        </w:rPr>
      </w:pPr>
      <w:r w:rsidRPr="00C91F74">
        <w:rPr>
          <w:rFonts w:ascii="Arial" w:hAnsi="Arial" w:cs="Arial"/>
        </w:rPr>
        <w:t xml:space="preserve">Participants were selected from the </w:t>
      </w:r>
      <w:r w:rsidR="006C3319" w:rsidRPr="00C91F74">
        <w:rPr>
          <w:rFonts w:ascii="Arial" w:hAnsi="Arial" w:cs="Arial"/>
        </w:rPr>
        <w:t>POPPY</w:t>
      </w:r>
      <w:r w:rsidRPr="00C91F74">
        <w:rPr>
          <w:rFonts w:ascii="Arial" w:hAnsi="Arial" w:cs="Arial"/>
        </w:rPr>
        <w:t xml:space="preserve"> study </w:t>
      </w:r>
      <w:r w:rsidR="008E2102" w:rsidRPr="00C91F74">
        <w:rPr>
          <w:rFonts w:ascii="Arial" w:hAnsi="Arial" w:cs="Arial"/>
        </w:rPr>
        <w:t>[</w:t>
      </w:r>
      <w:r w:rsidR="00F852C3" w:rsidRPr="00C91F74">
        <w:rPr>
          <w:rFonts w:ascii="Arial" w:hAnsi="Arial" w:cs="Arial"/>
        </w:rPr>
        <w:t>7</w:t>
      </w:r>
      <w:r w:rsidR="008E2102" w:rsidRPr="00C91F74">
        <w:rPr>
          <w:rFonts w:ascii="Arial" w:hAnsi="Arial" w:cs="Arial"/>
        </w:rPr>
        <w:t xml:space="preserve">], </w:t>
      </w:r>
      <w:r w:rsidR="006C3319" w:rsidRPr="00C91F74">
        <w:rPr>
          <w:rFonts w:ascii="Arial" w:hAnsi="Arial" w:cs="Arial"/>
        </w:rPr>
        <w:t xml:space="preserve">were </w:t>
      </w:r>
      <w:r w:rsidR="00BB727C" w:rsidRPr="00C91F74">
        <w:rPr>
          <w:rFonts w:ascii="Arial" w:hAnsi="Arial" w:cs="Arial"/>
        </w:rPr>
        <w:t xml:space="preserve">receiving </w:t>
      </w:r>
      <w:r w:rsidR="00DD4821" w:rsidRPr="00C91F74">
        <w:rPr>
          <w:rFonts w:ascii="Arial" w:hAnsi="Arial" w:cs="Arial"/>
        </w:rPr>
        <w:t xml:space="preserve">at least one of four </w:t>
      </w:r>
      <w:r w:rsidR="001010EC" w:rsidRPr="00C91F74">
        <w:rPr>
          <w:rFonts w:ascii="Arial" w:hAnsi="Arial" w:cs="Arial"/>
        </w:rPr>
        <w:t>NRTIs</w:t>
      </w:r>
      <w:r w:rsidR="00DD4821" w:rsidRPr="00C91F74">
        <w:rPr>
          <w:rFonts w:ascii="Arial" w:hAnsi="Arial" w:cs="Arial"/>
        </w:rPr>
        <w:t xml:space="preserve"> </w:t>
      </w:r>
      <w:r w:rsidR="006C3319" w:rsidRPr="00C91F74">
        <w:rPr>
          <w:rFonts w:ascii="Arial" w:hAnsi="Arial" w:cs="Arial"/>
        </w:rPr>
        <w:t xml:space="preserve">(TDF, FTC, 3TC and ABC) </w:t>
      </w:r>
      <w:r w:rsidR="00DD4821" w:rsidRPr="00C91F74">
        <w:rPr>
          <w:rFonts w:ascii="Arial" w:hAnsi="Arial" w:cs="Arial"/>
        </w:rPr>
        <w:t xml:space="preserve">and provided a sample for </w:t>
      </w:r>
      <w:r w:rsidR="008E2102" w:rsidRPr="00C91F74">
        <w:rPr>
          <w:rFonts w:ascii="Arial" w:hAnsi="Arial" w:cs="Arial"/>
        </w:rPr>
        <w:t>pharmacokinetic (PK)</w:t>
      </w:r>
      <w:r w:rsidR="00DD4821" w:rsidRPr="00C91F74">
        <w:rPr>
          <w:rFonts w:ascii="Arial" w:hAnsi="Arial" w:cs="Arial"/>
        </w:rPr>
        <w:t xml:space="preserve"> testing</w:t>
      </w:r>
      <w:r w:rsidR="001010EC" w:rsidRPr="00C91F74">
        <w:rPr>
          <w:rFonts w:ascii="Arial" w:hAnsi="Arial" w:cs="Arial"/>
        </w:rPr>
        <w:t>.</w:t>
      </w:r>
      <w:r w:rsidR="008E2102" w:rsidRPr="00C91F74">
        <w:rPr>
          <w:rFonts w:ascii="Arial" w:hAnsi="Arial" w:cs="Arial"/>
        </w:rPr>
        <w:t xml:space="preserve"> The latter was </w:t>
      </w:r>
      <w:r w:rsidR="0013462D" w:rsidRPr="00C91F74">
        <w:rPr>
          <w:rFonts w:ascii="Arial" w:hAnsi="Arial" w:cs="Arial"/>
        </w:rPr>
        <w:t>analysed</w:t>
      </w:r>
      <w:r w:rsidR="008E2102" w:rsidRPr="00C91F74">
        <w:rPr>
          <w:rFonts w:ascii="Arial" w:hAnsi="Arial" w:cs="Arial"/>
        </w:rPr>
        <w:t xml:space="preserve"> by </w:t>
      </w:r>
      <w:r w:rsidR="0019219B">
        <w:rPr>
          <w:rFonts w:ascii="Arial" w:hAnsi="Arial" w:cs="Arial"/>
        </w:rPr>
        <w:t xml:space="preserve">an </w:t>
      </w:r>
      <w:r w:rsidR="0092758B" w:rsidRPr="00C91F74">
        <w:rPr>
          <w:rFonts w:ascii="Arial" w:hAnsi="Arial" w:cs="Arial"/>
        </w:rPr>
        <w:t>ultra-performance liquid chromatography (UPLC) (Waters, UK)</w:t>
      </w:r>
      <w:r w:rsidR="008E2102" w:rsidRPr="00C91F74">
        <w:rPr>
          <w:rFonts w:ascii="Arial" w:hAnsi="Arial" w:cs="Arial"/>
        </w:rPr>
        <w:t xml:space="preserve">-validated method </w:t>
      </w:r>
      <w:r w:rsidR="0013462D" w:rsidRPr="00C91F74">
        <w:rPr>
          <w:rFonts w:ascii="Arial" w:hAnsi="Arial" w:cs="Arial"/>
        </w:rPr>
        <w:t>[</w:t>
      </w:r>
      <w:r w:rsidR="00F852C3" w:rsidRPr="00C91F74">
        <w:rPr>
          <w:rFonts w:ascii="Arial" w:hAnsi="Arial" w:cs="Arial"/>
        </w:rPr>
        <w:t>8</w:t>
      </w:r>
      <w:r w:rsidR="0013462D" w:rsidRPr="00C91F74">
        <w:rPr>
          <w:rFonts w:ascii="Arial" w:hAnsi="Arial" w:cs="Arial"/>
        </w:rPr>
        <w:t xml:space="preserve">] </w:t>
      </w:r>
      <w:r w:rsidR="008E2102" w:rsidRPr="00C91F74">
        <w:rPr>
          <w:rFonts w:ascii="Arial" w:hAnsi="Arial" w:cs="Arial"/>
        </w:rPr>
        <w:t xml:space="preserve">and </w:t>
      </w:r>
      <w:r w:rsidR="0013462D" w:rsidRPr="00C91F74">
        <w:rPr>
          <w:rFonts w:ascii="Arial" w:hAnsi="Arial" w:cs="Arial"/>
        </w:rPr>
        <w:t xml:space="preserve">PK </w:t>
      </w:r>
      <w:r w:rsidR="00585324" w:rsidRPr="00C91F74">
        <w:rPr>
          <w:rFonts w:ascii="Arial" w:hAnsi="Arial" w:cs="Arial"/>
        </w:rPr>
        <w:t xml:space="preserve">models </w:t>
      </w:r>
      <w:r w:rsidR="005A45B7" w:rsidRPr="00C91F74">
        <w:rPr>
          <w:rFonts w:ascii="Arial" w:hAnsi="Arial" w:cs="Arial"/>
        </w:rPr>
        <w:t xml:space="preserve">were </w:t>
      </w:r>
      <w:r w:rsidR="00C91F74" w:rsidRPr="00C91F74">
        <w:rPr>
          <w:rFonts w:ascii="Arial" w:eastAsia="Times New Roman" w:hAnsi="Arial" w:cs="Arial"/>
          <w:color w:val="212121"/>
          <w:shd w:val="clear" w:color="auto" w:fill="FFFFFF"/>
          <w:lang w:eastAsia="en-US"/>
        </w:rPr>
        <w:t xml:space="preserve">determined using nonlinear mixed effects (NONMEM v. 7.3) implementing the $PRIOR subroutine </w:t>
      </w:r>
      <w:r w:rsidR="005A45B7" w:rsidRPr="00C91F74">
        <w:rPr>
          <w:rFonts w:ascii="Arial" w:hAnsi="Arial" w:cs="Arial"/>
        </w:rPr>
        <w:t>to predict NRTI area under the curve (</w:t>
      </w:r>
      <w:r w:rsidR="005044B3" w:rsidRPr="00C91F74">
        <w:rPr>
          <w:rFonts w:ascii="Arial" w:hAnsi="Arial" w:cs="Arial"/>
        </w:rPr>
        <w:t>AUC</w:t>
      </w:r>
      <w:r w:rsidR="0013462D" w:rsidRPr="00C91F74">
        <w:rPr>
          <w:rFonts w:ascii="Arial" w:hAnsi="Arial" w:cs="Arial"/>
        </w:rPr>
        <w:t xml:space="preserve">), </w:t>
      </w:r>
      <w:r w:rsidR="005A45B7" w:rsidRPr="00C91F74">
        <w:rPr>
          <w:rFonts w:ascii="Arial" w:hAnsi="Arial" w:cs="Arial"/>
        </w:rPr>
        <w:t>maximum concentration (C</w:t>
      </w:r>
      <w:r w:rsidR="005A45B7" w:rsidRPr="00C91F74">
        <w:rPr>
          <w:rFonts w:ascii="Arial" w:hAnsi="Arial" w:cs="Arial"/>
          <w:vertAlign w:val="subscript"/>
        </w:rPr>
        <w:t>max</w:t>
      </w:r>
      <w:r w:rsidR="005A45B7" w:rsidRPr="00C91F74">
        <w:rPr>
          <w:rFonts w:ascii="Arial" w:hAnsi="Arial" w:cs="Arial"/>
        </w:rPr>
        <w:t>) and trough concentration (</w:t>
      </w:r>
      <w:r w:rsidR="005044B3" w:rsidRPr="00C91F74">
        <w:rPr>
          <w:rFonts w:ascii="Arial" w:hAnsi="Arial" w:cs="Arial"/>
        </w:rPr>
        <w:t>C</w:t>
      </w:r>
      <w:r w:rsidR="0013462D" w:rsidRPr="00C91F74">
        <w:rPr>
          <w:rFonts w:ascii="Arial" w:hAnsi="Arial" w:cs="Arial"/>
          <w:vertAlign w:val="subscript"/>
        </w:rPr>
        <w:t>trough</w:t>
      </w:r>
      <w:r w:rsidR="0013462D" w:rsidRPr="00C91F74">
        <w:rPr>
          <w:rFonts w:ascii="Arial" w:hAnsi="Arial" w:cs="Arial"/>
        </w:rPr>
        <w:t xml:space="preserve">) </w:t>
      </w:r>
      <w:r w:rsidR="005A45B7" w:rsidRPr="00C91F74">
        <w:rPr>
          <w:rFonts w:ascii="Arial" w:hAnsi="Arial" w:cs="Arial"/>
        </w:rPr>
        <w:t>for each patien</w:t>
      </w:r>
      <w:r w:rsidR="00585324" w:rsidRPr="00C91F74">
        <w:rPr>
          <w:rFonts w:ascii="Arial" w:hAnsi="Arial" w:cs="Arial"/>
        </w:rPr>
        <w:t>t</w:t>
      </w:r>
      <w:r w:rsidR="005A45B7" w:rsidRPr="00C91F74">
        <w:rPr>
          <w:rFonts w:ascii="Arial" w:hAnsi="Arial" w:cs="Arial"/>
          <w:szCs w:val="24"/>
        </w:rPr>
        <w:t xml:space="preserve"> </w:t>
      </w:r>
      <w:r w:rsidR="00C91F74" w:rsidRPr="00C91F74">
        <w:rPr>
          <w:rFonts w:ascii="Arial" w:hAnsi="Arial" w:cs="Arial"/>
          <w:szCs w:val="24"/>
        </w:rPr>
        <w:t>as previously described</w:t>
      </w:r>
      <w:r w:rsidR="001A1B41" w:rsidRPr="00C91F74">
        <w:rPr>
          <w:rFonts w:ascii="Arial" w:hAnsi="Arial" w:cs="Arial"/>
          <w:szCs w:val="24"/>
        </w:rPr>
        <w:t xml:space="preserve"> [</w:t>
      </w:r>
      <w:r w:rsidR="00F852C3" w:rsidRPr="00C91F74">
        <w:rPr>
          <w:rFonts w:ascii="Arial" w:hAnsi="Arial" w:cs="Arial"/>
          <w:szCs w:val="24"/>
        </w:rPr>
        <w:t>9</w:t>
      </w:r>
      <w:r w:rsidR="001A1B41" w:rsidRPr="00C91F74">
        <w:rPr>
          <w:rFonts w:ascii="Arial" w:hAnsi="Arial" w:cs="Arial"/>
          <w:szCs w:val="24"/>
        </w:rPr>
        <w:t>]</w:t>
      </w:r>
      <w:r w:rsidR="00585324" w:rsidRPr="00C91F74">
        <w:rPr>
          <w:rFonts w:ascii="Arial" w:hAnsi="Arial" w:cs="Arial"/>
          <w:szCs w:val="24"/>
        </w:rPr>
        <w:t>.</w:t>
      </w:r>
      <w:r w:rsidR="005A45B7" w:rsidRPr="00C91F74">
        <w:rPr>
          <w:rFonts w:ascii="Arial" w:hAnsi="Arial" w:cs="Arial"/>
          <w:szCs w:val="24"/>
        </w:rPr>
        <w:t xml:space="preserve"> </w:t>
      </w:r>
    </w:p>
    <w:p w14:paraId="74BAFCD4" w14:textId="631851D2" w:rsidR="00CA7EF4" w:rsidRDefault="00096A3F" w:rsidP="00C91F74">
      <w:pPr>
        <w:spacing w:before="240" w:after="0" w:line="480" w:lineRule="auto"/>
        <w:rPr>
          <w:rFonts w:ascii="Arial" w:hAnsi="Arial" w:cs="Arial"/>
        </w:rPr>
      </w:pPr>
      <w:r w:rsidRPr="00C91F74">
        <w:rPr>
          <w:rFonts w:ascii="Arial" w:hAnsi="Arial" w:cs="Arial"/>
        </w:rPr>
        <w:t>Univariable and multivariable l</w:t>
      </w:r>
      <w:r w:rsidR="001544D3" w:rsidRPr="00C91F74">
        <w:rPr>
          <w:rFonts w:ascii="Arial" w:hAnsi="Arial" w:cs="Arial"/>
        </w:rPr>
        <w:t xml:space="preserve">inear regression </w:t>
      </w:r>
      <w:r w:rsidRPr="00C91F74">
        <w:rPr>
          <w:rFonts w:ascii="Arial" w:hAnsi="Arial" w:cs="Arial"/>
        </w:rPr>
        <w:t xml:space="preserve">models </w:t>
      </w:r>
      <w:r w:rsidR="00D65B07" w:rsidRPr="00C91F74">
        <w:rPr>
          <w:rFonts w:ascii="Arial" w:hAnsi="Arial" w:cs="Arial"/>
        </w:rPr>
        <w:t xml:space="preserve">(STATA version 15) </w:t>
      </w:r>
      <w:r w:rsidRPr="00C91F74">
        <w:rPr>
          <w:rFonts w:ascii="Arial" w:hAnsi="Arial" w:cs="Arial"/>
        </w:rPr>
        <w:t xml:space="preserve">were fitted to describe </w:t>
      </w:r>
      <w:r w:rsidR="001544D3" w:rsidRPr="00C91F74">
        <w:rPr>
          <w:rFonts w:ascii="Arial" w:hAnsi="Arial" w:cs="Arial"/>
        </w:rPr>
        <w:t xml:space="preserve">associations between </w:t>
      </w:r>
      <w:r w:rsidRPr="00C91F74">
        <w:rPr>
          <w:rFonts w:ascii="Arial" w:hAnsi="Arial" w:cs="Arial"/>
        </w:rPr>
        <w:t>PK parameters</w:t>
      </w:r>
      <w:r w:rsidR="0013462D" w:rsidRPr="00C91F74">
        <w:rPr>
          <w:rFonts w:ascii="Arial" w:hAnsi="Arial" w:cs="Arial"/>
        </w:rPr>
        <w:t xml:space="preserve"> </w:t>
      </w:r>
      <w:r w:rsidRPr="00C91F74">
        <w:rPr>
          <w:rFonts w:ascii="Arial" w:hAnsi="Arial" w:cs="Arial"/>
        </w:rPr>
        <w:t xml:space="preserve">and ALT </w:t>
      </w:r>
      <w:r w:rsidR="00EC6E9C" w:rsidRPr="00C91F74">
        <w:rPr>
          <w:rFonts w:ascii="Arial" w:hAnsi="Arial" w:cs="Arial"/>
        </w:rPr>
        <w:t xml:space="preserve">or eGFR </w:t>
      </w:r>
      <w:r w:rsidR="00EE1B7F" w:rsidRPr="00C91F74">
        <w:rPr>
          <w:rFonts w:ascii="Arial" w:hAnsi="Arial" w:cs="Arial"/>
        </w:rPr>
        <w:t xml:space="preserve">(estimated by CKD-EPI -primary analysis-, MDRD and Cockcroft-Gault) </w:t>
      </w:r>
      <w:r w:rsidR="00EC6E9C" w:rsidRPr="00C91F74">
        <w:rPr>
          <w:rFonts w:ascii="Arial" w:hAnsi="Arial" w:cs="Arial"/>
        </w:rPr>
        <w:t>results</w:t>
      </w:r>
      <w:r w:rsidR="001544D3" w:rsidRPr="00C91F74">
        <w:rPr>
          <w:rFonts w:ascii="Arial" w:hAnsi="Arial" w:cs="Arial"/>
        </w:rPr>
        <w:t>.</w:t>
      </w:r>
      <w:r w:rsidRPr="00C91F74">
        <w:rPr>
          <w:rFonts w:ascii="Arial" w:hAnsi="Arial" w:cs="Arial"/>
        </w:rPr>
        <w:t xml:space="preserve"> </w:t>
      </w:r>
      <w:r w:rsidR="00EE1B7F" w:rsidRPr="00C91F74">
        <w:rPr>
          <w:rFonts w:ascii="Arial" w:hAnsi="Arial" w:cs="Arial"/>
        </w:rPr>
        <w:t>M</w:t>
      </w:r>
      <w:r w:rsidR="001544D3" w:rsidRPr="00C91F74">
        <w:rPr>
          <w:rFonts w:ascii="Arial" w:hAnsi="Arial" w:cs="Arial"/>
        </w:rPr>
        <w:t>odels were adjusted for</w:t>
      </w:r>
      <w:r w:rsidR="0013462D" w:rsidRPr="00C91F74">
        <w:rPr>
          <w:rFonts w:ascii="Arial" w:hAnsi="Arial" w:cs="Arial"/>
        </w:rPr>
        <w:t xml:space="preserve"> </w:t>
      </w:r>
      <w:r w:rsidR="0013462D" w:rsidRPr="00C91F74">
        <w:rPr>
          <w:rFonts w:ascii="Arial" w:hAnsi="Arial" w:cs="Arial"/>
          <w:i/>
        </w:rPr>
        <w:t>a priori</w:t>
      </w:r>
      <w:r w:rsidR="0013462D" w:rsidRPr="00C91F74">
        <w:rPr>
          <w:rFonts w:ascii="Arial" w:hAnsi="Arial" w:cs="Arial"/>
        </w:rPr>
        <w:t xml:space="preserve"> selected confounders</w:t>
      </w:r>
      <w:r>
        <w:rPr>
          <w:rFonts w:ascii="Arial" w:hAnsi="Arial" w:cs="Arial"/>
        </w:rPr>
        <w:t xml:space="preserve">: </w:t>
      </w:r>
      <w:r w:rsidR="001544D3" w:rsidRPr="004361B3">
        <w:rPr>
          <w:rFonts w:ascii="Arial" w:hAnsi="Arial" w:cs="Arial"/>
        </w:rPr>
        <w:t>age, gender, ethnicity, current use of boosted protease inhibitors</w:t>
      </w:r>
      <w:r w:rsidR="006F67DF">
        <w:rPr>
          <w:rFonts w:ascii="Arial" w:hAnsi="Arial" w:cs="Arial"/>
        </w:rPr>
        <w:t xml:space="preserve"> (bPI)</w:t>
      </w:r>
      <w:r w:rsidR="001544D3" w:rsidRPr="004361B3">
        <w:rPr>
          <w:rFonts w:ascii="Arial" w:hAnsi="Arial" w:cs="Arial"/>
        </w:rPr>
        <w:t xml:space="preserve">, efavirenz or nevirapine, </w:t>
      </w:r>
      <w:r w:rsidR="00EE1B7F">
        <w:rPr>
          <w:rFonts w:ascii="Arial" w:hAnsi="Arial" w:cs="Arial"/>
        </w:rPr>
        <w:t>hepatitis B virus (</w:t>
      </w:r>
      <w:r>
        <w:rPr>
          <w:rFonts w:ascii="Arial" w:hAnsi="Arial" w:cs="Arial"/>
        </w:rPr>
        <w:t>HBV</w:t>
      </w:r>
      <w:r w:rsidR="00EE1B7F">
        <w:rPr>
          <w:rFonts w:ascii="Arial" w:hAnsi="Arial" w:cs="Arial"/>
        </w:rPr>
        <w:t>)</w:t>
      </w:r>
      <w:r>
        <w:rPr>
          <w:rFonts w:ascii="Arial" w:hAnsi="Arial" w:cs="Arial"/>
        </w:rPr>
        <w:t xml:space="preserve"> and/or </w:t>
      </w:r>
      <w:r w:rsidR="00EE1B7F">
        <w:rPr>
          <w:rFonts w:ascii="Arial" w:hAnsi="Arial" w:cs="Arial"/>
        </w:rPr>
        <w:t>hepatitis C virus (</w:t>
      </w:r>
      <w:r>
        <w:rPr>
          <w:rFonts w:ascii="Arial" w:hAnsi="Arial" w:cs="Arial"/>
        </w:rPr>
        <w:t>HCV</w:t>
      </w:r>
      <w:r w:rsidR="00EE1B7F">
        <w:rPr>
          <w:rFonts w:ascii="Arial" w:hAnsi="Arial" w:cs="Arial"/>
        </w:rPr>
        <w:t>)</w:t>
      </w:r>
      <w:r w:rsidR="001544D3" w:rsidRPr="004361B3">
        <w:rPr>
          <w:rFonts w:ascii="Arial" w:hAnsi="Arial" w:cs="Arial"/>
        </w:rPr>
        <w:t xml:space="preserve"> co-infection, current use of alcohol, </w:t>
      </w:r>
      <w:r w:rsidR="00D76D8E">
        <w:rPr>
          <w:rFonts w:ascii="Arial" w:hAnsi="Arial" w:cs="Arial"/>
        </w:rPr>
        <w:t xml:space="preserve">history of </w:t>
      </w:r>
      <w:r w:rsidR="001544D3" w:rsidRPr="004361B3">
        <w:rPr>
          <w:rFonts w:ascii="Arial" w:hAnsi="Arial" w:cs="Arial"/>
        </w:rPr>
        <w:t>recreational drugs</w:t>
      </w:r>
      <w:r w:rsidR="00EE1B7F">
        <w:rPr>
          <w:rFonts w:ascii="Arial" w:hAnsi="Arial" w:cs="Arial"/>
        </w:rPr>
        <w:t xml:space="preserve"> in the past six</w:t>
      </w:r>
      <w:r w:rsidR="00D76D8E">
        <w:rPr>
          <w:rFonts w:ascii="Arial" w:hAnsi="Arial" w:cs="Arial"/>
        </w:rPr>
        <w:t xml:space="preserve"> months</w:t>
      </w:r>
      <w:r w:rsidR="00EE1B7F">
        <w:rPr>
          <w:rFonts w:ascii="Arial" w:hAnsi="Arial" w:cs="Arial"/>
        </w:rPr>
        <w:t xml:space="preserve">, </w:t>
      </w:r>
      <w:r w:rsidR="00D76D8E">
        <w:rPr>
          <w:rFonts w:ascii="Arial" w:hAnsi="Arial" w:cs="Arial"/>
        </w:rPr>
        <w:t xml:space="preserve">current use of </w:t>
      </w:r>
      <w:r w:rsidR="001544D3" w:rsidRPr="004361B3">
        <w:rPr>
          <w:rFonts w:ascii="Arial" w:hAnsi="Arial" w:cs="Arial"/>
        </w:rPr>
        <w:t>lipid lowering drugs</w:t>
      </w:r>
      <w:r w:rsidR="00187F28">
        <w:rPr>
          <w:rFonts w:ascii="Arial" w:hAnsi="Arial" w:cs="Arial"/>
        </w:rPr>
        <w:t xml:space="preserve">. </w:t>
      </w:r>
      <w:r w:rsidR="00187F28" w:rsidRPr="00187F28">
        <w:rPr>
          <w:rFonts w:ascii="Arial" w:hAnsi="Arial" w:cs="Arial"/>
          <w:i/>
        </w:rPr>
        <w:t>Post hoc</w:t>
      </w:r>
      <w:r w:rsidR="00187F28">
        <w:rPr>
          <w:rFonts w:ascii="Arial" w:hAnsi="Arial" w:cs="Arial"/>
        </w:rPr>
        <w:t xml:space="preserve"> analyses </w:t>
      </w:r>
      <w:r w:rsidR="00EB063B">
        <w:rPr>
          <w:rFonts w:ascii="Arial" w:hAnsi="Arial" w:cs="Arial"/>
        </w:rPr>
        <w:t>to estimate the</w:t>
      </w:r>
      <w:r w:rsidR="00EE1B7F">
        <w:rPr>
          <w:rFonts w:ascii="Arial" w:hAnsi="Arial" w:cs="Arial"/>
        </w:rPr>
        <w:t xml:space="preserve"> body mass index (BMI)</w:t>
      </w:r>
      <w:r w:rsidR="00EB063B">
        <w:rPr>
          <w:rFonts w:ascii="Arial" w:hAnsi="Arial" w:cs="Arial"/>
        </w:rPr>
        <w:t xml:space="preserve"> impact on the association between TFV PK </w:t>
      </w:r>
      <w:r w:rsidR="008B75EB">
        <w:rPr>
          <w:rFonts w:ascii="Arial" w:hAnsi="Arial" w:cs="Arial"/>
        </w:rPr>
        <w:t>parameters and ALT, and stratification of TFV analyses to evaluate the impact of FTC co-adm</w:t>
      </w:r>
      <w:r w:rsidR="00CA7EF4">
        <w:rPr>
          <w:rFonts w:ascii="Arial" w:hAnsi="Arial" w:cs="Arial"/>
        </w:rPr>
        <w:t>inistration were also conducted.</w:t>
      </w:r>
    </w:p>
    <w:p w14:paraId="0B96D31A" w14:textId="7FEBDF22" w:rsidR="00CA7EF4" w:rsidRDefault="00CA7EF4" w:rsidP="00CA7EF4">
      <w:pPr>
        <w:spacing w:before="240" w:after="0" w:line="480" w:lineRule="auto"/>
        <w:rPr>
          <w:rFonts w:ascii="Arial" w:hAnsi="Arial" w:cs="Arial"/>
        </w:rPr>
      </w:pPr>
      <w:r>
        <w:rPr>
          <w:rFonts w:ascii="Arial" w:hAnsi="Arial" w:cs="Arial"/>
        </w:rPr>
        <w:t xml:space="preserve">The analyses of ALT </w:t>
      </w:r>
      <w:r w:rsidR="005930D0">
        <w:rPr>
          <w:rFonts w:ascii="Arial" w:hAnsi="Arial" w:cs="Arial"/>
        </w:rPr>
        <w:t>concentration</w:t>
      </w:r>
      <w:r>
        <w:rPr>
          <w:rFonts w:ascii="Arial" w:hAnsi="Arial" w:cs="Arial"/>
        </w:rPr>
        <w:t xml:space="preserve"> included 488 participants receiving TDF, 452 receiving FTC, 92 receiving ABC and 122 receiving 3TC. </w:t>
      </w:r>
      <w:bookmarkStart w:id="1" w:name="_Hlk3563220"/>
      <w:r>
        <w:rPr>
          <w:rFonts w:ascii="Arial" w:hAnsi="Arial" w:cs="Arial"/>
        </w:rPr>
        <w:t xml:space="preserve">Overall, the median (range) ALT concentration was 30 (6, 99) U/l for those receiving TDF, 30 (6, 99) for those receiving FTC, 27 (8, 89) for those receiving ABC and 27 (7, 89) for those receiving 3TC. </w:t>
      </w:r>
      <w:bookmarkEnd w:id="1"/>
      <w:r w:rsidRPr="009141E7">
        <w:rPr>
          <w:rFonts w:ascii="Arial" w:hAnsi="Arial" w:cs="Arial"/>
        </w:rPr>
        <w:t>In univariate analysis, ALT values</w:t>
      </w:r>
      <w:r>
        <w:rPr>
          <w:rFonts w:ascii="Arial" w:hAnsi="Arial" w:cs="Arial"/>
        </w:rPr>
        <w:t xml:space="preserve"> were</w:t>
      </w:r>
      <w:r w:rsidRPr="009141E7">
        <w:rPr>
          <w:rFonts w:ascii="Arial" w:hAnsi="Arial" w:cs="Arial"/>
        </w:rPr>
        <w:t xml:space="preserve"> inversely correlated with TFV AUC</w:t>
      </w:r>
      <w:r w:rsidRPr="009141E7">
        <w:rPr>
          <w:rFonts w:ascii="Arial" w:hAnsi="Arial" w:cs="Arial"/>
          <w:vertAlign w:val="subscript"/>
        </w:rPr>
        <w:t>24h</w:t>
      </w:r>
      <w:r w:rsidRPr="009141E7">
        <w:rPr>
          <w:rFonts w:ascii="Arial" w:hAnsi="Arial" w:cs="Arial"/>
        </w:rPr>
        <w:t xml:space="preserve"> (p&lt;0.001), C</w:t>
      </w:r>
      <w:r w:rsidRPr="009141E7">
        <w:rPr>
          <w:rFonts w:ascii="Arial" w:hAnsi="Arial" w:cs="Arial"/>
          <w:vertAlign w:val="subscript"/>
        </w:rPr>
        <w:t>max</w:t>
      </w:r>
      <w:r w:rsidRPr="009141E7">
        <w:rPr>
          <w:rFonts w:ascii="Arial" w:hAnsi="Arial" w:cs="Arial"/>
        </w:rPr>
        <w:t xml:space="preserve"> (p&lt;0.001), and C</w:t>
      </w:r>
      <w:r w:rsidRPr="009141E7">
        <w:rPr>
          <w:rFonts w:ascii="Arial" w:hAnsi="Arial" w:cs="Arial"/>
          <w:vertAlign w:val="subscript"/>
        </w:rPr>
        <w:t>24h</w:t>
      </w:r>
      <w:r w:rsidRPr="009141E7">
        <w:rPr>
          <w:rFonts w:ascii="Arial" w:hAnsi="Arial" w:cs="Arial"/>
        </w:rPr>
        <w:t xml:space="preserve"> (p=0.003)</w:t>
      </w:r>
      <w:r>
        <w:rPr>
          <w:rFonts w:ascii="Arial" w:hAnsi="Arial" w:cs="Arial"/>
        </w:rPr>
        <w:t xml:space="preserve"> but the associations were attenuated and became non-signi</w:t>
      </w:r>
      <w:r w:rsidR="00823162">
        <w:rPr>
          <w:rFonts w:ascii="Arial" w:hAnsi="Arial" w:cs="Arial"/>
        </w:rPr>
        <w:t xml:space="preserve">ficant after adjustment for BMI. </w:t>
      </w:r>
      <w:r w:rsidR="00AB6D83">
        <w:rPr>
          <w:rFonts w:ascii="Arial" w:hAnsi="Arial" w:cs="Arial"/>
        </w:rPr>
        <w:t xml:space="preserve">The concomitant use of FTC showed little impact on the association between TFV PK parameters and ALT levels. Lastly, a </w:t>
      </w:r>
      <w:r>
        <w:rPr>
          <w:rFonts w:ascii="Arial" w:hAnsi="Arial" w:cs="Arial"/>
        </w:rPr>
        <w:t>weaker association was observed between FTC PK parameters and ALT values and no associations were observed between ALT values and either ABC or 3TC PK parameters</w:t>
      </w:r>
      <w:r w:rsidR="00823162">
        <w:rPr>
          <w:rFonts w:ascii="Arial" w:hAnsi="Arial" w:cs="Arial"/>
        </w:rPr>
        <w:t xml:space="preserve"> (Table)</w:t>
      </w:r>
      <w:r>
        <w:rPr>
          <w:rFonts w:ascii="Arial" w:hAnsi="Arial" w:cs="Arial"/>
        </w:rPr>
        <w:t>.</w:t>
      </w:r>
    </w:p>
    <w:p w14:paraId="342D3462" w14:textId="77777777" w:rsidR="00CA7EF4" w:rsidRDefault="00CA7EF4" w:rsidP="00CA7EF4">
      <w:pPr>
        <w:spacing w:before="240" w:after="0" w:line="480" w:lineRule="auto"/>
        <w:rPr>
          <w:rFonts w:ascii="Arial" w:hAnsi="Arial" w:cs="Arial"/>
        </w:rPr>
      </w:pPr>
      <w:r>
        <w:rPr>
          <w:rFonts w:ascii="Arial" w:hAnsi="Arial" w:cs="Arial"/>
        </w:rPr>
        <w:t>eGFR analyses included 533 participants receiving TDF, 495 receiving FTC, 104 receiving ABC and 135 receiving 3TC. Overall, the median (range) eGFR CKD-EPI value (mL/min/1.73m</w:t>
      </w:r>
      <w:r w:rsidRPr="00A93289">
        <w:rPr>
          <w:rFonts w:ascii="Arial" w:hAnsi="Arial" w:cs="Arial"/>
          <w:vertAlign w:val="superscript"/>
        </w:rPr>
        <w:t>2</w:t>
      </w:r>
      <w:r>
        <w:rPr>
          <w:rFonts w:ascii="Arial" w:hAnsi="Arial" w:cs="Arial"/>
        </w:rPr>
        <w:t xml:space="preserve">) was 91 (42, 145) for those receiving TDF, 90 (42, 145) for those receiving FTC, 91 (35, 144) for those receiving ABC and 90 (35, 143) for those receiving 3TC. </w:t>
      </w:r>
    </w:p>
    <w:p w14:paraId="453F6653" w14:textId="015AC110" w:rsidR="00CA7EF4" w:rsidRDefault="00CA7EF4" w:rsidP="00CA7EF4">
      <w:pPr>
        <w:spacing w:before="240" w:after="0" w:line="480" w:lineRule="auto"/>
        <w:rPr>
          <w:rFonts w:ascii="Arial" w:hAnsi="Arial" w:cs="Arial"/>
        </w:rPr>
      </w:pPr>
      <w:r>
        <w:rPr>
          <w:rFonts w:ascii="Arial" w:hAnsi="Arial" w:cs="Arial"/>
        </w:rPr>
        <w:t>eGFR CKD-EPI values strongly correlated with AUC, C</w:t>
      </w:r>
      <w:r w:rsidRPr="00FB5606">
        <w:rPr>
          <w:rFonts w:ascii="Arial" w:hAnsi="Arial" w:cs="Arial"/>
          <w:vertAlign w:val="subscript"/>
        </w:rPr>
        <w:t>max</w:t>
      </w:r>
      <w:r>
        <w:rPr>
          <w:rFonts w:ascii="Arial" w:hAnsi="Arial" w:cs="Arial"/>
        </w:rPr>
        <w:t>, and C</w:t>
      </w:r>
      <w:r w:rsidR="00131E75">
        <w:rPr>
          <w:rFonts w:ascii="Arial" w:hAnsi="Arial" w:cs="Arial"/>
          <w:vertAlign w:val="subscript"/>
        </w:rPr>
        <w:t>troug</w:t>
      </w:r>
      <w:r w:rsidRPr="00FB5606">
        <w:rPr>
          <w:rFonts w:ascii="Arial" w:hAnsi="Arial" w:cs="Arial"/>
          <w:vertAlign w:val="subscript"/>
        </w:rPr>
        <w:t>h</w:t>
      </w:r>
      <w:r>
        <w:rPr>
          <w:rFonts w:ascii="Arial" w:hAnsi="Arial" w:cs="Arial"/>
        </w:rPr>
        <w:t xml:space="preserve"> for TFV and FTC, both before and after adjusting for </w:t>
      </w:r>
      <w:r w:rsidRPr="005654FF">
        <w:rPr>
          <w:rFonts w:ascii="Arial" w:hAnsi="Arial" w:cs="Arial"/>
        </w:rPr>
        <w:t xml:space="preserve">confounding </w:t>
      </w:r>
      <w:r w:rsidR="005654FF">
        <w:rPr>
          <w:rFonts w:ascii="Arial" w:hAnsi="Arial" w:cs="Arial"/>
        </w:rPr>
        <w:t>factors (Table)</w:t>
      </w:r>
      <w:r w:rsidRPr="005654FF">
        <w:rPr>
          <w:rFonts w:ascii="Arial" w:hAnsi="Arial" w:cs="Arial"/>
        </w:rPr>
        <w:t xml:space="preserve">.  </w:t>
      </w:r>
      <w:r w:rsidR="00131E75" w:rsidRPr="005654FF">
        <w:rPr>
          <w:rFonts w:ascii="Arial" w:hAnsi="Arial" w:cs="Arial"/>
        </w:rPr>
        <w:t>In</w:t>
      </w:r>
      <w:r w:rsidR="00131E75">
        <w:rPr>
          <w:rFonts w:ascii="Arial" w:hAnsi="Arial" w:cs="Arial"/>
        </w:rPr>
        <w:t xml:space="preserve"> patients receiving both</w:t>
      </w:r>
      <w:r w:rsidRPr="00131E75">
        <w:rPr>
          <w:rFonts w:ascii="Arial" w:hAnsi="Arial" w:cs="Arial"/>
        </w:rPr>
        <w:t xml:space="preserve"> TDF and FTC</w:t>
      </w:r>
      <w:r w:rsidR="00131E75">
        <w:rPr>
          <w:rFonts w:ascii="Arial" w:hAnsi="Arial" w:cs="Arial"/>
        </w:rPr>
        <w:t xml:space="preserve"> (n=436), </w:t>
      </w:r>
      <w:r w:rsidRPr="00131E75">
        <w:rPr>
          <w:rFonts w:ascii="Arial" w:hAnsi="Arial" w:cs="Arial"/>
        </w:rPr>
        <w:t xml:space="preserve">both TFV and FTC PK parameters </w:t>
      </w:r>
      <w:r w:rsidR="00CB1475">
        <w:rPr>
          <w:rFonts w:ascii="Arial" w:hAnsi="Arial" w:cs="Arial"/>
        </w:rPr>
        <w:t>were</w:t>
      </w:r>
      <w:r w:rsidRPr="00131E75">
        <w:rPr>
          <w:rFonts w:ascii="Arial" w:hAnsi="Arial" w:cs="Arial"/>
        </w:rPr>
        <w:t xml:space="preserve"> independently associated with eGFR CKD-EPI values, suggesting that the associations between eGFR and FTC PK parameters are independent of the concomitant administration of TDF.</w:t>
      </w:r>
    </w:p>
    <w:p w14:paraId="2C454603" w14:textId="7609323B" w:rsidR="00CA7EF4" w:rsidRDefault="00CA7EF4" w:rsidP="00CA7EF4">
      <w:pPr>
        <w:spacing w:before="240" w:after="0" w:line="480" w:lineRule="auto"/>
        <w:rPr>
          <w:rFonts w:ascii="Arial" w:hAnsi="Arial" w:cs="Arial"/>
        </w:rPr>
      </w:pPr>
      <w:r>
        <w:rPr>
          <w:rFonts w:ascii="Arial" w:hAnsi="Arial" w:cs="Arial"/>
        </w:rPr>
        <w:t>Weaker but significant associations were observed between eGFR values and AUC (p=0.03) and C</w:t>
      </w:r>
      <w:r w:rsidR="00131E75">
        <w:rPr>
          <w:rFonts w:ascii="Arial" w:hAnsi="Arial" w:cs="Arial"/>
          <w:vertAlign w:val="subscript"/>
        </w:rPr>
        <w:t>troug</w:t>
      </w:r>
      <w:r w:rsidRPr="00FB5606">
        <w:rPr>
          <w:rFonts w:ascii="Arial" w:hAnsi="Arial" w:cs="Arial"/>
          <w:vertAlign w:val="subscript"/>
        </w:rPr>
        <w:t>h</w:t>
      </w:r>
      <w:r>
        <w:rPr>
          <w:rFonts w:ascii="Arial" w:hAnsi="Arial" w:cs="Arial"/>
        </w:rPr>
        <w:t xml:space="preserve"> (p=0.03) for 3TC, but no clear associations were seen with any of the ABC PK parameters and eGFR values </w:t>
      </w:r>
      <w:r w:rsidRPr="005654FF">
        <w:rPr>
          <w:rFonts w:ascii="Arial" w:hAnsi="Arial" w:cs="Arial"/>
        </w:rPr>
        <w:t>(</w:t>
      </w:r>
      <w:r w:rsidR="005654FF">
        <w:rPr>
          <w:rFonts w:ascii="Arial" w:hAnsi="Arial" w:cs="Arial"/>
        </w:rPr>
        <w:t>Table</w:t>
      </w:r>
      <w:r w:rsidRPr="005654FF">
        <w:rPr>
          <w:rFonts w:ascii="Arial" w:hAnsi="Arial" w:cs="Arial"/>
        </w:rPr>
        <w:t>).</w:t>
      </w:r>
      <w:r>
        <w:rPr>
          <w:rFonts w:ascii="Arial" w:hAnsi="Arial" w:cs="Arial"/>
        </w:rPr>
        <w:t xml:space="preserve"> </w:t>
      </w:r>
    </w:p>
    <w:p w14:paraId="422EC57E" w14:textId="44A2EC9A" w:rsidR="003D15DE" w:rsidRDefault="003D15DE" w:rsidP="00CA7EF4">
      <w:pPr>
        <w:spacing w:before="240" w:after="0" w:line="480" w:lineRule="auto"/>
        <w:rPr>
          <w:rFonts w:ascii="Arial" w:hAnsi="Arial" w:cs="Arial"/>
        </w:rPr>
      </w:pPr>
      <w:r>
        <w:rPr>
          <w:rFonts w:ascii="Arial" w:hAnsi="Arial" w:cs="Arial"/>
        </w:rPr>
        <w:t>Although t</w:t>
      </w:r>
      <w:r w:rsidR="00CA7EF4" w:rsidRPr="002F7BEE">
        <w:rPr>
          <w:rFonts w:ascii="Arial" w:hAnsi="Arial" w:cs="Arial"/>
        </w:rPr>
        <w:t>his</w:t>
      </w:r>
      <w:r w:rsidR="00CA7EF4">
        <w:rPr>
          <w:rFonts w:ascii="Arial" w:hAnsi="Arial" w:cs="Arial"/>
        </w:rPr>
        <w:t xml:space="preserve"> is the first study to investigate the plasma exposure of NRTIs in a large cohort of patients who are ageing with HIV and are on stable cART</w:t>
      </w:r>
      <w:r>
        <w:rPr>
          <w:rFonts w:ascii="Arial" w:hAnsi="Arial" w:cs="Arial"/>
        </w:rPr>
        <w:t xml:space="preserve">, it has some limitations. Firstly, we used only ALT and eGFR to assess liver dysfunction and renal function, respectively. These surrogate biomarkers may not fully reflect changes in liver and renal function. Furthermore, this is a cross-sectional study; therefore, we cannot establish the direction of the associations or identify whether the higher TFV concentrations were leading to eGFR changes or </w:t>
      </w:r>
      <w:r w:rsidRPr="003D15DE">
        <w:rPr>
          <w:rFonts w:ascii="Arial" w:hAnsi="Arial" w:cs="Arial"/>
          <w:i/>
        </w:rPr>
        <w:t>vice versa</w:t>
      </w:r>
      <w:r>
        <w:rPr>
          <w:rFonts w:ascii="Arial" w:hAnsi="Arial" w:cs="Arial"/>
        </w:rPr>
        <w:t>. However, the population studied was stable on their cART, suggesting that manifestations of drug toxicity leading to drug switch/discontinuation were not imminent</w:t>
      </w:r>
      <w:r w:rsidR="001A1B41">
        <w:rPr>
          <w:rFonts w:ascii="Arial" w:hAnsi="Arial" w:cs="Arial"/>
        </w:rPr>
        <w:t>.</w:t>
      </w:r>
    </w:p>
    <w:p w14:paraId="1589199E" w14:textId="275F709A" w:rsidR="004361B3" w:rsidRPr="004361B3" w:rsidRDefault="001A1B41" w:rsidP="00395A80">
      <w:pPr>
        <w:spacing w:before="240" w:after="0" w:line="480" w:lineRule="auto"/>
        <w:rPr>
          <w:rFonts w:ascii="Arial" w:hAnsi="Arial" w:cs="Arial"/>
        </w:rPr>
      </w:pPr>
      <w:r>
        <w:rPr>
          <w:rFonts w:ascii="Arial" w:hAnsi="Arial" w:cs="Arial"/>
        </w:rPr>
        <w:t>In conclusion, w</w:t>
      </w:r>
      <w:r w:rsidR="00CA7EF4">
        <w:rPr>
          <w:rFonts w:ascii="Arial" w:hAnsi="Arial" w:cs="Arial"/>
        </w:rPr>
        <w:t xml:space="preserve">hile we observed no consistent associations between plasma concentrations of NRTIs and ALT results after adjusting for confounding factors, higher plasma PK parameters of TFV, FTC and 3TC but not ABC were associated with lower eGFR. This suggests that altered liver function tests, which are a common finding in </w:t>
      </w:r>
      <w:r>
        <w:rPr>
          <w:rFonts w:ascii="Arial" w:hAnsi="Arial" w:cs="Arial"/>
        </w:rPr>
        <w:t>people living with HIV (PLWH)</w:t>
      </w:r>
      <w:r w:rsidR="00CA7EF4">
        <w:rPr>
          <w:rFonts w:ascii="Arial" w:hAnsi="Arial" w:cs="Arial"/>
        </w:rPr>
        <w:t xml:space="preserve"> [</w:t>
      </w:r>
      <w:r w:rsidR="00F852C3">
        <w:rPr>
          <w:rFonts w:ascii="Arial" w:hAnsi="Arial" w:cs="Arial"/>
        </w:rPr>
        <w:t>10</w:t>
      </w:r>
      <w:r w:rsidR="00CA7EF4">
        <w:rPr>
          <w:rFonts w:ascii="Arial" w:hAnsi="Arial" w:cs="Arial"/>
        </w:rPr>
        <w:t xml:space="preserve">] </w:t>
      </w:r>
      <w:r w:rsidR="00CB1475">
        <w:rPr>
          <w:rFonts w:ascii="Arial" w:hAnsi="Arial" w:cs="Arial"/>
        </w:rPr>
        <w:t>may not</w:t>
      </w:r>
      <w:r w:rsidR="00CA7EF4">
        <w:rPr>
          <w:rFonts w:ascii="Arial" w:hAnsi="Arial" w:cs="Arial"/>
        </w:rPr>
        <w:t xml:space="preserve"> be a consequence </w:t>
      </w:r>
      <w:r w:rsidR="0019219B">
        <w:rPr>
          <w:rFonts w:ascii="Arial" w:hAnsi="Arial" w:cs="Arial"/>
        </w:rPr>
        <w:t>of</w:t>
      </w:r>
      <w:r w:rsidR="00CA7EF4">
        <w:rPr>
          <w:rFonts w:ascii="Arial" w:hAnsi="Arial" w:cs="Arial"/>
        </w:rPr>
        <w:t xml:space="preserve"> increased NRTI plasma concentrations. However, a decreased eGFR indicating reduced (glomerular or tubular) excretory capacity of the kidney leads to higher plasma concentrations of </w:t>
      </w:r>
      <w:r>
        <w:rPr>
          <w:rFonts w:ascii="Arial" w:hAnsi="Arial" w:cs="Arial"/>
        </w:rPr>
        <w:t>renally excreted NRTIs (</w:t>
      </w:r>
      <w:r w:rsidR="00CA7EF4">
        <w:rPr>
          <w:rFonts w:ascii="Arial" w:hAnsi="Arial" w:cs="Arial"/>
        </w:rPr>
        <w:t>TFV, FTC and 3TC</w:t>
      </w:r>
      <w:r>
        <w:rPr>
          <w:rFonts w:ascii="Arial" w:hAnsi="Arial" w:cs="Arial"/>
        </w:rPr>
        <w:t>)</w:t>
      </w:r>
      <w:r w:rsidR="00CA7EF4">
        <w:rPr>
          <w:rFonts w:ascii="Arial" w:hAnsi="Arial" w:cs="Arial"/>
        </w:rPr>
        <w:t xml:space="preserve"> and this may be taken into consideration when providing clinical care to ageing PLWH on po</w:t>
      </w:r>
      <w:r>
        <w:rPr>
          <w:rFonts w:ascii="Arial" w:hAnsi="Arial" w:cs="Arial"/>
        </w:rPr>
        <w:t xml:space="preserve">lypharmacy and </w:t>
      </w:r>
      <w:r w:rsidR="00CA7EF4">
        <w:rPr>
          <w:rFonts w:ascii="Arial" w:hAnsi="Arial" w:cs="Arial"/>
        </w:rPr>
        <w:t xml:space="preserve">experiencing drug toxicity. </w:t>
      </w:r>
      <w:r w:rsidR="004361B3" w:rsidRPr="004361B3">
        <w:rPr>
          <w:rFonts w:ascii="Arial" w:hAnsi="Arial" w:cs="Arial"/>
        </w:rPr>
        <w:br w:type="page"/>
      </w:r>
    </w:p>
    <w:p w14:paraId="47A887C8" w14:textId="77777777" w:rsidR="00995FB7" w:rsidRPr="00BA0CB7" w:rsidRDefault="00920B64" w:rsidP="004758EC">
      <w:pPr>
        <w:spacing w:line="480" w:lineRule="auto"/>
        <w:rPr>
          <w:rFonts w:ascii="Arial" w:hAnsi="Arial" w:cs="Arial"/>
          <w:b/>
        </w:rPr>
      </w:pPr>
      <w:r w:rsidRPr="00BA0CB7">
        <w:rPr>
          <w:rFonts w:ascii="Arial" w:hAnsi="Arial" w:cs="Arial"/>
          <w:b/>
        </w:rPr>
        <w:t>References</w:t>
      </w:r>
    </w:p>
    <w:p w14:paraId="7169755B" w14:textId="2D007DA4" w:rsidR="00A966E4" w:rsidRPr="00BE4DF8" w:rsidRDefault="00920B64" w:rsidP="00A966E4">
      <w:pPr>
        <w:widowControl w:val="0"/>
        <w:autoSpaceDE w:val="0"/>
        <w:autoSpaceDN w:val="0"/>
        <w:adjustRightInd w:val="0"/>
        <w:spacing w:line="480" w:lineRule="auto"/>
        <w:rPr>
          <w:rFonts w:ascii="Arial" w:hAnsi="Arial" w:cs="Arial"/>
          <w:noProof/>
          <w:szCs w:val="24"/>
        </w:rPr>
      </w:pPr>
      <w:r w:rsidRPr="004361B3">
        <w:rPr>
          <w:rFonts w:ascii="Arial" w:hAnsi="Arial" w:cs="Arial"/>
        </w:rPr>
        <w:fldChar w:fldCharType="begin" w:fldLock="1"/>
      </w:r>
      <w:r w:rsidRPr="004361B3">
        <w:rPr>
          <w:rFonts w:ascii="Arial" w:hAnsi="Arial" w:cs="Arial"/>
        </w:rPr>
        <w:instrText xml:space="preserve">ADDIN Mendeley Bibliography CSL_BIBLIOGRAPHY </w:instrText>
      </w:r>
      <w:r w:rsidRPr="004361B3">
        <w:rPr>
          <w:rFonts w:ascii="Arial" w:hAnsi="Arial" w:cs="Arial"/>
        </w:rPr>
        <w:fldChar w:fldCharType="separate"/>
      </w:r>
      <w:r w:rsidR="00BE4DF8" w:rsidRPr="00BE4DF8">
        <w:rPr>
          <w:rFonts w:ascii="Arial" w:hAnsi="Arial" w:cs="Arial"/>
          <w:noProof/>
          <w:szCs w:val="24"/>
        </w:rPr>
        <w:t xml:space="preserve">1. </w:t>
      </w:r>
      <w:r w:rsidR="00A966E4" w:rsidRPr="00A966E4">
        <w:rPr>
          <w:rFonts w:ascii="Arial" w:hAnsi="Arial" w:cs="Arial"/>
          <w:noProof/>
          <w:szCs w:val="24"/>
        </w:rPr>
        <w:t>Calcagno A, Nozza S, Muss C,</w:t>
      </w:r>
      <w:r w:rsidR="004F29C6">
        <w:rPr>
          <w:rFonts w:ascii="Arial" w:hAnsi="Arial" w:cs="Arial"/>
          <w:noProof/>
          <w:szCs w:val="24"/>
        </w:rPr>
        <w:t xml:space="preserve"> Celesia BM, Carli F, Piconi S,</w:t>
      </w:r>
      <w:r w:rsidR="00A966E4">
        <w:rPr>
          <w:rFonts w:ascii="Arial" w:hAnsi="Arial" w:cs="Arial"/>
          <w:noProof/>
          <w:szCs w:val="24"/>
        </w:rPr>
        <w:t xml:space="preserve"> </w:t>
      </w:r>
      <w:r w:rsidR="00A966E4" w:rsidRPr="004F29C6">
        <w:rPr>
          <w:rFonts w:ascii="Arial" w:hAnsi="Arial" w:cs="Arial"/>
          <w:i/>
          <w:iCs/>
          <w:noProof/>
          <w:szCs w:val="24"/>
        </w:rPr>
        <w:t>et al</w:t>
      </w:r>
      <w:r w:rsidR="00A966E4">
        <w:rPr>
          <w:rFonts w:ascii="Arial" w:hAnsi="Arial" w:cs="Arial"/>
          <w:noProof/>
          <w:szCs w:val="24"/>
        </w:rPr>
        <w:t xml:space="preserve">. </w:t>
      </w:r>
      <w:r w:rsidR="00A966E4" w:rsidRPr="00AA2E11">
        <w:rPr>
          <w:rFonts w:ascii="Arial" w:hAnsi="Arial" w:cs="Arial"/>
          <w:b/>
          <w:bCs/>
          <w:noProof/>
          <w:szCs w:val="24"/>
        </w:rPr>
        <w:t>Ageing with HIV: a multidisciplinary review</w:t>
      </w:r>
      <w:r w:rsidR="00A966E4" w:rsidRPr="00A966E4">
        <w:rPr>
          <w:rFonts w:ascii="Arial" w:hAnsi="Arial" w:cs="Arial"/>
          <w:noProof/>
          <w:szCs w:val="24"/>
        </w:rPr>
        <w:t>.</w:t>
      </w:r>
      <w:r w:rsidR="00A966E4">
        <w:rPr>
          <w:rFonts w:ascii="Arial" w:hAnsi="Arial" w:cs="Arial"/>
          <w:noProof/>
          <w:szCs w:val="24"/>
        </w:rPr>
        <w:t xml:space="preserve"> </w:t>
      </w:r>
      <w:r w:rsidR="00A966E4" w:rsidRPr="00AF5EFE">
        <w:rPr>
          <w:rFonts w:ascii="Arial" w:hAnsi="Arial" w:cs="Arial"/>
          <w:i/>
          <w:noProof/>
          <w:szCs w:val="24"/>
        </w:rPr>
        <w:t>Infection</w:t>
      </w:r>
      <w:r w:rsidR="00A966E4">
        <w:rPr>
          <w:rFonts w:ascii="Arial" w:hAnsi="Arial" w:cs="Arial"/>
          <w:noProof/>
          <w:szCs w:val="24"/>
        </w:rPr>
        <w:t xml:space="preserve"> 2015;</w:t>
      </w:r>
      <w:r w:rsidR="00A966E4" w:rsidRPr="00AF5EFE">
        <w:rPr>
          <w:rFonts w:ascii="Arial" w:hAnsi="Arial" w:cs="Arial"/>
          <w:b/>
          <w:noProof/>
          <w:szCs w:val="24"/>
        </w:rPr>
        <w:t>43</w:t>
      </w:r>
      <w:r w:rsidR="00A966E4" w:rsidRPr="00A966E4">
        <w:rPr>
          <w:rFonts w:ascii="Arial" w:hAnsi="Arial" w:cs="Arial"/>
          <w:noProof/>
          <w:szCs w:val="24"/>
        </w:rPr>
        <w:t>:509-22.</w:t>
      </w:r>
    </w:p>
    <w:p w14:paraId="644DF22B" w14:textId="7388A97E" w:rsidR="00BE4DF8" w:rsidRPr="00BE4DF8" w:rsidRDefault="00BE4DF8" w:rsidP="00F245F0">
      <w:pPr>
        <w:widowControl w:val="0"/>
        <w:autoSpaceDE w:val="0"/>
        <w:autoSpaceDN w:val="0"/>
        <w:adjustRightInd w:val="0"/>
        <w:spacing w:line="480" w:lineRule="auto"/>
        <w:rPr>
          <w:rFonts w:ascii="Arial" w:hAnsi="Arial" w:cs="Arial"/>
          <w:noProof/>
          <w:szCs w:val="24"/>
        </w:rPr>
      </w:pPr>
      <w:r w:rsidRPr="00BE4DF8">
        <w:rPr>
          <w:rFonts w:ascii="Arial" w:hAnsi="Arial" w:cs="Arial"/>
          <w:noProof/>
          <w:szCs w:val="24"/>
        </w:rPr>
        <w:t xml:space="preserve">2. </w:t>
      </w:r>
      <w:r w:rsidR="00F245F0" w:rsidRPr="00F245F0">
        <w:rPr>
          <w:rFonts w:ascii="Arial" w:hAnsi="Arial" w:cs="Arial"/>
          <w:noProof/>
          <w:szCs w:val="24"/>
        </w:rPr>
        <w:t>Back DJ, Bu</w:t>
      </w:r>
      <w:r w:rsidR="00F245F0">
        <w:rPr>
          <w:rFonts w:ascii="Arial" w:hAnsi="Arial" w:cs="Arial"/>
          <w:noProof/>
          <w:szCs w:val="24"/>
        </w:rPr>
        <w:t xml:space="preserve">rger DM, Flexner CW, Gerber JG. </w:t>
      </w:r>
      <w:r w:rsidR="00F245F0" w:rsidRPr="00AA2E11">
        <w:rPr>
          <w:rFonts w:ascii="Arial" w:hAnsi="Arial" w:cs="Arial"/>
          <w:b/>
          <w:bCs/>
          <w:noProof/>
          <w:szCs w:val="24"/>
        </w:rPr>
        <w:t>The pharmacology of antiretroviral nucleoside and nucleotide reverse transcriptase inhibitors: implications for once-daily dosing</w:t>
      </w:r>
      <w:r w:rsidR="00F245F0" w:rsidRPr="00F245F0">
        <w:rPr>
          <w:rFonts w:ascii="Arial" w:hAnsi="Arial" w:cs="Arial"/>
          <w:noProof/>
          <w:szCs w:val="24"/>
        </w:rPr>
        <w:t>.</w:t>
      </w:r>
      <w:r w:rsidR="00F245F0">
        <w:rPr>
          <w:rFonts w:ascii="Arial" w:hAnsi="Arial" w:cs="Arial"/>
          <w:noProof/>
          <w:szCs w:val="24"/>
        </w:rPr>
        <w:t xml:space="preserve"> </w:t>
      </w:r>
      <w:r w:rsidR="00F245F0" w:rsidRPr="00AF5EFE">
        <w:rPr>
          <w:rFonts w:ascii="Arial" w:hAnsi="Arial" w:cs="Arial"/>
          <w:i/>
          <w:noProof/>
          <w:szCs w:val="24"/>
        </w:rPr>
        <w:t>J Acqui</w:t>
      </w:r>
      <w:r w:rsidR="00AF5EFE" w:rsidRPr="00AF5EFE">
        <w:rPr>
          <w:rFonts w:ascii="Arial" w:hAnsi="Arial" w:cs="Arial"/>
          <w:i/>
          <w:noProof/>
          <w:szCs w:val="24"/>
        </w:rPr>
        <w:t>r Immune Defic Syndr</w:t>
      </w:r>
      <w:r w:rsidR="00F245F0">
        <w:rPr>
          <w:rFonts w:ascii="Arial" w:hAnsi="Arial" w:cs="Arial"/>
          <w:noProof/>
          <w:szCs w:val="24"/>
        </w:rPr>
        <w:t xml:space="preserve"> 2005;</w:t>
      </w:r>
      <w:r w:rsidR="00F245F0" w:rsidRPr="00AF5EFE">
        <w:rPr>
          <w:rFonts w:ascii="Arial" w:hAnsi="Arial" w:cs="Arial"/>
          <w:b/>
          <w:noProof/>
          <w:szCs w:val="24"/>
        </w:rPr>
        <w:t>39</w:t>
      </w:r>
      <w:r w:rsidR="00F245F0">
        <w:rPr>
          <w:rFonts w:ascii="Arial" w:hAnsi="Arial" w:cs="Arial"/>
          <w:noProof/>
          <w:szCs w:val="24"/>
        </w:rPr>
        <w:t>:S1-23.</w:t>
      </w:r>
    </w:p>
    <w:p w14:paraId="1D505588" w14:textId="09BBFD87" w:rsidR="00BE4DF8" w:rsidRPr="00BE4DF8" w:rsidRDefault="00BE4DF8" w:rsidP="008C3037">
      <w:pPr>
        <w:widowControl w:val="0"/>
        <w:autoSpaceDE w:val="0"/>
        <w:autoSpaceDN w:val="0"/>
        <w:adjustRightInd w:val="0"/>
        <w:spacing w:line="480" w:lineRule="auto"/>
        <w:rPr>
          <w:rFonts w:ascii="Arial" w:hAnsi="Arial" w:cs="Arial"/>
          <w:noProof/>
          <w:szCs w:val="24"/>
        </w:rPr>
      </w:pPr>
      <w:r w:rsidRPr="00BE4DF8">
        <w:rPr>
          <w:rFonts w:ascii="Arial" w:hAnsi="Arial" w:cs="Arial"/>
          <w:noProof/>
          <w:szCs w:val="24"/>
        </w:rPr>
        <w:t xml:space="preserve">3. </w:t>
      </w:r>
      <w:r w:rsidR="008C3037" w:rsidRPr="008C3037">
        <w:rPr>
          <w:rFonts w:ascii="Arial" w:hAnsi="Arial" w:cs="Arial"/>
          <w:noProof/>
          <w:szCs w:val="24"/>
        </w:rPr>
        <w:t>Cattaneo D, Minisci D, Baldelli S,</w:t>
      </w:r>
      <w:r w:rsidR="004F29C6">
        <w:rPr>
          <w:rFonts w:ascii="Arial" w:hAnsi="Arial" w:cs="Arial"/>
          <w:noProof/>
          <w:szCs w:val="24"/>
        </w:rPr>
        <w:t xml:space="preserve"> Mazzali C, Giacomelli A, Milazzo L,</w:t>
      </w:r>
      <w:r w:rsidR="008C3037" w:rsidRPr="008C3037">
        <w:rPr>
          <w:rFonts w:ascii="Arial" w:hAnsi="Arial" w:cs="Arial"/>
          <w:noProof/>
          <w:szCs w:val="24"/>
        </w:rPr>
        <w:t xml:space="preserve"> </w:t>
      </w:r>
      <w:r w:rsidR="008C3037" w:rsidRPr="004F29C6">
        <w:rPr>
          <w:rFonts w:ascii="Arial" w:hAnsi="Arial" w:cs="Arial"/>
          <w:i/>
          <w:iCs/>
          <w:noProof/>
          <w:szCs w:val="24"/>
        </w:rPr>
        <w:t>et al</w:t>
      </w:r>
      <w:r w:rsidR="008C3037">
        <w:rPr>
          <w:rFonts w:ascii="Arial" w:hAnsi="Arial" w:cs="Arial"/>
          <w:noProof/>
          <w:szCs w:val="24"/>
        </w:rPr>
        <w:t xml:space="preserve">. </w:t>
      </w:r>
      <w:r w:rsidR="008C3037" w:rsidRPr="00AA2E11">
        <w:rPr>
          <w:rFonts w:ascii="Arial" w:hAnsi="Arial" w:cs="Arial"/>
          <w:b/>
          <w:bCs/>
          <w:noProof/>
          <w:szCs w:val="24"/>
        </w:rPr>
        <w:t>Effect of Cobicistat on Tenofovir Disoproxil Fumarate (TDF): What Is True for TAF May Also Be True for TDF</w:t>
      </w:r>
      <w:r w:rsidR="008C3037" w:rsidRPr="008C3037">
        <w:rPr>
          <w:rFonts w:ascii="Arial" w:hAnsi="Arial" w:cs="Arial"/>
          <w:noProof/>
          <w:szCs w:val="24"/>
        </w:rPr>
        <w:t>.</w:t>
      </w:r>
      <w:r w:rsidR="008C3037">
        <w:rPr>
          <w:rFonts w:ascii="Arial" w:hAnsi="Arial" w:cs="Arial"/>
          <w:noProof/>
          <w:szCs w:val="24"/>
        </w:rPr>
        <w:t xml:space="preserve"> </w:t>
      </w:r>
      <w:r w:rsidR="008C3037" w:rsidRPr="00AF5EFE">
        <w:rPr>
          <w:rFonts w:ascii="Arial" w:hAnsi="Arial" w:cs="Arial"/>
          <w:i/>
          <w:noProof/>
          <w:szCs w:val="24"/>
        </w:rPr>
        <w:t>J Acqui</w:t>
      </w:r>
      <w:r w:rsidR="00AF5EFE" w:rsidRPr="00AF5EFE">
        <w:rPr>
          <w:rFonts w:ascii="Arial" w:hAnsi="Arial" w:cs="Arial"/>
          <w:i/>
          <w:noProof/>
          <w:szCs w:val="24"/>
        </w:rPr>
        <w:t>r Immune Defic Syndr</w:t>
      </w:r>
      <w:r w:rsidR="008C3037">
        <w:rPr>
          <w:rFonts w:ascii="Arial" w:hAnsi="Arial" w:cs="Arial"/>
          <w:noProof/>
          <w:szCs w:val="24"/>
        </w:rPr>
        <w:t xml:space="preserve"> 2018;</w:t>
      </w:r>
      <w:r w:rsidR="008C3037" w:rsidRPr="00AF5EFE">
        <w:rPr>
          <w:rFonts w:ascii="Arial" w:hAnsi="Arial" w:cs="Arial"/>
          <w:b/>
          <w:noProof/>
          <w:szCs w:val="24"/>
        </w:rPr>
        <w:t>77</w:t>
      </w:r>
      <w:r w:rsidR="008C3037" w:rsidRPr="008C3037">
        <w:rPr>
          <w:rFonts w:ascii="Arial" w:hAnsi="Arial" w:cs="Arial"/>
          <w:noProof/>
          <w:szCs w:val="24"/>
        </w:rPr>
        <w:t>:86-92.</w:t>
      </w:r>
    </w:p>
    <w:p w14:paraId="2DEE0A30" w14:textId="31EC7717" w:rsidR="00BE4DF8" w:rsidRPr="00BE4DF8" w:rsidRDefault="00BE4DF8" w:rsidP="009E0B6D">
      <w:pPr>
        <w:widowControl w:val="0"/>
        <w:autoSpaceDE w:val="0"/>
        <w:autoSpaceDN w:val="0"/>
        <w:adjustRightInd w:val="0"/>
        <w:spacing w:line="480" w:lineRule="auto"/>
        <w:rPr>
          <w:rFonts w:ascii="Arial" w:hAnsi="Arial" w:cs="Arial"/>
          <w:noProof/>
          <w:szCs w:val="24"/>
        </w:rPr>
      </w:pPr>
      <w:r w:rsidRPr="00BE4DF8">
        <w:rPr>
          <w:rFonts w:ascii="Arial" w:hAnsi="Arial" w:cs="Arial"/>
          <w:noProof/>
          <w:szCs w:val="24"/>
        </w:rPr>
        <w:t xml:space="preserve">4. </w:t>
      </w:r>
      <w:r w:rsidR="009E0B6D" w:rsidRPr="009E0B6D">
        <w:rPr>
          <w:rFonts w:ascii="Arial" w:hAnsi="Arial" w:cs="Arial"/>
          <w:noProof/>
          <w:szCs w:val="24"/>
        </w:rPr>
        <w:t>Hill A, H</w:t>
      </w:r>
      <w:r w:rsidR="009E0B6D">
        <w:rPr>
          <w:rFonts w:ascii="Arial" w:hAnsi="Arial" w:cs="Arial"/>
          <w:noProof/>
          <w:szCs w:val="24"/>
        </w:rPr>
        <w:t xml:space="preserve">ughes SL, Gotham D, Pozniak AL. </w:t>
      </w:r>
      <w:r w:rsidR="009E0B6D" w:rsidRPr="00AA2E11">
        <w:rPr>
          <w:rFonts w:ascii="Arial" w:hAnsi="Arial" w:cs="Arial"/>
          <w:b/>
          <w:bCs/>
          <w:noProof/>
          <w:szCs w:val="24"/>
        </w:rPr>
        <w:t>Tenofovir alafenamide versus tenofovir disoproxil fumarate: is there a true difference in efficacy and safety?</w:t>
      </w:r>
      <w:r w:rsidR="009E0B6D">
        <w:rPr>
          <w:rFonts w:ascii="Arial" w:hAnsi="Arial" w:cs="Arial"/>
          <w:noProof/>
          <w:szCs w:val="24"/>
        </w:rPr>
        <w:t xml:space="preserve"> </w:t>
      </w:r>
      <w:r w:rsidR="009E0B6D" w:rsidRPr="009E0B6D">
        <w:rPr>
          <w:rFonts w:ascii="Arial" w:hAnsi="Arial" w:cs="Arial"/>
          <w:i/>
          <w:noProof/>
          <w:szCs w:val="24"/>
        </w:rPr>
        <w:t>J Virus Erad</w:t>
      </w:r>
      <w:r w:rsidR="009E0B6D">
        <w:rPr>
          <w:rFonts w:ascii="Arial" w:hAnsi="Arial" w:cs="Arial"/>
          <w:noProof/>
          <w:szCs w:val="24"/>
        </w:rPr>
        <w:t xml:space="preserve"> 2018;</w:t>
      </w:r>
      <w:r w:rsidR="009E0B6D" w:rsidRPr="009E0B6D">
        <w:rPr>
          <w:rFonts w:ascii="Arial" w:hAnsi="Arial" w:cs="Arial"/>
          <w:b/>
          <w:noProof/>
          <w:szCs w:val="24"/>
        </w:rPr>
        <w:t>4</w:t>
      </w:r>
      <w:r w:rsidR="009E0B6D" w:rsidRPr="009E0B6D">
        <w:rPr>
          <w:rFonts w:ascii="Arial" w:hAnsi="Arial" w:cs="Arial"/>
          <w:noProof/>
          <w:szCs w:val="24"/>
        </w:rPr>
        <w:t>:72-79</w:t>
      </w:r>
      <w:r w:rsidR="009E0B6D">
        <w:rPr>
          <w:rFonts w:ascii="Arial" w:hAnsi="Arial" w:cs="Arial"/>
          <w:noProof/>
          <w:szCs w:val="24"/>
        </w:rPr>
        <w:t>.</w:t>
      </w:r>
    </w:p>
    <w:p w14:paraId="2009ADBA" w14:textId="5BFE45BE" w:rsidR="00BE4DF8" w:rsidRPr="00BE4DF8" w:rsidRDefault="00BE4DF8" w:rsidP="00BE4DF8">
      <w:pPr>
        <w:widowControl w:val="0"/>
        <w:autoSpaceDE w:val="0"/>
        <w:autoSpaceDN w:val="0"/>
        <w:adjustRightInd w:val="0"/>
        <w:spacing w:line="480" w:lineRule="auto"/>
        <w:rPr>
          <w:rFonts w:ascii="Arial" w:hAnsi="Arial" w:cs="Arial"/>
          <w:noProof/>
          <w:szCs w:val="24"/>
        </w:rPr>
      </w:pPr>
      <w:r w:rsidRPr="00BE4DF8">
        <w:rPr>
          <w:rFonts w:ascii="Arial" w:hAnsi="Arial" w:cs="Arial"/>
          <w:noProof/>
          <w:szCs w:val="24"/>
        </w:rPr>
        <w:t xml:space="preserve">5. Margolis AM, Heverling H, Pham PA, Stolbach A. </w:t>
      </w:r>
      <w:r w:rsidRPr="00AA2E11">
        <w:rPr>
          <w:rFonts w:ascii="Arial" w:hAnsi="Arial" w:cs="Arial"/>
          <w:b/>
          <w:bCs/>
          <w:noProof/>
          <w:szCs w:val="24"/>
        </w:rPr>
        <w:t>A Review of the Toxicity of HIV Medications</w:t>
      </w:r>
      <w:r w:rsidRPr="00BE4DF8">
        <w:rPr>
          <w:rFonts w:ascii="Arial" w:hAnsi="Arial" w:cs="Arial"/>
          <w:noProof/>
          <w:szCs w:val="24"/>
        </w:rPr>
        <w:t xml:space="preserve">. </w:t>
      </w:r>
      <w:r w:rsidRPr="00BE4DF8">
        <w:rPr>
          <w:rFonts w:ascii="Arial" w:hAnsi="Arial" w:cs="Arial"/>
          <w:i/>
          <w:iCs/>
          <w:noProof/>
          <w:szCs w:val="24"/>
        </w:rPr>
        <w:t>J Med Toxicol</w:t>
      </w:r>
      <w:r w:rsidR="009E0B6D">
        <w:rPr>
          <w:rFonts w:ascii="Arial" w:hAnsi="Arial" w:cs="Arial"/>
          <w:noProof/>
          <w:szCs w:val="24"/>
        </w:rPr>
        <w:t xml:space="preserve"> 2014;</w:t>
      </w:r>
      <w:r w:rsidRPr="00BE4DF8">
        <w:rPr>
          <w:rFonts w:ascii="Arial" w:hAnsi="Arial" w:cs="Arial"/>
          <w:b/>
          <w:bCs/>
          <w:noProof/>
          <w:szCs w:val="24"/>
        </w:rPr>
        <w:t>10</w:t>
      </w:r>
      <w:r w:rsidR="009E0B6D">
        <w:rPr>
          <w:rFonts w:ascii="Arial" w:hAnsi="Arial" w:cs="Arial"/>
          <w:noProof/>
          <w:szCs w:val="24"/>
        </w:rPr>
        <w:t>:</w:t>
      </w:r>
      <w:r w:rsidRPr="00BE4DF8">
        <w:rPr>
          <w:rFonts w:ascii="Arial" w:hAnsi="Arial" w:cs="Arial"/>
          <w:noProof/>
          <w:szCs w:val="24"/>
        </w:rPr>
        <w:t>26.</w:t>
      </w:r>
    </w:p>
    <w:p w14:paraId="3C125AC5" w14:textId="37C9B689" w:rsidR="00BE4DF8" w:rsidRPr="00BE4DF8" w:rsidRDefault="00BE4DF8" w:rsidP="00BE4DF8">
      <w:pPr>
        <w:widowControl w:val="0"/>
        <w:autoSpaceDE w:val="0"/>
        <w:autoSpaceDN w:val="0"/>
        <w:adjustRightInd w:val="0"/>
        <w:spacing w:line="480" w:lineRule="auto"/>
        <w:rPr>
          <w:rFonts w:ascii="Arial" w:hAnsi="Arial" w:cs="Arial"/>
          <w:noProof/>
          <w:szCs w:val="24"/>
        </w:rPr>
      </w:pPr>
      <w:r w:rsidRPr="00BE4DF8">
        <w:rPr>
          <w:rFonts w:ascii="Arial" w:hAnsi="Arial" w:cs="Arial"/>
          <w:noProof/>
          <w:szCs w:val="24"/>
        </w:rPr>
        <w:t xml:space="preserve">6. Pezzani MD, Resnati C, Di Cristo V, Riva A, Gervasoni C. </w:t>
      </w:r>
      <w:r w:rsidRPr="00AA2E11">
        <w:rPr>
          <w:rFonts w:ascii="Arial" w:hAnsi="Arial" w:cs="Arial"/>
          <w:b/>
          <w:bCs/>
          <w:noProof/>
          <w:szCs w:val="24"/>
        </w:rPr>
        <w:t>Abacavir-induced liver toxicity.</w:t>
      </w:r>
      <w:r w:rsidRPr="00BE4DF8">
        <w:rPr>
          <w:rFonts w:ascii="Arial" w:hAnsi="Arial" w:cs="Arial"/>
          <w:noProof/>
          <w:szCs w:val="24"/>
        </w:rPr>
        <w:t xml:space="preserve"> </w:t>
      </w:r>
      <w:r w:rsidRPr="00BE4DF8">
        <w:rPr>
          <w:rFonts w:ascii="Arial" w:hAnsi="Arial" w:cs="Arial"/>
          <w:i/>
          <w:iCs/>
          <w:noProof/>
          <w:szCs w:val="24"/>
        </w:rPr>
        <w:t>Brazilian J Infect Dis</w:t>
      </w:r>
      <w:r w:rsidR="009E0B6D">
        <w:rPr>
          <w:rFonts w:ascii="Arial" w:hAnsi="Arial" w:cs="Arial"/>
          <w:noProof/>
          <w:szCs w:val="24"/>
        </w:rPr>
        <w:t xml:space="preserve"> 2016;</w:t>
      </w:r>
      <w:r w:rsidRPr="00BE4DF8">
        <w:rPr>
          <w:rFonts w:ascii="Arial" w:hAnsi="Arial" w:cs="Arial"/>
          <w:b/>
          <w:bCs/>
          <w:noProof/>
          <w:szCs w:val="24"/>
        </w:rPr>
        <w:t>20</w:t>
      </w:r>
      <w:r w:rsidR="009E0B6D">
        <w:rPr>
          <w:rFonts w:ascii="Arial" w:hAnsi="Arial" w:cs="Arial"/>
          <w:noProof/>
          <w:szCs w:val="24"/>
        </w:rPr>
        <w:t>:</w:t>
      </w:r>
      <w:r w:rsidRPr="00BE4DF8">
        <w:rPr>
          <w:rFonts w:ascii="Arial" w:hAnsi="Arial" w:cs="Arial"/>
          <w:noProof/>
          <w:szCs w:val="24"/>
        </w:rPr>
        <w:t>502–4.</w:t>
      </w:r>
    </w:p>
    <w:p w14:paraId="2DB7A6F4" w14:textId="38F35DBE" w:rsidR="00BE4DF8" w:rsidRPr="00BE4DF8" w:rsidRDefault="005D1775" w:rsidP="00BE4DF8">
      <w:pPr>
        <w:widowControl w:val="0"/>
        <w:autoSpaceDE w:val="0"/>
        <w:autoSpaceDN w:val="0"/>
        <w:adjustRightInd w:val="0"/>
        <w:spacing w:line="480" w:lineRule="auto"/>
        <w:rPr>
          <w:rFonts w:ascii="Arial" w:hAnsi="Arial" w:cs="Arial"/>
          <w:noProof/>
          <w:szCs w:val="24"/>
        </w:rPr>
      </w:pPr>
      <w:r>
        <w:rPr>
          <w:rFonts w:ascii="Arial" w:hAnsi="Arial" w:cs="Arial"/>
          <w:noProof/>
          <w:szCs w:val="24"/>
        </w:rPr>
        <w:t>7</w:t>
      </w:r>
      <w:r w:rsidR="00BE4DF8" w:rsidRPr="00BE4DF8">
        <w:rPr>
          <w:rFonts w:ascii="Arial" w:hAnsi="Arial" w:cs="Arial"/>
          <w:noProof/>
          <w:szCs w:val="24"/>
        </w:rPr>
        <w:t>. Bagkeris E, Burgess L, Mallon PW,</w:t>
      </w:r>
      <w:r w:rsidR="004F29C6">
        <w:rPr>
          <w:rFonts w:ascii="Arial" w:hAnsi="Arial" w:cs="Arial"/>
          <w:noProof/>
          <w:szCs w:val="24"/>
        </w:rPr>
        <w:t xml:space="preserve"> Post FA, Boffito M, Sachikonye M,</w:t>
      </w:r>
      <w:r w:rsidR="00BE4DF8" w:rsidRPr="00BE4DF8">
        <w:rPr>
          <w:rFonts w:ascii="Arial" w:hAnsi="Arial" w:cs="Arial"/>
          <w:noProof/>
          <w:szCs w:val="24"/>
        </w:rPr>
        <w:t xml:space="preserve"> </w:t>
      </w:r>
      <w:r w:rsidR="00BE4DF8" w:rsidRPr="00BE4DF8">
        <w:rPr>
          <w:rFonts w:ascii="Arial" w:hAnsi="Arial" w:cs="Arial"/>
          <w:i/>
          <w:iCs/>
          <w:noProof/>
          <w:szCs w:val="24"/>
        </w:rPr>
        <w:t>et al.</w:t>
      </w:r>
      <w:r w:rsidR="00BE4DF8" w:rsidRPr="00BE4DF8">
        <w:rPr>
          <w:rFonts w:ascii="Arial" w:hAnsi="Arial" w:cs="Arial"/>
          <w:noProof/>
          <w:szCs w:val="24"/>
        </w:rPr>
        <w:t xml:space="preserve"> Cohort profile: </w:t>
      </w:r>
      <w:r w:rsidR="00BE4DF8" w:rsidRPr="00AA2E11">
        <w:rPr>
          <w:rFonts w:ascii="Arial" w:hAnsi="Arial" w:cs="Arial"/>
          <w:b/>
          <w:bCs/>
          <w:noProof/>
          <w:szCs w:val="24"/>
        </w:rPr>
        <w:t>The Pharmacokinetic and clinical Observations in PeoPle over fiftY (POPPY) study</w:t>
      </w:r>
      <w:r w:rsidR="00BE4DF8" w:rsidRPr="00BE4DF8">
        <w:rPr>
          <w:rFonts w:ascii="Arial" w:hAnsi="Arial" w:cs="Arial"/>
          <w:noProof/>
          <w:szCs w:val="24"/>
        </w:rPr>
        <w:t xml:space="preserve">. </w:t>
      </w:r>
      <w:r w:rsidR="00BE4DF8" w:rsidRPr="00BE4DF8">
        <w:rPr>
          <w:rFonts w:ascii="Arial" w:hAnsi="Arial" w:cs="Arial"/>
          <w:i/>
          <w:iCs/>
          <w:noProof/>
          <w:szCs w:val="24"/>
        </w:rPr>
        <w:t>Int J Epidemiol</w:t>
      </w:r>
      <w:r w:rsidR="009E0B6D">
        <w:rPr>
          <w:rFonts w:ascii="Arial" w:hAnsi="Arial" w:cs="Arial"/>
          <w:noProof/>
          <w:szCs w:val="24"/>
        </w:rPr>
        <w:t xml:space="preserve"> 2018;</w:t>
      </w:r>
      <w:r w:rsidR="00BE4DF8" w:rsidRPr="00BE4DF8">
        <w:rPr>
          <w:rFonts w:ascii="Arial" w:hAnsi="Arial" w:cs="Arial"/>
          <w:b/>
          <w:bCs/>
          <w:noProof/>
          <w:szCs w:val="24"/>
        </w:rPr>
        <w:t>47</w:t>
      </w:r>
      <w:r w:rsidR="009E0B6D">
        <w:rPr>
          <w:rFonts w:ascii="Arial" w:hAnsi="Arial" w:cs="Arial"/>
          <w:noProof/>
          <w:szCs w:val="24"/>
        </w:rPr>
        <w:t>:</w:t>
      </w:r>
      <w:r w:rsidR="00BE4DF8" w:rsidRPr="00BE4DF8">
        <w:rPr>
          <w:rFonts w:ascii="Arial" w:hAnsi="Arial" w:cs="Arial"/>
          <w:noProof/>
          <w:szCs w:val="24"/>
        </w:rPr>
        <w:t xml:space="preserve">1391-1392e. </w:t>
      </w:r>
    </w:p>
    <w:p w14:paraId="798CA9CA" w14:textId="7093E683" w:rsidR="00BE4DF8" w:rsidRPr="00BE4DF8" w:rsidRDefault="005D1775" w:rsidP="001F5315">
      <w:pPr>
        <w:widowControl w:val="0"/>
        <w:autoSpaceDE w:val="0"/>
        <w:autoSpaceDN w:val="0"/>
        <w:adjustRightInd w:val="0"/>
        <w:spacing w:line="480" w:lineRule="auto"/>
        <w:rPr>
          <w:rFonts w:ascii="Arial" w:hAnsi="Arial" w:cs="Arial"/>
          <w:noProof/>
          <w:szCs w:val="24"/>
        </w:rPr>
      </w:pPr>
      <w:r>
        <w:rPr>
          <w:rFonts w:ascii="Arial" w:hAnsi="Arial" w:cs="Arial"/>
          <w:noProof/>
          <w:szCs w:val="24"/>
        </w:rPr>
        <w:t>8</w:t>
      </w:r>
      <w:r w:rsidR="00BE4DF8" w:rsidRPr="00BE4DF8">
        <w:rPr>
          <w:rFonts w:ascii="Arial" w:hAnsi="Arial" w:cs="Arial"/>
          <w:noProof/>
          <w:szCs w:val="24"/>
        </w:rPr>
        <w:t xml:space="preserve">. </w:t>
      </w:r>
      <w:r w:rsidR="001F5315" w:rsidRPr="001F5315">
        <w:rPr>
          <w:rFonts w:ascii="Arial" w:hAnsi="Arial" w:cs="Arial"/>
          <w:noProof/>
          <w:szCs w:val="24"/>
        </w:rPr>
        <w:t>Wang X, Penchala SD, Amara A</w:t>
      </w:r>
      <w:r w:rsidR="001F5315">
        <w:rPr>
          <w:rFonts w:ascii="Arial" w:hAnsi="Arial" w:cs="Arial"/>
          <w:noProof/>
          <w:szCs w:val="24"/>
        </w:rPr>
        <w:t xml:space="preserve">, Else L, McClure M, Boffito M. </w:t>
      </w:r>
      <w:r w:rsidR="001F5315" w:rsidRPr="004F29C6">
        <w:rPr>
          <w:rFonts w:ascii="Arial" w:hAnsi="Arial" w:cs="Arial"/>
          <w:b/>
          <w:bCs/>
          <w:noProof/>
          <w:szCs w:val="24"/>
        </w:rPr>
        <w:t>A Validated Method for Quantification of Dolutegravir Using Ultra Performance Liquid Chromatography Coupled With UV Detection</w:t>
      </w:r>
      <w:r w:rsidR="001F5315" w:rsidRPr="001F5315">
        <w:rPr>
          <w:rFonts w:ascii="Arial" w:hAnsi="Arial" w:cs="Arial"/>
          <w:noProof/>
          <w:szCs w:val="24"/>
        </w:rPr>
        <w:t>.</w:t>
      </w:r>
      <w:r w:rsidR="001F5315">
        <w:rPr>
          <w:rFonts w:ascii="Arial" w:hAnsi="Arial" w:cs="Arial"/>
          <w:noProof/>
          <w:szCs w:val="24"/>
        </w:rPr>
        <w:t xml:space="preserve"> </w:t>
      </w:r>
      <w:r w:rsidR="001F5315" w:rsidRPr="001F5315">
        <w:rPr>
          <w:rFonts w:ascii="Arial" w:hAnsi="Arial" w:cs="Arial"/>
          <w:i/>
          <w:noProof/>
          <w:szCs w:val="24"/>
        </w:rPr>
        <w:t>Ther Drug Monit</w:t>
      </w:r>
      <w:r w:rsidR="001F5315">
        <w:rPr>
          <w:rFonts w:ascii="Arial" w:hAnsi="Arial" w:cs="Arial"/>
          <w:noProof/>
          <w:szCs w:val="24"/>
        </w:rPr>
        <w:t xml:space="preserve"> 2016;</w:t>
      </w:r>
      <w:r w:rsidR="001F5315" w:rsidRPr="001F5315">
        <w:rPr>
          <w:rFonts w:ascii="Arial" w:hAnsi="Arial" w:cs="Arial"/>
          <w:b/>
          <w:noProof/>
          <w:szCs w:val="24"/>
        </w:rPr>
        <w:t>38</w:t>
      </w:r>
      <w:r w:rsidR="001F5315" w:rsidRPr="001F5315">
        <w:rPr>
          <w:rFonts w:ascii="Arial" w:hAnsi="Arial" w:cs="Arial"/>
          <w:noProof/>
          <w:szCs w:val="24"/>
        </w:rPr>
        <w:t>:327-31.</w:t>
      </w:r>
    </w:p>
    <w:p w14:paraId="71064600" w14:textId="55633A13" w:rsidR="00BE4DF8" w:rsidRPr="00BE4DF8" w:rsidRDefault="005D1775" w:rsidP="00BE4DF8">
      <w:pPr>
        <w:widowControl w:val="0"/>
        <w:autoSpaceDE w:val="0"/>
        <w:autoSpaceDN w:val="0"/>
        <w:adjustRightInd w:val="0"/>
        <w:spacing w:line="480" w:lineRule="auto"/>
        <w:rPr>
          <w:rFonts w:ascii="Arial" w:hAnsi="Arial" w:cs="Arial"/>
          <w:noProof/>
          <w:szCs w:val="24"/>
        </w:rPr>
      </w:pPr>
      <w:r>
        <w:rPr>
          <w:rFonts w:ascii="Arial" w:hAnsi="Arial" w:cs="Arial"/>
          <w:noProof/>
          <w:szCs w:val="24"/>
        </w:rPr>
        <w:t>9</w:t>
      </w:r>
      <w:r w:rsidR="00BE4DF8" w:rsidRPr="00BE4DF8">
        <w:rPr>
          <w:rFonts w:ascii="Arial" w:hAnsi="Arial" w:cs="Arial"/>
          <w:noProof/>
          <w:szCs w:val="24"/>
        </w:rPr>
        <w:t xml:space="preserve">. </w:t>
      </w:r>
      <w:r w:rsidR="002A579B">
        <w:rPr>
          <w:rFonts w:ascii="Arial" w:hAnsi="Arial" w:cs="Arial"/>
          <w:noProof/>
          <w:szCs w:val="24"/>
        </w:rPr>
        <w:t>Dickinson L, Gurjar R, Stöhr W</w:t>
      </w:r>
      <w:r w:rsidR="002A579B" w:rsidRPr="002A579B">
        <w:rPr>
          <w:rFonts w:ascii="Arial" w:hAnsi="Arial" w:cs="Arial"/>
          <w:noProof/>
          <w:szCs w:val="24"/>
        </w:rPr>
        <w:t>,</w:t>
      </w:r>
      <w:r w:rsidR="002A579B">
        <w:rPr>
          <w:rFonts w:ascii="Arial" w:hAnsi="Arial" w:cs="Arial"/>
          <w:noProof/>
          <w:szCs w:val="24"/>
        </w:rPr>
        <w:t xml:space="preserve"> </w:t>
      </w:r>
      <w:r w:rsidR="001740A3">
        <w:rPr>
          <w:rFonts w:ascii="Arial" w:hAnsi="Arial" w:cs="Arial"/>
          <w:noProof/>
          <w:szCs w:val="24"/>
        </w:rPr>
        <w:t xml:space="preserve">Bonora S, Owen A, D'avolio A, </w:t>
      </w:r>
      <w:r w:rsidR="002A579B" w:rsidRPr="001740A3">
        <w:rPr>
          <w:rFonts w:ascii="Arial" w:hAnsi="Arial" w:cs="Arial"/>
          <w:i/>
          <w:iCs/>
          <w:noProof/>
          <w:szCs w:val="24"/>
        </w:rPr>
        <w:t>et al</w:t>
      </w:r>
      <w:r w:rsidR="002A579B">
        <w:rPr>
          <w:rFonts w:ascii="Arial" w:hAnsi="Arial" w:cs="Arial"/>
          <w:noProof/>
          <w:szCs w:val="24"/>
        </w:rPr>
        <w:t xml:space="preserve">. </w:t>
      </w:r>
      <w:r w:rsidR="002A579B" w:rsidRPr="004F29C6">
        <w:rPr>
          <w:rFonts w:ascii="Arial" w:hAnsi="Arial" w:cs="Arial"/>
          <w:b/>
          <w:bCs/>
          <w:noProof/>
          <w:szCs w:val="24"/>
        </w:rPr>
        <w:t>Population pharmacokinetics and pharmacogenetics of ritonavir-boosted darunavir in the presence of raltegravir or tenofovir disoproxil fumarate/emtricitabine in HIV-infected adults and the relationship with virological response: a sub-study of the NEAT001/ANRS143 randomized trial</w:t>
      </w:r>
      <w:r w:rsidR="002A579B" w:rsidRPr="002A579B">
        <w:rPr>
          <w:rFonts w:ascii="Arial" w:hAnsi="Arial" w:cs="Arial"/>
          <w:noProof/>
          <w:szCs w:val="24"/>
        </w:rPr>
        <w:t>.</w:t>
      </w:r>
      <w:r w:rsidR="002A579B" w:rsidRPr="001E098B">
        <w:rPr>
          <w:rFonts w:ascii="Arial" w:hAnsi="Arial" w:cs="Arial"/>
          <w:i/>
          <w:noProof/>
          <w:szCs w:val="24"/>
        </w:rPr>
        <w:t xml:space="preserve"> J A</w:t>
      </w:r>
      <w:r w:rsidR="001E098B" w:rsidRPr="001E098B">
        <w:rPr>
          <w:rFonts w:ascii="Arial" w:hAnsi="Arial" w:cs="Arial"/>
          <w:i/>
          <w:noProof/>
          <w:szCs w:val="24"/>
        </w:rPr>
        <w:t>ntimicrob Chemother</w:t>
      </w:r>
      <w:r w:rsidR="002A579B">
        <w:rPr>
          <w:rFonts w:ascii="Arial" w:hAnsi="Arial" w:cs="Arial"/>
          <w:noProof/>
          <w:szCs w:val="24"/>
        </w:rPr>
        <w:t xml:space="preserve"> 2019</w:t>
      </w:r>
      <w:r w:rsidR="00215C44">
        <w:rPr>
          <w:rFonts w:ascii="Arial" w:hAnsi="Arial" w:cs="Arial"/>
          <w:noProof/>
          <w:szCs w:val="24"/>
        </w:rPr>
        <w:t>.</w:t>
      </w:r>
    </w:p>
    <w:p w14:paraId="730479B1" w14:textId="3C134FEC" w:rsidR="00BE4DF8" w:rsidRPr="00BE4DF8" w:rsidRDefault="005D1775" w:rsidP="00BE4DF8">
      <w:pPr>
        <w:widowControl w:val="0"/>
        <w:autoSpaceDE w:val="0"/>
        <w:autoSpaceDN w:val="0"/>
        <w:adjustRightInd w:val="0"/>
        <w:spacing w:line="480" w:lineRule="auto"/>
        <w:rPr>
          <w:rFonts w:ascii="Arial" w:hAnsi="Arial" w:cs="Arial"/>
          <w:noProof/>
          <w:szCs w:val="24"/>
        </w:rPr>
      </w:pPr>
      <w:r>
        <w:rPr>
          <w:rFonts w:ascii="Arial" w:hAnsi="Arial" w:cs="Arial"/>
          <w:noProof/>
          <w:szCs w:val="24"/>
        </w:rPr>
        <w:t>10</w:t>
      </w:r>
      <w:r w:rsidR="00215C44">
        <w:rPr>
          <w:rFonts w:ascii="Arial" w:hAnsi="Arial" w:cs="Arial"/>
          <w:noProof/>
          <w:szCs w:val="24"/>
        </w:rPr>
        <w:t>.</w:t>
      </w:r>
      <w:r w:rsidR="00BE4DF8" w:rsidRPr="00BE4DF8">
        <w:rPr>
          <w:rFonts w:ascii="Arial" w:hAnsi="Arial" w:cs="Arial"/>
          <w:noProof/>
          <w:szCs w:val="24"/>
        </w:rPr>
        <w:t xml:space="preserve"> Kovari H, Ledergerber B, Battegay M, </w:t>
      </w:r>
      <w:r w:rsidR="001740A3">
        <w:rPr>
          <w:rFonts w:ascii="Arial" w:hAnsi="Arial" w:cs="Arial"/>
          <w:noProof/>
          <w:szCs w:val="24"/>
        </w:rPr>
        <w:t xml:space="preserve">Raunch A, Hirschel B, Foguena AK, </w:t>
      </w:r>
      <w:r w:rsidR="00BE4DF8" w:rsidRPr="00BE4DF8">
        <w:rPr>
          <w:rFonts w:ascii="Arial" w:hAnsi="Arial" w:cs="Arial"/>
          <w:i/>
          <w:iCs/>
          <w:noProof/>
          <w:szCs w:val="24"/>
        </w:rPr>
        <w:t>et al.</w:t>
      </w:r>
      <w:r w:rsidR="00BE4DF8" w:rsidRPr="00BE4DF8">
        <w:rPr>
          <w:rFonts w:ascii="Arial" w:hAnsi="Arial" w:cs="Arial"/>
          <w:noProof/>
          <w:szCs w:val="24"/>
        </w:rPr>
        <w:t xml:space="preserve"> </w:t>
      </w:r>
      <w:r w:rsidR="00BE4DF8" w:rsidRPr="004F29C6">
        <w:rPr>
          <w:rFonts w:ascii="Arial" w:hAnsi="Arial" w:cs="Arial"/>
          <w:b/>
          <w:bCs/>
          <w:noProof/>
          <w:szCs w:val="24"/>
        </w:rPr>
        <w:t>Incidence and Risk Factors for Chronic Elevation of Alanine Aminotransferase Levels in HIV</w:t>
      </w:r>
      <w:r w:rsidR="00BE4DF8" w:rsidRPr="004F29C6">
        <w:rPr>
          <w:rFonts w:ascii="Cambria Math" w:hAnsi="Cambria Math" w:cs="Cambria Math"/>
          <w:b/>
          <w:bCs/>
          <w:noProof/>
          <w:szCs w:val="24"/>
        </w:rPr>
        <w:t>‐</w:t>
      </w:r>
      <w:r w:rsidR="00BE4DF8" w:rsidRPr="004F29C6">
        <w:rPr>
          <w:rFonts w:ascii="Arial" w:hAnsi="Arial" w:cs="Arial"/>
          <w:b/>
          <w:bCs/>
          <w:noProof/>
          <w:szCs w:val="24"/>
        </w:rPr>
        <w:t>Infected Persons without Hepatitis B or C Virus Co</w:t>
      </w:r>
      <w:r w:rsidR="00BE4DF8" w:rsidRPr="004F29C6">
        <w:rPr>
          <w:rFonts w:ascii="Cambria Math" w:hAnsi="Cambria Math" w:cs="Cambria Math"/>
          <w:b/>
          <w:bCs/>
          <w:noProof/>
          <w:szCs w:val="24"/>
        </w:rPr>
        <w:t>‐</w:t>
      </w:r>
      <w:r w:rsidR="00BE4DF8" w:rsidRPr="004F29C6">
        <w:rPr>
          <w:rFonts w:ascii="Arial" w:hAnsi="Arial" w:cs="Arial"/>
          <w:b/>
          <w:bCs/>
          <w:noProof/>
          <w:szCs w:val="24"/>
        </w:rPr>
        <w:t>Infection</w:t>
      </w:r>
      <w:r w:rsidR="00BE4DF8" w:rsidRPr="00BE4DF8">
        <w:rPr>
          <w:rFonts w:ascii="Arial" w:hAnsi="Arial" w:cs="Arial"/>
          <w:noProof/>
          <w:szCs w:val="24"/>
        </w:rPr>
        <w:t xml:space="preserve">. </w:t>
      </w:r>
      <w:r w:rsidR="00BE4DF8" w:rsidRPr="00BE4DF8">
        <w:rPr>
          <w:rFonts w:ascii="Arial" w:hAnsi="Arial" w:cs="Arial"/>
          <w:i/>
          <w:iCs/>
          <w:noProof/>
          <w:szCs w:val="24"/>
        </w:rPr>
        <w:t>Clin Infect Dis</w:t>
      </w:r>
      <w:r w:rsidR="00143F42">
        <w:rPr>
          <w:rFonts w:ascii="Arial" w:hAnsi="Arial" w:cs="Arial"/>
          <w:noProof/>
          <w:szCs w:val="24"/>
        </w:rPr>
        <w:t xml:space="preserve"> 2010;</w:t>
      </w:r>
      <w:r w:rsidR="00BE4DF8" w:rsidRPr="00BE4DF8">
        <w:rPr>
          <w:rFonts w:ascii="Arial" w:hAnsi="Arial" w:cs="Arial"/>
          <w:b/>
          <w:bCs/>
          <w:noProof/>
          <w:szCs w:val="24"/>
        </w:rPr>
        <w:t>50</w:t>
      </w:r>
      <w:r w:rsidR="00143F42">
        <w:rPr>
          <w:rFonts w:ascii="Arial" w:hAnsi="Arial" w:cs="Arial"/>
          <w:noProof/>
          <w:szCs w:val="24"/>
        </w:rPr>
        <w:t>:</w:t>
      </w:r>
      <w:r w:rsidR="00BE4DF8" w:rsidRPr="00BE4DF8">
        <w:rPr>
          <w:rFonts w:ascii="Arial" w:hAnsi="Arial" w:cs="Arial"/>
          <w:noProof/>
          <w:szCs w:val="24"/>
        </w:rPr>
        <w:t>502–11.</w:t>
      </w:r>
    </w:p>
    <w:p w14:paraId="629C44CC" w14:textId="77777777" w:rsidR="00714B8B" w:rsidRDefault="00920B64" w:rsidP="00E63802">
      <w:pPr>
        <w:spacing w:line="480" w:lineRule="auto"/>
        <w:rPr>
          <w:rFonts w:ascii="Arial" w:hAnsi="Arial" w:cs="Arial"/>
        </w:rPr>
      </w:pPr>
      <w:r w:rsidRPr="004361B3">
        <w:rPr>
          <w:rFonts w:ascii="Arial" w:hAnsi="Arial" w:cs="Arial"/>
        </w:rPr>
        <w:fldChar w:fldCharType="end"/>
      </w:r>
    </w:p>
    <w:p w14:paraId="775BE9CB" w14:textId="77777777" w:rsidR="00714B8B" w:rsidRDefault="00714B8B">
      <w:pPr>
        <w:rPr>
          <w:rFonts w:ascii="Arial" w:hAnsi="Arial" w:cs="Arial"/>
        </w:rPr>
      </w:pPr>
      <w:r>
        <w:rPr>
          <w:rFonts w:ascii="Arial" w:hAnsi="Arial" w:cs="Arial"/>
        </w:rPr>
        <w:br w:type="page"/>
      </w:r>
    </w:p>
    <w:p w14:paraId="221BF1C8" w14:textId="77777777" w:rsidR="00714B8B" w:rsidRDefault="00714B8B" w:rsidP="00714B8B">
      <w:pPr>
        <w:rPr>
          <w:rFonts w:ascii="Arial" w:hAnsi="Arial" w:cs="Arial"/>
          <w:b/>
        </w:rPr>
      </w:pPr>
      <w:r>
        <w:rPr>
          <w:rFonts w:ascii="Arial" w:hAnsi="Arial" w:cs="Arial"/>
          <w:b/>
        </w:rPr>
        <w:t>Funding</w:t>
      </w:r>
    </w:p>
    <w:p w14:paraId="25174473" w14:textId="77777777" w:rsidR="00714B8B" w:rsidRDefault="00714B8B" w:rsidP="00714B8B">
      <w:pPr>
        <w:spacing w:line="480" w:lineRule="auto"/>
        <w:rPr>
          <w:rFonts w:ascii="Arial" w:hAnsi="Arial" w:cs="Arial"/>
        </w:rPr>
      </w:pPr>
      <w:r>
        <w:rPr>
          <w:rFonts w:ascii="Arial" w:hAnsi="Arial" w:cs="Arial"/>
        </w:rPr>
        <w:t>This study was funded by British HIV Association (BHIVA) research grant.</w:t>
      </w:r>
    </w:p>
    <w:p w14:paraId="08A9AB80" w14:textId="77777777" w:rsidR="00714B8B" w:rsidRDefault="00714B8B" w:rsidP="00714B8B">
      <w:pPr>
        <w:spacing w:line="480" w:lineRule="auto"/>
        <w:rPr>
          <w:rFonts w:ascii="Arial" w:hAnsi="Arial" w:cs="Arial"/>
        </w:rPr>
      </w:pPr>
      <w:r w:rsidRPr="00105CDF">
        <w:rPr>
          <w:rFonts w:ascii="Arial" w:hAnsi="Arial" w:cs="Arial"/>
        </w:rPr>
        <w:t xml:space="preserve">The POPPY study was supported by investigator-initiated grants from Bristol-Myers Squibb, Gilead Sciences, Janssen-Cilag, Merck, and ViiV Healthcare (EudraCT Number: 2012-003581-40; Sponsor Protocol Number: CRO1992). </w:t>
      </w:r>
    </w:p>
    <w:p w14:paraId="7024F80F" w14:textId="77777777" w:rsidR="00714B8B" w:rsidRDefault="00714B8B" w:rsidP="00714B8B">
      <w:pPr>
        <w:spacing w:line="480" w:lineRule="auto"/>
        <w:rPr>
          <w:rFonts w:ascii="Arial" w:hAnsi="Arial" w:cs="Arial"/>
        </w:rPr>
      </w:pPr>
      <w:r>
        <w:rPr>
          <w:rFonts w:ascii="Arial" w:hAnsi="Arial" w:cs="Arial"/>
        </w:rPr>
        <w:t xml:space="preserve">This study is independent research funded by the National Institute for Health Research (NIHR) Imperial Biomedical Research Centre (BRC). The views expressed in this publication are those of the authors and not necessarily those of NHS, the NIHR or the Department of Heath. </w:t>
      </w:r>
    </w:p>
    <w:p w14:paraId="554D37E2" w14:textId="77777777" w:rsidR="00714B8B" w:rsidRDefault="00714B8B" w:rsidP="00714B8B">
      <w:pPr>
        <w:rPr>
          <w:rFonts w:ascii="Arial" w:hAnsi="Arial" w:cs="Arial"/>
          <w:b/>
        </w:rPr>
      </w:pPr>
    </w:p>
    <w:p w14:paraId="6D412839" w14:textId="401B8958" w:rsidR="00714B8B" w:rsidRDefault="00714B8B" w:rsidP="00714B8B">
      <w:pPr>
        <w:spacing w:line="480" w:lineRule="auto"/>
        <w:rPr>
          <w:rFonts w:ascii="Arial" w:hAnsi="Arial" w:cs="Arial"/>
          <w:b/>
        </w:rPr>
      </w:pPr>
      <w:r>
        <w:rPr>
          <w:rFonts w:ascii="Arial" w:hAnsi="Arial" w:cs="Arial"/>
          <w:b/>
        </w:rPr>
        <w:br w:type="page"/>
      </w:r>
    </w:p>
    <w:p w14:paraId="297A259D" w14:textId="77777777" w:rsidR="00CA7473" w:rsidRDefault="00714B8B" w:rsidP="00E63802">
      <w:pPr>
        <w:spacing w:line="480" w:lineRule="auto"/>
        <w:rPr>
          <w:rFonts w:ascii="Arial" w:hAnsi="Arial" w:cs="Arial"/>
          <w:b/>
        </w:rPr>
      </w:pPr>
      <w:r w:rsidRPr="008852A8">
        <w:rPr>
          <w:rFonts w:ascii="Arial" w:hAnsi="Arial" w:cs="Arial"/>
          <w:b/>
        </w:rPr>
        <w:t>Legend for Table</w:t>
      </w:r>
    </w:p>
    <w:p w14:paraId="560F77E0" w14:textId="2CFCD2BD" w:rsidR="002F1FBE" w:rsidRDefault="00CA7473" w:rsidP="00463A6A">
      <w:pPr>
        <w:spacing w:line="480" w:lineRule="auto"/>
        <w:rPr>
          <w:rFonts w:ascii="Arial" w:hAnsi="Arial" w:cs="Arial"/>
          <w:b/>
        </w:rPr>
      </w:pPr>
      <w:r w:rsidRPr="003669AB">
        <w:rPr>
          <w:rFonts w:ascii="Arial" w:hAnsi="Arial" w:cs="Arial"/>
        </w:rPr>
        <w:t>M</w:t>
      </w:r>
      <w:r w:rsidRPr="00530049">
        <w:rPr>
          <w:rFonts w:ascii="Arial" w:eastAsia="Times New Roman" w:hAnsi="Arial" w:cs="Arial"/>
          <w:lang w:eastAsia="en-GB"/>
        </w:rPr>
        <w:t xml:space="preserve">ultivariable association between </w:t>
      </w:r>
      <w:r w:rsidR="00360593">
        <w:rPr>
          <w:rFonts w:ascii="Arial" w:eastAsia="Times New Roman" w:hAnsi="Arial" w:cs="Arial"/>
          <w:lang w:eastAsia="en-GB"/>
        </w:rPr>
        <w:t>pharmacokinetic (</w:t>
      </w:r>
      <w:r w:rsidRPr="00530049">
        <w:rPr>
          <w:rFonts w:ascii="Arial" w:eastAsia="Times New Roman" w:hAnsi="Arial" w:cs="Arial"/>
          <w:lang w:eastAsia="en-GB"/>
        </w:rPr>
        <w:t>PK</w:t>
      </w:r>
      <w:r w:rsidR="00360593">
        <w:rPr>
          <w:rFonts w:ascii="Arial" w:eastAsia="Times New Roman" w:hAnsi="Arial" w:cs="Arial"/>
          <w:lang w:eastAsia="en-GB"/>
        </w:rPr>
        <w:t>)</w:t>
      </w:r>
      <w:r w:rsidRPr="00530049">
        <w:rPr>
          <w:rFonts w:ascii="Arial" w:eastAsia="Times New Roman" w:hAnsi="Arial" w:cs="Arial"/>
          <w:lang w:eastAsia="en-GB"/>
        </w:rPr>
        <w:t xml:space="preserve"> parameters for each drug and </w:t>
      </w:r>
      <w:r w:rsidR="00360593">
        <w:rPr>
          <w:rFonts w:ascii="Arial" w:eastAsia="Times New Roman" w:hAnsi="Arial" w:cs="Arial"/>
          <w:lang w:eastAsia="en-GB"/>
        </w:rPr>
        <w:t>alanine trans</w:t>
      </w:r>
      <w:r w:rsidR="002F1FBE">
        <w:rPr>
          <w:rFonts w:ascii="Arial" w:eastAsia="Times New Roman" w:hAnsi="Arial" w:cs="Arial"/>
          <w:lang w:eastAsia="en-GB"/>
        </w:rPr>
        <w:t xml:space="preserve">aminase </w:t>
      </w:r>
      <w:r w:rsidR="00360593">
        <w:rPr>
          <w:rFonts w:ascii="Arial" w:eastAsia="Times New Roman" w:hAnsi="Arial" w:cs="Arial"/>
          <w:lang w:eastAsia="en-GB"/>
        </w:rPr>
        <w:t>(</w:t>
      </w:r>
      <w:r w:rsidRPr="00530049">
        <w:rPr>
          <w:rFonts w:ascii="Arial" w:eastAsia="Times New Roman" w:hAnsi="Arial" w:cs="Arial"/>
          <w:lang w:eastAsia="en-GB"/>
        </w:rPr>
        <w:t>ALT</w:t>
      </w:r>
      <w:r w:rsidR="00360593">
        <w:rPr>
          <w:rFonts w:ascii="Arial" w:eastAsia="Times New Roman" w:hAnsi="Arial" w:cs="Arial"/>
          <w:lang w:eastAsia="en-GB"/>
        </w:rPr>
        <w:t>)</w:t>
      </w:r>
      <w:r w:rsidRPr="00530049">
        <w:rPr>
          <w:rFonts w:ascii="Arial" w:eastAsia="Times New Roman" w:hAnsi="Arial" w:cs="Arial"/>
          <w:lang w:eastAsia="en-GB"/>
        </w:rPr>
        <w:t xml:space="preserve"> </w:t>
      </w:r>
      <w:r w:rsidRPr="00CA7473">
        <w:rPr>
          <w:rFonts w:ascii="Arial" w:eastAsia="Times New Roman" w:hAnsi="Arial" w:cs="Arial"/>
          <w:lang w:eastAsia="en-GB"/>
        </w:rPr>
        <w:t>concentrations</w:t>
      </w:r>
      <w:r w:rsidR="00E30D9B" w:rsidRPr="00F229AC">
        <w:rPr>
          <w:rFonts w:ascii="Arial" w:eastAsia="Times New Roman" w:hAnsi="Arial" w:cs="Arial"/>
          <w:vertAlign w:val="superscript"/>
          <w:lang w:eastAsia="en-GB"/>
        </w:rPr>
        <w:t>1</w:t>
      </w:r>
      <w:r w:rsidRPr="00CA7473">
        <w:rPr>
          <w:rFonts w:ascii="Arial" w:hAnsi="Arial" w:cs="Arial"/>
        </w:rPr>
        <w:t xml:space="preserve"> and between PK parameters for each drug and </w:t>
      </w:r>
      <w:r w:rsidR="002F1FBE">
        <w:rPr>
          <w:rFonts w:ascii="Arial" w:hAnsi="Arial" w:cs="Arial"/>
        </w:rPr>
        <w:t>estimated glomerular filtration rate (</w:t>
      </w:r>
      <w:r w:rsidRPr="00CA7473">
        <w:rPr>
          <w:rFonts w:ascii="Arial" w:hAnsi="Arial" w:cs="Arial"/>
        </w:rPr>
        <w:t>eGFR</w:t>
      </w:r>
      <w:r w:rsidR="002F1FBE">
        <w:rPr>
          <w:rFonts w:ascii="Arial" w:hAnsi="Arial" w:cs="Arial"/>
        </w:rPr>
        <w:t>)</w:t>
      </w:r>
      <w:r w:rsidRPr="00CA7473">
        <w:rPr>
          <w:rFonts w:ascii="Arial" w:hAnsi="Arial" w:cs="Arial"/>
        </w:rPr>
        <w:t xml:space="preserve"> CKD-EPI</w:t>
      </w:r>
      <w:r w:rsidR="002F1FBE">
        <w:rPr>
          <w:rFonts w:ascii="Arial" w:hAnsi="Arial" w:cs="Arial"/>
        </w:rPr>
        <w:t>*</w:t>
      </w:r>
      <w:r w:rsidRPr="00CA7473">
        <w:rPr>
          <w:rFonts w:ascii="Arial" w:hAnsi="Arial" w:cs="Arial"/>
        </w:rPr>
        <w:t xml:space="preserve"> values</w:t>
      </w:r>
      <w:r w:rsidR="00E30D9B" w:rsidRPr="00F229AC">
        <w:rPr>
          <w:rFonts w:ascii="Arial" w:hAnsi="Arial" w:cs="Arial"/>
          <w:vertAlign w:val="superscript"/>
        </w:rPr>
        <w:t>2</w:t>
      </w:r>
      <w:r>
        <w:rPr>
          <w:rFonts w:ascii="Arial" w:hAnsi="Arial" w:cs="Arial"/>
        </w:rPr>
        <w:t>.</w:t>
      </w:r>
      <w:r w:rsidRPr="00CA7473">
        <w:rPr>
          <w:rFonts w:ascii="Arial" w:hAnsi="Arial" w:cs="Arial"/>
          <w:b/>
        </w:rPr>
        <w:t xml:space="preserve"> </w:t>
      </w:r>
    </w:p>
    <w:p w14:paraId="301E5B30" w14:textId="2CEE45E1" w:rsidR="005B1755" w:rsidRPr="00F81EF8" w:rsidRDefault="005B1755" w:rsidP="00463A6A">
      <w:pPr>
        <w:tabs>
          <w:tab w:val="left" w:pos="0"/>
        </w:tabs>
        <w:spacing w:line="480" w:lineRule="auto"/>
        <w:rPr>
          <w:rFonts w:ascii="Arial" w:hAnsi="Arial" w:cs="Arial"/>
        </w:rPr>
      </w:pPr>
      <w:r w:rsidRPr="00F81EF8">
        <w:rPr>
          <w:rFonts w:ascii="Arial" w:hAnsi="Arial" w:cs="Arial"/>
        </w:rPr>
        <w:t>*</w:t>
      </w:r>
      <w:r w:rsidR="002F1FBE" w:rsidRPr="00F81EF8">
        <w:rPr>
          <w:rFonts w:ascii="Arial" w:hAnsi="Arial" w:cs="Arial"/>
        </w:rPr>
        <w:t xml:space="preserve">Chronic Kidney Disease Epidemiology Collaboration (CKD-EPI) </w:t>
      </w:r>
    </w:p>
    <w:p w14:paraId="5EC4D63C" w14:textId="6F8BA79E" w:rsidR="00E30D9B" w:rsidRPr="00E30D9B" w:rsidRDefault="00E30D9B" w:rsidP="00463A6A">
      <w:pPr>
        <w:tabs>
          <w:tab w:val="left" w:pos="2475"/>
        </w:tabs>
        <w:spacing w:line="480" w:lineRule="auto"/>
        <w:rPr>
          <w:rFonts w:ascii="Arial" w:hAnsi="Arial" w:cs="Arial"/>
        </w:rPr>
      </w:pPr>
      <w:r w:rsidRPr="00463A6A">
        <w:rPr>
          <w:rFonts w:ascii="Arial" w:hAnsi="Arial" w:cs="Arial"/>
          <w:vertAlign w:val="superscript"/>
        </w:rPr>
        <w:t>1</w:t>
      </w:r>
      <w:r w:rsidRPr="00E30D9B">
        <w:rPr>
          <w:rFonts w:ascii="Arial" w:hAnsi="Arial" w:cs="Arial"/>
        </w:rPr>
        <w:t>Multivariate models adjusted for age at baseline, gender, ethnicity, use of boosted PIs, efavirenz or nevirapine as part of current regimen, HCV, HBV, current alcohol use, recreational drugs in past 6 months and receipt of lipid lowering drugs</w:t>
      </w:r>
      <w:r w:rsidR="00F229AC">
        <w:rPr>
          <w:rFonts w:ascii="Arial" w:hAnsi="Arial" w:cs="Arial"/>
        </w:rPr>
        <w:t>.</w:t>
      </w:r>
    </w:p>
    <w:p w14:paraId="3DC45A4E" w14:textId="515E0BCC" w:rsidR="00407571" w:rsidRDefault="00463A6A" w:rsidP="000820F6">
      <w:pPr>
        <w:tabs>
          <w:tab w:val="left" w:pos="2475"/>
        </w:tabs>
        <w:spacing w:line="480" w:lineRule="auto"/>
        <w:rPr>
          <w:rFonts w:ascii="Arial" w:hAnsi="Arial" w:cs="Arial"/>
        </w:rPr>
      </w:pPr>
      <w:r w:rsidRPr="00463A6A">
        <w:rPr>
          <w:rFonts w:ascii="Arial" w:hAnsi="Arial" w:cs="Arial"/>
          <w:vertAlign w:val="superscript"/>
        </w:rPr>
        <w:t>2</w:t>
      </w:r>
      <w:r w:rsidRPr="00463A6A">
        <w:rPr>
          <w:rFonts w:ascii="Arial" w:hAnsi="Arial" w:cs="Arial"/>
        </w:rPr>
        <w:t>Multivariate models adjusted for age, gender/race, use of any concomitant medication and use of boosted PIs</w:t>
      </w:r>
      <w:r w:rsidR="00F229AC">
        <w:rPr>
          <w:rFonts w:ascii="Arial" w:hAnsi="Arial" w:cs="Arial"/>
        </w:rPr>
        <w:t>.</w:t>
      </w:r>
    </w:p>
    <w:p w14:paraId="4EAF2292" w14:textId="77777777" w:rsidR="00407571" w:rsidRDefault="00407571" w:rsidP="00463A6A">
      <w:pPr>
        <w:tabs>
          <w:tab w:val="left" w:pos="2475"/>
        </w:tabs>
        <w:spacing w:line="480" w:lineRule="auto"/>
        <w:rPr>
          <w:rFonts w:ascii="Arial" w:hAnsi="Arial" w:cs="Arial"/>
          <w:b/>
        </w:rPr>
        <w:sectPr w:rsidR="00407571" w:rsidSect="00295966">
          <w:footerReference w:type="even" r:id="rId8"/>
          <w:footerReference w:type="default" r:id="rId9"/>
          <w:pgSz w:w="11906" w:h="16838"/>
          <w:pgMar w:top="1440" w:right="1440" w:bottom="1440" w:left="1440" w:header="709" w:footer="709" w:gutter="0"/>
          <w:lnNumType w:countBy="1" w:restart="continuous"/>
          <w:cols w:space="708"/>
          <w:docGrid w:linePitch="360"/>
        </w:sectPr>
      </w:pPr>
    </w:p>
    <w:tbl>
      <w:tblPr>
        <w:tblpPr w:leftFromText="180" w:rightFromText="180" w:vertAnchor="text" w:horzAnchor="page" w:tblpX="829" w:tblpY="-179"/>
        <w:tblW w:w="15171" w:type="dxa"/>
        <w:tblLook w:val="04A0" w:firstRow="1" w:lastRow="0" w:firstColumn="1" w:lastColumn="0" w:noHBand="0" w:noVBand="1"/>
      </w:tblPr>
      <w:tblGrid>
        <w:gridCol w:w="108"/>
        <w:gridCol w:w="1641"/>
        <w:gridCol w:w="108"/>
        <w:gridCol w:w="1986"/>
        <w:gridCol w:w="108"/>
        <w:gridCol w:w="799"/>
        <w:gridCol w:w="108"/>
        <w:gridCol w:w="443"/>
        <w:gridCol w:w="108"/>
        <w:gridCol w:w="1478"/>
        <w:gridCol w:w="108"/>
        <w:gridCol w:w="801"/>
        <w:gridCol w:w="108"/>
        <w:gridCol w:w="443"/>
        <w:gridCol w:w="108"/>
        <w:gridCol w:w="1655"/>
        <w:gridCol w:w="108"/>
        <w:gridCol w:w="443"/>
        <w:gridCol w:w="108"/>
        <w:gridCol w:w="342"/>
        <w:gridCol w:w="108"/>
        <w:gridCol w:w="443"/>
        <w:gridCol w:w="108"/>
        <w:gridCol w:w="1749"/>
        <w:gridCol w:w="108"/>
        <w:gridCol w:w="443"/>
        <w:gridCol w:w="108"/>
        <w:gridCol w:w="334"/>
        <w:gridCol w:w="108"/>
        <w:gridCol w:w="443"/>
        <w:gridCol w:w="108"/>
      </w:tblGrid>
      <w:tr w:rsidR="00260550" w:rsidRPr="00260550" w14:paraId="4344A2FF" w14:textId="77777777" w:rsidTr="009D2941">
        <w:trPr>
          <w:gridAfter w:val="1"/>
          <w:wAfter w:w="108" w:type="dxa"/>
        </w:trPr>
        <w:tc>
          <w:tcPr>
            <w:tcW w:w="1749" w:type="dxa"/>
            <w:gridSpan w:val="2"/>
            <w:tcBorders>
              <w:top w:val="single" w:sz="24" w:space="0" w:color="auto"/>
            </w:tcBorders>
            <w:shd w:val="clear" w:color="auto" w:fill="auto"/>
            <w:vAlign w:val="center"/>
          </w:tcPr>
          <w:p w14:paraId="1C4C3123" w14:textId="56D1DFFC" w:rsidR="00260550" w:rsidRPr="00260550" w:rsidRDefault="009D2941" w:rsidP="00260550">
            <w:pPr>
              <w:spacing w:after="0"/>
              <w:rPr>
                <w:rFonts w:ascii="Arial" w:hAnsi="Arial" w:cs="Arial"/>
                <w:sz w:val="14"/>
                <w:szCs w:val="14"/>
                <w:lang w:eastAsia="en-GB"/>
              </w:rPr>
            </w:pPr>
            <w:r>
              <w:rPr>
                <w:rFonts w:ascii="Arial" w:hAnsi="Arial" w:cs="Arial"/>
                <w:sz w:val="14"/>
                <w:szCs w:val="14"/>
                <w:lang w:eastAsia="en-GB"/>
              </w:rPr>
              <w:t>Multivariate associations with ALT concentrations</w:t>
            </w:r>
          </w:p>
        </w:tc>
        <w:tc>
          <w:tcPr>
            <w:tcW w:w="3552" w:type="dxa"/>
            <w:gridSpan w:val="6"/>
            <w:tcBorders>
              <w:top w:val="single" w:sz="24" w:space="0" w:color="auto"/>
            </w:tcBorders>
          </w:tcPr>
          <w:p w14:paraId="3205DDC3" w14:textId="77777777" w:rsidR="00260550" w:rsidRPr="00260550" w:rsidRDefault="00260550" w:rsidP="00260550">
            <w:pPr>
              <w:spacing w:after="0"/>
              <w:jc w:val="center"/>
              <w:rPr>
                <w:rFonts w:ascii="Arial" w:hAnsi="Arial" w:cs="Arial"/>
                <w:b/>
                <w:sz w:val="14"/>
                <w:szCs w:val="14"/>
                <w:lang w:eastAsia="en-GB"/>
              </w:rPr>
            </w:pPr>
            <w:r w:rsidRPr="00260550">
              <w:rPr>
                <w:rFonts w:ascii="Arial" w:eastAsia="Times New Roman" w:hAnsi="Arial" w:cs="Arial"/>
                <w:b/>
                <w:sz w:val="14"/>
                <w:szCs w:val="14"/>
                <w:lang w:eastAsia="en-GB"/>
              </w:rPr>
              <w:t>TFV</w:t>
            </w:r>
          </w:p>
        </w:tc>
        <w:tc>
          <w:tcPr>
            <w:tcW w:w="3046" w:type="dxa"/>
            <w:gridSpan w:val="6"/>
            <w:tcBorders>
              <w:top w:val="single" w:sz="24" w:space="0" w:color="auto"/>
            </w:tcBorders>
          </w:tcPr>
          <w:p w14:paraId="261957B6" w14:textId="77777777" w:rsidR="00260550" w:rsidRPr="00260550" w:rsidRDefault="00260550" w:rsidP="00260550">
            <w:pPr>
              <w:spacing w:after="0"/>
              <w:jc w:val="center"/>
              <w:rPr>
                <w:rFonts w:ascii="Arial" w:eastAsia="Times New Roman" w:hAnsi="Arial" w:cs="Arial"/>
                <w:b/>
                <w:sz w:val="14"/>
                <w:szCs w:val="14"/>
                <w:lang w:eastAsia="en-GB"/>
              </w:rPr>
            </w:pPr>
            <w:r w:rsidRPr="00260550">
              <w:rPr>
                <w:rFonts w:ascii="Arial" w:eastAsia="Times New Roman" w:hAnsi="Arial" w:cs="Arial"/>
                <w:b/>
                <w:sz w:val="14"/>
                <w:szCs w:val="14"/>
                <w:lang w:eastAsia="en-GB"/>
              </w:rPr>
              <w:t>FTC</w:t>
            </w:r>
          </w:p>
        </w:tc>
        <w:tc>
          <w:tcPr>
            <w:tcW w:w="2314" w:type="dxa"/>
            <w:gridSpan w:val="4"/>
            <w:tcBorders>
              <w:top w:val="single" w:sz="24" w:space="0" w:color="auto"/>
            </w:tcBorders>
          </w:tcPr>
          <w:p w14:paraId="35469ABD" w14:textId="77777777" w:rsidR="00260550" w:rsidRPr="00260550" w:rsidRDefault="00260550" w:rsidP="00260550">
            <w:pPr>
              <w:spacing w:after="0"/>
              <w:jc w:val="center"/>
              <w:rPr>
                <w:rFonts w:ascii="Arial" w:eastAsia="Times New Roman" w:hAnsi="Arial" w:cs="Arial"/>
                <w:b/>
                <w:sz w:val="14"/>
                <w:szCs w:val="14"/>
                <w:lang w:eastAsia="en-GB"/>
              </w:rPr>
            </w:pPr>
            <w:r w:rsidRPr="00260550">
              <w:rPr>
                <w:rFonts w:ascii="Arial" w:eastAsia="Times New Roman" w:hAnsi="Arial" w:cs="Arial"/>
                <w:b/>
                <w:sz w:val="14"/>
                <w:szCs w:val="14"/>
                <w:lang w:eastAsia="en-GB"/>
              </w:rPr>
              <w:t>ABC</w:t>
            </w:r>
          </w:p>
        </w:tc>
        <w:tc>
          <w:tcPr>
            <w:tcW w:w="1001" w:type="dxa"/>
            <w:gridSpan w:val="4"/>
            <w:tcBorders>
              <w:top w:val="single" w:sz="24" w:space="0" w:color="auto"/>
            </w:tcBorders>
          </w:tcPr>
          <w:p w14:paraId="70AB1249" w14:textId="77777777" w:rsidR="00260550" w:rsidRPr="00260550" w:rsidRDefault="00260550" w:rsidP="00260550">
            <w:pPr>
              <w:spacing w:after="0"/>
              <w:jc w:val="center"/>
              <w:rPr>
                <w:rFonts w:ascii="Arial" w:eastAsia="Times New Roman" w:hAnsi="Arial" w:cs="Arial"/>
                <w:b/>
                <w:sz w:val="14"/>
                <w:szCs w:val="14"/>
                <w:lang w:eastAsia="en-GB"/>
              </w:rPr>
            </w:pPr>
          </w:p>
        </w:tc>
        <w:tc>
          <w:tcPr>
            <w:tcW w:w="2408" w:type="dxa"/>
            <w:gridSpan w:val="4"/>
            <w:tcBorders>
              <w:top w:val="single" w:sz="24" w:space="0" w:color="auto"/>
            </w:tcBorders>
          </w:tcPr>
          <w:p w14:paraId="6DE95B40" w14:textId="77777777" w:rsidR="00260550" w:rsidRPr="00260550" w:rsidRDefault="00260550" w:rsidP="00260550">
            <w:pPr>
              <w:spacing w:after="0"/>
              <w:jc w:val="center"/>
              <w:rPr>
                <w:rFonts w:ascii="Arial" w:eastAsia="Times New Roman" w:hAnsi="Arial" w:cs="Arial"/>
                <w:b/>
                <w:sz w:val="14"/>
                <w:szCs w:val="14"/>
                <w:lang w:eastAsia="en-GB"/>
              </w:rPr>
            </w:pPr>
            <w:r w:rsidRPr="00260550">
              <w:rPr>
                <w:rFonts w:ascii="Arial" w:eastAsia="Times New Roman" w:hAnsi="Arial" w:cs="Arial"/>
                <w:b/>
                <w:sz w:val="14"/>
                <w:szCs w:val="14"/>
                <w:lang w:eastAsia="en-GB"/>
              </w:rPr>
              <w:t>3TC</w:t>
            </w:r>
          </w:p>
        </w:tc>
        <w:tc>
          <w:tcPr>
            <w:tcW w:w="993" w:type="dxa"/>
            <w:gridSpan w:val="4"/>
            <w:tcBorders>
              <w:top w:val="single" w:sz="24" w:space="0" w:color="auto"/>
            </w:tcBorders>
            <w:vAlign w:val="center"/>
          </w:tcPr>
          <w:p w14:paraId="2C5E9346" w14:textId="77777777" w:rsidR="00260550" w:rsidRPr="00260550" w:rsidRDefault="00260550" w:rsidP="00260550">
            <w:pPr>
              <w:spacing w:after="0"/>
              <w:jc w:val="center"/>
              <w:rPr>
                <w:rFonts w:ascii="Arial" w:eastAsia="Times New Roman" w:hAnsi="Arial" w:cs="Arial"/>
                <w:b/>
                <w:sz w:val="14"/>
                <w:szCs w:val="14"/>
                <w:lang w:eastAsia="en-GB"/>
              </w:rPr>
            </w:pPr>
          </w:p>
        </w:tc>
      </w:tr>
      <w:tr w:rsidR="009D2941" w:rsidRPr="00260550" w14:paraId="459482D6" w14:textId="77777777" w:rsidTr="009D2941">
        <w:trPr>
          <w:gridAfter w:val="3"/>
          <w:wAfter w:w="659" w:type="dxa"/>
        </w:trPr>
        <w:tc>
          <w:tcPr>
            <w:tcW w:w="1749" w:type="dxa"/>
            <w:gridSpan w:val="2"/>
            <w:shd w:val="clear" w:color="auto" w:fill="auto"/>
            <w:vAlign w:val="center"/>
          </w:tcPr>
          <w:p w14:paraId="3B2DDDD0" w14:textId="77777777" w:rsidR="009D2941" w:rsidRPr="00260550" w:rsidRDefault="009D2941" w:rsidP="00260550">
            <w:pPr>
              <w:spacing w:after="0"/>
              <w:rPr>
                <w:rFonts w:ascii="Arial" w:hAnsi="Arial" w:cs="Arial"/>
                <w:sz w:val="14"/>
                <w:szCs w:val="14"/>
              </w:rPr>
            </w:pPr>
          </w:p>
        </w:tc>
        <w:tc>
          <w:tcPr>
            <w:tcW w:w="2094" w:type="dxa"/>
            <w:gridSpan w:val="2"/>
            <w:shd w:val="clear" w:color="auto" w:fill="auto"/>
            <w:vAlign w:val="center"/>
          </w:tcPr>
          <w:p w14:paraId="3987D124" w14:textId="77777777" w:rsidR="009D2941" w:rsidRPr="00260550" w:rsidRDefault="009D2941" w:rsidP="00260550">
            <w:pPr>
              <w:spacing w:after="0"/>
              <w:jc w:val="center"/>
              <w:rPr>
                <w:rFonts w:ascii="Arial" w:hAnsi="Arial" w:cs="Arial"/>
                <w:b/>
                <w:sz w:val="14"/>
                <w:szCs w:val="14"/>
              </w:rPr>
            </w:pPr>
            <w:r w:rsidRPr="00260550">
              <w:rPr>
                <w:rFonts w:ascii="Arial" w:hAnsi="Arial" w:cs="Arial"/>
                <w:b/>
                <w:sz w:val="14"/>
                <w:szCs w:val="14"/>
                <w:lang w:val="el-GR"/>
              </w:rPr>
              <w:t>β</w:t>
            </w:r>
            <w:r w:rsidRPr="00260550">
              <w:rPr>
                <w:rFonts w:ascii="Arial" w:hAnsi="Arial" w:cs="Arial"/>
                <w:b/>
                <w:sz w:val="14"/>
                <w:szCs w:val="14"/>
              </w:rPr>
              <w:t xml:space="preserve">  (95% CI)</w:t>
            </w:r>
          </w:p>
        </w:tc>
        <w:tc>
          <w:tcPr>
            <w:tcW w:w="907" w:type="dxa"/>
            <w:gridSpan w:val="2"/>
            <w:shd w:val="clear" w:color="auto" w:fill="auto"/>
            <w:vAlign w:val="center"/>
          </w:tcPr>
          <w:p w14:paraId="2A6F2DB8" w14:textId="77777777" w:rsidR="009D2941" w:rsidRPr="00260550" w:rsidRDefault="009D2941" w:rsidP="00260550">
            <w:pPr>
              <w:spacing w:after="0"/>
              <w:jc w:val="center"/>
              <w:rPr>
                <w:rFonts w:ascii="Arial" w:hAnsi="Arial" w:cs="Arial"/>
                <w:b/>
                <w:sz w:val="14"/>
                <w:szCs w:val="14"/>
              </w:rPr>
            </w:pPr>
            <w:r w:rsidRPr="00260550">
              <w:rPr>
                <w:rFonts w:ascii="Arial" w:hAnsi="Arial" w:cs="Arial"/>
                <w:b/>
                <w:sz w:val="14"/>
                <w:szCs w:val="14"/>
              </w:rPr>
              <w:t>p-value</w:t>
            </w:r>
          </w:p>
        </w:tc>
        <w:tc>
          <w:tcPr>
            <w:tcW w:w="2137" w:type="dxa"/>
            <w:gridSpan w:val="4"/>
            <w:vAlign w:val="center"/>
          </w:tcPr>
          <w:p w14:paraId="0639A4F1" w14:textId="77777777" w:rsidR="009D2941" w:rsidRPr="00260550" w:rsidRDefault="009D2941" w:rsidP="00260550">
            <w:pPr>
              <w:spacing w:after="0"/>
              <w:jc w:val="center"/>
              <w:rPr>
                <w:rFonts w:ascii="Arial" w:hAnsi="Arial" w:cs="Arial"/>
                <w:b/>
                <w:sz w:val="14"/>
                <w:szCs w:val="14"/>
              </w:rPr>
            </w:pPr>
            <w:r w:rsidRPr="00260550">
              <w:rPr>
                <w:rFonts w:ascii="Arial" w:hAnsi="Arial" w:cs="Arial"/>
                <w:b/>
                <w:sz w:val="14"/>
                <w:szCs w:val="14"/>
                <w:lang w:val="el-GR"/>
              </w:rPr>
              <w:t>β</w:t>
            </w:r>
            <w:r w:rsidRPr="00260550">
              <w:rPr>
                <w:rFonts w:ascii="Arial" w:hAnsi="Arial" w:cs="Arial"/>
                <w:b/>
                <w:sz w:val="14"/>
                <w:szCs w:val="14"/>
              </w:rPr>
              <w:t xml:space="preserve">  (95% CI)</w:t>
            </w:r>
          </w:p>
        </w:tc>
        <w:tc>
          <w:tcPr>
            <w:tcW w:w="909" w:type="dxa"/>
            <w:gridSpan w:val="2"/>
            <w:vAlign w:val="center"/>
          </w:tcPr>
          <w:p w14:paraId="6C7974C2" w14:textId="77777777" w:rsidR="009D2941" w:rsidRPr="00260550" w:rsidRDefault="009D2941" w:rsidP="00260550">
            <w:pPr>
              <w:spacing w:after="0"/>
              <w:jc w:val="center"/>
              <w:rPr>
                <w:rFonts w:ascii="Arial" w:hAnsi="Arial" w:cs="Arial"/>
                <w:b/>
                <w:sz w:val="14"/>
                <w:szCs w:val="14"/>
              </w:rPr>
            </w:pPr>
            <w:r w:rsidRPr="00260550">
              <w:rPr>
                <w:rFonts w:ascii="Arial" w:hAnsi="Arial" w:cs="Arial"/>
                <w:b/>
                <w:sz w:val="14"/>
                <w:szCs w:val="14"/>
              </w:rPr>
              <w:t>p-value</w:t>
            </w:r>
          </w:p>
        </w:tc>
        <w:tc>
          <w:tcPr>
            <w:tcW w:w="2314" w:type="dxa"/>
            <w:gridSpan w:val="4"/>
            <w:vAlign w:val="center"/>
          </w:tcPr>
          <w:p w14:paraId="0A81340F" w14:textId="77777777" w:rsidR="009D2941" w:rsidRPr="00260550" w:rsidRDefault="009D2941" w:rsidP="00260550">
            <w:pPr>
              <w:spacing w:after="0"/>
              <w:jc w:val="center"/>
              <w:rPr>
                <w:rFonts w:ascii="Arial" w:hAnsi="Arial" w:cs="Arial"/>
                <w:b/>
                <w:sz w:val="14"/>
                <w:szCs w:val="14"/>
              </w:rPr>
            </w:pPr>
            <w:r w:rsidRPr="00260550">
              <w:rPr>
                <w:rFonts w:ascii="Arial" w:hAnsi="Arial" w:cs="Arial"/>
                <w:b/>
                <w:sz w:val="14"/>
                <w:szCs w:val="14"/>
                <w:lang w:val="el-GR"/>
              </w:rPr>
              <w:t>β</w:t>
            </w:r>
            <w:r w:rsidRPr="00260550">
              <w:rPr>
                <w:rFonts w:ascii="Arial" w:hAnsi="Arial" w:cs="Arial"/>
                <w:b/>
                <w:sz w:val="14"/>
                <w:szCs w:val="14"/>
              </w:rPr>
              <w:t xml:space="preserve">  (95% CI)</w:t>
            </w:r>
          </w:p>
        </w:tc>
        <w:tc>
          <w:tcPr>
            <w:tcW w:w="1001" w:type="dxa"/>
            <w:gridSpan w:val="4"/>
            <w:vAlign w:val="center"/>
          </w:tcPr>
          <w:p w14:paraId="19B6E769" w14:textId="77777777" w:rsidR="009D2941" w:rsidRPr="00260550" w:rsidRDefault="009D2941" w:rsidP="00260550">
            <w:pPr>
              <w:spacing w:after="0"/>
              <w:jc w:val="center"/>
              <w:rPr>
                <w:rFonts w:ascii="Arial" w:hAnsi="Arial" w:cs="Arial"/>
                <w:b/>
                <w:sz w:val="14"/>
                <w:szCs w:val="14"/>
              </w:rPr>
            </w:pPr>
            <w:r w:rsidRPr="00260550">
              <w:rPr>
                <w:rFonts w:ascii="Arial" w:hAnsi="Arial" w:cs="Arial"/>
                <w:b/>
                <w:sz w:val="14"/>
                <w:szCs w:val="14"/>
              </w:rPr>
              <w:t>p-value</w:t>
            </w:r>
          </w:p>
        </w:tc>
        <w:tc>
          <w:tcPr>
            <w:tcW w:w="2408" w:type="dxa"/>
            <w:gridSpan w:val="4"/>
            <w:vAlign w:val="center"/>
          </w:tcPr>
          <w:p w14:paraId="18D87752" w14:textId="77777777" w:rsidR="009D2941" w:rsidRPr="00260550" w:rsidRDefault="009D2941" w:rsidP="00260550">
            <w:pPr>
              <w:spacing w:after="0"/>
              <w:jc w:val="center"/>
              <w:rPr>
                <w:rFonts w:ascii="Arial" w:hAnsi="Arial" w:cs="Arial"/>
                <w:b/>
                <w:sz w:val="14"/>
                <w:szCs w:val="14"/>
              </w:rPr>
            </w:pPr>
            <w:r w:rsidRPr="00260550">
              <w:rPr>
                <w:rFonts w:ascii="Arial" w:hAnsi="Arial" w:cs="Arial"/>
                <w:b/>
                <w:sz w:val="14"/>
                <w:szCs w:val="14"/>
                <w:lang w:val="el-GR"/>
              </w:rPr>
              <w:t>β</w:t>
            </w:r>
            <w:r w:rsidRPr="00260550">
              <w:rPr>
                <w:rFonts w:ascii="Arial" w:hAnsi="Arial" w:cs="Arial"/>
                <w:b/>
                <w:sz w:val="14"/>
                <w:szCs w:val="14"/>
              </w:rPr>
              <w:t xml:space="preserve">  (95% CI)</w:t>
            </w:r>
          </w:p>
        </w:tc>
        <w:tc>
          <w:tcPr>
            <w:tcW w:w="993" w:type="dxa"/>
            <w:gridSpan w:val="4"/>
            <w:vAlign w:val="center"/>
          </w:tcPr>
          <w:p w14:paraId="436645E7" w14:textId="77777777" w:rsidR="009D2941" w:rsidRPr="00260550" w:rsidRDefault="009D2941" w:rsidP="00260550">
            <w:pPr>
              <w:spacing w:after="0"/>
              <w:jc w:val="center"/>
              <w:rPr>
                <w:rFonts w:ascii="Arial" w:hAnsi="Arial" w:cs="Arial"/>
                <w:b/>
                <w:sz w:val="14"/>
                <w:szCs w:val="14"/>
              </w:rPr>
            </w:pPr>
            <w:r w:rsidRPr="00260550">
              <w:rPr>
                <w:rFonts w:ascii="Arial" w:hAnsi="Arial" w:cs="Arial"/>
                <w:b/>
                <w:sz w:val="14"/>
                <w:szCs w:val="14"/>
              </w:rPr>
              <w:t>p-value</w:t>
            </w:r>
          </w:p>
        </w:tc>
      </w:tr>
      <w:tr w:rsidR="009D2941" w:rsidRPr="00260550" w14:paraId="01DA7DD9" w14:textId="77777777" w:rsidTr="009D2941">
        <w:trPr>
          <w:gridAfter w:val="3"/>
          <w:wAfter w:w="659" w:type="dxa"/>
        </w:trPr>
        <w:tc>
          <w:tcPr>
            <w:tcW w:w="1749" w:type="dxa"/>
            <w:gridSpan w:val="2"/>
            <w:tcBorders>
              <w:top w:val="single" w:sz="4" w:space="0" w:color="auto"/>
            </w:tcBorders>
            <w:shd w:val="clear" w:color="auto" w:fill="auto"/>
            <w:vAlign w:val="bottom"/>
          </w:tcPr>
          <w:p w14:paraId="6D6C365D" w14:textId="77777777" w:rsidR="009D2941" w:rsidRPr="00260550" w:rsidRDefault="009D2941" w:rsidP="00260550">
            <w:pPr>
              <w:spacing w:after="0"/>
              <w:rPr>
                <w:rFonts w:ascii="Arial" w:hAnsi="Arial" w:cs="Arial"/>
                <w:b/>
                <w:sz w:val="14"/>
                <w:szCs w:val="14"/>
              </w:rPr>
            </w:pPr>
            <w:r w:rsidRPr="00260550">
              <w:rPr>
                <w:rFonts w:ascii="Arial" w:eastAsia="Times New Roman" w:hAnsi="Arial" w:cs="Arial"/>
                <w:b/>
                <w:sz w:val="14"/>
                <w:szCs w:val="14"/>
                <w:lang w:eastAsia="en-GB"/>
              </w:rPr>
              <w:t>AUC</w:t>
            </w:r>
            <w:r w:rsidRPr="00260550">
              <w:rPr>
                <w:rFonts w:ascii="Arial" w:eastAsia="Times New Roman" w:hAnsi="Arial" w:cs="Arial"/>
                <w:b/>
                <w:sz w:val="14"/>
                <w:szCs w:val="14"/>
                <w:vertAlign w:val="subscript"/>
                <w:lang w:eastAsia="en-GB"/>
              </w:rPr>
              <w:t>24h</w:t>
            </w:r>
            <w:r w:rsidRPr="00260550">
              <w:rPr>
                <w:rFonts w:ascii="Arial" w:eastAsia="Times New Roman" w:hAnsi="Arial" w:cs="Arial"/>
                <w:b/>
                <w:sz w:val="14"/>
                <w:szCs w:val="14"/>
                <w:lang w:eastAsia="en-GB"/>
              </w:rPr>
              <w:t xml:space="preserve"> (mg.h/L)</w:t>
            </w:r>
          </w:p>
        </w:tc>
        <w:tc>
          <w:tcPr>
            <w:tcW w:w="2094" w:type="dxa"/>
            <w:gridSpan w:val="2"/>
            <w:tcBorders>
              <w:top w:val="single" w:sz="4" w:space="0" w:color="auto"/>
            </w:tcBorders>
            <w:shd w:val="clear" w:color="auto" w:fill="auto"/>
            <w:vAlign w:val="center"/>
          </w:tcPr>
          <w:p w14:paraId="0844B786" w14:textId="77777777" w:rsidR="009D2941" w:rsidRPr="00260550" w:rsidRDefault="009D2941" w:rsidP="00260550">
            <w:pPr>
              <w:spacing w:after="0"/>
              <w:jc w:val="center"/>
              <w:rPr>
                <w:rFonts w:ascii="Arial" w:hAnsi="Arial" w:cs="Arial"/>
                <w:sz w:val="14"/>
                <w:szCs w:val="14"/>
              </w:rPr>
            </w:pPr>
          </w:p>
        </w:tc>
        <w:tc>
          <w:tcPr>
            <w:tcW w:w="907" w:type="dxa"/>
            <w:gridSpan w:val="2"/>
            <w:tcBorders>
              <w:top w:val="single" w:sz="4" w:space="0" w:color="auto"/>
            </w:tcBorders>
            <w:shd w:val="clear" w:color="auto" w:fill="auto"/>
            <w:vAlign w:val="center"/>
          </w:tcPr>
          <w:p w14:paraId="4F414CBF"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&lt;0.001</w:t>
            </w:r>
          </w:p>
        </w:tc>
        <w:tc>
          <w:tcPr>
            <w:tcW w:w="2137" w:type="dxa"/>
            <w:gridSpan w:val="4"/>
            <w:tcBorders>
              <w:top w:val="single" w:sz="4" w:space="0" w:color="auto"/>
            </w:tcBorders>
            <w:vAlign w:val="center"/>
          </w:tcPr>
          <w:p w14:paraId="172A16A7" w14:textId="77777777" w:rsidR="009D2941" w:rsidRPr="00260550" w:rsidRDefault="009D2941" w:rsidP="00260550">
            <w:pPr>
              <w:spacing w:after="0"/>
              <w:jc w:val="center"/>
              <w:rPr>
                <w:rFonts w:ascii="Arial" w:hAnsi="Arial" w:cs="Arial"/>
                <w:sz w:val="14"/>
                <w:szCs w:val="14"/>
              </w:rPr>
            </w:pPr>
          </w:p>
        </w:tc>
        <w:tc>
          <w:tcPr>
            <w:tcW w:w="909" w:type="dxa"/>
            <w:gridSpan w:val="2"/>
            <w:tcBorders>
              <w:top w:val="single" w:sz="4" w:space="0" w:color="auto"/>
            </w:tcBorders>
            <w:vAlign w:val="center"/>
          </w:tcPr>
          <w:p w14:paraId="44B3C149"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0.006</w:t>
            </w:r>
          </w:p>
        </w:tc>
        <w:tc>
          <w:tcPr>
            <w:tcW w:w="2314" w:type="dxa"/>
            <w:gridSpan w:val="4"/>
            <w:tcBorders>
              <w:top w:val="single" w:sz="4" w:space="0" w:color="auto"/>
            </w:tcBorders>
            <w:vAlign w:val="center"/>
          </w:tcPr>
          <w:p w14:paraId="3F0AE556" w14:textId="77777777" w:rsidR="009D2941" w:rsidRPr="00260550" w:rsidRDefault="009D2941" w:rsidP="00260550">
            <w:pPr>
              <w:spacing w:after="0"/>
              <w:jc w:val="center"/>
              <w:rPr>
                <w:rFonts w:ascii="Arial" w:hAnsi="Arial" w:cs="Arial"/>
                <w:sz w:val="14"/>
                <w:szCs w:val="14"/>
              </w:rPr>
            </w:pPr>
          </w:p>
        </w:tc>
        <w:tc>
          <w:tcPr>
            <w:tcW w:w="1001" w:type="dxa"/>
            <w:gridSpan w:val="4"/>
            <w:tcBorders>
              <w:top w:val="single" w:sz="4" w:space="0" w:color="auto"/>
            </w:tcBorders>
            <w:vAlign w:val="center"/>
          </w:tcPr>
          <w:p w14:paraId="200CE996"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0.60</w:t>
            </w:r>
          </w:p>
        </w:tc>
        <w:tc>
          <w:tcPr>
            <w:tcW w:w="2408" w:type="dxa"/>
            <w:gridSpan w:val="4"/>
            <w:tcBorders>
              <w:top w:val="single" w:sz="4" w:space="0" w:color="auto"/>
            </w:tcBorders>
            <w:vAlign w:val="bottom"/>
          </w:tcPr>
          <w:p w14:paraId="2A69F510" w14:textId="77777777" w:rsidR="009D2941" w:rsidRPr="00260550" w:rsidRDefault="009D2941" w:rsidP="00260550">
            <w:pPr>
              <w:spacing w:after="0"/>
              <w:jc w:val="center"/>
              <w:rPr>
                <w:rFonts w:ascii="Arial" w:hAnsi="Arial" w:cs="Arial"/>
                <w:sz w:val="14"/>
                <w:szCs w:val="14"/>
              </w:rPr>
            </w:pPr>
          </w:p>
        </w:tc>
        <w:tc>
          <w:tcPr>
            <w:tcW w:w="993" w:type="dxa"/>
            <w:gridSpan w:val="4"/>
            <w:tcBorders>
              <w:top w:val="single" w:sz="4" w:space="0" w:color="auto"/>
            </w:tcBorders>
            <w:vAlign w:val="bottom"/>
          </w:tcPr>
          <w:p w14:paraId="3DEB2AEC"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0.73</w:t>
            </w:r>
          </w:p>
        </w:tc>
      </w:tr>
      <w:tr w:rsidR="009D2941" w:rsidRPr="00260550" w14:paraId="526E0D9D" w14:textId="77777777" w:rsidTr="009D2941">
        <w:trPr>
          <w:gridAfter w:val="3"/>
          <w:wAfter w:w="659" w:type="dxa"/>
        </w:trPr>
        <w:tc>
          <w:tcPr>
            <w:tcW w:w="1749" w:type="dxa"/>
            <w:gridSpan w:val="2"/>
            <w:shd w:val="clear" w:color="auto" w:fill="auto"/>
            <w:vAlign w:val="center"/>
          </w:tcPr>
          <w:p w14:paraId="361AA6B4" w14:textId="77777777" w:rsidR="009D2941" w:rsidRPr="00260550" w:rsidRDefault="009D2941" w:rsidP="00260550">
            <w:pPr>
              <w:spacing w:after="0"/>
              <w:rPr>
                <w:rFonts w:ascii="Arial" w:hAnsi="Arial" w:cs="Arial"/>
                <w:sz w:val="14"/>
                <w:szCs w:val="14"/>
              </w:rPr>
            </w:pPr>
            <w:r w:rsidRPr="00260550">
              <w:rPr>
                <w:rFonts w:ascii="Arial" w:hAnsi="Arial" w:cs="Arial"/>
                <w:sz w:val="14"/>
                <w:szCs w:val="14"/>
              </w:rPr>
              <w:t>≤2.355</w:t>
            </w:r>
          </w:p>
        </w:tc>
        <w:tc>
          <w:tcPr>
            <w:tcW w:w="2094" w:type="dxa"/>
            <w:gridSpan w:val="2"/>
            <w:shd w:val="clear" w:color="auto" w:fill="auto"/>
            <w:vAlign w:val="bottom"/>
          </w:tcPr>
          <w:p w14:paraId="62936608"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Ref.</w:t>
            </w:r>
          </w:p>
        </w:tc>
        <w:tc>
          <w:tcPr>
            <w:tcW w:w="907" w:type="dxa"/>
            <w:gridSpan w:val="2"/>
            <w:shd w:val="clear" w:color="auto" w:fill="auto"/>
            <w:vAlign w:val="bottom"/>
          </w:tcPr>
          <w:p w14:paraId="4BBE210A"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w:t>
            </w:r>
          </w:p>
        </w:tc>
        <w:tc>
          <w:tcPr>
            <w:tcW w:w="2137" w:type="dxa"/>
            <w:gridSpan w:val="4"/>
            <w:vAlign w:val="bottom"/>
          </w:tcPr>
          <w:p w14:paraId="58065832"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Ref.</w:t>
            </w:r>
          </w:p>
        </w:tc>
        <w:tc>
          <w:tcPr>
            <w:tcW w:w="909" w:type="dxa"/>
            <w:gridSpan w:val="2"/>
            <w:vAlign w:val="bottom"/>
          </w:tcPr>
          <w:p w14:paraId="06724EA9"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w:t>
            </w:r>
          </w:p>
        </w:tc>
        <w:tc>
          <w:tcPr>
            <w:tcW w:w="2314" w:type="dxa"/>
            <w:gridSpan w:val="4"/>
            <w:vAlign w:val="bottom"/>
          </w:tcPr>
          <w:p w14:paraId="6A404A5C"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Ref.</w:t>
            </w:r>
          </w:p>
        </w:tc>
        <w:tc>
          <w:tcPr>
            <w:tcW w:w="1001" w:type="dxa"/>
            <w:gridSpan w:val="4"/>
            <w:vAlign w:val="bottom"/>
          </w:tcPr>
          <w:p w14:paraId="3F71A8A1"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w:t>
            </w:r>
          </w:p>
        </w:tc>
        <w:tc>
          <w:tcPr>
            <w:tcW w:w="2408" w:type="dxa"/>
            <w:gridSpan w:val="4"/>
            <w:vAlign w:val="bottom"/>
          </w:tcPr>
          <w:p w14:paraId="065EEFF9"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Ref.</w:t>
            </w:r>
          </w:p>
        </w:tc>
        <w:tc>
          <w:tcPr>
            <w:tcW w:w="993" w:type="dxa"/>
            <w:gridSpan w:val="4"/>
            <w:vAlign w:val="bottom"/>
          </w:tcPr>
          <w:p w14:paraId="0328E1E0"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w:t>
            </w:r>
          </w:p>
        </w:tc>
      </w:tr>
      <w:tr w:rsidR="009D2941" w:rsidRPr="00260550" w14:paraId="5413D1FD" w14:textId="77777777" w:rsidTr="009D2941">
        <w:trPr>
          <w:gridAfter w:val="3"/>
          <w:wAfter w:w="659" w:type="dxa"/>
        </w:trPr>
        <w:tc>
          <w:tcPr>
            <w:tcW w:w="1749" w:type="dxa"/>
            <w:gridSpan w:val="2"/>
            <w:shd w:val="clear" w:color="auto" w:fill="auto"/>
            <w:vAlign w:val="center"/>
          </w:tcPr>
          <w:p w14:paraId="630D2590" w14:textId="77777777" w:rsidR="009D2941" w:rsidRPr="00260550" w:rsidRDefault="009D2941" w:rsidP="00260550">
            <w:pPr>
              <w:spacing w:after="0"/>
              <w:rPr>
                <w:rFonts w:ascii="Arial" w:hAnsi="Arial" w:cs="Arial"/>
                <w:sz w:val="14"/>
                <w:szCs w:val="14"/>
              </w:rPr>
            </w:pPr>
            <w:r w:rsidRPr="00260550">
              <w:rPr>
                <w:rFonts w:ascii="Arial" w:hAnsi="Arial" w:cs="Arial"/>
                <w:sz w:val="14"/>
                <w:szCs w:val="14"/>
              </w:rPr>
              <w:t>2.356-2.612</w:t>
            </w:r>
          </w:p>
        </w:tc>
        <w:tc>
          <w:tcPr>
            <w:tcW w:w="2094" w:type="dxa"/>
            <w:gridSpan w:val="2"/>
            <w:shd w:val="clear" w:color="auto" w:fill="auto"/>
          </w:tcPr>
          <w:p w14:paraId="2BB33CFE"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-5.06 (-9.64, -0.48)</w:t>
            </w:r>
          </w:p>
        </w:tc>
        <w:tc>
          <w:tcPr>
            <w:tcW w:w="907" w:type="dxa"/>
            <w:gridSpan w:val="2"/>
            <w:shd w:val="clear" w:color="auto" w:fill="auto"/>
            <w:vAlign w:val="bottom"/>
          </w:tcPr>
          <w:p w14:paraId="1637990B" w14:textId="77777777" w:rsidR="009D2941" w:rsidRPr="00260550" w:rsidRDefault="009D2941" w:rsidP="00260550">
            <w:pPr>
              <w:spacing w:after="0"/>
              <w:jc w:val="center"/>
              <w:rPr>
                <w:rFonts w:ascii="Arial" w:hAnsi="Arial" w:cs="Arial"/>
                <w:sz w:val="14"/>
                <w:szCs w:val="14"/>
              </w:rPr>
            </w:pPr>
          </w:p>
        </w:tc>
        <w:tc>
          <w:tcPr>
            <w:tcW w:w="2137" w:type="dxa"/>
            <w:gridSpan w:val="4"/>
          </w:tcPr>
          <w:p w14:paraId="6DF6FA62"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3.84 (-1.14, 8.81)</w:t>
            </w:r>
          </w:p>
        </w:tc>
        <w:tc>
          <w:tcPr>
            <w:tcW w:w="909" w:type="dxa"/>
            <w:gridSpan w:val="2"/>
            <w:vAlign w:val="bottom"/>
          </w:tcPr>
          <w:p w14:paraId="36F07511" w14:textId="77777777" w:rsidR="009D2941" w:rsidRPr="00260550" w:rsidRDefault="009D2941" w:rsidP="00260550">
            <w:pPr>
              <w:spacing w:after="0"/>
              <w:jc w:val="center"/>
              <w:rPr>
                <w:rFonts w:ascii="Arial" w:hAnsi="Arial" w:cs="Arial"/>
                <w:sz w:val="14"/>
                <w:szCs w:val="14"/>
              </w:rPr>
            </w:pPr>
          </w:p>
        </w:tc>
        <w:tc>
          <w:tcPr>
            <w:tcW w:w="2314" w:type="dxa"/>
            <w:gridSpan w:val="4"/>
          </w:tcPr>
          <w:p w14:paraId="41C7E391"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1.85 (-9.07, 12.77)</w:t>
            </w:r>
          </w:p>
        </w:tc>
        <w:tc>
          <w:tcPr>
            <w:tcW w:w="1001" w:type="dxa"/>
            <w:gridSpan w:val="4"/>
            <w:vAlign w:val="bottom"/>
          </w:tcPr>
          <w:p w14:paraId="2C721C13" w14:textId="77777777" w:rsidR="009D2941" w:rsidRPr="00260550" w:rsidRDefault="009D2941" w:rsidP="00260550">
            <w:pPr>
              <w:spacing w:after="0"/>
              <w:jc w:val="center"/>
              <w:rPr>
                <w:rFonts w:ascii="Arial" w:hAnsi="Arial" w:cs="Arial"/>
                <w:sz w:val="14"/>
                <w:szCs w:val="14"/>
              </w:rPr>
            </w:pPr>
          </w:p>
        </w:tc>
        <w:tc>
          <w:tcPr>
            <w:tcW w:w="2408" w:type="dxa"/>
            <w:gridSpan w:val="4"/>
          </w:tcPr>
          <w:p w14:paraId="30ABDC0C"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-8.00 (-17.27, 1.26)</w:t>
            </w:r>
          </w:p>
        </w:tc>
        <w:tc>
          <w:tcPr>
            <w:tcW w:w="993" w:type="dxa"/>
            <w:gridSpan w:val="4"/>
            <w:vAlign w:val="bottom"/>
          </w:tcPr>
          <w:p w14:paraId="4C25755A" w14:textId="77777777" w:rsidR="009D2941" w:rsidRPr="00260550" w:rsidRDefault="009D2941" w:rsidP="00260550">
            <w:pPr>
              <w:spacing w:after="0"/>
              <w:jc w:val="center"/>
              <w:rPr>
                <w:rFonts w:ascii="Arial" w:hAnsi="Arial" w:cs="Arial"/>
                <w:sz w:val="14"/>
                <w:szCs w:val="14"/>
              </w:rPr>
            </w:pPr>
          </w:p>
        </w:tc>
      </w:tr>
      <w:tr w:rsidR="009D2941" w:rsidRPr="00260550" w14:paraId="7D1593AC" w14:textId="77777777" w:rsidTr="009D2941">
        <w:trPr>
          <w:gridAfter w:val="3"/>
          <w:wAfter w:w="659" w:type="dxa"/>
        </w:trPr>
        <w:tc>
          <w:tcPr>
            <w:tcW w:w="1749" w:type="dxa"/>
            <w:gridSpan w:val="2"/>
            <w:shd w:val="clear" w:color="auto" w:fill="auto"/>
            <w:vAlign w:val="center"/>
          </w:tcPr>
          <w:p w14:paraId="176BBE04" w14:textId="77777777" w:rsidR="009D2941" w:rsidRPr="00260550" w:rsidRDefault="009D2941" w:rsidP="00260550">
            <w:pPr>
              <w:spacing w:after="0"/>
              <w:rPr>
                <w:rFonts w:ascii="Arial" w:hAnsi="Arial" w:cs="Arial"/>
                <w:sz w:val="14"/>
                <w:szCs w:val="14"/>
              </w:rPr>
            </w:pPr>
            <w:r w:rsidRPr="00260550">
              <w:rPr>
                <w:rFonts w:ascii="Arial" w:hAnsi="Arial" w:cs="Arial"/>
                <w:sz w:val="14"/>
                <w:szCs w:val="14"/>
              </w:rPr>
              <w:t>2.613-2.928</w:t>
            </w:r>
          </w:p>
        </w:tc>
        <w:tc>
          <w:tcPr>
            <w:tcW w:w="2094" w:type="dxa"/>
            <w:gridSpan w:val="2"/>
            <w:shd w:val="clear" w:color="auto" w:fill="auto"/>
          </w:tcPr>
          <w:p w14:paraId="18CF4A46"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-7.84 (-12.47, -3.22)</w:t>
            </w:r>
          </w:p>
        </w:tc>
        <w:tc>
          <w:tcPr>
            <w:tcW w:w="907" w:type="dxa"/>
            <w:gridSpan w:val="2"/>
            <w:shd w:val="clear" w:color="auto" w:fill="auto"/>
            <w:vAlign w:val="bottom"/>
          </w:tcPr>
          <w:p w14:paraId="6361233D" w14:textId="77777777" w:rsidR="009D2941" w:rsidRPr="00260550" w:rsidRDefault="009D2941" w:rsidP="00260550">
            <w:pPr>
              <w:spacing w:after="0"/>
              <w:jc w:val="center"/>
              <w:rPr>
                <w:rFonts w:ascii="Arial" w:hAnsi="Arial" w:cs="Arial"/>
                <w:sz w:val="14"/>
                <w:szCs w:val="14"/>
              </w:rPr>
            </w:pPr>
          </w:p>
        </w:tc>
        <w:tc>
          <w:tcPr>
            <w:tcW w:w="2137" w:type="dxa"/>
            <w:gridSpan w:val="4"/>
          </w:tcPr>
          <w:p w14:paraId="2091C3C3"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1.65 (-3.46, 6.75)</w:t>
            </w:r>
          </w:p>
        </w:tc>
        <w:tc>
          <w:tcPr>
            <w:tcW w:w="909" w:type="dxa"/>
            <w:gridSpan w:val="2"/>
            <w:vAlign w:val="bottom"/>
          </w:tcPr>
          <w:p w14:paraId="130FD933" w14:textId="77777777" w:rsidR="009D2941" w:rsidRPr="00260550" w:rsidRDefault="009D2941" w:rsidP="00260550">
            <w:pPr>
              <w:spacing w:after="0"/>
              <w:jc w:val="center"/>
              <w:rPr>
                <w:rFonts w:ascii="Arial" w:hAnsi="Arial" w:cs="Arial"/>
                <w:sz w:val="14"/>
                <w:szCs w:val="14"/>
              </w:rPr>
            </w:pPr>
          </w:p>
        </w:tc>
        <w:tc>
          <w:tcPr>
            <w:tcW w:w="2314" w:type="dxa"/>
            <w:gridSpan w:val="4"/>
          </w:tcPr>
          <w:p w14:paraId="620C2655"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5.87 (-5.19, 16.92)</w:t>
            </w:r>
          </w:p>
        </w:tc>
        <w:tc>
          <w:tcPr>
            <w:tcW w:w="1001" w:type="dxa"/>
            <w:gridSpan w:val="4"/>
            <w:vAlign w:val="bottom"/>
          </w:tcPr>
          <w:p w14:paraId="07277C8D" w14:textId="77777777" w:rsidR="009D2941" w:rsidRPr="00260550" w:rsidRDefault="009D2941" w:rsidP="00260550">
            <w:pPr>
              <w:spacing w:after="0"/>
              <w:jc w:val="center"/>
              <w:rPr>
                <w:rFonts w:ascii="Arial" w:hAnsi="Arial" w:cs="Arial"/>
                <w:sz w:val="14"/>
                <w:szCs w:val="14"/>
              </w:rPr>
            </w:pPr>
          </w:p>
        </w:tc>
        <w:tc>
          <w:tcPr>
            <w:tcW w:w="2408" w:type="dxa"/>
            <w:gridSpan w:val="4"/>
          </w:tcPr>
          <w:p w14:paraId="10E1CF65"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1.84 (-7.34, 11.02)</w:t>
            </w:r>
          </w:p>
        </w:tc>
        <w:tc>
          <w:tcPr>
            <w:tcW w:w="993" w:type="dxa"/>
            <w:gridSpan w:val="4"/>
            <w:vAlign w:val="bottom"/>
          </w:tcPr>
          <w:p w14:paraId="41DE0293" w14:textId="77777777" w:rsidR="009D2941" w:rsidRPr="00260550" w:rsidRDefault="009D2941" w:rsidP="00260550">
            <w:pPr>
              <w:spacing w:after="0"/>
              <w:jc w:val="center"/>
              <w:rPr>
                <w:rFonts w:ascii="Arial" w:hAnsi="Arial" w:cs="Arial"/>
                <w:sz w:val="14"/>
                <w:szCs w:val="14"/>
              </w:rPr>
            </w:pPr>
          </w:p>
        </w:tc>
      </w:tr>
      <w:tr w:rsidR="009D2941" w:rsidRPr="00260550" w14:paraId="683FDEA2" w14:textId="77777777" w:rsidTr="009D2941">
        <w:trPr>
          <w:gridAfter w:val="3"/>
          <w:wAfter w:w="659" w:type="dxa"/>
        </w:trPr>
        <w:tc>
          <w:tcPr>
            <w:tcW w:w="1749" w:type="dxa"/>
            <w:gridSpan w:val="2"/>
            <w:shd w:val="clear" w:color="auto" w:fill="auto"/>
            <w:vAlign w:val="center"/>
          </w:tcPr>
          <w:p w14:paraId="3FCF1842" w14:textId="77777777" w:rsidR="009D2941" w:rsidRPr="00260550" w:rsidRDefault="009D2941" w:rsidP="00260550">
            <w:pPr>
              <w:spacing w:after="0"/>
              <w:rPr>
                <w:rFonts w:ascii="Arial" w:hAnsi="Arial" w:cs="Arial"/>
                <w:sz w:val="14"/>
                <w:szCs w:val="14"/>
              </w:rPr>
            </w:pPr>
            <w:r w:rsidRPr="00260550">
              <w:rPr>
                <w:rFonts w:ascii="Arial" w:hAnsi="Arial" w:cs="Arial"/>
                <w:sz w:val="14"/>
                <w:szCs w:val="14"/>
              </w:rPr>
              <w:t>2.929-3.410</w:t>
            </w:r>
          </w:p>
        </w:tc>
        <w:tc>
          <w:tcPr>
            <w:tcW w:w="2094" w:type="dxa"/>
            <w:gridSpan w:val="2"/>
            <w:shd w:val="clear" w:color="auto" w:fill="auto"/>
          </w:tcPr>
          <w:p w14:paraId="37E2EF34"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-9.51 (-14.29, -4.73)</w:t>
            </w:r>
          </w:p>
        </w:tc>
        <w:tc>
          <w:tcPr>
            <w:tcW w:w="907" w:type="dxa"/>
            <w:gridSpan w:val="2"/>
            <w:shd w:val="clear" w:color="auto" w:fill="auto"/>
            <w:vAlign w:val="bottom"/>
          </w:tcPr>
          <w:p w14:paraId="17FF6FF1" w14:textId="77777777" w:rsidR="009D2941" w:rsidRPr="00260550" w:rsidRDefault="009D2941" w:rsidP="00260550">
            <w:pPr>
              <w:spacing w:after="0"/>
              <w:jc w:val="center"/>
              <w:rPr>
                <w:rFonts w:ascii="Arial" w:hAnsi="Arial" w:cs="Arial"/>
                <w:sz w:val="14"/>
                <w:szCs w:val="14"/>
              </w:rPr>
            </w:pPr>
          </w:p>
        </w:tc>
        <w:tc>
          <w:tcPr>
            <w:tcW w:w="2137" w:type="dxa"/>
            <w:gridSpan w:val="4"/>
          </w:tcPr>
          <w:p w14:paraId="3D76200E"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-3.11 (-8.38, 2.16)</w:t>
            </w:r>
          </w:p>
        </w:tc>
        <w:tc>
          <w:tcPr>
            <w:tcW w:w="909" w:type="dxa"/>
            <w:gridSpan w:val="2"/>
            <w:vAlign w:val="bottom"/>
          </w:tcPr>
          <w:p w14:paraId="77B89911" w14:textId="77777777" w:rsidR="009D2941" w:rsidRPr="00260550" w:rsidRDefault="009D2941" w:rsidP="00260550">
            <w:pPr>
              <w:spacing w:after="0"/>
              <w:jc w:val="center"/>
              <w:rPr>
                <w:rFonts w:ascii="Arial" w:hAnsi="Arial" w:cs="Arial"/>
                <w:sz w:val="14"/>
                <w:szCs w:val="14"/>
              </w:rPr>
            </w:pPr>
          </w:p>
        </w:tc>
        <w:tc>
          <w:tcPr>
            <w:tcW w:w="2314" w:type="dxa"/>
            <w:gridSpan w:val="4"/>
          </w:tcPr>
          <w:p w14:paraId="7FD51529"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0.07 (-11.32, 11.47)</w:t>
            </w:r>
          </w:p>
        </w:tc>
        <w:tc>
          <w:tcPr>
            <w:tcW w:w="1001" w:type="dxa"/>
            <w:gridSpan w:val="4"/>
            <w:vAlign w:val="bottom"/>
          </w:tcPr>
          <w:p w14:paraId="2C99CCFE" w14:textId="77777777" w:rsidR="009D2941" w:rsidRPr="00260550" w:rsidRDefault="009D2941" w:rsidP="00260550">
            <w:pPr>
              <w:spacing w:after="0"/>
              <w:jc w:val="center"/>
              <w:rPr>
                <w:rFonts w:ascii="Arial" w:hAnsi="Arial" w:cs="Arial"/>
                <w:sz w:val="14"/>
                <w:szCs w:val="14"/>
              </w:rPr>
            </w:pPr>
          </w:p>
        </w:tc>
        <w:tc>
          <w:tcPr>
            <w:tcW w:w="2408" w:type="dxa"/>
            <w:gridSpan w:val="4"/>
          </w:tcPr>
          <w:p w14:paraId="2359F2EF"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-0.72 (-9.74, 8.31)</w:t>
            </w:r>
          </w:p>
        </w:tc>
        <w:tc>
          <w:tcPr>
            <w:tcW w:w="993" w:type="dxa"/>
            <w:gridSpan w:val="4"/>
            <w:vAlign w:val="bottom"/>
          </w:tcPr>
          <w:p w14:paraId="4CC97950" w14:textId="77777777" w:rsidR="009D2941" w:rsidRPr="00260550" w:rsidRDefault="009D2941" w:rsidP="00260550">
            <w:pPr>
              <w:spacing w:after="0"/>
              <w:jc w:val="center"/>
              <w:rPr>
                <w:rFonts w:ascii="Arial" w:hAnsi="Arial" w:cs="Arial"/>
                <w:sz w:val="14"/>
                <w:szCs w:val="14"/>
              </w:rPr>
            </w:pPr>
          </w:p>
        </w:tc>
      </w:tr>
      <w:tr w:rsidR="009D2941" w:rsidRPr="00260550" w14:paraId="31D812C3" w14:textId="77777777" w:rsidTr="009D2941">
        <w:trPr>
          <w:gridAfter w:val="3"/>
          <w:wAfter w:w="659" w:type="dxa"/>
        </w:trPr>
        <w:tc>
          <w:tcPr>
            <w:tcW w:w="1749" w:type="dxa"/>
            <w:gridSpan w:val="2"/>
            <w:shd w:val="clear" w:color="auto" w:fill="auto"/>
            <w:vAlign w:val="center"/>
          </w:tcPr>
          <w:p w14:paraId="754CCE41" w14:textId="77777777" w:rsidR="009D2941" w:rsidRPr="00260550" w:rsidRDefault="009D2941" w:rsidP="00260550">
            <w:pPr>
              <w:spacing w:after="0"/>
              <w:rPr>
                <w:rFonts w:ascii="Arial" w:hAnsi="Arial" w:cs="Arial"/>
                <w:sz w:val="14"/>
                <w:szCs w:val="14"/>
              </w:rPr>
            </w:pPr>
            <w:r w:rsidRPr="00260550">
              <w:rPr>
                <w:rFonts w:ascii="Arial" w:hAnsi="Arial" w:cs="Arial"/>
                <w:sz w:val="14"/>
                <w:szCs w:val="14"/>
              </w:rPr>
              <w:t>≥3.411</w:t>
            </w:r>
          </w:p>
        </w:tc>
        <w:tc>
          <w:tcPr>
            <w:tcW w:w="2094" w:type="dxa"/>
            <w:gridSpan w:val="2"/>
            <w:shd w:val="clear" w:color="auto" w:fill="auto"/>
          </w:tcPr>
          <w:p w14:paraId="52A401E1"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-9.94 (-14.82, -5.05)</w:t>
            </w:r>
          </w:p>
        </w:tc>
        <w:tc>
          <w:tcPr>
            <w:tcW w:w="907" w:type="dxa"/>
            <w:gridSpan w:val="2"/>
            <w:shd w:val="clear" w:color="auto" w:fill="auto"/>
            <w:vAlign w:val="bottom"/>
          </w:tcPr>
          <w:p w14:paraId="78E8E967" w14:textId="77777777" w:rsidR="009D2941" w:rsidRPr="00260550" w:rsidRDefault="009D2941" w:rsidP="00260550">
            <w:pPr>
              <w:spacing w:after="0"/>
              <w:jc w:val="center"/>
              <w:rPr>
                <w:rFonts w:ascii="Arial" w:hAnsi="Arial" w:cs="Arial"/>
                <w:sz w:val="14"/>
                <w:szCs w:val="14"/>
              </w:rPr>
            </w:pPr>
          </w:p>
        </w:tc>
        <w:tc>
          <w:tcPr>
            <w:tcW w:w="2137" w:type="dxa"/>
            <w:gridSpan w:val="4"/>
          </w:tcPr>
          <w:p w14:paraId="1A4F1E5D"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-2.36 (-7.90, 3.17)</w:t>
            </w:r>
          </w:p>
        </w:tc>
        <w:tc>
          <w:tcPr>
            <w:tcW w:w="909" w:type="dxa"/>
            <w:gridSpan w:val="2"/>
            <w:vAlign w:val="bottom"/>
          </w:tcPr>
          <w:p w14:paraId="684C98B2" w14:textId="77777777" w:rsidR="009D2941" w:rsidRPr="00260550" w:rsidRDefault="009D2941" w:rsidP="00260550">
            <w:pPr>
              <w:spacing w:after="0"/>
              <w:jc w:val="center"/>
              <w:rPr>
                <w:rFonts w:ascii="Arial" w:hAnsi="Arial" w:cs="Arial"/>
                <w:sz w:val="14"/>
                <w:szCs w:val="14"/>
              </w:rPr>
            </w:pPr>
          </w:p>
        </w:tc>
        <w:tc>
          <w:tcPr>
            <w:tcW w:w="2314" w:type="dxa"/>
            <w:gridSpan w:val="4"/>
          </w:tcPr>
          <w:p w14:paraId="5D8AC65E"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-3.42 (-15.11, 8.28)</w:t>
            </w:r>
          </w:p>
        </w:tc>
        <w:tc>
          <w:tcPr>
            <w:tcW w:w="1001" w:type="dxa"/>
            <w:gridSpan w:val="4"/>
            <w:vAlign w:val="bottom"/>
          </w:tcPr>
          <w:p w14:paraId="2FE8FEF5" w14:textId="77777777" w:rsidR="009D2941" w:rsidRPr="00260550" w:rsidRDefault="009D2941" w:rsidP="00260550">
            <w:pPr>
              <w:spacing w:after="0"/>
              <w:jc w:val="center"/>
              <w:rPr>
                <w:rFonts w:ascii="Arial" w:hAnsi="Arial" w:cs="Arial"/>
                <w:sz w:val="14"/>
                <w:szCs w:val="14"/>
              </w:rPr>
            </w:pPr>
          </w:p>
        </w:tc>
        <w:tc>
          <w:tcPr>
            <w:tcW w:w="2408" w:type="dxa"/>
            <w:gridSpan w:val="4"/>
          </w:tcPr>
          <w:p w14:paraId="1889CBAE"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-1.31 (-10.64, 8.02)</w:t>
            </w:r>
          </w:p>
        </w:tc>
        <w:tc>
          <w:tcPr>
            <w:tcW w:w="993" w:type="dxa"/>
            <w:gridSpan w:val="4"/>
            <w:vAlign w:val="bottom"/>
          </w:tcPr>
          <w:p w14:paraId="7957A168" w14:textId="77777777" w:rsidR="009D2941" w:rsidRPr="00260550" w:rsidRDefault="009D2941" w:rsidP="00260550">
            <w:pPr>
              <w:spacing w:after="0"/>
              <w:jc w:val="center"/>
              <w:rPr>
                <w:rFonts w:ascii="Arial" w:hAnsi="Arial" w:cs="Arial"/>
                <w:sz w:val="14"/>
                <w:szCs w:val="14"/>
              </w:rPr>
            </w:pPr>
          </w:p>
        </w:tc>
      </w:tr>
      <w:tr w:rsidR="009D2941" w:rsidRPr="00260550" w14:paraId="4090B1B1" w14:textId="77777777" w:rsidTr="009D2941">
        <w:trPr>
          <w:gridAfter w:val="3"/>
          <w:wAfter w:w="659" w:type="dxa"/>
        </w:trPr>
        <w:tc>
          <w:tcPr>
            <w:tcW w:w="1749" w:type="dxa"/>
            <w:gridSpan w:val="2"/>
            <w:shd w:val="clear" w:color="auto" w:fill="auto"/>
            <w:vAlign w:val="bottom"/>
          </w:tcPr>
          <w:p w14:paraId="49547F9B" w14:textId="77777777" w:rsidR="009D2941" w:rsidRPr="00260550" w:rsidRDefault="009D2941" w:rsidP="00260550">
            <w:pPr>
              <w:spacing w:after="0"/>
              <w:rPr>
                <w:rFonts w:ascii="Arial" w:eastAsia="Times New Roman" w:hAnsi="Arial" w:cs="Arial"/>
                <w:b/>
                <w:sz w:val="14"/>
                <w:szCs w:val="14"/>
                <w:lang w:eastAsia="en-GB"/>
              </w:rPr>
            </w:pPr>
            <w:r w:rsidRPr="00260550">
              <w:rPr>
                <w:rFonts w:ascii="Arial" w:eastAsia="Times New Roman" w:hAnsi="Arial" w:cs="Arial"/>
                <w:b/>
                <w:sz w:val="14"/>
                <w:szCs w:val="14"/>
                <w:lang w:eastAsia="en-GB"/>
              </w:rPr>
              <w:t>C</w:t>
            </w:r>
            <w:r w:rsidRPr="00260550">
              <w:rPr>
                <w:rFonts w:ascii="Arial" w:eastAsia="Times New Roman" w:hAnsi="Arial" w:cs="Arial"/>
                <w:b/>
                <w:sz w:val="14"/>
                <w:szCs w:val="14"/>
                <w:vertAlign w:val="subscript"/>
                <w:lang w:eastAsia="en-GB"/>
              </w:rPr>
              <w:t>max</w:t>
            </w:r>
            <w:r w:rsidRPr="00260550">
              <w:rPr>
                <w:rFonts w:ascii="Arial" w:eastAsia="Times New Roman" w:hAnsi="Arial" w:cs="Arial"/>
                <w:b/>
                <w:sz w:val="14"/>
                <w:szCs w:val="14"/>
                <w:lang w:eastAsia="en-GB"/>
              </w:rPr>
              <w:t xml:space="preserve"> (mg/L)</w:t>
            </w:r>
          </w:p>
        </w:tc>
        <w:tc>
          <w:tcPr>
            <w:tcW w:w="2094" w:type="dxa"/>
            <w:gridSpan w:val="2"/>
            <w:shd w:val="clear" w:color="auto" w:fill="auto"/>
            <w:vAlign w:val="bottom"/>
          </w:tcPr>
          <w:p w14:paraId="0A0989EB" w14:textId="77777777" w:rsidR="009D2941" w:rsidRPr="00260550" w:rsidRDefault="009D2941" w:rsidP="00260550">
            <w:pPr>
              <w:spacing w:after="0"/>
              <w:jc w:val="center"/>
              <w:rPr>
                <w:rFonts w:ascii="Arial" w:hAnsi="Arial" w:cs="Arial"/>
                <w:sz w:val="14"/>
                <w:szCs w:val="14"/>
              </w:rPr>
            </w:pPr>
          </w:p>
        </w:tc>
        <w:tc>
          <w:tcPr>
            <w:tcW w:w="907" w:type="dxa"/>
            <w:gridSpan w:val="2"/>
            <w:shd w:val="clear" w:color="auto" w:fill="auto"/>
            <w:vAlign w:val="center"/>
          </w:tcPr>
          <w:p w14:paraId="2AFCAC54"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&lt;0.001</w:t>
            </w:r>
          </w:p>
        </w:tc>
        <w:tc>
          <w:tcPr>
            <w:tcW w:w="2137" w:type="dxa"/>
            <w:gridSpan w:val="4"/>
            <w:vAlign w:val="bottom"/>
          </w:tcPr>
          <w:p w14:paraId="3A6BCF95" w14:textId="77777777" w:rsidR="009D2941" w:rsidRPr="00260550" w:rsidRDefault="009D2941" w:rsidP="00260550">
            <w:pPr>
              <w:spacing w:after="0"/>
              <w:jc w:val="center"/>
              <w:rPr>
                <w:rFonts w:ascii="Arial" w:hAnsi="Arial" w:cs="Arial"/>
                <w:sz w:val="14"/>
                <w:szCs w:val="14"/>
              </w:rPr>
            </w:pPr>
          </w:p>
        </w:tc>
        <w:tc>
          <w:tcPr>
            <w:tcW w:w="909" w:type="dxa"/>
            <w:gridSpan w:val="2"/>
            <w:vAlign w:val="center"/>
          </w:tcPr>
          <w:p w14:paraId="55076264"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0.11</w:t>
            </w:r>
          </w:p>
        </w:tc>
        <w:tc>
          <w:tcPr>
            <w:tcW w:w="2314" w:type="dxa"/>
            <w:gridSpan w:val="4"/>
            <w:vAlign w:val="bottom"/>
          </w:tcPr>
          <w:p w14:paraId="17567950" w14:textId="77777777" w:rsidR="009D2941" w:rsidRPr="00260550" w:rsidRDefault="009D2941" w:rsidP="00260550">
            <w:pPr>
              <w:spacing w:after="0"/>
              <w:jc w:val="center"/>
              <w:rPr>
                <w:rFonts w:ascii="Arial" w:hAnsi="Arial" w:cs="Arial"/>
                <w:sz w:val="14"/>
                <w:szCs w:val="14"/>
              </w:rPr>
            </w:pPr>
          </w:p>
        </w:tc>
        <w:tc>
          <w:tcPr>
            <w:tcW w:w="1001" w:type="dxa"/>
            <w:gridSpan w:val="4"/>
            <w:vAlign w:val="center"/>
          </w:tcPr>
          <w:p w14:paraId="6B78A383"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0.18</w:t>
            </w:r>
          </w:p>
        </w:tc>
        <w:tc>
          <w:tcPr>
            <w:tcW w:w="2408" w:type="dxa"/>
            <w:gridSpan w:val="4"/>
            <w:vAlign w:val="bottom"/>
          </w:tcPr>
          <w:p w14:paraId="0E25D44D" w14:textId="77777777" w:rsidR="009D2941" w:rsidRPr="00260550" w:rsidRDefault="009D2941" w:rsidP="00260550">
            <w:pPr>
              <w:spacing w:after="0"/>
              <w:jc w:val="center"/>
              <w:rPr>
                <w:rFonts w:ascii="Arial" w:hAnsi="Arial" w:cs="Arial"/>
                <w:sz w:val="14"/>
                <w:szCs w:val="14"/>
              </w:rPr>
            </w:pPr>
          </w:p>
        </w:tc>
        <w:tc>
          <w:tcPr>
            <w:tcW w:w="993" w:type="dxa"/>
            <w:gridSpan w:val="4"/>
            <w:vAlign w:val="bottom"/>
          </w:tcPr>
          <w:p w14:paraId="5C4E3D40"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0.92</w:t>
            </w:r>
          </w:p>
        </w:tc>
      </w:tr>
      <w:tr w:rsidR="009D2941" w:rsidRPr="00260550" w14:paraId="18CF2C9E" w14:textId="77777777" w:rsidTr="009D2941">
        <w:trPr>
          <w:gridAfter w:val="3"/>
          <w:wAfter w:w="659" w:type="dxa"/>
        </w:trPr>
        <w:tc>
          <w:tcPr>
            <w:tcW w:w="1749" w:type="dxa"/>
            <w:gridSpan w:val="2"/>
            <w:shd w:val="clear" w:color="auto" w:fill="auto"/>
            <w:vAlign w:val="center"/>
          </w:tcPr>
          <w:p w14:paraId="09FDAD4B" w14:textId="77777777" w:rsidR="009D2941" w:rsidRPr="00260550" w:rsidRDefault="009D2941" w:rsidP="00260550">
            <w:pPr>
              <w:spacing w:after="0"/>
              <w:rPr>
                <w:rFonts w:ascii="Arial" w:hAnsi="Arial" w:cs="Arial"/>
                <w:sz w:val="14"/>
                <w:szCs w:val="14"/>
              </w:rPr>
            </w:pPr>
            <w:r w:rsidRPr="00260550">
              <w:rPr>
                <w:rFonts w:ascii="Arial" w:hAnsi="Arial" w:cs="Arial"/>
                <w:sz w:val="14"/>
                <w:szCs w:val="14"/>
              </w:rPr>
              <w:t>≤0.219</w:t>
            </w:r>
          </w:p>
        </w:tc>
        <w:tc>
          <w:tcPr>
            <w:tcW w:w="2094" w:type="dxa"/>
            <w:gridSpan w:val="2"/>
            <w:shd w:val="clear" w:color="auto" w:fill="auto"/>
            <w:vAlign w:val="bottom"/>
          </w:tcPr>
          <w:p w14:paraId="353DE5EC"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Ref.</w:t>
            </w:r>
          </w:p>
        </w:tc>
        <w:tc>
          <w:tcPr>
            <w:tcW w:w="907" w:type="dxa"/>
            <w:gridSpan w:val="2"/>
            <w:shd w:val="clear" w:color="auto" w:fill="auto"/>
            <w:vAlign w:val="bottom"/>
          </w:tcPr>
          <w:p w14:paraId="22AA5DB6"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w:t>
            </w:r>
          </w:p>
        </w:tc>
        <w:tc>
          <w:tcPr>
            <w:tcW w:w="2137" w:type="dxa"/>
            <w:gridSpan w:val="4"/>
            <w:vAlign w:val="bottom"/>
          </w:tcPr>
          <w:p w14:paraId="7CD9D3D3"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Ref.</w:t>
            </w:r>
          </w:p>
        </w:tc>
        <w:tc>
          <w:tcPr>
            <w:tcW w:w="909" w:type="dxa"/>
            <w:gridSpan w:val="2"/>
            <w:vAlign w:val="bottom"/>
          </w:tcPr>
          <w:p w14:paraId="4BA03525"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w:t>
            </w:r>
          </w:p>
        </w:tc>
        <w:tc>
          <w:tcPr>
            <w:tcW w:w="2314" w:type="dxa"/>
            <w:gridSpan w:val="4"/>
            <w:vAlign w:val="bottom"/>
          </w:tcPr>
          <w:p w14:paraId="5C23B112"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Ref.</w:t>
            </w:r>
          </w:p>
        </w:tc>
        <w:tc>
          <w:tcPr>
            <w:tcW w:w="1001" w:type="dxa"/>
            <w:gridSpan w:val="4"/>
            <w:vAlign w:val="bottom"/>
          </w:tcPr>
          <w:p w14:paraId="604CD734"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w:t>
            </w:r>
          </w:p>
        </w:tc>
        <w:tc>
          <w:tcPr>
            <w:tcW w:w="2408" w:type="dxa"/>
            <w:gridSpan w:val="4"/>
            <w:vAlign w:val="bottom"/>
          </w:tcPr>
          <w:p w14:paraId="7EE8D3A8"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Ref.</w:t>
            </w:r>
          </w:p>
        </w:tc>
        <w:tc>
          <w:tcPr>
            <w:tcW w:w="993" w:type="dxa"/>
            <w:gridSpan w:val="4"/>
            <w:vAlign w:val="bottom"/>
          </w:tcPr>
          <w:p w14:paraId="450CD834"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w:t>
            </w:r>
          </w:p>
        </w:tc>
      </w:tr>
      <w:tr w:rsidR="009D2941" w:rsidRPr="00260550" w14:paraId="664282A3" w14:textId="77777777" w:rsidTr="009D2941">
        <w:trPr>
          <w:gridAfter w:val="3"/>
          <w:wAfter w:w="659" w:type="dxa"/>
        </w:trPr>
        <w:tc>
          <w:tcPr>
            <w:tcW w:w="1749" w:type="dxa"/>
            <w:gridSpan w:val="2"/>
            <w:shd w:val="clear" w:color="auto" w:fill="auto"/>
            <w:vAlign w:val="center"/>
          </w:tcPr>
          <w:p w14:paraId="5EEF6830" w14:textId="77777777" w:rsidR="009D2941" w:rsidRPr="00260550" w:rsidRDefault="009D2941" w:rsidP="00260550">
            <w:pPr>
              <w:spacing w:after="0"/>
              <w:rPr>
                <w:rFonts w:ascii="Arial" w:hAnsi="Arial" w:cs="Arial"/>
                <w:sz w:val="14"/>
                <w:szCs w:val="14"/>
              </w:rPr>
            </w:pPr>
            <w:r w:rsidRPr="00260550">
              <w:rPr>
                <w:rFonts w:ascii="Arial" w:hAnsi="Arial" w:cs="Arial"/>
                <w:sz w:val="14"/>
                <w:szCs w:val="14"/>
              </w:rPr>
              <w:t>0.220-0.241</w:t>
            </w:r>
          </w:p>
        </w:tc>
        <w:tc>
          <w:tcPr>
            <w:tcW w:w="2094" w:type="dxa"/>
            <w:gridSpan w:val="2"/>
            <w:shd w:val="clear" w:color="auto" w:fill="auto"/>
          </w:tcPr>
          <w:p w14:paraId="4DFE4E3D"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-2.61 (-7.16, 1.94)</w:t>
            </w:r>
          </w:p>
        </w:tc>
        <w:tc>
          <w:tcPr>
            <w:tcW w:w="907" w:type="dxa"/>
            <w:gridSpan w:val="2"/>
            <w:shd w:val="clear" w:color="auto" w:fill="auto"/>
            <w:vAlign w:val="bottom"/>
          </w:tcPr>
          <w:p w14:paraId="300C5A98" w14:textId="77777777" w:rsidR="009D2941" w:rsidRPr="00260550" w:rsidRDefault="009D2941" w:rsidP="00260550">
            <w:pPr>
              <w:spacing w:after="0"/>
              <w:jc w:val="center"/>
              <w:rPr>
                <w:rFonts w:ascii="Arial" w:hAnsi="Arial" w:cs="Arial"/>
                <w:sz w:val="14"/>
                <w:szCs w:val="14"/>
              </w:rPr>
            </w:pPr>
          </w:p>
        </w:tc>
        <w:tc>
          <w:tcPr>
            <w:tcW w:w="2137" w:type="dxa"/>
            <w:gridSpan w:val="4"/>
          </w:tcPr>
          <w:p w14:paraId="64FC4A4A"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3.76 (-1.24, 8.76)</w:t>
            </w:r>
          </w:p>
        </w:tc>
        <w:tc>
          <w:tcPr>
            <w:tcW w:w="909" w:type="dxa"/>
            <w:gridSpan w:val="2"/>
            <w:vAlign w:val="bottom"/>
          </w:tcPr>
          <w:p w14:paraId="3DBAE741" w14:textId="77777777" w:rsidR="009D2941" w:rsidRPr="00260550" w:rsidRDefault="009D2941" w:rsidP="00260550">
            <w:pPr>
              <w:spacing w:after="0"/>
              <w:jc w:val="center"/>
              <w:rPr>
                <w:rFonts w:ascii="Arial" w:hAnsi="Arial" w:cs="Arial"/>
                <w:sz w:val="14"/>
                <w:szCs w:val="14"/>
              </w:rPr>
            </w:pPr>
          </w:p>
        </w:tc>
        <w:tc>
          <w:tcPr>
            <w:tcW w:w="2314" w:type="dxa"/>
            <w:gridSpan w:val="4"/>
          </w:tcPr>
          <w:p w14:paraId="46467172"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-6.32 (-17.19, 4.54)</w:t>
            </w:r>
          </w:p>
        </w:tc>
        <w:tc>
          <w:tcPr>
            <w:tcW w:w="1001" w:type="dxa"/>
            <w:gridSpan w:val="4"/>
            <w:vAlign w:val="bottom"/>
          </w:tcPr>
          <w:p w14:paraId="177AEB2C" w14:textId="77777777" w:rsidR="009D2941" w:rsidRPr="00260550" w:rsidRDefault="009D2941" w:rsidP="00260550">
            <w:pPr>
              <w:spacing w:after="0"/>
              <w:jc w:val="center"/>
              <w:rPr>
                <w:rFonts w:ascii="Arial" w:hAnsi="Arial" w:cs="Arial"/>
                <w:sz w:val="14"/>
                <w:szCs w:val="14"/>
              </w:rPr>
            </w:pPr>
          </w:p>
        </w:tc>
        <w:tc>
          <w:tcPr>
            <w:tcW w:w="2408" w:type="dxa"/>
            <w:gridSpan w:val="4"/>
          </w:tcPr>
          <w:p w14:paraId="619CB8C5"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-1.77 (-10.79, 7.26)</w:t>
            </w:r>
          </w:p>
        </w:tc>
        <w:tc>
          <w:tcPr>
            <w:tcW w:w="993" w:type="dxa"/>
            <w:gridSpan w:val="4"/>
            <w:vAlign w:val="bottom"/>
          </w:tcPr>
          <w:p w14:paraId="546949D6" w14:textId="77777777" w:rsidR="009D2941" w:rsidRPr="00260550" w:rsidRDefault="009D2941" w:rsidP="00260550">
            <w:pPr>
              <w:spacing w:after="0"/>
              <w:jc w:val="center"/>
              <w:rPr>
                <w:rFonts w:ascii="Arial" w:hAnsi="Arial" w:cs="Arial"/>
                <w:sz w:val="14"/>
                <w:szCs w:val="14"/>
              </w:rPr>
            </w:pPr>
          </w:p>
        </w:tc>
      </w:tr>
      <w:tr w:rsidR="009D2941" w:rsidRPr="00260550" w14:paraId="20998538" w14:textId="77777777" w:rsidTr="009D2941">
        <w:trPr>
          <w:gridAfter w:val="3"/>
          <w:wAfter w:w="659" w:type="dxa"/>
        </w:trPr>
        <w:tc>
          <w:tcPr>
            <w:tcW w:w="1749" w:type="dxa"/>
            <w:gridSpan w:val="2"/>
            <w:shd w:val="clear" w:color="auto" w:fill="auto"/>
            <w:vAlign w:val="center"/>
          </w:tcPr>
          <w:p w14:paraId="209A96A3" w14:textId="77777777" w:rsidR="009D2941" w:rsidRPr="00260550" w:rsidRDefault="009D2941" w:rsidP="00260550">
            <w:pPr>
              <w:spacing w:after="0"/>
              <w:rPr>
                <w:rFonts w:ascii="Arial" w:hAnsi="Arial" w:cs="Arial"/>
                <w:sz w:val="14"/>
                <w:szCs w:val="14"/>
              </w:rPr>
            </w:pPr>
            <w:r w:rsidRPr="00260550">
              <w:rPr>
                <w:rFonts w:ascii="Arial" w:hAnsi="Arial" w:cs="Arial"/>
                <w:sz w:val="14"/>
                <w:szCs w:val="14"/>
              </w:rPr>
              <w:t>0.242-0.263</w:t>
            </w:r>
          </w:p>
        </w:tc>
        <w:tc>
          <w:tcPr>
            <w:tcW w:w="2094" w:type="dxa"/>
            <w:gridSpan w:val="2"/>
            <w:shd w:val="clear" w:color="auto" w:fill="auto"/>
          </w:tcPr>
          <w:p w14:paraId="1F145761"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-7.13 (-11.66, -2.59)</w:t>
            </w:r>
          </w:p>
        </w:tc>
        <w:tc>
          <w:tcPr>
            <w:tcW w:w="907" w:type="dxa"/>
            <w:gridSpan w:val="2"/>
            <w:shd w:val="clear" w:color="auto" w:fill="auto"/>
            <w:vAlign w:val="bottom"/>
          </w:tcPr>
          <w:p w14:paraId="6A68EB45" w14:textId="77777777" w:rsidR="009D2941" w:rsidRPr="00260550" w:rsidRDefault="009D2941" w:rsidP="00260550">
            <w:pPr>
              <w:spacing w:after="0"/>
              <w:jc w:val="center"/>
              <w:rPr>
                <w:rFonts w:ascii="Arial" w:hAnsi="Arial" w:cs="Arial"/>
                <w:sz w:val="14"/>
                <w:szCs w:val="14"/>
              </w:rPr>
            </w:pPr>
          </w:p>
        </w:tc>
        <w:tc>
          <w:tcPr>
            <w:tcW w:w="2137" w:type="dxa"/>
            <w:gridSpan w:val="4"/>
          </w:tcPr>
          <w:p w14:paraId="56169766"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1.90 (-3.17, 6.98)</w:t>
            </w:r>
          </w:p>
        </w:tc>
        <w:tc>
          <w:tcPr>
            <w:tcW w:w="909" w:type="dxa"/>
            <w:gridSpan w:val="2"/>
            <w:vAlign w:val="bottom"/>
          </w:tcPr>
          <w:p w14:paraId="3BBAFC05" w14:textId="77777777" w:rsidR="009D2941" w:rsidRPr="00260550" w:rsidRDefault="009D2941" w:rsidP="00260550">
            <w:pPr>
              <w:spacing w:after="0"/>
              <w:jc w:val="center"/>
              <w:rPr>
                <w:rFonts w:ascii="Arial" w:hAnsi="Arial" w:cs="Arial"/>
                <w:sz w:val="14"/>
                <w:szCs w:val="14"/>
              </w:rPr>
            </w:pPr>
          </w:p>
        </w:tc>
        <w:tc>
          <w:tcPr>
            <w:tcW w:w="2314" w:type="dxa"/>
            <w:gridSpan w:val="4"/>
          </w:tcPr>
          <w:p w14:paraId="0F632F1A"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-0.23 (-11.11, 10.65)</w:t>
            </w:r>
          </w:p>
        </w:tc>
        <w:tc>
          <w:tcPr>
            <w:tcW w:w="1001" w:type="dxa"/>
            <w:gridSpan w:val="4"/>
            <w:vAlign w:val="bottom"/>
          </w:tcPr>
          <w:p w14:paraId="6B129F68" w14:textId="77777777" w:rsidR="009D2941" w:rsidRPr="00260550" w:rsidRDefault="009D2941" w:rsidP="00260550">
            <w:pPr>
              <w:spacing w:after="0"/>
              <w:jc w:val="center"/>
              <w:rPr>
                <w:rFonts w:ascii="Arial" w:hAnsi="Arial" w:cs="Arial"/>
                <w:sz w:val="14"/>
                <w:szCs w:val="14"/>
              </w:rPr>
            </w:pPr>
          </w:p>
        </w:tc>
        <w:tc>
          <w:tcPr>
            <w:tcW w:w="2408" w:type="dxa"/>
            <w:gridSpan w:val="4"/>
          </w:tcPr>
          <w:p w14:paraId="447A4401"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1.50 (-7.70, 10.70)</w:t>
            </w:r>
          </w:p>
        </w:tc>
        <w:tc>
          <w:tcPr>
            <w:tcW w:w="993" w:type="dxa"/>
            <w:gridSpan w:val="4"/>
            <w:vAlign w:val="bottom"/>
          </w:tcPr>
          <w:p w14:paraId="218FB182" w14:textId="77777777" w:rsidR="009D2941" w:rsidRPr="00260550" w:rsidRDefault="009D2941" w:rsidP="00260550">
            <w:pPr>
              <w:spacing w:after="0"/>
              <w:jc w:val="center"/>
              <w:rPr>
                <w:rFonts w:ascii="Arial" w:hAnsi="Arial" w:cs="Arial"/>
                <w:sz w:val="14"/>
                <w:szCs w:val="14"/>
              </w:rPr>
            </w:pPr>
          </w:p>
        </w:tc>
      </w:tr>
      <w:tr w:rsidR="009D2941" w:rsidRPr="00260550" w14:paraId="1E3701F0" w14:textId="77777777" w:rsidTr="009D2941">
        <w:trPr>
          <w:gridAfter w:val="3"/>
          <w:wAfter w:w="659" w:type="dxa"/>
        </w:trPr>
        <w:tc>
          <w:tcPr>
            <w:tcW w:w="1749" w:type="dxa"/>
            <w:gridSpan w:val="2"/>
            <w:shd w:val="clear" w:color="auto" w:fill="auto"/>
            <w:vAlign w:val="center"/>
          </w:tcPr>
          <w:p w14:paraId="3C9889A3" w14:textId="77777777" w:rsidR="009D2941" w:rsidRPr="00260550" w:rsidRDefault="009D2941" w:rsidP="00260550">
            <w:pPr>
              <w:spacing w:after="0"/>
              <w:rPr>
                <w:rFonts w:ascii="Arial" w:hAnsi="Arial" w:cs="Arial"/>
                <w:sz w:val="14"/>
                <w:szCs w:val="14"/>
              </w:rPr>
            </w:pPr>
            <w:r w:rsidRPr="00260550">
              <w:rPr>
                <w:rFonts w:ascii="Arial" w:hAnsi="Arial" w:cs="Arial"/>
                <w:sz w:val="14"/>
                <w:szCs w:val="14"/>
              </w:rPr>
              <w:t>0.264-0.289</w:t>
            </w:r>
          </w:p>
        </w:tc>
        <w:tc>
          <w:tcPr>
            <w:tcW w:w="2094" w:type="dxa"/>
            <w:gridSpan w:val="2"/>
            <w:shd w:val="clear" w:color="auto" w:fill="auto"/>
          </w:tcPr>
          <w:p w14:paraId="6A090FDD"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-8.74 (-13.36, -4.11)</w:t>
            </w:r>
          </w:p>
        </w:tc>
        <w:tc>
          <w:tcPr>
            <w:tcW w:w="907" w:type="dxa"/>
            <w:gridSpan w:val="2"/>
            <w:shd w:val="clear" w:color="auto" w:fill="auto"/>
            <w:vAlign w:val="bottom"/>
          </w:tcPr>
          <w:p w14:paraId="78B29083" w14:textId="77777777" w:rsidR="009D2941" w:rsidRPr="00260550" w:rsidRDefault="009D2941" w:rsidP="00260550">
            <w:pPr>
              <w:spacing w:after="0"/>
              <w:jc w:val="center"/>
              <w:rPr>
                <w:rFonts w:ascii="Arial" w:hAnsi="Arial" w:cs="Arial"/>
                <w:sz w:val="14"/>
                <w:szCs w:val="14"/>
              </w:rPr>
            </w:pPr>
          </w:p>
        </w:tc>
        <w:tc>
          <w:tcPr>
            <w:tcW w:w="2137" w:type="dxa"/>
            <w:gridSpan w:val="4"/>
          </w:tcPr>
          <w:p w14:paraId="755EDBC3"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-2.42 (-7.76, 2.92)</w:t>
            </w:r>
          </w:p>
        </w:tc>
        <w:tc>
          <w:tcPr>
            <w:tcW w:w="909" w:type="dxa"/>
            <w:gridSpan w:val="2"/>
            <w:vAlign w:val="bottom"/>
          </w:tcPr>
          <w:p w14:paraId="5321B084" w14:textId="77777777" w:rsidR="009D2941" w:rsidRPr="00260550" w:rsidRDefault="009D2941" w:rsidP="00260550">
            <w:pPr>
              <w:spacing w:after="0"/>
              <w:jc w:val="center"/>
              <w:rPr>
                <w:rFonts w:ascii="Arial" w:hAnsi="Arial" w:cs="Arial"/>
                <w:sz w:val="14"/>
                <w:szCs w:val="14"/>
              </w:rPr>
            </w:pPr>
          </w:p>
        </w:tc>
        <w:tc>
          <w:tcPr>
            <w:tcW w:w="2314" w:type="dxa"/>
            <w:gridSpan w:val="4"/>
          </w:tcPr>
          <w:p w14:paraId="4E7D885A"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-7.13 (-18.39, 4.13)</w:t>
            </w:r>
          </w:p>
        </w:tc>
        <w:tc>
          <w:tcPr>
            <w:tcW w:w="1001" w:type="dxa"/>
            <w:gridSpan w:val="4"/>
            <w:vAlign w:val="bottom"/>
          </w:tcPr>
          <w:p w14:paraId="40E4BAB7" w14:textId="77777777" w:rsidR="009D2941" w:rsidRPr="00260550" w:rsidRDefault="009D2941" w:rsidP="00260550">
            <w:pPr>
              <w:spacing w:after="0"/>
              <w:jc w:val="center"/>
              <w:rPr>
                <w:rFonts w:ascii="Arial" w:hAnsi="Arial" w:cs="Arial"/>
                <w:sz w:val="14"/>
                <w:szCs w:val="14"/>
              </w:rPr>
            </w:pPr>
          </w:p>
        </w:tc>
        <w:tc>
          <w:tcPr>
            <w:tcW w:w="2408" w:type="dxa"/>
            <w:gridSpan w:val="4"/>
          </w:tcPr>
          <w:p w14:paraId="21DBC60A"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-4.54 (-13.97, 4.90)</w:t>
            </w:r>
          </w:p>
        </w:tc>
        <w:tc>
          <w:tcPr>
            <w:tcW w:w="993" w:type="dxa"/>
            <w:gridSpan w:val="4"/>
            <w:vAlign w:val="bottom"/>
          </w:tcPr>
          <w:p w14:paraId="07493305" w14:textId="77777777" w:rsidR="009D2941" w:rsidRPr="00260550" w:rsidRDefault="009D2941" w:rsidP="00260550">
            <w:pPr>
              <w:spacing w:after="0"/>
              <w:jc w:val="center"/>
              <w:rPr>
                <w:rFonts w:ascii="Arial" w:hAnsi="Arial" w:cs="Arial"/>
                <w:sz w:val="14"/>
                <w:szCs w:val="14"/>
              </w:rPr>
            </w:pPr>
          </w:p>
        </w:tc>
      </w:tr>
      <w:tr w:rsidR="009D2941" w:rsidRPr="00260550" w14:paraId="73A6C4E2" w14:textId="77777777" w:rsidTr="009D2941">
        <w:trPr>
          <w:gridAfter w:val="3"/>
          <w:wAfter w:w="659" w:type="dxa"/>
        </w:trPr>
        <w:tc>
          <w:tcPr>
            <w:tcW w:w="1749" w:type="dxa"/>
            <w:gridSpan w:val="2"/>
            <w:shd w:val="clear" w:color="auto" w:fill="auto"/>
            <w:vAlign w:val="center"/>
          </w:tcPr>
          <w:p w14:paraId="3F5213BA" w14:textId="77777777" w:rsidR="009D2941" w:rsidRPr="00260550" w:rsidRDefault="009D2941" w:rsidP="00260550">
            <w:pPr>
              <w:spacing w:after="0"/>
              <w:rPr>
                <w:rFonts w:ascii="Arial" w:hAnsi="Arial" w:cs="Arial"/>
                <w:sz w:val="14"/>
                <w:szCs w:val="14"/>
              </w:rPr>
            </w:pPr>
            <w:r w:rsidRPr="00260550">
              <w:rPr>
                <w:rFonts w:ascii="Arial" w:hAnsi="Arial" w:cs="Arial"/>
                <w:sz w:val="14"/>
                <w:szCs w:val="14"/>
                <w:u w:val="single"/>
              </w:rPr>
              <w:t>&gt;</w:t>
            </w:r>
            <w:r w:rsidRPr="00260550">
              <w:rPr>
                <w:rFonts w:ascii="Arial" w:hAnsi="Arial" w:cs="Arial"/>
                <w:sz w:val="14"/>
                <w:szCs w:val="14"/>
              </w:rPr>
              <w:t>0.290</w:t>
            </w:r>
          </w:p>
        </w:tc>
        <w:tc>
          <w:tcPr>
            <w:tcW w:w="2094" w:type="dxa"/>
            <w:gridSpan w:val="2"/>
            <w:shd w:val="clear" w:color="auto" w:fill="auto"/>
          </w:tcPr>
          <w:p w14:paraId="0103ABC0"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-8.46 (-13.27, -3.64)</w:t>
            </w:r>
          </w:p>
        </w:tc>
        <w:tc>
          <w:tcPr>
            <w:tcW w:w="907" w:type="dxa"/>
            <w:gridSpan w:val="2"/>
            <w:shd w:val="clear" w:color="auto" w:fill="auto"/>
            <w:vAlign w:val="bottom"/>
          </w:tcPr>
          <w:p w14:paraId="04E0A292" w14:textId="77777777" w:rsidR="009D2941" w:rsidRPr="00260550" w:rsidRDefault="009D2941" w:rsidP="00260550">
            <w:pPr>
              <w:spacing w:after="0"/>
              <w:jc w:val="center"/>
              <w:rPr>
                <w:rFonts w:ascii="Arial" w:hAnsi="Arial" w:cs="Arial"/>
                <w:sz w:val="14"/>
                <w:szCs w:val="14"/>
              </w:rPr>
            </w:pPr>
          </w:p>
        </w:tc>
        <w:tc>
          <w:tcPr>
            <w:tcW w:w="2137" w:type="dxa"/>
            <w:gridSpan w:val="4"/>
          </w:tcPr>
          <w:p w14:paraId="38C968E6"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-2.01 (-7.61, 3.58)</w:t>
            </w:r>
          </w:p>
        </w:tc>
        <w:tc>
          <w:tcPr>
            <w:tcW w:w="909" w:type="dxa"/>
            <w:gridSpan w:val="2"/>
            <w:vAlign w:val="bottom"/>
          </w:tcPr>
          <w:p w14:paraId="21CA04D3" w14:textId="77777777" w:rsidR="009D2941" w:rsidRPr="00260550" w:rsidRDefault="009D2941" w:rsidP="00260550">
            <w:pPr>
              <w:spacing w:after="0"/>
              <w:jc w:val="center"/>
              <w:rPr>
                <w:rFonts w:ascii="Arial" w:hAnsi="Arial" w:cs="Arial"/>
                <w:sz w:val="14"/>
                <w:szCs w:val="14"/>
              </w:rPr>
            </w:pPr>
          </w:p>
        </w:tc>
        <w:tc>
          <w:tcPr>
            <w:tcW w:w="2314" w:type="dxa"/>
            <w:gridSpan w:val="4"/>
          </w:tcPr>
          <w:p w14:paraId="5E27CEE5"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-8.73 (-20.40, 2.94)</w:t>
            </w:r>
          </w:p>
        </w:tc>
        <w:tc>
          <w:tcPr>
            <w:tcW w:w="1001" w:type="dxa"/>
            <w:gridSpan w:val="4"/>
            <w:vAlign w:val="bottom"/>
          </w:tcPr>
          <w:p w14:paraId="38390288" w14:textId="77777777" w:rsidR="009D2941" w:rsidRPr="00260550" w:rsidRDefault="009D2941" w:rsidP="00260550">
            <w:pPr>
              <w:spacing w:after="0"/>
              <w:jc w:val="center"/>
              <w:rPr>
                <w:rFonts w:ascii="Arial" w:hAnsi="Arial" w:cs="Arial"/>
                <w:sz w:val="14"/>
                <w:szCs w:val="14"/>
              </w:rPr>
            </w:pPr>
          </w:p>
        </w:tc>
        <w:tc>
          <w:tcPr>
            <w:tcW w:w="2408" w:type="dxa"/>
            <w:gridSpan w:val="4"/>
          </w:tcPr>
          <w:p w14:paraId="7E22DEFD"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1.72 (-7.49, 10.92)</w:t>
            </w:r>
          </w:p>
        </w:tc>
        <w:tc>
          <w:tcPr>
            <w:tcW w:w="993" w:type="dxa"/>
            <w:gridSpan w:val="4"/>
            <w:vAlign w:val="bottom"/>
          </w:tcPr>
          <w:p w14:paraId="1AD189F9" w14:textId="77777777" w:rsidR="009D2941" w:rsidRPr="00260550" w:rsidRDefault="009D2941" w:rsidP="00260550">
            <w:pPr>
              <w:spacing w:after="0"/>
              <w:jc w:val="center"/>
              <w:rPr>
                <w:rFonts w:ascii="Arial" w:hAnsi="Arial" w:cs="Arial"/>
                <w:sz w:val="14"/>
                <w:szCs w:val="14"/>
              </w:rPr>
            </w:pPr>
          </w:p>
        </w:tc>
      </w:tr>
      <w:tr w:rsidR="009D2941" w:rsidRPr="00260550" w14:paraId="046203C4" w14:textId="77777777" w:rsidTr="009D2941">
        <w:trPr>
          <w:gridAfter w:val="3"/>
          <w:wAfter w:w="659" w:type="dxa"/>
        </w:trPr>
        <w:tc>
          <w:tcPr>
            <w:tcW w:w="1749" w:type="dxa"/>
            <w:gridSpan w:val="2"/>
            <w:shd w:val="clear" w:color="auto" w:fill="auto"/>
            <w:vAlign w:val="bottom"/>
          </w:tcPr>
          <w:p w14:paraId="5FDC117A" w14:textId="77777777" w:rsidR="009D2941" w:rsidRPr="00260550" w:rsidRDefault="009D2941" w:rsidP="00260550">
            <w:pPr>
              <w:spacing w:after="0"/>
              <w:rPr>
                <w:rFonts w:ascii="Arial" w:hAnsi="Arial" w:cs="Arial"/>
                <w:b/>
                <w:sz w:val="14"/>
                <w:szCs w:val="14"/>
              </w:rPr>
            </w:pPr>
            <w:r w:rsidRPr="00260550">
              <w:rPr>
                <w:rFonts w:ascii="Arial" w:eastAsia="Times New Roman" w:hAnsi="Arial" w:cs="Arial"/>
                <w:b/>
                <w:sz w:val="14"/>
                <w:szCs w:val="14"/>
                <w:lang w:eastAsia="en-GB"/>
              </w:rPr>
              <w:t>C</w:t>
            </w:r>
            <w:r w:rsidRPr="00260550">
              <w:rPr>
                <w:rFonts w:ascii="Arial" w:eastAsia="Times New Roman" w:hAnsi="Arial" w:cs="Arial"/>
                <w:b/>
                <w:sz w:val="14"/>
                <w:szCs w:val="14"/>
                <w:vertAlign w:val="subscript"/>
                <w:lang w:eastAsia="en-GB"/>
              </w:rPr>
              <w:t>24h</w:t>
            </w:r>
            <w:r w:rsidRPr="00260550">
              <w:rPr>
                <w:rFonts w:ascii="Arial" w:eastAsia="Times New Roman" w:hAnsi="Arial" w:cs="Arial"/>
                <w:b/>
                <w:sz w:val="14"/>
                <w:szCs w:val="14"/>
                <w:lang w:eastAsia="en-GB"/>
              </w:rPr>
              <w:t xml:space="preserve"> (mg/L)</w:t>
            </w:r>
          </w:p>
        </w:tc>
        <w:tc>
          <w:tcPr>
            <w:tcW w:w="2094" w:type="dxa"/>
            <w:gridSpan w:val="2"/>
            <w:shd w:val="clear" w:color="auto" w:fill="auto"/>
            <w:vAlign w:val="bottom"/>
          </w:tcPr>
          <w:p w14:paraId="044DF553" w14:textId="77777777" w:rsidR="009D2941" w:rsidRPr="00260550" w:rsidRDefault="009D2941" w:rsidP="00260550">
            <w:pPr>
              <w:spacing w:after="0"/>
              <w:jc w:val="center"/>
              <w:rPr>
                <w:rFonts w:ascii="Arial" w:hAnsi="Arial" w:cs="Arial"/>
                <w:sz w:val="14"/>
                <w:szCs w:val="14"/>
              </w:rPr>
            </w:pPr>
          </w:p>
        </w:tc>
        <w:tc>
          <w:tcPr>
            <w:tcW w:w="907" w:type="dxa"/>
            <w:gridSpan w:val="2"/>
            <w:shd w:val="clear" w:color="auto" w:fill="auto"/>
            <w:vAlign w:val="bottom"/>
          </w:tcPr>
          <w:p w14:paraId="3DC914E5"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0.003</w:t>
            </w:r>
          </w:p>
        </w:tc>
        <w:tc>
          <w:tcPr>
            <w:tcW w:w="2137" w:type="dxa"/>
            <w:gridSpan w:val="4"/>
            <w:vAlign w:val="bottom"/>
          </w:tcPr>
          <w:p w14:paraId="66336151" w14:textId="77777777" w:rsidR="009D2941" w:rsidRPr="00260550" w:rsidRDefault="009D2941" w:rsidP="00260550">
            <w:pPr>
              <w:spacing w:after="0"/>
              <w:jc w:val="center"/>
              <w:rPr>
                <w:rFonts w:ascii="Arial" w:hAnsi="Arial" w:cs="Arial"/>
                <w:sz w:val="14"/>
                <w:szCs w:val="14"/>
              </w:rPr>
            </w:pPr>
          </w:p>
        </w:tc>
        <w:tc>
          <w:tcPr>
            <w:tcW w:w="909" w:type="dxa"/>
            <w:gridSpan w:val="2"/>
            <w:vAlign w:val="bottom"/>
          </w:tcPr>
          <w:p w14:paraId="5C294F3E"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0.05</w:t>
            </w:r>
          </w:p>
        </w:tc>
        <w:tc>
          <w:tcPr>
            <w:tcW w:w="2314" w:type="dxa"/>
            <w:gridSpan w:val="4"/>
            <w:vAlign w:val="bottom"/>
          </w:tcPr>
          <w:p w14:paraId="37D1F02A" w14:textId="77777777" w:rsidR="009D2941" w:rsidRPr="00260550" w:rsidRDefault="009D2941" w:rsidP="00260550">
            <w:pPr>
              <w:spacing w:after="0"/>
              <w:jc w:val="center"/>
              <w:rPr>
                <w:rFonts w:ascii="Arial" w:hAnsi="Arial" w:cs="Arial"/>
                <w:sz w:val="14"/>
                <w:szCs w:val="14"/>
              </w:rPr>
            </w:pPr>
          </w:p>
        </w:tc>
        <w:tc>
          <w:tcPr>
            <w:tcW w:w="1001" w:type="dxa"/>
            <w:gridSpan w:val="4"/>
            <w:vAlign w:val="bottom"/>
          </w:tcPr>
          <w:p w14:paraId="0BF751A7"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0.94</w:t>
            </w:r>
          </w:p>
        </w:tc>
        <w:tc>
          <w:tcPr>
            <w:tcW w:w="2408" w:type="dxa"/>
            <w:gridSpan w:val="4"/>
            <w:vAlign w:val="bottom"/>
          </w:tcPr>
          <w:p w14:paraId="2A0437B4" w14:textId="77777777" w:rsidR="009D2941" w:rsidRPr="00260550" w:rsidRDefault="009D2941" w:rsidP="00260550">
            <w:pPr>
              <w:spacing w:after="0"/>
              <w:jc w:val="center"/>
              <w:rPr>
                <w:rFonts w:ascii="Arial" w:hAnsi="Arial" w:cs="Arial"/>
                <w:sz w:val="14"/>
                <w:szCs w:val="14"/>
              </w:rPr>
            </w:pPr>
          </w:p>
        </w:tc>
        <w:tc>
          <w:tcPr>
            <w:tcW w:w="993" w:type="dxa"/>
            <w:gridSpan w:val="4"/>
            <w:vAlign w:val="bottom"/>
          </w:tcPr>
          <w:p w14:paraId="7ED9CB87"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0.77</w:t>
            </w:r>
          </w:p>
        </w:tc>
      </w:tr>
      <w:tr w:rsidR="009D2941" w:rsidRPr="00260550" w14:paraId="4EF43380" w14:textId="77777777" w:rsidTr="009D2941">
        <w:trPr>
          <w:gridAfter w:val="3"/>
          <w:wAfter w:w="659" w:type="dxa"/>
        </w:trPr>
        <w:tc>
          <w:tcPr>
            <w:tcW w:w="1749" w:type="dxa"/>
            <w:gridSpan w:val="2"/>
            <w:shd w:val="clear" w:color="auto" w:fill="auto"/>
            <w:vAlign w:val="center"/>
          </w:tcPr>
          <w:p w14:paraId="3F372449" w14:textId="77777777" w:rsidR="009D2941" w:rsidRPr="00260550" w:rsidRDefault="009D2941" w:rsidP="00260550">
            <w:pPr>
              <w:spacing w:after="0"/>
              <w:rPr>
                <w:rFonts w:ascii="Arial" w:hAnsi="Arial" w:cs="Arial"/>
                <w:sz w:val="14"/>
                <w:szCs w:val="14"/>
              </w:rPr>
            </w:pPr>
            <w:r w:rsidRPr="00260550">
              <w:rPr>
                <w:rFonts w:ascii="Arial" w:hAnsi="Arial" w:cs="Arial"/>
                <w:sz w:val="14"/>
                <w:szCs w:val="14"/>
              </w:rPr>
              <w:t>≤0.042</w:t>
            </w:r>
          </w:p>
        </w:tc>
        <w:tc>
          <w:tcPr>
            <w:tcW w:w="2094" w:type="dxa"/>
            <w:gridSpan w:val="2"/>
            <w:shd w:val="clear" w:color="auto" w:fill="auto"/>
            <w:vAlign w:val="bottom"/>
          </w:tcPr>
          <w:p w14:paraId="2CEDF45D"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Ref.</w:t>
            </w:r>
          </w:p>
        </w:tc>
        <w:tc>
          <w:tcPr>
            <w:tcW w:w="907" w:type="dxa"/>
            <w:gridSpan w:val="2"/>
            <w:shd w:val="clear" w:color="auto" w:fill="auto"/>
            <w:vAlign w:val="bottom"/>
          </w:tcPr>
          <w:p w14:paraId="3FC46D66"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w:t>
            </w:r>
          </w:p>
        </w:tc>
        <w:tc>
          <w:tcPr>
            <w:tcW w:w="2137" w:type="dxa"/>
            <w:gridSpan w:val="4"/>
            <w:vAlign w:val="bottom"/>
          </w:tcPr>
          <w:p w14:paraId="6DA5C52F"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Ref.</w:t>
            </w:r>
          </w:p>
        </w:tc>
        <w:tc>
          <w:tcPr>
            <w:tcW w:w="909" w:type="dxa"/>
            <w:gridSpan w:val="2"/>
            <w:vAlign w:val="bottom"/>
          </w:tcPr>
          <w:p w14:paraId="0B8A81D5"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w:t>
            </w:r>
          </w:p>
        </w:tc>
        <w:tc>
          <w:tcPr>
            <w:tcW w:w="2314" w:type="dxa"/>
            <w:gridSpan w:val="4"/>
            <w:vAlign w:val="bottom"/>
          </w:tcPr>
          <w:p w14:paraId="5BA36F44"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Ref.</w:t>
            </w:r>
          </w:p>
        </w:tc>
        <w:tc>
          <w:tcPr>
            <w:tcW w:w="1001" w:type="dxa"/>
            <w:gridSpan w:val="4"/>
            <w:vAlign w:val="bottom"/>
          </w:tcPr>
          <w:p w14:paraId="27F067F5"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w:t>
            </w:r>
          </w:p>
        </w:tc>
        <w:tc>
          <w:tcPr>
            <w:tcW w:w="2408" w:type="dxa"/>
            <w:gridSpan w:val="4"/>
            <w:vAlign w:val="bottom"/>
          </w:tcPr>
          <w:p w14:paraId="4CD0FD31"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Ref.</w:t>
            </w:r>
          </w:p>
        </w:tc>
        <w:tc>
          <w:tcPr>
            <w:tcW w:w="993" w:type="dxa"/>
            <w:gridSpan w:val="4"/>
            <w:vAlign w:val="bottom"/>
          </w:tcPr>
          <w:p w14:paraId="088E1CD1"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w:t>
            </w:r>
          </w:p>
        </w:tc>
      </w:tr>
      <w:tr w:rsidR="009D2941" w:rsidRPr="00260550" w14:paraId="5B2138B1" w14:textId="77777777" w:rsidTr="009D2941">
        <w:trPr>
          <w:gridAfter w:val="3"/>
          <w:wAfter w:w="659" w:type="dxa"/>
        </w:trPr>
        <w:tc>
          <w:tcPr>
            <w:tcW w:w="1749" w:type="dxa"/>
            <w:gridSpan w:val="2"/>
            <w:shd w:val="clear" w:color="auto" w:fill="auto"/>
            <w:vAlign w:val="center"/>
          </w:tcPr>
          <w:p w14:paraId="09688A79" w14:textId="77777777" w:rsidR="009D2941" w:rsidRPr="00260550" w:rsidRDefault="009D2941" w:rsidP="00260550">
            <w:pPr>
              <w:spacing w:after="0"/>
              <w:rPr>
                <w:rFonts w:ascii="Arial" w:hAnsi="Arial" w:cs="Arial"/>
                <w:sz w:val="14"/>
                <w:szCs w:val="14"/>
              </w:rPr>
            </w:pPr>
            <w:r w:rsidRPr="00260550">
              <w:rPr>
                <w:rFonts w:ascii="Arial" w:hAnsi="Arial" w:cs="Arial"/>
                <w:sz w:val="14"/>
                <w:szCs w:val="14"/>
              </w:rPr>
              <w:t>0.043-0.049</w:t>
            </w:r>
          </w:p>
        </w:tc>
        <w:tc>
          <w:tcPr>
            <w:tcW w:w="2094" w:type="dxa"/>
            <w:gridSpan w:val="2"/>
            <w:shd w:val="clear" w:color="auto" w:fill="auto"/>
          </w:tcPr>
          <w:p w14:paraId="0FC8704B"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-3.62 (-8.33, 1.09)</w:t>
            </w:r>
          </w:p>
        </w:tc>
        <w:tc>
          <w:tcPr>
            <w:tcW w:w="907" w:type="dxa"/>
            <w:gridSpan w:val="2"/>
            <w:shd w:val="clear" w:color="auto" w:fill="auto"/>
            <w:vAlign w:val="bottom"/>
          </w:tcPr>
          <w:p w14:paraId="1788A31F" w14:textId="77777777" w:rsidR="009D2941" w:rsidRPr="00260550" w:rsidRDefault="009D2941" w:rsidP="00260550">
            <w:pPr>
              <w:spacing w:after="0"/>
              <w:jc w:val="center"/>
              <w:rPr>
                <w:rFonts w:ascii="Arial" w:hAnsi="Arial" w:cs="Arial"/>
                <w:sz w:val="14"/>
                <w:szCs w:val="14"/>
              </w:rPr>
            </w:pPr>
          </w:p>
        </w:tc>
        <w:tc>
          <w:tcPr>
            <w:tcW w:w="2137" w:type="dxa"/>
            <w:gridSpan w:val="4"/>
          </w:tcPr>
          <w:p w14:paraId="6FE6A6BD"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3.11 (-1.86, 8.08)</w:t>
            </w:r>
          </w:p>
        </w:tc>
        <w:tc>
          <w:tcPr>
            <w:tcW w:w="909" w:type="dxa"/>
            <w:gridSpan w:val="2"/>
            <w:vAlign w:val="bottom"/>
          </w:tcPr>
          <w:p w14:paraId="7E978FA0" w14:textId="77777777" w:rsidR="009D2941" w:rsidRPr="00260550" w:rsidRDefault="009D2941" w:rsidP="00260550">
            <w:pPr>
              <w:spacing w:after="0"/>
              <w:jc w:val="center"/>
              <w:rPr>
                <w:rFonts w:ascii="Arial" w:hAnsi="Arial" w:cs="Arial"/>
                <w:sz w:val="14"/>
                <w:szCs w:val="14"/>
              </w:rPr>
            </w:pPr>
          </w:p>
        </w:tc>
        <w:tc>
          <w:tcPr>
            <w:tcW w:w="2314" w:type="dxa"/>
            <w:gridSpan w:val="4"/>
          </w:tcPr>
          <w:p w14:paraId="176DEDC8"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-0.58 (-11.69, 10.53)</w:t>
            </w:r>
          </w:p>
        </w:tc>
        <w:tc>
          <w:tcPr>
            <w:tcW w:w="1001" w:type="dxa"/>
            <w:gridSpan w:val="4"/>
            <w:vAlign w:val="bottom"/>
          </w:tcPr>
          <w:p w14:paraId="6F47C07C" w14:textId="77777777" w:rsidR="009D2941" w:rsidRPr="00260550" w:rsidRDefault="009D2941" w:rsidP="00260550">
            <w:pPr>
              <w:spacing w:after="0"/>
              <w:jc w:val="center"/>
              <w:rPr>
                <w:rFonts w:ascii="Arial" w:hAnsi="Arial" w:cs="Arial"/>
                <w:sz w:val="14"/>
                <w:szCs w:val="14"/>
              </w:rPr>
            </w:pPr>
          </w:p>
        </w:tc>
        <w:tc>
          <w:tcPr>
            <w:tcW w:w="2408" w:type="dxa"/>
            <w:gridSpan w:val="4"/>
          </w:tcPr>
          <w:p w14:paraId="2EB0430B"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-7.97 (-17.23, 1.30)</w:t>
            </w:r>
          </w:p>
        </w:tc>
        <w:tc>
          <w:tcPr>
            <w:tcW w:w="993" w:type="dxa"/>
            <w:gridSpan w:val="4"/>
            <w:vAlign w:val="bottom"/>
          </w:tcPr>
          <w:p w14:paraId="3B08C959" w14:textId="77777777" w:rsidR="009D2941" w:rsidRPr="00260550" w:rsidRDefault="009D2941" w:rsidP="00260550">
            <w:pPr>
              <w:spacing w:after="0"/>
              <w:jc w:val="center"/>
              <w:rPr>
                <w:rFonts w:ascii="Arial" w:hAnsi="Arial" w:cs="Arial"/>
                <w:sz w:val="14"/>
                <w:szCs w:val="14"/>
              </w:rPr>
            </w:pPr>
          </w:p>
        </w:tc>
      </w:tr>
      <w:tr w:rsidR="009D2941" w:rsidRPr="00260550" w14:paraId="52DC415D" w14:textId="77777777" w:rsidTr="009D2941">
        <w:trPr>
          <w:gridAfter w:val="3"/>
          <w:wAfter w:w="659" w:type="dxa"/>
        </w:trPr>
        <w:tc>
          <w:tcPr>
            <w:tcW w:w="1749" w:type="dxa"/>
            <w:gridSpan w:val="2"/>
            <w:shd w:val="clear" w:color="auto" w:fill="auto"/>
            <w:vAlign w:val="center"/>
          </w:tcPr>
          <w:p w14:paraId="2488C494" w14:textId="77777777" w:rsidR="009D2941" w:rsidRPr="00260550" w:rsidRDefault="009D2941" w:rsidP="00260550">
            <w:pPr>
              <w:spacing w:after="0"/>
              <w:rPr>
                <w:rFonts w:ascii="Arial" w:hAnsi="Arial" w:cs="Arial"/>
                <w:sz w:val="14"/>
                <w:szCs w:val="14"/>
              </w:rPr>
            </w:pPr>
            <w:r w:rsidRPr="00260550">
              <w:rPr>
                <w:rFonts w:ascii="Arial" w:hAnsi="Arial" w:cs="Arial"/>
                <w:sz w:val="14"/>
                <w:szCs w:val="14"/>
              </w:rPr>
              <w:t>0.050-0.057</w:t>
            </w:r>
          </w:p>
        </w:tc>
        <w:tc>
          <w:tcPr>
            <w:tcW w:w="2094" w:type="dxa"/>
            <w:gridSpan w:val="2"/>
            <w:shd w:val="clear" w:color="auto" w:fill="auto"/>
          </w:tcPr>
          <w:p w14:paraId="0DA45EFE"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-5.99 (-10.70, -1.28)</w:t>
            </w:r>
          </w:p>
        </w:tc>
        <w:tc>
          <w:tcPr>
            <w:tcW w:w="907" w:type="dxa"/>
            <w:gridSpan w:val="2"/>
            <w:shd w:val="clear" w:color="auto" w:fill="auto"/>
            <w:vAlign w:val="bottom"/>
          </w:tcPr>
          <w:p w14:paraId="75DCF5F6" w14:textId="77777777" w:rsidR="009D2941" w:rsidRPr="00260550" w:rsidRDefault="009D2941" w:rsidP="00260550">
            <w:pPr>
              <w:spacing w:after="0"/>
              <w:jc w:val="center"/>
              <w:rPr>
                <w:rFonts w:ascii="Arial" w:hAnsi="Arial" w:cs="Arial"/>
                <w:sz w:val="14"/>
                <w:szCs w:val="14"/>
              </w:rPr>
            </w:pPr>
          </w:p>
        </w:tc>
        <w:tc>
          <w:tcPr>
            <w:tcW w:w="2137" w:type="dxa"/>
            <w:gridSpan w:val="4"/>
          </w:tcPr>
          <w:p w14:paraId="38D4C758"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0.94 (-4.05, 5.94)</w:t>
            </w:r>
          </w:p>
        </w:tc>
        <w:tc>
          <w:tcPr>
            <w:tcW w:w="909" w:type="dxa"/>
            <w:gridSpan w:val="2"/>
            <w:vAlign w:val="bottom"/>
          </w:tcPr>
          <w:p w14:paraId="55F040E0" w14:textId="77777777" w:rsidR="009D2941" w:rsidRPr="00260550" w:rsidRDefault="009D2941" w:rsidP="00260550">
            <w:pPr>
              <w:spacing w:after="0"/>
              <w:jc w:val="center"/>
              <w:rPr>
                <w:rFonts w:ascii="Arial" w:hAnsi="Arial" w:cs="Arial"/>
                <w:sz w:val="14"/>
                <w:szCs w:val="14"/>
              </w:rPr>
            </w:pPr>
          </w:p>
        </w:tc>
        <w:tc>
          <w:tcPr>
            <w:tcW w:w="2314" w:type="dxa"/>
            <w:gridSpan w:val="4"/>
          </w:tcPr>
          <w:p w14:paraId="7CF5BD45"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0.26 (-10.67, 11.19)</w:t>
            </w:r>
          </w:p>
        </w:tc>
        <w:tc>
          <w:tcPr>
            <w:tcW w:w="1001" w:type="dxa"/>
            <w:gridSpan w:val="4"/>
            <w:vAlign w:val="bottom"/>
          </w:tcPr>
          <w:p w14:paraId="7A6AEF7B" w14:textId="77777777" w:rsidR="009D2941" w:rsidRPr="00260550" w:rsidRDefault="009D2941" w:rsidP="00260550">
            <w:pPr>
              <w:spacing w:after="0"/>
              <w:jc w:val="center"/>
              <w:rPr>
                <w:rFonts w:ascii="Arial" w:hAnsi="Arial" w:cs="Arial"/>
                <w:sz w:val="14"/>
                <w:szCs w:val="14"/>
              </w:rPr>
            </w:pPr>
          </w:p>
        </w:tc>
        <w:tc>
          <w:tcPr>
            <w:tcW w:w="2408" w:type="dxa"/>
            <w:gridSpan w:val="4"/>
          </w:tcPr>
          <w:p w14:paraId="737245C8"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1.85 (-7.33, 11.03)</w:t>
            </w:r>
          </w:p>
        </w:tc>
        <w:tc>
          <w:tcPr>
            <w:tcW w:w="993" w:type="dxa"/>
            <w:gridSpan w:val="4"/>
            <w:vAlign w:val="bottom"/>
          </w:tcPr>
          <w:p w14:paraId="01EBEC7E" w14:textId="77777777" w:rsidR="009D2941" w:rsidRPr="00260550" w:rsidRDefault="009D2941" w:rsidP="00260550">
            <w:pPr>
              <w:spacing w:after="0"/>
              <w:jc w:val="center"/>
              <w:rPr>
                <w:rFonts w:ascii="Arial" w:hAnsi="Arial" w:cs="Arial"/>
                <w:sz w:val="14"/>
                <w:szCs w:val="14"/>
              </w:rPr>
            </w:pPr>
          </w:p>
        </w:tc>
      </w:tr>
      <w:tr w:rsidR="009D2941" w:rsidRPr="00260550" w14:paraId="0D7D817B" w14:textId="77777777" w:rsidTr="009D2941">
        <w:trPr>
          <w:gridAfter w:val="3"/>
          <w:wAfter w:w="659" w:type="dxa"/>
        </w:trPr>
        <w:tc>
          <w:tcPr>
            <w:tcW w:w="1749" w:type="dxa"/>
            <w:gridSpan w:val="2"/>
            <w:shd w:val="clear" w:color="auto" w:fill="auto"/>
            <w:vAlign w:val="center"/>
          </w:tcPr>
          <w:p w14:paraId="66C47157" w14:textId="77777777" w:rsidR="009D2941" w:rsidRPr="00260550" w:rsidRDefault="009D2941" w:rsidP="00260550">
            <w:pPr>
              <w:spacing w:after="0"/>
              <w:rPr>
                <w:rFonts w:ascii="Arial" w:hAnsi="Arial" w:cs="Arial"/>
                <w:sz w:val="14"/>
                <w:szCs w:val="14"/>
              </w:rPr>
            </w:pPr>
            <w:r w:rsidRPr="00260550">
              <w:rPr>
                <w:rFonts w:ascii="Arial" w:hAnsi="Arial" w:cs="Arial"/>
                <w:sz w:val="14"/>
                <w:szCs w:val="14"/>
              </w:rPr>
              <w:t>0.058-0.072</w:t>
            </w:r>
          </w:p>
        </w:tc>
        <w:tc>
          <w:tcPr>
            <w:tcW w:w="2094" w:type="dxa"/>
            <w:gridSpan w:val="2"/>
            <w:shd w:val="clear" w:color="auto" w:fill="auto"/>
          </w:tcPr>
          <w:p w14:paraId="53F4DF29"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-6.89 (-11.86, -1.93)</w:t>
            </w:r>
          </w:p>
        </w:tc>
        <w:tc>
          <w:tcPr>
            <w:tcW w:w="907" w:type="dxa"/>
            <w:gridSpan w:val="2"/>
            <w:shd w:val="clear" w:color="auto" w:fill="auto"/>
            <w:vAlign w:val="bottom"/>
          </w:tcPr>
          <w:p w14:paraId="74220627" w14:textId="77777777" w:rsidR="009D2941" w:rsidRPr="00260550" w:rsidRDefault="009D2941" w:rsidP="00260550">
            <w:pPr>
              <w:spacing w:after="0"/>
              <w:jc w:val="center"/>
              <w:rPr>
                <w:rFonts w:ascii="Arial" w:hAnsi="Arial" w:cs="Arial"/>
                <w:sz w:val="14"/>
                <w:szCs w:val="14"/>
              </w:rPr>
            </w:pPr>
          </w:p>
        </w:tc>
        <w:tc>
          <w:tcPr>
            <w:tcW w:w="2137" w:type="dxa"/>
            <w:gridSpan w:val="4"/>
          </w:tcPr>
          <w:p w14:paraId="5852F356"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-2.78 (-8.00, 2.44)</w:t>
            </w:r>
          </w:p>
        </w:tc>
        <w:tc>
          <w:tcPr>
            <w:tcW w:w="909" w:type="dxa"/>
            <w:gridSpan w:val="2"/>
            <w:vAlign w:val="bottom"/>
          </w:tcPr>
          <w:p w14:paraId="014E1D1D" w14:textId="77777777" w:rsidR="009D2941" w:rsidRPr="00260550" w:rsidRDefault="009D2941" w:rsidP="00260550">
            <w:pPr>
              <w:spacing w:after="0"/>
              <w:jc w:val="center"/>
              <w:rPr>
                <w:rFonts w:ascii="Arial" w:hAnsi="Arial" w:cs="Arial"/>
                <w:sz w:val="14"/>
                <w:szCs w:val="14"/>
              </w:rPr>
            </w:pPr>
          </w:p>
        </w:tc>
        <w:tc>
          <w:tcPr>
            <w:tcW w:w="2314" w:type="dxa"/>
            <w:gridSpan w:val="4"/>
          </w:tcPr>
          <w:p w14:paraId="2CBF801B"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-2.93 (-14.58, 8.71)</w:t>
            </w:r>
          </w:p>
        </w:tc>
        <w:tc>
          <w:tcPr>
            <w:tcW w:w="1001" w:type="dxa"/>
            <w:gridSpan w:val="4"/>
            <w:vAlign w:val="bottom"/>
          </w:tcPr>
          <w:p w14:paraId="49A269D8" w14:textId="77777777" w:rsidR="009D2941" w:rsidRPr="00260550" w:rsidRDefault="009D2941" w:rsidP="00260550">
            <w:pPr>
              <w:spacing w:after="0"/>
              <w:jc w:val="center"/>
              <w:rPr>
                <w:rFonts w:ascii="Arial" w:hAnsi="Arial" w:cs="Arial"/>
                <w:sz w:val="14"/>
                <w:szCs w:val="14"/>
              </w:rPr>
            </w:pPr>
          </w:p>
        </w:tc>
        <w:tc>
          <w:tcPr>
            <w:tcW w:w="2408" w:type="dxa"/>
            <w:gridSpan w:val="4"/>
          </w:tcPr>
          <w:p w14:paraId="76C3673C"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-0.37 (-9.51, 8.78)</w:t>
            </w:r>
          </w:p>
        </w:tc>
        <w:tc>
          <w:tcPr>
            <w:tcW w:w="993" w:type="dxa"/>
            <w:gridSpan w:val="4"/>
            <w:vAlign w:val="bottom"/>
          </w:tcPr>
          <w:p w14:paraId="415C5033" w14:textId="77777777" w:rsidR="009D2941" w:rsidRPr="00260550" w:rsidRDefault="009D2941" w:rsidP="00260550">
            <w:pPr>
              <w:spacing w:after="0"/>
              <w:jc w:val="center"/>
              <w:rPr>
                <w:rFonts w:ascii="Arial" w:hAnsi="Arial" w:cs="Arial"/>
                <w:sz w:val="14"/>
                <w:szCs w:val="14"/>
              </w:rPr>
            </w:pPr>
          </w:p>
        </w:tc>
      </w:tr>
      <w:tr w:rsidR="009D2941" w:rsidRPr="00260550" w14:paraId="0C08DC7B" w14:textId="77777777" w:rsidTr="009D2941">
        <w:trPr>
          <w:gridAfter w:val="3"/>
          <w:wAfter w:w="659" w:type="dxa"/>
        </w:trPr>
        <w:tc>
          <w:tcPr>
            <w:tcW w:w="1749" w:type="dxa"/>
            <w:gridSpan w:val="2"/>
            <w:tcBorders>
              <w:bottom w:val="single" w:sz="24" w:space="0" w:color="auto"/>
            </w:tcBorders>
            <w:shd w:val="clear" w:color="auto" w:fill="auto"/>
            <w:vAlign w:val="center"/>
          </w:tcPr>
          <w:p w14:paraId="22DD1411" w14:textId="77777777" w:rsidR="009D2941" w:rsidRPr="00260550" w:rsidRDefault="009D2941" w:rsidP="00260550">
            <w:pPr>
              <w:spacing w:after="0"/>
              <w:rPr>
                <w:rFonts w:ascii="Arial" w:hAnsi="Arial" w:cs="Arial"/>
                <w:sz w:val="14"/>
                <w:szCs w:val="14"/>
              </w:rPr>
            </w:pPr>
            <w:r w:rsidRPr="00260550">
              <w:rPr>
                <w:rFonts w:ascii="Arial" w:hAnsi="Arial" w:cs="Arial"/>
                <w:sz w:val="14"/>
                <w:szCs w:val="14"/>
                <w:u w:val="single"/>
              </w:rPr>
              <w:t>&gt;</w:t>
            </w:r>
            <w:r w:rsidRPr="00260550">
              <w:rPr>
                <w:rFonts w:ascii="Arial" w:hAnsi="Arial" w:cs="Arial"/>
                <w:sz w:val="14"/>
                <w:szCs w:val="14"/>
              </w:rPr>
              <w:t>0.073</w:t>
            </w:r>
          </w:p>
        </w:tc>
        <w:tc>
          <w:tcPr>
            <w:tcW w:w="2094" w:type="dxa"/>
            <w:gridSpan w:val="2"/>
            <w:tcBorders>
              <w:bottom w:val="single" w:sz="24" w:space="0" w:color="auto"/>
            </w:tcBorders>
            <w:shd w:val="clear" w:color="auto" w:fill="auto"/>
          </w:tcPr>
          <w:p w14:paraId="390E9090"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-7.05 (-12.15, -1.95)</w:t>
            </w:r>
          </w:p>
        </w:tc>
        <w:tc>
          <w:tcPr>
            <w:tcW w:w="907" w:type="dxa"/>
            <w:gridSpan w:val="2"/>
            <w:tcBorders>
              <w:bottom w:val="single" w:sz="24" w:space="0" w:color="auto"/>
            </w:tcBorders>
            <w:shd w:val="clear" w:color="auto" w:fill="auto"/>
            <w:vAlign w:val="bottom"/>
          </w:tcPr>
          <w:p w14:paraId="7ECCA7F8" w14:textId="77777777" w:rsidR="009D2941" w:rsidRPr="00260550" w:rsidRDefault="009D2941" w:rsidP="00260550">
            <w:pPr>
              <w:spacing w:after="0"/>
              <w:jc w:val="center"/>
              <w:rPr>
                <w:rFonts w:ascii="Arial" w:hAnsi="Arial" w:cs="Arial"/>
                <w:sz w:val="14"/>
                <w:szCs w:val="14"/>
              </w:rPr>
            </w:pPr>
          </w:p>
        </w:tc>
        <w:tc>
          <w:tcPr>
            <w:tcW w:w="2137" w:type="dxa"/>
            <w:gridSpan w:val="4"/>
            <w:tcBorders>
              <w:bottom w:val="single" w:sz="24" w:space="0" w:color="auto"/>
            </w:tcBorders>
          </w:tcPr>
          <w:p w14:paraId="0C54D620"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-3.38 (-8.89, 2.12)</w:t>
            </w:r>
          </w:p>
        </w:tc>
        <w:tc>
          <w:tcPr>
            <w:tcW w:w="909" w:type="dxa"/>
            <w:gridSpan w:val="2"/>
            <w:tcBorders>
              <w:bottom w:val="single" w:sz="24" w:space="0" w:color="auto"/>
            </w:tcBorders>
            <w:vAlign w:val="bottom"/>
          </w:tcPr>
          <w:p w14:paraId="2DA73503" w14:textId="77777777" w:rsidR="009D2941" w:rsidRPr="00260550" w:rsidRDefault="009D2941" w:rsidP="00260550">
            <w:pPr>
              <w:spacing w:after="0"/>
              <w:jc w:val="center"/>
              <w:rPr>
                <w:rFonts w:ascii="Arial" w:hAnsi="Arial" w:cs="Arial"/>
                <w:sz w:val="14"/>
                <w:szCs w:val="14"/>
              </w:rPr>
            </w:pPr>
          </w:p>
        </w:tc>
        <w:tc>
          <w:tcPr>
            <w:tcW w:w="2314" w:type="dxa"/>
            <w:gridSpan w:val="4"/>
            <w:tcBorders>
              <w:bottom w:val="single" w:sz="24" w:space="0" w:color="auto"/>
            </w:tcBorders>
          </w:tcPr>
          <w:p w14:paraId="02A96E17"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0.79 (-11.14, 12.73)</w:t>
            </w:r>
          </w:p>
        </w:tc>
        <w:tc>
          <w:tcPr>
            <w:tcW w:w="1001" w:type="dxa"/>
            <w:gridSpan w:val="4"/>
            <w:tcBorders>
              <w:bottom w:val="single" w:sz="24" w:space="0" w:color="auto"/>
            </w:tcBorders>
            <w:vAlign w:val="bottom"/>
          </w:tcPr>
          <w:p w14:paraId="38F10C19" w14:textId="77777777" w:rsidR="009D2941" w:rsidRPr="00260550" w:rsidRDefault="009D2941" w:rsidP="00260550">
            <w:pPr>
              <w:spacing w:after="0"/>
              <w:jc w:val="center"/>
              <w:rPr>
                <w:rFonts w:ascii="Arial" w:hAnsi="Arial" w:cs="Arial"/>
                <w:sz w:val="14"/>
                <w:szCs w:val="14"/>
              </w:rPr>
            </w:pPr>
          </w:p>
        </w:tc>
        <w:tc>
          <w:tcPr>
            <w:tcW w:w="2408" w:type="dxa"/>
            <w:gridSpan w:val="4"/>
            <w:tcBorders>
              <w:bottom w:val="single" w:sz="24" w:space="0" w:color="auto"/>
            </w:tcBorders>
          </w:tcPr>
          <w:p w14:paraId="1269E737" w14:textId="77777777" w:rsidR="009D2941" w:rsidRPr="00260550" w:rsidRDefault="009D2941" w:rsidP="00260550">
            <w:pPr>
              <w:spacing w:after="0"/>
              <w:jc w:val="center"/>
              <w:rPr>
                <w:rFonts w:ascii="Arial" w:hAnsi="Arial" w:cs="Arial"/>
                <w:sz w:val="14"/>
                <w:szCs w:val="14"/>
              </w:rPr>
            </w:pPr>
            <w:r w:rsidRPr="00260550">
              <w:rPr>
                <w:rFonts w:ascii="Arial" w:hAnsi="Arial" w:cs="Arial"/>
                <w:sz w:val="14"/>
                <w:szCs w:val="14"/>
              </w:rPr>
              <w:t>-1.66 (-10.92, 7.60)</w:t>
            </w:r>
          </w:p>
        </w:tc>
        <w:tc>
          <w:tcPr>
            <w:tcW w:w="993" w:type="dxa"/>
            <w:gridSpan w:val="4"/>
            <w:tcBorders>
              <w:bottom w:val="single" w:sz="24" w:space="0" w:color="auto"/>
            </w:tcBorders>
            <w:vAlign w:val="bottom"/>
          </w:tcPr>
          <w:p w14:paraId="03D7E214" w14:textId="77777777" w:rsidR="009D2941" w:rsidRPr="00260550" w:rsidRDefault="009D2941" w:rsidP="00260550">
            <w:pPr>
              <w:spacing w:after="0"/>
              <w:jc w:val="center"/>
              <w:rPr>
                <w:rFonts w:ascii="Arial" w:hAnsi="Arial" w:cs="Arial"/>
                <w:sz w:val="14"/>
                <w:szCs w:val="14"/>
              </w:rPr>
            </w:pPr>
          </w:p>
        </w:tc>
      </w:tr>
      <w:tr w:rsidR="009D2941" w:rsidRPr="00260550" w14:paraId="7F158052" w14:textId="77777777" w:rsidTr="009D2941">
        <w:trPr>
          <w:gridBefore w:val="1"/>
          <w:wBefore w:w="108" w:type="dxa"/>
        </w:trPr>
        <w:tc>
          <w:tcPr>
            <w:tcW w:w="1749" w:type="dxa"/>
            <w:gridSpan w:val="2"/>
            <w:tcBorders>
              <w:top w:val="single" w:sz="24" w:space="0" w:color="auto"/>
            </w:tcBorders>
            <w:shd w:val="clear" w:color="auto" w:fill="auto"/>
            <w:vAlign w:val="center"/>
          </w:tcPr>
          <w:p w14:paraId="4C9F318F" w14:textId="0F3DAF09" w:rsidR="009D2941" w:rsidRPr="00260550" w:rsidRDefault="009D2941" w:rsidP="009F17B1">
            <w:pPr>
              <w:spacing w:after="0"/>
              <w:rPr>
                <w:rFonts w:ascii="Arial" w:hAnsi="Arial" w:cs="Arial"/>
                <w:sz w:val="14"/>
                <w:szCs w:val="14"/>
                <w:lang w:eastAsia="en-GB"/>
              </w:rPr>
            </w:pPr>
            <w:r>
              <w:rPr>
                <w:rFonts w:ascii="Arial" w:hAnsi="Arial" w:cs="Arial"/>
                <w:sz w:val="14"/>
                <w:szCs w:val="14"/>
                <w:lang w:eastAsia="en-GB"/>
              </w:rPr>
              <w:t>Multivariate associations with eGFR CKD-EPI values</w:t>
            </w:r>
          </w:p>
        </w:tc>
        <w:tc>
          <w:tcPr>
            <w:tcW w:w="3552" w:type="dxa"/>
            <w:gridSpan w:val="6"/>
            <w:tcBorders>
              <w:top w:val="single" w:sz="24" w:space="0" w:color="auto"/>
            </w:tcBorders>
          </w:tcPr>
          <w:p w14:paraId="123D2773" w14:textId="77777777" w:rsidR="009D2941" w:rsidRPr="00260550" w:rsidRDefault="009D2941" w:rsidP="009F17B1">
            <w:pPr>
              <w:spacing w:after="0"/>
              <w:jc w:val="center"/>
              <w:rPr>
                <w:rFonts w:ascii="Arial" w:hAnsi="Arial" w:cs="Arial"/>
                <w:b/>
                <w:sz w:val="14"/>
                <w:szCs w:val="14"/>
                <w:lang w:eastAsia="en-GB"/>
              </w:rPr>
            </w:pPr>
            <w:r w:rsidRPr="00260550">
              <w:rPr>
                <w:rFonts w:ascii="Arial" w:eastAsia="Times New Roman" w:hAnsi="Arial" w:cs="Arial"/>
                <w:b/>
                <w:sz w:val="14"/>
                <w:szCs w:val="14"/>
                <w:lang w:eastAsia="en-GB"/>
              </w:rPr>
              <w:t>TFV</w:t>
            </w:r>
          </w:p>
        </w:tc>
        <w:tc>
          <w:tcPr>
            <w:tcW w:w="3046" w:type="dxa"/>
            <w:gridSpan w:val="6"/>
            <w:tcBorders>
              <w:top w:val="single" w:sz="24" w:space="0" w:color="auto"/>
            </w:tcBorders>
          </w:tcPr>
          <w:p w14:paraId="4F1F1ADA" w14:textId="77777777" w:rsidR="009D2941" w:rsidRPr="00260550" w:rsidRDefault="009D2941" w:rsidP="009F17B1">
            <w:pPr>
              <w:spacing w:after="0"/>
              <w:jc w:val="center"/>
              <w:rPr>
                <w:rFonts w:ascii="Arial" w:eastAsia="Times New Roman" w:hAnsi="Arial" w:cs="Arial"/>
                <w:b/>
                <w:sz w:val="14"/>
                <w:szCs w:val="14"/>
                <w:lang w:eastAsia="en-GB"/>
              </w:rPr>
            </w:pPr>
            <w:r w:rsidRPr="00260550">
              <w:rPr>
                <w:rFonts w:ascii="Arial" w:eastAsia="Times New Roman" w:hAnsi="Arial" w:cs="Arial"/>
                <w:b/>
                <w:sz w:val="14"/>
                <w:szCs w:val="14"/>
                <w:lang w:eastAsia="en-GB"/>
              </w:rPr>
              <w:t>FTC</w:t>
            </w:r>
          </w:p>
        </w:tc>
        <w:tc>
          <w:tcPr>
            <w:tcW w:w="2314" w:type="dxa"/>
            <w:gridSpan w:val="4"/>
            <w:tcBorders>
              <w:top w:val="single" w:sz="24" w:space="0" w:color="auto"/>
            </w:tcBorders>
          </w:tcPr>
          <w:p w14:paraId="7756003F" w14:textId="77777777" w:rsidR="009D2941" w:rsidRPr="00260550" w:rsidRDefault="009D2941" w:rsidP="009F17B1">
            <w:pPr>
              <w:spacing w:after="0"/>
              <w:jc w:val="center"/>
              <w:rPr>
                <w:rFonts w:ascii="Arial" w:eastAsia="Times New Roman" w:hAnsi="Arial" w:cs="Arial"/>
                <w:b/>
                <w:sz w:val="14"/>
                <w:szCs w:val="14"/>
                <w:lang w:eastAsia="en-GB"/>
              </w:rPr>
            </w:pPr>
            <w:r w:rsidRPr="00260550">
              <w:rPr>
                <w:rFonts w:ascii="Arial" w:eastAsia="Times New Roman" w:hAnsi="Arial" w:cs="Arial"/>
                <w:b/>
                <w:sz w:val="14"/>
                <w:szCs w:val="14"/>
                <w:lang w:eastAsia="en-GB"/>
              </w:rPr>
              <w:t>ABC</w:t>
            </w:r>
          </w:p>
        </w:tc>
        <w:tc>
          <w:tcPr>
            <w:tcW w:w="1001" w:type="dxa"/>
            <w:gridSpan w:val="4"/>
            <w:tcBorders>
              <w:top w:val="single" w:sz="24" w:space="0" w:color="auto"/>
            </w:tcBorders>
          </w:tcPr>
          <w:p w14:paraId="39547609" w14:textId="77777777" w:rsidR="009D2941" w:rsidRPr="00260550" w:rsidRDefault="009D2941" w:rsidP="009F17B1">
            <w:pPr>
              <w:spacing w:after="0"/>
              <w:jc w:val="center"/>
              <w:rPr>
                <w:rFonts w:ascii="Arial" w:eastAsia="Times New Roman" w:hAnsi="Arial" w:cs="Arial"/>
                <w:b/>
                <w:sz w:val="14"/>
                <w:szCs w:val="14"/>
                <w:lang w:eastAsia="en-GB"/>
              </w:rPr>
            </w:pPr>
          </w:p>
        </w:tc>
        <w:tc>
          <w:tcPr>
            <w:tcW w:w="2408" w:type="dxa"/>
            <w:gridSpan w:val="4"/>
            <w:tcBorders>
              <w:top w:val="single" w:sz="24" w:space="0" w:color="auto"/>
            </w:tcBorders>
          </w:tcPr>
          <w:p w14:paraId="78410890" w14:textId="77777777" w:rsidR="009D2941" w:rsidRPr="00260550" w:rsidRDefault="009D2941" w:rsidP="009F17B1">
            <w:pPr>
              <w:spacing w:after="0"/>
              <w:jc w:val="center"/>
              <w:rPr>
                <w:rFonts w:ascii="Arial" w:eastAsia="Times New Roman" w:hAnsi="Arial" w:cs="Arial"/>
                <w:b/>
                <w:sz w:val="14"/>
                <w:szCs w:val="14"/>
                <w:lang w:eastAsia="en-GB"/>
              </w:rPr>
            </w:pPr>
            <w:r w:rsidRPr="00260550">
              <w:rPr>
                <w:rFonts w:ascii="Arial" w:eastAsia="Times New Roman" w:hAnsi="Arial" w:cs="Arial"/>
                <w:b/>
                <w:sz w:val="14"/>
                <w:szCs w:val="14"/>
                <w:lang w:eastAsia="en-GB"/>
              </w:rPr>
              <w:t>3TC</w:t>
            </w:r>
          </w:p>
        </w:tc>
        <w:tc>
          <w:tcPr>
            <w:tcW w:w="993" w:type="dxa"/>
            <w:gridSpan w:val="4"/>
            <w:tcBorders>
              <w:top w:val="single" w:sz="24" w:space="0" w:color="auto"/>
            </w:tcBorders>
            <w:vAlign w:val="center"/>
          </w:tcPr>
          <w:p w14:paraId="71F27F96" w14:textId="77777777" w:rsidR="009D2941" w:rsidRPr="00260550" w:rsidRDefault="009D2941" w:rsidP="009F17B1">
            <w:pPr>
              <w:spacing w:after="0"/>
              <w:jc w:val="center"/>
              <w:rPr>
                <w:rFonts w:ascii="Arial" w:eastAsia="Times New Roman" w:hAnsi="Arial" w:cs="Arial"/>
                <w:b/>
                <w:sz w:val="14"/>
                <w:szCs w:val="14"/>
                <w:lang w:eastAsia="en-GB"/>
              </w:rPr>
            </w:pPr>
          </w:p>
        </w:tc>
      </w:tr>
      <w:tr w:rsidR="009D2941" w:rsidRPr="00260550" w14:paraId="618903A2" w14:textId="77777777" w:rsidTr="009D2941">
        <w:trPr>
          <w:gridBefore w:val="1"/>
          <w:gridAfter w:val="2"/>
          <w:wBefore w:w="108" w:type="dxa"/>
          <w:wAfter w:w="551" w:type="dxa"/>
        </w:trPr>
        <w:tc>
          <w:tcPr>
            <w:tcW w:w="1749" w:type="dxa"/>
            <w:gridSpan w:val="2"/>
            <w:shd w:val="clear" w:color="auto" w:fill="auto"/>
            <w:vAlign w:val="center"/>
          </w:tcPr>
          <w:p w14:paraId="76E8BA1B" w14:textId="77777777" w:rsidR="009D2941" w:rsidRPr="00260550" w:rsidRDefault="009D2941" w:rsidP="009F17B1">
            <w:pPr>
              <w:spacing w:after="0"/>
              <w:rPr>
                <w:rFonts w:ascii="Arial" w:hAnsi="Arial" w:cs="Arial"/>
                <w:sz w:val="14"/>
                <w:szCs w:val="14"/>
              </w:rPr>
            </w:pPr>
          </w:p>
        </w:tc>
        <w:tc>
          <w:tcPr>
            <w:tcW w:w="2094" w:type="dxa"/>
            <w:gridSpan w:val="2"/>
            <w:shd w:val="clear" w:color="auto" w:fill="auto"/>
            <w:vAlign w:val="center"/>
          </w:tcPr>
          <w:p w14:paraId="59388270" w14:textId="77777777" w:rsidR="009D2941" w:rsidRPr="00260550" w:rsidRDefault="009D2941" w:rsidP="009F17B1">
            <w:pPr>
              <w:spacing w:after="0"/>
              <w:jc w:val="center"/>
              <w:rPr>
                <w:rFonts w:ascii="Arial" w:hAnsi="Arial" w:cs="Arial"/>
                <w:b/>
                <w:sz w:val="14"/>
                <w:szCs w:val="14"/>
              </w:rPr>
            </w:pPr>
            <w:r w:rsidRPr="00260550">
              <w:rPr>
                <w:rFonts w:ascii="Arial" w:hAnsi="Arial" w:cs="Arial"/>
                <w:b/>
                <w:sz w:val="14"/>
                <w:szCs w:val="14"/>
                <w:lang w:val="el-GR"/>
              </w:rPr>
              <w:t>β</w:t>
            </w:r>
            <w:r w:rsidRPr="00260550">
              <w:rPr>
                <w:rFonts w:ascii="Arial" w:hAnsi="Arial" w:cs="Arial"/>
                <w:b/>
                <w:sz w:val="14"/>
                <w:szCs w:val="14"/>
              </w:rPr>
              <w:t xml:space="preserve">  (95% CI)</w:t>
            </w:r>
          </w:p>
        </w:tc>
        <w:tc>
          <w:tcPr>
            <w:tcW w:w="907" w:type="dxa"/>
            <w:gridSpan w:val="2"/>
            <w:shd w:val="clear" w:color="auto" w:fill="auto"/>
            <w:vAlign w:val="center"/>
          </w:tcPr>
          <w:p w14:paraId="67F0DA6D" w14:textId="77777777" w:rsidR="009D2941" w:rsidRPr="00260550" w:rsidRDefault="009D2941" w:rsidP="009F17B1">
            <w:pPr>
              <w:spacing w:after="0"/>
              <w:jc w:val="center"/>
              <w:rPr>
                <w:rFonts w:ascii="Arial" w:hAnsi="Arial" w:cs="Arial"/>
                <w:b/>
                <w:sz w:val="14"/>
                <w:szCs w:val="14"/>
              </w:rPr>
            </w:pPr>
            <w:r w:rsidRPr="00260550">
              <w:rPr>
                <w:rFonts w:ascii="Arial" w:hAnsi="Arial" w:cs="Arial"/>
                <w:b/>
                <w:sz w:val="14"/>
                <w:szCs w:val="14"/>
              </w:rPr>
              <w:t>p-value</w:t>
            </w:r>
          </w:p>
        </w:tc>
        <w:tc>
          <w:tcPr>
            <w:tcW w:w="2137" w:type="dxa"/>
            <w:gridSpan w:val="4"/>
            <w:vAlign w:val="center"/>
          </w:tcPr>
          <w:p w14:paraId="1DF87C57" w14:textId="77777777" w:rsidR="009D2941" w:rsidRPr="00260550" w:rsidRDefault="009D2941" w:rsidP="009F17B1">
            <w:pPr>
              <w:spacing w:after="0"/>
              <w:jc w:val="center"/>
              <w:rPr>
                <w:rFonts w:ascii="Arial" w:hAnsi="Arial" w:cs="Arial"/>
                <w:b/>
                <w:sz w:val="14"/>
                <w:szCs w:val="14"/>
              </w:rPr>
            </w:pPr>
            <w:r w:rsidRPr="00260550">
              <w:rPr>
                <w:rFonts w:ascii="Arial" w:hAnsi="Arial" w:cs="Arial"/>
                <w:b/>
                <w:sz w:val="14"/>
                <w:szCs w:val="14"/>
                <w:lang w:val="el-GR"/>
              </w:rPr>
              <w:t>β</w:t>
            </w:r>
            <w:r w:rsidRPr="00260550">
              <w:rPr>
                <w:rFonts w:ascii="Arial" w:hAnsi="Arial" w:cs="Arial"/>
                <w:b/>
                <w:sz w:val="14"/>
                <w:szCs w:val="14"/>
              </w:rPr>
              <w:t xml:space="preserve">  (95% CI)</w:t>
            </w:r>
          </w:p>
        </w:tc>
        <w:tc>
          <w:tcPr>
            <w:tcW w:w="909" w:type="dxa"/>
            <w:gridSpan w:val="2"/>
            <w:vAlign w:val="center"/>
          </w:tcPr>
          <w:p w14:paraId="60C6C8EE" w14:textId="77777777" w:rsidR="009D2941" w:rsidRPr="00260550" w:rsidRDefault="009D2941" w:rsidP="009F17B1">
            <w:pPr>
              <w:spacing w:after="0"/>
              <w:jc w:val="center"/>
              <w:rPr>
                <w:rFonts w:ascii="Arial" w:hAnsi="Arial" w:cs="Arial"/>
                <w:b/>
                <w:sz w:val="14"/>
                <w:szCs w:val="14"/>
              </w:rPr>
            </w:pPr>
            <w:r w:rsidRPr="00260550">
              <w:rPr>
                <w:rFonts w:ascii="Arial" w:hAnsi="Arial" w:cs="Arial"/>
                <w:b/>
                <w:sz w:val="14"/>
                <w:szCs w:val="14"/>
              </w:rPr>
              <w:t>p-value</w:t>
            </w:r>
          </w:p>
        </w:tc>
        <w:tc>
          <w:tcPr>
            <w:tcW w:w="2314" w:type="dxa"/>
            <w:gridSpan w:val="4"/>
            <w:vAlign w:val="center"/>
          </w:tcPr>
          <w:p w14:paraId="45173C8F" w14:textId="77777777" w:rsidR="009D2941" w:rsidRPr="00260550" w:rsidRDefault="009D2941" w:rsidP="009F17B1">
            <w:pPr>
              <w:spacing w:after="0"/>
              <w:jc w:val="center"/>
              <w:rPr>
                <w:rFonts w:ascii="Arial" w:hAnsi="Arial" w:cs="Arial"/>
                <w:b/>
                <w:sz w:val="14"/>
                <w:szCs w:val="14"/>
              </w:rPr>
            </w:pPr>
            <w:r w:rsidRPr="00260550">
              <w:rPr>
                <w:rFonts w:ascii="Arial" w:hAnsi="Arial" w:cs="Arial"/>
                <w:b/>
                <w:sz w:val="14"/>
                <w:szCs w:val="14"/>
                <w:lang w:val="el-GR"/>
              </w:rPr>
              <w:t>β</w:t>
            </w:r>
            <w:r w:rsidRPr="00260550">
              <w:rPr>
                <w:rFonts w:ascii="Arial" w:hAnsi="Arial" w:cs="Arial"/>
                <w:b/>
                <w:sz w:val="14"/>
                <w:szCs w:val="14"/>
              </w:rPr>
              <w:t xml:space="preserve">  (95% CI)</w:t>
            </w:r>
          </w:p>
        </w:tc>
        <w:tc>
          <w:tcPr>
            <w:tcW w:w="1001" w:type="dxa"/>
            <w:gridSpan w:val="4"/>
            <w:vAlign w:val="center"/>
          </w:tcPr>
          <w:p w14:paraId="277B1B95" w14:textId="77777777" w:rsidR="009D2941" w:rsidRPr="00260550" w:rsidRDefault="009D2941" w:rsidP="009F17B1">
            <w:pPr>
              <w:spacing w:after="0"/>
              <w:jc w:val="center"/>
              <w:rPr>
                <w:rFonts w:ascii="Arial" w:hAnsi="Arial" w:cs="Arial"/>
                <w:b/>
                <w:sz w:val="14"/>
                <w:szCs w:val="14"/>
              </w:rPr>
            </w:pPr>
            <w:r w:rsidRPr="00260550">
              <w:rPr>
                <w:rFonts w:ascii="Arial" w:hAnsi="Arial" w:cs="Arial"/>
                <w:b/>
                <w:sz w:val="14"/>
                <w:szCs w:val="14"/>
              </w:rPr>
              <w:t>p-value</w:t>
            </w:r>
          </w:p>
        </w:tc>
        <w:tc>
          <w:tcPr>
            <w:tcW w:w="2408" w:type="dxa"/>
            <w:gridSpan w:val="4"/>
            <w:vAlign w:val="center"/>
          </w:tcPr>
          <w:p w14:paraId="38DDF09B" w14:textId="77777777" w:rsidR="009D2941" w:rsidRPr="00260550" w:rsidRDefault="009D2941" w:rsidP="009F17B1">
            <w:pPr>
              <w:spacing w:after="0"/>
              <w:jc w:val="center"/>
              <w:rPr>
                <w:rFonts w:ascii="Arial" w:hAnsi="Arial" w:cs="Arial"/>
                <w:b/>
                <w:sz w:val="14"/>
                <w:szCs w:val="14"/>
              </w:rPr>
            </w:pPr>
            <w:r w:rsidRPr="00260550">
              <w:rPr>
                <w:rFonts w:ascii="Arial" w:hAnsi="Arial" w:cs="Arial"/>
                <w:b/>
                <w:sz w:val="14"/>
                <w:szCs w:val="14"/>
                <w:lang w:val="el-GR"/>
              </w:rPr>
              <w:t>β</w:t>
            </w:r>
            <w:r w:rsidRPr="00260550">
              <w:rPr>
                <w:rFonts w:ascii="Arial" w:hAnsi="Arial" w:cs="Arial"/>
                <w:b/>
                <w:sz w:val="14"/>
                <w:szCs w:val="14"/>
              </w:rPr>
              <w:t xml:space="preserve">  (95% CI)</w:t>
            </w:r>
          </w:p>
        </w:tc>
        <w:tc>
          <w:tcPr>
            <w:tcW w:w="993" w:type="dxa"/>
            <w:gridSpan w:val="4"/>
            <w:vAlign w:val="center"/>
          </w:tcPr>
          <w:p w14:paraId="35643D1B" w14:textId="77777777" w:rsidR="009D2941" w:rsidRPr="00260550" w:rsidRDefault="009D2941" w:rsidP="009F17B1">
            <w:pPr>
              <w:spacing w:after="0"/>
              <w:jc w:val="center"/>
              <w:rPr>
                <w:rFonts w:ascii="Arial" w:hAnsi="Arial" w:cs="Arial"/>
                <w:b/>
                <w:sz w:val="14"/>
                <w:szCs w:val="14"/>
              </w:rPr>
            </w:pPr>
            <w:r w:rsidRPr="00260550">
              <w:rPr>
                <w:rFonts w:ascii="Arial" w:hAnsi="Arial" w:cs="Arial"/>
                <w:b/>
                <w:sz w:val="14"/>
                <w:szCs w:val="14"/>
              </w:rPr>
              <w:t>p-value</w:t>
            </w:r>
          </w:p>
        </w:tc>
      </w:tr>
      <w:tr w:rsidR="009D2941" w:rsidRPr="00260550" w14:paraId="4BED630B" w14:textId="77777777" w:rsidTr="009D2941">
        <w:trPr>
          <w:gridBefore w:val="1"/>
          <w:gridAfter w:val="2"/>
          <w:wBefore w:w="108" w:type="dxa"/>
          <w:wAfter w:w="551" w:type="dxa"/>
        </w:trPr>
        <w:tc>
          <w:tcPr>
            <w:tcW w:w="1749" w:type="dxa"/>
            <w:gridSpan w:val="2"/>
            <w:tcBorders>
              <w:top w:val="single" w:sz="4" w:space="0" w:color="auto"/>
            </w:tcBorders>
            <w:shd w:val="clear" w:color="auto" w:fill="auto"/>
            <w:vAlign w:val="bottom"/>
          </w:tcPr>
          <w:p w14:paraId="605D3AFC" w14:textId="77777777" w:rsidR="009D2941" w:rsidRPr="00260550" w:rsidRDefault="009D2941" w:rsidP="009F17B1">
            <w:pPr>
              <w:spacing w:after="0"/>
              <w:rPr>
                <w:rFonts w:ascii="Arial" w:hAnsi="Arial" w:cs="Arial"/>
                <w:b/>
                <w:sz w:val="14"/>
                <w:szCs w:val="14"/>
              </w:rPr>
            </w:pPr>
            <w:r w:rsidRPr="00260550">
              <w:rPr>
                <w:rFonts w:ascii="Arial" w:eastAsia="Times New Roman" w:hAnsi="Arial" w:cs="Arial"/>
                <w:b/>
                <w:sz w:val="14"/>
                <w:szCs w:val="14"/>
                <w:lang w:eastAsia="en-GB"/>
              </w:rPr>
              <w:t>AUC</w:t>
            </w:r>
            <w:r w:rsidRPr="00260550">
              <w:rPr>
                <w:rFonts w:ascii="Arial" w:eastAsia="Times New Roman" w:hAnsi="Arial" w:cs="Arial"/>
                <w:b/>
                <w:sz w:val="14"/>
                <w:szCs w:val="14"/>
                <w:vertAlign w:val="subscript"/>
                <w:lang w:eastAsia="en-GB"/>
              </w:rPr>
              <w:t>24h</w:t>
            </w:r>
            <w:r w:rsidRPr="00260550">
              <w:rPr>
                <w:rFonts w:ascii="Arial" w:eastAsia="Times New Roman" w:hAnsi="Arial" w:cs="Arial"/>
                <w:b/>
                <w:sz w:val="14"/>
                <w:szCs w:val="14"/>
                <w:lang w:eastAsia="en-GB"/>
              </w:rPr>
              <w:t xml:space="preserve"> (mg.h/L)</w:t>
            </w:r>
          </w:p>
        </w:tc>
        <w:tc>
          <w:tcPr>
            <w:tcW w:w="2094" w:type="dxa"/>
            <w:gridSpan w:val="2"/>
            <w:tcBorders>
              <w:top w:val="single" w:sz="4" w:space="0" w:color="auto"/>
            </w:tcBorders>
            <w:shd w:val="clear" w:color="auto" w:fill="auto"/>
            <w:vAlign w:val="center"/>
          </w:tcPr>
          <w:p w14:paraId="73ACCD48" w14:textId="77777777" w:rsidR="009D2941" w:rsidRPr="00260550" w:rsidRDefault="009D2941" w:rsidP="009F17B1">
            <w:pPr>
              <w:spacing w:after="0"/>
              <w:jc w:val="center"/>
              <w:rPr>
                <w:rFonts w:ascii="Arial" w:hAnsi="Arial" w:cs="Arial"/>
                <w:sz w:val="14"/>
                <w:szCs w:val="14"/>
              </w:rPr>
            </w:pPr>
          </w:p>
        </w:tc>
        <w:tc>
          <w:tcPr>
            <w:tcW w:w="907" w:type="dxa"/>
            <w:gridSpan w:val="2"/>
            <w:tcBorders>
              <w:top w:val="single" w:sz="4" w:space="0" w:color="auto"/>
            </w:tcBorders>
            <w:shd w:val="clear" w:color="auto" w:fill="auto"/>
            <w:vAlign w:val="center"/>
          </w:tcPr>
          <w:p w14:paraId="474C2709" w14:textId="77777777" w:rsidR="009D2941" w:rsidRPr="00260550" w:rsidRDefault="009D2941" w:rsidP="009F17B1">
            <w:pPr>
              <w:spacing w:after="0"/>
              <w:jc w:val="center"/>
              <w:rPr>
                <w:rFonts w:ascii="Arial" w:hAnsi="Arial" w:cs="Arial"/>
                <w:sz w:val="14"/>
                <w:szCs w:val="14"/>
              </w:rPr>
            </w:pPr>
            <w:r w:rsidRPr="00260550">
              <w:rPr>
                <w:rFonts w:ascii="Arial" w:hAnsi="Arial" w:cs="Arial"/>
                <w:sz w:val="14"/>
                <w:szCs w:val="14"/>
              </w:rPr>
              <w:t>&lt;0.001</w:t>
            </w:r>
          </w:p>
        </w:tc>
        <w:tc>
          <w:tcPr>
            <w:tcW w:w="2137" w:type="dxa"/>
            <w:gridSpan w:val="4"/>
            <w:tcBorders>
              <w:top w:val="single" w:sz="4" w:space="0" w:color="auto"/>
            </w:tcBorders>
            <w:vAlign w:val="center"/>
          </w:tcPr>
          <w:p w14:paraId="4F82630E" w14:textId="77777777" w:rsidR="009D2941" w:rsidRPr="00260550" w:rsidRDefault="009D2941" w:rsidP="009F17B1">
            <w:pPr>
              <w:spacing w:after="0"/>
              <w:jc w:val="center"/>
              <w:rPr>
                <w:rFonts w:ascii="Arial" w:hAnsi="Arial" w:cs="Arial"/>
                <w:sz w:val="14"/>
                <w:szCs w:val="14"/>
              </w:rPr>
            </w:pPr>
          </w:p>
        </w:tc>
        <w:tc>
          <w:tcPr>
            <w:tcW w:w="909" w:type="dxa"/>
            <w:gridSpan w:val="2"/>
            <w:tcBorders>
              <w:top w:val="single" w:sz="4" w:space="0" w:color="auto"/>
            </w:tcBorders>
            <w:vAlign w:val="center"/>
          </w:tcPr>
          <w:p w14:paraId="581EE14F" w14:textId="26B330C9" w:rsidR="009D2941" w:rsidRPr="00260550" w:rsidRDefault="009D2941" w:rsidP="009F17B1">
            <w:pPr>
              <w:spacing w:after="0"/>
              <w:jc w:val="center"/>
              <w:rPr>
                <w:rFonts w:ascii="Arial" w:hAnsi="Arial" w:cs="Arial"/>
                <w:sz w:val="14"/>
                <w:szCs w:val="14"/>
              </w:rPr>
            </w:pPr>
            <w:r>
              <w:rPr>
                <w:rFonts w:ascii="Arial" w:hAnsi="Arial" w:cs="Arial"/>
                <w:sz w:val="14"/>
                <w:szCs w:val="14"/>
              </w:rPr>
              <w:t>&lt;0.001</w:t>
            </w:r>
          </w:p>
        </w:tc>
        <w:tc>
          <w:tcPr>
            <w:tcW w:w="2314" w:type="dxa"/>
            <w:gridSpan w:val="4"/>
            <w:tcBorders>
              <w:top w:val="single" w:sz="4" w:space="0" w:color="auto"/>
            </w:tcBorders>
            <w:vAlign w:val="center"/>
          </w:tcPr>
          <w:p w14:paraId="33B669A5" w14:textId="77777777" w:rsidR="009D2941" w:rsidRPr="00260550" w:rsidRDefault="009D2941" w:rsidP="009F17B1">
            <w:pPr>
              <w:spacing w:after="0"/>
              <w:jc w:val="center"/>
              <w:rPr>
                <w:rFonts w:ascii="Arial" w:hAnsi="Arial" w:cs="Arial"/>
                <w:sz w:val="14"/>
                <w:szCs w:val="14"/>
              </w:rPr>
            </w:pPr>
          </w:p>
        </w:tc>
        <w:tc>
          <w:tcPr>
            <w:tcW w:w="1001" w:type="dxa"/>
            <w:gridSpan w:val="4"/>
            <w:tcBorders>
              <w:top w:val="single" w:sz="4" w:space="0" w:color="auto"/>
            </w:tcBorders>
            <w:vAlign w:val="center"/>
          </w:tcPr>
          <w:p w14:paraId="77FF9F87" w14:textId="487A040D" w:rsidR="009D2941" w:rsidRPr="00260550" w:rsidRDefault="009D2941" w:rsidP="009F17B1">
            <w:pPr>
              <w:spacing w:after="0"/>
              <w:jc w:val="center"/>
              <w:rPr>
                <w:rFonts w:ascii="Arial" w:hAnsi="Arial" w:cs="Arial"/>
                <w:sz w:val="14"/>
                <w:szCs w:val="14"/>
              </w:rPr>
            </w:pPr>
            <w:r w:rsidRPr="00260550">
              <w:rPr>
                <w:rFonts w:ascii="Arial" w:hAnsi="Arial" w:cs="Arial"/>
                <w:sz w:val="14"/>
                <w:szCs w:val="14"/>
              </w:rPr>
              <w:t>0.</w:t>
            </w:r>
            <w:r>
              <w:rPr>
                <w:rFonts w:ascii="Arial" w:hAnsi="Arial" w:cs="Arial"/>
                <w:sz w:val="14"/>
                <w:szCs w:val="14"/>
              </w:rPr>
              <w:t>11</w:t>
            </w:r>
          </w:p>
        </w:tc>
        <w:tc>
          <w:tcPr>
            <w:tcW w:w="2408" w:type="dxa"/>
            <w:gridSpan w:val="4"/>
            <w:tcBorders>
              <w:top w:val="single" w:sz="4" w:space="0" w:color="auto"/>
            </w:tcBorders>
            <w:vAlign w:val="bottom"/>
          </w:tcPr>
          <w:p w14:paraId="2497EDEA" w14:textId="77777777" w:rsidR="009D2941" w:rsidRPr="00260550" w:rsidRDefault="009D2941" w:rsidP="009F17B1">
            <w:pPr>
              <w:spacing w:after="0"/>
              <w:jc w:val="center"/>
              <w:rPr>
                <w:rFonts w:ascii="Arial" w:hAnsi="Arial" w:cs="Arial"/>
                <w:sz w:val="14"/>
                <w:szCs w:val="14"/>
              </w:rPr>
            </w:pPr>
          </w:p>
        </w:tc>
        <w:tc>
          <w:tcPr>
            <w:tcW w:w="993" w:type="dxa"/>
            <w:gridSpan w:val="4"/>
            <w:tcBorders>
              <w:top w:val="single" w:sz="4" w:space="0" w:color="auto"/>
            </w:tcBorders>
            <w:vAlign w:val="bottom"/>
          </w:tcPr>
          <w:p w14:paraId="738EE4D3" w14:textId="7A2440A1" w:rsidR="009D2941" w:rsidRPr="00260550" w:rsidRDefault="009D2941" w:rsidP="009F17B1">
            <w:pPr>
              <w:spacing w:after="0"/>
              <w:jc w:val="center"/>
              <w:rPr>
                <w:rFonts w:ascii="Arial" w:hAnsi="Arial" w:cs="Arial"/>
                <w:sz w:val="14"/>
                <w:szCs w:val="14"/>
              </w:rPr>
            </w:pPr>
            <w:r>
              <w:rPr>
                <w:rFonts w:ascii="Arial" w:hAnsi="Arial" w:cs="Arial"/>
                <w:sz w:val="14"/>
                <w:szCs w:val="14"/>
              </w:rPr>
              <w:t>&lt;0.001</w:t>
            </w:r>
          </w:p>
        </w:tc>
      </w:tr>
      <w:tr w:rsidR="009D2941" w:rsidRPr="00260550" w14:paraId="637E3462" w14:textId="77777777" w:rsidTr="009D2941">
        <w:trPr>
          <w:gridBefore w:val="1"/>
          <w:gridAfter w:val="2"/>
          <w:wBefore w:w="108" w:type="dxa"/>
          <w:wAfter w:w="551" w:type="dxa"/>
        </w:trPr>
        <w:tc>
          <w:tcPr>
            <w:tcW w:w="1749" w:type="dxa"/>
            <w:gridSpan w:val="2"/>
            <w:shd w:val="clear" w:color="auto" w:fill="auto"/>
            <w:vAlign w:val="center"/>
          </w:tcPr>
          <w:p w14:paraId="6CFD8884" w14:textId="77777777" w:rsidR="009D2941" w:rsidRPr="00260550" w:rsidRDefault="009D2941" w:rsidP="009F17B1">
            <w:pPr>
              <w:spacing w:after="0"/>
              <w:rPr>
                <w:rFonts w:ascii="Arial" w:hAnsi="Arial" w:cs="Arial"/>
                <w:sz w:val="14"/>
                <w:szCs w:val="14"/>
              </w:rPr>
            </w:pPr>
            <w:r w:rsidRPr="00260550">
              <w:rPr>
                <w:rFonts w:ascii="Arial" w:hAnsi="Arial" w:cs="Arial"/>
                <w:sz w:val="14"/>
                <w:szCs w:val="14"/>
              </w:rPr>
              <w:t>≤2.355</w:t>
            </w:r>
          </w:p>
        </w:tc>
        <w:tc>
          <w:tcPr>
            <w:tcW w:w="2094" w:type="dxa"/>
            <w:gridSpan w:val="2"/>
            <w:shd w:val="clear" w:color="auto" w:fill="auto"/>
            <w:vAlign w:val="bottom"/>
          </w:tcPr>
          <w:p w14:paraId="556B22E4" w14:textId="77777777" w:rsidR="009D2941" w:rsidRPr="00260550" w:rsidRDefault="009D2941" w:rsidP="009F17B1">
            <w:pPr>
              <w:spacing w:after="0"/>
              <w:jc w:val="center"/>
              <w:rPr>
                <w:rFonts w:ascii="Arial" w:hAnsi="Arial" w:cs="Arial"/>
                <w:sz w:val="14"/>
                <w:szCs w:val="14"/>
              </w:rPr>
            </w:pPr>
            <w:r w:rsidRPr="00260550">
              <w:rPr>
                <w:rFonts w:ascii="Arial" w:hAnsi="Arial" w:cs="Arial"/>
                <w:sz w:val="14"/>
                <w:szCs w:val="14"/>
              </w:rPr>
              <w:t>Ref.</w:t>
            </w:r>
          </w:p>
        </w:tc>
        <w:tc>
          <w:tcPr>
            <w:tcW w:w="907" w:type="dxa"/>
            <w:gridSpan w:val="2"/>
            <w:shd w:val="clear" w:color="auto" w:fill="auto"/>
            <w:vAlign w:val="bottom"/>
          </w:tcPr>
          <w:p w14:paraId="0A26773F" w14:textId="77777777" w:rsidR="009D2941" w:rsidRPr="00260550" w:rsidRDefault="009D2941" w:rsidP="009F17B1">
            <w:pPr>
              <w:spacing w:after="0"/>
              <w:jc w:val="center"/>
              <w:rPr>
                <w:rFonts w:ascii="Arial" w:hAnsi="Arial" w:cs="Arial"/>
                <w:sz w:val="14"/>
                <w:szCs w:val="14"/>
              </w:rPr>
            </w:pPr>
            <w:r w:rsidRPr="00260550">
              <w:rPr>
                <w:rFonts w:ascii="Arial" w:hAnsi="Arial" w:cs="Arial"/>
                <w:sz w:val="14"/>
                <w:szCs w:val="14"/>
              </w:rPr>
              <w:t>-</w:t>
            </w:r>
          </w:p>
        </w:tc>
        <w:tc>
          <w:tcPr>
            <w:tcW w:w="2137" w:type="dxa"/>
            <w:gridSpan w:val="4"/>
            <w:vAlign w:val="bottom"/>
          </w:tcPr>
          <w:p w14:paraId="00B96D61" w14:textId="77777777" w:rsidR="009D2941" w:rsidRPr="00260550" w:rsidRDefault="009D2941" w:rsidP="009F17B1">
            <w:pPr>
              <w:spacing w:after="0"/>
              <w:jc w:val="center"/>
              <w:rPr>
                <w:rFonts w:ascii="Arial" w:hAnsi="Arial" w:cs="Arial"/>
                <w:sz w:val="14"/>
                <w:szCs w:val="14"/>
              </w:rPr>
            </w:pPr>
            <w:r w:rsidRPr="00260550">
              <w:rPr>
                <w:rFonts w:ascii="Arial" w:hAnsi="Arial" w:cs="Arial"/>
                <w:sz w:val="14"/>
                <w:szCs w:val="14"/>
              </w:rPr>
              <w:t>Ref.</w:t>
            </w:r>
          </w:p>
        </w:tc>
        <w:tc>
          <w:tcPr>
            <w:tcW w:w="909" w:type="dxa"/>
            <w:gridSpan w:val="2"/>
            <w:vAlign w:val="bottom"/>
          </w:tcPr>
          <w:p w14:paraId="64A5CC45" w14:textId="77777777" w:rsidR="009D2941" w:rsidRPr="00260550" w:rsidRDefault="009D2941" w:rsidP="009F17B1">
            <w:pPr>
              <w:spacing w:after="0"/>
              <w:jc w:val="center"/>
              <w:rPr>
                <w:rFonts w:ascii="Arial" w:hAnsi="Arial" w:cs="Arial"/>
                <w:sz w:val="14"/>
                <w:szCs w:val="14"/>
              </w:rPr>
            </w:pPr>
            <w:r w:rsidRPr="00260550">
              <w:rPr>
                <w:rFonts w:ascii="Arial" w:hAnsi="Arial" w:cs="Arial"/>
                <w:sz w:val="14"/>
                <w:szCs w:val="14"/>
              </w:rPr>
              <w:t>-</w:t>
            </w:r>
          </w:p>
        </w:tc>
        <w:tc>
          <w:tcPr>
            <w:tcW w:w="2314" w:type="dxa"/>
            <w:gridSpan w:val="4"/>
            <w:vAlign w:val="bottom"/>
          </w:tcPr>
          <w:p w14:paraId="479A6F73" w14:textId="77777777" w:rsidR="009D2941" w:rsidRPr="00260550" w:rsidRDefault="009D2941" w:rsidP="009F17B1">
            <w:pPr>
              <w:spacing w:after="0"/>
              <w:jc w:val="center"/>
              <w:rPr>
                <w:rFonts w:ascii="Arial" w:hAnsi="Arial" w:cs="Arial"/>
                <w:sz w:val="14"/>
                <w:szCs w:val="14"/>
              </w:rPr>
            </w:pPr>
            <w:r w:rsidRPr="00260550">
              <w:rPr>
                <w:rFonts w:ascii="Arial" w:hAnsi="Arial" w:cs="Arial"/>
                <w:sz w:val="14"/>
                <w:szCs w:val="14"/>
              </w:rPr>
              <w:t>Ref.</w:t>
            </w:r>
          </w:p>
        </w:tc>
        <w:tc>
          <w:tcPr>
            <w:tcW w:w="1001" w:type="dxa"/>
            <w:gridSpan w:val="4"/>
            <w:vAlign w:val="bottom"/>
          </w:tcPr>
          <w:p w14:paraId="0AB261CD" w14:textId="77777777" w:rsidR="009D2941" w:rsidRPr="00260550" w:rsidRDefault="009D2941" w:rsidP="009F17B1">
            <w:pPr>
              <w:spacing w:after="0"/>
              <w:jc w:val="center"/>
              <w:rPr>
                <w:rFonts w:ascii="Arial" w:hAnsi="Arial" w:cs="Arial"/>
                <w:sz w:val="14"/>
                <w:szCs w:val="14"/>
              </w:rPr>
            </w:pPr>
            <w:r w:rsidRPr="00260550">
              <w:rPr>
                <w:rFonts w:ascii="Arial" w:hAnsi="Arial" w:cs="Arial"/>
                <w:sz w:val="14"/>
                <w:szCs w:val="14"/>
              </w:rPr>
              <w:t>-</w:t>
            </w:r>
          </w:p>
        </w:tc>
        <w:tc>
          <w:tcPr>
            <w:tcW w:w="2408" w:type="dxa"/>
            <w:gridSpan w:val="4"/>
            <w:vAlign w:val="bottom"/>
          </w:tcPr>
          <w:p w14:paraId="785EB2D6" w14:textId="77777777" w:rsidR="009D2941" w:rsidRPr="00260550" w:rsidRDefault="009D2941" w:rsidP="009F17B1">
            <w:pPr>
              <w:spacing w:after="0"/>
              <w:jc w:val="center"/>
              <w:rPr>
                <w:rFonts w:ascii="Arial" w:hAnsi="Arial" w:cs="Arial"/>
                <w:sz w:val="14"/>
                <w:szCs w:val="14"/>
              </w:rPr>
            </w:pPr>
            <w:r w:rsidRPr="00260550">
              <w:rPr>
                <w:rFonts w:ascii="Arial" w:hAnsi="Arial" w:cs="Arial"/>
                <w:sz w:val="14"/>
                <w:szCs w:val="14"/>
              </w:rPr>
              <w:t>Ref.</w:t>
            </w:r>
          </w:p>
        </w:tc>
        <w:tc>
          <w:tcPr>
            <w:tcW w:w="993" w:type="dxa"/>
            <w:gridSpan w:val="4"/>
            <w:vAlign w:val="bottom"/>
          </w:tcPr>
          <w:p w14:paraId="63FFB2E0" w14:textId="77777777" w:rsidR="009D2941" w:rsidRPr="00260550" w:rsidRDefault="009D2941" w:rsidP="009F17B1">
            <w:pPr>
              <w:spacing w:after="0"/>
              <w:jc w:val="center"/>
              <w:rPr>
                <w:rFonts w:ascii="Arial" w:hAnsi="Arial" w:cs="Arial"/>
                <w:sz w:val="14"/>
                <w:szCs w:val="14"/>
              </w:rPr>
            </w:pPr>
            <w:r w:rsidRPr="00260550">
              <w:rPr>
                <w:rFonts w:ascii="Arial" w:hAnsi="Arial" w:cs="Arial"/>
                <w:sz w:val="14"/>
                <w:szCs w:val="14"/>
              </w:rPr>
              <w:t>-</w:t>
            </w:r>
          </w:p>
        </w:tc>
      </w:tr>
      <w:tr w:rsidR="009D2941" w:rsidRPr="00260550" w14:paraId="41A582E0" w14:textId="77777777" w:rsidTr="00D24822">
        <w:trPr>
          <w:gridBefore w:val="1"/>
          <w:gridAfter w:val="2"/>
          <w:wBefore w:w="108" w:type="dxa"/>
          <w:wAfter w:w="551" w:type="dxa"/>
        </w:trPr>
        <w:tc>
          <w:tcPr>
            <w:tcW w:w="1749" w:type="dxa"/>
            <w:gridSpan w:val="2"/>
            <w:shd w:val="clear" w:color="auto" w:fill="auto"/>
            <w:vAlign w:val="center"/>
          </w:tcPr>
          <w:p w14:paraId="7BAC7AD9" w14:textId="77777777" w:rsidR="009D2941" w:rsidRPr="00260550" w:rsidRDefault="009D2941" w:rsidP="009D2941">
            <w:pPr>
              <w:spacing w:after="0"/>
              <w:rPr>
                <w:rFonts w:ascii="Arial" w:hAnsi="Arial" w:cs="Arial"/>
                <w:sz w:val="14"/>
                <w:szCs w:val="14"/>
              </w:rPr>
            </w:pPr>
            <w:r w:rsidRPr="00260550">
              <w:rPr>
                <w:rFonts w:ascii="Arial" w:hAnsi="Arial" w:cs="Arial"/>
                <w:sz w:val="14"/>
                <w:szCs w:val="14"/>
              </w:rPr>
              <w:t>2.356-2.612</w:t>
            </w:r>
          </w:p>
        </w:tc>
        <w:tc>
          <w:tcPr>
            <w:tcW w:w="2094" w:type="dxa"/>
            <w:gridSpan w:val="2"/>
            <w:shd w:val="clear" w:color="auto" w:fill="auto"/>
          </w:tcPr>
          <w:p w14:paraId="22F1E293" w14:textId="330816FB"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w:t>
            </w:r>
            <w:r>
              <w:rPr>
                <w:rFonts w:ascii="Arial" w:hAnsi="Arial" w:cs="Arial"/>
                <w:sz w:val="14"/>
                <w:szCs w:val="14"/>
              </w:rPr>
              <w:t>3.33</w:t>
            </w:r>
            <w:r w:rsidRPr="00260550">
              <w:rPr>
                <w:rFonts w:ascii="Arial" w:hAnsi="Arial" w:cs="Arial"/>
                <w:sz w:val="14"/>
                <w:szCs w:val="14"/>
              </w:rPr>
              <w:t xml:space="preserve"> (-</w:t>
            </w:r>
            <w:r>
              <w:rPr>
                <w:rFonts w:ascii="Arial" w:hAnsi="Arial" w:cs="Arial"/>
                <w:sz w:val="14"/>
                <w:szCs w:val="14"/>
              </w:rPr>
              <w:t>6.91</w:t>
            </w:r>
            <w:r w:rsidRPr="00260550">
              <w:rPr>
                <w:rFonts w:ascii="Arial" w:hAnsi="Arial" w:cs="Arial"/>
                <w:sz w:val="14"/>
                <w:szCs w:val="14"/>
              </w:rPr>
              <w:t xml:space="preserve">, </w:t>
            </w:r>
            <w:r>
              <w:rPr>
                <w:rFonts w:ascii="Arial" w:hAnsi="Arial" w:cs="Arial"/>
                <w:sz w:val="14"/>
                <w:szCs w:val="14"/>
              </w:rPr>
              <w:t>0.25</w:t>
            </w:r>
            <w:r w:rsidRPr="00260550">
              <w:rPr>
                <w:rFonts w:ascii="Arial" w:hAnsi="Arial" w:cs="Arial"/>
                <w:sz w:val="14"/>
                <w:szCs w:val="14"/>
              </w:rPr>
              <w:t>)</w:t>
            </w:r>
          </w:p>
        </w:tc>
        <w:tc>
          <w:tcPr>
            <w:tcW w:w="907" w:type="dxa"/>
            <w:gridSpan w:val="2"/>
            <w:shd w:val="clear" w:color="auto" w:fill="auto"/>
            <w:vAlign w:val="bottom"/>
          </w:tcPr>
          <w:p w14:paraId="348DF21A" w14:textId="77777777" w:rsidR="009D2941" w:rsidRPr="00260550" w:rsidRDefault="009D2941" w:rsidP="009D2941">
            <w:pPr>
              <w:spacing w:after="0"/>
              <w:jc w:val="center"/>
              <w:rPr>
                <w:rFonts w:ascii="Arial" w:hAnsi="Arial" w:cs="Arial"/>
                <w:sz w:val="14"/>
                <w:szCs w:val="14"/>
              </w:rPr>
            </w:pPr>
          </w:p>
        </w:tc>
        <w:tc>
          <w:tcPr>
            <w:tcW w:w="2137" w:type="dxa"/>
            <w:gridSpan w:val="4"/>
            <w:vAlign w:val="bottom"/>
          </w:tcPr>
          <w:p w14:paraId="448D9AF9" w14:textId="4D283491"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-6.30 (-10.42,-2.18)</w:t>
            </w:r>
          </w:p>
        </w:tc>
        <w:tc>
          <w:tcPr>
            <w:tcW w:w="909" w:type="dxa"/>
            <w:gridSpan w:val="2"/>
            <w:vAlign w:val="bottom"/>
          </w:tcPr>
          <w:p w14:paraId="077F1FE5" w14:textId="77777777" w:rsidR="009D2941" w:rsidRPr="00260550" w:rsidRDefault="009D2941" w:rsidP="009D2941">
            <w:pPr>
              <w:spacing w:after="0"/>
              <w:jc w:val="center"/>
              <w:rPr>
                <w:rFonts w:ascii="Arial" w:hAnsi="Arial" w:cs="Arial"/>
                <w:sz w:val="14"/>
                <w:szCs w:val="14"/>
              </w:rPr>
            </w:pPr>
          </w:p>
        </w:tc>
        <w:tc>
          <w:tcPr>
            <w:tcW w:w="2314" w:type="dxa"/>
            <w:gridSpan w:val="4"/>
            <w:vAlign w:val="bottom"/>
          </w:tcPr>
          <w:p w14:paraId="32F75B13" w14:textId="71B1DD02"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5.12 (-5.02,15.25)</w:t>
            </w:r>
          </w:p>
        </w:tc>
        <w:tc>
          <w:tcPr>
            <w:tcW w:w="1001" w:type="dxa"/>
            <w:gridSpan w:val="4"/>
            <w:vAlign w:val="bottom"/>
          </w:tcPr>
          <w:p w14:paraId="566DBB4C" w14:textId="77777777" w:rsidR="009D2941" w:rsidRPr="00260550" w:rsidRDefault="009D2941" w:rsidP="009D2941">
            <w:pPr>
              <w:spacing w:after="0"/>
              <w:jc w:val="center"/>
              <w:rPr>
                <w:rFonts w:ascii="Arial" w:hAnsi="Arial" w:cs="Arial"/>
                <w:sz w:val="14"/>
                <w:szCs w:val="14"/>
              </w:rPr>
            </w:pPr>
          </w:p>
        </w:tc>
        <w:tc>
          <w:tcPr>
            <w:tcW w:w="2408" w:type="dxa"/>
            <w:gridSpan w:val="4"/>
            <w:vAlign w:val="bottom"/>
          </w:tcPr>
          <w:p w14:paraId="4AB732D1" w14:textId="404537C0"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3.28 (-7.74,14.31)</w:t>
            </w:r>
          </w:p>
        </w:tc>
        <w:tc>
          <w:tcPr>
            <w:tcW w:w="993" w:type="dxa"/>
            <w:gridSpan w:val="4"/>
            <w:vAlign w:val="bottom"/>
          </w:tcPr>
          <w:p w14:paraId="71255E74" w14:textId="77777777" w:rsidR="009D2941" w:rsidRPr="00260550" w:rsidRDefault="009D2941" w:rsidP="009D2941">
            <w:pPr>
              <w:spacing w:after="0"/>
              <w:jc w:val="center"/>
              <w:rPr>
                <w:rFonts w:ascii="Arial" w:hAnsi="Arial" w:cs="Arial"/>
                <w:sz w:val="14"/>
                <w:szCs w:val="14"/>
              </w:rPr>
            </w:pPr>
          </w:p>
        </w:tc>
      </w:tr>
      <w:tr w:rsidR="009D2941" w:rsidRPr="00260550" w14:paraId="68A109F3" w14:textId="77777777" w:rsidTr="00D24822">
        <w:trPr>
          <w:gridBefore w:val="1"/>
          <w:gridAfter w:val="2"/>
          <w:wBefore w:w="108" w:type="dxa"/>
          <w:wAfter w:w="551" w:type="dxa"/>
        </w:trPr>
        <w:tc>
          <w:tcPr>
            <w:tcW w:w="1749" w:type="dxa"/>
            <w:gridSpan w:val="2"/>
            <w:shd w:val="clear" w:color="auto" w:fill="auto"/>
            <w:vAlign w:val="center"/>
          </w:tcPr>
          <w:p w14:paraId="059A933C" w14:textId="77777777" w:rsidR="009D2941" w:rsidRPr="00260550" w:rsidRDefault="009D2941" w:rsidP="009D2941">
            <w:pPr>
              <w:spacing w:after="0"/>
              <w:rPr>
                <w:rFonts w:ascii="Arial" w:hAnsi="Arial" w:cs="Arial"/>
                <w:sz w:val="14"/>
                <w:szCs w:val="14"/>
              </w:rPr>
            </w:pPr>
            <w:r w:rsidRPr="00260550">
              <w:rPr>
                <w:rFonts w:ascii="Arial" w:hAnsi="Arial" w:cs="Arial"/>
                <w:sz w:val="14"/>
                <w:szCs w:val="14"/>
              </w:rPr>
              <w:t>2.613-2.928</w:t>
            </w:r>
          </w:p>
        </w:tc>
        <w:tc>
          <w:tcPr>
            <w:tcW w:w="2094" w:type="dxa"/>
            <w:gridSpan w:val="2"/>
            <w:shd w:val="clear" w:color="auto" w:fill="auto"/>
          </w:tcPr>
          <w:p w14:paraId="160F1FB2" w14:textId="0923D26D"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w:t>
            </w:r>
            <w:r>
              <w:rPr>
                <w:rFonts w:ascii="Arial" w:hAnsi="Arial" w:cs="Arial"/>
                <w:sz w:val="14"/>
                <w:szCs w:val="14"/>
              </w:rPr>
              <w:t>3.42</w:t>
            </w:r>
            <w:r w:rsidRPr="00260550">
              <w:rPr>
                <w:rFonts w:ascii="Arial" w:hAnsi="Arial" w:cs="Arial"/>
                <w:sz w:val="14"/>
                <w:szCs w:val="14"/>
              </w:rPr>
              <w:t xml:space="preserve"> (-</w:t>
            </w:r>
            <w:r>
              <w:rPr>
                <w:rFonts w:ascii="Arial" w:hAnsi="Arial" w:cs="Arial"/>
                <w:sz w:val="14"/>
                <w:szCs w:val="14"/>
              </w:rPr>
              <w:t>7.06</w:t>
            </w:r>
            <w:r w:rsidRPr="00260550">
              <w:rPr>
                <w:rFonts w:ascii="Arial" w:hAnsi="Arial" w:cs="Arial"/>
                <w:sz w:val="14"/>
                <w:szCs w:val="14"/>
              </w:rPr>
              <w:t xml:space="preserve">, </w:t>
            </w:r>
            <w:r>
              <w:rPr>
                <w:rFonts w:ascii="Arial" w:hAnsi="Arial" w:cs="Arial"/>
                <w:sz w:val="14"/>
                <w:szCs w:val="14"/>
              </w:rPr>
              <w:t>0.21</w:t>
            </w:r>
            <w:r w:rsidRPr="00260550">
              <w:rPr>
                <w:rFonts w:ascii="Arial" w:hAnsi="Arial" w:cs="Arial"/>
                <w:sz w:val="14"/>
                <w:szCs w:val="14"/>
              </w:rPr>
              <w:t>)</w:t>
            </w:r>
          </w:p>
        </w:tc>
        <w:tc>
          <w:tcPr>
            <w:tcW w:w="907" w:type="dxa"/>
            <w:gridSpan w:val="2"/>
            <w:shd w:val="clear" w:color="auto" w:fill="auto"/>
            <w:vAlign w:val="bottom"/>
          </w:tcPr>
          <w:p w14:paraId="5D3F9A4C" w14:textId="77777777" w:rsidR="009D2941" w:rsidRPr="00260550" w:rsidRDefault="009D2941" w:rsidP="009D2941">
            <w:pPr>
              <w:spacing w:after="0"/>
              <w:jc w:val="center"/>
              <w:rPr>
                <w:rFonts w:ascii="Arial" w:hAnsi="Arial" w:cs="Arial"/>
                <w:sz w:val="14"/>
                <w:szCs w:val="14"/>
              </w:rPr>
            </w:pPr>
          </w:p>
        </w:tc>
        <w:tc>
          <w:tcPr>
            <w:tcW w:w="2137" w:type="dxa"/>
            <w:gridSpan w:val="4"/>
            <w:vAlign w:val="bottom"/>
          </w:tcPr>
          <w:p w14:paraId="6C0F3D02" w14:textId="28E4E2E2"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-9.75 (-13.86,-5.65)</w:t>
            </w:r>
          </w:p>
        </w:tc>
        <w:tc>
          <w:tcPr>
            <w:tcW w:w="909" w:type="dxa"/>
            <w:gridSpan w:val="2"/>
            <w:vAlign w:val="bottom"/>
          </w:tcPr>
          <w:p w14:paraId="1FA4690B" w14:textId="77777777" w:rsidR="009D2941" w:rsidRPr="00260550" w:rsidRDefault="009D2941" w:rsidP="009D2941">
            <w:pPr>
              <w:spacing w:after="0"/>
              <w:jc w:val="center"/>
              <w:rPr>
                <w:rFonts w:ascii="Arial" w:hAnsi="Arial" w:cs="Arial"/>
                <w:sz w:val="14"/>
                <w:szCs w:val="14"/>
              </w:rPr>
            </w:pPr>
          </w:p>
        </w:tc>
        <w:tc>
          <w:tcPr>
            <w:tcW w:w="2314" w:type="dxa"/>
            <w:gridSpan w:val="4"/>
            <w:vAlign w:val="bottom"/>
          </w:tcPr>
          <w:p w14:paraId="015E9375" w14:textId="611991D3"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4.26 (-5.94,14.46)</w:t>
            </w:r>
          </w:p>
        </w:tc>
        <w:tc>
          <w:tcPr>
            <w:tcW w:w="1001" w:type="dxa"/>
            <w:gridSpan w:val="4"/>
            <w:vAlign w:val="bottom"/>
          </w:tcPr>
          <w:p w14:paraId="244B956B" w14:textId="77777777" w:rsidR="009D2941" w:rsidRPr="00260550" w:rsidRDefault="009D2941" w:rsidP="009D2941">
            <w:pPr>
              <w:spacing w:after="0"/>
              <w:jc w:val="center"/>
              <w:rPr>
                <w:rFonts w:ascii="Arial" w:hAnsi="Arial" w:cs="Arial"/>
                <w:sz w:val="14"/>
                <w:szCs w:val="14"/>
              </w:rPr>
            </w:pPr>
          </w:p>
        </w:tc>
        <w:tc>
          <w:tcPr>
            <w:tcW w:w="2408" w:type="dxa"/>
            <w:gridSpan w:val="4"/>
            <w:vAlign w:val="bottom"/>
          </w:tcPr>
          <w:p w14:paraId="02B00045" w14:textId="411CD587"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-2.12 (-12.72,8.49)</w:t>
            </w:r>
          </w:p>
        </w:tc>
        <w:tc>
          <w:tcPr>
            <w:tcW w:w="993" w:type="dxa"/>
            <w:gridSpan w:val="4"/>
            <w:vAlign w:val="bottom"/>
          </w:tcPr>
          <w:p w14:paraId="3507003E" w14:textId="77777777" w:rsidR="009D2941" w:rsidRPr="00260550" w:rsidRDefault="009D2941" w:rsidP="009D2941">
            <w:pPr>
              <w:spacing w:after="0"/>
              <w:jc w:val="center"/>
              <w:rPr>
                <w:rFonts w:ascii="Arial" w:hAnsi="Arial" w:cs="Arial"/>
                <w:sz w:val="14"/>
                <w:szCs w:val="14"/>
              </w:rPr>
            </w:pPr>
          </w:p>
        </w:tc>
      </w:tr>
      <w:tr w:rsidR="009D2941" w:rsidRPr="00260550" w14:paraId="6108162A" w14:textId="77777777" w:rsidTr="00D24822">
        <w:trPr>
          <w:gridBefore w:val="1"/>
          <w:gridAfter w:val="2"/>
          <w:wBefore w:w="108" w:type="dxa"/>
          <w:wAfter w:w="551" w:type="dxa"/>
        </w:trPr>
        <w:tc>
          <w:tcPr>
            <w:tcW w:w="1749" w:type="dxa"/>
            <w:gridSpan w:val="2"/>
            <w:shd w:val="clear" w:color="auto" w:fill="auto"/>
            <w:vAlign w:val="center"/>
          </w:tcPr>
          <w:p w14:paraId="0507AA0D" w14:textId="6D0A631F" w:rsidR="009D2941" w:rsidRPr="00260550" w:rsidRDefault="009D2941" w:rsidP="009D2941">
            <w:pPr>
              <w:spacing w:after="0"/>
              <w:rPr>
                <w:rFonts w:ascii="Arial" w:hAnsi="Arial" w:cs="Arial"/>
                <w:sz w:val="14"/>
                <w:szCs w:val="14"/>
              </w:rPr>
            </w:pPr>
            <w:r w:rsidRPr="00260550">
              <w:rPr>
                <w:rFonts w:ascii="Arial" w:hAnsi="Arial" w:cs="Arial"/>
                <w:sz w:val="14"/>
                <w:szCs w:val="14"/>
              </w:rPr>
              <w:t>2.92</w:t>
            </w:r>
            <w:r>
              <w:rPr>
                <w:rFonts w:ascii="Arial" w:hAnsi="Arial" w:cs="Arial"/>
                <w:sz w:val="14"/>
                <w:szCs w:val="14"/>
              </w:rPr>
              <w:t>8</w:t>
            </w:r>
            <w:r w:rsidRPr="00260550">
              <w:rPr>
                <w:rFonts w:ascii="Arial" w:hAnsi="Arial" w:cs="Arial"/>
                <w:sz w:val="14"/>
                <w:szCs w:val="14"/>
              </w:rPr>
              <w:t>-3.4</w:t>
            </w:r>
            <w:r>
              <w:rPr>
                <w:rFonts w:ascii="Arial" w:hAnsi="Arial" w:cs="Arial"/>
                <w:sz w:val="14"/>
                <w:szCs w:val="14"/>
              </w:rPr>
              <w:t>07</w:t>
            </w:r>
          </w:p>
        </w:tc>
        <w:tc>
          <w:tcPr>
            <w:tcW w:w="2094" w:type="dxa"/>
            <w:gridSpan w:val="2"/>
            <w:shd w:val="clear" w:color="auto" w:fill="auto"/>
          </w:tcPr>
          <w:p w14:paraId="12136CC6" w14:textId="1ABD061A"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w:t>
            </w:r>
            <w:r>
              <w:rPr>
                <w:rFonts w:ascii="Arial" w:hAnsi="Arial" w:cs="Arial"/>
                <w:sz w:val="14"/>
                <w:szCs w:val="14"/>
              </w:rPr>
              <w:t>5.05</w:t>
            </w:r>
            <w:r w:rsidRPr="00260550">
              <w:rPr>
                <w:rFonts w:ascii="Arial" w:hAnsi="Arial" w:cs="Arial"/>
                <w:sz w:val="14"/>
                <w:szCs w:val="14"/>
              </w:rPr>
              <w:t xml:space="preserve"> (-</w:t>
            </w:r>
            <w:r>
              <w:rPr>
                <w:rFonts w:ascii="Arial" w:hAnsi="Arial" w:cs="Arial"/>
                <w:sz w:val="14"/>
                <w:szCs w:val="14"/>
              </w:rPr>
              <w:t>8.84</w:t>
            </w:r>
            <w:r w:rsidRPr="00260550">
              <w:rPr>
                <w:rFonts w:ascii="Arial" w:hAnsi="Arial" w:cs="Arial"/>
                <w:sz w:val="14"/>
                <w:szCs w:val="14"/>
              </w:rPr>
              <w:t>, -</w:t>
            </w:r>
            <w:r>
              <w:rPr>
                <w:rFonts w:ascii="Arial" w:hAnsi="Arial" w:cs="Arial"/>
                <w:sz w:val="14"/>
                <w:szCs w:val="14"/>
              </w:rPr>
              <w:t>1.27</w:t>
            </w:r>
            <w:r w:rsidRPr="00260550">
              <w:rPr>
                <w:rFonts w:ascii="Arial" w:hAnsi="Arial" w:cs="Arial"/>
                <w:sz w:val="14"/>
                <w:szCs w:val="14"/>
              </w:rPr>
              <w:t>)</w:t>
            </w:r>
          </w:p>
        </w:tc>
        <w:tc>
          <w:tcPr>
            <w:tcW w:w="907" w:type="dxa"/>
            <w:gridSpan w:val="2"/>
            <w:shd w:val="clear" w:color="auto" w:fill="auto"/>
            <w:vAlign w:val="bottom"/>
          </w:tcPr>
          <w:p w14:paraId="0E409650" w14:textId="77777777" w:rsidR="009D2941" w:rsidRPr="00260550" w:rsidRDefault="009D2941" w:rsidP="009D2941">
            <w:pPr>
              <w:spacing w:after="0"/>
              <w:jc w:val="center"/>
              <w:rPr>
                <w:rFonts w:ascii="Arial" w:hAnsi="Arial" w:cs="Arial"/>
                <w:sz w:val="14"/>
                <w:szCs w:val="14"/>
              </w:rPr>
            </w:pPr>
          </w:p>
        </w:tc>
        <w:tc>
          <w:tcPr>
            <w:tcW w:w="2137" w:type="dxa"/>
            <w:gridSpan w:val="4"/>
            <w:vAlign w:val="bottom"/>
          </w:tcPr>
          <w:p w14:paraId="5ED33F3F" w14:textId="1D676D4C"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-14.97 (-19.09,-10.85)</w:t>
            </w:r>
          </w:p>
        </w:tc>
        <w:tc>
          <w:tcPr>
            <w:tcW w:w="909" w:type="dxa"/>
            <w:gridSpan w:val="2"/>
            <w:vAlign w:val="bottom"/>
          </w:tcPr>
          <w:p w14:paraId="692E38F6" w14:textId="77777777" w:rsidR="009D2941" w:rsidRPr="00260550" w:rsidRDefault="009D2941" w:rsidP="009D2941">
            <w:pPr>
              <w:spacing w:after="0"/>
              <w:jc w:val="center"/>
              <w:rPr>
                <w:rFonts w:ascii="Arial" w:hAnsi="Arial" w:cs="Arial"/>
                <w:sz w:val="14"/>
                <w:szCs w:val="14"/>
              </w:rPr>
            </w:pPr>
          </w:p>
        </w:tc>
        <w:tc>
          <w:tcPr>
            <w:tcW w:w="2314" w:type="dxa"/>
            <w:gridSpan w:val="4"/>
            <w:vAlign w:val="bottom"/>
          </w:tcPr>
          <w:p w14:paraId="2D4C36D8" w14:textId="645614FB"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0.83 (-9.76,11.43)</w:t>
            </w:r>
          </w:p>
        </w:tc>
        <w:tc>
          <w:tcPr>
            <w:tcW w:w="1001" w:type="dxa"/>
            <w:gridSpan w:val="4"/>
            <w:vAlign w:val="bottom"/>
          </w:tcPr>
          <w:p w14:paraId="5FE0D183" w14:textId="77777777" w:rsidR="009D2941" w:rsidRPr="00260550" w:rsidRDefault="009D2941" w:rsidP="009D2941">
            <w:pPr>
              <w:spacing w:after="0"/>
              <w:jc w:val="center"/>
              <w:rPr>
                <w:rFonts w:ascii="Arial" w:hAnsi="Arial" w:cs="Arial"/>
                <w:sz w:val="14"/>
                <w:szCs w:val="14"/>
              </w:rPr>
            </w:pPr>
          </w:p>
        </w:tc>
        <w:tc>
          <w:tcPr>
            <w:tcW w:w="2408" w:type="dxa"/>
            <w:gridSpan w:val="4"/>
            <w:vAlign w:val="bottom"/>
          </w:tcPr>
          <w:p w14:paraId="4ED26EA6" w14:textId="30579012"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-10.59 (-21.29,0.11)</w:t>
            </w:r>
          </w:p>
        </w:tc>
        <w:tc>
          <w:tcPr>
            <w:tcW w:w="993" w:type="dxa"/>
            <w:gridSpan w:val="4"/>
            <w:vAlign w:val="bottom"/>
          </w:tcPr>
          <w:p w14:paraId="79EBAAE5" w14:textId="77777777" w:rsidR="009D2941" w:rsidRPr="00260550" w:rsidRDefault="009D2941" w:rsidP="009D2941">
            <w:pPr>
              <w:spacing w:after="0"/>
              <w:jc w:val="center"/>
              <w:rPr>
                <w:rFonts w:ascii="Arial" w:hAnsi="Arial" w:cs="Arial"/>
                <w:sz w:val="14"/>
                <w:szCs w:val="14"/>
              </w:rPr>
            </w:pPr>
          </w:p>
        </w:tc>
      </w:tr>
      <w:tr w:rsidR="009D2941" w:rsidRPr="00260550" w14:paraId="34BFFB7E" w14:textId="77777777" w:rsidTr="00D24822">
        <w:trPr>
          <w:gridBefore w:val="1"/>
          <w:gridAfter w:val="2"/>
          <w:wBefore w:w="108" w:type="dxa"/>
          <w:wAfter w:w="551" w:type="dxa"/>
        </w:trPr>
        <w:tc>
          <w:tcPr>
            <w:tcW w:w="1749" w:type="dxa"/>
            <w:gridSpan w:val="2"/>
            <w:shd w:val="clear" w:color="auto" w:fill="auto"/>
            <w:vAlign w:val="center"/>
          </w:tcPr>
          <w:p w14:paraId="0E473695" w14:textId="6F374D9F" w:rsidR="009D2941" w:rsidRPr="00260550" w:rsidRDefault="009D2941" w:rsidP="009D2941">
            <w:pPr>
              <w:spacing w:after="0"/>
              <w:rPr>
                <w:rFonts w:ascii="Arial" w:hAnsi="Arial" w:cs="Arial"/>
                <w:sz w:val="14"/>
                <w:szCs w:val="14"/>
              </w:rPr>
            </w:pPr>
            <w:r w:rsidRPr="00260550">
              <w:rPr>
                <w:rFonts w:ascii="Arial" w:hAnsi="Arial" w:cs="Arial"/>
                <w:sz w:val="14"/>
                <w:szCs w:val="14"/>
              </w:rPr>
              <w:t>≥3.4</w:t>
            </w:r>
            <w:r>
              <w:rPr>
                <w:rFonts w:ascii="Arial" w:hAnsi="Arial" w:cs="Arial"/>
                <w:sz w:val="14"/>
                <w:szCs w:val="14"/>
              </w:rPr>
              <w:t>08</w:t>
            </w:r>
          </w:p>
        </w:tc>
        <w:tc>
          <w:tcPr>
            <w:tcW w:w="2094" w:type="dxa"/>
            <w:gridSpan w:val="2"/>
            <w:shd w:val="clear" w:color="auto" w:fill="auto"/>
          </w:tcPr>
          <w:p w14:paraId="5D05A621" w14:textId="06DEA82D"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w:t>
            </w:r>
            <w:r>
              <w:rPr>
                <w:rFonts w:ascii="Arial" w:hAnsi="Arial" w:cs="Arial"/>
                <w:sz w:val="14"/>
                <w:szCs w:val="14"/>
              </w:rPr>
              <w:t>12.78</w:t>
            </w:r>
            <w:r w:rsidRPr="00260550">
              <w:rPr>
                <w:rFonts w:ascii="Arial" w:hAnsi="Arial" w:cs="Arial"/>
                <w:sz w:val="14"/>
                <w:szCs w:val="14"/>
              </w:rPr>
              <w:t xml:space="preserve"> (-1</w:t>
            </w:r>
            <w:r>
              <w:rPr>
                <w:rFonts w:ascii="Arial" w:hAnsi="Arial" w:cs="Arial"/>
                <w:sz w:val="14"/>
                <w:szCs w:val="14"/>
              </w:rPr>
              <w:t>6.61</w:t>
            </w:r>
            <w:r w:rsidRPr="00260550">
              <w:rPr>
                <w:rFonts w:ascii="Arial" w:hAnsi="Arial" w:cs="Arial"/>
                <w:sz w:val="14"/>
                <w:szCs w:val="14"/>
              </w:rPr>
              <w:t>, -</w:t>
            </w:r>
            <w:r>
              <w:rPr>
                <w:rFonts w:ascii="Arial" w:hAnsi="Arial" w:cs="Arial"/>
                <w:sz w:val="14"/>
                <w:szCs w:val="14"/>
              </w:rPr>
              <w:t>8.94</w:t>
            </w:r>
            <w:r w:rsidRPr="00260550">
              <w:rPr>
                <w:rFonts w:ascii="Arial" w:hAnsi="Arial" w:cs="Arial"/>
                <w:sz w:val="14"/>
                <w:szCs w:val="14"/>
              </w:rPr>
              <w:t>)</w:t>
            </w:r>
          </w:p>
        </w:tc>
        <w:tc>
          <w:tcPr>
            <w:tcW w:w="907" w:type="dxa"/>
            <w:gridSpan w:val="2"/>
            <w:shd w:val="clear" w:color="auto" w:fill="auto"/>
            <w:vAlign w:val="bottom"/>
          </w:tcPr>
          <w:p w14:paraId="3CC31C13" w14:textId="77777777" w:rsidR="009D2941" w:rsidRPr="00260550" w:rsidRDefault="009D2941" w:rsidP="009D2941">
            <w:pPr>
              <w:spacing w:after="0"/>
              <w:jc w:val="center"/>
              <w:rPr>
                <w:rFonts w:ascii="Arial" w:hAnsi="Arial" w:cs="Arial"/>
                <w:sz w:val="14"/>
                <w:szCs w:val="14"/>
              </w:rPr>
            </w:pPr>
          </w:p>
        </w:tc>
        <w:tc>
          <w:tcPr>
            <w:tcW w:w="2137" w:type="dxa"/>
            <w:gridSpan w:val="4"/>
            <w:vAlign w:val="bottom"/>
          </w:tcPr>
          <w:p w14:paraId="2418E7CF" w14:textId="4BE50248"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-22.40 (-26.53,-18.27)</w:t>
            </w:r>
          </w:p>
        </w:tc>
        <w:tc>
          <w:tcPr>
            <w:tcW w:w="909" w:type="dxa"/>
            <w:gridSpan w:val="2"/>
            <w:vAlign w:val="bottom"/>
          </w:tcPr>
          <w:p w14:paraId="6A81C10B" w14:textId="77777777" w:rsidR="009D2941" w:rsidRPr="00260550" w:rsidRDefault="009D2941" w:rsidP="009D2941">
            <w:pPr>
              <w:spacing w:after="0"/>
              <w:jc w:val="center"/>
              <w:rPr>
                <w:rFonts w:ascii="Arial" w:hAnsi="Arial" w:cs="Arial"/>
                <w:sz w:val="14"/>
                <w:szCs w:val="14"/>
              </w:rPr>
            </w:pPr>
          </w:p>
        </w:tc>
        <w:tc>
          <w:tcPr>
            <w:tcW w:w="2314" w:type="dxa"/>
            <w:gridSpan w:val="4"/>
            <w:vAlign w:val="bottom"/>
          </w:tcPr>
          <w:p w14:paraId="0ED7C2D4" w14:textId="3DA5617A"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-8.79 (-19.41,1.84)</w:t>
            </w:r>
          </w:p>
        </w:tc>
        <w:tc>
          <w:tcPr>
            <w:tcW w:w="1001" w:type="dxa"/>
            <w:gridSpan w:val="4"/>
            <w:vAlign w:val="bottom"/>
          </w:tcPr>
          <w:p w14:paraId="0659EDDA" w14:textId="77777777" w:rsidR="009D2941" w:rsidRPr="00260550" w:rsidRDefault="009D2941" w:rsidP="009D2941">
            <w:pPr>
              <w:spacing w:after="0"/>
              <w:jc w:val="center"/>
              <w:rPr>
                <w:rFonts w:ascii="Arial" w:hAnsi="Arial" w:cs="Arial"/>
                <w:sz w:val="14"/>
                <w:szCs w:val="14"/>
              </w:rPr>
            </w:pPr>
          </w:p>
        </w:tc>
        <w:tc>
          <w:tcPr>
            <w:tcW w:w="2408" w:type="dxa"/>
            <w:gridSpan w:val="4"/>
            <w:vAlign w:val="bottom"/>
          </w:tcPr>
          <w:p w14:paraId="43066577" w14:textId="488247F2"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-17.98 (-29.01,-6.96)</w:t>
            </w:r>
          </w:p>
        </w:tc>
        <w:tc>
          <w:tcPr>
            <w:tcW w:w="993" w:type="dxa"/>
            <w:gridSpan w:val="4"/>
            <w:vAlign w:val="bottom"/>
          </w:tcPr>
          <w:p w14:paraId="676F5295" w14:textId="77777777" w:rsidR="009D2941" w:rsidRPr="00260550" w:rsidRDefault="009D2941" w:rsidP="009D2941">
            <w:pPr>
              <w:spacing w:after="0"/>
              <w:jc w:val="center"/>
              <w:rPr>
                <w:rFonts w:ascii="Arial" w:hAnsi="Arial" w:cs="Arial"/>
                <w:sz w:val="14"/>
                <w:szCs w:val="14"/>
              </w:rPr>
            </w:pPr>
          </w:p>
        </w:tc>
      </w:tr>
      <w:tr w:rsidR="009D2941" w:rsidRPr="00260550" w14:paraId="04D2E511" w14:textId="77777777" w:rsidTr="00D24822">
        <w:trPr>
          <w:gridBefore w:val="1"/>
          <w:gridAfter w:val="2"/>
          <w:wBefore w:w="108" w:type="dxa"/>
          <w:wAfter w:w="551" w:type="dxa"/>
        </w:trPr>
        <w:tc>
          <w:tcPr>
            <w:tcW w:w="1749" w:type="dxa"/>
            <w:gridSpan w:val="2"/>
            <w:shd w:val="clear" w:color="auto" w:fill="auto"/>
            <w:vAlign w:val="bottom"/>
          </w:tcPr>
          <w:p w14:paraId="441FD0B0" w14:textId="77777777" w:rsidR="009D2941" w:rsidRPr="00260550" w:rsidRDefault="009D2941" w:rsidP="009D2941">
            <w:pPr>
              <w:spacing w:after="0"/>
              <w:rPr>
                <w:rFonts w:ascii="Arial" w:eastAsia="Times New Roman" w:hAnsi="Arial" w:cs="Arial"/>
                <w:b/>
                <w:sz w:val="14"/>
                <w:szCs w:val="14"/>
                <w:lang w:eastAsia="en-GB"/>
              </w:rPr>
            </w:pPr>
            <w:r w:rsidRPr="00260550">
              <w:rPr>
                <w:rFonts w:ascii="Arial" w:eastAsia="Times New Roman" w:hAnsi="Arial" w:cs="Arial"/>
                <w:b/>
                <w:sz w:val="14"/>
                <w:szCs w:val="14"/>
                <w:lang w:eastAsia="en-GB"/>
              </w:rPr>
              <w:t>C</w:t>
            </w:r>
            <w:r w:rsidRPr="00260550">
              <w:rPr>
                <w:rFonts w:ascii="Arial" w:eastAsia="Times New Roman" w:hAnsi="Arial" w:cs="Arial"/>
                <w:b/>
                <w:sz w:val="14"/>
                <w:szCs w:val="14"/>
                <w:vertAlign w:val="subscript"/>
                <w:lang w:eastAsia="en-GB"/>
              </w:rPr>
              <w:t>max</w:t>
            </w:r>
            <w:r w:rsidRPr="00260550">
              <w:rPr>
                <w:rFonts w:ascii="Arial" w:eastAsia="Times New Roman" w:hAnsi="Arial" w:cs="Arial"/>
                <w:b/>
                <w:sz w:val="14"/>
                <w:szCs w:val="14"/>
                <w:lang w:eastAsia="en-GB"/>
              </w:rPr>
              <w:t xml:space="preserve"> (mg/L)</w:t>
            </w:r>
          </w:p>
        </w:tc>
        <w:tc>
          <w:tcPr>
            <w:tcW w:w="2094" w:type="dxa"/>
            <w:gridSpan w:val="2"/>
            <w:shd w:val="clear" w:color="auto" w:fill="auto"/>
            <w:vAlign w:val="bottom"/>
          </w:tcPr>
          <w:p w14:paraId="1395C775" w14:textId="77777777" w:rsidR="009D2941" w:rsidRPr="00260550" w:rsidRDefault="009D2941" w:rsidP="009D2941">
            <w:pPr>
              <w:spacing w:after="0"/>
              <w:jc w:val="center"/>
              <w:rPr>
                <w:rFonts w:ascii="Arial" w:hAnsi="Arial" w:cs="Arial"/>
                <w:sz w:val="14"/>
                <w:szCs w:val="14"/>
              </w:rPr>
            </w:pPr>
          </w:p>
        </w:tc>
        <w:tc>
          <w:tcPr>
            <w:tcW w:w="907" w:type="dxa"/>
            <w:gridSpan w:val="2"/>
            <w:shd w:val="clear" w:color="auto" w:fill="auto"/>
            <w:vAlign w:val="center"/>
          </w:tcPr>
          <w:p w14:paraId="74118CF9" w14:textId="437C0336" w:rsidR="009D2941" w:rsidRPr="00260550" w:rsidRDefault="009D2941" w:rsidP="009D2941">
            <w:pPr>
              <w:spacing w:after="0"/>
              <w:jc w:val="center"/>
              <w:rPr>
                <w:rFonts w:ascii="Arial" w:hAnsi="Arial" w:cs="Arial"/>
                <w:sz w:val="14"/>
                <w:szCs w:val="14"/>
              </w:rPr>
            </w:pPr>
            <w:r>
              <w:rPr>
                <w:rFonts w:ascii="Arial" w:hAnsi="Arial" w:cs="Arial"/>
                <w:sz w:val="14"/>
                <w:szCs w:val="14"/>
              </w:rPr>
              <w:t>0.003</w:t>
            </w:r>
          </w:p>
        </w:tc>
        <w:tc>
          <w:tcPr>
            <w:tcW w:w="2137" w:type="dxa"/>
            <w:gridSpan w:val="4"/>
            <w:vAlign w:val="center"/>
          </w:tcPr>
          <w:p w14:paraId="605A1282" w14:textId="77777777" w:rsidR="009D2941" w:rsidRPr="00260550" w:rsidRDefault="009D2941" w:rsidP="009D2941">
            <w:pPr>
              <w:spacing w:after="0"/>
              <w:jc w:val="center"/>
              <w:rPr>
                <w:rFonts w:ascii="Arial" w:hAnsi="Arial" w:cs="Arial"/>
                <w:sz w:val="14"/>
                <w:szCs w:val="14"/>
              </w:rPr>
            </w:pPr>
          </w:p>
        </w:tc>
        <w:tc>
          <w:tcPr>
            <w:tcW w:w="909" w:type="dxa"/>
            <w:gridSpan w:val="2"/>
            <w:vAlign w:val="center"/>
          </w:tcPr>
          <w:p w14:paraId="7A84EE59" w14:textId="7DB9531C" w:rsidR="009D2941" w:rsidRPr="00260550" w:rsidRDefault="009D2941" w:rsidP="009D2941">
            <w:pPr>
              <w:spacing w:after="0"/>
              <w:jc w:val="center"/>
              <w:rPr>
                <w:rFonts w:ascii="Arial" w:hAnsi="Arial" w:cs="Arial"/>
                <w:sz w:val="14"/>
                <w:szCs w:val="14"/>
              </w:rPr>
            </w:pPr>
            <w:r>
              <w:rPr>
                <w:rFonts w:ascii="Arial" w:hAnsi="Arial" w:cs="Arial"/>
                <w:sz w:val="14"/>
                <w:szCs w:val="14"/>
              </w:rPr>
              <w:t>&lt;0.001</w:t>
            </w:r>
          </w:p>
        </w:tc>
        <w:tc>
          <w:tcPr>
            <w:tcW w:w="2314" w:type="dxa"/>
            <w:gridSpan w:val="4"/>
            <w:vAlign w:val="center"/>
          </w:tcPr>
          <w:p w14:paraId="58B8C677" w14:textId="77777777" w:rsidR="009D2941" w:rsidRPr="00260550" w:rsidRDefault="009D2941" w:rsidP="009D2941">
            <w:pPr>
              <w:spacing w:after="0"/>
              <w:jc w:val="center"/>
              <w:rPr>
                <w:rFonts w:ascii="Arial" w:hAnsi="Arial" w:cs="Arial"/>
                <w:sz w:val="14"/>
                <w:szCs w:val="14"/>
              </w:rPr>
            </w:pPr>
          </w:p>
        </w:tc>
        <w:tc>
          <w:tcPr>
            <w:tcW w:w="1001" w:type="dxa"/>
            <w:gridSpan w:val="4"/>
            <w:vAlign w:val="center"/>
          </w:tcPr>
          <w:p w14:paraId="43A2A011" w14:textId="31845108"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0.</w:t>
            </w:r>
            <w:r>
              <w:rPr>
                <w:rFonts w:ascii="Arial" w:hAnsi="Arial" w:cs="Arial"/>
                <w:sz w:val="14"/>
                <w:szCs w:val="14"/>
              </w:rPr>
              <w:t>25</w:t>
            </w:r>
          </w:p>
        </w:tc>
        <w:tc>
          <w:tcPr>
            <w:tcW w:w="2408" w:type="dxa"/>
            <w:gridSpan w:val="4"/>
            <w:vAlign w:val="center"/>
          </w:tcPr>
          <w:p w14:paraId="50E3880A" w14:textId="77777777" w:rsidR="009D2941" w:rsidRPr="00260550" w:rsidRDefault="009D2941" w:rsidP="009D2941">
            <w:pPr>
              <w:spacing w:after="0"/>
              <w:jc w:val="center"/>
              <w:rPr>
                <w:rFonts w:ascii="Arial" w:hAnsi="Arial" w:cs="Arial"/>
                <w:sz w:val="14"/>
                <w:szCs w:val="14"/>
              </w:rPr>
            </w:pPr>
          </w:p>
        </w:tc>
        <w:tc>
          <w:tcPr>
            <w:tcW w:w="993" w:type="dxa"/>
            <w:gridSpan w:val="4"/>
            <w:vAlign w:val="bottom"/>
          </w:tcPr>
          <w:p w14:paraId="43E6B5A2" w14:textId="021D7487"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0.</w:t>
            </w:r>
            <w:r>
              <w:rPr>
                <w:rFonts w:ascii="Arial" w:hAnsi="Arial" w:cs="Arial"/>
                <w:sz w:val="14"/>
                <w:szCs w:val="14"/>
              </w:rPr>
              <w:t>09</w:t>
            </w:r>
          </w:p>
        </w:tc>
      </w:tr>
      <w:tr w:rsidR="009D2941" w:rsidRPr="00260550" w14:paraId="5DC1EE9A" w14:textId="77777777" w:rsidTr="009D2941">
        <w:trPr>
          <w:gridBefore w:val="1"/>
          <w:gridAfter w:val="2"/>
          <w:wBefore w:w="108" w:type="dxa"/>
          <w:wAfter w:w="551" w:type="dxa"/>
        </w:trPr>
        <w:tc>
          <w:tcPr>
            <w:tcW w:w="1749" w:type="dxa"/>
            <w:gridSpan w:val="2"/>
            <w:shd w:val="clear" w:color="auto" w:fill="auto"/>
            <w:vAlign w:val="center"/>
          </w:tcPr>
          <w:p w14:paraId="29AA6F28" w14:textId="77777777" w:rsidR="009D2941" w:rsidRPr="00260550" w:rsidRDefault="009D2941" w:rsidP="009D2941">
            <w:pPr>
              <w:spacing w:after="0"/>
              <w:rPr>
                <w:rFonts w:ascii="Arial" w:hAnsi="Arial" w:cs="Arial"/>
                <w:sz w:val="14"/>
                <w:szCs w:val="14"/>
              </w:rPr>
            </w:pPr>
            <w:r w:rsidRPr="00260550">
              <w:rPr>
                <w:rFonts w:ascii="Arial" w:hAnsi="Arial" w:cs="Arial"/>
                <w:sz w:val="14"/>
                <w:szCs w:val="14"/>
              </w:rPr>
              <w:t>≤0.219</w:t>
            </w:r>
          </w:p>
        </w:tc>
        <w:tc>
          <w:tcPr>
            <w:tcW w:w="2094" w:type="dxa"/>
            <w:gridSpan w:val="2"/>
            <w:shd w:val="clear" w:color="auto" w:fill="auto"/>
            <w:vAlign w:val="bottom"/>
          </w:tcPr>
          <w:p w14:paraId="0A770AEE" w14:textId="77777777"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Ref.</w:t>
            </w:r>
          </w:p>
        </w:tc>
        <w:tc>
          <w:tcPr>
            <w:tcW w:w="907" w:type="dxa"/>
            <w:gridSpan w:val="2"/>
            <w:shd w:val="clear" w:color="auto" w:fill="auto"/>
            <w:vAlign w:val="bottom"/>
          </w:tcPr>
          <w:p w14:paraId="13EB052F" w14:textId="77777777"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w:t>
            </w:r>
          </w:p>
        </w:tc>
        <w:tc>
          <w:tcPr>
            <w:tcW w:w="2137" w:type="dxa"/>
            <w:gridSpan w:val="4"/>
            <w:vAlign w:val="bottom"/>
          </w:tcPr>
          <w:p w14:paraId="3A32A2CF" w14:textId="1F576DE0"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Ref.</w:t>
            </w:r>
          </w:p>
        </w:tc>
        <w:tc>
          <w:tcPr>
            <w:tcW w:w="909" w:type="dxa"/>
            <w:gridSpan w:val="2"/>
            <w:vAlign w:val="bottom"/>
          </w:tcPr>
          <w:p w14:paraId="439CA4A8" w14:textId="77777777"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w:t>
            </w:r>
          </w:p>
        </w:tc>
        <w:tc>
          <w:tcPr>
            <w:tcW w:w="2314" w:type="dxa"/>
            <w:gridSpan w:val="4"/>
            <w:vAlign w:val="bottom"/>
          </w:tcPr>
          <w:p w14:paraId="6B65A97B" w14:textId="72911D50"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Ref.</w:t>
            </w:r>
          </w:p>
        </w:tc>
        <w:tc>
          <w:tcPr>
            <w:tcW w:w="1001" w:type="dxa"/>
            <w:gridSpan w:val="4"/>
            <w:vAlign w:val="bottom"/>
          </w:tcPr>
          <w:p w14:paraId="3623B577" w14:textId="77777777"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w:t>
            </w:r>
          </w:p>
        </w:tc>
        <w:tc>
          <w:tcPr>
            <w:tcW w:w="2408" w:type="dxa"/>
            <w:gridSpan w:val="4"/>
            <w:vAlign w:val="bottom"/>
          </w:tcPr>
          <w:p w14:paraId="12F571B9" w14:textId="5B23CFDF"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Ref.</w:t>
            </w:r>
          </w:p>
        </w:tc>
        <w:tc>
          <w:tcPr>
            <w:tcW w:w="993" w:type="dxa"/>
            <w:gridSpan w:val="4"/>
            <w:vAlign w:val="bottom"/>
          </w:tcPr>
          <w:p w14:paraId="6D18715D" w14:textId="77777777"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w:t>
            </w:r>
          </w:p>
        </w:tc>
      </w:tr>
      <w:tr w:rsidR="009D2941" w:rsidRPr="00260550" w14:paraId="474F04A4" w14:textId="77777777" w:rsidTr="00D24822">
        <w:trPr>
          <w:gridBefore w:val="1"/>
          <w:gridAfter w:val="2"/>
          <w:wBefore w:w="108" w:type="dxa"/>
          <w:wAfter w:w="551" w:type="dxa"/>
        </w:trPr>
        <w:tc>
          <w:tcPr>
            <w:tcW w:w="1749" w:type="dxa"/>
            <w:gridSpan w:val="2"/>
            <w:shd w:val="clear" w:color="auto" w:fill="auto"/>
            <w:vAlign w:val="center"/>
          </w:tcPr>
          <w:p w14:paraId="73EB607C" w14:textId="77777777" w:rsidR="009D2941" w:rsidRPr="00260550" w:rsidRDefault="009D2941" w:rsidP="009D2941">
            <w:pPr>
              <w:spacing w:after="0"/>
              <w:rPr>
                <w:rFonts w:ascii="Arial" w:hAnsi="Arial" w:cs="Arial"/>
                <w:sz w:val="14"/>
                <w:szCs w:val="14"/>
              </w:rPr>
            </w:pPr>
            <w:r w:rsidRPr="00260550">
              <w:rPr>
                <w:rFonts w:ascii="Arial" w:hAnsi="Arial" w:cs="Arial"/>
                <w:sz w:val="14"/>
                <w:szCs w:val="14"/>
              </w:rPr>
              <w:t>0.220-0.241</w:t>
            </w:r>
          </w:p>
        </w:tc>
        <w:tc>
          <w:tcPr>
            <w:tcW w:w="2094" w:type="dxa"/>
            <w:gridSpan w:val="2"/>
            <w:shd w:val="clear" w:color="auto" w:fill="auto"/>
          </w:tcPr>
          <w:p w14:paraId="27E16D62" w14:textId="630D65C4" w:rsidR="009D2941" w:rsidRPr="00260550" w:rsidRDefault="009D2941" w:rsidP="009D2941">
            <w:pPr>
              <w:spacing w:after="0"/>
              <w:jc w:val="center"/>
              <w:rPr>
                <w:rFonts w:ascii="Arial" w:hAnsi="Arial" w:cs="Arial"/>
                <w:sz w:val="14"/>
                <w:szCs w:val="14"/>
              </w:rPr>
            </w:pPr>
            <w:r>
              <w:rPr>
                <w:rFonts w:ascii="Arial" w:hAnsi="Arial" w:cs="Arial"/>
                <w:sz w:val="14"/>
                <w:szCs w:val="14"/>
              </w:rPr>
              <w:t>1.82</w:t>
            </w:r>
            <w:r w:rsidRPr="00260550">
              <w:rPr>
                <w:rFonts w:ascii="Arial" w:hAnsi="Arial" w:cs="Arial"/>
                <w:sz w:val="14"/>
                <w:szCs w:val="14"/>
              </w:rPr>
              <w:t xml:space="preserve"> (-</w:t>
            </w:r>
            <w:r>
              <w:rPr>
                <w:rFonts w:ascii="Arial" w:hAnsi="Arial" w:cs="Arial"/>
                <w:sz w:val="14"/>
                <w:szCs w:val="14"/>
              </w:rPr>
              <w:t>1.88</w:t>
            </w:r>
            <w:r w:rsidRPr="00260550">
              <w:rPr>
                <w:rFonts w:ascii="Arial" w:hAnsi="Arial" w:cs="Arial"/>
                <w:sz w:val="14"/>
                <w:szCs w:val="14"/>
              </w:rPr>
              <w:t xml:space="preserve">, </w:t>
            </w:r>
            <w:r>
              <w:rPr>
                <w:rFonts w:ascii="Arial" w:hAnsi="Arial" w:cs="Arial"/>
                <w:sz w:val="14"/>
                <w:szCs w:val="14"/>
              </w:rPr>
              <w:t>5.52</w:t>
            </w:r>
            <w:r w:rsidRPr="00260550">
              <w:rPr>
                <w:rFonts w:ascii="Arial" w:hAnsi="Arial" w:cs="Arial"/>
                <w:sz w:val="14"/>
                <w:szCs w:val="14"/>
              </w:rPr>
              <w:t>)</w:t>
            </w:r>
          </w:p>
        </w:tc>
        <w:tc>
          <w:tcPr>
            <w:tcW w:w="907" w:type="dxa"/>
            <w:gridSpan w:val="2"/>
            <w:shd w:val="clear" w:color="auto" w:fill="auto"/>
            <w:vAlign w:val="bottom"/>
          </w:tcPr>
          <w:p w14:paraId="0E2E17A7" w14:textId="77777777" w:rsidR="009D2941" w:rsidRPr="00260550" w:rsidRDefault="009D2941" w:rsidP="009D2941">
            <w:pPr>
              <w:spacing w:after="0"/>
              <w:jc w:val="center"/>
              <w:rPr>
                <w:rFonts w:ascii="Arial" w:hAnsi="Arial" w:cs="Arial"/>
                <w:sz w:val="14"/>
                <w:szCs w:val="14"/>
              </w:rPr>
            </w:pPr>
          </w:p>
        </w:tc>
        <w:tc>
          <w:tcPr>
            <w:tcW w:w="2137" w:type="dxa"/>
            <w:gridSpan w:val="4"/>
            <w:vAlign w:val="bottom"/>
          </w:tcPr>
          <w:p w14:paraId="194E2D59" w14:textId="56622123"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-6.26 (-10.35,-2.17)</w:t>
            </w:r>
          </w:p>
        </w:tc>
        <w:tc>
          <w:tcPr>
            <w:tcW w:w="909" w:type="dxa"/>
            <w:gridSpan w:val="2"/>
            <w:vAlign w:val="bottom"/>
          </w:tcPr>
          <w:p w14:paraId="672E7457" w14:textId="77777777" w:rsidR="009D2941" w:rsidRPr="00260550" w:rsidRDefault="009D2941" w:rsidP="009D2941">
            <w:pPr>
              <w:spacing w:after="0"/>
              <w:jc w:val="center"/>
              <w:rPr>
                <w:rFonts w:ascii="Arial" w:hAnsi="Arial" w:cs="Arial"/>
                <w:sz w:val="14"/>
                <w:szCs w:val="14"/>
              </w:rPr>
            </w:pPr>
          </w:p>
        </w:tc>
        <w:tc>
          <w:tcPr>
            <w:tcW w:w="2314" w:type="dxa"/>
            <w:gridSpan w:val="4"/>
            <w:vAlign w:val="bottom"/>
          </w:tcPr>
          <w:p w14:paraId="7C32129B" w14:textId="62AA0985"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1.57 (-8.63,11.77)</w:t>
            </w:r>
          </w:p>
        </w:tc>
        <w:tc>
          <w:tcPr>
            <w:tcW w:w="1001" w:type="dxa"/>
            <w:gridSpan w:val="4"/>
            <w:vAlign w:val="bottom"/>
          </w:tcPr>
          <w:p w14:paraId="2800BED1" w14:textId="77777777" w:rsidR="009D2941" w:rsidRPr="00260550" w:rsidRDefault="009D2941" w:rsidP="009D2941">
            <w:pPr>
              <w:spacing w:after="0"/>
              <w:jc w:val="center"/>
              <w:rPr>
                <w:rFonts w:ascii="Arial" w:hAnsi="Arial" w:cs="Arial"/>
                <w:sz w:val="14"/>
                <w:szCs w:val="14"/>
              </w:rPr>
            </w:pPr>
          </w:p>
        </w:tc>
        <w:tc>
          <w:tcPr>
            <w:tcW w:w="2408" w:type="dxa"/>
            <w:gridSpan w:val="4"/>
            <w:vAlign w:val="bottom"/>
          </w:tcPr>
          <w:p w14:paraId="3FA5312A" w14:textId="4B211F8E"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4.99 (-6.00,15.99)</w:t>
            </w:r>
          </w:p>
        </w:tc>
        <w:tc>
          <w:tcPr>
            <w:tcW w:w="993" w:type="dxa"/>
            <w:gridSpan w:val="4"/>
            <w:vAlign w:val="bottom"/>
          </w:tcPr>
          <w:p w14:paraId="3F5BFEE9" w14:textId="77777777" w:rsidR="009D2941" w:rsidRPr="00260550" w:rsidRDefault="009D2941" w:rsidP="009D2941">
            <w:pPr>
              <w:spacing w:after="0"/>
              <w:jc w:val="center"/>
              <w:rPr>
                <w:rFonts w:ascii="Arial" w:hAnsi="Arial" w:cs="Arial"/>
                <w:sz w:val="14"/>
                <w:szCs w:val="14"/>
              </w:rPr>
            </w:pPr>
          </w:p>
        </w:tc>
      </w:tr>
      <w:tr w:rsidR="009D2941" w:rsidRPr="00260550" w14:paraId="5763701F" w14:textId="77777777" w:rsidTr="00D24822">
        <w:trPr>
          <w:gridBefore w:val="1"/>
          <w:gridAfter w:val="2"/>
          <w:wBefore w:w="108" w:type="dxa"/>
          <w:wAfter w:w="551" w:type="dxa"/>
        </w:trPr>
        <w:tc>
          <w:tcPr>
            <w:tcW w:w="1749" w:type="dxa"/>
            <w:gridSpan w:val="2"/>
            <w:shd w:val="clear" w:color="auto" w:fill="auto"/>
            <w:vAlign w:val="center"/>
          </w:tcPr>
          <w:p w14:paraId="3D71D2CE" w14:textId="77777777" w:rsidR="009D2941" w:rsidRPr="00260550" w:rsidRDefault="009D2941" w:rsidP="009D2941">
            <w:pPr>
              <w:spacing w:after="0"/>
              <w:rPr>
                <w:rFonts w:ascii="Arial" w:hAnsi="Arial" w:cs="Arial"/>
                <w:sz w:val="14"/>
                <w:szCs w:val="14"/>
              </w:rPr>
            </w:pPr>
            <w:r w:rsidRPr="00260550">
              <w:rPr>
                <w:rFonts w:ascii="Arial" w:hAnsi="Arial" w:cs="Arial"/>
                <w:sz w:val="14"/>
                <w:szCs w:val="14"/>
              </w:rPr>
              <w:t>0.242-0.263</w:t>
            </w:r>
          </w:p>
        </w:tc>
        <w:tc>
          <w:tcPr>
            <w:tcW w:w="2094" w:type="dxa"/>
            <w:gridSpan w:val="2"/>
            <w:shd w:val="clear" w:color="auto" w:fill="auto"/>
          </w:tcPr>
          <w:p w14:paraId="52B110C3" w14:textId="78DB675C"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w:t>
            </w:r>
            <w:r>
              <w:rPr>
                <w:rFonts w:ascii="Arial" w:hAnsi="Arial" w:cs="Arial"/>
                <w:sz w:val="14"/>
                <w:szCs w:val="14"/>
              </w:rPr>
              <w:t>0.41</w:t>
            </w:r>
            <w:r w:rsidRPr="00260550">
              <w:rPr>
                <w:rFonts w:ascii="Arial" w:hAnsi="Arial" w:cs="Arial"/>
                <w:sz w:val="14"/>
                <w:szCs w:val="14"/>
              </w:rPr>
              <w:t xml:space="preserve"> (-</w:t>
            </w:r>
            <w:r>
              <w:rPr>
                <w:rFonts w:ascii="Arial" w:hAnsi="Arial" w:cs="Arial"/>
                <w:sz w:val="14"/>
                <w:szCs w:val="14"/>
              </w:rPr>
              <w:t>4.09</w:t>
            </w:r>
            <w:r w:rsidRPr="00260550">
              <w:rPr>
                <w:rFonts w:ascii="Arial" w:hAnsi="Arial" w:cs="Arial"/>
                <w:sz w:val="14"/>
                <w:szCs w:val="14"/>
              </w:rPr>
              <w:t xml:space="preserve">, </w:t>
            </w:r>
            <w:r>
              <w:rPr>
                <w:rFonts w:ascii="Arial" w:hAnsi="Arial" w:cs="Arial"/>
                <w:sz w:val="14"/>
                <w:szCs w:val="14"/>
              </w:rPr>
              <w:t>3.26</w:t>
            </w:r>
            <w:r w:rsidRPr="00260550">
              <w:rPr>
                <w:rFonts w:ascii="Arial" w:hAnsi="Arial" w:cs="Arial"/>
                <w:sz w:val="14"/>
                <w:szCs w:val="14"/>
              </w:rPr>
              <w:t>)</w:t>
            </w:r>
          </w:p>
        </w:tc>
        <w:tc>
          <w:tcPr>
            <w:tcW w:w="907" w:type="dxa"/>
            <w:gridSpan w:val="2"/>
            <w:shd w:val="clear" w:color="auto" w:fill="auto"/>
            <w:vAlign w:val="bottom"/>
          </w:tcPr>
          <w:p w14:paraId="6DDCE034" w14:textId="77777777" w:rsidR="009D2941" w:rsidRPr="00260550" w:rsidRDefault="009D2941" w:rsidP="009D2941">
            <w:pPr>
              <w:spacing w:after="0"/>
              <w:jc w:val="center"/>
              <w:rPr>
                <w:rFonts w:ascii="Arial" w:hAnsi="Arial" w:cs="Arial"/>
                <w:sz w:val="14"/>
                <w:szCs w:val="14"/>
              </w:rPr>
            </w:pPr>
          </w:p>
        </w:tc>
        <w:tc>
          <w:tcPr>
            <w:tcW w:w="2137" w:type="dxa"/>
            <w:gridSpan w:val="4"/>
            <w:vAlign w:val="bottom"/>
          </w:tcPr>
          <w:p w14:paraId="4D922326" w14:textId="07769A30"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-9.67 (-13.73,-5.61)</w:t>
            </w:r>
          </w:p>
        </w:tc>
        <w:tc>
          <w:tcPr>
            <w:tcW w:w="909" w:type="dxa"/>
            <w:gridSpan w:val="2"/>
            <w:vAlign w:val="bottom"/>
          </w:tcPr>
          <w:p w14:paraId="7A5B572C" w14:textId="77777777" w:rsidR="009D2941" w:rsidRPr="00260550" w:rsidRDefault="009D2941" w:rsidP="009D2941">
            <w:pPr>
              <w:spacing w:after="0"/>
              <w:jc w:val="center"/>
              <w:rPr>
                <w:rFonts w:ascii="Arial" w:hAnsi="Arial" w:cs="Arial"/>
                <w:sz w:val="14"/>
                <w:szCs w:val="14"/>
              </w:rPr>
            </w:pPr>
          </w:p>
        </w:tc>
        <w:tc>
          <w:tcPr>
            <w:tcW w:w="2314" w:type="dxa"/>
            <w:gridSpan w:val="4"/>
            <w:vAlign w:val="bottom"/>
          </w:tcPr>
          <w:p w14:paraId="1D2C222E" w14:textId="0C8395AE"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4.60 (-5.56,14.76)</w:t>
            </w:r>
          </w:p>
        </w:tc>
        <w:tc>
          <w:tcPr>
            <w:tcW w:w="1001" w:type="dxa"/>
            <w:gridSpan w:val="4"/>
            <w:vAlign w:val="bottom"/>
          </w:tcPr>
          <w:p w14:paraId="41280777" w14:textId="77777777" w:rsidR="009D2941" w:rsidRPr="00260550" w:rsidRDefault="009D2941" w:rsidP="009D2941">
            <w:pPr>
              <w:spacing w:after="0"/>
              <w:jc w:val="center"/>
              <w:rPr>
                <w:rFonts w:ascii="Arial" w:hAnsi="Arial" w:cs="Arial"/>
                <w:sz w:val="14"/>
                <w:szCs w:val="14"/>
              </w:rPr>
            </w:pPr>
          </w:p>
        </w:tc>
        <w:tc>
          <w:tcPr>
            <w:tcW w:w="2408" w:type="dxa"/>
            <w:gridSpan w:val="4"/>
            <w:vAlign w:val="bottom"/>
          </w:tcPr>
          <w:p w14:paraId="37B34862" w14:textId="181CC8FB"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17.37 (6.48,28.26)</w:t>
            </w:r>
          </w:p>
        </w:tc>
        <w:tc>
          <w:tcPr>
            <w:tcW w:w="993" w:type="dxa"/>
            <w:gridSpan w:val="4"/>
            <w:vAlign w:val="bottom"/>
          </w:tcPr>
          <w:p w14:paraId="73EC9D82" w14:textId="77777777" w:rsidR="009D2941" w:rsidRPr="00260550" w:rsidRDefault="009D2941" w:rsidP="009D2941">
            <w:pPr>
              <w:spacing w:after="0"/>
              <w:jc w:val="center"/>
              <w:rPr>
                <w:rFonts w:ascii="Arial" w:hAnsi="Arial" w:cs="Arial"/>
                <w:sz w:val="14"/>
                <w:szCs w:val="14"/>
              </w:rPr>
            </w:pPr>
          </w:p>
        </w:tc>
      </w:tr>
      <w:tr w:rsidR="009D2941" w:rsidRPr="00260550" w14:paraId="6F1DCD5D" w14:textId="77777777" w:rsidTr="00D24822">
        <w:trPr>
          <w:gridBefore w:val="1"/>
          <w:gridAfter w:val="2"/>
          <w:wBefore w:w="108" w:type="dxa"/>
          <w:wAfter w:w="551" w:type="dxa"/>
        </w:trPr>
        <w:tc>
          <w:tcPr>
            <w:tcW w:w="1749" w:type="dxa"/>
            <w:gridSpan w:val="2"/>
            <w:shd w:val="clear" w:color="auto" w:fill="auto"/>
            <w:vAlign w:val="center"/>
          </w:tcPr>
          <w:p w14:paraId="1CD144AF" w14:textId="77777777" w:rsidR="009D2941" w:rsidRPr="00260550" w:rsidRDefault="009D2941" w:rsidP="009D2941">
            <w:pPr>
              <w:spacing w:after="0"/>
              <w:rPr>
                <w:rFonts w:ascii="Arial" w:hAnsi="Arial" w:cs="Arial"/>
                <w:sz w:val="14"/>
                <w:szCs w:val="14"/>
              </w:rPr>
            </w:pPr>
            <w:r w:rsidRPr="00260550">
              <w:rPr>
                <w:rFonts w:ascii="Arial" w:hAnsi="Arial" w:cs="Arial"/>
                <w:sz w:val="14"/>
                <w:szCs w:val="14"/>
              </w:rPr>
              <w:t>0.264-0.289</w:t>
            </w:r>
          </w:p>
        </w:tc>
        <w:tc>
          <w:tcPr>
            <w:tcW w:w="2094" w:type="dxa"/>
            <w:gridSpan w:val="2"/>
            <w:shd w:val="clear" w:color="auto" w:fill="auto"/>
          </w:tcPr>
          <w:p w14:paraId="2344A4E0" w14:textId="57E50F96" w:rsidR="009D2941" w:rsidRPr="00260550" w:rsidRDefault="009D2941" w:rsidP="009D2941">
            <w:pPr>
              <w:spacing w:after="0"/>
              <w:jc w:val="center"/>
              <w:rPr>
                <w:rFonts w:ascii="Arial" w:hAnsi="Arial" w:cs="Arial"/>
                <w:sz w:val="14"/>
                <w:szCs w:val="14"/>
              </w:rPr>
            </w:pPr>
            <w:r>
              <w:rPr>
                <w:rFonts w:ascii="Arial" w:hAnsi="Arial" w:cs="Arial"/>
                <w:sz w:val="14"/>
                <w:szCs w:val="14"/>
              </w:rPr>
              <w:t>0.09</w:t>
            </w:r>
            <w:r w:rsidRPr="00260550">
              <w:rPr>
                <w:rFonts w:ascii="Arial" w:hAnsi="Arial" w:cs="Arial"/>
                <w:sz w:val="14"/>
                <w:szCs w:val="14"/>
              </w:rPr>
              <w:t xml:space="preserve"> (-</w:t>
            </w:r>
            <w:r>
              <w:rPr>
                <w:rFonts w:ascii="Arial" w:hAnsi="Arial" w:cs="Arial"/>
                <w:sz w:val="14"/>
                <w:szCs w:val="14"/>
              </w:rPr>
              <w:t>3.68</w:t>
            </w:r>
            <w:r w:rsidRPr="00260550">
              <w:rPr>
                <w:rFonts w:ascii="Arial" w:hAnsi="Arial" w:cs="Arial"/>
                <w:sz w:val="14"/>
                <w:szCs w:val="14"/>
              </w:rPr>
              <w:t xml:space="preserve">, </w:t>
            </w:r>
            <w:r>
              <w:rPr>
                <w:rFonts w:ascii="Arial" w:hAnsi="Arial" w:cs="Arial"/>
                <w:sz w:val="14"/>
                <w:szCs w:val="14"/>
              </w:rPr>
              <w:t>3.85</w:t>
            </w:r>
            <w:r w:rsidRPr="00260550">
              <w:rPr>
                <w:rFonts w:ascii="Arial" w:hAnsi="Arial" w:cs="Arial"/>
                <w:sz w:val="14"/>
                <w:szCs w:val="14"/>
              </w:rPr>
              <w:t>)</w:t>
            </w:r>
          </w:p>
        </w:tc>
        <w:tc>
          <w:tcPr>
            <w:tcW w:w="907" w:type="dxa"/>
            <w:gridSpan w:val="2"/>
            <w:shd w:val="clear" w:color="auto" w:fill="auto"/>
            <w:vAlign w:val="bottom"/>
          </w:tcPr>
          <w:p w14:paraId="1B75DACD" w14:textId="77777777" w:rsidR="009D2941" w:rsidRPr="00260550" w:rsidRDefault="009D2941" w:rsidP="009D2941">
            <w:pPr>
              <w:spacing w:after="0"/>
              <w:jc w:val="center"/>
              <w:rPr>
                <w:rFonts w:ascii="Arial" w:hAnsi="Arial" w:cs="Arial"/>
                <w:sz w:val="14"/>
                <w:szCs w:val="14"/>
              </w:rPr>
            </w:pPr>
          </w:p>
        </w:tc>
        <w:tc>
          <w:tcPr>
            <w:tcW w:w="2137" w:type="dxa"/>
            <w:gridSpan w:val="4"/>
            <w:vAlign w:val="bottom"/>
          </w:tcPr>
          <w:p w14:paraId="1357B182" w14:textId="391249A9"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-14.95 (-19.06,-10.83)</w:t>
            </w:r>
          </w:p>
        </w:tc>
        <w:tc>
          <w:tcPr>
            <w:tcW w:w="909" w:type="dxa"/>
            <w:gridSpan w:val="2"/>
            <w:vAlign w:val="bottom"/>
          </w:tcPr>
          <w:p w14:paraId="26418332" w14:textId="77777777" w:rsidR="009D2941" w:rsidRPr="00260550" w:rsidRDefault="009D2941" w:rsidP="009D2941">
            <w:pPr>
              <w:spacing w:after="0"/>
              <w:jc w:val="center"/>
              <w:rPr>
                <w:rFonts w:ascii="Arial" w:hAnsi="Arial" w:cs="Arial"/>
                <w:sz w:val="14"/>
                <w:szCs w:val="14"/>
              </w:rPr>
            </w:pPr>
          </w:p>
        </w:tc>
        <w:tc>
          <w:tcPr>
            <w:tcW w:w="2314" w:type="dxa"/>
            <w:gridSpan w:val="4"/>
            <w:vAlign w:val="bottom"/>
          </w:tcPr>
          <w:p w14:paraId="3A52ED21" w14:textId="5B9C0BFF"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3.12 (-7.45,13.70)</w:t>
            </w:r>
          </w:p>
        </w:tc>
        <w:tc>
          <w:tcPr>
            <w:tcW w:w="1001" w:type="dxa"/>
            <w:gridSpan w:val="4"/>
            <w:vAlign w:val="bottom"/>
          </w:tcPr>
          <w:p w14:paraId="1A5FEE45" w14:textId="77777777" w:rsidR="009D2941" w:rsidRPr="00260550" w:rsidRDefault="009D2941" w:rsidP="009D2941">
            <w:pPr>
              <w:spacing w:after="0"/>
              <w:jc w:val="center"/>
              <w:rPr>
                <w:rFonts w:ascii="Arial" w:hAnsi="Arial" w:cs="Arial"/>
                <w:sz w:val="14"/>
                <w:szCs w:val="14"/>
              </w:rPr>
            </w:pPr>
          </w:p>
        </w:tc>
        <w:tc>
          <w:tcPr>
            <w:tcW w:w="2408" w:type="dxa"/>
            <w:gridSpan w:val="4"/>
            <w:vAlign w:val="bottom"/>
          </w:tcPr>
          <w:p w14:paraId="6D449A64" w14:textId="5CB6243C"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1.99 (-9.36,13.33)</w:t>
            </w:r>
          </w:p>
        </w:tc>
        <w:tc>
          <w:tcPr>
            <w:tcW w:w="993" w:type="dxa"/>
            <w:gridSpan w:val="4"/>
            <w:vAlign w:val="bottom"/>
          </w:tcPr>
          <w:p w14:paraId="7BE3D98C" w14:textId="77777777" w:rsidR="009D2941" w:rsidRPr="00260550" w:rsidRDefault="009D2941" w:rsidP="009D2941">
            <w:pPr>
              <w:spacing w:after="0"/>
              <w:jc w:val="center"/>
              <w:rPr>
                <w:rFonts w:ascii="Arial" w:hAnsi="Arial" w:cs="Arial"/>
                <w:sz w:val="14"/>
                <w:szCs w:val="14"/>
              </w:rPr>
            </w:pPr>
          </w:p>
        </w:tc>
      </w:tr>
      <w:tr w:rsidR="009D2941" w:rsidRPr="00260550" w14:paraId="650376B9" w14:textId="77777777" w:rsidTr="00D24822">
        <w:trPr>
          <w:gridBefore w:val="1"/>
          <w:gridAfter w:val="2"/>
          <w:wBefore w:w="108" w:type="dxa"/>
          <w:wAfter w:w="551" w:type="dxa"/>
        </w:trPr>
        <w:tc>
          <w:tcPr>
            <w:tcW w:w="1749" w:type="dxa"/>
            <w:gridSpan w:val="2"/>
            <w:shd w:val="clear" w:color="auto" w:fill="auto"/>
            <w:vAlign w:val="center"/>
          </w:tcPr>
          <w:p w14:paraId="655C4C37" w14:textId="77777777" w:rsidR="009D2941" w:rsidRPr="00260550" w:rsidRDefault="009D2941" w:rsidP="009D2941">
            <w:pPr>
              <w:spacing w:after="0"/>
              <w:rPr>
                <w:rFonts w:ascii="Arial" w:hAnsi="Arial" w:cs="Arial"/>
                <w:sz w:val="14"/>
                <w:szCs w:val="14"/>
              </w:rPr>
            </w:pPr>
            <w:r w:rsidRPr="00260550">
              <w:rPr>
                <w:rFonts w:ascii="Arial" w:hAnsi="Arial" w:cs="Arial"/>
                <w:sz w:val="14"/>
                <w:szCs w:val="14"/>
                <w:u w:val="single"/>
              </w:rPr>
              <w:t>&gt;</w:t>
            </w:r>
            <w:r w:rsidRPr="00260550">
              <w:rPr>
                <w:rFonts w:ascii="Arial" w:hAnsi="Arial" w:cs="Arial"/>
                <w:sz w:val="14"/>
                <w:szCs w:val="14"/>
              </w:rPr>
              <w:t>0.290</w:t>
            </w:r>
          </w:p>
        </w:tc>
        <w:tc>
          <w:tcPr>
            <w:tcW w:w="2094" w:type="dxa"/>
            <w:gridSpan w:val="2"/>
            <w:shd w:val="clear" w:color="auto" w:fill="auto"/>
          </w:tcPr>
          <w:p w14:paraId="20E4B552" w14:textId="65C4479D"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w:t>
            </w:r>
            <w:r>
              <w:rPr>
                <w:rFonts w:ascii="Arial" w:hAnsi="Arial" w:cs="Arial"/>
                <w:sz w:val="14"/>
                <w:szCs w:val="14"/>
              </w:rPr>
              <w:t>4.32</w:t>
            </w:r>
            <w:r w:rsidRPr="00260550">
              <w:rPr>
                <w:rFonts w:ascii="Arial" w:hAnsi="Arial" w:cs="Arial"/>
                <w:sz w:val="14"/>
                <w:szCs w:val="14"/>
              </w:rPr>
              <w:t xml:space="preserve"> (-</w:t>
            </w:r>
            <w:r>
              <w:rPr>
                <w:rFonts w:ascii="Arial" w:hAnsi="Arial" w:cs="Arial"/>
                <w:sz w:val="14"/>
                <w:szCs w:val="14"/>
              </w:rPr>
              <w:t>8.24</w:t>
            </w:r>
            <w:r w:rsidRPr="00260550">
              <w:rPr>
                <w:rFonts w:ascii="Arial" w:hAnsi="Arial" w:cs="Arial"/>
                <w:sz w:val="14"/>
                <w:szCs w:val="14"/>
              </w:rPr>
              <w:t>, -</w:t>
            </w:r>
            <w:r>
              <w:rPr>
                <w:rFonts w:ascii="Arial" w:hAnsi="Arial" w:cs="Arial"/>
                <w:sz w:val="14"/>
                <w:szCs w:val="14"/>
              </w:rPr>
              <w:t>0.40</w:t>
            </w:r>
            <w:r w:rsidRPr="00260550">
              <w:rPr>
                <w:rFonts w:ascii="Arial" w:hAnsi="Arial" w:cs="Arial"/>
                <w:sz w:val="14"/>
                <w:szCs w:val="14"/>
              </w:rPr>
              <w:t>)</w:t>
            </w:r>
          </w:p>
        </w:tc>
        <w:tc>
          <w:tcPr>
            <w:tcW w:w="907" w:type="dxa"/>
            <w:gridSpan w:val="2"/>
            <w:shd w:val="clear" w:color="auto" w:fill="auto"/>
            <w:vAlign w:val="bottom"/>
          </w:tcPr>
          <w:p w14:paraId="010CCE61" w14:textId="77777777" w:rsidR="009D2941" w:rsidRPr="00260550" w:rsidRDefault="009D2941" w:rsidP="009D2941">
            <w:pPr>
              <w:spacing w:after="0"/>
              <w:jc w:val="center"/>
              <w:rPr>
                <w:rFonts w:ascii="Arial" w:hAnsi="Arial" w:cs="Arial"/>
                <w:sz w:val="14"/>
                <w:szCs w:val="14"/>
              </w:rPr>
            </w:pPr>
          </w:p>
        </w:tc>
        <w:tc>
          <w:tcPr>
            <w:tcW w:w="2137" w:type="dxa"/>
            <w:gridSpan w:val="4"/>
            <w:vAlign w:val="bottom"/>
          </w:tcPr>
          <w:p w14:paraId="63560C91" w14:textId="681F0243"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-22.81 (-26.92,-18.71)</w:t>
            </w:r>
          </w:p>
        </w:tc>
        <w:tc>
          <w:tcPr>
            <w:tcW w:w="909" w:type="dxa"/>
            <w:gridSpan w:val="2"/>
            <w:vAlign w:val="bottom"/>
          </w:tcPr>
          <w:p w14:paraId="772D12C1" w14:textId="77777777" w:rsidR="009D2941" w:rsidRPr="00260550" w:rsidRDefault="009D2941" w:rsidP="009D2941">
            <w:pPr>
              <w:spacing w:after="0"/>
              <w:jc w:val="center"/>
              <w:rPr>
                <w:rFonts w:ascii="Arial" w:hAnsi="Arial" w:cs="Arial"/>
                <w:sz w:val="14"/>
                <w:szCs w:val="14"/>
              </w:rPr>
            </w:pPr>
          </w:p>
        </w:tc>
        <w:tc>
          <w:tcPr>
            <w:tcW w:w="2314" w:type="dxa"/>
            <w:gridSpan w:val="4"/>
            <w:vAlign w:val="bottom"/>
          </w:tcPr>
          <w:p w14:paraId="173579FD" w14:textId="6C1EF9E8"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-9.12 (-19.83,1.59)</w:t>
            </w:r>
          </w:p>
        </w:tc>
        <w:tc>
          <w:tcPr>
            <w:tcW w:w="1001" w:type="dxa"/>
            <w:gridSpan w:val="4"/>
            <w:vAlign w:val="bottom"/>
          </w:tcPr>
          <w:p w14:paraId="7995ACC2" w14:textId="77777777" w:rsidR="009D2941" w:rsidRPr="00260550" w:rsidRDefault="009D2941" w:rsidP="009D2941">
            <w:pPr>
              <w:spacing w:after="0"/>
              <w:jc w:val="center"/>
              <w:rPr>
                <w:rFonts w:ascii="Arial" w:hAnsi="Arial" w:cs="Arial"/>
                <w:sz w:val="14"/>
                <w:szCs w:val="14"/>
              </w:rPr>
            </w:pPr>
          </w:p>
        </w:tc>
        <w:tc>
          <w:tcPr>
            <w:tcW w:w="2408" w:type="dxa"/>
            <w:gridSpan w:val="4"/>
            <w:vAlign w:val="bottom"/>
          </w:tcPr>
          <w:p w14:paraId="7E11841C" w14:textId="51AB45D5"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11.80 (0.91,22.70)</w:t>
            </w:r>
          </w:p>
        </w:tc>
        <w:tc>
          <w:tcPr>
            <w:tcW w:w="993" w:type="dxa"/>
            <w:gridSpan w:val="4"/>
            <w:vAlign w:val="bottom"/>
          </w:tcPr>
          <w:p w14:paraId="01062D46" w14:textId="77777777" w:rsidR="009D2941" w:rsidRPr="00260550" w:rsidRDefault="009D2941" w:rsidP="009D2941">
            <w:pPr>
              <w:spacing w:after="0"/>
              <w:jc w:val="center"/>
              <w:rPr>
                <w:rFonts w:ascii="Arial" w:hAnsi="Arial" w:cs="Arial"/>
                <w:sz w:val="14"/>
                <w:szCs w:val="14"/>
              </w:rPr>
            </w:pPr>
          </w:p>
        </w:tc>
      </w:tr>
      <w:tr w:rsidR="009D2941" w:rsidRPr="00260550" w14:paraId="3CEA687D" w14:textId="77777777" w:rsidTr="00D24822">
        <w:trPr>
          <w:gridBefore w:val="1"/>
          <w:gridAfter w:val="2"/>
          <w:wBefore w:w="108" w:type="dxa"/>
          <w:wAfter w:w="551" w:type="dxa"/>
        </w:trPr>
        <w:tc>
          <w:tcPr>
            <w:tcW w:w="1749" w:type="dxa"/>
            <w:gridSpan w:val="2"/>
            <w:shd w:val="clear" w:color="auto" w:fill="auto"/>
            <w:vAlign w:val="bottom"/>
          </w:tcPr>
          <w:p w14:paraId="50EE7C10" w14:textId="77777777" w:rsidR="009D2941" w:rsidRPr="00260550" w:rsidRDefault="009D2941" w:rsidP="009D2941">
            <w:pPr>
              <w:spacing w:after="0"/>
              <w:rPr>
                <w:rFonts w:ascii="Arial" w:hAnsi="Arial" w:cs="Arial"/>
                <w:b/>
                <w:sz w:val="14"/>
                <w:szCs w:val="14"/>
              </w:rPr>
            </w:pPr>
            <w:r w:rsidRPr="00260550">
              <w:rPr>
                <w:rFonts w:ascii="Arial" w:eastAsia="Times New Roman" w:hAnsi="Arial" w:cs="Arial"/>
                <w:b/>
                <w:sz w:val="14"/>
                <w:szCs w:val="14"/>
                <w:lang w:eastAsia="en-GB"/>
              </w:rPr>
              <w:t>C</w:t>
            </w:r>
            <w:r w:rsidRPr="00260550">
              <w:rPr>
                <w:rFonts w:ascii="Arial" w:eastAsia="Times New Roman" w:hAnsi="Arial" w:cs="Arial"/>
                <w:b/>
                <w:sz w:val="14"/>
                <w:szCs w:val="14"/>
                <w:vertAlign w:val="subscript"/>
                <w:lang w:eastAsia="en-GB"/>
              </w:rPr>
              <w:t>24h</w:t>
            </w:r>
            <w:r w:rsidRPr="00260550">
              <w:rPr>
                <w:rFonts w:ascii="Arial" w:eastAsia="Times New Roman" w:hAnsi="Arial" w:cs="Arial"/>
                <w:b/>
                <w:sz w:val="14"/>
                <w:szCs w:val="14"/>
                <w:lang w:eastAsia="en-GB"/>
              </w:rPr>
              <w:t xml:space="preserve"> (mg/L)</w:t>
            </w:r>
          </w:p>
        </w:tc>
        <w:tc>
          <w:tcPr>
            <w:tcW w:w="2094" w:type="dxa"/>
            <w:gridSpan w:val="2"/>
            <w:shd w:val="clear" w:color="auto" w:fill="auto"/>
            <w:vAlign w:val="bottom"/>
          </w:tcPr>
          <w:p w14:paraId="681A437B" w14:textId="77777777" w:rsidR="009D2941" w:rsidRPr="00260550" w:rsidRDefault="009D2941" w:rsidP="009D2941">
            <w:pPr>
              <w:spacing w:after="0"/>
              <w:jc w:val="center"/>
              <w:rPr>
                <w:rFonts w:ascii="Arial" w:hAnsi="Arial" w:cs="Arial"/>
                <w:sz w:val="14"/>
                <w:szCs w:val="14"/>
              </w:rPr>
            </w:pPr>
          </w:p>
        </w:tc>
        <w:tc>
          <w:tcPr>
            <w:tcW w:w="907" w:type="dxa"/>
            <w:gridSpan w:val="2"/>
            <w:shd w:val="clear" w:color="auto" w:fill="auto"/>
            <w:vAlign w:val="bottom"/>
          </w:tcPr>
          <w:p w14:paraId="529BC56F" w14:textId="05E12A23" w:rsidR="009D2941" w:rsidRPr="00260550" w:rsidRDefault="009D2941" w:rsidP="009D2941">
            <w:pPr>
              <w:spacing w:after="0"/>
              <w:jc w:val="center"/>
              <w:rPr>
                <w:rFonts w:ascii="Arial" w:hAnsi="Arial" w:cs="Arial"/>
                <w:sz w:val="14"/>
                <w:szCs w:val="14"/>
              </w:rPr>
            </w:pPr>
            <w:r>
              <w:rPr>
                <w:rFonts w:ascii="Arial" w:hAnsi="Arial" w:cs="Arial"/>
                <w:sz w:val="14"/>
                <w:szCs w:val="14"/>
              </w:rPr>
              <w:t>&lt;</w:t>
            </w:r>
            <w:r w:rsidRPr="00260550">
              <w:rPr>
                <w:rFonts w:ascii="Arial" w:hAnsi="Arial" w:cs="Arial"/>
                <w:sz w:val="14"/>
                <w:szCs w:val="14"/>
              </w:rPr>
              <w:t>0.00</w:t>
            </w:r>
            <w:r>
              <w:rPr>
                <w:rFonts w:ascii="Arial" w:hAnsi="Arial" w:cs="Arial"/>
                <w:sz w:val="14"/>
                <w:szCs w:val="14"/>
              </w:rPr>
              <w:t>1</w:t>
            </w:r>
          </w:p>
        </w:tc>
        <w:tc>
          <w:tcPr>
            <w:tcW w:w="2137" w:type="dxa"/>
            <w:gridSpan w:val="4"/>
            <w:vAlign w:val="center"/>
          </w:tcPr>
          <w:p w14:paraId="3CF227EA" w14:textId="77777777" w:rsidR="009D2941" w:rsidRPr="00260550" w:rsidRDefault="009D2941" w:rsidP="009D2941">
            <w:pPr>
              <w:spacing w:after="0"/>
              <w:jc w:val="center"/>
              <w:rPr>
                <w:rFonts w:ascii="Arial" w:hAnsi="Arial" w:cs="Arial"/>
                <w:sz w:val="14"/>
                <w:szCs w:val="14"/>
              </w:rPr>
            </w:pPr>
          </w:p>
        </w:tc>
        <w:tc>
          <w:tcPr>
            <w:tcW w:w="909" w:type="dxa"/>
            <w:gridSpan w:val="2"/>
            <w:vAlign w:val="bottom"/>
          </w:tcPr>
          <w:p w14:paraId="30F207C3" w14:textId="0763759A" w:rsidR="009D2941" w:rsidRPr="00260550" w:rsidRDefault="009D2941" w:rsidP="009D2941">
            <w:pPr>
              <w:spacing w:after="0"/>
              <w:jc w:val="center"/>
              <w:rPr>
                <w:rFonts w:ascii="Arial" w:hAnsi="Arial" w:cs="Arial"/>
                <w:sz w:val="14"/>
                <w:szCs w:val="14"/>
              </w:rPr>
            </w:pPr>
            <w:r>
              <w:rPr>
                <w:rFonts w:ascii="Arial" w:hAnsi="Arial" w:cs="Arial"/>
                <w:sz w:val="14"/>
                <w:szCs w:val="14"/>
              </w:rPr>
              <w:t>&lt;0.001</w:t>
            </w:r>
          </w:p>
        </w:tc>
        <w:tc>
          <w:tcPr>
            <w:tcW w:w="2314" w:type="dxa"/>
            <w:gridSpan w:val="4"/>
            <w:vAlign w:val="center"/>
          </w:tcPr>
          <w:p w14:paraId="50208FD1" w14:textId="77777777" w:rsidR="009D2941" w:rsidRPr="00260550" w:rsidRDefault="009D2941" w:rsidP="009D2941">
            <w:pPr>
              <w:spacing w:after="0"/>
              <w:jc w:val="center"/>
              <w:rPr>
                <w:rFonts w:ascii="Arial" w:hAnsi="Arial" w:cs="Arial"/>
                <w:sz w:val="14"/>
                <w:szCs w:val="14"/>
              </w:rPr>
            </w:pPr>
          </w:p>
        </w:tc>
        <w:tc>
          <w:tcPr>
            <w:tcW w:w="1001" w:type="dxa"/>
            <w:gridSpan w:val="4"/>
            <w:vAlign w:val="bottom"/>
          </w:tcPr>
          <w:p w14:paraId="0C3A25D0" w14:textId="0D59544D"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0.</w:t>
            </w:r>
            <w:r>
              <w:rPr>
                <w:rFonts w:ascii="Arial" w:hAnsi="Arial" w:cs="Arial"/>
                <w:sz w:val="14"/>
                <w:szCs w:val="14"/>
              </w:rPr>
              <w:t>06</w:t>
            </w:r>
          </w:p>
        </w:tc>
        <w:tc>
          <w:tcPr>
            <w:tcW w:w="2408" w:type="dxa"/>
            <w:gridSpan w:val="4"/>
            <w:vAlign w:val="center"/>
          </w:tcPr>
          <w:p w14:paraId="2DC94AB8" w14:textId="77777777" w:rsidR="009D2941" w:rsidRPr="00260550" w:rsidRDefault="009D2941" w:rsidP="009D2941">
            <w:pPr>
              <w:spacing w:after="0"/>
              <w:jc w:val="center"/>
              <w:rPr>
                <w:rFonts w:ascii="Arial" w:hAnsi="Arial" w:cs="Arial"/>
                <w:sz w:val="14"/>
                <w:szCs w:val="14"/>
              </w:rPr>
            </w:pPr>
          </w:p>
        </w:tc>
        <w:tc>
          <w:tcPr>
            <w:tcW w:w="993" w:type="dxa"/>
            <w:gridSpan w:val="4"/>
            <w:vAlign w:val="bottom"/>
          </w:tcPr>
          <w:p w14:paraId="1E444A7D" w14:textId="66C9E542" w:rsidR="009D2941" w:rsidRPr="00260550" w:rsidRDefault="009D2941" w:rsidP="009D2941">
            <w:pPr>
              <w:spacing w:after="0"/>
              <w:jc w:val="center"/>
              <w:rPr>
                <w:rFonts w:ascii="Arial" w:hAnsi="Arial" w:cs="Arial"/>
                <w:sz w:val="14"/>
                <w:szCs w:val="14"/>
              </w:rPr>
            </w:pPr>
            <w:r>
              <w:rPr>
                <w:rFonts w:ascii="Arial" w:hAnsi="Arial" w:cs="Arial"/>
                <w:sz w:val="14"/>
                <w:szCs w:val="14"/>
              </w:rPr>
              <w:t>&lt;0.001</w:t>
            </w:r>
          </w:p>
        </w:tc>
      </w:tr>
      <w:tr w:rsidR="009D2941" w:rsidRPr="00260550" w14:paraId="5C48FBB0" w14:textId="77777777" w:rsidTr="009D2941">
        <w:trPr>
          <w:gridBefore w:val="1"/>
          <w:gridAfter w:val="2"/>
          <w:wBefore w:w="108" w:type="dxa"/>
          <w:wAfter w:w="551" w:type="dxa"/>
        </w:trPr>
        <w:tc>
          <w:tcPr>
            <w:tcW w:w="1749" w:type="dxa"/>
            <w:gridSpan w:val="2"/>
            <w:shd w:val="clear" w:color="auto" w:fill="auto"/>
            <w:vAlign w:val="center"/>
          </w:tcPr>
          <w:p w14:paraId="07B75D67" w14:textId="77777777" w:rsidR="009D2941" w:rsidRPr="00260550" w:rsidRDefault="009D2941" w:rsidP="009D2941">
            <w:pPr>
              <w:spacing w:after="0"/>
              <w:rPr>
                <w:rFonts w:ascii="Arial" w:hAnsi="Arial" w:cs="Arial"/>
                <w:sz w:val="14"/>
                <w:szCs w:val="14"/>
              </w:rPr>
            </w:pPr>
            <w:r w:rsidRPr="00260550">
              <w:rPr>
                <w:rFonts w:ascii="Arial" w:hAnsi="Arial" w:cs="Arial"/>
                <w:sz w:val="14"/>
                <w:szCs w:val="14"/>
              </w:rPr>
              <w:t>≤0.042</w:t>
            </w:r>
          </w:p>
        </w:tc>
        <w:tc>
          <w:tcPr>
            <w:tcW w:w="2094" w:type="dxa"/>
            <w:gridSpan w:val="2"/>
            <w:shd w:val="clear" w:color="auto" w:fill="auto"/>
            <w:vAlign w:val="bottom"/>
          </w:tcPr>
          <w:p w14:paraId="2086F1AA" w14:textId="77777777"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Ref.</w:t>
            </w:r>
          </w:p>
        </w:tc>
        <w:tc>
          <w:tcPr>
            <w:tcW w:w="907" w:type="dxa"/>
            <w:gridSpan w:val="2"/>
            <w:shd w:val="clear" w:color="auto" w:fill="auto"/>
            <w:vAlign w:val="bottom"/>
          </w:tcPr>
          <w:p w14:paraId="73F1D7E7" w14:textId="77777777"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w:t>
            </w:r>
          </w:p>
        </w:tc>
        <w:tc>
          <w:tcPr>
            <w:tcW w:w="2137" w:type="dxa"/>
            <w:gridSpan w:val="4"/>
            <w:vAlign w:val="bottom"/>
          </w:tcPr>
          <w:p w14:paraId="1FF4AE42" w14:textId="7CBE48FB"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Ref.</w:t>
            </w:r>
          </w:p>
        </w:tc>
        <w:tc>
          <w:tcPr>
            <w:tcW w:w="909" w:type="dxa"/>
            <w:gridSpan w:val="2"/>
            <w:vAlign w:val="bottom"/>
          </w:tcPr>
          <w:p w14:paraId="08CDDED7" w14:textId="77777777"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w:t>
            </w:r>
          </w:p>
        </w:tc>
        <w:tc>
          <w:tcPr>
            <w:tcW w:w="2314" w:type="dxa"/>
            <w:gridSpan w:val="4"/>
            <w:vAlign w:val="bottom"/>
          </w:tcPr>
          <w:p w14:paraId="5CEA8ECF" w14:textId="192B9914"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Ref.</w:t>
            </w:r>
          </w:p>
        </w:tc>
        <w:tc>
          <w:tcPr>
            <w:tcW w:w="1001" w:type="dxa"/>
            <w:gridSpan w:val="4"/>
            <w:vAlign w:val="bottom"/>
          </w:tcPr>
          <w:p w14:paraId="2D757796" w14:textId="77777777"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w:t>
            </w:r>
          </w:p>
        </w:tc>
        <w:tc>
          <w:tcPr>
            <w:tcW w:w="2408" w:type="dxa"/>
            <w:gridSpan w:val="4"/>
            <w:vAlign w:val="bottom"/>
          </w:tcPr>
          <w:p w14:paraId="0E798DE9" w14:textId="2C0C7380"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Ref.</w:t>
            </w:r>
          </w:p>
        </w:tc>
        <w:tc>
          <w:tcPr>
            <w:tcW w:w="993" w:type="dxa"/>
            <w:gridSpan w:val="4"/>
            <w:vAlign w:val="bottom"/>
          </w:tcPr>
          <w:p w14:paraId="6845E401" w14:textId="77777777" w:rsidR="009D2941" w:rsidRPr="00260550" w:rsidRDefault="009D2941" w:rsidP="009D2941">
            <w:pPr>
              <w:spacing w:after="0"/>
              <w:jc w:val="center"/>
              <w:rPr>
                <w:rFonts w:ascii="Arial" w:hAnsi="Arial" w:cs="Arial"/>
                <w:sz w:val="14"/>
                <w:szCs w:val="14"/>
              </w:rPr>
            </w:pPr>
            <w:r w:rsidRPr="00260550">
              <w:rPr>
                <w:rFonts w:ascii="Arial" w:hAnsi="Arial" w:cs="Arial"/>
                <w:sz w:val="14"/>
                <w:szCs w:val="14"/>
              </w:rPr>
              <w:t>-</w:t>
            </w:r>
          </w:p>
        </w:tc>
      </w:tr>
      <w:tr w:rsidR="009D2941" w:rsidRPr="00260550" w14:paraId="3C24C1C5" w14:textId="77777777" w:rsidTr="00D24822">
        <w:trPr>
          <w:gridBefore w:val="1"/>
          <w:gridAfter w:val="2"/>
          <w:wBefore w:w="108" w:type="dxa"/>
          <w:wAfter w:w="551" w:type="dxa"/>
        </w:trPr>
        <w:tc>
          <w:tcPr>
            <w:tcW w:w="1749" w:type="dxa"/>
            <w:gridSpan w:val="2"/>
            <w:shd w:val="clear" w:color="auto" w:fill="auto"/>
            <w:vAlign w:val="center"/>
          </w:tcPr>
          <w:p w14:paraId="76EC7C68" w14:textId="6EF3D85E" w:rsidR="009D2941" w:rsidRPr="00260550" w:rsidRDefault="009D2941" w:rsidP="009D2941">
            <w:pPr>
              <w:spacing w:after="0"/>
              <w:rPr>
                <w:rFonts w:ascii="Arial" w:hAnsi="Arial" w:cs="Arial"/>
                <w:sz w:val="14"/>
                <w:szCs w:val="14"/>
              </w:rPr>
            </w:pPr>
            <w:r w:rsidRPr="00260550">
              <w:rPr>
                <w:rFonts w:ascii="Arial" w:hAnsi="Arial" w:cs="Arial"/>
                <w:sz w:val="14"/>
                <w:szCs w:val="14"/>
              </w:rPr>
              <w:t>0.043-0.0</w:t>
            </w:r>
            <w:r>
              <w:rPr>
                <w:rFonts w:ascii="Arial" w:hAnsi="Arial" w:cs="Arial"/>
                <w:sz w:val="14"/>
                <w:szCs w:val="14"/>
              </w:rPr>
              <w:t>50</w:t>
            </w:r>
          </w:p>
        </w:tc>
        <w:tc>
          <w:tcPr>
            <w:tcW w:w="2094" w:type="dxa"/>
            <w:gridSpan w:val="2"/>
            <w:shd w:val="clear" w:color="auto" w:fill="auto"/>
            <w:vAlign w:val="bottom"/>
          </w:tcPr>
          <w:p w14:paraId="696D8A14" w14:textId="287624A9"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-1.77 (-5.23,1.68)</w:t>
            </w:r>
          </w:p>
        </w:tc>
        <w:tc>
          <w:tcPr>
            <w:tcW w:w="907" w:type="dxa"/>
            <w:gridSpan w:val="2"/>
            <w:shd w:val="clear" w:color="auto" w:fill="auto"/>
            <w:vAlign w:val="bottom"/>
          </w:tcPr>
          <w:p w14:paraId="2A571B7A" w14:textId="77777777" w:rsidR="009D2941" w:rsidRPr="00260550" w:rsidRDefault="009D2941" w:rsidP="009D2941">
            <w:pPr>
              <w:spacing w:after="0"/>
              <w:jc w:val="center"/>
              <w:rPr>
                <w:rFonts w:ascii="Arial" w:hAnsi="Arial" w:cs="Arial"/>
                <w:sz w:val="14"/>
                <w:szCs w:val="14"/>
              </w:rPr>
            </w:pPr>
          </w:p>
        </w:tc>
        <w:tc>
          <w:tcPr>
            <w:tcW w:w="2137" w:type="dxa"/>
            <w:gridSpan w:val="4"/>
            <w:vAlign w:val="bottom"/>
          </w:tcPr>
          <w:p w14:paraId="6AC5D49C" w14:textId="23A340FE"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-7.14 (-11.22,-3.05)</w:t>
            </w:r>
          </w:p>
        </w:tc>
        <w:tc>
          <w:tcPr>
            <w:tcW w:w="909" w:type="dxa"/>
            <w:gridSpan w:val="2"/>
            <w:vAlign w:val="bottom"/>
          </w:tcPr>
          <w:p w14:paraId="427A54D7" w14:textId="77777777" w:rsidR="009D2941" w:rsidRPr="00260550" w:rsidRDefault="009D2941" w:rsidP="009D2941">
            <w:pPr>
              <w:spacing w:after="0"/>
              <w:jc w:val="center"/>
              <w:rPr>
                <w:rFonts w:ascii="Arial" w:hAnsi="Arial" w:cs="Arial"/>
                <w:sz w:val="14"/>
                <w:szCs w:val="14"/>
              </w:rPr>
            </w:pPr>
          </w:p>
        </w:tc>
        <w:tc>
          <w:tcPr>
            <w:tcW w:w="2314" w:type="dxa"/>
            <w:gridSpan w:val="4"/>
            <w:vAlign w:val="bottom"/>
          </w:tcPr>
          <w:p w14:paraId="6A1592CC" w14:textId="60A0FCDD"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6.21 (-3.73,16.16)</w:t>
            </w:r>
          </w:p>
        </w:tc>
        <w:tc>
          <w:tcPr>
            <w:tcW w:w="1001" w:type="dxa"/>
            <w:gridSpan w:val="4"/>
            <w:vAlign w:val="bottom"/>
          </w:tcPr>
          <w:p w14:paraId="58AD7C04" w14:textId="77777777" w:rsidR="009D2941" w:rsidRPr="00260550" w:rsidRDefault="009D2941" w:rsidP="009D2941">
            <w:pPr>
              <w:spacing w:after="0"/>
              <w:jc w:val="center"/>
              <w:rPr>
                <w:rFonts w:ascii="Arial" w:hAnsi="Arial" w:cs="Arial"/>
                <w:sz w:val="14"/>
                <w:szCs w:val="14"/>
              </w:rPr>
            </w:pPr>
          </w:p>
        </w:tc>
        <w:tc>
          <w:tcPr>
            <w:tcW w:w="2408" w:type="dxa"/>
            <w:gridSpan w:val="4"/>
            <w:vAlign w:val="bottom"/>
          </w:tcPr>
          <w:p w14:paraId="127B927A" w14:textId="48106B81"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2.52 (-8.49,13.52)</w:t>
            </w:r>
          </w:p>
        </w:tc>
        <w:tc>
          <w:tcPr>
            <w:tcW w:w="993" w:type="dxa"/>
            <w:gridSpan w:val="4"/>
            <w:vAlign w:val="bottom"/>
          </w:tcPr>
          <w:p w14:paraId="29AF10D0" w14:textId="77777777" w:rsidR="009D2941" w:rsidRPr="00260550" w:rsidRDefault="009D2941" w:rsidP="009D2941">
            <w:pPr>
              <w:spacing w:after="0"/>
              <w:jc w:val="center"/>
              <w:rPr>
                <w:rFonts w:ascii="Arial" w:hAnsi="Arial" w:cs="Arial"/>
                <w:sz w:val="14"/>
                <w:szCs w:val="14"/>
              </w:rPr>
            </w:pPr>
          </w:p>
        </w:tc>
      </w:tr>
      <w:tr w:rsidR="009D2941" w:rsidRPr="00260550" w14:paraId="12775342" w14:textId="77777777" w:rsidTr="00D24822">
        <w:trPr>
          <w:gridBefore w:val="1"/>
          <w:gridAfter w:val="2"/>
          <w:wBefore w:w="108" w:type="dxa"/>
          <w:wAfter w:w="551" w:type="dxa"/>
        </w:trPr>
        <w:tc>
          <w:tcPr>
            <w:tcW w:w="1749" w:type="dxa"/>
            <w:gridSpan w:val="2"/>
            <w:shd w:val="clear" w:color="auto" w:fill="auto"/>
            <w:vAlign w:val="center"/>
          </w:tcPr>
          <w:p w14:paraId="692A83F9" w14:textId="492AAA0D" w:rsidR="009D2941" w:rsidRPr="00260550" w:rsidRDefault="009D2941" w:rsidP="009D2941">
            <w:pPr>
              <w:spacing w:after="0"/>
              <w:rPr>
                <w:rFonts w:ascii="Arial" w:hAnsi="Arial" w:cs="Arial"/>
                <w:sz w:val="14"/>
                <w:szCs w:val="14"/>
              </w:rPr>
            </w:pPr>
            <w:r w:rsidRPr="00260550">
              <w:rPr>
                <w:rFonts w:ascii="Arial" w:hAnsi="Arial" w:cs="Arial"/>
                <w:sz w:val="14"/>
                <w:szCs w:val="14"/>
              </w:rPr>
              <w:t>0.05</w:t>
            </w:r>
            <w:r>
              <w:rPr>
                <w:rFonts w:ascii="Arial" w:hAnsi="Arial" w:cs="Arial"/>
                <w:sz w:val="14"/>
                <w:szCs w:val="14"/>
              </w:rPr>
              <w:t>1</w:t>
            </w:r>
            <w:r w:rsidRPr="00260550">
              <w:rPr>
                <w:rFonts w:ascii="Arial" w:hAnsi="Arial" w:cs="Arial"/>
                <w:sz w:val="14"/>
                <w:szCs w:val="14"/>
              </w:rPr>
              <w:t>-0.05</w:t>
            </w:r>
            <w:r>
              <w:rPr>
                <w:rFonts w:ascii="Arial" w:hAnsi="Arial" w:cs="Arial"/>
                <w:sz w:val="14"/>
                <w:szCs w:val="14"/>
              </w:rPr>
              <w:t>8</w:t>
            </w:r>
          </w:p>
        </w:tc>
        <w:tc>
          <w:tcPr>
            <w:tcW w:w="2094" w:type="dxa"/>
            <w:gridSpan w:val="2"/>
            <w:shd w:val="clear" w:color="auto" w:fill="auto"/>
            <w:vAlign w:val="bottom"/>
          </w:tcPr>
          <w:p w14:paraId="1F15C665" w14:textId="7B93D0FE"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-6.09 (-9.80,-2.37)</w:t>
            </w:r>
          </w:p>
        </w:tc>
        <w:tc>
          <w:tcPr>
            <w:tcW w:w="907" w:type="dxa"/>
            <w:gridSpan w:val="2"/>
            <w:shd w:val="clear" w:color="auto" w:fill="auto"/>
            <w:vAlign w:val="bottom"/>
          </w:tcPr>
          <w:p w14:paraId="2168C97D" w14:textId="77777777" w:rsidR="009D2941" w:rsidRPr="00260550" w:rsidRDefault="009D2941" w:rsidP="009D2941">
            <w:pPr>
              <w:spacing w:after="0"/>
              <w:jc w:val="center"/>
              <w:rPr>
                <w:rFonts w:ascii="Arial" w:hAnsi="Arial" w:cs="Arial"/>
                <w:sz w:val="14"/>
                <w:szCs w:val="14"/>
              </w:rPr>
            </w:pPr>
          </w:p>
        </w:tc>
        <w:tc>
          <w:tcPr>
            <w:tcW w:w="2137" w:type="dxa"/>
            <w:gridSpan w:val="4"/>
            <w:vAlign w:val="bottom"/>
          </w:tcPr>
          <w:p w14:paraId="4C068E1C" w14:textId="473BCB72"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-10.18 (-14.21,-6.14)</w:t>
            </w:r>
          </w:p>
        </w:tc>
        <w:tc>
          <w:tcPr>
            <w:tcW w:w="909" w:type="dxa"/>
            <w:gridSpan w:val="2"/>
            <w:vAlign w:val="bottom"/>
          </w:tcPr>
          <w:p w14:paraId="3286AFE0" w14:textId="77777777" w:rsidR="009D2941" w:rsidRPr="00260550" w:rsidRDefault="009D2941" w:rsidP="009D2941">
            <w:pPr>
              <w:spacing w:after="0"/>
              <w:jc w:val="center"/>
              <w:rPr>
                <w:rFonts w:ascii="Arial" w:hAnsi="Arial" w:cs="Arial"/>
                <w:sz w:val="14"/>
                <w:szCs w:val="14"/>
              </w:rPr>
            </w:pPr>
          </w:p>
        </w:tc>
        <w:tc>
          <w:tcPr>
            <w:tcW w:w="2314" w:type="dxa"/>
            <w:gridSpan w:val="4"/>
            <w:vAlign w:val="bottom"/>
          </w:tcPr>
          <w:p w14:paraId="7415E6D5" w14:textId="0C1D393F"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6.08 (-3.63,15.78)</w:t>
            </w:r>
          </w:p>
        </w:tc>
        <w:tc>
          <w:tcPr>
            <w:tcW w:w="1001" w:type="dxa"/>
            <w:gridSpan w:val="4"/>
            <w:vAlign w:val="bottom"/>
          </w:tcPr>
          <w:p w14:paraId="07457E01" w14:textId="77777777" w:rsidR="009D2941" w:rsidRPr="00260550" w:rsidRDefault="009D2941" w:rsidP="009D2941">
            <w:pPr>
              <w:spacing w:after="0"/>
              <w:jc w:val="center"/>
              <w:rPr>
                <w:rFonts w:ascii="Arial" w:hAnsi="Arial" w:cs="Arial"/>
                <w:sz w:val="14"/>
                <w:szCs w:val="14"/>
              </w:rPr>
            </w:pPr>
          </w:p>
        </w:tc>
        <w:tc>
          <w:tcPr>
            <w:tcW w:w="2408" w:type="dxa"/>
            <w:gridSpan w:val="4"/>
            <w:vAlign w:val="bottom"/>
          </w:tcPr>
          <w:p w14:paraId="0FFFB353" w14:textId="47167279"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-1.00 (-11.59,9.59)</w:t>
            </w:r>
          </w:p>
        </w:tc>
        <w:tc>
          <w:tcPr>
            <w:tcW w:w="993" w:type="dxa"/>
            <w:gridSpan w:val="4"/>
            <w:vAlign w:val="bottom"/>
          </w:tcPr>
          <w:p w14:paraId="5F8F2B27" w14:textId="77777777" w:rsidR="009D2941" w:rsidRPr="00260550" w:rsidRDefault="009D2941" w:rsidP="009D2941">
            <w:pPr>
              <w:spacing w:after="0"/>
              <w:jc w:val="center"/>
              <w:rPr>
                <w:rFonts w:ascii="Arial" w:hAnsi="Arial" w:cs="Arial"/>
                <w:sz w:val="14"/>
                <w:szCs w:val="14"/>
              </w:rPr>
            </w:pPr>
          </w:p>
        </w:tc>
      </w:tr>
      <w:tr w:rsidR="009D2941" w:rsidRPr="00260550" w14:paraId="50ACD8D7" w14:textId="77777777" w:rsidTr="00D24822">
        <w:trPr>
          <w:gridBefore w:val="1"/>
          <w:gridAfter w:val="2"/>
          <w:wBefore w:w="108" w:type="dxa"/>
          <w:wAfter w:w="551" w:type="dxa"/>
        </w:trPr>
        <w:tc>
          <w:tcPr>
            <w:tcW w:w="1749" w:type="dxa"/>
            <w:gridSpan w:val="2"/>
            <w:shd w:val="clear" w:color="auto" w:fill="auto"/>
            <w:vAlign w:val="center"/>
          </w:tcPr>
          <w:p w14:paraId="06C1C786" w14:textId="6787561B" w:rsidR="009D2941" w:rsidRPr="00260550" w:rsidRDefault="009D2941" w:rsidP="009D2941">
            <w:pPr>
              <w:spacing w:after="0"/>
              <w:rPr>
                <w:rFonts w:ascii="Arial" w:hAnsi="Arial" w:cs="Arial"/>
                <w:sz w:val="14"/>
                <w:szCs w:val="14"/>
              </w:rPr>
            </w:pPr>
            <w:r w:rsidRPr="00260550">
              <w:rPr>
                <w:rFonts w:ascii="Arial" w:hAnsi="Arial" w:cs="Arial"/>
                <w:sz w:val="14"/>
                <w:szCs w:val="14"/>
              </w:rPr>
              <w:t>0.05</w:t>
            </w:r>
            <w:r>
              <w:rPr>
                <w:rFonts w:ascii="Arial" w:hAnsi="Arial" w:cs="Arial"/>
                <w:sz w:val="14"/>
                <w:szCs w:val="14"/>
              </w:rPr>
              <w:t>9</w:t>
            </w:r>
            <w:r w:rsidRPr="00260550">
              <w:rPr>
                <w:rFonts w:ascii="Arial" w:hAnsi="Arial" w:cs="Arial"/>
                <w:sz w:val="14"/>
                <w:szCs w:val="14"/>
              </w:rPr>
              <w:t>-0.072</w:t>
            </w:r>
          </w:p>
        </w:tc>
        <w:tc>
          <w:tcPr>
            <w:tcW w:w="2094" w:type="dxa"/>
            <w:gridSpan w:val="2"/>
            <w:shd w:val="clear" w:color="auto" w:fill="auto"/>
            <w:vAlign w:val="bottom"/>
          </w:tcPr>
          <w:p w14:paraId="53100A2A" w14:textId="67376AD3"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-7.07 (-10.84,-3.29)</w:t>
            </w:r>
          </w:p>
        </w:tc>
        <w:tc>
          <w:tcPr>
            <w:tcW w:w="907" w:type="dxa"/>
            <w:gridSpan w:val="2"/>
            <w:shd w:val="clear" w:color="auto" w:fill="auto"/>
            <w:vAlign w:val="bottom"/>
          </w:tcPr>
          <w:p w14:paraId="2962C6B9" w14:textId="77777777" w:rsidR="009D2941" w:rsidRPr="00260550" w:rsidRDefault="009D2941" w:rsidP="009D2941">
            <w:pPr>
              <w:spacing w:after="0"/>
              <w:jc w:val="center"/>
              <w:rPr>
                <w:rFonts w:ascii="Arial" w:hAnsi="Arial" w:cs="Arial"/>
                <w:sz w:val="14"/>
                <w:szCs w:val="14"/>
              </w:rPr>
            </w:pPr>
          </w:p>
        </w:tc>
        <w:tc>
          <w:tcPr>
            <w:tcW w:w="2137" w:type="dxa"/>
            <w:gridSpan w:val="4"/>
            <w:vAlign w:val="bottom"/>
          </w:tcPr>
          <w:p w14:paraId="4D6E7C66" w14:textId="713B8303"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-15.14 (-19.16,-11.12)</w:t>
            </w:r>
          </w:p>
        </w:tc>
        <w:tc>
          <w:tcPr>
            <w:tcW w:w="909" w:type="dxa"/>
            <w:gridSpan w:val="2"/>
            <w:vAlign w:val="bottom"/>
          </w:tcPr>
          <w:p w14:paraId="22A7430D" w14:textId="77777777" w:rsidR="009D2941" w:rsidRPr="00260550" w:rsidRDefault="009D2941" w:rsidP="009D2941">
            <w:pPr>
              <w:spacing w:after="0"/>
              <w:jc w:val="center"/>
              <w:rPr>
                <w:rFonts w:ascii="Arial" w:hAnsi="Arial" w:cs="Arial"/>
                <w:sz w:val="14"/>
                <w:szCs w:val="14"/>
              </w:rPr>
            </w:pPr>
          </w:p>
        </w:tc>
        <w:tc>
          <w:tcPr>
            <w:tcW w:w="2314" w:type="dxa"/>
            <w:gridSpan w:val="4"/>
            <w:vAlign w:val="bottom"/>
          </w:tcPr>
          <w:p w14:paraId="05C41614" w14:textId="589015F0"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-0.97 (-11.75,9.82)</w:t>
            </w:r>
          </w:p>
        </w:tc>
        <w:tc>
          <w:tcPr>
            <w:tcW w:w="1001" w:type="dxa"/>
            <w:gridSpan w:val="4"/>
            <w:vAlign w:val="bottom"/>
          </w:tcPr>
          <w:p w14:paraId="4E8FB443" w14:textId="77777777" w:rsidR="009D2941" w:rsidRPr="00260550" w:rsidRDefault="009D2941" w:rsidP="009D2941">
            <w:pPr>
              <w:spacing w:after="0"/>
              <w:jc w:val="center"/>
              <w:rPr>
                <w:rFonts w:ascii="Arial" w:hAnsi="Arial" w:cs="Arial"/>
                <w:sz w:val="14"/>
                <w:szCs w:val="14"/>
              </w:rPr>
            </w:pPr>
          </w:p>
        </w:tc>
        <w:tc>
          <w:tcPr>
            <w:tcW w:w="2408" w:type="dxa"/>
            <w:gridSpan w:val="4"/>
            <w:vAlign w:val="bottom"/>
          </w:tcPr>
          <w:p w14:paraId="7A03549D" w14:textId="01A5BBB2"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-10.69 (-21.48,0.09)</w:t>
            </w:r>
          </w:p>
        </w:tc>
        <w:tc>
          <w:tcPr>
            <w:tcW w:w="993" w:type="dxa"/>
            <w:gridSpan w:val="4"/>
            <w:vAlign w:val="bottom"/>
          </w:tcPr>
          <w:p w14:paraId="6CD208EA" w14:textId="77777777" w:rsidR="009D2941" w:rsidRPr="00260550" w:rsidRDefault="009D2941" w:rsidP="009D2941">
            <w:pPr>
              <w:spacing w:after="0"/>
              <w:jc w:val="center"/>
              <w:rPr>
                <w:rFonts w:ascii="Arial" w:hAnsi="Arial" w:cs="Arial"/>
                <w:sz w:val="14"/>
                <w:szCs w:val="14"/>
              </w:rPr>
            </w:pPr>
          </w:p>
        </w:tc>
      </w:tr>
      <w:tr w:rsidR="009D2941" w:rsidRPr="00260550" w14:paraId="33695DE2" w14:textId="77777777" w:rsidTr="00D24822">
        <w:trPr>
          <w:gridBefore w:val="1"/>
          <w:gridAfter w:val="2"/>
          <w:wBefore w:w="108" w:type="dxa"/>
          <w:wAfter w:w="551" w:type="dxa"/>
        </w:trPr>
        <w:tc>
          <w:tcPr>
            <w:tcW w:w="1749" w:type="dxa"/>
            <w:gridSpan w:val="2"/>
            <w:tcBorders>
              <w:bottom w:val="single" w:sz="24" w:space="0" w:color="auto"/>
            </w:tcBorders>
            <w:shd w:val="clear" w:color="auto" w:fill="auto"/>
            <w:vAlign w:val="center"/>
          </w:tcPr>
          <w:p w14:paraId="1207963C" w14:textId="545D41B8" w:rsidR="007B48EF" w:rsidRPr="00260550" w:rsidRDefault="009D2941" w:rsidP="009D2941">
            <w:pPr>
              <w:spacing w:after="0"/>
              <w:rPr>
                <w:rFonts w:ascii="Arial" w:hAnsi="Arial" w:cs="Arial"/>
                <w:sz w:val="14"/>
                <w:szCs w:val="14"/>
              </w:rPr>
            </w:pPr>
            <w:r w:rsidRPr="00260550">
              <w:rPr>
                <w:rFonts w:ascii="Arial" w:hAnsi="Arial" w:cs="Arial"/>
                <w:sz w:val="14"/>
                <w:szCs w:val="14"/>
                <w:u w:val="single"/>
              </w:rPr>
              <w:t>&gt;</w:t>
            </w:r>
            <w:r w:rsidRPr="00260550">
              <w:rPr>
                <w:rFonts w:ascii="Arial" w:hAnsi="Arial" w:cs="Arial"/>
                <w:sz w:val="14"/>
                <w:szCs w:val="14"/>
              </w:rPr>
              <w:t>0.073</w:t>
            </w:r>
          </w:p>
        </w:tc>
        <w:tc>
          <w:tcPr>
            <w:tcW w:w="2094" w:type="dxa"/>
            <w:gridSpan w:val="2"/>
            <w:tcBorders>
              <w:bottom w:val="single" w:sz="24" w:space="0" w:color="auto"/>
            </w:tcBorders>
            <w:shd w:val="clear" w:color="auto" w:fill="auto"/>
            <w:vAlign w:val="bottom"/>
          </w:tcPr>
          <w:p w14:paraId="481B4560" w14:textId="1F11F77B"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-15.23 (-19.11,-11.36)</w:t>
            </w:r>
          </w:p>
        </w:tc>
        <w:tc>
          <w:tcPr>
            <w:tcW w:w="907" w:type="dxa"/>
            <w:gridSpan w:val="2"/>
            <w:tcBorders>
              <w:bottom w:val="single" w:sz="24" w:space="0" w:color="auto"/>
            </w:tcBorders>
            <w:shd w:val="clear" w:color="auto" w:fill="auto"/>
            <w:vAlign w:val="bottom"/>
          </w:tcPr>
          <w:p w14:paraId="59415BF3" w14:textId="77777777" w:rsidR="009D2941" w:rsidRPr="00260550" w:rsidRDefault="009D2941" w:rsidP="009D2941">
            <w:pPr>
              <w:spacing w:after="0"/>
              <w:jc w:val="center"/>
              <w:rPr>
                <w:rFonts w:ascii="Arial" w:hAnsi="Arial" w:cs="Arial"/>
                <w:sz w:val="14"/>
                <w:szCs w:val="14"/>
              </w:rPr>
            </w:pPr>
          </w:p>
        </w:tc>
        <w:tc>
          <w:tcPr>
            <w:tcW w:w="2137" w:type="dxa"/>
            <w:gridSpan w:val="4"/>
            <w:tcBorders>
              <w:bottom w:val="single" w:sz="24" w:space="0" w:color="auto"/>
            </w:tcBorders>
            <w:vAlign w:val="bottom"/>
          </w:tcPr>
          <w:p w14:paraId="3B715E95" w14:textId="7FBD70C0"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-22.90 (-27.00,-18.80)</w:t>
            </w:r>
          </w:p>
        </w:tc>
        <w:tc>
          <w:tcPr>
            <w:tcW w:w="909" w:type="dxa"/>
            <w:gridSpan w:val="2"/>
            <w:tcBorders>
              <w:bottom w:val="single" w:sz="24" w:space="0" w:color="auto"/>
            </w:tcBorders>
            <w:vAlign w:val="bottom"/>
          </w:tcPr>
          <w:p w14:paraId="074643CA" w14:textId="77777777" w:rsidR="009D2941" w:rsidRPr="00260550" w:rsidRDefault="009D2941" w:rsidP="009D2941">
            <w:pPr>
              <w:spacing w:after="0"/>
              <w:jc w:val="center"/>
              <w:rPr>
                <w:rFonts w:ascii="Arial" w:hAnsi="Arial" w:cs="Arial"/>
                <w:sz w:val="14"/>
                <w:szCs w:val="14"/>
              </w:rPr>
            </w:pPr>
          </w:p>
        </w:tc>
        <w:tc>
          <w:tcPr>
            <w:tcW w:w="2314" w:type="dxa"/>
            <w:gridSpan w:val="4"/>
            <w:tcBorders>
              <w:bottom w:val="single" w:sz="24" w:space="0" w:color="auto"/>
            </w:tcBorders>
            <w:vAlign w:val="bottom"/>
          </w:tcPr>
          <w:p w14:paraId="2DA33EB4" w14:textId="51A7633A"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-9.09 (-19.61,1.42)</w:t>
            </w:r>
          </w:p>
        </w:tc>
        <w:tc>
          <w:tcPr>
            <w:tcW w:w="1001" w:type="dxa"/>
            <w:gridSpan w:val="4"/>
            <w:tcBorders>
              <w:bottom w:val="single" w:sz="24" w:space="0" w:color="auto"/>
            </w:tcBorders>
            <w:vAlign w:val="bottom"/>
          </w:tcPr>
          <w:p w14:paraId="6AA93A35" w14:textId="77777777" w:rsidR="009D2941" w:rsidRPr="00260550" w:rsidRDefault="009D2941" w:rsidP="009D2941">
            <w:pPr>
              <w:spacing w:after="0"/>
              <w:jc w:val="center"/>
              <w:rPr>
                <w:rFonts w:ascii="Arial" w:hAnsi="Arial" w:cs="Arial"/>
                <w:sz w:val="14"/>
                <w:szCs w:val="14"/>
              </w:rPr>
            </w:pPr>
          </w:p>
        </w:tc>
        <w:tc>
          <w:tcPr>
            <w:tcW w:w="2408" w:type="dxa"/>
            <w:gridSpan w:val="4"/>
            <w:tcBorders>
              <w:bottom w:val="single" w:sz="24" w:space="0" w:color="auto"/>
            </w:tcBorders>
            <w:vAlign w:val="bottom"/>
          </w:tcPr>
          <w:p w14:paraId="792AF3A5" w14:textId="7CA95FEB" w:rsidR="009D2941" w:rsidRPr="00260550" w:rsidRDefault="009D2941" w:rsidP="009D2941">
            <w:pPr>
              <w:spacing w:after="0"/>
              <w:jc w:val="center"/>
              <w:rPr>
                <w:rFonts w:ascii="Arial" w:hAnsi="Arial" w:cs="Arial"/>
                <w:sz w:val="14"/>
                <w:szCs w:val="14"/>
              </w:rPr>
            </w:pPr>
            <w:r w:rsidRPr="009D2941">
              <w:rPr>
                <w:rFonts w:ascii="Arial" w:hAnsi="Arial" w:cs="Arial"/>
                <w:sz w:val="14"/>
                <w:szCs w:val="14"/>
              </w:rPr>
              <w:t>-18.10 (-28.99,-7.20)</w:t>
            </w:r>
          </w:p>
        </w:tc>
        <w:tc>
          <w:tcPr>
            <w:tcW w:w="993" w:type="dxa"/>
            <w:gridSpan w:val="4"/>
            <w:tcBorders>
              <w:bottom w:val="single" w:sz="24" w:space="0" w:color="auto"/>
            </w:tcBorders>
            <w:vAlign w:val="bottom"/>
          </w:tcPr>
          <w:p w14:paraId="7FD1EC76" w14:textId="77777777" w:rsidR="009D2941" w:rsidRPr="00260550" w:rsidRDefault="009D2941" w:rsidP="009D2941">
            <w:pPr>
              <w:spacing w:after="0"/>
              <w:jc w:val="center"/>
              <w:rPr>
                <w:rFonts w:ascii="Arial" w:hAnsi="Arial" w:cs="Arial"/>
                <w:sz w:val="14"/>
                <w:szCs w:val="14"/>
              </w:rPr>
            </w:pPr>
          </w:p>
        </w:tc>
      </w:tr>
    </w:tbl>
    <w:p w14:paraId="57A2E102" w14:textId="4F6675AB" w:rsidR="009D2941" w:rsidRPr="000820F6" w:rsidRDefault="009D2941" w:rsidP="00260550">
      <w:pPr>
        <w:tabs>
          <w:tab w:val="left" w:pos="2475"/>
        </w:tabs>
        <w:spacing w:line="480" w:lineRule="auto"/>
        <w:rPr>
          <w:rFonts w:ascii="Arial" w:hAnsi="Arial" w:cs="Arial"/>
          <w:bCs/>
        </w:rPr>
      </w:pPr>
    </w:p>
    <w:sectPr w:rsidR="009D2941" w:rsidRPr="000820F6" w:rsidSect="00407571">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4B2B3" w14:textId="77777777" w:rsidR="006A0345" w:rsidRDefault="006A0345" w:rsidP="00BD0FA5">
      <w:pPr>
        <w:spacing w:after="0" w:line="240" w:lineRule="auto"/>
      </w:pPr>
      <w:r>
        <w:separator/>
      </w:r>
    </w:p>
  </w:endnote>
  <w:endnote w:type="continuationSeparator" w:id="0">
    <w:p w14:paraId="5BD3394E" w14:textId="77777777" w:rsidR="006A0345" w:rsidRDefault="006A0345" w:rsidP="00BD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C614" w14:textId="77777777" w:rsidR="00F81EF8" w:rsidRDefault="00F81EF8" w:rsidP="001544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480EB" w14:textId="77777777" w:rsidR="00F81EF8" w:rsidRDefault="00F81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312250"/>
      <w:docPartObj>
        <w:docPartGallery w:val="Page Numbers (Bottom of Page)"/>
        <w:docPartUnique/>
      </w:docPartObj>
    </w:sdtPr>
    <w:sdtEndPr>
      <w:rPr>
        <w:noProof/>
      </w:rPr>
    </w:sdtEndPr>
    <w:sdtContent>
      <w:p w14:paraId="78EFDC68" w14:textId="7C59C329" w:rsidR="00F81EF8" w:rsidRDefault="00F81EF8">
        <w:pPr>
          <w:pStyle w:val="Footer"/>
          <w:jc w:val="center"/>
        </w:pPr>
        <w:r>
          <w:fldChar w:fldCharType="begin"/>
        </w:r>
        <w:r>
          <w:instrText xml:space="preserve"> PAGE   \* MERGEFORMAT </w:instrText>
        </w:r>
        <w:r>
          <w:fldChar w:fldCharType="separate"/>
        </w:r>
        <w:r w:rsidR="003C6BCB">
          <w:rPr>
            <w:noProof/>
          </w:rPr>
          <w:t>10</w:t>
        </w:r>
        <w:r>
          <w:rPr>
            <w:noProof/>
          </w:rPr>
          <w:fldChar w:fldCharType="end"/>
        </w:r>
      </w:p>
    </w:sdtContent>
  </w:sdt>
  <w:p w14:paraId="369B563C" w14:textId="77777777" w:rsidR="00F81EF8" w:rsidRDefault="00F81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0F2F9" w14:textId="77777777" w:rsidR="006A0345" w:rsidRDefault="006A0345" w:rsidP="00BD0FA5">
      <w:pPr>
        <w:spacing w:after="0" w:line="240" w:lineRule="auto"/>
      </w:pPr>
      <w:r>
        <w:separator/>
      </w:r>
    </w:p>
  </w:footnote>
  <w:footnote w:type="continuationSeparator" w:id="0">
    <w:p w14:paraId="15ED013B" w14:textId="77777777" w:rsidR="006A0345" w:rsidRDefault="006A0345" w:rsidP="00BD0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E6EFF"/>
    <w:multiLevelType w:val="hybridMultilevel"/>
    <w:tmpl w:val="C85CFA96"/>
    <w:lvl w:ilvl="0" w:tplc="F52C5568">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3MDA2tDAwNza2MLRQ0lEKTi0uzszPAykwrAUAKJknCiwAAAA="/>
  </w:docVars>
  <w:rsids>
    <w:rsidRoot w:val="00F14C0A"/>
    <w:rsid w:val="000079A2"/>
    <w:rsid w:val="00007EB9"/>
    <w:rsid w:val="00013BBA"/>
    <w:rsid w:val="00014221"/>
    <w:rsid w:val="00023E2F"/>
    <w:rsid w:val="0002573B"/>
    <w:rsid w:val="00025C9E"/>
    <w:rsid w:val="0003326D"/>
    <w:rsid w:val="0003367B"/>
    <w:rsid w:val="00034F35"/>
    <w:rsid w:val="000419E0"/>
    <w:rsid w:val="00044B48"/>
    <w:rsid w:val="00046EB7"/>
    <w:rsid w:val="00050377"/>
    <w:rsid w:val="00051D08"/>
    <w:rsid w:val="00051EEA"/>
    <w:rsid w:val="000559FE"/>
    <w:rsid w:val="00060820"/>
    <w:rsid w:val="000633FB"/>
    <w:rsid w:val="000641E0"/>
    <w:rsid w:val="000659CE"/>
    <w:rsid w:val="00066788"/>
    <w:rsid w:val="0007132F"/>
    <w:rsid w:val="000820F6"/>
    <w:rsid w:val="00083D39"/>
    <w:rsid w:val="000855CE"/>
    <w:rsid w:val="000951C7"/>
    <w:rsid w:val="000969F6"/>
    <w:rsid w:val="00096A3F"/>
    <w:rsid w:val="000A2FF6"/>
    <w:rsid w:val="000A3673"/>
    <w:rsid w:val="000A465C"/>
    <w:rsid w:val="000A6F44"/>
    <w:rsid w:val="000C1EAC"/>
    <w:rsid w:val="000C3F25"/>
    <w:rsid w:val="000C60C1"/>
    <w:rsid w:val="000D2158"/>
    <w:rsid w:val="000D274A"/>
    <w:rsid w:val="000D29F5"/>
    <w:rsid w:val="000D3307"/>
    <w:rsid w:val="000D5B05"/>
    <w:rsid w:val="000E4A2F"/>
    <w:rsid w:val="000E7FCC"/>
    <w:rsid w:val="000F0AD4"/>
    <w:rsid w:val="000F46A0"/>
    <w:rsid w:val="000F4FD7"/>
    <w:rsid w:val="001010EC"/>
    <w:rsid w:val="001051A1"/>
    <w:rsid w:val="001054DA"/>
    <w:rsid w:val="00105CDF"/>
    <w:rsid w:val="001066E6"/>
    <w:rsid w:val="001156C9"/>
    <w:rsid w:val="00131E75"/>
    <w:rsid w:val="0013462D"/>
    <w:rsid w:val="001354E5"/>
    <w:rsid w:val="00135BFD"/>
    <w:rsid w:val="001372A3"/>
    <w:rsid w:val="001418BF"/>
    <w:rsid w:val="00141BEA"/>
    <w:rsid w:val="001423F6"/>
    <w:rsid w:val="00143F42"/>
    <w:rsid w:val="00152129"/>
    <w:rsid w:val="001544D3"/>
    <w:rsid w:val="00155597"/>
    <w:rsid w:val="00160DC3"/>
    <w:rsid w:val="0016328B"/>
    <w:rsid w:val="00164777"/>
    <w:rsid w:val="00171AE2"/>
    <w:rsid w:val="001740A3"/>
    <w:rsid w:val="00174C53"/>
    <w:rsid w:val="00187F28"/>
    <w:rsid w:val="00191421"/>
    <w:rsid w:val="0019219B"/>
    <w:rsid w:val="00196E2D"/>
    <w:rsid w:val="001A1B41"/>
    <w:rsid w:val="001A25F5"/>
    <w:rsid w:val="001A6733"/>
    <w:rsid w:val="001A7108"/>
    <w:rsid w:val="001B0142"/>
    <w:rsid w:val="001B5F61"/>
    <w:rsid w:val="001B79B9"/>
    <w:rsid w:val="001C1CDB"/>
    <w:rsid w:val="001C6B53"/>
    <w:rsid w:val="001C77EC"/>
    <w:rsid w:val="001D0CC3"/>
    <w:rsid w:val="001D6642"/>
    <w:rsid w:val="001E098B"/>
    <w:rsid w:val="001E614D"/>
    <w:rsid w:val="001F5315"/>
    <w:rsid w:val="001F7776"/>
    <w:rsid w:val="00200707"/>
    <w:rsid w:val="002025F6"/>
    <w:rsid w:val="00211067"/>
    <w:rsid w:val="002121E2"/>
    <w:rsid w:val="00215C44"/>
    <w:rsid w:val="00223224"/>
    <w:rsid w:val="0023314C"/>
    <w:rsid w:val="002339B6"/>
    <w:rsid w:val="00234CB6"/>
    <w:rsid w:val="00237ED0"/>
    <w:rsid w:val="00243952"/>
    <w:rsid w:val="00257584"/>
    <w:rsid w:val="00257F3D"/>
    <w:rsid w:val="00260550"/>
    <w:rsid w:val="00263904"/>
    <w:rsid w:val="00270D9B"/>
    <w:rsid w:val="002816A6"/>
    <w:rsid w:val="00286F06"/>
    <w:rsid w:val="00295966"/>
    <w:rsid w:val="002A0E7A"/>
    <w:rsid w:val="002A25E1"/>
    <w:rsid w:val="002A3254"/>
    <w:rsid w:val="002A579B"/>
    <w:rsid w:val="002B6050"/>
    <w:rsid w:val="002F1FBE"/>
    <w:rsid w:val="002F7BEE"/>
    <w:rsid w:val="00300173"/>
    <w:rsid w:val="003017A1"/>
    <w:rsid w:val="003076F9"/>
    <w:rsid w:val="0031122C"/>
    <w:rsid w:val="0031344D"/>
    <w:rsid w:val="00323031"/>
    <w:rsid w:val="00325229"/>
    <w:rsid w:val="00331A95"/>
    <w:rsid w:val="0033378E"/>
    <w:rsid w:val="00356F46"/>
    <w:rsid w:val="00360593"/>
    <w:rsid w:val="00360F79"/>
    <w:rsid w:val="003615CF"/>
    <w:rsid w:val="00365A62"/>
    <w:rsid w:val="003669AB"/>
    <w:rsid w:val="0036716B"/>
    <w:rsid w:val="003703E4"/>
    <w:rsid w:val="003756E8"/>
    <w:rsid w:val="00382C24"/>
    <w:rsid w:val="00390497"/>
    <w:rsid w:val="00391EEF"/>
    <w:rsid w:val="00394B15"/>
    <w:rsid w:val="003955E5"/>
    <w:rsid w:val="00395A80"/>
    <w:rsid w:val="003B4C64"/>
    <w:rsid w:val="003C29DE"/>
    <w:rsid w:val="003C3351"/>
    <w:rsid w:val="003C36DA"/>
    <w:rsid w:val="003C3784"/>
    <w:rsid w:val="003C4094"/>
    <w:rsid w:val="003C6BCB"/>
    <w:rsid w:val="003D0AC9"/>
    <w:rsid w:val="003D15DE"/>
    <w:rsid w:val="003D3206"/>
    <w:rsid w:val="003D58AA"/>
    <w:rsid w:val="003E6FF7"/>
    <w:rsid w:val="003F7FA9"/>
    <w:rsid w:val="0040074C"/>
    <w:rsid w:val="00407571"/>
    <w:rsid w:val="00410A5D"/>
    <w:rsid w:val="00415734"/>
    <w:rsid w:val="00431399"/>
    <w:rsid w:val="00433585"/>
    <w:rsid w:val="0043379A"/>
    <w:rsid w:val="00433FF8"/>
    <w:rsid w:val="004361B3"/>
    <w:rsid w:val="00437A7B"/>
    <w:rsid w:val="00447F03"/>
    <w:rsid w:val="00450F29"/>
    <w:rsid w:val="004568F0"/>
    <w:rsid w:val="00462FD5"/>
    <w:rsid w:val="00463A6A"/>
    <w:rsid w:val="00475803"/>
    <w:rsid w:val="004758EC"/>
    <w:rsid w:val="0047678B"/>
    <w:rsid w:val="00477D52"/>
    <w:rsid w:val="00480158"/>
    <w:rsid w:val="0048129C"/>
    <w:rsid w:val="00483262"/>
    <w:rsid w:val="00485C3E"/>
    <w:rsid w:val="00486F41"/>
    <w:rsid w:val="00493EE8"/>
    <w:rsid w:val="004A5479"/>
    <w:rsid w:val="004B0D59"/>
    <w:rsid w:val="004B109A"/>
    <w:rsid w:val="004B165B"/>
    <w:rsid w:val="004B20D9"/>
    <w:rsid w:val="004B6553"/>
    <w:rsid w:val="004D08F6"/>
    <w:rsid w:val="004D1873"/>
    <w:rsid w:val="004D358B"/>
    <w:rsid w:val="004D3FB4"/>
    <w:rsid w:val="004D5569"/>
    <w:rsid w:val="004E27F1"/>
    <w:rsid w:val="004E3BFF"/>
    <w:rsid w:val="004F29C6"/>
    <w:rsid w:val="004F4FD4"/>
    <w:rsid w:val="004F6E45"/>
    <w:rsid w:val="004F7E84"/>
    <w:rsid w:val="00500D3B"/>
    <w:rsid w:val="00501144"/>
    <w:rsid w:val="005044B3"/>
    <w:rsid w:val="00510CF6"/>
    <w:rsid w:val="005200E4"/>
    <w:rsid w:val="00530049"/>
    <w:rsid w:val="00531E26"/>
    <w:rsid w:val="00537559"/>
    <w:rsid w:val="00540F9A"/>
    <w:rsid w:val="005517E0"/>
    <w:rsid w:val="00561A39"/>
    <w:rsid w:val="005630C3"/>
    <w:rsid w:val="00563159"/>
    <w:rsid w:val="005654FF"/>
    <w:rsid w:val="00573CE8"/>
    <w:rsid w:val="00573F96"/>
    <w:rsid w:val="00585324"/>
    <w:rsid w:val="005930D0"/>
    <w:rsid w:val="005A004B"/>
    <w:rsid w:val="005A1BB6"/>
    <w:rsid w:val="005A45B7"/>
    <w:rsid w:val="005A5844"/>
    <w:rsid w:val="005B0859"/>
    <w:rsid w:val="005B1755"/>
    <w:rsid w:val="005B4EEC"/>
    <w:rsid w:val="005B6CB2"/>
    <w:rsid w:val="005C0AD7"/>
    <w:rsid w:val="005C30FA"/>
    <w:rsid w:val="005C415F"/>
    <w:rsid w:val="005C5C4A"/>
    <w:rsid w:val="005C6BAF"/>
    <w:rsid w:val="005C71FA"/>
    <w:rsid w:val="005D1775"/>
    <w:rsid w:val="005D69A3"/>
    <w:rsid w:val="005E2CAD"/>
    <w:rsid w:val="005E31D8"/>
    <w:rsid w:val="005F0D0D"/>
    <w:rsid w:val="005F38A9"/>
    <w:rsid w:val="005F47B3"/>
    <w:rsid w:val="005F6595"/>
    <w:rsid w:val="006020B8"/>
    <w:rsid w:val="00605D47"/>
    <w:rsid w:val="00611CAD"/>
    <w:rsid w:val="00615994"/>
    <w:rsid w:val="00631412"/>
    <w:rsid w:val="00647759"/>
    <w:rsid w:val="0065256A"/>
    <w:rsid w:val="006664C4"/>
    <w:rsid w:val="00667855"/>
    <w:rsid w:val="00674DC0"/>
    <w:rsid w:val="00675049"/>
    <w:rsid w:val="0067627A"/>
    <w:rsid w:val="00676696"/>
    <w:rsid w:val="00682866"/>
    <w:rsid w:val="00683AE1"/>
    <w:rsid w:val="00691CD1"/>
    <w:rsid w:val="00695A55"/>
    <w:rsid w:val="00697100"/>
    <w:rsid w:val="006A0345"/>
    <w:rsid w:val="006A0529"/>
    <w:rsid w:val="006A3141"/>
    <w:rsid w:val="006A3346"/>
    <w:rsid w:val="006B08CD"/>
    <w:rsid w:val="006C107C"/>
    <w:rsid w:val="006C3319"/>
    <w:rsid w:val="006C68FC"/>
    <w:rsid w:val="006C753D"/>
    <w:rsid w:val="006D6929"/>
    <w:rsid w:val="006F67DF"/>
    <w:rsid w:val="006F785E"/>
    <w:rsid w:val="007067C8"/>
    <w:rsid w:val="00714B8B"/>
    <w:rsid w:val="0071557A"/>
    <w:rsid w:val="00716BFE"/>
    <w:rsid w:val="007230F4"/>
    <w:rsid w:val="0072521D"/>
    <w:rsid w:val="00735ACE"/>
    <w:rsid w:val="00753B26"/>
    <w:rsid w:val="00753E35"/>
    <w:rsid w:val="00755388"/>
    <w:rsid w:val="00767544"/>
    <w:rsid w:val="00771A2C"/>
    <w:rsid w:val="00776C99"/>
    <w:rsid w:val="0078701A"/>
    <w:rsid w:val="00792177"/>
    <w:rsid w:val="00793146"/>
    <w:rsid w:val="007966D7"/>
    <w:rsid w:val="007972D2"/>
    <w:rsid w:val="007A13A5"/>
    <w:rsid w:val="007A3E6E"/>
    <w:rsid w:val="007A7F1B"/>
    <w:rsid w:val="007B2801"/>
    <w:rsid w:val="007B3382"/>
    <w:rsid w:val="007B48EF"/>
    <w:rsid w:val="007B7444"/>
    <w:rsid w:val="007C1E75"/>
    <w:rsid w:val="007C26AC"/>
    <w:rsid w:val="007D4410"/>
    <w:rsid w:val="007E0E5A"/>
    <w:rsid w:val="007E0F35"/>
    <w:rsid w:val="007E5106"/>
    <w:rsid w:val="007E6C86"/>
    <w:rsid w:val="007F52BC"/>
    <w:rsid w:val="007F5A21"/>
    <w:rsid w:val="0080441C"/>
    <w:rsid w:val="00812E1B"/>
    <w:rsid w:val="00816B01"/>
    <w:rsid w:val="00822226"/>
    <w:rsid w:val="00822F84"/>
    <w:rsid w:val="00823162"/>
    <w:rsid w:val="00827A80"/>
    <w:rsid w:val="0083008B"/>
    <w:rsid w:val="00831100"/>
    <w:rsid w:val="00831E3C"/>
    <w:rsid w:val="00834D6F"/>
    <w:rsid w:val="0084200A"/>
    <w:rsid w:val="0085065D"/>
    <w:rsid w:val="00851ACC"/>
    <w:rsid w:val="00860D95"/>
    <w:rsid w:val="00864049"/>
    <w:rsid w:val="00867088"/>
    <w:rsid w:val="008673FD"/>
    <w:rsid w:val="00870DAA"/>
    <w:rsid w:val="00871D2E"/>
    <w:rsid w:val="00873BDC"/>
    <w:rsid w:val="00875C11"/>
    <w:rsid w:val="008852A8"/>
    <w:rsid w:val="00893A39"/>
    <w:rsid w:val="00894BE8"/>
    <w:rsid w:val="008A3160"/>
    <w:rsid w:val="008A6897"/>
    <w:rsid w:val="008B75EB"/>
    <w:rsid w:val="008C208D"/>
    <w:rsid w:val="008C3037"/>
    <w:rsid w:val="008C6542"/>
    <w:rsid w:val="008E1A2D"/>
    <w:rsid w:val="008E2102"/>
    <w:rsid w:val="008E2156"/>
    <w:rsid w:val="008E457B"/>
    <w:rsid w:val="008F01FE"/>
    <w:rsid w:val="008F3BAE"/>
    <w:rsid w:val="008F5D69"/>
    <w:rsid w:val="0090263D"/>
    <w:rsid w:val="009141E7"/>
    <w:rsid w:val="00914A61"/>
    <w:rsid w:val="0091535B"/>
    <w:rsid w:val="00920A1C"/>
    <w:rsid w:val="00920B64"/>
    <w:rsid w:val="0092758B"/>
    <w:rsid w:val="00931925"/>
    <w:rsid w:val="009425F1"/>
    <w:rsid w:val="0094280B"/>
    <w:rsid w:val="00943A15"/>
    <w:rsid w:val="009559EF"/>
    <w:rsid w:val="00956636"/>
    <w:rsid w:val="00960025"/>
    <w:rsid w:val="009762BF"/>
    <w:rsid w:val="00982B7C"/>
    <w:rsid w:val="00991C2B"/>
    <w:rsid w:val="00991F4F"/>
    <w:rsid w:val="00993814"/>
    <w:rsid w:val="009956E3"/>
    <w:rsid w:val="00995FB7"/>
    <w:rsid w:val="00996398"/>
    <w:rsid w:val="009A05D7"/>
    <w:rsid w:val="009A23C6"/>
    <w:rsid w:val="009A280A"/>
    <w:rsid w:val="009A6F96"/>
    <w:rsid w:val="009A79AC"/>
    <w:rsid w:val="009B47C2"/>
    <w:rsid w:val="009B6B13"/>
    <w:rsid w:val="009C0D25"/>
    <w:rsid w:val="009C7972"/>
    <w:rsid w:val="009D2941"/>
    <w:rsid w:val="009E0B6D"/>
    <w:rsid w:val="009E768C"/>
    <w:rsid w:val="00A01AD2"/>
    <w:rsid w:val="00A03C2F"/>
    <w:rsid w:val="00A079C8"/>
    <w:rsid w:val="00A12015"/>
    <w:rsid w:val="00A12CF8"/>
    <w:rsid w:val="00A140CB"/>
    <w:rsid w:val="00A17C54"/>
    <w:rsid w:val="00A34380"/>
    <w:rsid w:val="00A3439D"/>
    <w:rsid w:val="00A41398"/>
    <w:rsid w:val="00A4254F"/>
    <w:rsid w:val="00A447AB"/>
    <w:rsid w:val="00A44AC5"/>
    <w:rsid w:val="00A4678D"/>
    <w:rsid w:val="00A535A4"/>
    <w:rsid w:val="00A56B59"/>
    <w:rsid w:val="00A575DF"/>
    <w:rsid w:val="00A6039A"/>
    <w:rsid w:val="00A6246D"/>
    <w:rsid w:val="00A71284"/>
    <w:rsid w:val="00A93289"/>
    <w:rsid w:val="00A966E4"/>
    <w:rsid w:val="00A973C8"/>
    <w:rsid w:val="00AA2E11"/>
    <w:rsid w:val="00AA634A"/>
    <w:rsid w:val="00AB6D83"/>
    <w:rsid w:val="00AC455F"/>
    <w:rsid w:val="00AD3FEC"/>
    <w:rsid w:val="00AE386A"/>
    <w:rsid w:val="00AF04A4"/>
    <w:rsid w:val="00AF1916"/>
    <w:rsid w:val="00AF5EFE"/>
    <w:rsid w:val="00B07896"/>
    <w:rsid w:val="00B1724E"/>
    <w:rsid w:val="00B1773C"/>
    <w:rsid w:val="00B20AB8"/>
    <w:rsid w:val="00B26449"/>
    <w:rsid w:val="00B27FAD"/>
    <w:rsid w:val="00B3406C"/>
    <w:rsid w:val="00B35A90"/>
    <w:rsid w:val="00B35DBE"/>
    <w:rsid w:val="00B43361"/>
    <w:rsid w:val="00B45E70"/>
    <w:rsid w:val="00B5561D"/>
    <w:rsid w:val="00B56D98"/>
    <w:rsid w:val="00B60907"/>
    <w:rsid w:val="00B666BE"/>
    <w:rsid w:val="00B7168C"/>
    <w:rsid w:val="00B71862"/>
    <w:rsid w:val="00B830AC"/>
    <w:rsid w:val="00B83A22"/>
    <w:rsid w:val="00B86FA3"/>
    <w:rsid w:val="00B90EB4"/>
    <w:rsid w:val="00BA0CB7"/>
    <w:rsid w:val="00BA19D7"/>
    <w:rsid w:val="00BA1E31"/>
    <w:rsid w:val="00BA26B3"/>
    <w:rsid w:val="00BA2ECA"/>
    <w:rsid w:val="00BA34F4"/>
    <w:rsid w:val="00BA61B0"/>
    <w:rsid w:val="00BB173E"/>
    <w:rsid w:val="00BB5B3B"/>
    <w:rsid w:val="00BB7195"/>
    <w:rsid w:val="00BB727C"/>
    <w:rsid w:val="00BC0EB9"/>
    <w:rsid w:val="00BC1D76"/>
    <w:rsid w:val="00BC7C81"/>
    <w:rsid w:val="00BD02E8"/>
    <w:rsid w:val="00BD0FA5"/>
    <w:rsid w:val="00BD62C7"/>
    <w:rsid w:val="00BD6AF6"/>
    <w:rsid w:val="00BE4DF8"/>
    <w:rsid w:val="00BE7791"/>
    <w:rsid w:val="00BF2049"/>
    <w:rsid w:val="00C00D9D"/>
    <w:rsid w:val="00C132E5"/>
    <w:rsid w:val="00C251FF"/>
    <w:rsid w:val="00C3012F"/>
    <w:rsid w:val="00C332F8"/>
    <w:rsid w:val="00C359C7"/>
    <w:rsid w:val="00C4382D"/>
    <w:rsid w:val="00C471FC"/>
    <w:rsid w:val="00C5272D"/>
    <w:rsid w:val="00C55B60"/>
    <w:rsid w:val="00C671CC"/>
    <w:rsid w:val="00C71057"/>
    <w:rsid w:val="00C74DE3"/>
    <w:rsid w:val="00C8175D"/>
    <w:rsid w:val="00C84EF1"/>
    <w:rsid w:val="00C854B8"/>
    <w:rsid w:val="00C8636E"/>
    <w:rsid w:val="00C91F74"/>
    <w:rsid w:val="00CA25C7"/>
    <w:rsid w:val="00CA2BA7"/>
    <w:rsid w:val="00CA6A24"/>
    <w:rsid w:val="00CA7473"/>
    <w:rsid w:val="00CA7EF4"/>
    <w:rsid w:val="00CB1475"/>
    <w:rsid w:val="00CB5664"/>
    <w:rsid w:val="00CB5E99"/>
    <w:rsid w:val="00CC01F9"/>
    <w:rsid w:val="00CC17CC"/>
    <w:rsid w:val="00CE1F2D"/>
    <w:rsid w:val="00CE51CF"/>
    <w:rsid w:val="00CF7B60"/>
    <w:rsid w:val="00D00FB7"/>
    <w:rsid w:val="00D137BA"/>
    <w:rsid w:val="00D16C1F"/>
    <w:rsid w:val="00D24C50"/>
    <w:rsid w:val="00D3471B"/>
    <w:rsid w:val="00D36BDF"/>
    <w:rsid w:val="00D4369D"/>
    <w:rsid w:val="00D50A42"/>
    <w:rsid w:val="00D531C1"/>
    <w:rsid w:val="00D54767"/>
    <w:rsid w:val="00D605CA"/>
    <w:rsid w:val="00D61F23"/>
    <w:rsid w:val="00D65B07"/>
    <w:rsid w:val="00D70538"/>
    <w:rsid w:val="00D761E2"/>
    <w:rsid w:val="00D76D8E"/>
    <w:rsid w:val="00D8343B"/>
    <w:rsid w:val="00D91315"/>
    <w:rsid w:val="00D92C2F"/>
    <w:rsid w:val="00D943BD"/>
    <w:rsid w:val="00DA301A"/>
    <w:rsid w:val="00DC5FAC"/>
    <w:rsid w:val="00DC70AE"/>
    <w:rsid w:val="00DD4821"/>
    <w:rsid w:val="00DE16EB"/>
    <w:rsid w:val="00DE50F2"/>
    <w:rsid w:val="00DE71AF"/>
    <w:rsid w:val="00DF592F"/>
    <w:rsid w:val="00DF5C2E"/>
    <w:rsid w:val="00DF6497"/>
    <w:rsid w:val="00E057A1"/>
    <w:rsid w:val="00E078F6"/>
    <w:rsid w:val="00E104E2"/>
    <w:rsid w:val="00E1068C"/>
    <w:rsid w:val="00E12934"/>
    <w:rsid w:val="00E12C71"/>
    <w:rsid w:val="00E13F0B"/>
    <w:rsid w:val="00E24D3B"/>
    <w:rsid w:val="00E262D4"/>
    <w:rsid w:val="00E30BB0"/>
    <w:rsid w:val="00E30D9B"/>
    <w:rsid w:val="00E3154C"/>
    <w:rsid w:val="00E374B8"/>
    <w:rsid w:val="00E409D7"/>
    <w:rsid w:val="00E411E5"/>
    <w:rsid w:val="00E41BAB"/>
    <w:rsid w:val="00E420D3"/>
    <w:rsid w:val="00E5185C"/>
    <w:rsid w:val="00E52E6F"/>
    <w:rsid w:val="00E55A59"/>
    <w:rsid w:val="00E5663D"/>
    <w:rsid w:val="00E63802"/>
    <w:rsid w:val="00E64F20"/>
    <w:rsid w:val="00E7150E"/>
    <w:rsid w:val="00E77ACB"/>
    <w:rsid w:val="00E933A7"/>
    <w:rsid w:val="00E936D9"/>
    <w:rsid w:val="00E966B5"/>
    <w:rsid w:val="00E96E00"/>
    <w:rsid w:val="00EA04A8"/>
    <w:rsid w:val="00EA5649"/>
    <w:rsid w:val="00EA5E7A"/>
    <w:rsid w:val="00EA6C4E"/>
    <w:rsid w:val="00EB063B"/>
    <w:rsid w:val="00EB0A77"/>
    <w:rsid w:val="00EB239D"/>
    <w:rsid w:val="00EB2946"/>
    <w:rsid w:val="00EB388D"/>
    <w:rsid w:val="00EB62FE"/>
    <w:rsid w:val="00EB6D9A"/>
    <w:rsid w:val="00EB7E2C"/>
    <w:rsid w:val="00EC02B0"/>
    <w:rsid w:val="00EC51AB"/>
    <w:rsid w:val="00EC6E9C"/>
    <w:rsid w:val="00ED2DAD"/>
    <w:rsid w:val="00EE125E"/>
    <w:rsid w:val="00EE19A0"/>
    <w:rsid w:val="00EE1B7F"/>
    <w:rsid w:val="00EE1EFE"/>
    <w:rsid w:val="00EE284C"/>
    <w:rsid w:val="00EF292B"/>
    <w:rsid w:val="00EF7436"/>
    <w:rsid w:val="00F0005D"/>
    <w:rsid w:val="00F0686F"/>
    <w:rsid w:val="00F10044"/>
    <w:rsid w:val="00F14C0A"/>
    <w:rsid w:val="00F15AAE"/>
    <w:rsid w:val="00F163B5"/>
    <w:rsid w:val="00F229AC"/>
    <w:rsid w:val="00F245F0"/>
    <w:rsid w:val="00F31884"/>
    <w:rsid w:val="00F375F5"/>
    <w:rsid w:val="00F378DC"/>
    <w:rsid w:val="00F46257"/>
    <w:rsid w:val="00F47BB9"/>
    <w:rsid w:val="00F60161"/>
    <w:rsid w:val="00F605D0"/>
    <w:rsid w:val="00F751DF"/>
    <w:rsid w:val="00F75D96"/>
    <w:rsid w:val="00F81EF8"/>
    <w:rsid w:val="00F848BF"/>
    <w:rsid w:val="00F852C3"/>
    <w:rsid w:val="00F853E7"/>
    <w:rsid w:val="00F92EA5"/>
    <w:rsid w:val="00F957FA"/>
    <w:rsid w:val="00FB5606"/>
    <w:rsid w:val="00FB7765"/>
    <w:rsid w:val="00FC5AAD"/>
    <w:rsid w:val="00FD67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DD3978"/>
  <w15:docId w15:val="{9DF8DF6A-1754-4C85-9D7B-345B1DBB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B08CD"/>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C0A"/>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931925"/>
  </w:style>
  <w:style w:type="table" w:styleId="TableGrid">
    <w:name w:val="Table Grid"/>
    <w:basedOn w:val="TableNormal"/>
    <w:uiPriority w:val="59"/>
    <w:rsid w:val="00D00F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62D4"/>
    <w:rPr>
      <w:sz w:val="16"/>
      <w:szCs w:val="16"/>
    </w:rPr>
  </w:style>
  <w:style w:type="paragraph" w:styleId="CommentText">
    <w:name w:val="annotation text"/>
    <w:basedOn w:val="Normal"/>
    <w:link w:val="CommentTextChar"/>
    <w:uiPriority w:val="99"/>
    <w:unhideWhenUsed/>
    <w:rsid w:val="00E262D4"/>
    <w:pPr>
      <w:spacing w:line="240" w:lineRule="auto"/>
    </w:pPr>
    <w:rPr>
      <w:sz w:val="20"/>
      <w:szCs w:val="20"/>
    </w:rPr>
  </w:style>
  <w:style w:type="character" w:customStyle="1" w:styleId="CommentTextChar">
    <w:name w:val="Comment Text Char"/>
    <w:basedOn w:val="DefaultParagraphFont"/>
    <w:link w:val="CommentText"/>
    <w:uiPriority w:val="99"/>
    <w:rsid w:val="00E262D4"/>
    <w:rPr>
      <w:sz w:val="20"/>
      <w:szCs w:val="20"/>
    </w:rPr>
  </w:style>
  <w:style w:type="paragraph" w:styleId="CommentSubject">
    <w:name w:val="annotation subject"/>
    <w:basedOn w:val="CommentText"/>
    <w:next w:val="CommentText"/>
    <w:link w:val="CommentSubjectChar"/>
    <w:uiPriority w:val="99"/>
    <w:semiHidden/>
    <w:unhideWhenUsed/>
    <w:rsid w:val="00E262D4"/>
    <w:rPr>
      <w:b/>
      <w:bCs/>
    </w:rPr>
  </w:style>
  <w:style w:type="character" w:customStyle="1" w:styleId="CommentSubjectChar">
    <w:name w:val="Comment Subject Char"/>
    <w:basedOn w:val="CommentTextChar"/>
    <w:link w:val="CommentSubject"/>
    <w:uiPriority w:val="99"/>
    <w:semiHidden/>
    <w:rsid w:val="00E262D4"/>
    <w:rPr>
      <w:b/>
      <w:bCs/>
      <w:sz w:val="20"/>
      <w:szCs w:val="20"/>
    </w:rPr>
  </w:style>
  <w:style w:type="paragraph" w:styleId="BalloonText">
    <w:name w:val="Balloon Text"/>
    <w:basedOn w:val="Normal"/>
    <w:link w:val="BalloonTextChar"/>
    <w:uiPriority w:val="99"/>
    <w:semiHidden/>
    <w:unhideWhenUsed/>
    <w:rsid w:val="00E26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D4"/>
    <w:rPr>
      <w:rFonts w:ascii="Segoe UI" w:hAnsi="Segoe UI" w:cs="Segoe UI"/>
      <w:sz w:val="18"/>
      <w:szCs w:val="18"/>
    </w:rPr>
  </w:style>
  <w:style w:type="paragraph" w:styleId="NormalWeb">
    <w:name w:val="Normal (Web)"/>
    <w:basedOn w:val="Normal"/>
    <w:uiPriority w:val="99"/>
    <w:semiHidden/>
    <w:unhideWhenUsed/>
    <w:rsid w:val="008E215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D0F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0FA5"/>
  </w:style>
  <w:style w:type="paragraph" w:styleId="Footer">
    <w:name w:val="footer"/>
    <w:basedOn w:val="Normal"/>
    <w:link w:val="FooterChar"/>
    <w:uiPriority w:val="99"/>
    <w:unhideWhenUsed/>
    <w:rsid w:val="00BD0F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0FA5"/>
  </w:style>
  <w:style w:type="character" w:styleId="PageNumber">
    <w:name w:val="page number"/>
    <w:basedOn w:val="DefaultParagraphFont"/>
    <w:uiPriority w:val="99"/>
    <w:semiHidden/>
    <w:unhideWhenUsed/>
    <w:rsid w:val="00BD0FA5"/>
  </w:style>
  <w:style w:type="paragraph" w:styleId="Revision">
    <w:name w:val="Revision"/>
    <w:hidden/>
    <w:uiPriority w:val="99"/>
    <w:semiHidden/>
    <w:rsid w:val="003D0AC9"/>
    <w:pPr>
      <w:spacing w:after="0" w:line="240" w:lineRule="auto"/>
    </w:pPr>
  </w:style>
  <w:style w:type="character" w:customStyle="1" w:styleId="Heading2Char">
    <w:name w:val="Heading 2 Char"/>
    <w:basedOn w:val="DefaultParagraphFont"/>
    <w:link w:val="Heading2"/>
    <w:uiPriority w:val="9"/>
    <w:rsid w:val="006B08CD"/>
    <w:rPr>
      <w:rFonts w:asciiTheme="majorHAnsi" w:eastAsiaTheme="majorEastAsia" w:hAnsiTheme="majorHAnsi" w:cstheme="majorBidi"/>
      <w:color w:val="2E74B5" w:themeColor="accent1" w:themeShade="BF"/>
      <w:sz w:val="26"/>
      <w:szCs w:val="26"/>
      <w:lang w:eastAsia="en-US"/>
    </w:rPr>
  </w:style>
  <w:style w:type="paragraph" w:styleId="ListParagraph">
    <w:name w:val="List Paragraph"/>
    <w:basedOn w:val="Normal"/>
    <w:uiPriority w:val="34"/>
    <w:qFormat/>
    <w:rsid w:val="005B1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8033">
      <w:bodyDiv w:val="1"/>
      <w:marLeft w:val="0"/>
      <w:marRight w:val="0"/>
      <w:marTop w:val="0"/>
      <w:marBottom w:val="0"/>
      <w:divBdr>
        <w:top w:val="none" w:sz="0" w:space="0" w:color="auto"/>
        <w:left w:val="none" w:sz="0" w:space="0" w:color="auto"/>
        <w:bottom w:val="none" w:sz="0" w:space="0" w:color="auto"/>
        <w:right w:val="none" w:sz="0" w:space="0" w:color="auto"/>
      </w:divBdr>
    </w:div>
    <w:div w:id="1202400900">
      <w:bodyDiv w:val="1"/>
      <w:marLeft w:val="0"/>
      <w:marRight w:val="0"/>
      <w:marTop w:val="0"/>
      <w:marBottom w:val="0"/>
      <w:divBdr>
        <w:top w:val="none" w:sz="0" w:space="0" w:color="auto"/>
        <w:left w:val="none" w:sz="0" w:space="0" w:color="auto"/>
        <w:bottom w:val="none" w:sz="0" w:space="0" w:color="auto"/>
        <w:right w:val="none" w:sz="0" w:space="0" w:color="auto"/>
      </w:divBdr>
    </w:div>
    <w:div w:id="1635718458">
      <w:bodyDiv w:val="1"/>
      <w:marLeft w:val="0"/>
      <w:marRight w:val="0"/>
      <w:marTop w:val="0"/>
      <w:marBottom w:val="0"/>
      <w:divBdr>
        <w:top w:val="none" w:sz="0" w:space="0" w:color="auto"/>
        <w:left w:val="none" w:sz="0" w:space="0" w:color="auto"/>
        <w:bottom w:val="none" w:sz="0" w:space="0" w:color="auto"/>
        <w:right w:val="none" w:sz="0" w:space="0" w:color="auto"/>
      </w:divBdr>
    </w:div>
    <w:div w:id="17297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40CD-D314-474E-A22A-6BF1E3D2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xinzhu</dc:creator>
  <cp:lastModifiedBy>Dickinson, Laura</cp:lastModifiedBy>
  <cp:revision>2</cp:revision>
  <cp:lastPrinted>2019-05-20T09:16:00Z</cp:lastPrinted>
  <dcterms:created xsi:type="dcterms:W3CDTF">2020-02-03T10:55:00Z</dcterms:created>
  <dcterms:modified xsi:type="dcterms:W3CDTF">2020-02-03T10:55:00Z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http://www.zotero.org/styles/acs-chemical-neuroscience</vt:lpwstr>
  </property>
  <property fmtid="{D5CDD505-2E9C-101B-9397-08002B2CF9AE}" pid="3" name="Mendeley Recent Style Name 0_1">
    <vt:lpwstr>ACS Chemical Neuroscience</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http://www.zotero.org/styles/bmc-immunology</vt:lpwstr>
  </property>
  <property fmtid="{D5CDD505-2E9C-101B-9397-08002B2CF9AE}" pid="7" name="Mendeley Recent Style Name 2_1">
    <vt:lpwstr>BMC Immunology</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http://www.zotero.org/styles/international-journal-of-antimicrobial-agents</vt:lpwstr>
  </property>
  <property fmtid="{D5CDD505-2E9C-101B-9397-08002B2CF9AE}" pid="11" name="Mendeley Recent Style Name 4_1">
    <vt:lpwstr>International Journal of Antimicrobial Agents</vt:lpwstr>
  </property>
  <property fmtid="{D5CDD505-2E9C-101B-9397-08002B2CF9AE}" pid="12" name="Mendeley Recent Style Id 5_1">
    <vt:lpwstr>http://www.zotero.org/styles/international-journal-of-std-and-aids</vt:lpwstr>
  </property>
  <property fmtid="{D5CDD505-2E9C-101B-9397-08002B2CF9AE}" pid="13" name="Mendeley Recent Style Name 5_1">
    <vt:lpwstr>International Journal of STD &amp; AIDS</vt:lpwstr>
  </property>
  <property fmtid="{D5CDD505-2E9C-101B-9397-08002B2CF9AE}" pid="14" name="Mendeley Recent Style Id 6_1">
    <vt:lpwstr>http://www.zotero.org/styles/journal-of-antimicrobial-chemotherapy</vt:lpwstr>
  </property>
  <property fmtid="{D5CDD505-2E9C-101B-9397-08002B2CF9AE}" pid="15" name="Mendeley Recent Style Name 6_1">
    <vt:lpwstr>Journal of Antimicrobial Chemotherapy</vt:lpwstr>
  </property>
  <property fmtid="{D5CDD505-2E9C-101B-9397-08002B2CF9AE}" pid="16" name="Mendeley Recent Style Id 7_1">
    <vt:lpwstr>http://www.zotero.org/styles/journal-of-infectious-diseases</vt:lpwstr>
  </property>
  <property fmtid="{D5CDD505-2E9C-101B-9397-08002B2CF9AE}" pid="17" name="Mendeley Recent Style Name 7_1">
    <vt:lpwstr>Journal of Infectious Diseases</vt:lpwstr>
  </property>
  <property fmtid="{D5CDD505-2E9C-101B-9397-08002B2CF9AE}" pid="18" name="Mendeley Recent Style Id 8_1">
    <vt:lpwstr>http://www.zotero.org/styles/metabolomics</vt:lpwstr>
  </property>
  <property fmtid="{D5CDD505-2E9C-101B-9397-08002B2CF9AE}" pid="19" name="Mendeley Recent Style Name 8_1">
    <vt:lpwstr>Metabolomics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08dbfd4d-befd-314d-9b53-8bb554a7a29e</vt:lpwstr>
  </property>
  <property fmtid="{D5CDD505-2E9C-101B-9397-08002B2CF9AE}" pid="24" name="Mendeley Citation Style_1">
    <vt:lpwstr>http://www.zotero.org/styles/journal-of-antimicrobial-chemotherapy</vt:lpwstr>
  </property>
</Properties>
</file>