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F02" w:rsidRDefault="005F1F02" w:rsidP="005F1F02">
      <w:pPr>
        <w:spacing w:line="240" w:lineRule="auto"/>
        <w:jc w:val="both"/>
        <w:rPr>
          <w:rFonts w:eastAsiaTheme="majorEastAsia" w:cs="Times New Roman"/>
          <w:b/>
          <w:bCs/>
          <w:sz w:val="24"/>
          <w:szCs w:val="24"/>
        </w:rPr>
      </w:pPr>
      <w:r>
        <w:rPr>
          <w:rFonts w:eastAsiaTheme="majorEastAsia" w:cs="Times New Roman"/>
          <w:b/>
          <w:bCs/>
          <w:sz w:val="24"/>
          <w:szCs w:val="24"/>
        </w:rPr>
        <w:t>Title</w:t>
      </w:r>
    </w:p>
    <w:p w:rsidR="005F1F02" w:rsidRPr="00C71D1A" w:rsidRDefault="005F1F02" w:rsidP="005F1F02">
      <w:pPr>
        <w:spacing w:line="240" w:lineRule="auto"/>
        <w:jc w:val="both"/>
        <w:rPr>
          <w:rFonts w:eastAsiaTheme="majorEastAsia" w:cs="Times New Roman"/>
          <w:bCs/>
          <w:sz w:val="24"/>
          <w:szCs w:val="24"/>
        </w:rPr>
      </w:pPr>
      <w:r>
        <w:rPr>
          <w:rFonts w:eastAsiaTheme="majorEastAsia" w:cs="Times New Roman"/>
          <w:bCs/>
          <w:sz w:val="24"/>
          <w:szCs w:val="24"/>
        </w:rPr>
        <w:t>Underrepresenting neighbourhood vulnerabilities? The measurement of fuel poverty in England</w:t>
      </w:r>
    </w:p>
    <w:p w:rsidR="005F1F02" w:rsidRDefault="005F1F02" w:rsidP="005F1F02">
      <w:pPr>
        <w:spacing w:line="240" w:lineRule="auto"/>
        <w:jc w:val="both"/>
        <w:rPr>
          <w:rFonts w:eastAsiaTheme="majorEastAsia" w:cs="Times New Roman"/>
          <w:b/>
          <w:bCs/>
          <w:sz w:val="24"/>
          <w:szCs w:val="24"/>
        </w:rPr>
      </w:pPr>
      <w:r>
        <w:rPr>
          <w:rFonts w:eastAsiaTheme="majorEastAsia" w:cs="Times New Roman"/>
          <w:b/>
          <w:bCs/>
          <w:sz w:val="24"/>
          <w:szCs w:val="24"/>
        </w:rPr>
        <w:t>Authors</w:t>
      </w:r>
    </w:p>
    <w:p w:rsidR="005F1F02" w:rsidRDefault="005F1F02" w:rsidP="005F1F02">
      <w:pPr>
        <w:spacing w:after="0" w:line="240" w:lineRule="auto"/>
        <w:jc w:val="both"/>
        <w:rPr>
          <w:rFonts w:eastAsiaTheme="majorEastAsia" w:cs="Times New Roman"/>
          <w:bCs/>
          <w:sz w:val="24"/>
          <w:szCs w:val="24"/>
        </w:rPr>
      </w:pPr>
      <w:r>
        <w:rPr>
          <w:rFonts w:eastAsiaTheme="majorEastAsia" w:cs="Times New Roman"/>
          <w:bCs/>
          <w:sz w:val="24"/>
          <w:szCs w:val="24"/>
        </w:rPr>
        <w:t>Miss Caitlin Robinson</w:t>
      </w:r>
    </w:p>
    <w:p w:rsidR="005F1F02" w:rsidRDefault="005F1F02" w:rsidP="005F1F02">
      <w:pPr>
        <w:spacing w:after="0" w:line="240" w:lineRule="auto"/>
        <w:jc w:val="both"/>
        <w:rPr>
          <w:rFonts w:eastAsiaTheme="majorEastAsia" w:cs="Times New Roman"/>
          <w:bCs/>
          <w:sz w:val="24"/>
          <w:szCs w:val="24"/>
        </w:rPr>
      </w:pPr>
      <w:r>
        <w:rPr>
          <w:rFonts w:eastAsiaTheme="majorEastAsia" w:cs="Times New Roman"/>
          <w:bCs/>
          <w:sz w:val="24"/>
          <w:szCs w:val="24"/>
        </w:rPr>
        <w:t>Department of Geography, the University of Manchester</w:t>
      </w:r>
    </w:p>
    <w:p w:rsidR="005F1F02" w:rsidRDefault="005F1F02" w:rsidP="005F1F02">
      <w:pPr>
        <w:spacing w:line="240" w:lineRule="auto"/>
        <w:jc w:val="both"/>
        <w:rPr>
          <w:rFonts w:eastAsiaTheme="majorEastAsia" w:cs="Times New Roman"/>
          <w:bCs/>
          <w:sz w:val="24"/>
          <w:szCs w:val="24"/>
        </w:rPr>
      </w:pPr>
      <w:r>
        <w:rPr>
          <w:rFonts w:eastAsiaTheme="majorEastAsia" w:cs="Times New Roman"/>
          <w:bCs/>
          <w:sz w:val="24"/>
          <w:szCs w:val="24"/>
        </w:rPr>
        <w:t>caitlin.robinson@manchester.ac.uk</w:t>
      </w:r>
    </w:p>
    <w:p w:rsidR="0098490C" w:rsidRDefault="0098490C" w:rsidP="0098490C">
      <w:pPr>
        <w:spacing w:after="0" w:line="240" w:lineRule="auto"/>
        <w:jc w:val="both"/>
        <w:rPr>
          <w:rFonts w:eastAsiaTheme="majorEastAsia" w:cs="Times New Roman"/>
          <w:bCs/>
          <w:sz w:val="24"/>
          <w:szCs w:val="24"/>
        </w:rPr>
      </w:pPr>
      <w:r>
        <w:rPr>
          <w:rFonts w:eastAsiaTheme="majorEastAsia" w:cs="Times New Roman"/>
          <w:bCs/>
          <w:sz w:val="24"/>
          <w:szCs w:val="24"/>
        </w:rPr>
        <w:t>Professor Stefan Bouzarovski</w:t>
      </w:r>
    </w:p>
    <w:p w:rsidR="0098490C" w:rsidRDefault="0098490C" w:rsidP="0098490C">
      <w:pPr>
        <w:spacing w:after="0" w:line="240" w:lineRule="auto"/>
        <w:jc w:val="both"/>
        <w:rPr>
          <w:rFonts w:eastAsiaTheme="majorEastAsia" w:cs="Times New Roman"/>
          <w:bCs/>
          <w:sz w:val="24"/>
          <w:szCs w:val="24"/>
        </w:rPr>
      </w:pPr>
      <w:r>
        <w:rPr>
          <w:rFonts w:eastAsiaTheme="majorEastAsia" w:cs="Times New Roman"/>
          <w:bCs/>
          <w:sz w:val="24"/>
          <w:szCs w:val="24"/>
        </w:rPr>
        <w:t>Department of Geography, the University of Manchester</w:t>
      </w:r>
    </w:p>
    <w:p w:rsidR="0098490C" w:rsidRDefault="0098490C" w:rsidP="0098490C">
      <w:pPr>
        <w:spacing w:after="0" w:line="240" w:lineRule="auto"/>
        <w:jc w:val="both"/>
        <w:rPr>
          <w:rFonts w:eastAsiaTheme="majorEastAsia" w:cs="Times New Roman"/>
          <w:bCs/>
          <w:sz w:val="24"/>
          <w:szCs w:val="24"/>
        </w:rPr>
      </w:pPr>
      <w:r w:rsidRPr="0098490C">
        <w:rPr>
          <w:rFonts w:eastAsiaTheme="majorEastAsia" w:cs="Times New Roman"/>
          <w:bCs/>
          <w:sz w:val="24"/>
          <w:szCs w:val="24"/>
        </w:rPr>
        <w:t>s.bouzarovski@gmail.com</w:t>
      </w:r>
    </w:p>
    <w:p w:rsidR="0098490C" w:rsidRDefault="0098490C" w:rsidP="0098490C">
      <w:pPr>
        <w:spacing w:after="0" w:line="240" w:lineRule="auto"/>
        <w:jc w:val="both"/>
        <w:rPr>
          <w:rFonts w:eastAsiaTheme="majorEastAsia" w:cs="Times New Roman"/>
          <w:bCs/>
          <w:sz w:val="24"/>
          <w:szCs w:val="24"/>
        </w:rPr>
      </w:pPr>
    </w:p>
    <w:p w:rsidR="005F1F02" w:rsidRDefault="005F1F02" w:rsidP="005F1F02">
      <w:pPr>
        <w:spacing w:after="0" w:line="240" w:lineRule="auto"/>
        <w:jc w:val="both"/>
        <w:rPr>
          <w:rFonts w:eastAsiaTheme="majorEastAsia" w:cs="Times New Roman"/>
          <w:bCs/>
          <w:sz w:val="24"/>
          <w:szCs w:val="24"/>
        </w:rPr>
      </w:pPr>
      <w:r>
        <w:rPr>
          <w:rFonts w:eastAsiaTheme="majorEastAsia" w:cs="Times New Roman"/>
          <w:bCs/>
          <w:sz w:val="24"/>
          <w:szCs w:val="24"/>
        </w:rPr>
        <w:t xml:space="preserve">Professor Sarah Lindley </w:t>
      </w:r>
    </w:p>
    <w:p w:rsidR="005F1F02" w:rsidRDefault="005F1F02" w:rsidP="005F1F02">
      <w:pPr>
        <w:spacing w:after="0" w:line="240" w:lineRule="auto"/>
        <w:jc w:val="both"/>
        <w:rPr>
          <w:rFonts w:eastAsiaTheme="majorEastAsia" w:cs="Times New Roman"/>
          <w:bCs/>
          <w:sz w:val="24"/>
          <w:szCs w:val="24"/>
        </w:rPr>
      </w:pPr>
      <w:r>
        <w:rPr>
          <w:rFonts w:eastAsiaTheme="majorEastAsia" w:cs="Times New Roman"/>
          <w:bCs/>
          <w:sz w:val="24"/>
          <w:szCs w:val="24"/>
        </w:rPr>
        <w:t>Department of Geography, the University of Manchester</w:t>
      </w:r>
    </w:p>
    <w:p w:rsidR="005F1F02" w:rsidRDefault="005F1F02" w:rsidP="005F1F02">
      <w:pPr>
        <w:spacing w:after="0" w:line="240" w:lineRule="auto"/>
        <w:jc w:val="both"/>
        <w:rPr>
          <w:rFonts w:eastAsiaTheme="majorEastAsia" w:cs="Times New Roman"/>
          <w:bCs/>
          <w:sz w:val="24"/>
          <w:szCs w:val="24"/>
        </w:rPr>
      </w:pPr>
      <w:r w:rsidRPr="00957717">
        <w:rPr>
          <w:rFonts w:eastAsiaTheme="majorEastAsia" w:cs="Times New Roman"/>
          <w:bCs/>
          <w:sz w:val="24"/>
          <w:szCs w:val="24"/>
        </w:rPr>
        <w:t>sarah.lindley@manchester.ac.uk</w:t>
      </w:r>
    </w:p>
    <w:p w:rsidR="005F1F02" w:rsidRDefault="005F1F02" w:rsidP="005F1F02">
      <w:pPr>
        <w:spacing w:after="0" w:line="240" w:lineRule="auto"/>
        <w:jc w:val="both"/>
        <w:rPr>
          <w:rFonts w:eastAsiaTheme="majorEastAsia" w:cs="Times New Roman"/>
          <w:bCs/>
          <w:sz w:val="24"/>
          <w:szCs w:val="24"/>
        </w:rPr>
      </w:pPr>
    </w:p>
    <w:p w:rsidR="005F1F02" w:rsidRDefault="005F1F02" w:rsidP="005F1F02">
      <w:pPr>
        <w:spacing w:after="0" w:line="240" w:lineRule="auto"/>
        <w:jc w:val="both"/>
        <w:rPr>
          <w:rFonts w:eastAsiaTheme="majorEastAsia" w:cs="Times New Roman"/>
          <w:bCs/>
          <w:sz w:val="24"/>
          <w:szCs w:val="24"/>
        </w:rPr>
      </w:pPr>
    </w:p>
    <w:p w:rsidR="005F1F02" w:rsidRDefault="005F1F02" w:rsidP="005F1F02">
      <w:pPr>
        <w:spacing w:line="240" w:lineRule="auto"/>
        <w:jc w:val="both"/>
        <w:rPr>
          <w:rFonts w:eastAsiaTheme="majorEastAsia" w:cs="Times New Roman"/>
          <w:b/>
          <w:bCs/>
          <w:sz w:val="24"/>
          <w:szCs w:val="24"/>
        </w:rPr>
      </w:pPr>
      <w:r>
        <w:rPr>
          <w:rFonts w:eastAsiaTheme="majorEastAsia" w:cs="Times New Roman"/>
          <w:b/>
          <w:bCs/>
          <w:sz w:val="24"/>
          <w:szCs w:val="24"/>
        </w:rPr>
        <w:t>Acknowledgements</w:t>
      </w:r>
    </w:p>
    <w:p w:rsidR="005F1F02" w:rsidRDefault="005F1F02" w:rsidP="005F1F02">
      <w:pPr>
        <w:spacing w:line="240" w:lineRule="auto"/>
        <w:jc w:val="both"/>
        <w:rPr>
          <w:rFonts w:eastAsiaTheme="majorEastAsia" w:cs="Times New Roman"/>
          <w:bCs/>
          <w:sz w:val="24"/>
          <w:szCs w:val="24"/>
        </w:rPr>
      </w:pPr>
      <w:r>
        <w:rPr>
          <w:rFonts w:eastAsiaTheme="majorEastAsia" w:cs="Times New Roman"/>
          <w:bCs/>
          <w:sz w:val="24"/>
          <w:szCs w:val="24"/>
        </w:rPr>
        <w:t xml:space="preserve">The authors would like to thank Stephen Hincks for his valuable comments regarding the methodological approach. </w:t>
      </w:r>
    </w:p>
    <w:p w:rsidR="004956C2" w:rsidRPr="00A65BED" w:rsidRDefault="004956C2" w:rsidP="005F1F02">
      <w:pPr>
        <w:spacing w:line="240" w:lineRule="auto"/>
        <w:jc w:val="both"/>
        <w:rPr>
          <w:rFonts w:eastAsiaTheme="majorEastAsia" w:cs="Times New Roman"/>
          <w:bCs/>
          <w:sz w:val="24"/>
          <w:szCs w:val="24"/>
        </w:rPr>
      </w:pPr>
    </w:p>
    <w:p w:rsidR="005F1F02" w:rsidRDefault="005F1F02" w:rsidP="005F1F02">
      <w:pPr>
        <w:spacing w:line="240" w:lineRule="auto"/>
        <w:jc w:val="both"/>
        <w:rPr>
          <w:rFonts w:eastAsiaTheme="majorEastAsia" w:cs="Times New Roman"/>
          <w:b/>
          <w:bCs/>
          <w:sz w:val="24"/>
          <w:szCs w:val="24"/>
        </w:rPr>
      </w:pPr>
      <w:r>
        <w:rPr>
          <w:rFonts w:eastAsiaTheme="majorEastAsia" w:cs="Times New Roman"/>
          <w:b/>
          <w:bCs/>
          <w:sz w:val="24"/>
          <w:szCs w:val="24"/>
        </w:rPr>
        <w:t>Funding</w:t>
      </w:r>
    </w:p>
    <w:p w:rsidR="007952EF" w:rsidRPr="007952EF" w:rsidRDefault="005F1F02" w:rsidP="005F1F02">
      <w:pPr>
        <w:spacing w:after="0" w:line="240" w:lineRule="auto"/>
        <w:jc w:val="both"/>
        <w:rPr>
          <w:rFonts w:eastAsiaTheme="majorEastAsia" w:cs="Times New Roman"/>
          <w:bCs/>
        </w:rPr>
      </w:pPr>
      <w:r w:rsidRPr="007952EF">
        <w:rPr>
          <w:rFonts w:eastAsiaTheme="majorEastAsia" w:cs="Times New Roman"/>
          <w:bCs/>
        </w:rPr>
        <w:t>This research was generously supported by the Engineering and Physical Research Council (EPSRC) Centre for Doctoral Training in Power Networks a</w:t>
      </w:r>
      <w:r w:rsidR="0098490C" w:rsidRPr="007952EF">
        <w:rPr>
          <w:rFonts w:eastAsiaTheme="majorEastAsia" w:cs="Times New Roman"/>
          <w:bCs/>
        </w:rPr>
        <w:t xml:space="preserve">t the University of Manchester [grant number EP/l06141/1, 2016] </w:t>
      </w:r>
    </w:p>
    <w:p w:rsidR="007952EF" w:rsidRPr="007952EF" w:rsidRDefault="007952EF" w:rsidP="005F1F02">
      <w:pPr>
        <w:spacing w:after="0" w:line="240" w:lineRule="auto"/>
        <w:jc w:val="both"/>
        <w:rPr>
          <w:rFonts w:eastAsiaTheme="majorEastAsia" w:cs="Times New Roman"/>
          <w:bCs/>
        </w:rPr>
      </w:pPr>
    </w:p>
    <w:p w:rsidR="007952EF" w:rsidRPr="007952EF" w:rsidRDefault="007952EF" w:rsidP="005F1F02">
      <w:pPr>
        <w:spacing w:after="0" w:line="240" w:lineRule="auto"/>
        <w:jc w:val="both"/>
        <w:rPr>
          <w:rFonts w:cs="Times New Roman"/>
        </w:rPr>
      </w:pPr>
      <w:r w:rsidRPr="007952EF">
        <w:rPr>
          <w:rFonts w:cs="Times New Roman"/>
        </w:rPr>
        <w:t>Part of the research leading to this paper has received funding from the European Research Council (ERC) under the European Union's Seventh Framework Programme (FP7/2007–2013)/ERC grant agreement number [313478].</w:t>
      </w:r>
    </w:p>
    <w:p w:rsidR="007952EF" w:rsidRPr="007952EF" w:rsidRDefault="007952EF" w:rsidP="005F1F02">
      <w:pPr>
        <w:spacing w:after="0" w:line="240" w:lineRule="auto"/>
        <w:jc w:val="both"/>
        <w:rPr>
          <w:rFonts w:eastAsiaTheme="majorEastAsia" w:cs="Times New Roman"/>
          <w:bCs/>
        </w:rPr>
      </w:pPr>
    </w:p>
    <w:p w:rsidR="005F1F02" w:rsidRPr="007952EF" w:rsidRDefault="0098490C" w:rsidP="005F1F02">
      <w:pPr>
        <w:spacing w:after="0" w:line="240" w:lineRule="auto"/>
        <w:jc w:val="both"/>
        <w:rPr>
          <w:rFonts w:eastAsiaTheme="majorEastAsia" w:cs="Times New Roman"/>
          <w:bCs/>
        </w:rPr>
      </w:pPr>
      <w:r w:rsidRPr="007952EF">
        <w:rPr>
          <w:rFonts w:eastAsiaTheme="majorEastAsia" w:cs="Times New Roman"/>
          <w:bCs/>
        </w:rPr>
        <w:t xml:space="preserve">Stefan Bouzarovski is a Visiting Professor in the Department of Geography, University of Bergen; and an External Professor at the Institute of Geography, University of Gdansk. </w:t>
      </w:r>
    </w:p>
    <w:p w:rsidR="005F1F02" w:rsidRPr="007952EF" w:rsidRDefault="005F1F02" w:rsidP="005F1F02">
      <w:pPr>
        <w:rPr>
          <w:rFonts w:cs="Times New Roman"/>
        </w:rPr>
      </w:pPr>
    </w:p>
    <w:p w:rsidR="005F1F02" w:rsidRDefault="005F1F02" w:rsidP="00C302DD">
      <w:pPr>
        <w:spacing w:line="360" w:lineRule="auto"/>
        <w:jc w:val="both"/>
        <w:rPr>
          <w:rFonts w:cs="Times New Roman"/>
          <w:b/>
          <w:sz w:val="24"/>
          <w:szCs w:val="24"/>
        </w:rPr>
      </w:pPr>
    </w:p>
    <w:p w:rsidR="005F1F02" w:rsidRDefault="005F1F02" w:rsidP="00C302DD">
      <w:pPr>
        <w:spacing w:line="360" w:lineRule="auto"/>
        <w:jc w:val="both"/>
        <w:rPr>
          <w:rFonts w:cs="Times New Roman"/>
          <w:b/>
          <w:sz w:val="24"/>
          <w:szCs w:val="24"/>
        </w:rPr>
      </w:pPr>
    </w:p>
    <w:p w:rsidR="005F1F02" w:rsidRDefault="005F1F02" w:rsidP="00C302DD">
      <w:pPr>
        <w:spacing w:line="360" w:lineRule="auto"/>
        <w:jc w:val="both"/>
        <w:rPr>
          <w:rFonts w:cs="Times New Roman"/>
          <w:b/>
          <w:sz w:val="24"/>
          <w:szCs w:val="24"/>
        </w:rPr>
      </w:pPr>
    </w:p>
    <w:p w:rsidR="005F1F02" w:rsidRDefault="005F1F02" w:rsidP="00C302DD">
      <w:pPr>
        <w:spacing w:line="360" w:lineRule="auto"/>
        <w:jc w:val="both"/>
        <w:rPr>
          <w:rFonts w:cs="Times New Roman"/>
          <w:b/>
          <w:sz w:val="24"/>
          <w:szCs w:val="24"/>
        </w:rPr>
      </w:pPr>
    </w:p>
    <w:p w:rsidR="005F1F02" w:rsidRDefault="005F1F02" w:rsidP="00C302DD">
      <w:pPr>
        <w:spacing w:line="360" w:lineRule="auto"/>
        <w:jc w:val="both"/>
        <w:rPr>
          <w:rFonts w:cs="Times New Roman"/>
          <w:b/>
          <w:sz w:val="24"/>
          <w:szCs w:val="24"/>
        </w:rPr>
      </w:pPr>
    </w:p>
    <w:p w:rsidR="005F1F02" w:rsidRDefault="005F1F02" w:rsidP="00C302DD">
      <w:pPr>
        <w:spacing w:line="360" w:lineRule="auto"/>
        <w:jc w:val="both"/>
        <w:rPr>
          <w:rFonts w:cs="Times New Roman"/>
          <w:b/>
          <w:sz w:val="24"/>
          <w:szCs w:val="24"/>
        </w:rPr>
      </w:pPr>
    </w:p>
    <w:p w:rsidR="00C302DD" w:rsidRPr="00FB11C5" w:rsidRDefault="00C302DD" w:rsidP="00C302DD">
      <w:pPr>
        <w:spacing w:line="360" w:lineRule="auto"/>
        <w:jc w:val="both"/>
        <w:rPr>
          <w:rFonts w:cs="Times New Roman"/>
          <w:b/>
          <w:sz w:val="24"/>
          <w:szCs w:val="24"/>
        </w:rPr>
      </w:pPr>
      <w:bookmarkStart w:id="0" w:name="_GoBack"/>
      <w:bookmarkEnd w:id="0"/>
      <w:r w:rsidRPr="00FB11C5">
        <w:rPr>
          <w:rFonts w:cs="Times New Roman"/>
          <w:b/>
          <w:sz w:val="24"/>
          <w:szCs w:val="24"/>
        </w:rPr>
        <w:lastRenderedPageBreak/>
        <w:t>Underrepresenting neighbourhood vulnerabilities? The measurement of fuel poverty in England</w:t>
      </w:r>
    </w:p>
    <w:p w:rsidR="00FB11C5" w:rsidRDefault="00FB11C5" w:rsidP="00C302DD">
      <w:pPr>
        <w:spacing w:line="360" w:lineRule="auto"/>
        <w:jc w:val="both"/>
        <w:rPr>
          <w:rFonts w:cs="Times New Roman"/>
          <w:b/>
          <w:sz w:val="24"/>
          <w:szCs w:val="24"/>
        </w:rPr>
      </w:pPr>
    </w:p>
    <w:p w:rsidR="00DE191F" w:rsidRDefault="008B3788" w:rsidP="00C302DD">
      <w:pPr>
        <w:spacing w:line="360" w:lineRule="auto"/>
        <w:jc w:val="both"/>
        <w:rPr>
          <w:rFonts w:cs="Times New Roman"/>
          <w:b/>
          <w:sz w:val="24"/>
          <w:szCs w:val="24"/>
        </w:rPr>
      </w:pPr>
      <w:r w:rsidRPr="00DE191F">
        <w:rPr>
          <w:rFonts w:cs="Times New Roman"/>
          <w:b/>
          <w:sz w:val="24"/>
          <w:szCs w:val="24"/>
        </w:rPr>
        <w:t>Abstract</w:t>
      </w:r>
    </w:p>
    <w:p w:rsidR="00436DF0" w:rsidRDefault="008B3788" w:rsidP="00C302DD">
      <w:pPr>
        <w:spacing w:line="360" w:lineRule="auto"/>
        <w:jc w:val="both"/>
        <w:rPr>
          <w:rFonts w:eastAsia="Times New Roman" w:cs="Times New Roman"/>
          <w:bCs/>
          <w:sz w:val="24"/>
          <w:szCs w:val="24"/>
          <w:lang w:eastAsia="en-GB"/>
        </w:rPr>
      </w:pPr>
      <w:r w:rsidRPr="004722A3">
        <w:rPr>
          <w:rFonts w:cs="Times New Roman"/>
          <w:sz w:val="24"/>
          <w:szCs w:val="24"/>
        </w:rPr>
        <w:t>The vulnerabilities that enhance the likelihood of a household falling into fuel poverty are increasingly recognised as highly multidimensional and geographical</w:t>
      </w:r>
      <w:r w:rsidR="0049096B">
        <w:rPr>
          <w:rFonts w:cs="Times New Roman"/>
          <w:sz w:val="24"/>
          <w:szCs w:val="24"/>
        </w:rPr>
        <w:t>. H</w:t>
      </w:r>
      <w:r w:rsidRPr="004722A3">
        <w:rPr>
          <w:rFonts w:cs="Times New Roman"/>
          <w:sz w:val="24"/>
          <w:szCs w:val="24"/>
        </w:rPr>
        <w:t xml:space="preserve">owever, the most established indicators used to measure fuel poverty are primarily based upon expenditure. This paper seeks to understand to what extent </w:t>
      </w:r>
      <w:r w:rsidR="00103819">
        <w:rPr>
          <w:rFonts w:cs="Times New Roman"/>
          <w:sz w:val="24"/>
          <w:szCs w:val="24"/>
        </w:rPr>
        <w:t>expenditure-based</w:t>
      </w:r>
      <w:r w:rsidR="00103819" w:rsidRPr="004722A3">
        <w:rPr>
          <w:rFonts w:cs="Times New Roman"/>
          <w:sz w:val="24"/>
          <w:szCs w:val="24"/>
        </w:rPr>
        <w:t xml:space="preserve"> </w:t>
      </w:r>
      <w:r w:rsidRPr="004722A3">
        <w:rPr>
          <w:rFonts w:cs="Times New Roman"/>
          <w:sz w:val="24"/>
          <w:szCs w:val="24"/>
        </w:rPr>
        <w:t>indicators succeed in representing wider socio-spatial vulnerabilities that manifest in particular locales. Our analysis focuses upon England, where a policy review in 2012 led to the replacement of a 10% indicator with a Low Income High Cost indicator. Fuel poverty estimates are scrutinized at a neighbourhood scale, considering their relationship with a range of socio-economic, demographic and socio-technical characteristics. Place-based effects upon these relationships that arise from the wider context within which each neighbourhood sits are also accounted for using Geograp</w:t>
      </w:r>
      <w:r w:rsidR="00D16E3C">
        <w:rPr>
          <w:rFonts w:cs="Times New Roman"/>
          <w:sz w:val="24"/>
          <w:szCs w:val="24"/>
        </w:rPr>
        <w:t>hically Weighted Regression</w:t>
      </w:r>
      <w:r w:rsidRPr="004722A3">
        <w:rPr>
          <w:rFonts w:cs="Times New Roman"/>
          <w:sz w:val="24"/>
          <w:szCs w:val="24"/>
        </w:rPr>
        <w:t xml:space="preserve">. </w:t>
      </w:r>
      <w:r w:rsidRPr="004722A3">
        <w:rPr>
          <w:rFonts w:eastAsia="Times New Roman" w:cs="Times New Roman"/>
          <w:bCs/>
          <w:sz w:val="24"/>
          <w:szCs w:val="24"/>
          <w:lang w:eastAsia="en-GB"/>
        </w:rPr>
        <w:t>The findings suggest that a ‘one-size fits all’ expenditure-based indicator is unlikely to capture the heterogeneous socio-spatial vulnerabilities that enhance the likelihood of fuel poverty experienced between different demographics and geographical contexts.</w:t>
      </w:r>
    </w:p>
    <w:p w:rsidR="00FB11C5" w:rsidRDefault="00FB11C5" w:rsidP="00C302DD">
      <w:pPr>
        <w:spacing w:line="360" w:lineRule="auto"/>
        <w:jc w:val="both"/>
        <w:rPr>
          <w:rFonts w:eastAsiaTheme="majorEastAsia" w:cs="Times New Roman"/>
          <w:b/>
          <w:bCs/>
          <w:sz w:val="24"/>
          <w:szCs w:val="24"/>
        </w:rPr>
      </w:pPr>
    </w:p>
    <w:p w:rsidR="008B3788" w:rsidRPr="00DE191F" w:rsidRDefault="008B3788" w:rsidP="00C302DD">
      <w:pPr>
        <w:spacing w:line="360" w:lineRule="auto"/>
        <w:jc w:val="both"/>
        <w:rPr>
          <w:rFonts w:eastAsiaTheme="majorEastAsia" w:cs="Times New Roman"/>
          <w:b/>
          <w:bCs/>
          <w:sz w:val="24"/>
          <w:szCs w:val="24"/>
        </w:rPr>
      </w:pPr>
      <w:r w:rsidRPr="00DE191F">
        <w:rPr>
          <w:rFonts w:eastAsiaTheme="majorEastAsia" w:cs="Times New Roman"/>
          <w:b/>
          <w:bCs/>
          <w:sz w:val="24"/>
          <w:szCs w:val="24"/>
        </w:rPr>
        <w:t>Key words</w:t>
      </w:r>
    </w:p>
    <w:p w:rsidR="008B3788" w:rsidRPr="00436DF0" w:rsidRDefault="00980CD2" w:rsidP="00C302DD">
      <w:pPr>
        <w:spacing w:line="360" w:lineRule="auto"/>
        <w:jc w:val="both"/>
        <w:rPr>
          <w:rFonts w:eastAsia="Times New Roman" w:cs="Times New Roman"/>
          <w:iCs/>
          <w:sz w:val="24"/>
          <w:szCs w:val="24"/>
          <w:lang w:eastAsia="en-GB"/>
        </w:rPr>
      </w:pPr>
      <w:r>
        <w:rPr>
          <w:rFonts w:eastAsia="Times New Roman" w:cs="Times New Roman"/>
          <w:iCs/>
          <w:sz w:val="24"/>
          <w:szCs w:val="24"/>
          <w:lang w:eastAsia="en-GB"/>
        </w:rPr>
        <w:t>Fuel poverty,</w:t>
      </w:r>
      <w:r w:rsidR="008B3788" w:rsidRPr="00980CD2">
        <w:rPr>
          <w:rFonts w:eastAsia="Times New Roman" w:cs="Times New Roman"/>
          <w:iCs/>
          <w:sz w:val="24"/>
          <w:szCs w:val="24"/>
          <w:lang w:eastAsia="en-GB"/>
        </w:rPr>
        <w:t xml:space="preserve"> socio-spatial vulne</w:t>
      </w:r>
      <w:r>
        <w:rPr>
          <w:rFonts w:eastAsia="Times New Roman" w:cs="Times New Roman"/>
          <w:iCs/>
          <w:sz w:val="24"/>
          <w:szCs w:val="24"/>
          <w:lang w:eastAsia="en-GB"/>
        </w:rPr>
        <w:t xml:space="preserve">rability, indicators, </w:t>
      </w:r>
      <w:r w:rsidR="008B3788" w:rsidRPr="00980CD2">
        <w:rPr>
          <w:rFonts w:eastAsia="Times New Roman" w:cs="Times New Roman"/>
          <w:iCs/>
          <w:sz w:val="24"/>
          <w:szCs w:val="24"/>
          <w:lang w:eastAsia="en-GB"/>
        </w:rPr>
        <w:t xml:space="preserve">Geographically Weighted Regression, place-based effects </w:t>
      </w:r>
    </w:p>
    <w:p w:rsidR="00373224" w:rsidRPr="00373224" w:rsidRDefault="00373224" w:rsidP="00C302DD">
      <w:pPr>
        <w:spacing w:line="360" w:lineRule="auto"/>
        <w:jc w:val="both"/>
        <w:rPr>
          <w:rFonts w:eastAsiaTheme="majorEastAsia" w:cs="Times New Roman"/>
          <w:b/>
          <w:bCs/>
          <w:sz w:val="24"/>
          <w:szCs w:val="24"/>
        </w:rPr>
      </w:pPr>
    </w:p>
    <w:p w:rsidR="00373224" w:rsidRDefault="00373224" w:rsidP="00C302DD">
      <w:pPr>
        <w:spacing w:line="360" w:lineRule="auto"/>
        <w:jc w:val="both"/>
        <w:rPr>
          <w:rFonts w:eastAsiaTheme="majorEastAsia" w:cs="Times New Roman"/>
          <w:b/>
          <w:bCs/>
          <w:sz w:val="24"/>
          <w:szCs w:val="24"/>
        </w:rPr>
      </w:pPr>
    </w:p>
    <w:p w:rsidR="00373224" w:rsidRDefault="00373224" w:rsidP="00C302DD">
      <w:pPr>
        <w:spacing w:line="360" w:lineRule="auto"/>
        <w:jc w:val="both"/>
        <w:rPr>
          <w:rFonts w:eastAsiaTheme="majorEastAsia" w:cs="Times New Roman"/>
          <w:b/>
          <w:bCs/>
          <w:sz w:val="24"/>
          <w:szCs w:val="24"/>
        </w:rPr>
      </w:pPr>
    </w:p>
    <w:p w:rsidR="00373224" w:rsidRDefault="00373224" w:rsidP="00C302DD">
      <w:pPr>
        <w:spacing w:line="360" w:lineRule="auto"/>
        <w:jc w:val="both"/>
        <w:rPr>
          <w:rFonts w:eastAsiaTheme="majorEastAsia" w:cs="Times New Roman"/>
          <w:b/>
          <w:bCs/>
          <w:sz w:val="24"/>
          <w:szCs w:val="24"/>
        </w:rPr>
      </w:pPr>
    </w:p>
    <w:p w:rsidR="00373224" w:rsidRDefault="00373224" w:rsidP="00C302DD">
      <w:pPr>
        <w:spacing w:line="360" w:lineRule="auto"/>
        <w:jc w:val="both"/>
        <w:rPr>
          <w:rFonts w:eastAsiaTheme="majorEastAsia" w:cs="Times New Roman"/>
          <w:b/>
          <w:bCs/>
          <w:sz w:val="24"/>
          <w:szCs w:val="24"/>
        </w:rPr>
      </w:pPr>
    </w:p>
    <w:p w:rsidR="00373224" w:rsidRDefault="00373224" w:rsidP="00C302DD">
      <w:pPr>
        <w:spacing w:line="360" w:lineRule="auto"/>
        <w:jc w:val="both"/>
        <w:rPr>
          <w:rFonts w:eastAsiaTheme="majorEastAsia" w:cs="Times New Roman"/>
          <w:b/>
          <w:bCs/>
          <w:sz w:val="24"/>
          <w:szCs w:val="24"/>
        </w:rPr>
      </w:pPr>
    </w:p>
    <w:p w:rsidR="008B3788" w:rsidRPr="00DE191F" w:rsidRDefault="008B3788" w:rsidP="00C302DD">
      <w:pPr>
        <w:spacing w:line="360" w:lineRule="auto"/>
        <w:jc w:val="both"/>
        <w:rPr>
          <w:rFonts w:eastAsiaTheme="majorEastAsia" w:cs="Times New Roman"/>
          <w:b/>
          <w:bCs/>
          <w:sz w:val="24"/>
          <w:szCs w:val="24"/>
        </w:rPr>
      </w:pPr>
      <w:r w:rsidRPr="00DE191F">
        <w:rPr>
          <w:rFonts w:eastAsiaTheme="majorEastAsia" w:cs="Times New Roman"/>
          <w:b/>
          <w:bCs/>
          <w:sz w:val="24"/>
          <w:szCs w:val="24"/>
        </w:rPr>
        <w:lastRenderedPageBreak/>
        <w:t xml:space="preserve">Introduction </w:t>
      </w:r>
    </w:p>
    <w:p w:rsidR="008B3788" w:rsidRDefault="008B3788" w:rsidP="00C302DD">
      <w:pPr>
        <w:spacing w:line="360" w:lineRule="auto"/>
        <w:jc w:val="both"/>
        <w:rPr>
          <w:rFonts w:cs="Times New Roman"/>
          <w:sz w:val="24"/>
          <w:szCs w:val="24"/>
        </w:rPr>
      </w:pPr>
      <w:r w:rsidRPr="004722A3">
        <w:rPr>
          <w:rFonts w:cs="Times New Roman"/>
          <w:sz w:val="24"/>
          <w:szCs w:val="24"/>
        </w:rPr>
        <w:t xml:space="preserve">Fuel (or energy) poverty can be defined as the condition in which a household is unable to access sufficient domestic energy services to allow </w:t>
      </w:r>
      <w:r w:rsidR="00103819">
        <w:rPr>
          <w:rFonts w:cs="Times New Roman"/>
          <w:sz w:val="24"/>
          <w:szCs w:val="24"/>
        </w:rPr>
        <w:t xml:space="preserve">it </w:t>
      </w:r>
      <w:r w:rsidRPr="004722A3">
        <w:rPr>
          <w:rFonts w:cs="Times New Roman"/>
          <w:sz w:val="24"/>
          <w:szCs w:val="24"/>
        </w:rPr>
        <w:t>to participate meaningful</w:t>
      </w:r>
      <w:r w:rsidR="00B860A5">
        <w:rPr>
          <w:rFonts w:cs="Times New Roman"/>
          <w:sz w:val="24"/>
          <w:szCs w:val="24"/>
        </w:rPr>
        <w:t>ly in society (Buzar 2007). The</w:t>
      </w:r>
      <w:r w:rsidRPr="004722A3">
        <w:rPr>
          <w:rFonts w:cs="Times New Roman"/>
          <w:sz w:val="24"/>
          <w:szCs w:val="24"/>
        </w:rPr>
        <w:t xml:space="preserve"> definition builds upon the significant contribution to understanding of the phenomenon made over several decades by Boardman (1991, 2010). This lack of access to sufficient energy services can manifest as a range </w:t>
      </w:r>
      <w:r w:rsidR="00BF4E8A">
        <w:rPr>
          <w:rFonts w:cs="Times New Roman"/>
          <w:sz w:val="24"/>
          <w:szCs w:val="24"/>
        </w:rPr>
        <w:t xml:space="preserve">of negative outcomes upon </w:t>
      </w:r>
      <w:r w:rsidRPr="004722A3">
        <w:rPr>
          <w:rFonts w:cs="Times New Roman"/>
          <w:sz w:val="24"/>
          <w:szCs w:val="24"/>
        </w:rPr>
        <w:t xml:space="preserve">health and </w:t>
      </w:r>
      <w:r w:rsidR="00BF4E8A">
        <w:rPr>
          <w:rFonts w:cs="Times New Roman"/>
          <w:sz w:val="24"/>
          <w:szCs w:val="24"/>
        </w:rPr>
        <w:t>wellbeing</w:t>
      </w:r>
      <w:r w:rsidRPr="004722A3">
        <w:rPr>
          <w:rFonts w:cs="Times New Roman"/>
          <w:sz w:val="24"/>
          <w:szCs w:val="24"/>
        </w:rPr>
        <w:t xml:space="preserve"> (Liddell and Morris 2010). In industrialised nations</w:t>
      </w:r>
      <w:r w:rsidR="0049096B">
        <w:rPr>
          <w:rFonts w:cs="Times New Roman"/>
          <w:sz w:val="24"/>
          <w:szCs w:val="24"/>
        </w:rPr>
        <w:t>,</w:t>
      </w:r>
      <w:r w:rsidRPr="004722A3">
        <w:rPr>
          <w:rFonts w:cs="Times New Roman"/>
          <w:sz w:val="24"/>
          <w:szCs w:val="24"/>
        </w:rPr>
        <w:t xml:space="preserve"> fuel poverty is traditionally </w:t>
      </w:r>
      <w:r w:rsidR="00B860A5">
        <w:rPr>
          <w:rFonts w:cs="Times New Roman"/>
          <w:sz w:val="24"/>
          <w:szCs w:val="24"/>
        </w:rPr>
        <w:t>recognised</w:t>
      </w:r>
      <w:r w:rsidRPr="004722A3">
        <w:rPr>
          <w:rFonts w:cs="Times New Roman"/>
          <w:sz w:val="24"/>
          <w:szCs w:val="24"/>
        </w:rPr>
        <w:t xml:space="preserve"> </w:t>
      </w:r>
      <w:r w:rsidR="0049096B">
        <w:rPr>
          <w:rFonts w:cs="Times New Roman"/>
          <w:sz w:val="24"/>
          <w:szCs w:val="24"/>
        </w:rPr>
        <w:t xml:space="preserve">as </w:t>
      </w:r>
      <w:r w:rsidRPr="004722A3">
        <w:rPr>
          <w:rFonts w:cs="Times New Roman"/>
          <w:sz w:val="24"/>
          <w:szCs w:val="24"/>
        </w:rPr>
        <w:t>the result of the interaction between three drivers: high energy prices, low incomes and domestic energy inefficiency (Boardman 1991, 2010, Hills 2012)</w:t>
      </w:r>
      <w:r w:rsidR="00103819">
        <w:rPr>
          <w:rFonts w:cs="Times New Roman"/>
          <w:sz w:val="24"/>
          <w:szCs w:val="24"/>
        </w:rPr>
        <w:t xml:space="preserve"> but more recent understandings have challenged this</w:t>
      </w:r>
      <w:r w:rsidR="00B860A5">
        <w:rPr>
          <w:rFonts w:cs="Times New Roman"/>
          <w:sz w:val="24"/>
          <w:szCs w:val="24"/>
        </w:rPr>
        <w:t xml:space="preserve"> conceptualisation</w:t>
      </w:r>
      <w:r w:rsidR="004557F3">
        <w:rPr>
          <w:rFonts w:cs="Times New Roman"/>
          <w:sz w:val="24"/>
          <w:szCs w:val="24"/>
        </w:rPr>
        <w:t>. Fuel poverty</w:t>
      </w:r>
      <w:r w:rsidRPr="004722A3">
        <w:rPr>
          <w:rFonts w:cs="Times New Roman"/>
          <w:sz w:val="24"/>
          <w:szCs w:val="24"/>
        </w:rPr>
        <w:t xml:space="preserve"> is recognised as a unique form of deprivation and disadvantage (Boardman 2010, Buzar 2007), given its association with particular arrangements of socio-technical and networked infrastructures that lead to a ‘poverty of connections’ (Graham and Marvin 2001: 288). A large proportion of evidence</w:t>
      </w:r>
      <w:r w:rsidR="004557F3">
        <w:rPr>
          <w:rFonts w:cs="Times New Roman"/>
          <w:sz w:val="24"/>
          <w:szCs w:val="24"/>
        </w:rPr>
        <w:t xml:space="preserve"> underpinning this understanding</w:t>
      </w:r>
      <w:r w:rsidRPr="004722A3">
        <w:rPr>
          <w:rFonts w:cs="Times New Roman"/>
          <w:sz w:val="24"/>
          <w:szCs w:val="24"/>
        </w:rPr>
        <w:t xml:space="preserve"> has focused upon the United Kingdom (UK) where</w:t>
      </w:r>
      <w:r w:rsidR="00BF4E8A">
        <w:rPr>
          <w:rFonts w:cs="Times New Roman"/>
          <w:sz w:val="24"/>
          <w:szCs w:val="24"/>
        </w:rPr>
        <w:t xml:space="preserve"> fuel poverty</w:t>
      </w:r>
      <w:r w:rsidRPr="004722A3">
        <w:rPr>
          <w:rFonts w:cs="Times New Roman"/>
          <w:sz w:val="24"/>
          <w:szCs w:val="24"/>
        </w:rPr>
        <w:t xml:space="preserve"> has featured </w:t>
      </w:r>
      <w:r w:rsidR="0049096B">
        <w:rPr>
          <w:rFonts w:cs="Times New Roman"/>
          <w:sz w:val="24"/>
          <w:szCs w:val="24"/>
        </w:rPr>
        <w:t>within</w:t>
      </w:r>
      <w:r w:rsidR="0049096B" w:rsidRPr="004722A3">
        <w:rPr>
          <w:rFonts w:cs="Times New Roman"/>
          <w:sz w:val="24"/>
          <w:szCs w:val="24"/>
        </w:rPr>
        <w:t xml:space="preserve"> </w:t>
      </w:r>
      <w:r w:rsidRPr="004722A3">
        <w:rPr>
          <w:rFonts w:cs="Times New Roman"/>
          <w:sz w:val="24"/>
          <w:szCs w:val="24"/>
        </w:rPr>
        <w:t xml:space="preserve">policy agendas </w:t>
      </w:r>
      <w:r w:rsidR="00BF4E8A">
        <w:rPr>
          <w:rFonts w:cs="Times New Roman"/>
          <w:sz w:val="24"/>
          <w:szCs w:val="24"/>
        </w:rPr>
        <w:t>since the 1990’s. Here</w:t>
      </w:r>
      <w:r w:rsidR="004557F3">
        <w:rPr>
          <w:rFonts w:cs="Times New Roman"/>
          <w:sz w:val="24"/>
          <w:szCs w:val="24"/>
        </w:rPr>
        <w:t>,</w:t>
      </w:r>
      <w:r w:rsidRPr="004722A3">
        <w:rPr>
          <w:rFonts w:cs="Times New Roman"/>
          <w:sz w:val="24"/>
          <w:szCs w:val="24"/>
        </w:rPr>
        <w:t xml:space="preserve"> energy price </w:t>
      </w:r>
      <w:r w:rsidR="002428B3">
        <w:rPr>
          <w:rFonts w:cs="Times New Roman"/>
          <w:sz w:val="24"/>
          <w:szCs w:val="24"/>
        </w:rPr>
        <w:t xml:space="preserve">increases </w:t>
      </w:r>
      <w:r w:rsidRPr="004722A3">
        <w:rPr>
          <w:rFonts w:cs="Times New Roman"/>
          <w:sz w:val="24"/>
          <w:szCs w:val="24"/>
        </w:rPr>
        <w:t>have exceeded</w:t>
      </w:r>
      <w:r w:rsidR="002428B3">
        <w:rPr>
          <w:rFonts w:cs="Times New Roman"/>
          <w:sz w:val="24"/>
          <w:szCs w:val="24"/>
        </w:rPr>
        <w:t xml:space="preserve"> increases in</w:t>
      </w:r>
      <w:r w:rsidRPr="004722A3">
        <w:rPr>
          <w:rFonts w:cs="Times New Roman"/>
          <w:sz w:val="24"/>
          <w:szCs w:val="24"/>
        </w:rPr>
        <w:t xml:space="preserve"> household incomes and there is a legacy of hard-to-treat building</w:t>
      </w:r>
      <w:r w:rsidR="00BF4E8A">
        <w:rPr>
          <w:rFonts w:cs="Times New Roman"/>
          <w:sz w:val="24"/>
          <w:szCs w:val="24"/>
        </w:rPr>
        <w:t>s</w:t>
      </w:r>
      <w:r w:rsidRPr="004722A3">
        <w:rPr>
          <w:rFonts w:cs="Times New Roman"/>
          <w:sz w:val="24"/>
          <w:szCs w:val="24"/>
        </w:rPr>
        <w:t xml:space="preserve"> (Boardman 1991, Rudge 2012). However, the issue is not confined to the UK</w:t>
      </w:r>
      <w:r w:rsidR="004557F3">
        <w:rPr>
          <w:rFonts w:cs="Times New Roman"/>
          <w:sz w:val="24"/>
          <w:szCs w:val="24"/>
        </w:rPr>
        <w:t>,</w:t>
      </w:r>
      <w:r w:rsidRPr="004722A3">
        <w:rPr>
          <w:rFonts w:cs="Times New Roman"/>
          <w:sz w:val="24"/>
          <w:szCs w:val="24"/>
        </w:rPr>
        <w:t xml:space="preserve"> with an inability to access sufficient </w:t>
      </w:r>
      <w:r w:rsidR="00BF4E8A">
        <w:rPr>
          <w:rFonts w:cs="Times New Roman"/>
          <w:sz w:val="24"/>
          <w:szCs w:val="24"/>
        </w:rPr>
        <w:t xml:space="preserve">domestic </w:t>
      </w:r>
      <w:r w:rsidRPr="004722A3">
        <w:rPr>
          <w:rFonts w:cs="Times New Roman"/>
          <w:sz w:val="24"/>
          <w:szCs w:val="24"/>
        </w:rPr>
        <w:t xml:space="preserve">energy services documented across industrialised nations in Europe (Thomson and Snell 2013) and beyond </w:t>
      </w:r>
      <w:r w:rsidR="00DE191F">
        <w:rPr>
          <w:rFonts w:cs="Times New Roman"/>
          <w:sz w:val="24"/>
          <w:szCs w:val="24"/>
        </w:rPr>
        <w:t>(Harrison and Popke 2011</w:t>
      </w:r>
      <w:r w:rsidR="00565E64">
        <w:rPr>
          <w:rFonts w:cs="Times New Roman"/>
          <w:sz w:val="24"/>
          <w:szCs w:val="24"/>
        </w:rPr>
        <w:t>)</w:t>
      </w:r>
      <w:r w:rsidR="00DE191F">
        <w:rPr>
          <w:rFonts w:cs="Times New Roman"/>
          <w:sz w:val="24"/>
          <w:szCs w:val="24"/>
        </w:rPr>
        <w:t xml:space="preserve">. </w:t>
      </w:r>
    </w:p>
    <w:p w:rsidR="00DE191F" w:rsidRDefault="008B3788" w:rsidP="00C302DD">
      <w:pPr>
        <w:spacing w:line="360" w:lineRule="auto"/>
        <w:jc w:val="both"/>
        <w:rPr>
          <w:rFonts w:cs="Times New Roman"/>
          <w:sz w:val="24"/>
          <w:szCs w:val="24"/>
        </w:rPr>
      </w:pPr>
      <w:r w:rsidRPr="004722A3">
        <w:rPr>
          <w:rFonts w:cs="Times New Roman"/>
          <w:sz w:val="24"/>
          <w:szCs w:val="24"/>
        </w:rPr>
        <w:t>Increasingly</w:t>
      </w:r>
      <w:r w:rsidR="0049096B">
        <w:rPr>
          <w:rFonts w:cs="Times New Roman"/>
          <w:sz w:val="24"/>
          <w:szCs w:val="24"/>
        </w:rPr>
        <w:t>,</w:t>
      </w:r>
      <w:r w:rsidRPr="004722A3">
        <w:rPr>
          <w:rFonts w:cs="Times New Roman"/>
          <w:sz w:val="24"/>
          <w:szCs w:val="24"/>
        </w:rPr>
        <w:t xml:space="preserve"> </w:t>
      </w:r>
      <w:r w:rsidR="00BF4E8A">
        <w:rPr>
          <w:rFonts w:cs="Times New Roman"/>
          <w:sz w:val="24"/>
          <w:szCs w:val="24"/>
        </w:rPr>
        <w:t>research has</w:t>
      </w:r>
      <w:r w:rsidRPr="004722A3">
        <w:rPr>
          <w:rFonts w:cs="Times New Roman"/>
          <w:sz w:val="24"/>
          <w:szCs w:val="24"/>
        </w:rPr>
        <w:t xml:space="preserve"> sought to highlight the multi-dimensional and spatially-constituted nature </w:t>
      </w:r>
      <w:r w:rsidR="0049096B">
        <w:rPr>
          <w:rFonts w:cs="Times New Roman"/>
          <w:sz w:val="24"/>
          <w:szCs w:val="24"/>
        </w:rPr>
        <w:t xml:space="preserve">of </w:t>
      </w:r>
      <w:r w:rsidR="002428B3">
        <w:rPr>
          <w:rFonts w:cs="Times New Roman"/>
          <w:sz w:val="24"/>
          <w:szCs w:val="24"/>
        </w:rPr>
        <w:t>fuel poverty</w:t>
      </w:r>
      <w:r w:rsidRPr="004722A3">
        <w:rPr>
          <w:rFonts w:cs="Times New Roman"/>
          <w:sz w:val="24"/>
          <w:szCs w:val="24"/>
        </w:rPr>
        <w:t>. One way in</w:t>
      </w:r>
      <w:r w:rsidR="0049096B">
        <w:rPr>
          <w:rFonts w:cs="Times New Roman"/>
          <w:sz w:val="24"/>
          <w:szCs w:val="24"/>
        </w:rPr>
        <w:t xml:space="preserve"> which</w:t>
      </w:r>
      <w:r w:rsidRPr="004722A3">
        <w:rPr>
          <w:rFonts w:cs="Times New Roman"/>
          <w:sz w:val="24"/>
          <w:szCs w:val="24"/>
        </w:rPr>
        <w:t xml:space="preserve"> this has been achieved is using the concept of vulnerability that draws attention to the uneven social (Hall et al. 2013, Middlemiss and Gillard 2015) and socio-spatial distribution (Bouzarovski and Petrova 2015, Bouzarovski et al. 2017) of factors that enhance the likelihood of a household falling into fuel poverty. </w:t>
      </w:r>
      <w:r w:rsidR="00E1034B">
        <w:rPr>
          <w:rFonts w:cs="Times New Roman"/>
          <w:sz w:val="24"/>
          <w:szCs w:val="24"/>
        </w:rPr>
        <w:t>These socio-spatial vulnerability factors may include</w:t>
      </w:r>
      <w:r w:rsidR="004557F3">
        <w:rPr>
          <w:rFonts w:cs="Times New Roman"/>
          <w:sz w:val="24"/>
          <w:szCs w:val="24"/>
        </w:rPr>
        <w:t>,</w:t>
      </w:r>
      <w:r w:rsidR="00E1034B">
        <w:rPr>
          <w:rFonts w:cs="Times New Roman"/>
          <w:sz w:val="24"/>
          <w:szCs w:val="24"/>
        </w:rPr>
        <w:t xml:space="preserve"> but are not limited to: age, health, financial capacity, availability of state support, energy inefficiency in the built environment, high energy prices and the existence of social networks. </w:t>
      </w:r>
      <w:r w:rsidRPr="004722A3">
        <w:rPr>
          <w:rFonts w:cs="Times New Roman"/>
          <w:sz w:val="24"/>
          <w:szCs w:val="24"/>
        </w:rPr>
        <w:t xml:space="preserve">However, this approach </w:t>
      </w:r>
      <w:r w:rsidR="00103819">
        <w:rPr>
          <w:rFonts w:cs="Times New Roman"/>
          <w:sz w:val="24"/>
          <w:szCs w:val="24"/>
        </w:rPr>
        <w:t xml:space="preserve">has often not </w:t>
      </w:r>
      <w:r w:rsidR="007A5902">
        <w:rPr>
          <w:rFonts w:cs="Times New Roman"/>
          <w:sz w:val="24"/>
          <w:szCs w:val="24"/>
        </w:rPr>
        <w:t>been reflected</w:t>
      </w:r>
      <w:r w:rsidRPr="004722A3">
        <w:rPr>
          <w:rFonts w:cs="Times New Roman"/>
          <w:sz w:val="24"/>
          <w:szCs w:val="24"/>
        </w:rPr>
        <w:t xml:space="preserve"> in the measurement of fuel poverty in policy. In England, where measurement approaches have undergone considerable revision, both the former 10% indicator and the new Low Income </w:t>
      </w:r>
      <w:r w:rsidR="002428B3">
        <w:rPr>
          <w:rFonts w:cs="Times New Roman"/>
          <w:sz w:val="24"/>
          <w:szCs w:val="24"/>
        </w:rPr>
        <w:t>High Cost (LIHC) indicator are expenditure focuse</w:t>
      </w:r>
      <w:r w:rsidR="00BF4E8A">
        <w:rPr>
          <w:rFonts w:cs="Times New Roman"/>
          <w:sz w:val="24"/>
          <w:szCs w:val="24"/>
        </w:rPr>
        <w:t xml:space="preserve">d. </w:t>
      </w:r>
      <w:r w:rsidR="00BF4E8A" w:rsidRPr="00135C86">
        <w:rPr>
          <w:rFonts w:cs="Times New Roman"/>
          <w:sz w:val="24"/>
          <w:szCs w:val="24"/>
        </w:rPr>
        <w:t>Analysi</w:t>
      </w:r>
      <w:r w:rsidRPr="00135C86">
        <w:rPr>
          <w:rFonts w:cs="Times New Roman"/>
          <w:sz w:val="24"/>
          <w:szCs w:val="24"/>
        </w:rPr>
        <w:t>s of the spatial distribution of the indicators suggest</w:t>
      </w:r>
      <w:r w:rsidR="0049096B" w:rsidRPr="00135C86">
        <w:rPr>
          <w:rFonts w:cs="Times New Roman"/>
          <w:sz w:val="24"/>
          <w:szCs w:val="24"/>
        </w:rPr>
        <w:t>s</w:t>
      </w:r>
      <w:r w:rsidRPr="00135C86">
        <w:rPr>
          <w:rFonts w:cs="Times New Roman"/>
          <w:sz w:val="24"/>
          <w:szCs w:val="24"/>
        </w:rPr>
        <w:t xml:space="preserve"> that</w:t>
      </w:r>
      <w:r w:rsidRPr="00135C86">
        <w:rPr>
          <w:rFonts w:eastAsia="Times New Roman" w:cs="Times New Roman"/>
          <w:bCs/>
          <w:sz w:val="24"/>
          <w:szCs w:val="24"/>
          <w:lang w:eastAsia="en-GB"/>
        </w:rPr>
        <w:t xml:space="preserve"> each fuel poverty indicator captures ‘different notions of what it means to be fuel poor, representing particular </w:t>
      </w:r>
      <w:r w:rsidR="00135C86" w:rsidRPr="00135C86">
        <w:rPr>
          <w:rFonts w:eastAsia="Times New Roman" w:cs="Times New Roman"/>
          <w:bCs/>
          <w:sz w:val="24"/>
          <w:szCs w:val="24"/>
          <w:lang w:eastAsia="en-GB"/>
        </w:rPr>
        <w:t xml:space="preserve">socio-spatial </w:t>
      </w:r>
      <w:r w:rsidRPr="00135C86">
        <w:rPr>
          <w:rFonts w:eastAsia="Times New Roman" w:cs="Times New Roman"/>
          <w:bCs/>
          <w:sz w:val="24"/>
          <w:szCs w:val="24"/>
          <w:lang w:eastAsia="en-GB"/>
        </w:rPr>
        <w:t>vulnerabilities, potential injustices</w:t>
      </w:r>
      <w:r w:rsidR="00135C86" w:rsidRPr="00135C86">
        <w:rPr>
          <w:rFonts w:eastAsia="Times New Roman" w:cs="Times New Roman"/>
          <w:bCs/>
          <w:sz w:val="24"/>
          <w:szCs w:val="24"/>
          <w:lang w:eastAsia="en-GB"/>
        </w:rPr>
        <w:t xml:space="preserve"> and geographies of fuel poverty</w:t>
      </w:r>
      <w:r w:rsidRPr="00135C86">
        <w:rPr>
          <w:rFonts w:eastAsia="Times New Roman" w:cs="Times New Roman"/>
          <w:bCs/>
          <w:sz w:val="24"/>
          <w:szCs w:val="24"/>
          <w:lang w:eastAsia="en-GB"/>
        </w:rPr>
        <w:t>’ (</w:t>
      </w:r>
      <w:r w:rsidR="00FB11C5" w:rsidRPr="00135C86">
        <w:rPr>
          <w:rFonts w:eastAsia="Times New Roman" w:cs="Times New Roman"/>
          <w:bCs/>
          <w:sz w:val="24"/>
          <w:szCs w:val="24"/>
          <w:lang w:eastAsia="en-GB"/>
        </w:rPr>
        <w:t xml:space="preserve">Robinson </w:t>
      </w:r>
      <w:r w:rsidR="00FB11C5" w:rsidRPr="00135C86">
        <w:rPr>
          <w:rFonts w:eastAsia="Times New Roman" w:cs="Times New Roman"/>
          <w:bCs/>
          <w:i/>
          <w:sz w:val="24"/>
          <w:szCs w:val="24"/>
          <w:lang w:eastAsia="en-GB"/>
        </w:rPr>
        <w:t>et al.</w:t>
      </w:r>
      <w:r w:rsidR="000C2024" w:rsidRPr="00135C86">
        <w:rPr>
          <w:rFonts w:eastAsia="Times New Roman" w:cs="Times New Roman"/>
          <w:bCs/>
          <w:sz w:val="24"/>
          <w:szCs w:val="24"/>
          <w:lang w:eastAsia="en-GB"/>
        </w:rPr>
        <w:t xml:space="preserve"> 2017</w:t>
      </w:r>
      <w:r w:rsidR="00135C86" w:rsidRPr="00135C86">
        <w:rPr>
          <w:rFonts w:eastAsia="Times New Roman" w:cs="Times New Roman"/>
          <w:bCs/>
          <w:sz w:val="24"/>
          <w:szCs w:val="24"/>
          <w:lang w:eastAsia="en-GB"/>
        </w:rPr>
        <w:t>: 13</w:t>
      </w:r>
      <w:r w:rsidRPr="00135C86">
        <w:rPr>
          <w:rFonts w:eastAsia="Times New Roman" w:cs="Times New Roman"/>
          <w:bCs/>
          <w:sz w:val="24"/>
          <w:szCs w:val="24"/>
          <w:lang w:eastAsia="en-GB"/>
        </w:rPr>
        <w:t xml:space="preserve">). </w:t>
      </w:r>
      <w:r w:rsidRPr="004722A3">
        <w:rPr>
          <w:rFonts w:eastAsia="Times New Roman" w:cs="Times New Roman"/>
          <w:bCs/>
          <w:sz w:val="24"/>
          <w:szCs w:val="24"/>
          <w:lang w:eastAsia="en-GB"/>
        </w:rPr>
        <w:t>Neither</w:t>
      </w:r>
      <w:r w:rsidRPr="004722A3">
        <w:rPr>
          <w:rFonts w:cs="Times New Roman"/>
          <w:sz w:val="24"/>
          <w:szCs w:val="24"/>
        </w:rPr>
        <w:t xml:space="preserve"> </w:t>
      </w:r>
      <w:r w:rsidRPr="004722A3">
        <w:rPr>
          <w:rFonts w:cs="Times New Roman"/>
          <w:sz w:val="24"/>
          <w:szCs w:val="24"/>
        </w:rPr>
        <w:lastRenderedPageBreak/>
        <w:t xml:space="preserve">indicator succeeds in representing the diverse range of geographies apparent </w:t>
      </w:r>
      <w:r w:rsidR="00BF4E8A">
        <w:rPr>
          <w:rFonts w:cs="Times New Roman"/>
          <w:sz w:val="24"/>
          <w:szCs w:val="24"/>
        </w:rPr>
        <w:t>with</w:t>
      </w:r>
      <w:r w:rsidRPr="004722A3">
        <w:rPr>
          <w:rFonts w:cs="Times New Roman"/>
          <w:sz w:val="24"/>
          <w:szCs w:val="24"/>
        </w:rPr>
        <w:t xml:space="preserve">in wider </w:t>
      </w:r>
      <w:r w:rsidR="002428B3">
        <w:rPr>
          <w:rFonts w:cs="Times New Roman"/>
          <w:sz w:val="24"/>
          <w:szCs w:val="24"/>
        </w:rPr>
        <w:t>r</w:t>
      </w:r>
      <w:r w:rsidR="00FB11C5">
        <w:rPr>
          <w:rFonts w:cs="Times New Roman"/>
          <w:sz w:val="24"/>
          <w:szCs w:val="24"/>
        </w:rPr>
        <w:t>esearch.</w:t>
      </w:r>
    </w:p>
    <w:p w:rsidR="008B3788" w:rsidRPr="004722A3" w:rsidRDefault="008B3788" w:rsidP="00C302DD">
      <w:pPr>
        <w:spacing w:line="360" w:lineRule="auto"/>
        <w:jc w:val="both"/>
        <w:rPr>
          <w:rFonts w:cs="Times New Roman"/>
          <w:sz w:val="24"/>
          <w:szCs w:val="24"/>
        </w:rPr>
      </w:pPr>
      <w:r w:rsidRPr="004722A3">
        <w:rPr>
          <w:rFonts w:cs="Times New Roman"/>
          <w:sz w:val="24"/>
          <w:szCs w:val="24"/>
        </w:rPr>
        <w:t>The</w:t>
      </w:r>
      <w:r w:rsidRPr="004722A3">
        <w:rPr>
          <w:rFonts w:eastAsia="Times New Roman" w:cs="Times New Roman"/>
          <w:bCs/>
          <w:sz w:val="24"/>
          <w:szCs w:val="24"/>
          <w:lang w:eastAsia="en-GB"/>
        </w:rPr>
        <w:t xml:space="preserve"> objectives of this paper are threefold</w:t>
      </w:r>
      <w:r w:rsidR="0049096B">
        <w:rPr>
          <w:rFonts w:eastAsia="Times New Roman" w:cs="Times New Roman"/>
          <w:bCs/>
          <w:sz w:val="24"/>
          <w:szCs w:val="24"/>
          <w:lang w:eastAsia="en-GB"/>
        </w:rPr>
        <w:t>:</w:t>
      </w:r>
      <w:r w:rsidRPr="004722A3">
        <w:rPr>
          <w:rFonts w:eastAsia="Times New Roman" w:cs="Times New Roman"/>
          <w:bCs/>
          <w:sz w:val="24"/>
          <w:szCs w:val="24"/>
          <w:lang w:eastAsia="en-GB"/>
        </w:rPr>
        <w:t xml:space="preserve"> to provide </w:t>
      </w:r>
      <w:r w:rsidRPr="004722A3">
        <w:rPr>
          <w:rFonts w:eastAsia="Times New Roman" w:cs="Times New Roman"/>
          <w:bCs/>
          <w:i/>
          <w:sz w:val="24"/>
          <w:szCs w:val="24"/>
          <w:lang w:eastAsia="en-GB"/>
        </w:rPr>
        <w:t>i)</w:t>
      </w:r>
      <w:r w:rsidRPr="004722A3">
        <w:rPr>
          <w:rFonts w:eastAsia="Times New Roman" w:cs="Times New Roman"/>
          <w:bCs/>
          <w:sz w:val="24"/>
          <w:szCs w:val="24"/>
          <w:lang w:eastAsia="en-GB"/>
        </w:rPr>
        <w:t xml:space="preserve"> insight into the socio-spatial vulnerabilities that each indicator prioritises or underrepresents, and in which neighbourhoods, </w:t>
      </w:r>
      <w:r w:rsidRPr="004722A3">
        <w:rPr>
          <w:rFonts w:eastAsia="Times New Roman" w:cs="Times New Roman"/>
          <w:bCs/>
          <w:i/>
          <w:sz w:val="24"/>
          <w:szCs w:val="24"/>
          <w:lang w:eastAsia="en-GB"/>
        </w:rPr>
        <w:t>ii)</w:t>
      </w:r>
      <w:r w:rsidRPr="004722A3">
        <w:rPr>
          <w:rFonts w:eastAsia="Times New Roman" w:cs="Times New Roman"/>
          <w:bCs/>
          <w:sz w:val="24"/>
          <w:szCs w:val="24"/>
          <w:lang w:eastAsia="en-GB"/>
        </w:rPr>
        <w:t xml:space="preserve"> further knowledge of the geographic characteristics of vulnerability to fuel poverty, and </w:t>
      </w:r>
      <w:r w:rsidRPr="004722A3">
        <w:rPr>
          <w:rFonts w:eastAsia="Times New Roman" w:cs="Times New Roman"/>
          <w:bCs/>
          <w:i/>
          <w:sz w:val="24"/>
          <w:szCs w:val="24"/>
          <w:lang w:eastAsia="en-GB"/>
        </w:rPr>
        <w:t>iiii)</w:t>
      </w:r>
      <w:r w:rsidRPr="004722A3">
        <w:rPr>
          <w:rFonts w:eastAsia="Times New Roman" w:cs="Times New Roman"/>
          <w:bCs/>
          <w:sz w:val="24"/>
          <w:szCs w:val="24"/>
          <w:lang w:eastAsia="en-GB"/>
        </w:rPr>
        <w:t xml:space="preserve"> a means of </w:t>
      </w:r>
      <w:r w:rsidRPr="004722A3">
        <w:rPr>
          <w:rFonts w:cs="Times New Roman"/>
          <w:sz w:val="24"/>
          <w:szCs w:val="24"/>
        </w:rPr>
        <w:t>challenging the indicators and associated policy to question why certain socio-spatial vulnerabilities are underrepresented within a particular neighbourhood. As debates concerned with place-based vulnerability to fuel poverty are relatively embryonic, to achieve this aim we draw upon the established literature concerned with deprivation more broadly in which the important contribution of place is better articulated. Our analysis is carried out at a neighbourhood scale</w:t>
      </w:r>
      <w:r w:rsidR="0049096B">
        <w:rPr>
          <w:rFonts w:cs="Times New Roman"/>
          <w:sz w:val="24"/>
          <w:szCs w:val="24"/>
        </w:rPr>
        <w:t>,</w:t>
      </w:r>
      <w:r w:rsidRPr="004722A3">
        <w:rPr>
          <w:rFonts w:cs="Times New Roman"/>
          <w:sz w:val="24"/>
          <w:szCs w:val="24"/>
        </w:rPr>
        <w:t xml:space="preserve"> considering the relationship between fuel poverty </w:t>
      </w:r>
      <w:r w:rsidR="00E1034B">
        <w:rPr>
          <w:rFonts w:cs="Times New Roman"/>
          <w:sz w:val="24"/>
          <w:szCs w:val="24"/>
        </w:rPr>
        <w:t>as understood by each indicator</w:t>
      </w:r>
      <w:r w:rsidRPr="004722A3">
        <w:rPr>
          <w:rFonts w:cs="Times New Roman"/>
          <w:sz w:val="24"/>
          <w:szCs w:val="24"/>
        </w:rPr>
        <w:t xml:space="preserve"> and a range of socio-economic, demographic and socio-technical characteristics</w:t>
      </w:r>
      <w:r w:rsidR="00E1034B">
        <w:rPr>
          <w:rFonts w:cs="Times New Roman"/>
          <w:sz w:val="24"/>
          <w:szCs w:val="24"/>
        </w:rPr>
        <w:t xml:space="preserve">. We </w:t>
      </w:r>
      <w:r w:rsidR="00837E49">
        <w:rPr>
          <w:rFonts w:cs="Times New Roman"/>
          <w:sz w:val="24"/>
          <w:szCs w:val="24"/>
        </w:rPr>
        <w:t>specifically</w:t>
      </w:r>
      <w:r w:rsidR="00E1034B">
        <w:rPr>
          <w:rFonts w:cs="Times New Roman"/>
          <w:sz w:val="24"/>
          <w:szCs w:val="24"/>
        </w:rPr>
        <w:t xml:space="preserve"> focus upon</w:t>
      </w:r>
      <w:r w:rsidR="00837E49">
        <w:rPr>
          <w:rFonts w:cs="Times New Roman"/>
          <w:sz w:val="24"/>
          <w:szCs w:val="24"/>
        </w:rPr>
        <w:t xml:space="preserve"> </w:t>
      </w:r>
      <w:r w:rsidR="004557F3">
        <w:rPr>
          <w:rFonts w:cs="Times New Roman"/>
          <w:sz w:val="24"/>
          <w:szCs w:val="24"/>
        </w:rPr>
        <w:t>those</w:t>
      </w:r>
      <w:r w:rsidR="00837E49">
        <w:rPr>
          <w:rFonts w:cs="Times New Roman"/>
          <w:sz w:val="24"/>
          <w:szCs w:val="24"/>
        </w:rPr>
        <w:t xml:space="preserve"> vulnerabilities associated with disability and illness, older age, families with young children, lone parent families, private renters and </w:t>
      </w:r>
      <w:r w:rsidR="00E1034B">
        <w:rPr>
          <w:rFonts w:cs="Times New Roman"/>
          <w:sz w:val="24"/>
          <w:szCs w:val="24"/>
        </w:rPr>
        <w:t>households without</w:t>
      </w:r>
      <w:r w:rsidR="00837E49">
        <w:rPr>
          <w:rFonts w:cs="Times New Roman"/>
          <w:sz w:val="24"/>
          <w:szCs w:val="24"/>
        </w:rPr>
        <w:t xml:space="preserve"> gas central heating</w:t>
      </w:r>
      <w:r w:rsidR="007A5902">
        <w:rPr>
          <w:rFonts w:cs="Times New Roman"/>
          <w:sz w:val="24"/>
          <w:szCs w:val="24"/>
        </w:rPr>
        <w:t xml:space="preserve">. An </w:t>
      </w:r>
      <w:r w:rsidRPr="004722A3">
        <w:rPr>
          <w:rFonts w:cs="Times New Roman"/>
          <w:sz w:val="24"/>
          <w:szCs w:val="24"/>
        </w:rPr>
        <w:t>Ordinary Least Squares (OLS) linear regression</w:t>
      </w:r>
      <w:r w:rsidR="007A5902">
        <w:rPr>
          <w:rFonts w:cs="Times New Roman"/>
          <w:sz w:val="24"/>
          <w:szCs w:val="24"/>
        </w:rPr>
        <w:t xml:space="preserve"> technique is </w:t>
      </w:r>
      <w:r w:rsidR="004557F3">
        <w:rPr>
          <w:rFonts w:cs="Times New Roman"/>
          <w:sz w:val="24"/>
          <w:szCs w:val="24"/>
        </w:rPr>
        <w:t>carried out</w:t>
      </w:r>
      <w:r w:rsidRPr="004722A3">
        <w:rPr>
          <w:rFonts w:cs="Times New Roman"/>
          <w:sz w:val="24"/>
          <w:szCs w:val="24"/>
        </w:rPr>
        <w:t xml:space="preserve">. </w:t>
      </w:r>
      <w:r w:rsidR="00565E64">
        <w:rPr>
          <w:rFonts w:cs="Times New Roman"/>
          <w:sz w:val="24"/>
          <w:szCs w:val="24"/>
        </w:rPr>
        <w:t>P</w:t>
      </w:r>
      <w:r w:rsidRPr="004722A3">
        <w:rPr>
          <w:rFonts w:cs="Times New Roman"/>
          <w:sz w:val="24"/>
          <w:szCs w:val="24"/>
        </w:rPr>
        <w:t xml:space="preserve">lace-based effects and the influence of surrounding neighbourhoods upon these relationships are </w:t>
      </w:r>
      <w:r w:rsidR="00E1034B">
        <w:rPr>
          <w:rFonts w:cs="Times New Roman"/>
          <w:sz w:val="24"/>
          <w:szCs w:val="24"/>
        </w:rPr>
        <w:t xml:space="preserve">also </w:t>
      </w:r>
      <w:r w:rsidRPr="004722A3">
        <w:rPr>
          <w:rFonts w:cs="Times New Roman"/>
          <w:sz w:val="24"/>
          <w:szCs w:val="24"/>
        </w:rPr>
        <w:t xml:space="preserve">considered </w:t>
      </w:r>
      <w:r w:rsidR="002428B3">
        <w:rPr>
          <w:rFonts w:cs="Times New Roman"/>
          <w:sz w:val="24"/>
          <w:szCs w:val="24"/>
        </w:rPr>
        <w:t xml:space="preserve">using </w:t>
      </w:r>
      <w:r w:rsidR="00D16E3C">
        <w:rPr>
          <w:rFonts w:cs="Times New Roman"/>
          <w:sz w:val="24"/>
          <w:szCs w:val="24"/>
        </w:rPr>
        <w:t>Geographically Weighted Regression (</w:t>
      </w:r>
      <w:r w:rsidRPr="004722A3">
        <w:rPr>
          <w:rFonts w:cs="Times New Roman"/>
          <w:sz w:val="24"/>
          <w:szCs w:val="24"/>
        </w:rPr>
        <w:t>GWR</w:t>
      </w:r>
      <w:r w:rsidR="00D16E3C">
        <w:rPr>
          <w:rFonts w:cs="Times New Roman"/>
          <w:sz w:val="24"/>
          <w:szCs w:val="24"/>
        </w:rPr>
        <w:t>)</w:t>
      </w:r>
      <w:r w:rsidRPr="004722A3">
        <w:rPr>
          <w:rFonts w:cs="Times New Roman"/>
          <w:sz w:val="24"/>
          <w:szCs w:val="24"/>
        </w:rPr>
        <w:t xml:space="preserve"> </w:t>
      </w:r>
      <w:r w:rsidR="002428B3">
        <w:rPr>
          <w:rFonts w:cs="Times New Roman"/>
          <w:sz w:val="24"/>
          <w:szCs w:val="24"/>
        </w:rPr>
        <w:t>to account</w:t>
      </w:r>
      <w:r w:rsidRPr="004722A3">
        <w:rPr>
          <w:rFonts w:cs="Times New Roman"/>
          <w:sz w:val="24"/>
          <w:szCs w:val="24"/>
        </w:rPr>
        <w:t xml:space="preserve"> for local variability in regression statistics (Fotheringham et al. 2003). Whilst </w:t>
      </w:r>
      <w:r w:rsidR="00565E64">
        <w:rPr>
          <w:rFonts w:cs="Times New Roman"/>
          <w:sz w:val="24"/>
          <w:szCs w:val="24"/>
        </w:rPr>
        <w:t>the</w:t>
      </w:r>
      <w:r w:rsidRPr="004722A3">
        <w:rPr>
          <w:rFonts w:cs="Times New Roman"/>
          <w:sz w:val="24"/>
          <w:szCs w:val="24"/>
        </w:rPr>
        <w:t xml:space="preserve"> a</w:t>
      </w:r>
      <w:r w:rsidR="00D16E3C">
        <w:rPr>
          <w:rFonts w:cs="Times New Roman"/>
          <w:sz w:val="24"/>
          <w:szCs w:val="24"/>
        </w:rPr>
        <w:t>nalysis focuses upon England</w:t>
      </w:r>
      <w:r w:rsidR="0049096B">
        <w:rPr>
          <w:rFonts w:cs="Times New Roman"/>
          <w:sz w:val="24"/>
          <w:szCs w:val="24"/>
        </w:rPr>
        <w:t>,</w:t>
      </w:r>
      <w:r w:rsidR="00D16E3C">
        <w:rPr>
          <w:rFonts w:cs="Times New Roman"/>
          <w:sz w:val="24"/>
          <w:szCs w:val="24"/>
        </w:rPr>
        <w:t xml:space="preserve"> our</w:t>
      </w:r>
      <w:r w:rsidRPr="004722A3">
        <w:rPr>
          <w:rFonts w:cs="Times New Roman"/>
          <w:sz w:val="24"/>
          <w:szCs w:val="24"/>
        </w:rPr>
        <w:t xml:space="preserve"> findings have wider significance for those interested in </w:t>
      </w:r>
      <w:r w:rsidR="00565E64">
        <w:rPr>
          <w:rFonts w:cs="Times New Roman"/>
          <w:sz w:val="24"/>
          <w:szCs w:val="24"/>
        </w:rPr>
        <w:t xml:space="preserve">the use of </w:t>
      </w:r>
      <w:r w:rsidRPr="004722A3">
        <w:rPr>
          <w:rFonts w:cs="Times New Roman"/>
          <w:sz w:val="24"/>
          <w:szCs w:val="24"/>
        </w:rPr>
        <w:t xml:space="preserve">indicator-based methods to measure and monitor fuel poverty (whether in research, policy or practice), and more broadly in the geography of fuel poverty. </w:t>
      </w:r>
    </w:p>
    <w:p w:rsidR="00565E64" w:rsidRPr="004722A3" w:rsidRDefault="00565E64" w:rsidP="00C302DD">
      <w:pPr>
        <w:spacing w:line="360" w:lineRule="auto"/>
        <w:jc w:val="both"/>
        <w:rPr>
          <w:rFonts w:cs="Times New Roman"/>
          <w:sz w:val="24"/>
          <w:szCs w:val="24"/>
        </w:rPr>
      </w:pPr>
    </w:p>
    <w:p w:rsidR="008B3788" w:rsidRPr="00DE191F" w:rsidRDefault="008B3788" w:rsidP="00C302DD">
      <w:pPr>
        <w:spacing w:line="360" w:lineRule="auto"/>
        <w:jc w:val="both"/>
        <w:rPr>
          <w:rFonts w:eastAsiaTheme="majorEastAsia" w:cs="Times New Roman"/>
          <w:b/>
          <w:bCs/>
          <w:sz w:val="24"/>
          <w:szCs w:val="24"/>
        </w:rPr>
      </w:pPr>
      <w:r w:rsidRPr="00DE191F">
        <w:rPr>
          <w:rFonts w:eastAsiaTheme="majorEastAsia" w:cs="Times New Roman"/>
          <w:b/>
          <w:bCs/>
          <w:sz w:val="24"/>
          <w:szCs w:val="24"/>
        </w:rPr>
        <w:t xml:space="preserve">A place-based understanding of deprivation </w:t>
      </w:r>
    </w:p>
    <w:p w:rsidR="002E7F6F" w:rsidRDefault="008B3788" w:rsidP="00C302DD">
      <w:pPr>
        <w:spacing w:line="360" w:lineRule="auto"/>
        <w:jc w:val="both"/>
        <w:rPr>
          <w:rFonts w:cs="Times New Roman"/>
          <w:sz w:val="24"/>
          <w:szCs w:val="24"/>
        </w:rPr>
      </w:pPr>
      <w:r w:rsidRPr="004722A3">
        <w:rPr>
          <w:rFonts w:cs="Times New Roman"/>
          <w:sz w:val="24"/>
          <w:szCs w:val="24"/>
        </w:rPr>
        <w:t>The importance of geography and place is well established within research concerned with poverty, deprivation and di</w:t>
      </w:r>
      <w:r w:rsidR="000A0230">
        <w:rPr>
          <w:rFonts w:cs="Times New Roman"/>
          <w:sz w:val="24"/>
          <w:szCs w:val="24"/>
        </w:rPr>
        <w:t xml:space="preserve">sadvantage. </w:t>
      </w:r>
      <w:r w:rsidR="002E7F6F">
        <w:rPr>
          <w:rFonts w:cs="Times New Roman"/>
          <w:sz w:val="24"/>
          <w:szCs w:val="24"/>
        </w:rPr>
        <w:t>T</w:t>
      </w:r>
      <w:r w:rsidRPr="004722A3">
        <w:rPr>
          <w:rFonts w:cs="Times New Roman"/>
          <w:sz w:val="24"/>
          <w:szCs w:val="24"/>
        </w:rPr>
        <w:t>he general consensus is that where you live matters in addition to who you are (</w:t>
      </w:r>
      <w:r w:rsidR="005D5928">
        <w:rPr>
          <w:rFonts w:cs="Times New Roman"/>
          <w:sz w:val="24"/>
          <w:szCs w:val="24"/>
        </w:rPr>
        <w:t xml:space="preserve">e.g. </w:t>
      </w:r>
      <w:r w:rsidRPr="004722A3">
        <w:rPr>
          <w:rFonts w:cs="Times New Roman"/>
          <w:sz w:val="24"/>
          <w:szCs w:val="24"/>
        </w:rPr>
        <w:t xml:space="preserve">Dorling 2001, </w:t>
      </w:r>
      <w:r w:rsidR="005D5928">
        <w:rPr>
          <w:rFonts w:cs="Times New Roman"/>
          <w:sz w:val="24"/>
          <w:szCs w:val="24"/>
        </w:rPr>
        <w:t>Galste</w:t>
      </w:r>
      <w:r w:rsidR="004557F3">
        <w:rPr>
          <w:rFonts w:cs="Times New Roman"/>
          <w:sz w:val="24"/>
          <w:szCs w:val="24"/>
        </w:rPr>
        <w:t>r 2001</w:t>
      </w:r>
      <w:r w:rsidR="005D5928">
        <w:rPr>
          <w:rFonts w:cs="Times New Roman"/>
          <w:sz w:val="24"/>
          <w:szCs w:val="24"/>
        </w:rPr>
        <w:t xml:space="preserve">, Lupton 2003, </w:t>
      </w:r>
      <w:r w:rsidRPr="004722A3">
        <w:rPr>
          <w:rFonts w:cs="Times New Roman"/>
          <w:sz w:val="24"/>
          <w:szCs w:val="24"/>
        </w:rPr>
        <w:t xml:space="preserve">Macintyre et al. 2002). Place has an important role in ‘determining, shaping, and sometimes reinforcing deprivation’ (RTPI 2016: 2), contributing to what inspires and conditions </w:t>
      </w:r>
      <w:r w:rsidR="00D16E3C">
        <w:rPr>
          <w:rFonts w:cs="Times New Roman"/>
          <w:sz w:val="24"/>
          <w:szCs w:val="24"/>
        </w:rPr>
        <w:t>us</w:t>
      </w:r>
      <w:r w:rsidRPr="004722A3">
        <w:rPr>
          <w:rFonts w:cs="Times New Roman"/>
          <w:sz w:val="24"/>
          <w:szCs w:val="24"/>
        </w:rPr>
        <w:t xml:space="preserve">. </w:t>
      </w:r>
    </w:p>
    <w:p w:rsidR="008B3788" w:rsidRDefault="008B3788" w:rsidP="00C302DD">
      <w:pPr>
        <w:spacing w:line="360" w:lineRule="auto"/>
        <w:jc w:val="both"/>
        <w:rPr>
          <w:rFonts w:cs="Times New Roman"/>
          <w:sz w:val="24"/>
          <w:szCs w:val="24"/>
        </w:rPr>
      </w:pPr>
      <w:r w:rsidRPr="004722A3">
        <w:rPr>
          <w:rFonts w:cs="Times New Roman"/>
          <w:sz w:val="24"/>
          <w:szCs w:val="24"/>
        </w:rPr>
        <w:t xml:space="preserve">Neighbourhoods are described by Galster as a ‘bundling of spatially-based attributes’ (2001: 2111). This bundling can be understood as ‘socio-spatial’ as attributes including the physical </w:t>
      </w:r>
      <w:r w:rsidRPr="004722A3">
        <w:rPr>
          <w:rFonts w:cs="Times New Roman"/>
          <w:sz w:val="24"/>
          <w:szCs w:val="24"/>
        </w:rPr>
        <w:lastRenderedPageBreak/>
        <w:t xml:space="preserve">and built environment, infrastructure, demographics, class, local services, political characteristics and social networks converge in a particular place, as a result of geographical processes (Lindley et al. 2011). The socio-spatial characteristics of a neighbourhood </w:t>
      </w:r>
      <w:r w:rsidR="002E7F6F">
        <w:rPr>
          <w:rFonts w:cs="Times New Roman"/>
          <w:sz w:val="24"/>
          <w:szCs w:val="24"/>
        </w:rPr>
        <w:t>have a role to play in the</w:t>
      </w:r>
      <w:r w:rsidRPr="004722A3">
        <w:rPr>
          <w:rFonts w:cs="Times New Roman"/>
          <w:sz w:val="24"/>
          <w:szCs w:val="24"/>
        </w:rPr>
        <w:t xml:space="preserve"> socioeconomic outcome of, as well as the opportunities available to, a household or indi</w:t>
      </w:r>
      <w:r w:rsidR="00894D3A">
        <w:rPr>
          <w:rFonts w:cs="Times New Roman"/>
          <w:sz w:val="24"/>
          <w:szCs w:val="24"/>
        </w:rPr>
        <w:t>vidual (Dietz 2002</w:t>
      </w:r>
      <w:r w:rsidRPr="004722A3">
        <w:rPr>
          <w:rFonts w:cs="Times New Roman"/>
          <w:sz w:val="24"/>
          <w:szCs w:val="24"/>
        </w:rPr>
        <w:t>). There are several important characteristics that determine the interactions between a neighbourhood and the households that they are composed of, and with the wider regional and national context within which they operate</w:t>
      </w:r>
      <w:r w:rsidR="004557F3">
        <w:rPr>
          <w:rFonts w:cs="Times New Roman"/>
          <w:sz w:val="24"/>
          <w:szCs w:val="24"/>
        </w:rPr>
        <w:t>. Some characteristics are well-</w:t>
      </w:r>
      <w:r w:rsidRPr="004722A3">
        <w:rPr>
          <w:rFonts w:cs="Times New Roman"/>
          <w:sz w:val="24"/>
          <w:szCs w:val="24"/>
        </w:rPr>
        <w:t>established and difficult to alter, for example, the housing stock or economic base underpinning an area</w:t>
      </w:r>
      <w:r w:rsidR="005D5928">
        <w:rPr>
          <w:rFonts w:cs="Times New Roman"/>
          <w:sz w:val="24"/>
          <w:szCs w:val="24"/>
        </w:rPr>
        <w:t xml:space="preserve"> (Lupton 2003)</w:t>
      </w:r>
      <w:r w:rsidRPr="004722A3">
        <w:rPr>
          <w:rFonts w:cs="Times New Roman"/>
          <w:sz w:val="24"/>
          <w:szCs w:val="24"/>
        </w:rPr>
        <w:t>. Neighbourhoods also have a distinct composition and individuals with shared characteristics co</w:t>
      </w:r>
      <w:r w:rsidR="00565E64">
        <w:rPr>
          <w:rFonts w:cs="Times New Roman"/>
          <w:sz w:val="24"/>
          <w:szCs w:val="24"/>
        </w:rPr>
        <w:t>ncentrate in particular places</w:t>
      </w:r>
      <w:r w:rsidR="004557F3">
        <w:rPr>
          <w:rFonts w:cs="Times New Roman"/>
          <w:sz w:val="24"/>
          <w:szCs w:val="24"/>
        </w:rPr>
        <w:t>,</w:t>
      </w:r>
      <w:r w:rsidR="00565E64">
        <w:rPr>
          <w:rFonts w:cs="Times New Roman"/>
          <w:sz w:val="24"/>
          <w:szCs w:val="24"/>
        </w:rPr>
        <w:t xml:space="preserve"> </w:t>
      </w:r>
      <w:r w:rsidRPr="004722A3">
        <w:rPr>
          <w:rFonts w:cs="Times New Roman"/>
          <w:sz w:val="24"/>
          <w:szCs w:val="24"/>
        </w:rPr>
        <w:t xml:space="preserve">lending their collective attribute to the space, for example, income or life stage (Galster 2001). Despite these </w:t>
      </w:r>
      <w:r w:rsidR="005D5928">
        <w:rPr>
          <w:rFonts w:cs="Times New Roman"/>
          <w:sz w:val="24"/>
          <w:szCs w:val="24"/>
        </w:rPr>
        <w:t xml:space="preserve">relatively </w:t>
      </w:r>
      <w:r w:rsidRPr="004722A3">
        <w:rPr>
          <w:rFonts w:cs="Times New Roman"/>
          <w:sz w:val="24"/>
          <w:szCs w:val="24"/>
        </w:rPr>
        <w:t xml:space="preserve">established characteristics, neighbourhoods are not fixed within rigid </w:t>
      </w:r>
      <w:r w:rsidR="00D16E3C">
        <w:rPr>
          <w:rFonts w:cs="Times New Roman"/>
          <w:sz w:val="24"/>
          <w:szCs w:val="24"/>
        </w:rPr>
        <w:t xml:space="preserve">boundaries (Massey 1994), as </w:t>
      </w:r>
      <w:r w:rsidRPr="004722A3">
        <w:rPr>
          <w:rFonts w:cs="Times New Roman"/>
          <w:sz w:val="24"/>
          <w:szCs w:val="24"/>
        </w:rPr>
        <w:t>is often necessary to assume in analyses of this scale given the limitations of administrative datasets. Rather the neighbourhood is influenced by the wider context within which it sits, engaging with the regional and national mechanisms that control wider socio-economic resources or capacities that contribute towards localised deprivation</w:t>
      </w:r>
      <w:r w:rsidR="005F6025">
        <w:rPr>
          <w:rFonts w:cs="Times New Roman"/>
          <w:sz w:val="24"/>
          <w:szCs w:val="24"/>
        </w:rPr>
        <w:t>, in what Crossley (2017) terms ‘Westminster effects’ in the UK</w:t>
      </w:r>
      <w:r w:rsidR="004557F3">
        <w:rPr>
          <w:rFonts w:cs="Times New Roman"/>
          <w:sz w:val="24"/>
          <w:szCs w:val="24"/>
        </w:rPr>
        <w:t xml:space="preserve"> context</w:t>
      </w:r>
      <w:r w:rsidR="005F6025">
        <w:rPr>
          <w:rFonts w:cs="Times New Roman"/>
          <w:sz w:val="24"/>
          <w:szCs w:val="24"/>
        </w:rPr>
        <w:t xml:space="preserve">. </w:t>
      </w:r>
      <w:r w:rsidR="004557F3">
        <w:rPr>
          <w:rFonts w:cs="Times New Roman"/>
          <w:sz w:val="24"/>
          <w:szCs w:val="24"/>
        </w:rPr>
        <w:t>R</w:t>
      </w:r>
      <w:r w:rsidR="00565E64">
        <w:rPr>
          <w:rFonts w:cs="Times New Roman"/>
          <w:sz w:val="24"/>
          <w:szCs w:val="24"/>
        </w:rPr>
        <w:t>elationships</w:t>
      </w:r>
      <w:r w:rsidRPr="004722A3">
        <w:rPr>
          <w:rFonts w:cs="Times New Roman"/>
          <w:sz w:val="24"/>
          <w:szCs w:val="24"/>
        </w:rPr>
        <w:t xml:space="preserve"> </w:t>
      </w:r>
      <w:r w:rsidR="004557F3">
        <w:rPr>
          <w:rFonts w:cs="Times New Roman"/>
          <w:sz w:val="24"/>
          <w:szCs w:val="24"/>
        </w:rPr>
        <w:t xml:space="preserve">also </w:t>
      </w:r>
      <w:r w:rsidRPr="004722A3">
        <w:rPr>
          <w:rFonts w:cs="Times New Roman"/>
          <w:sz w:val="24"/>
          <w:szCs w:val="24"/>
        </w:rPr>
        <w:t xml:space="preserve">exist between </w:t>
      </w:r>
      <w:r w:rsidR="000A0230">
        <w:rPr>
          <w:rFonts w:cs="Times New Roman"/>
          <w:sz w:val="24"/>
          <w:szCs w:val="24"/>
        </w:rPr>
        <w:t>one neighbourhood and the next</w:t>
      </w:r>
      <w:r w:rsidR="00F22963">
        <w:rPr>
          <w:rFonts w:cs="Times New Roman"/>
          <w:sz w:val="24"/>
          <w:szCs w:val="24"/>
        </w:rPr>
        <w:t>.</w:t>
      </w:r>
      <w:r w:rsidR="004557F3">
        <w:rPr>
          <w:rFonts w:cs="Times New Roman"/>
          <w:sz w:val="24"/>
          <w:szCs w:val="24"/>
        </w:rPr>
        <w:t xml:space="preserve"> </w:t>
      </w:r>
    </w:p>
    <w:p w:rsidR="0058650E" w:rsidRDefault="0058650E" w:rsidP="00C302DD">
      <w:pPr>
        <w:spacing w:line="360" w:lineRule="auto"/>
        <w:jc w:val="both"/>
        <w:rPr>
          <w:rFonts w:cs="Times New Roman"/>
          <w:sz w:val="24"/>
          <w:szCs w:val="24"/>
        </w:rPr>
      </w:pPr>
    </w:p>
    <w:p w:rsidR="008B3788" w:rsidRPr="00DE191F" w:rsidRDefault="008B3788" w:rsidP="00C302DD">
      <w:pPr>
        <w:spacing w:line="360" w:lineRule="auto"/>
        <w:jc w:val="both"/>
        <w:rPr>
          <w:rFonts w:eastAsiaTheme="majorEastAsia" w:cs="Times New Roman"/>
          <w:b/>
          <w:bCs/>
          <w:sz w:val="24"/>
          <w:szCs w:val="24"/>
        </w:rPr>
      </w:pPr>
      <w:r w:rsidRPr="00DE191F">
        <w:rPr>
          <w:rFonts w:eastAsiaTheme="majorEastAsia" w:cs="Times New Roman"/>
          <w:b/>
          <w:bCs/>
          <w:sz w:val="24"/>
          <w:szCs w:val="24"/>
        </w:rPr>
        <w:t xml:space="preserve">Spatially variable vulnerability to fuel poverty </w:t>
      </w:r>
    </w:p>
    <w:p w:rsidR="00DE191F" w:rsidRPr="004722A3" w:rsidRDefault="008B3788" w:rsidP="00C302DD">
      <w:pPr>
        <w:spacing w:line="360" w:lineRule="auto"/>
        <w:jc w:val="both"/>
        <w:rPr>
          <w:rFonts w:cs="Times New Roman"/>
          <w:sz w:val="24"/>
          <w:szCs w:val="24"/>
        </w:rPr>
      </w:pPr>
      <w:r w:rsidRPr="004722A3">
        <w:rPr>
          <w:rFonts w:cs="Times New Roman"/>
          <w:sz w:val="24"/>
          <w:szCs w:val="24"/>
        </w:rPr>
        <w:t>In contrast to research concerned with deprivation more broadly, the i</w:t>
      </w:r>
      <w:r w:rsidR="004557F3">
        <w:rPr>
          <w:rFonts w:cs="Times New Roman"/>
          <w:sz w:val="24"/>
          <w:szCs w:val="24"/>
        </w:rPr>
        <w:t>mportant contribution of place towards a</w:t>
      </w:r>
      <w:r w:rsidRPr="004722A3">
        <w:rPr>
          <w:rFonts w:cs="Times New Roman"/>
          <w:sz w:val="24"/>
          <w:szCs w:val="24"/>
        </w:rPr>
        <w:t xml:space="preserve"> household</w:t>
      </w:r>
      <w:r w:rsidR="000A0230">
        <w:rPr>
          <w:rFonts w:cs="Times New Roman"/>
          <w:sz w:val="24"/>
          <w:szCs w:val="24"/>
        </w:rPr>
        <w:t>’</w:t>
      </w:r>
      <w:r w:rsidRPr="004722A3">
        <w:rPr>
          <w:rFonts w:cs="Times New Roman"/>
          <w:sz w:val="24"/>
          <w:szCs w:val="24"/>
        </w:rPr>
        <w:t xml:space="preserve">s inability to access sufficient energy services has only recently begun to be articulated. Several embryonic agendas have emerged that seek to understand in greater depth how fuel poverty, and associated negative outcomes for wellbeing, manifest in </w:t>
      </w:r>
      <w:r w:rsidR="004557F3">
        <w:rPr>
          <w:rFonts w:cs="Times New Roman"/>
          <w:sz w:val="24"/>
          <w:szCs w:val="24"/>
        </w:rPr>
        <w:t xml:space="preserve">certain </w:t>
      </w:r>
      <w:r w:rsidRPr="004722A3">
        <w:rPr>
          <w:rFonts w:cs="Times New Roman"/>
          <w:sz w:val="24"/>
          <w:szCs w:val="24"/>
        </w:rPr>
        <w:t>households. Systematic injustices are explored that arise throughout the system of energy provision in relation to the distribution of appropriate, affordable energy, the recognition of specific household’s energy needs and the procedures that lead to adequate domestic provision of energy (Walker and Day 2012). A capabilities framing is mobilised</w:t>
      </w:r>
      <w:r w:rsidR="005D5928">
        <w:rPr>
          <w:rFonts w:cs="Times New Roman"/>
          <w:sz w:val="24"/>
          <w:szCs w:val="24"/>
        </w:rPr>
        <w:t xml:space="preserve"> by Day et al. (2016)</w:t>
      </w:r>
      <w:r w:rsidRPr="004722A3">
        <w:rPr>
          <w:rFonts w:cs="Times New Roman"/>
          <w:sz w:val="24"/>
          <w:szCs w:val="24"/>
        </w:rPr>
        <w:t xml:space="preserve"> to understand the freedoms and opportunities people have to achieve wellbeing in relat</w:t>
      </w:r>
      <w:r w:rsidR="005D5928">
        <w:rPr>
          <w:rFonts w:cs="Times New Roman"/>
          <w:sz w:val="24"/>
          <w:szCs w:val="24"/>
        </w:rPr>
        <w:t xml:space="preserve">ion to domestic energy services. </w:t>
      </w:r>
      <w:r w:rsidRPr="004722A3">
        <w:rPr>
          <w:rFonts w:cs="Times New Roman"/>
          <w:sz w:val="24"/>
          <w:szCs w:val="24"/>
        </w:rPr>
        <w:t xml:space="preserve">The concept of vulnerability is also used to identify those factors that increase the </w:t>
      </w:r>
      <w:r w:rsidR="004557F3">
        <w:rPr>
          <w:rFonts w:cs="Times New Roman"/>
          <w:sz w:val="24"/>
          <w:szCs w:val="24"/>
        </w:rPr>
        <w:t>likelihood</w:t>
      </w:r>
      <w:r w:rsidRPr="004722A3">
        <w:rPr>
          <w:rFonts w:cs="Times New Roman"/>
          <w:sz w:val="24"/>
          <w:szCs w:val="24"/>
        </w:rPr>
        <w:t xml:space="preserve"> of a household falling into fuel poverty (Middlemiss and Gillard 2015, Bouzarovski and Petrova 2015, Bouzarovski et al. 2017). </w:t>
      </w:r>
      <w:r w:rsidRPr="004722A3">
        <w:rPr>
          <w:rFonts w:cs="Times New Roman"/>
          <w:sz w:val="24"/>
          <w:szCs w:val="24"/>
        </w:rPr>
        <w:lastRenderedPageBreak/>
        <w:t xml:space="preserve">Each </w:t>
      </w:r>
      <w:r w:rsidR="005D5928">
        <w:rPr>
          <w:rFonts w:cs="Times New Roman"/>
          <w:sz w:val="24"/>
          <w:szCs w:val="24"/>
        </w:rPr>
        <w:t xml:space="preserve">framing better articulates the </w:t>
      </w:r>
      <w:r w:rsidRPr="004722A3">
        <w:rPr>
          <w:rFonts w:cs="Times New Roman"/>
          <w:sz w:val="24"/>
          <w:szCs w:val="24"/>
        </w:rPr>
        <w:t>multi-dimensional nature of fuel poverty. In additio</w:t>
      </w:r>
      <w:r w:rsidR="005D5928">
        <w:rPr>
          <w:rFonts w:cs="Times New Roman"/>
          <w:sz w:val="24"/>
          <w:szCs w:val="24"/>
        </w:rPr>
        <w:t>n, to differing extents, the framings</w:t>
      </w:r>
      <w:r w:rsidRPr="004722A3">
        <w:rPr>
          <w:rFonts w:cs="Times New Roman"/>
          <w:sz w:val="24"/>
          <w:szCs w:val="24"/>
        </w:rPr>
        <w:t xml:space="preserve"> recognise the importance of geography and place in understanding the uneven distribution of fuel poverty (Bouzarovski and Petrova 2015, Bouzarovski and Simcock 2017). These debates are especially pertinent in the context of new challenges of inequality and poverty as a result of the Global Financial Crisis and austerity </w:t>
      </w:r>
      <w:r w:rsidR="000A0230">
        <w:rPr>
          <w:rFonts w:cs="Times New Roman"/>
          <w:sz w:val="24"/>
          <w:szCs w:val="24"/>
        </w:rPr>
        <w:t xml:space="preserve">policies </w:t>
      </w:r>
      <w:r w:rsidRPr="004722A3">
        <w:rPr>
          <w:rFonts w:cs="Times New Roman"/>
          <w:sz w:val="24"/>
          <w:szCs w:val="24"/>
        </w:rPr>
        <w:t xml:space="preserve">(Hall et al. 2013). </w:t>
      </w:r>
    </w:p>
    <w:p w:rsidR="00813185" w:rsidRDefault="008B3788" w:rsidP="00C302DD">
      <w:pPr>
        <w:spacing w:line="360" w:lineRule="auto"/>
        <w:jc w:val="both"/>
        <w:rPr>
          <w:rFonts w:cs="Times New Roman"/>
          <w:sz w:val="24"/>
          <w:szCs w:val="24"/>
        </w:rPr>
      </w:pPr>
      <w:r w:rsidRPr="004722A3">
        <w:rPr>
          <w:rFonts w:cs="Times New Roman"/>
          <w:sz w:val="24"/>
          <w:szCs w:val="24"/>
        </w:rPr>
        <w:t xml:space="preserve">In this analysis we draw primarily upon </w:t>
      </w:r>
      <w:r w:rsidR="007A5902">
        <w:rPr>
          <w:rFonts w:cs="Times New Roman"/>
          <w:sz w:val="24"/>
          <w:szCs w:val="24"/>
        </w:rPr>
        <w:t xml:space="preserve">the concept of </w:t>
      </w:r>
      <w:r w:rsidRPr="004722A3">
        <w:rPr>
          <w:rFonts w:cs="Times New Roman"/>
          <w:sz w:val="24"/>
          <w:szCs w:val="24"/>
        </w:rPr>
        <w:t xml:space="preserve">vulnerability which </w:t>
      </w:r>
      <w:r w:rsidR="007A5902">
        <w:rPr>
          <w:rFonts w:cs="Times New Roman"/>
          <w:sz w:val="24"/>
          <w:szCs w:val="24"/>
        </w:rPr>
        <w:t xml:space="preserve">draws </w:t>
      </w:r>
      <w:r w:rsidRPr="004722A3">
        <w:rPr>
          <w:rFonts w:cs="Times New Roman"/>
          <w:sz w:val="24"/>
          <w:szCs w:val="24"/>
        </w:rPr>
        <w:t>attention to the spatially variable nature of factors t</w:t>
      </w:r>
      <w:r w:rsidR="000A0230">
        <w:rPr>
          <w:rFonts w:cs="Times New Roman"/>
          <w:sz w:val="24"/>
          <w:szCs w:val="24"/>
        </w:rPr>
        <w:t xml:space="preserve">hat enhance the likelihood of a </w:t>
      </w:r>
      <w:r w:rsidRPr="004722A3">
        <w:rPr>
          <w:rFonts w:cs="Times New Roman"/>
          <w:sz w:val="24"/>
          <w:szCs w:val="24"/>
        </w:rPr>
        <w:t>household experiencing fuel poverty. Vuln</w:t>
      </w:r>
      <w:r w:rsidR="00813185">
        <w:rPr>
          <w:rFonts w:cs="Times New Roman"/>
          <w:sz w:val="24"/>
          <w:szCs w:val="24"/>
        </w:rPr>
        <w:t xml:space="preserve">erability is understood </w:t>
      </w:r>
      <w:r w:rsidR="00837E49">
        <w:rPr>
          <w:rFonts w:cs="Times New Roman"/>
          <w:sz w:val="24"/>
          <w:szCs w:val="24"/>
        </w:rPr>
        <w:t xml:space="preserve">as </w:t>
      </w:r>
      <w:r w:rsidR="00813185">
        <w:rPr>
          <w:rFonts w:cs="Times New Roman"/>
          <w:sz w:val="24"/>
          <w:szCs w:val="24"/>
        </w:rPr>
        <w:t>the:</w:t>
      </w:r>
    </w:p>
    <w:p w:rsidR="00813185" w:rsidRPr="00813185" w:rsidRDefault="00DE191F" w:rsidP="00C302DD">
      <w:pPr>
        <w:spacing w:line="360" w:lineRule="auto"/>
        <w:ind w:left="720"/>
        <w:jc w:val="both"/>
        <w:rPr>
          <w:rFonts w:cs="Times New Roman"/>
          <w:sz w:val="24"/>
          <w:szCs w:val="24"/>
        </w:rPr>
      </w:pPr>
      <w:r w:rsidRPr="00813185">
        <w:rPr>
          <w:rFonts w:cs="Times New Roman"/>
          <w:sz w:val="24"/>
          <w:szCs w:val="24"/>
        </w:rPr>
        <w:t>‘</w:t>
      </w:r>
      <w:r w:rsidR="00F22963">
        <w:rPr>
          <w:rFonts w:cs="Times New Roman"/>
          <w:sz w:val="24"/>
          <w:szCs w:val="24"/>
        </w:rPr>
        <w:t xml:space="preserve">degree of susceptibility to... </w:t>
      </w:r>
      <w:r w:rsidR="008B3788" w:rsidRPr="00813185">
        <w:rPr>
          <w:rFonts w:cs="Times New Roman"/>
          <w:sz w:val="24"/>
          <w:szCs w:val="24"/>
        </w:rPr>
        <w:t>stresses, which is not sufficiently counterbalanced by capacities to resist negative impacts in the medium to long term, and to maint</w:t>
      </w:r>
      <w:r w:rsidRPr="00813185">
        <w:rPr>
          <w:rFonts w:cs="Times New Roman"/>
          <w:sz w:val="24"/>
          <w:szCs w:val="24"/>
        </w:rPr>
        <w:t>ain levels of overall wellbeing’</w:t>
      </w:r>
      <w:r w:rsidR="008B3788" w:rsidRPr="00813185">
        <w:rPr>
          <w:rFonts w:cs="Times New Roman"/>
          <w:sz w:val="24"/>
          <w:szCs w:val="24"/>
        </w:rPr>
        <w:t xml:space="preserve"> </w:t>
      </w:r>
      <w:r w:rsidRPr="00813185">
        <w:rPr>
          <w:rFonts w:cs="Times New Roman"/>
          <w:sz w:val="24"/>
          <w:szCs w:val="24"/>
        </w:rPr>
        <w:t>(</w:t>
      </w:r>
      <w:r w:rsidR="00837E49">
        <w:rPr>
          <w:rFonts w:cs="Times New Roman"/>
          <w:sz w:val="24"/>
          <w:szCs w:val="24"/>
        </w:rPr>
        <w:t xml:space="preserve">Allen </w:t>
      </w:r>
      <w:r w:rsidRPr="00813185">
        <w:rPr>
          <w:rFonts w:cs="Times New Roman"/>
          <w:sz w:val="24"/>
          <w:szCs w:val="24"/>
        </w:rPr>
        <w:t xml:space="preserve">2003: 170). </w:t>
      </w:r>
    </w:p>
    <w:p w:rsidR="00DE191F" w:rsidRPr="004722A3" w:rsidRDefault="008B3788" w:rsidP="00C302DD">
      <w:pPr>
        <w:spacing w:line="360" w:lineRule="auto"/>
        <w:jc w:val="both"/>
        <w:rPr>
          <w:rFonts w:cs="Times New Roman"/>
          <w:sz w:val="24"/>
          <w:szCs w:val="24"/>
        </w:rPr>
      </w:pPr>
      <w:r w:rsidRPr="004722A3">
        <w:rPr>
          <w:rFonts w:cs="Times New Roman"/>
          <w:sz w:val="24"/>
          <w:szCs w:val="24"/>
        </w:rPr>
        <w:t>This degree of susceptibility to a stress, in this instance a lack of appropriate energy services, is determined by a range of personal, social, economic, socio-techn</w:t>
      </w:r>
      <w:r w:rsidR="00837E49">
        <w:rPr>
          <w:rFonts w:cs="Times New Roman"/>
          <w:sz w:val="24"/>
          <w:szCs w:val="24"/>
        </w:rPr>
        <w:t>ical and institutional factors</w:t>
      </w:r>
      <w:r w:rsidR="00F22963">
        <w:rPr>
          <w:rFonts w:cs="Times New Roman"/>
          <w:sz w:val="24"/>
          <w:szCs w:val="24"/>
        </w:rPr>
        <w:t>,</w:t>
      </w:r>
      <w:r w:rsidR="00837E49">
        <w:rPr>
          <w:rFonts w:cs="Times New Roman"/>
          <w:sz w:val="24"/>
          <w:szCs w:val="24"/>
        </w:rPr>
        <w:t xml:space="preserve"> as evidenced by </w:t>
      </w:r>
      <w:r w:rsidRPr="004722A3">
        <w:rPr>
          <w:rFonts w:cs="Times New Roman"/>
          <w:sz w:val="24"/>
          <w:szCs w:val="24"/>
        </w:rPr>
        <w:t xml:space="preserve">Cutter </w:t>
      </w:r>
      <w:r w:rsidR="00837E49">
        <w:rPr>
          <w:rFonts w:cs="Times New Roman"/>
          <w:sz w:val="24"/>
          <w:szCs w:val="24"/>
        </w:rPr>
        <w:t>(</w:t>
      </w:r>
      <w:r w:rsidRPr="004722A3">
        <w:rPr>
          <w:rFonts w:cs="Times New Roman"/>
          <w:sz w:val="24"/>
          <w:szCs w:val="24"/>
        </w:rPr>
        <w:t>2003</w:t>
      </w:r>
      <w:r w:rsidR="00837E49">
        <w:rPr>
          <w:rFonts w:cs="Times New Roman"/>
          <w:sz w:val="24"/>
          <w:szCs w:val="24"/>
        </w:rPr>
        <w:t>) and</w:t>
      </w:r>
      <w:r w:rsidRPr="004722A3">
        <w:rPr>
          <w:rFonts w:cs="Times New Roman"/>
          <w:sz w:val="24"/>
          <w:szCs w:val="24"/>
        </w:rPr>
        <w:t xml:space="preserve"> Adger </w:t>
      </w:r>
      <w:r w:rsidR="00837E49">
        <w:rPr>
          <w:rFonts w:cs="Times New Roman"/>
          <w:sz w:val="24"/>
          <w:szCs w:val="24"/>
        </w:rPr>
        <w:t>(</w:t>
      </w:r>
      <w:r w:rsidRPr="004722A3">
        <w:rPr>
          <w:rFonts w:cs="Times New Roman"/>
          <w:sz w:val="24"/>
          <w:szCs w:val="24"/>
        </w:rPr>
        <w:t xml:space="preserve">2006). These factors can be combined with aspects of place to identify socio-spatial vulnerability, the geographical expression of the losses of wellbeing that </w:t>
      </w:r>
      <w:r w:rsidR="00DE191F">
        <w:rPr>
          <w:rFonts w:cs="Times New Roman"/>
          <w:sz w:val="24"/>
          <w:szCs w:val="24"/>
        </w:rPr>
        <w:t>can</w:t>
      </w:r>
      <w:r w:rsidRPr="004722A3">
        <w:rPr>
          <w:rFonts w:cs="Times New Roman"/>
          <w:sz w:val="24"/>
          <w:szCs w:val="24"/>
        </w:rPr>
        <w:t xml:space="preserve"> result from a particular stress (Lindley et al. 2011). Drawing upon this concept of vulnerability, Bouzarovski et al. theorise fuel poverty as a </w:t>
      </w:r>
      <w:r w:rsidR="00894D3A">
        <w:rPr>
          <w:rFonts w:cs="Times New Roman"/>
          <w:sz w:val="24"/>
          <w:szCs w:val="24"/>
        </w:rPr>
        <w:t>‘socio-spatial phenomenon’ (</w:t>
      </w:r>
      <w:r w:rsidRPr="004722A3">
        <w:rPr>
          <w:rFonts w:cs="Times New Roman"/>
          <w:sz w:val="24"/>
          <w:szCs w:val="24"/>
        </w:rPr>
        <w:t>2017</w:t>
      </w:r>
      <w:r w:rsidR="00894D3A">
        <w:rPr>
          <w:rFonts w:cs="Times New Roman"/>
          <w:sz w:val="24"/>
          <w:szCs w:val="24"/>
        </w:rPr>
        <w:t>: 35</w:t>
      </w:r>
      <w:r w:rsidRPr="004722A3">
        <w:rPr>
          <w:rFonts w:cs="Times New Roman"/>
          <w:sz w:val="24"/>
          <w:szCs w:val="24"/>
        </w:rPr>
        <w:t xml:space="preserve">). </w:t>
      </w:r>
    </w:p>
    <w:p w:rsidR="009A26CF" w:rsidRDefault="008B3788" w:rsidP="00C302DD">
      <w:pPr>
        <w:spacing w:line="360" w:lineRule="auto"/>
        <w:jc w:val="both"/>
        <w:rPr>
          <w:rFonts w:cs="Times New Roman"/>
          <w:sz w:val="24"/>
          <w:szCs w:val="24"/>
        </w:rPr>
      </w:pPr>
      <w:r w:rsidRPr="004722A3">
        <w:rPr>
          <w:rFonts w:cs="Times New Roman"/>
          <w:sz w:val="24"/>
          <w:szCs w:val="24"/>
        </w:rPr>
        <w:t>Bouzarovski and Petrova (2015) identify six vulnerability dimensions that can inhibit the effective operation of socio-technical pathways that allow for sufficient energy services in the home. Two dimensions relate to the traditional drivers of fuel poverty: affordability and energy ef</w:t>
      </w:r>
      <w:r w:rsidR="00565E64">
        <w:rPr>
          <w:rFonts w:cs="Times New Roman"/>
          <w:sz w:val="24"/>
          <w:szCs w:val="24"/>
        </w:rPr>
        <w:t>ficiency. Four additional dimensions</w:t>
      </w:r>
      <w:r w:rsidRPr="004722A3">
        <w:rPr>
          <w:rFonts w:cs="Times New Roman"/>
          <w:sz w:val="24"/>
          <w:szCs w:val="24"/>
        </w:rPr>
        <w:t xml:space="preserve"> are also documented: access, flexibility, needs and</w:t>
      </w:r>
      <w:r w:rsidR="00565E64">
        <w:rPr>
          <w:rFonts w:cs="Times New Roman"/>
          <w:sz w:val="24"/>
          <w:szCs w:val="24"/>
        </w:rPr>
        <w:t xml:space="preserve"> practices. Access refers to a</w:t>
      </w:r>
      <w:r w:rsidRPr="004722A3">
        <w:rPr>
          <w:rFonts w:cs="Times New Roman"/>
          <w:sz w:val="24"/>
          <w:szCs w:val="24"/>
        </w:rPr>
        <w:t xml:space="preserve"> lack of </w:t>
      </w:r>
      <w:r w:rsidR="00DE191F">
        <w:rPr>
          <w:rFonts w:cs="Times New Roman"/>
          <w:sz w:val="24"/>
          <w:szCs w:val="24"/>
        </w:rPr>
        <w:t xml:space="preserve">appropriate </w:t>
      </w:r>
      <w:r w:rsidRPr="004722A3">
        <w:rPr>
          <w:rFonts w:cs="Times New Roman"/>
          <w:sz w:val="24"/>
          <w:szCs w:val="24"/>
        </w:rPr>
        <w:t>fuel types given a households required energy services; flexibility is concerned with the ability of a household to switch to energy services that meet their specific needs; needs recognises the disparity b</w:t>
      </w:r>
      <w:r w:rsidR="00DE191F">
        <w:rPr>
          <w:rFonts w:cs="Times New Roman"/>
          <w:sz w:val="24"/>
          <w:szCs w:val="24"/>
        </w:rPr>
        <w:t>etween a households requirement</w:t>
      </w:r>
      <w:r w:rsidRPr="004722A3">
        <w:rPr>
          <w:rFonts w:cs="Times New Roman"/>
          <w:sz w:val="24"/>
          <w:szCs w:val="24"/>
        </w:rPr>
        <w:t xml:space="preserve"> </w:t>
      </w:r>
      <w:r w:rsidR="00DE191F" w:rsidRPr="004722A3">
        <w:rPr>
          <w:rFonts w:cs="Times New Roman"/>
          <w:sz w:val="24"/>
          <w:szCs w:val="24"/>
        </w:rPr>
        <w:t xml:space="preserve">for energy services </w:t>
      </w:r>
      <w:r w:rsidRPr="004722A3">
        <w:rPr>
          <w:rFonts w:cs="Times New Roman"/>
          <w:sz w:val="24"/>
          <w:szCs w:val="24"/>
        </w:rPr>
        <w:t>socially, culturally and economically</w:t>
      </w:r>
      <w:r w:rsidR="00DE191F">
        <w:rPr>
          <w:rFonts w:cs="Times New Roman"/>
          <w:sz w:val="24"/>
          <w:szCs w:val="24"/>
        </w:rPr>
        <w:t>,</w:t>
      </w:r>
      <w:r w:rsidRPr="004722A3">
        <w:rPr>
          <w:rFonts w:cs="Times New Roman"/>
          <w:sz w:val="24"/>
          <w:szCs w:val="24"/>
        </w:rPr>
        <w:t xml:space="preserve"> and the energy services available to them; practices identifie</w:t>
      </w:r>
      <w:r w:rsidR="00DE191F">
        <w:rPr>
          <w:rFonts w:cs="Times New Roman"/>
          <w:sz w:val="24"/>
          <w:szCs w:val="24"/>
        </w:rPr>
        <w:t>s the ways in which a household may use</w:t>
      </w:r>
      <w:r w:rsidRPr="004722A3">
        <w:rPr>
          <w:rFonts w:cs="Times New Roman"/>
          <w:sz w:val="24"/>
          <w:szCs w:val="24"/>
        </w:rPr>
        <w:t xml:space="preserve"> energy inefficiently. Some vulnerability dimensions are the result of aspects of p</w:t>
      </w:r>
      <w:r w:rsidR="00BF4E8A">
        <w:rPr>
          <w:rFonts w:cs="Times New Roman"/>
          <w:sz w:val="24"/>
          <w:szCs w:val="24"/>
        </w:rPr>
        <w:t xml:space="preserve">lace directly coupled </w:t>
      </w:r>
      <w:r w:rsidR="000A0230">
        <w:rPr>
          <w:rFonts w:cs="Times New Roman"/>
          <w:sz w:val="24"/>
          <w:szCs w:val="24"/>
        </w:rPr>
        <w:t xml:space="preserve">with </w:t>
      </w:r>
      <w:r w:rsidR="00BF4E8A">
        <w:rPr>
          <w:rFonts w:cs="Times New Roman"/>
          <w:sz w:val="24"/>
          <w:szCs w:val="24"/>
        </w:rPr>
        <w:t>geography</w:t>
      </w:r>
      <w:r w:rsidR="00F22963">
        <w:rPr>
          <w:rFonts w:cs="Times New Roman"/>
          <w:sz w:val="24"/>
          <w:szCs w:val="24"/>
        </w:rPr>
        <w:t>,</w:t>
      </w:r>
      <w:r w:rsidRPr="004722A3">
        <w:rPr>
          <w:rFonts w:cs="Times New Roman"/>
          <w:sz w:val="24"/>
          <w:szCs w:val="24"/>
        </w:rPr>
        <w:t xml:space="preserve"> including material and infrastructural features of a locale (Lupton 2003). For example, energy efficiency is determined by the legacy of the built environment (Rudge 2012) whilst access is influenced by the role of place in facilitating networked energy </w:t>
      </w:r>
      <w:r w:rsidRPr="004722A3">
        <w:rPr>
          <w:rFonts w:cs="Times New Roman"/>
          <w:sz w:val="24"/>
          <w:szCs w:val="24"/>
        </w:rPr>
        <w:lastRenderedPageBreak/>
        <w:t>infrastr</w:t>
      </w:r>
      <w:r w:rsidR="00BF4E8A">
        <w:rPr>
          <w:rFonts w:cs="Times New Roman"/>
          <w:sz w:val="24"/>
          <w:szCs w:val="24"/>
        </w:rPr>
        <w:t>uctures that make</w:t>
      </w:r>
      <w:r w:rsidRPr="004722A3">
        <w:rPr>
          <w:rFonts w:cs="Times New Roman"/>
          <w:sz w:val="24"/>
          <w:szCs w:val="24"/>
        </w:rPr>
        <w:t xml:space="preserve"> available affordable fuel types (Graham and Marvin 2001). </w:t>
      </w:r>
      <w:r w:rsidR="00837E49">
        <w:rPr>
          <w:rFonts w:cs="Times New Roman"/>
          <w:sz w:val="24"/>
          <w:szCs w:val="24"/>
        </w:rPr>
        <w:t>Galster (2001) highlights how o</w:t>
      </w:r>
      <w:r w:rsidRPr="004722A3">
        <w:rPr>
          <w:rFonts w:cs="Times New Roman"/>
          <w:sz w:val="24"/>
          <w:szCs w:val="24"/>
        </w:rPr>
        <w:t>ther dimensions a</w:t>
      </w:r>
      <w:r w:rsidR="000A0230">
        <w:rPr>
          <w:rFonts w:cs="Times New Roman"/>
          <w:sz w:val="24"/>
          <w:szCs w:val="24"/>
        </w:rPr>
        <w:t>re not directly coupled with</w:t>
      </w:r>
      <w:r w:rsidRPr="004722A3">
        <w:rPr>
          <w:rFonts w:cs="Times New Roman"/>
          <w:sz w:val="24"/>
          <w:szCs w:val="24"/>
        </w:rPr>
        <w:t xml:space="preserve"> physical and material geography</w:t>
      </w:r>
      <w:r w:rsidR="00837E49">
        <w:rPr>
          <w:rFonts w:cs="Times New Roman"/>
          <w:sz w:val="24"/>
          <w:szCs w:val="24"/>
        </w:rPr>
        <w:t>, instead lending</w:t>
      </w:r>
      <w:r w:rsidRPr="004722A3">
        <w:rPr>
          <w:rFonts w:cs="Times New Roman"/>
          <w:sz w:val="24"/>
          <w:szCs w:val="24"/>
        </w:rPr>
        <w:t xml:space="preserve"> their collective attribute to the space as a result of aggregation</w:t>
      </w:r>
      <w:r w:rsidR="00BF4E8A">
        <w:rPr>
          <w:rFonts w:cs="Times New Roman"/>
          <w:sz w:val="24"/>
          <w:szCs w:val="24"/>
        </w:rPr>
        <w:t>,</w:t>
      </w:r>
      <w:r w:rsidR="00BF4E8A" w:rsidRPr="00BF4E8A">
        <w:rPr>
          <w:rFonts w:cs="Times New Roman"/>
          <w:sz w:val="24"/>
          <w:szCs w:val="24"/>
        </w:rPr>
        <w:t xml:space="preserve"> </w:t>
      </w:r>
      <w:r w:rsidR="00837E49">
        <w:rPr>
          <w:rFonts w:cs="Times New Roman"/>
          <w:sz w:val="24"/>
          <w:szCs w:val="24"/>
        </w:rPr>
        <w:t xml:space="preserve">due to </w:t>
      </w:r>
      <w:r w:rsidR="00BF4E8A" w:rsidRPr="004722A3">
        <w:rPr>
          <w:rFonts w:cs="Times New Roman"/>
          <w:sz w:val="24"/>
          <w:szCs w:val="24"/>
        </w:rPr>
        <w:t>social and historical processes</w:t>
      </w:r>
      <w:r w:rsidR="00837E49">
        <w:rPr>
          <w:rFonts w:cs="Times New Roman"/>
          <w:sz w:val="24"/>
          <w:szCs w:val="24"/>
        </w:rPr>
        <w:t xml:space="preserve">. </w:t>
      </w:r>
      <w:r w:rsidRPr="004722A3">
        <w:rPr>
          <w:rFonts w:cs="Times New Roman"/>
          <w:sz w:val="24"/>
          <w:szCs w:val="24"/>
        </w:rPr>
        <w:t xml:space="preserve">For example, </w:t>
      </w:r>
      <w:r w:rsidR="00DE191F">
        <w:rPr>
          <w:rFonts w:cs="Times New Roman"/>
          <w:sz w:val="24"/>
          <w:szCs w:val="24"/>
        </w:rPr>
        <w:t>older or disabled residents</w:t>
      </w:r>
      <w:r w:rsidRPr="004722A3">
        <w:rPr>
          <w:rFonts w:cs="Times New Roman"/>
          <w:sz w:val="24"/>
          <w:szCs w:val="24"/>
        </w:rPr>
        <w:t xml:space="preserve"> </w:t>
      </w:r>
      <w:r w:rsidR="00DE191F">
        <w:rPr>
          <w:rFonts w:cs="Times New Roman"/>
          <w:sz w:val="24"/>
          <w:szCs w:val="24"/>
        </w:rPr>
        <w:t>with a</w:t>
      </w:r>
      <w:r w:rsidRPr="004722A3">
        <w:rPr>
          <w:rFonts w:cs="Times New Roman"/>
          <w:sz w:val="24"/>
          <w:szCs w:val="24"/>
        </w:rPr>
        <w:t xml:space="preserve"> greater need for energy </w:t>
      </w:r>
      <w:r w:rsidR="00DE191F">
        <w:rPr>
          <w:rFonts w:cs="Times New Roman"/>
          <w:sz w:val="24"/>
          <w:szCs w:val="24"/>
        </w:rPr>
        <w:t>concentrate in</w:t>
      </w:r>
      <w:r w:rsidR="00837E49">
        <w:rPr>
          <w:rFonts w:cs="Times New Roman"/>
          <w:sz w:val="24"/>
          <w:szCs w:val="24"/>
        </w:rPr>
        <w:t xml:space="preserve"> particular neighbourhoods</w:t>
      </w:r>
      <w:r w:rsidRPr="004722A3">
        <w:rPr>
          <w:rFonts w:cs="Times New Roman"/>
          <w:sz w:val="24"/>
          <w:szCs w:val="24"/>
        </w:rPr>
        <w:t>. Additionally, some vulnerability di</w:t>
      </w:r>
      <w:r w:rsidR="00DE191F">
        <w:rPr>
          <w:rFonts w:cs="Times New Roman"/>
          <w:sz w:val="24"/>
          <w:szCs w:val="24"/>
        </w:rPr>
        <w:t>mensions are associated with the</w:t>
      </w:r>
      <w:r w:rsidRPr="004722A3">
        <w:rPr>
          <w:rFonts w:cs="Times New Roman"/>
          <w:sz w:val="24"/>
          <w:szCs w:val="24"/>
        </w:rPr>
        <w:t xml:space="preserve"> relative position of a neighbourhood. These i</w:t>
      </w:r>
      <w:r w:rsidR="000A0230">
        <w:rPr>
          <w:rFonts w:cs="Times New Roman"/>
          <w:sz w:val="24"/>
          <w:szCs w:val="24"/>
        </w:rPr>
        <w:t>nclude structural factors associated with</w:t>
      </w:r>
      <w:r w:rsidRPr="004722A3">
        <w:rPr>
          <w:rFonts w:cs="Times New Roman"/>
          <w:sz w:val="24"/>
          <w:szCs w:val="24"/>
        </w:rPr>
        <w:t xml:space="preserve"> the regional context </w:t>
      </w:r>
      <w:r w:rsidR="00DE191F">
        <w:rPr>
          <w:rFonts w:cs="Times New Roman"/>
          <w:sz w:val="24"/>
          <w:szCs w:val="24"/>
        </w:rPr>
        <w:t>in which</w:t>
      </w:r>
      <w:r w:rsidRPr="004722A3">
        <w:rPr>
          <w:rFonts w:cs="Times New Roman"/>
          <w:sz w:val="24"/>
          <w:szCs w:val="24"/>
        </w:rPr>
        <w:t xml:space="preserve"> the neighbourhood sits, for example, energy or housing markets</w:t>
      </w:r>
      <w:r w:rsidR="00F22963">
        <w:rPr>
          <w:rFonts w:cs="Times New Roman"/>
          <w:sz w:val="24"/>
          <w:szCs w:val="24"/>
        </w:rPr>
        <w:t xml:space="preserve"> (Middlemiss 2016)</w:t>
      </w:r>
      <w:r w:rsidRPr="004722A3">
        <w:rPr>
          <w:rFonts w:cs="Times New Roman"/>
          <w:sz w:val="24"/>
          <w:szCs w:val="24"/>
        </w:rPr>
        <w:t>, and factors associated with surrounding neighbourhoods, for</w:t>
      </w:r>
      <w:r w:rsidR="00DE191F">
        <w:rPr>
          <w:rFonts w:cs="Times New Roman"/>
          <w:sz w:val="24"/>
          <w:szCs w:val="24"/>
        </w:rPr>
        <w:t xml:space="preserve"> example, </w:t>
      </w:r>
      <w:r w:rsidR="000A0230">
        <w:rPr>
          <w:rFonts w:cs="Times New Roman"/>
          <w:sz w:val="24"/>
          <w:szCs w:val="24"/>
        </w:rPr>
        <w:t xml:space="preserve">the </w:t>
      </w:r>
      <w:r w:rsidRPr="004722A3">
        <w:rPr>
          <w:rFonts w:cs="Times New Roman"/>
          <w:sz w:val="24"/>
          <w:szCs w:val="24"/>
        </w:rPr>
        <w:t xml:space="preserve">existence of social networks (Middlemiss and Gillard 2015). </w:t>
      </w:r>
    </w:p>
    <w:p w:rsidR="009A26CF" w:rsidRDefault="009A26CF" w:rsidP="00C302DD">
      <w:pPr>
        <w:spacing w:line="360" w:lineRule="auto"/>
        <w:jc w:val="both"/>
        <w:rPr>
          <w:rFonts w:cs="Times New Roman"/>
          <w:sz w:val="24"/>
          <w:szCs w:val="24"/>
        </w:rPr>
        <w:sectPr w:rsidR="009A26CF" w:rsidSect="00F02B68">
          <w:footerReference w:type="default" r:id="rId9"/>
          <w:type w:val="continuous"/>
          <w:pgSz w:w="11906" w:h="16838"/>
          <w:pgMar w:top="1440" w:right="1440" w:bottom="1440" w:left="1440" w:header="709" w:footer="709" w:gutter="0"/>
          <w:cols w:space="708"/>
          <w:docGrid w:linePitch="360"/>
        </w:sectPr>
      </w:pPr>
    </w:p>
    <w:p w:rsidR="00DE191F" w:rsidRDefault="008B3788" w:rsidP="00C302DD">
      <w:pPr>
        <w:spacing w:line="360" w:lineRule="auto"/>
        <w:jc w:val="both"/>
        <w:rPr>
          <w:rFonts w:eastAsiaTheme="majorEastAsia" w:cs="Times New Roman"/>
          <w:b/>
          <w:bCs/>
          <w:sz w:val="24"/>
          <w:szCs w:val="24"/>
        </w:rPr>
      </w:pPr>
      <w:r w:rsidRPr="00DE191F">
        <w:rPr>
          <w:rFonts w:eastAsiaTheme="majorEastAsia" w:cs="Times New Roman"/>
          <w:b/>
          <w:bCs/>
          <w:sz w:val="24"/>
          <w:szCs w:val="24"/>
        </w:rPr>
        <w:lastRenderedPageBreak/>
        <w:t>Fuel poverty indicators in England</w:t>
      </w:r>
    </w:p>
    <w:p w:rsidR="00BF4E8A" w:rsidRPr="00FB11C5" w:rsidRDefault="008B3788" w:rsidP="00C302DD">
      <w:pPr>
        <w:spacing w:line="360" w:lineRule="auto"/>
        <w:jc w:val="both"/>
        <w:rPr>
          <w:rFonts w:cs="Times New Roman"/>
          <w:sz w:val="24"/>
          <w:szCs w:val="24"/>
        </w:rPr>
      </w:pPr>
      <w:r w:rsidRPr="004722A3">
        <w:rPr>
          <w:rFonts w:cs="Times New Roman"/>
          <w:sz w:val="24"/>
          <w:szCs w:val="24"/>
        </w:rPr>
        <w:t>Vulnerability thinking draws attention to the effect that place has upon this unique form of deprivation; however, there is little recognition of the importance of place in fuel poverty policy and attempts by policymakers to measure the phenomenon. In England, where measurement of fuel poverty is perhaps most developed</w:t>
      </w:r>
      <w:r w:rsidR="00F22963">
        <w:rPr>
          <w:rFonts w:cs="Times New Roman"/>
          <w:sz w:val="24"/>
          <w:szCs w:val="24"/>
        </w:rPr>
        <w:t>,</w:t>
      </w:r>
      <w:r w:rsidRPr="004722A3">
        <w:rPr>
          <w:rFonts w:cs="Times New Roman"/>
          <w:sz w:val="24"/>
          <w:szCs w:val="24"/>
        </w:rPr>
        <w:t xml:space="preserve"> owing to the Hills Review in 2012 (Hills 2012), </w:t>
      </w:r>
      <w:r w:rsidRPr="004722A3">
        <w:rPr>
          <w:rFonts w:eastAsia="Times New Roman" w:cs="Times New Roman"/>
          <w:bCs/>
          <w:sz w:val="24"/>
          <w:szCs w:val="24"/>
          <w:lang w:eastAsia="en-GB"/>
        </w:rPr>
        <w:t>the approach of the Department for Energy and Climate Change (DECC)</w:t>
      </w:r>
      <w:r w:rsidR="00467EED" w:rsidRPr="00467EED">
        <w:rPr>
          <w:rFonts w:eastAsia="Times New Roman" w:cs="Times New Roman"/>
          <w:bCs/>
          <w:sz w:val="24"/>
          <w:szCs w:val="24"/>
          <w:lang w:eastAsia="en-GB"/>
        </w:rPr>
        <w:t xml:space="preserve"> </w:t>
      </w:r>
      <w:r w:rsidR="00467EED">
        <w:rPr>
          <w:rFonts w:eastAsia="Times New Roman" w:cs="Times New Roman"/>
          <w:bCs/>
          <w:sz w:val="24"/>
          <w:szCs w:val="24"/>
          <w:lang w:eastAsia="en-GB"/>
        </w:rPr>
        <w:t xml:space="preserve">(now the Department for Business, Energy and Industrial Strategy), </w:t>
      </w:r>
      <w:r w:rsidRPr="004722A3">
        <w:rPr>
          <w:rFonts w:eastAsia="Times New Roman" w:cs="Times New Roman"/>
          <w:bCs/>
          <w:sz w:val="24"/>
          <w:szCs w:val="24"/>
          <w:lang w:eastAsia="en-GB"/>
        </w:rPr>
        <w:t xml:space="preserve">has consistently been expenditure-focused, </w:t>
      </w:r>
      <w:r w:rsidR="00B860A5">
        <w:rPr>
          <w:rFonts w:eastAsia="Times New Roman" w:cs="Times New Roman"/>
          <w:bCs/>
          <w:sz w:val="24"/>
          <w:szCs w:val="24"/>
          <w:lang w:eastAsia="en-GB"/>
        </w:rPr>
        <w:t xml:space="preserve">previously </w:t>
      </w:r>
      <w:r w:rsidRPr="004722A3">
        <w:rPr>
          <w:rFonts w:eastAsia="Times New Roman" w:cs="Times New Roman"/>
          <w:bCs/>
          <w:sz w:val="24"/>
          <w:szCs w:val="24"/>
          <w:lang w:eastAsia="en-GB"/>
        </w:rPr>
        <w:t xml:space="preserve">employing a 10% indicator and more recently a </w:t>
      </w:r>
      <w:r w:rsidR="00FF2496">
        <w:rPr>
          <w:rFonts w:eastAsia="Times New Roman" w:cs="Times New Roman"/>
          <w:bCs/>
          <w:sz w:val="24"/>
          <w:szCs w:val="24"/>
          <w:lang w:eastAsia="en-GB"/>
        </w:rPr>
        <w:t>LIHC</w:t>
      </w:r>
      <w:r w:rsidRPr="004722A3">
        <w:rPr>
          <w:rFonts w:eastAsia="Times New Roman" w:cs="Times New Roman"/>
          <w:bCs/>
          <w:sz w:val="24"/>
          <w:szCs w:val="24"/>
          <w:lang w:eastAsia="en-GB"/>
        </w:rPr>
        <w:t xml:space="preserve"> indicato</w:t>
      </w:r>
      <w:r w:rsidR="00F22963">
        <w:rPr>
          <w:rFonts w:eastAsia="Times New Roman" w:cs="Times New Roman"/>
          <w:bCs/>
          <w:sz w:val="24"/>
          <w:szCs w:val="24"/>
          <w:lang w:eastAsia="en-GB"/>
        </w:rPr>
        <w:t>r. Described in Table 1, the 10</w:t>
      </w:r>
      <w:r w:rsidRPr="004722A3">
        <w:rPr>
          <w:rFonts w:eastAsia="Times New Roman" w:cs="Times New Roman"/>
          <w:bCs/>
          <w:sz w:val="24"/>
          <w:szCs w:val="24"/>
          <w:lang w:eastAsia="en-GB"/>
        </w:rPr>
        <w:t xml:space="preserve">% indicator places considerable emphasis upon energy price and is an absolute fuel poverty threshold, making it possible for any number of households to be fuel poor. Meanwhile, the LIHC indicator prioritises a relative understanding of the income a household has available to spend on fuel. Considerable attention has been paid to the merits of each </w:t>
      </w:r>
      <w:r w:rsidRPr="004722A3">
        <w:rPr>
          <w:rFonts w:cs="Times New Roman"/>
          <w:sz w:val="24"/>
          <w:szCs w:val="24"/>
        </w:rPr>
        <w:t xml:space="preserve">indicator questioning both the technicalities of the indicator design (Boardman 2012, Moore 2012) and the political motivation for the change in measurement approach, particularly given the significant reduction in fuel poor households that has resulted (Hall </w:t>
      </w:r>
      <w:r w:rsidRPr="004722A3">
        <w:rPr>
          <w:rFonts w:cs="Times New Roman"/>
          <w:i/>
          <w:sz w:val="24"/>
          <w:szCs w:val="24"/>
        </w:rPr>
        <w:t>et al.</w:t>
      </w:r>
      <w:r w:rsidRPr="004722A3">
        <w:rPr>
          <w:rFonts w:cs="Times New Roman"/>
          <w:sz w:val="24"/>
          <w:szCs w:val="24"/>
        </w:rPr>
        <w:t xml:space="preserve"> 2013, Middlemiss 2016). The number of households </w:t>
      </w:r>
      <w:r w:rsidR="00F22963">
        <w:rPr>
          <w:rFonts w:cs="Times New Roman"/>
          <w:sz w:val="24"/>
          <w:szCs w:val="24"/>
        </w:rPr>
        <w:t xml:space="preserve">classified as </w:t>
      </w:r>
      <w:r w:rsidRPr="004722A3">
        <w:rPr>
          <w:rFonts w:cs="Times New Roman"/>
          <w:sz w:val="24"/>
          <w:szCs w:val="24"/>
        </w:rPr>
        <w:t xml:space="preserve">fuel poor in 2012 decreased from 13.8% of households using the 10% indicator to 10.5% of households using the LIHC indicator (DECC 2014). </w:t>
      </w:r>
    </w:p>
    <w:p w:rsidR="00DE7AAA" w:rsidRDefault="008B3788" w:rsidP="00C302DD">
      <w:pPr>
        <w:spacing w:line="360" w:lineRule="auto"/>
        <w:jc w:val="both"/>
        <w:rPr>
          <w:rFonts w:cs="Times New Roman"/>
          <w:sz w:val="24"/>
          <w:szCs w:val="24"/>
        </w:rPr>
      </w:pPr>
      <w:r w:rsidRPr="004722A3">
        <w:rPr>
          <w:rFonts w:cs="Times New Roman"/>
          <w:sz w:val="24"/>
          <w:szCs w:val="24"/>
        </w:rPr>
        <w:t xml:space="preserve">Whilst sub-regional fuel poverty statistics are produced by DECC at the </w:t>
      </w:r>
      <w:r w:rsidR="00373224">
        <w:rPr>
          <w:rFonts w:cs="Times New Roman"/>
          <w:sz w:val="24"/>
          <w:szCs w:val="24"/>
        </w:rPr>
        <w:t>Lower Super Output Area (</w:t>
      </w:r>
      <w:r w:rsidRPr="004722A3">
        <w:rPr>
          <w:rFonts w:cs="Times New Roman"/>
          <w:sz w:val="24"/>
          <w:szCs w:val="24"/>
        </w:rPr>
        <w:t>LSOA</w:t>
      </w:r>
      <w:r w:rsidR="00373224">
        <w:rPr>
          <w:rFonts w:cs="Times New Roman"/>
          <w:sz w:val="24"/>
          <w:szCs w:val="24"/>
        </w:rPr>
        <w:t>)</w:t>
      </w:r>
      <w:r w:rsidRPr="004722A3">
        <w:rPr>
          <w:rFonts w:cs="Times New Roman"/>
          <w:sz w:val="24"/>
          <w:szCs w:val="24"/>
        </w:rPr>
        <w:t xml:space="preserve"> scale, the design of the 10% and LIHC indicator</w:t>
      </w:r>
      <w:r w:rsidR="00A800BD">
        <w:rPr>
          <w:rFonts w:cs="Times New Roman"/>
          <w:sz w:val="24"/>
          <w:szCs w:val="24"/>
        </w:rPr>
        <w:t>s of</w:t>
      </w:r>
      <w:r w:rsidRPr="004722A3">
        <w:rPr>
          <w:rFonts w:cs="Times New Roman"/>
          <w:sz w:val="24"/>
          <w:szCs w:val="24"/>
        </w:rPr>
        <w:t xml:space="preserve"> fuel poverty has tended to treat fuel</w:t>
      </w:r>
      <w:r w:rsidR="000A0230">
        <w:rPr>
          <w:rFonts w:cs="Times New Roman"/>
          <w:sz w:val="24"/>
          <w:szCs w:val="24"/>
        </w:rPr>
        <w:t xml:space="preserve"> poverty as a household issue, operating </w:t>
      </w:r>
      <w:r w:rsidRPr="004722A3">
        <w:rPr>
          <w:rFonts w:cs="Times New Roman"/>
          <w:sz w:val="24"/>
          <w:szCs w:val="24"/>
        </w:rPr>
        <w:t xml:space="preserve">in isolation from the neighbourhood and regional context. </w:t>
      </w:r>
      <w:r w:rsidR="00DE7AAA">
        <w:rPr>
          <w:rFonts w:cs="Times New Roman"/>
          <w:sz w:val="24"/>
          <w:szCs w:val="24"/>
        </w:rPr>
        <w:t xml:space="preserve">Middlemiss (2016) highlights how subsequently the LIHC indicator </w:t>
      </w:r>
      <w:r w:rsidR="00DE7AAA" w:rsidRPr="004722A3">
        <w:rPr>
          <w:rFonts w:cs="Times New Roman"/>
          <w:sz w:val="24"/>
          <w:szCs w:val="24"/>
        </w:rPr>
        <w:lastRenderedPageBreak/>
        <w:t>underplays the role of structural energy mark</w:t>
      </w:r>
      <w:r w:rsidR="00DE7AAA">
        <w:rPr>
          <w:rFonts w:cs="Times New Roman"/>
          <w:sz w:val="24"/>
          <w:szCs w:val="24"/>
        </w:rPr>
        <w:t xml:space="preserve">ets in enhancing fuel poverty. The restriction of fuel poverty to a household issue can also be challenged given the socio-spatially variable nature of fuel poverty outlined previously and </w:t>
      </w:r>
      <w:r w:rsidR="007A5902">
        <w:rPr>
          <w:rFonts w:cs="Times New Roman"/>
          <w:sz w:val="24"/>
          <w:szCs w:val="24"/>
        </w:rPr>
        <w:t>research</w:t>
      </w:r>
      <w:r w:rsidR="00DE7AAA">
        <w:rPr>
          <w:rFonts w:cs="Times New Roman"/>
          <w:sz w:val="24"/>
          <w:szCs w:val="24"/>
        </w:rPr>
        <w:t xml:space="preserve"> that subsequently highlights the </w:t>
      </w:r>
      <w:r w:rsidR="007A5902">
        <w:rPr>
          <w:rFonts w:cs="Times New Roman"/>
          <w:sz w:val="24"/>
          <w:szCs w:val="24"/>
        </w:rPr>
        <w:t xml:space="preserve">neighbourhood </w:t>
      </w:r>
      <w:r w:rsidR="00DE7AAA">
        <w:rPr>
          <w:rFonts w:cs="Times New Roman"/>
          <w:sz w:val="24"/>
          <w:szCs w:val="24"/>
        </w:rPr>
        <w:t>embeddedness</w:t>
      </w:r>
      <w:r w:rsidR="007A5902">
        <w:rPr>
          <w:rFonts w:cs="Times New Roman"/>
          <w:sz w:val="24"/>
          <w:szCs w:val="24"/>
        </w:rPr>
        <w:t xml:space="preserve"> of the phenomenon (</w:t>
      </w:r>
      <w:r w:rsidR="00837E49">
        <w:rPr>
          <w:rFonts w:cs="Times New Roman"/>
          <w:sz w:val="24"/>
          <w:szCs w:val="24"/>
        </w:rPr>
        <w:t xml:space="preserve">e.g. </w:t>
      </w:r>
      <w:r w:rsidR="007A5902">
        <w:rPr>
          <w:rFonts w:cs="Times New Roman"/>
          <w:sz w:val="24"/>
          <w:szCs w:val="24"/>
        </w:rPr>
        <w:t xml:space="preserve">Liddell et al. 2011, Walker et al. 2012). </w:t>
      </w:r>
    </w:p>
    <w:p w:rsidR="008B3788" w:rsidRDefault="00332021" w:rsidP="0058650E">
      <w:pPr>
        <w:spacing w:after="0" w:line="360" w:lineRule="auto"/>
        <w:jc w:val="both"/>
        <w:rPr>
          <w:rFonts w:cs="Times New Roman"/>
          <w:sz w:val="24"/>
          <w:szCs w:val="24"/>
        </w:rPr>
      </w:pPr>
      <w:r w:rsidRPr="00332021">
        <w:rPr>
          <w:rFonts w:cs="Times New Roman"/>
          <w:sz w:val="24"/>
          <w:szCs w:val="24"/>
        </w:rPr>
        <w:t xml:space="preserve">In analysing the geography of </w:t>
      </w:r>
      <w:r w:rsidR="00F22963">
        <w:rPr>
          <w:rFonts w:cs="Times New Roman"/>
          <w:sz w:val="24"/>
          <w:szCs w:val="24"/>
        </w:rPr>
        <w:t>fuel poverty</w:t>
      </w:r>
      <w:r w:rsidRPr="00332021">
        <w:rPr>
          <w:rFonts w:cs="Times New Roman"/>
          <w:sz w:val="24"/>
          <w:szCs w:val="24"/>
        </w:rPr>
        <w:t xml:space="preserve"> using each indicator, Robinson et al. (2017a.) </w:t>
      </w:r>
      <w:r w:rsidRPr="00332021">
        <w:rPr>
          <w:rFonts w:eastAsia="Times New Roman" w:cs="Times New Roman"/>
          <w:bCs/>
          <w:sz w:val="24"/>
          <w:szCs w:val="24"/>
          <w:lang w:eastAsia="en-GB"/>
        </w:rPr>
        <w:t>demonstrate how the move from a 10% indicator to a LIHC indicator in England has resulted in a relative transfer of fuel poor households towards regions with higher housing costs and</w:t>
      </w:r>
      <w:r w:rsidR="00F22963">
        <w:rPr>
          <w:rFonts w:eastAsia="Times New Roman" w:cs="Times New Roman"/>
          <w:bCs/>
          <w:sz w:val="24"/>
          <w:szCs w:val="24"/>
          <w:lang w:eastAsia="en-GB"/>
        </w:rPr>
        <w:t xml:space="preserve"> towards</w:t>
      </w:r>
      <w:r w:rsidRPr="00332021">
        <w:rPr>
          <w:rFonts w:eastAsia="Times New Roman" w:cs="Times New Roman"/>
          <w:bCs/>
          <w:sz w:val="24"/>
          <w:szCs w:val="24"/>
          <w:lang w:eastAsia="en-GB"/>
        </w:rPr>
        <w:t xml:space="preserve"> urban areas, whilst the fuel poor</w:t>
      </w:r>
      <w:r w:rsidR="00C35102">
        <w:rPr>
          <w:rFonts w:eastAsia="Times New Roman" w:cs="Times New Roman"/>
          <w:bCs/>
          <w:sz w:val="24"/>
          <w:szCs w:val="24"/>
          <w:lang w:eastAsia="en-GB"/>
        </w:rPr>
        <w:t xml:space="preserve"> using the indicator</w:t>
      </w:r>
      <w:r w:rsidRPr="00332021">
        <w:rPr>
          <w:rFonts w:eastAsia="Times New Roman" w:cs="Times New Roman"/>
          <w:bCs/>
          <w:sz w:val="24"/>
          <w:szCs w:val="24"/>
          <w:lang w:eastAsia="en-GB"/>
        </w:rPr>
        <w:t xml:space="preserve"> are also more spatially heterogeneous. </w:t>
      </w:r>
      <w:r w:rsidR="00BA4A4D">
        <w:rPr>
          <w:rFonts w:eastAsia="Times New Roman" w:cs="Times New Roman"/>
          <w:bCs/>
          <w:sz w:val="24"/>
          <w:szCs w:val="24"/>
          <w:lang w:eastAsia="en-GB"/>
        </w:rPr>
        <w:t>For example, in rural areas, there was a 8.1% decrease in fuel poor households in 2012 using the LIHC indicator rather than the 10% indicator, whilst in areas classified as urban there was on average no decrease (DECC 2014). These</w:t>
      </w:r>
      <w:r w:rsidRPr="00332021">
        <w:rPr>
          <w:rFonts w:eastAsia="Times New Roman" w:cs="Times New Roman"/>
          <w:bCs/>
          <w:sz w:val="24"/>
          <w:szCs w:val="24"/>
          <w:lang w:eastAsia="en-GB"/>
        </w:rPr>
        <w:t xml:space="preserve"> substantial difference</w:t>
      </w:r>
      <w:r w:rsidR="00BA4A4D">
        <w:rPr>
          <w:rFonts w:eastAsia="Times New Roman" w:cs="Times New Roman"/>
          <w:bCs/>
          <w:sz w:val="24"/>
          <w:szCs w:val="24"/>
          <w:lang w:eastAsia="en-GB"/>
        </w:rPr>
        <w:t>s</w:t>
      </w:r>
      <w:r w:rsidRPr="00332021">
        <w:rPr>
          <w:rFonts w:eastAsia="Times New Roman" w:cs="Times New Roman"/>
          <w:bCs/>
          <w:sz w:val="24"/>
          <w:szCs w:val="24"/>
          <w:lang w:eastAsia="en-GB"/>
        </w:rPr>
        <w:t xml:space="preserve"> in the geographical distribution of fuel poverty using each indicator suggest that those socio-spatial vulnerabilities that manifest in locations which (by its design) an indicator overlooks, are likely to be underrepresented. </w:t>
      </w:r>
      <w:r w:rsidR="008B3788" w:rsidRPr="00332021">
        <w:rPr>
          <w:rFonts w:cs="Times New Roman"/>
          <w:sz w:val="24"/>
          <w:szCs w:val="24"/>
        </w:rPr>
        <w:t>Building upon this knowledge, this paper offers a new perspective on the measurement of fuel poverty, providing understanding of the socio-spatial vulnerabilities that each expenditure-based indicator reveals and underrepresents, and in which locale</w:t>
      </w:r>
      <w:r w:rsidR="00135C86" w:rsidRPr="00332021">
        <w:rPr>
          <w:rFonts w:cs="Times New Roman"/>
          <w:sz w:val="24"/>
          <w:szCs w:val="24"/>
        </w:rPr>
        <w:t xml:space="preserve">s. In doing this, </w:t>
      </w:r>
      <w:r w:rsidR="008B3788" w:rsidRPr="00332021">
        <w:rPr>
          <w:rFonts w:cs="Times New Roman"/>
          <w:sz w:val="24"/>
          <w:szCs w:val="24"/>
        </w:rPr>
        <w:t>further insights into the geography of fuel poverty in England</w:t>
      </w:r>
      <w:r w:rsidR="00135C86" w:rsidRPr="00332021">
        <w:rPr>
          <w:rFonts w:cs="Times New Roman"/>
          <w:sz w:val="24"/>
          <w:szCs w:val="24"/>
        </w:rPr>
        <w:t xml:space="preserve"> are provided with</w:t>
      </w:r>
      <w:r w:rsidR="008B3788" w:rsidRPr="00332021">
        <w:rPr>
          <w:rFonts w:cs="Times New Roman"/>
          <w:sz w:val="24"/>
          <w:szCs w:val="24"/>
        </w:rPr>
        <w:t xml:space="preserve"> implications for </w:t>
      </w:r>
      <w:r w:rsidR="0058650E">
        <w:rPr>
          <w:rFonts w:cs="Times New Roman"/>
          <w:sz w:val="24"/>
          <w:szCs w:val="24"/>
        </w:rPr>
        <w:t xml:space="preserve">alternative national contexts. </w:t>
      </w:r>
    </w:p>
    <w:p w:rsidR="004506F6" w:rsidRPr="0058650E" w:rsidRDefault="004506F6" w:rsidP="0058650E">
      <w:pPr>
        <w:spacing w:after="0" w:line="360" w:lineRule="auto"/>
        <w:jc w:val="both"/>
        <w:rPr>
          <w:rFonts w:eastAsia="Times New Roman" w:cs="Times New Roman"/>
          <w:bCs/>
          <w:sz w:val="24"/>
          <w:szCs w:val="24"/>
          <w:lang w:eastAsia="en-GB"/>
        </w:rPr>
        <w:sectPr w:rsidR="004506F6" w:rsidRPr="0058650E" w:rsidSect="00F02B68">
          <w:type w:val="continuous"/>
          <w:pgSz w:w="11906" w:h="16838"/>
          <w:pgMar w:top="1440" w:right="1440" w:bottom="1440" w:left="1440" w:header="709" w:footer="709" w:gutter="0"/>
          <w:cols w:space="708"/>
          <w:docGrid w:linePitch="360"/>
        </w:sectPr>
      </w:pPr>
    </w:p>
    <w:p w:rsidR="0058650E" w:rsidRDefault="0058650E" w:rsidP="0058650E">
      <w:pPr>
        <w:spacing w:after="0" w:line="360" w:lineRule="auto"/>
        <w:jc w:val="both"/>
        <w:rPr>
          <w:rFonts w:cs="Times New Roman"/>
          <w:b/>
          <w:sz w:val="24"/>
          <w:szCs w:val="24"/>
        </w:rPr>
      </w:pPr>
    </w:p>
    <w:p w:rsidR="00F02B68" w:rsidRDefault="00F02B68" w:rsidP="0058650E">
      <w:pPr>
        <w:spacing w:after="0" w:line="360" w:lineRule="auto"/>
        <w:jc w:val="both"/>
        <w:rPr>
          <w:rFonts w:cs="Times New Roman"/>
          <w:b/>
          <w:sz w:val="24"/>
          <w:szCs w:val="24"/>
        </w:rPr>
      </w:pPr>
    </w:p>
    <w:p w:rsidR="00F02B68" w:rsidRDefault="00F02B68" w:rsidP="0058650E">
      <w:pPr>
        <w:spacing w:after="0" w:line="360" w:lineRule="auto"/>
        <w:jc w:val="both"/>
        <w:rPr>
          <w:rFonts w:cs="Times New Roman"/>
          <w:b/>
          <w:sz w:val="24"/>
          <w:szCs w:val="24"/>
        </w:rPr>
      </w:pPr>
    </w:p>
    <w:p w:rsidR="00F02B68" w:rsidRDefault="00F02B68" w:rsidP="0058650E">
      <w:pPr>
        <w:spacing w:after="0" w:line="360" w:lineRule="auto"/>
        <w:jc w:val="both"/>
        <w:rPr>
          <w:rFonts w:cs="Times New Roman"/>
          <w:b/>
          <w:sz w:val="24"/>
          <w:szCs w:val="24"/>
        </w:rPr>
      </w:pPr>
    </w:p>
    <w:p w:rsidR="00F02B68" w:rsidRDefault="00F02B68" w:rsidP="0058650E">
      <w:pPr>
        <w:spacing w:after="0" w:line="360" w:lineRule="auto"/>
        <w:jc w:val="both"/>
        <w:rPr>
          <w:rFonts w:cs="Times New Roman"/>
          <w:b/>
          <w:sz w:val="24"/>
          <w:szCs w:val="24"/>
        </w:rPr>
      </w:pPr>
    </w:p>
    <w:p w:rsidR="00F02B68" w:rsidRDefault="00F02B68" w:rsidP="0058650E">
      <w:pPr>
        <w:spacing w:after="0" w:line="360" w:lineRule="auto"/>
        <w:jc w:val="both"/>
        <w:rPr>
          <w:rFonts w:cs="Times New Roman"/>
          <w:b/>
          <w:sz w:val="24"/>
          <w:szCs w:val="24"/>
        </w:rPr>
      </w:pPr>
    </w:p>
    <w:p w:rsidR="00F02B68" w:rsidRDefault="00F02B68" w:rsidP="0058650E">
      <w:pPr>
        <w:spacing w:after="0" w:line="360" w:lineRule="auto"/>
        <w:jc w:val="both"/>
        <w:rPr>
          <w:rFonts w:cs="Times New Roman"/>
          <w:b/>
          <w:sz w:val="24"/>
          <w:szCs w:val="24"/>
        </w:rPr>
      </w:pPr>
    </w:p>
    <w:p w:rsidR="00F02B68" w:rsidRDefault="00F02B68" w:rsidP="0058650E">
      <w:pPr>
        <w:spacing w:after="0" w:line="360" w:lineRule="auto"/>
        <w:jc w:val="both"/>
        <w:rPr>
          <w:rFonts w:cs="Times New Roman"/>
          <w:b/>
          <w:sz w:val="24"/>
          <w:szCs w:val="24"/>
        </w:rPr>
      </w:pPr>
    </w:p>
    <w:p w:rsidR="00F02B68" w:rsidRDefault="00F02B68" w:rsidP="0058650E">
      <w:pPr>
        <w:spacing w:after="0" w:line="360" w:lineRule="auto"/>
        <w:jc w:val="both"/>
        <w:rPr>
          <w:rFonts w:cs="Times New Roman"/>
          <w:b/>
          <w:sz w:val="24"/>
          <w:szCs w:val="24"/>
        </w:rPr>
      </w:pPr>
    </w:p>
    <w:p w:rsidR="00F02B68" w:rsidRDefault="00F02B68" w:rsidP="0058650E">
      <w:pPr>
        <w:spacing w:after="0" w:line="360" w:lineRule="auto"/>
        <w:jc w:val="both"/>
        <w:rPr>
          <w:rFonts w:cs="Times New Roman"/>
          <w:b/>
          <w:sz w:val="24"/>
          <w:szCs w:val="24"/>
        </w:rPr>
      </w:pPr>
    </w:p>
    <w:p w:rsidR="00F02B68" w:rsidRDefault="00F02B68" w:rsidP="0058650E">
      <w:pPr>
        <w:spacing w:after="0" w:line="360" w:lineRule="auto"/>
        <w:jc w:val="both"/>
        <w:rPr>
          <w:rFonts w:cs="Times New Roman"/>
          <w:b/>
          <w:sz w:val="24"/>
          <w:szCs w:val="24"/>
        </w:rPr>
      </w:pPr>
    </w:p>
    <w:p w:rsidR="00F02B68" w:rsidRDefault="00F02B68" w:rsidP="0058650E">
      <w:pPr>
        <w:spacing w:after="0" w:line="360" w:lineRule="auto"/>
        <w:jc w:val="both"/>
        <w:rPr>
          <w:rFonts w:cs="Times New Roman"/>
          <w:b/>
          <w:sz w:val="24"/>
          <w:szCs w:val="24"/>
        </w:rPr>
      </w:pPr>
    </w:p>
    <w:p w:rsidR="00F02B68" w:rsidRDefault="00F02B68" w:rsidP="0058650E">
      <w:pPr>
        <w:spacing w:after="0" w:line="360" w:lineRule="auto"/>
        <w:jc w:val="both"/>
        <w:rPr>
          <w:rFonts w:cs="Times New Roman"/>
          <w:b/>
          <w:sz w:val="24"/>
          <w:szCs w:val="24"/>
        </w:rPr>
      </w:pPr>
    </w:p>
    <w:p w:rsidR="00F02B68" w:rsidRDefault="00F02B68" w:rsidP="0058650E">
      <w:pPr>
        <w:spacing w:after="0" w:line="360" w:lineRule="auto"/>
        <w:jc w:val="both"/>
        <w:rPr>
          <w:rFonts w:cs="Times New Roman"/>
          <w:b/>
          <w:sz w:val="24"/>
          <w:szCs w:val="24"/>
        </w:rPr>
      </w:pPr>
    </w:p>
    <w:p w:rsidR="00F02B68" w:rsidRDefault="00F02B68" w:rsidP="00C302DD">
      <w:pPr>
        <w:spacing w:line="360" w:lineRule="auto"/>
        <w:jc w:val="both"/>
        <w:rPr>
          <w:rFonts w:eastAsiaTheme="majorEastAsia" w:cs="Times New Roman"/>
          <w:b/>
          <w:bCs/>
          <w:sz w:val="24"/>
          <w:szCs w:val="24"/>
        </w:rPr>
        <w:sectPr w:rsidR="00F02B68" w:rsidSect="00F02B68">
          <w:type w:val="continuous"/>
          <w:pgSz w:w="11906" w:h="16838"/>
          <w:pgMar w:top="1440" w:right="1440" w:bottom="1440" w:left="1440" w:header="709" w:footer="709" w:gutter="0"/>
          <w:cols w:space="708"/>
          <w:docGrid w:linePitch="360"/>
        </w:sectPr>
      </w:pPr>
    </w:p>
    <w:p w:rsidR="00F02B68" w:rsidRPr="00BF4E8A" w:rsidRDefault="00F02B68" w:rsidP="00F02B68">
      <w:pPr>
        <w:spacing w:after="0" w:line="360" w:lineRule="auto"/>
        <w:jc w:val="both"/>
        <w:rPr>
          <w:rFonts w:cs="Times New Roman"/>
          <w:sz w:val="24"/>
          <w:szCs w:val="24"/>
        </w:rPr>
      </w:pPr>
      <w:r w:rsidRPr="004722A3">
        <w:rPr>
          <w:rFonts w:cs="Times New Roman"/>
          <w:b/>
          <w:sz w:val="24"/>
          <w:szCs w:val="24"/>
        </w:rPr>
        <w:lastRenderedPageBreak/>
        <w:t>Table 1.</w:t>
      </w:r>
      <w:r w:rsidRPr="004722A3">
        <w:rPr>
          <w:rFonts w:cs="Times New Roman"/>
          <w:sz w:val="24"/>
          <w:szCs w:val="24"/>
        </w:rPr>
        <w:t xml:space="preserve"> Indicators used to</w:t>
      </w:r>
      <w:r>
        <w:rPr>
          <w:rFonts w:cs="Times New Roman"/>
          <w:sz w:val="24"/>
          <w:szCs w:val="24"/>
        </w:rPr>
        <w:t xml:space="preserve"> calculate</w:t>
      </w:r>
      <w:r w:rsidRPr="004722A3">
        <w:rPr>
          <w:rFonts w:cs="Times New Roman"/>
          <w:sz w:val="24"/>
          <w:szCs w:val="24"/>
        </w:rPr>
        <w:t xml:space="preserve"> percentage of </w:t>
      </w:r>
      <w:r>
        <w:rPr>
          <w:rFonts w:cs="Times New Roman"/>
          <w:sz w:val="24"/>
          <w:szCs w:val="24"/>
        </w:rPr>
        <w:t xml:space="preserve">fuel poor households in England. </w:t>
      </w:r>
    </w:p>
    <w:tbl>
      <w:tblPr>
        <w:tblStyle w:val="TableGrid11"/>
        <w:tblW w:w="13433" w:type="dxa"/>
        <w:tblLayout w:type="fixed"/>
        <w:tblLook w:val="04A0" w:firstRow="1" w:lastRow="0" w:firstColumn="1" w:lastColumn="0" w:noHBand="0" w:noVBand="1"/>
      </w:tblPr>
      <w:tblGrid>
        <w:gridCol w:w="2802"/>
        <w:gridCol w:w="3827"/>
        <w:gridCol w:w="850"/>
        <w:gridCol w:w="1134"/>
        <w:gridCol w:w="4820"/>
      </w:tblGrid>
      <w:tr w:rsidR="00F02B68" w:rsidRPr="004722A3" w:rsidTr="004956C2">
        <w:tc>
          <w:tcPr>
            <w:tcW w:w="2802" w:type="dxa"/>
            <w:shd w:val="clear" w:color="auto" w:fill="F2F2F2" w:themeFill="background1" w:themeFillShade="F2"/>
          </w:tcPr>
          <w:p w:rsidR="00F02B68" w:rsidRPr="00C50B23" w:rsidRDefault="00F02B68" w:rsidP="004956C2">
            <w:pPr>
              <w:rPr>
                <w:rFonts w:cs="Times New Roman"/>
                <w:sz w:val="24"/>
                <w:szCs w:val="24"/>
              </w:rPr>
            </w:pPr>
            <w:r>
              <w:rPr>
                <w:rFonts w:cs="Times New Roman"/>
                <w:sz w:val="24"/>
                <w:szCs w:val="24"/>
              </w:rPr>
              <w:t>I</w:t>
            </w:r>
            <w:r w:rsidRPr="00C50B23">
              <w:rPr>
                <w:rFonts w:cs="Times New Roman"/>
                <w:sz w:val="24"/>
                <w:szCs w:val="24"/>
              </w:rPr>
              <w:t>ndicator</w:t>
            </w:r>
          </w:p>
        </w:tc>
        <w:tc>
          <w:tcPr>
            <w:tcW w:w="3827" w:type="dxa"/>
            <w:shd w:val="clear" w:color="auto" w:fill="F2F2F2" w:themeFill="background1" w:themeFillShade="F2"/>
          </w:tcPr>
          <w:p w:rsidR="00F02B68" w:rsidRPr="00C50B23" w:rsidRDefault="00F02B68" w:rsidP="004956C2">
            <w:pPr>
              <w:rPr>
                <w:rFonts w:cs="Times New Roman"/>
                <w:sz w:val="24"/>
                <w:szCs w:val="24"/>
              </w:rPr>
            </w:pPr>
            <w:r w:rsidRPr="00C50B23">
              <w:rPr>
                <w:rFonts w:cs="Times New Roman"/>
                <w:sz w:val="24"/>
                <w:szCs w:val="24"/>
              </w:rPr>
              <w:t xml:space="preserve">Definition </w:t>
            </w:r>
          </w:p>
        </w:tc>
        <w:tc>
          <w:tcPr>
            <w:tcW w:w="850" w:type="dxa"/>
            <w:shd w:val="clear" w:color="auto" w:fill="F2F2F2" w:themeFill="background1" w:themeFillShade="F2"/>
          </w:tcPr>
          <w:p w:rsidR="00F02B68" w:rsidRPr="00C50B23" w:rsidRDefault="00F02B68" w:rsidP="004956C2">
            <w:pPr>
              <w:rPr>
                <w:rFonts w:cs="Times New Roman"/>
                <w:sz w:val="24"/>
                <w:szCs w:val="24"/>
              </w:rPr>
            </w:pPr>
            <w:r w:rsidRPr="00C50B23">
              <w:rPr>
                <w:rFonts w:cs="Times New Roman"/>
                <w:sz w:val="24"/>
                <w:szCs w:val="24"/>
              </w:rPr>
              <w:t>Date</w:t>
            </w:r>
          </w:p>
        </w:tc>
        <w:tc>
          <w:tcPr>
            <w:tcW w:w="1134" w:type="dxa"/>
            <w:shd w:val="clear" w:color="auto" w:fill="F2F2F2" w:themeFill="background1" w:themeFillShade="F2"/>
          </w:tcPr>
          <w:p w:rsidR="00F02B68" w:rsidRPr="00C50B23" w:rsidRDefault="00F02B68" w:rsidP="004956C2">
            <w:pPr>
              <w:rPr>
                <w:rFonts w:cs="Times New Roman"/>
                <w:sz w:val="24"/>
                <w:szCs w:val="24"/>
              </w:rPr>
            </w:pPr>
            <w:r w:rsidRPr="00C50B23">
              <w:rPr>
                <w:rFonts w:cs="Times New Roman"/>
                <w:sz w:val="24"/>
                <w:szCs w:val="24"/>
              </w:rPr>
              <w:t>Type</w:t>
            </w:r>
          </w:p>
        </w:tc>
        <w:tc>
          <w:tcPr>
            <w:tcW w:w="4820" w:type="dxa"/>
            <w:shd w:val="clear" w:color="auto" w:fill="F2F2F2" w:themeFill="background1" w:themeFillShade="F2"/>
          </w:tcPr>
          <w:p w:rsidR="00F02B68" w:rsidRPr="00C50B23" w:rsidRDefault="00F02B68" w:rsidP="004956C2">
            <w:pPr>
              <w:rPr>
                <w:rFonts w:cs="Times New Roman"/>
                <w:sz w:val="24"/>
                <w:szCs w:val="24"/>
              </w:rPr>
            </w:pPr>
            <w:r w:rsidRPr="00C50B23">
              <w:rPr>
                <w:rFonts w:cs="Times New Roman"/>
                <w:sz w:val="24"/>
                <w:szCs w:val="24"/>
              </w:rPr>
              <w:t xml:space="preserve">Calculation </w:t>
            </w:r>
          </w:p>
          <w:p w:rsidR="00F02B68" w:rsidRPr="00C50B23" w:rsidRDefault="00F02B68" w:rsidP="004956C2">
            <w:pPr>
              <w:rPr>
                <w:rFonts w:cs="Times New Roman"/>
                <w:sz w:val="24"/>
                <w:szCs w:val="24"/>
              </w:rPr>
            </w:pPr>
          </w:p>
        </w:tc>
      </w:tr>
      <w:tr w:rsidR="00F02B68" w:rsidRPr="004722A3" w:rsidTr="004956C2">
        <w:tc>
          <w:tcPr>
            <w:tcW w:w="2802" w:type="dxa"/>
          </w:tcPr>
          <w:p w:rsidR="00F02B68" w:rsidRPr="00C50B23" w:rsidRDefault="00F02B68" w:rsidP="004956C2">
            <w:pPr>
              <w:spacing w:before="240"/>
              <w:rPr>
                <w:rFonts w:cs="Times New Roman"/>
                <w:sz w:val="24"/>
                <w:szCs w:val="24"/>
              </w:rPr>
            </w:pPr>
            <w:r>
              <w:rPr>
                <w:rFonts w:cs="Times New Roman"/>
                <w:sz w:val="24"/>
                <w:szCs w:val="24"/>
              </w:rPr>
              <w:t>LIHC</w:t>
            </w:r>
          </w:p>
        </w:tc>
        <w:tc>
          <w:tcPr>
            <w:tcW w:w="3827" w:type="dxa"/>
          </w:tcPr>
          <w:p w:rsidR="00F02B68" w:rsidRPr="00C50B23" w:rsidRDefault="00F02B68" w:rsidP="004956C2">
            <w:pPr>
              <w:spacing w:before="240"/>
              <w:rPr>
                <w:rFonts w:cs="Times New Roman"/>
                <w:sz w:val="24"/>
                <w:szCs w:val="24"/>
              </w:rPr>
            </w:pPr>
            <w:r w:rsidRPr="00C50B23">
              <w:rPr>
                <w:rFonts w:cs="Times New Roman"/>
                <w:sz w:val="24"/>
                <w:szCs w:val="24"/>
              </w:rPr>
              <w:t>‘A household is considered fuel poor i</w:t>
            </w:r>
            <w:r>
              <w:rPr>
                <w:rFonts w:cs="Times New Roman"/>
                <w:sz w:val="24"/>
                <w:szCs w:val="24"/>
              </w:rPr>
              <w:t xml:space="preserve">s they have required fuel costs </w:t>
            </w:r>
            <w:r w:rsidRPr="00C50B23">
              <w:rPr>
                <w:rFonts w:cs="Times New Roman"/>
                <w:sz w:val="24"/>
                <w:szCs w:val="24"/>
              </w:rPr>
              <w:t>above the average (national median level) and if they were to spend that amount, they would be left with a residual income below the poverty line’ (DECC 2016: 3)</w:t>
            </w:r>
          </w:p>
          <w:p w:rsidR="00F02B68" w:rsidRPr="00C50B23" w:rsidRDefault="00F02B68" w:rsidP="004956C2">
            <w:pPr>
              <w:spacing w:before="240"/>
              <w:rPr>
                <w:rFonts w:cs="Times New Roman"/>
                <w:sz w:val="24"/>
                <w:szCs w:val="24"/>
              </w:rPr>
            </w:pPr>
          </w:p>
        </w:tc>
        <w:tc>
          <w:tcPr>
            <w:tcW w:w="850" w:type="dxa"/>
          </w:tcPr>
          <w:p w:rsidR="00F02B68" w:rsidRPr="00C50B23" w:rsidRDefault="00F02B68" w:rsidP="004956C2">
            <w:pPr>
              <w:spacing w:before="240"/>
              <w:rPr>
                <w:rFonts w:cs="Times New Roman"/>
                <w:sz w:val="24"/>
                <w:szCs w:val="24"/>
              </w:rPr>
            </w:pPr>
            <w:r w:rsidRPr="00C50B23">
              <w:rPr>
                <w:rFonts w:cs="Times New Roman"/>
                <w:sz w:val="24"/>
                <w:szCs w:val="24"/>
              </w:rPr>
              <w:t>2015</w:t>
            </w:r>
          </w:p>
        </w:tc>
        <w:tc>
          <w:tcPr>
            <w:tcW w:w="1134" w:type="dxa"/>
          </w:tcPr>
          <w:p w:rsidR="00F02B68" w:rsidRPr="00C50B23" w:rsidRDefault="00F02B68" w:rsidP="004956C2">
            <w:pPr>
              <w:spacing w:before="240"/>
              <w:rPr>
                <w:rFonts w:cs="Times New Roman"/>
                <w:sz w:val="24"/>
                <w:szCs w:val="24"/>
              </w:rPr>
            </w:pPr>
            <w:r w:rsidRPr="00C50B23">
              <w:rPr>
                <w:rFonts w:cs="Times New Roman"/>
                <w:sz w:val="24"/>
                <w:szCs w:val="24"/>
              </w:rPr>
              <w:t>Relative</w:t>
            </w:r>
          </w:p>
        </w:tc>
        <w:tc>
          <w:tcPr>
            <w:tcW w:w="4820" w:type="dxa"/>
          </w:tcPr>
          <w:p w:rsidR="00F02B68" w:rsidRDefault="00F02B68" w:rsidP="004956C2">
            <w:pPr>
              <w:spacing w:before="240"/>
              <w:rPr>
                <w:rFonts w:cs="Times New Roman"/>
                <w:sz w:val="24"/>
                <w:szCs w:val="24"/>
              </w:rPr>
            </w:pPr>
            <w:r w:rsidRPr="00C50B23">
              <w:rPr>
                <w:rFonts w:cs="Times New Roman"/>
                <w:sz w:val="24"/>
                <w:szCs w:val="24"/>
              </w:rPr>
              <w:t xml:space="preserve">The LIHC indicator uses an energy threshold and an income threshold. Households that exceed both </w:t>
            </w:r>
            <w:r>
              <w:rPr>
                <w:rFonts w:cs="Times New Roman"/>
                <w:sz w:val="24"/>
                <w:szCs w:val="24"/>
              </w:rPr>
              <w:t xml:space="preserve">are fuel poor. </w:t>
            </w:r>
          </w:p>
          <w:p w:rsidR="00F02B68" w:rsidRPr="00C50B23" w:rsidRDefault="00F02B68" w:rsidP="004956C2">
            <w:pPr>
              <w:spacing w:before="240"/>
              <w:rPr>
                <w:rFonts w:cs="Times New Roman"/>
                <w:sz w:val="24"/>
                <w:szCs w:val="24"/>
              </w:rPr>
            </w:pPr>
            <w:r>
              <w:rPr>
                <w:rFonts w:cs="Times New Roman"/>
                <w:sz w:val="24"/>
                <w:szCs w:val="24"/>
              </w:rPr>
              <w:t>The energy threshold is m</w:t>
            </w:r>
            <w:r w:rsidRPr="00C50B23">
              <w:rPr>
                <w:rFonts w:cs="Times New Roman"/>
                <w:sz w:val="24"/>
                <w:szCs w:val="24"/>
              </w:rPr>
              <w:t>odelled by combining fuel requirements of household and corresponding fuel prices. Fuel requirements account for property size, household size, energy efficie</w:t>
            </w:r>
            <w:r>
              <w:rPr>
                <w:rFonts w:cs="Times New Roman"/>
                <w:sz w:val="24"/>
                <w:szCs w:val="24"/>
              </w:rPr>
              <w:t xml:space="preserve">ncy and fuel mix. </w:t>
            </w:r>
          </w:p>
          <w:p w:rsidR="00F02B68" w:rsidRDefault="00F02B68" w:rsidP="004956C2">
            <w:pPr>
              <w:spacing w:before="240"/>
              <w:rPr>
                <w:rFonts w:cs="Times New Roman"/>
                <w:sz w:val="24"/>
                <w:szCs w:val="24"/>
              </w:rPr>
            </w:pPr>
            <w:r w:rsidRPr="00C50B23">
              <w:rPr>
                <w:rFonts w:cs="Times New Roman"/>
                <w:sz w:val="24"/>
                <w:szCs w:val="24"/>
              </w:rPr>
              <w:t>The income</w:t>
            </w:r>
            <w:r>
              <w:rPr>
                <w:rFonts w:cs="Times New Roman"/>
                <w:sz w:val="24"/>
                <w:szCs w:val="24"/>
              </w:rPr>
              <w:t xml:space="preserve"> threshold is calculated using 6</w:t>
            </w:r>
            <w:r w:rsidRPr="00C50B23">
              <w:rPr>
                <w:rFonts w:cs="Times New Roman"/>
                <w:sz w:val="24"/>
                <w:szCs w:val="24"/>
              </w:rPr>
              <w:t xml:space="preserve">0% of the weighted median income After Housing Costs and is equivalised. This is combined with equivalised fuel costs. </w:t>
            </w:r>
          </w:p>
          <w:p w:rsidR="00F02B68" w:rsidRPr="00C50B23" w:rsidRDefault="00F02B68" w:rsidP="004956C2">
            <w:pPr>
              <w:rPr>
                <w:rFonts w:cs="Times New Roman"/>
                <w:sz w:val="16"/>
                <w:szCs w:val="24"/>
              </w:rPr>
            </w:pPr>
          </w:p>
        </w:tc>
      </w:tr>
      <w:tr w:rsidR="00F02B68" w:rsidRPr="004722A3" w:rsidTr="004956C2">
        <w:tc>
          <w:tcPr>
            <w:tcW w:w="2802" w:type="dxa"/>
          </w:tcPr>
          <w:p w:rsidR="00F02B68" w:rsidRPr="00C50B23" w:rsidRDefault="00F02B68" w:rsidP="004956C2">
            <w:pPr>
              <w:spacing w:before="240"/>
              <w:rPr>
                <w:rFonts w:cs="Times New Roman"/>
                <w:sz w:val="24"/>
                <w:szCs w:val="24"/>
              </w:rPr>
            </w:pPr>
            <w:r w:rsidRPr="00C50B23">
              <w:rPr>
                <w:rFonts w:cs="Times New Roman"/>
                <w:sz w:val="24"/>
                <w:szCs w:val="24"/>
              </w:rPr>
              <w:t xml:space="preserve">10% </w:t>
            </w:r>
          </w:p>
        </w:tc>
        <w:tc>
          <w:tcPr>
            <w:tcW w:w="3827" w:type="dxa"/>
          </w:tcPr>
          <w:p w:rsidR="00F02B68" w:rsidRDefault="00F02B68" w:rsidP="004956C2">
            <w:pPr>
              <w:spacing w:before="240"/>
              <w:rPr>
                <w:rFonts w:cs="Times New Roman"/>
                <w:sz w:val="24"/>
                <w:szCs w:val="24"/>
              </w:rPr>
            </w:pPr>
            <w:r w:rsidRPr="00C50B23">
              <w:rPr>
                <w:rFonts w:cs="Times New Roman"/>
                <w:sz w:val="24"/>
                <w:szCs w:val="24"/>
              </w:rPr>
              <w:t>‘A household is considered to be fuel poor if they are required to spend more than 10% of their income on fuel, to maintain an adequate standard of warmth’ (DECC 2016: 6)</w:t>
            </w:r>
          </w:p>
          <w:p w:rsidR="00F02B68" w:rsidRPr="00C50B23" w:rsidRDefault="00F02B68" w:rsidP="004956C2">
            <w:pPr>
              <w:rPr>
                <w:rFonts w:cs="Times New Roman"/>
                <w:sz w:val="24"/>
                <w:szCs w:val="24"/>
              </w:rPr>
            </w:pPr>
          </w:p>
        </w:tc>
        <w:tc>
          <w:tcPr>
            <w:tcW w:w="850" w:type="dxa"/>
          </w:tcPr>
          <w:p w:rsidR="00F02B68" w:rsidRPr="00C50B23" w:rsidRDefault="00F02B68" w:rsidP="004956C2">
            <w:pPr>
              <w:spacing w:before="240"/>
              <w:rPr>
                <w:rFonts w:cs="Times New Roman"/>
                <w:sz w:val="24"/>
                <w:szCs w:val="24"/>
              </w:rPr>
            </w:pPr>
            <w:r w:rsidRPr="00C50B23">
              <w:rPr>
                <w:rFonts w:cs="Times New Roman"/>
                <w:sz w:val="24"/>
                <w:szCs w:val="24"/>
              </w:rPr>
              <w:t>2000</w:t>
            </w:r>
          </w:p>
        </w:tc>
        <w:tc>
          <w:tcPr>
            <w:tcW w:w="1134" w:type="dxa"/>
          </w:tcPr>
          <w:p w:rsidR="00F02B68" w:rsidRPr="00C50B23" w:rsidRDefault="00F02B68" w:rsidP="004956C2">
            <w:pPr>
              <w:spacing w:before="240"/>
              <w:rPr>
                <w:rFonts w:cs="Times New Roman"/>
                <w:sz w:val="24"/>
                <w:szCs w:val="24"/>
              </w:rPr>
            </w:pPr>
            <w:r w:rsidRPr="00C50B23">
              <w:rPr>
                <w:rFonts w:cs="Times New Roman"/>
                <w:sz w:val="24"/>
                <w:szCs w:val="24"/>
              </w:rPr>
              <w:t>Absolute</w:t>
            </w:r>
          </w:p>
        </w:tc>
        <w:tc>
          <w:tcPr>
            <w:tcW w:w="4820" w:type="dxa"/>
          </w:tcPr>
          <w:p w:rsidR="00F02B68" w:rsidRDefault="00F02B68" w:rsidP="004956C2">
            <w:pPr>
              <w:spacing w:before="240"/>
              <w:rPr>
                <w:rFonts w:cs="Times New Roman"/>
                <w:sz w:val="24"/>
                <w:szCs w:val="24"/>
              </w:rPr>
            </w:pPr>
            <w:r w:rsidRPr="00C50B23">
              <w:rPr>
                <w:rFonts w:cs="Times New Roman"/>
                <w:sz w:val="24"/>
                <w:szCs w:val="24"/>
              </w:rPr>
              <w:t xml:space="preserve">The 10% indicator </w:t>
            </w:r>
            <w:r>
              <w:rPr>
                <w:rFonts w:cs="Times New Roman"/>
                <w:sz w:val="24"/>
                <w:szCs w:val="24"/>
              </w:rPr>
              <w:t>uses</w:t>
            </w:r>
            <w:r w:rsidRPr="00C50B23">
              <w:rPr>
                <w:rFonts w:cs="Times New Roman"/>
                <w:sz w:val="24"/>
                <w:szCs w:val="24"/>
              </w:rPr>
              <w:t xml:space="preserve"> a ratio </w:t>
            </w:r>
            <w:r>
              <w:rPr>
                <w:rFonts w:cs="Times New Roman"/>
                <w:sz w:val="24"/>
                <w:szCs w:val="24"/>
              </w:rPr>
              <w:t>of modelled fuel costs (</w:t>
            </w:r>
            <w:r w:rsidRPr="00C50B23">
              <w:rPr>
                <w:rFonts w:cs="Times New Roman"/>
                <w:sz w:val="24"/>
                <w:szCs w:val="24"/>
              </w:rPr>
              <w:t>consumption and energy price) and income (Before Hou</w:t>
            </w:r>
            <w:r>
              <w:rPr>
                <w:rFonts w:cs="Times New Roman"/>
                <w:sz w:val="24"/>
                <w:szCs w:val="24"/>
              </w:rPr>
              <w:t>sing Costs). Hou</w:t>
            </w:r>
            <w:r w:rsidRPr="00C50B23">
              <w:rPr>
                <w:rFonts w:cs="Times New Roman"/>
                <w:sz w:val="24"/>
                <w:szCs w:val="24"/>
              </w:rPr>
              <w:t>seholds exceed</w:t>
            </w:r>
            <w:r>
              <w:rPr>
                <w:rFonts w:cs="Times New Roman"/>
                <w:sz w:val="24"/>
                <w:szCs w:val="24"/>
              </w:rPr>
              <w:t>ing</w:t>
            </w:r>
            <w:r w:rsidRPr="00C50B23">
              <w:rPr>
                <w:rFonts w:cs="Times New Roman"/>
                <w:sz w:val="24"/>
                <w:szCs w:val="24"/>
              </w:rPr>
              <w:t xml:space="preserve"> a ratio of 0.1 are fuel poor.</w:t>
            </w:r>
          </w:p>
          <w:p w:rsidR="00F02B68" w:rsidRPr="00C50B23" w:rsidRDefault="00F02B68" w:rsidP="004956C2">
            <w:pPr>
              <w:rPr>
                <w:rFonts w:cs="Times New Roman"/>
                <w:sz w:val="12"/>
                <w:szCs w:val="24"/>
              </w:rPr>
            </w:pPr>
          </w:p>
        </w:tc>
      </w:tr>
    </w:tbl>
    <w:p w:rsidR="00F02B68" w:rsidRDefault="00F02B68" w:rsidP="00F02B68">
      <w:pPr>
        <w:spacing w:before="240" w:line="360" w:lineRule="auto"/>
      </w:pPr>
      <w:r>
        <w:rPr>
          <w:rFonts w:cs="Times New Roman"/>
          <w:sz w:val="24"/>
          <w:szCs w:val="24"/>
        </w:rPr>
        <w:t>Source: DECC (2016)</w:t>
      </w:r>
    </w:p>
    <w:p w:rsidR="004506F6" w:rsidRDefault="004506F6" w:rsidP="00C302DD">
      <w:pPr>
        <w:spacing w:line="360" w:lineRule="auto"/>
        <w:jc w:val="both"/>
        <w:rPr>
          <w:rFonts w:eastAsiaTheme="majorEastAsia" w:cs="Times New Roman"/>
          <w:b/>
          <w:bCs/>
          <w:sz w:val="24"/>
          <w:szCs w:val="24"/>
        </w:rPr>
      </w:pPr>
    </w:p>
    <w:p w:rsidR="00F02B68" w:rsidRDefault="00F02B68" w:rsidP="00C302DD">
      <w:pPr>
        <w:spacing w:line="360" w:lineRule="auto"/>
        <w:jc w:val="both"/>
        <w:rPr>
          <w:rFonts w:eastAsiaTheme="majorEastAsia" w:cs="Times New Roman"/>
          <w:b/>
          <w:bCs/>
          <w:sz w:val="24"/>
          <w:szCs w:val="24"/>
        </w:rPr>
      </w:pPr>
    </w:p>
    <w:p w:rsidR="00F02B68" w:rsidRDefault="00F02B68" w:rsidP="00C302DD">
      <w:pPr>
        <w:spacing w:line="360" w:lineRule="auto"/>
        <w:jc w:val="both"/>
        <w:rPr>
          <w:rFonts w:eastAsiaTheme="majorEastAsia" w:cs="Times New Roman"/>
          <w:b/>
          <w:bCs/>
          <w:sz w:val="24"/>
          <w:szCs w:val="24"/>
        </w:rPr>
        <w:sectPr w:rsidR="00F02B68" w:rsidSect="00F02B68">
          <w:type w:val="continuous"/>
          <w:pgSz w:w="16838" w:h="11906" w:orient="landscape"/>
          <w:pgMar w:top="1440" w:right="1440" w:bottom="1440" w:left="1440" w:header="709" w:footer="709" w:gutter="0"/>
          <w:cols w:space="708"/>
          <w:docGrid w:linePitch="360"/>
        </w:sectPr>
      </w:pPr>
    </w:p>
    <w:p w:rsidR="008B3788" w:rsidRPr="00C50B23" w:rsidRDefault="00D16E3C" w:rsidP="00C302DD">
      <w:pPr>
        <w:spacing w:line="360" w:lineRule="auto"/>
        <w:jc w:val="both"/>
        <w:rPr>
          <w:rFonts w:eastAsiaTheme="majorEastAsia" w:cs="Times New Roman"/>
          <w:b/>
          <w:bCs/>
          <w:sz w:val="24"/>
          <w:szCs w:val="24"/>
        </w:rPr>
      </w:pPr>
      <w:r>
        <w:rPr>
          <w:rFonts w:eastAsiaTheme="majorEastAsia" w:cs="Times New Roman"/>
          <w:b/>
          <w:bCs/>
          <w:sz w:val="24"/>
          <w:szCs w:val="24"/>
        </w:rPr>
        <w:lastRenderedPageBreak/>
        <w:t>Methodological approach</w:t>
      </w:r>
    </w:p>
    <w:p w:rsidR="00F22963" w:rsidRDefault="008B3788" w:rsidP="00C302DD">
      <w:pPr>
        <w:spacing w:line="360" w:lineRule="auto"/>
        <w:jc w:val="both"/>
        <w:rPr>
          <w:rFonts w:cs="Times New Roman"/>
          <w:sz w:val="24"/>
          <w:szCs w:val="24"/>
        </w:rPr>
      </w:pPr>
      <w:r w:rsidRPr="004722A3">
        <w:rPr>
          <w:rFonts w:cs="Times New Roman"/>
          <w:sz w:val="24"/>
          <w:szCs w:val="24"/>
        </w:rPr>
        <w:t xml:space="preserve">To investigate where and to what extent existing fuel poverty indicators reflect the socio-spatial distribution of vulnerabilities associated with a lack </w:t>
      </w:r>
      <w:r w:rsidR="00C50B23">
        <w:rPr>
          <w:rFonts w:cs="Times New Roman"/>
          <w:sz w:val="24"/>
          <w:szCs w:val="24"/>
        </w:rPr>
        <w:t xml:space="preserve">sufficient </w:t>
      </w:r>
      <w:r w:rsidR="006A5E8B">
        <w:rPr>
          <w:rFonts w:cs="Times New Roman"/>
          <w:sz w:val="24"/>
          <w:szCs w:val="24"/>
        </w:rPr>
        <w:t xml:space="preserve">domestic </w:t>
      </w:r>
      <w:r w:rsidRPr="004722A3">
        <w:rPr>
          <w:rFonts w:cs="Times New Roman"/>
          <w:sz w:val="24"/>
          <w:szCs w:val="24"/>
        </w:rPr>
        <w:t>energy</w:t>
      </w:r>
      <w:r w:rsidR="00C50B23">
        <w:rPr>
          <w:rFonts w:cs="Times New Roman"/>
          <w:sz w:val="24"/>
          <w:szCs w:val="24"/>
        </w:rPr>
        <w:t xml:space="preserve"> services</w:t>
      </w:r>
      <w:r w:rsidRPr="004722A3">
        <w:rPr>
          <w:rFonts w:cs="Times New Roman"/>
          <w:sz w:val="24"/>
          <w:szCs w:val="24"/>
        </w:rPr>
        <w:t xml:space="preserve">, sub-regional </w:t>
      </w:r>
      <w:r w:rsidR="006A5E8B">
        <w:rPr>
          <w:rFonts w:cs="Times New Roman"/>
          <w:sz w:val="24"/>
          <w:szCs w:val="24"/>
        </w:rPr>
        <w:t xml:space="preserve">fuel poverty </w:t>
      </w:r>
      <w:r w:rsidRPr="004722A3">
        <w:rPr>
          <w:rFonts w:cs="Times New Roman"/>
          <w:sz w:val="24"/>
          <w:szCs w:val="24"/>
        </w:rPr>
        <w:t>estimates are scrutinised at a neighbourhood scale, considering their relationship with a range of socio-economic, demographic and socio-technical</w:t>
      </w:r>
      <w:r w:rsidR="00D16E3C">
        <w:rPr>
          <w:rFonts w:cs="Times New Roman"/>
          <w:sz w:val="24"/>
          <w:szCs w:val="24"/>
        </w:rPr>
        <w:t xml:space="preserve"> variable</w:t>
      </w:r>
      <w:r w:rsidRPr="004722A3">
        <w:rPr>
          <w:rFonts w:cs="Times New Roman"/>
          <w:sz w:val="24"/>
          <w:szCs w:val="24"/>
        </w:rPr>
        <w:t>s. Place-based effects upon these relationships are accounted for using GWR.</w:t>
      </w:r>
    </w:p>
    <w:p w:rsidR="008B3788" w:rsidRPr="00980CD2" w:rsidRDefault="008B3788" w:rsidP="00C302DD">
      <w:pPr>
        <w:spacing w:line="360" w:lineRule="auto"/>
        <w:jc w:val="both"/>
        <w:rPr>
          <w:rFonts w:eastAsiaTheme="majorEastAsia" w:cs="Times New Roman"/>
          <w:bCs/>
          <w:i/>
          <w:sz w:val="24"/>
          <w:szCs w:val="24"/>
        </w:rPr>
      </w:pPr>
      <w:r w:rsidRPr="00980CD2">
        <w:rPr>
          <w:rFonts w:eastAsiaTheme="majorEastAsia" w:cs="Times New Roman"/>
          <w:bCs/>
          <w:i/>
          <w:sz w:val="24"/>
          <w:szCs w:val="24"/>
        </w:rPr>
        <w:t>Scale of analysis</w:t>
      </w:r>
    </w:p>
    <w:p w:rsidR="00C50B23" w:rsidRDefault="008B3788" w:rsidP="00C302DD">
      <w:pPr>
        <w:spacing w:line="360" w:lineRule="auto"/>
        <w:jc w:val="both"/>
        <w:rPr>
          <w:rFonts w:eastAsia="Times New Roman" w:cs="Times New Roman"/>
          <w:sz w:val="24"/>
          <w:szCs w:val="24"/>
          <w:lang w:eastAsia="en-GB"/>
        </w:rPr>
      </w:pPr>
      <w:r w:rsidRPr="004722A3">
        <w:rPr>
          <w:rFonts w:eastAsia="Times New Roman" w:cs="Times New Roman"/>
          <w:sz w:val="24"/>
          <w:szCs w:val="24"/>
          <w:lang w:eastAsia="en-GB"/>
        </w:rPr>
        <w:t xml:space="preserve">The analysis is carried out at the </w:t>
      </w:r>
      <w:r w:rsidR="00373224">
        <w:rPr>
          <w:rFonts w:eastAsia="Times New Roman" w:cs="Times New Roman"/>
          <w:sz w:val="24"/>
          <w:szCs w:val="24"/>
          <w:lang w:eastAsia="en-GB"/>
        </w:rPr>
        <w:t>LSOA</w:t>
      </w:r>
      <w:r w:rsidRPr="004722A3">
        <w:rPr>
          <w:rFonts w:eastAsia="Times New Roman" w:cs="Times New Roman"/>
          <w:sz w:val="24"/>
          <w:szCs w:val="24"/>
          <w:lang w:eastAsia="en-GB"/>
        </w:rPr>
        <w:t xml:space="preserve"> scale, nei</w:t>
      </w:r>
      <w:r w:rsidR="00CD46F9">
        <w:rPr>
          <w:rFonts w:eastAsia="Times New Roman" w:cs="Times New Roman"/>
          <w:sz w:val="24"/>
          <w:szCs w:val="24"/>
          <w:lang w:eastAsia="en-GB"/>
        </w:rPr>
        <w:t xml:space="preserve">ghbourhood units designed for </w:t>
      </w:r>
      <w:r w:rsidRPr="004722A3">
        <w:rPr>
          <w:rFonts w:eastAsia="Times New Roman" w:cs="Times New Roman"/>
          <w:sz w:val="24"/>
          <w:szCs w:val="24"/>
          <w:lang w:eastAsia="en-GB"/>
        </w:rPr>
        <w:t xml:space="preserve">reporting of small area statistics that represent between </w:t>
      </w:r>
      <w:r w:rsidRPr="004722A3">
        <w:rPr>
          <w:rFonts w:eastAsia="Times New Roman" w:cs="Times New Roman"/>
          <w:sz w:val="24"/>
          <w:szCs w:val="24"/>
        </w:rPr>
        <w:t>400 and 1200 households (ONS 2011a</w:t>
      </w:r>
      <w:r w:rsidR="00894D3A">
        <w:rPr>
          <w:rFonts w:eastAsia="Times New Roman" w:cs="Times New Roman"/>
          <w:sz w:val="24"/>
          <w:szCs w:val="24"/>
        </w:rPr>
        <w:t>.</w:t>
      </w:r>
      <w:r w:rsidRPr="004722A3">
        <w:rPr>
          <w:rFonts w:eastAsia="Times New Roman" w:cs="Times New Roman"/>
          <w:sz w:val="24"/>
          <w:szCs w:val="24"/>
        </w:rPr>
        <w:t xml:space="preserve">). Whilst issues exist pertaining to the ability of LSOA to represent the complexity of the neighbourhood, as LSOA can conceal considerable diversity between the households they represent as socially homogenous, they are the most appropriate analysis scale given the use of administrative data. Each LSOA is represented in the analysis by a </w:t>
      </w:r>
      <w:r w:rsidRPr="004722A3">
        <w:rPr>
          <w:rFonts w:eastAsia="Times New Roman" w:cs="Times New Roman"/>
          <w:sz w:val="24"/>
          <w:szCs w:val="24"/>
          <w:lang w:eastAsia="en-GB"/>
        </w:rPr>
        <w:t>population-weighted centroid, a single reference point derived from the spatial distribution of the population within the LSOA.</w:t>
      </w:r>
    </w:p>
    <w:p w:rsidR="008B3788" w:rsidRPr="00980CD2" w:rsidRDefault="008B3788" w:rsidP="00C302DD">
      <w:pPr>
        <w:spacing w:line="360" w:lineRule="auto"/>
        <w:jc w:val="both"/>
        <w:rPr>
          <w:rFonts w:eastAsiaTheme="majorEastAsia" w:cs="Times New Roman"/>
          <w:bCs/>
          <w:i/>
          <w:sz w:val="24"/>
          <w:szCs w:val="24"/>
        </w:rPr>
      </w:pPr>
      <w:r w:rsidRPr="00980CD2">
        <w:rPr>
          <w:rFonts w:eastAsia="Times New Roman" w:cs="Times New Roman"/>
          <w:i/>
          <w:sz w:val="24"/>
          <w:szCs w:val="24"/>
          <w:lang w:eastAsia="en-GB"/>
        </w:rPr>
        <w:t xml:space="preserve"> </w:t>
      </w:r>
      <w:r w:rsidRPr="00980CD2">
        <w:rPr>
          <w:rFonts w:eastAsiaTheme="majorEastAsia" w:cs="Times New Roman"/>
          <w:bCs/>
          <w:i/>
          <w:sz w:val="24"/>
          <w:szCs w:val="24"/>
        </w:rPr>
        <w:t xml:space="preserve">Geographically weighted regression </w:t>
      </w:r>
    </w:p>
    <w:p w:rsidR="00CD46F9" w:rsidRDefault="008B3788" w:rsidP="00FB11C5">
      <w:pPr>
        <w:spacing w:line="360" w:lineRule="auto"/>
        <w:jc w:val="both"/>
        <w:rPr>
          <w:rFonts w:eastAsia="Times New Roman" w:cs="Times New Roman"/>
          <w:bCs/>
          <w:sz w:val="24"/>
          <w:szCs w:val="24"/>
          <w:lang w:eastAsia="en-GB"/>
        </w:rPr>
      </w:pPr>
      <w:r w:rsidRPr="004722A3">
        <w:rPr>
          <w:rFonts w:cs="Times New Roman"/>
          <w:sz w:val="24"/>
          <w:szCs w:val="24"/>
        </w:rPr>
        <w:t>Regression techniques</w:t>
      </w:r>
      <w:r w:rsidR="006A5E8B">
        <w:rPr>
          <w:rFonts w:cs="Times New Roman"/>
          <w:sz w:val="24"/>
          <w:szCs w:val="24"/>
        </w:rPr>
        <w:t xml:space="preserve"> indicate the </w:t>
      </w:r>
      <w:r w:rsidRPr="004722A3">
        <w:rPr>
          <w:rFonts w:cs="Times New Roman"/>
          <w:sz w:val="24"/>
          <w:szCs w:val="24"/>
        </w:rPr>
        <w:t xml:space="preserve">type and strength of the relationship between the dependent and independent variables; in this instance fuel poverty estimates for each indicator and socio-spatial vulnerability variables. </w:t>
      </w:r>
      <w:r w:rsidRPr="004722A3">
        <w:rPr>
          <w:rFonts w:eastAsia="Times New Roman" w:cs="Times New Roman"/>
          <w:bCs/>
          <w:sz w:val="24"/>
          <w:szCs w:val="24"/>
          <w:lang w:eastAsia="en-GB"/>
        </w:rPr>
        <w:t xml:space="preserve">When </w:t>
      </w:r>
      <w:r w:rsidR="006A5E8B">
        <w:rPr>
          <w:rFonts w:eastAsia="Times New Roman" w:cs="Times New Roman"/>
          <w:bCs/>
          <w:sz w:val="24"/>
          <w:szCs w:val="24"/>
          <w:lang w:eastAsia="en-GB"/>
        </w:rPr>
        <w:t>these relationships vary</w:t>
      </w:r>
      <w:r w:rsidRPr="004722A3">
        <w:rPr>
          <w:rFonts w:eastAsia="Times New Roman" w:cs="Times New Roman"/>
          <w:bCs/>
          <w:sz w:val="24"/>
          <w:szCs w:val="24"/>
          <w:lang w:eastAsia="en-GB"/>
        </w:rPr>
        <w:t xml:space="preserve"> across space a GWR model account</w:t>
      </w:r>
      <w:r w:rsidR="006A5E8B">
        <w:rPr>
          <w:rFonts w:eastAsia="Times New Roman" w:cs="Times New Roman"/>
          <w:bCs/>
          <w:sz w:val="24"/>
          <w:szCs w:val="24"/>
          <w:lang w:eastAsia="en-GB"/>
        </w:rPr>
        <w:t>s</w:t>
      </w:r>
      <w:r w:rsidRPr="004722A3">
        <w:rPr>
          <w:rFonts w:eastAsia="Times New Roman" w:cs="Times New Roman"/>
          <w:bCs/>
          <w:sz w:val="24"/>
          <w:szCs w:val="24"/>
          <w:lang w:eastAsia="en-GB"/>
        </w:rPr>
        <w:t xml:space="preserve"> for the effect that surrounding areas have upon </w:t>
      </w:r>
      <w:r w:rsidR="006A5E8B">
        <w:rPr>
          <w:rFonts w:eastAsia="Times New Roman" w:cs="Times New Roman"/>
          <w:bCs/>
          <w:sz w:val="24"/>
          <w:szCs w:val="24"/>
          <w:lang w:eastAsia="en-GB"/>
        </w:rPr>
        <w:t xml:space="preserve">the </w:t>
      </w:r>
      <w:r w:rsidRPr="004722A3">
        <w:rPr>
          <w:rFonts w:eastAsia="Times New Roman" w:cs="Times New Roman"/>
          <w:bCs/>
          <w:sz w:val="24"/>
          <w:szCs w:val="24"/>
          <w:lang w:eastAsia="en-GB"/>
        </w:rPr>
        <w:t>relationships in a particular neighbourhood (Fotheringham et al. 2003). For each indicator a ‘glob</w:t>
      </w:r>
      <w:r w:rsidR="00FF2496">
        <w:rPr>
          <w:rFonts w:eastAsia="Times New Roman" w:cs="Times New Roman"/>
          <w:bCs/>
          <w:sz w:val="24"/>
          <w:szCs w:val="24"/>
          <w:lang w:eastAsia="en-GB"/>
        </w:rPr>
        <w:t>al’ OLS</w:t>
      </w:r>
      <w:r w:rsidRPr="004722A3">
        <w:rPr>
          <w:rFonts w:eastAsia="Times New Roman" w:cs="Times New Roman"/>
          <w:bCs/>
          <w:sz w:val="24"/>
          <w:szCs w:val="24"/>
          <w:lang w:eastAsia="en-GB"/>
        </w:rPr>
        <w:t xml:space="preserve"> regression model (described in Robinson </w:t>
      </w:r>
      <w:r w:rsidRPr="00894D3A">
        <w:rPr>
          <w:rFonts w:eastAsia="Times New Roman" w:cs="Times New Roman"/>
          <w:bCs/>
          <w:sz w:val="24"/>
          <w:szCs w:val="24"/>
          <w:lang w:eastAsia="en-GB"/>
        </w:rPr>
        <w:t>et al.</w:t>
      </w:r>
      <w:r w:rsidR="00837E49">
        <w:rPr>
          <w:rFonts w:eastAsia="Times New Roman" w:cs="Times New Roman"/>
          <w:bCs/>
          <w:sz w:val="24"/>
          <w:szCs w:val="24"/>
          <w:lang w:eastAsia="en-GB"/>
        </w:rPr>
        <w:t xml:space="preserve"> 2017b.</w:t>
      </w:r>
      <w:r w:rsidRPr="004722A3">
        <w:rPr>
          <w:rFonts w:eastAsia="Times New Roman" w:cs="Times New Roman"/>
          <w:bCs/>
          <w:sz w:val="24"/>
          <w:szCs w:val="24"/>
          <w:lang w:eastAsia="en-GB"/>
        </w:rPr>
        <w:t xml:space="preserve">) and a ‘local’ GWR model allow for comparisons between national (global) associations and more geographically refined (local) associations. </w:t>
      </w:r>
    </w:p>
    <w:p w:rsidR="00305A59" w:rsidRDefault="008B3788" w:rsidP="00FB11C5">
      <w:pPr>
        <w:spacing w:line="360" w:lineRule="auto"/>
        <w:jc w:val="both"/>
        <w:rPr>
          <w:rFonts w:eastAsia="Times New Roman" w:cs="Times New Roman"/>
          <w:bCs/>
          <w:sz w:val="24"/>
          <w:szCs w:val="24"/>
          <w:lang w:eastAsia="en-GB"/>
        </w:rPr>
      </w:pPr>
      <w:r w:rsidRPr="004722A3">
        <w:rPr>
          <w:rFonts w:eastAsia="Times New Roman" w:cs="Times New Roman"/>
          <w:bCs/>
          <w:sz w:val="24"/>
          <w:szCs w:val="24"/>
          <w:lang w:eastAsia="en-GB"/>
        </w:rPr>
        <w:t>In contrast to the OLS</w:t>
      </w:r>
      <w:r w:rsidR="00FC21F4">
        <w:rPr>
          <w:rFonts w:eastAsia="Times New Roman" w:cs="Times New Roman"/>
          <w:bCs/>
          <w:sz w:val="24"/>
          <w:szCs w:val="24"/>
          <w:lang w:eastAsia="en-GB"/>
        </w:rPr>
        <w:t xml:space="preserve"> regression</w:t>
      </w:r>
      <w:r w:rsidR="00A800BD">
        <w:rPr>
          <w:rFonts w:eastAsia="Times New Roman" w:cs="Times New Roman"/>
          <w:bCs/>
          <w:sz w:val="24"/>
          <w:szCs w:val="24"/>
          <w:lang w:eastAsia="en-GB"/>
        </w:rPr>
        <w:t>,</w:t>
      </w:r>
      <w:r w:rsidRPr="004722A3">
        <w:rPr>
          <w:rFonts w:eastAsia="Times New Roman" w:cs="Times New Roman"/>
          <w:bCs/>
          <w:sz w:val="24"/>
          <w:szCs w:val="24"/>
          <w:lang w:eastAsia="en-GB"/>
        </w:rPr>
        <w:t xml:space="preserve"> which uses a single regression </w:t>
      </w:r>
      <w:r w:rsidR="006A5E8B">
        <w:rPr>
          <w:rFonts w:eastAsia="Times New Roman" w:cs="Times New Roman"/>
          <w:bCs/>
          <w:sz w:val="24"/>
          <w:szCs w:val="24"/>
          <w:lang w:eastAsia="en-GB"/>
        </w:rPr>
        <w:t>equation for the entire dataset</w:t>
      </w:r>
      <w:r w:rsidR="00A800BD">
        <w:rPr>
          <w:rFonts w:eastAsia="Times New Roman" w:cs="Times New Roman"/>
          <w:bCs/>
          <w:sz w:val="24"/>
          <w:szCs w:val="24"/>
          <w:lang w:eastAsia="en-GB"/>
        </w:rPr>
        <w:t>,</w:t>
      </w:r>
      <w:r w:rsidR="00FC21F4">
        <w:rPr>
          <w:rFonts w:eastAsia="Times New Roman" w:cs="Times New Roman"/>
          <w:bCs/>
          <w:sz w:val="24"/>
          <w:szCs w:val="24"/>
          <w:lang w:eastAsia="en-GB"/>
        </w:rPr>
        <w:t xml:space="preserve"> the GWR</w:t>
      </w:r>
      <w:r w:rsidRPr="004722A3">
        <w:rPr>
          <w:rFonts w:eastAsia="Times New Roman" w:cs="Times New Roman"/>
          <w:bCs/>
          <w:sz w:val="24"/>
          <w:szCs w:val="24"/>
          <w:lang w:eastAsia="en-GB"/>
        </w:rPr>
        <w:t xml:space="preserve"> fits a regression equation to every LSOA</w:t>
      </w:r>
      <w:r w:rsidR="00FC21F4">
        <w:rPr>
          <w:rFonts w:eastAsia="Times New Roman" w:cs="Times New Roman"/>
          <w:bCs/>
          <w:sz w:val="24"/>
          <w:szCs w:val="24"/>
          <w:lang w:eastAsia="en-GB"/>
        </w:rPr>
        <w:t>,</w:t>
      </w:r>
      <w:r w:rsidRPr="004722A3">
        <w:rPr>
          <w:rFonts w:eastAsia="Times New Roman" w:cs="Times New Roman"/>
          <w:bCs/>
          <w:sz w:val="24"/>
          <w:szCs w:val="24"/>
          <w:lang w:eastAsia="en-GB"/>
        </w:rPr>
        <w:t xml:space="preserve"> weighted by a function of the distance from neighbouring LSOA</w:t>
      </w:r>
      <w:r w:rsidR="00FC21F4">
        <w:rPr>
          <w:rFonts w:eastAsia="Times New Roman" w:cs="Times New Roman"/>
          <w:bCs/>
          <w:sz w:val="24"/>
          <w:szCs w:val="24"/>
          <w:lang w:eastAsia="en-GB"/>
        </w:rPr>
        <w:t>,</w:t>
      </w:r>
      <w:r w:rsidR="006A5E8B">
        <w:rPr>
          <w:rFonts w:eastAsia="Times New Roman" w:cs="Times New Roman"/>
          <w:bCs/>
          <w:sz w:val="24"/>
          <w:szCs w:val="24"/>
          <w:lang w:eastAsia="en-GB"/>
        </w:rPr>
        <w:t xml:space="preserve"> allowing</w:t>
      </w:r>
      <w:r w:rsidRPr="004722A3">
        <w:rPr>
          <w:rFonts w:eastAsia="Times New Roman" w:cs="Times New Roman"/>
          <w:bCs/>
          <w:sz w:val="24"/>
          <w:szCs w:val="24"/>
          <w:lang w:eastAsia="en-GB"/>
        </w:rPr>
        <w:t xml:space="preserve"> relationship</w:t>
      </w:r>
      <w:r w:rsidR="00894D3A">
        <w:rPr>
          <w:rFonts w:eastAsia="Times New Roman" w:cs="Times New Roman"/>
          <w:bCs/>
          <w:sz w:val="24"/>
          <w:szCs w:val="24"/>
          <w:lang w:eastAsia="en-GB"/>
        </w:rPr>
        <w:t>s</w:t>
      </w:r>
      <w:r w:rsidRPr="004722A3">
        <w:rPr>
          <w:rFonts w:eastAsia="Times New Roman" w:cs="Times New Roman"/>
          <w:bCs/>
          <w:sz w:val="24"/>
          <w:szCs w:val="24"/>
          <w:lang w:eastAsia="en-GB"/>
        </w:rPr>
        <w:t xml:space="preserve"> to vary across space</w:t>
      </w:r>
      <w:r w:rsidR="006A5E8B">
        <w:rPr>
          <w:rFonts w:eastAsia="Times New Roman" w:cs="Times New Roman"/>
          <w:bCs/>
          <w:sz w:val="24"/>
          <w:szCs w:val="24"/>
          <w:lang w:eastAsia="en-GB"/>
        </w:rPr>
        <w:t xml:space="preserve">. </w:t>
      </w:r>
      <w:r w:rsidR="00CD46F9">
        <w:rPr>
          <w:rFonts w:eastAsia="Times New Roman" w:cs="Times New Roman"/>
          <w:bCs/>
          <w:sz w:val="24"/>
          <w:szCs w:val="24"/>
          <w:lang w:eastAsia="en-GB"/>
        </w:rPr>
        <w:t>This can be articulated using the</w:t>
      </w:r>
      <w:r w:rsidR="00305A59">
        <w:rPr>
          <w:rFonts w:eastAsia="Times New Roman" w:cs="Times New Roman"/>
          <w:bCs/>
          <w:sz w:val="24"/>
          <w:szCs w:val="24"/>
          <w:lang w:eastAsia="en-GB"/>
        </w:rPr>
        <w:t xml:space="preserve"> equation: </w:t>
      </w:r>
    </w:p>
    <w:p w:rsidR="00305A59" w:rsidRDefault="000E7DDD" w:rsidP="00FB11C5">
      <w:pPr>
        <w:spacing w:line="360" w:lineRule="auto"/>
        <w:jc w:val="both"/>
        <w:rPr>
          <w:rFonts w:eastAsia="Times New Roman" w:cs="Times New Roman"/>
          <w:bCs/>
          <w:sz w:val="24"/>
          <w:szCs w:val="24"/>
          <w:lang w:eastAsia="en-GB"/>
        </w:rPr>
      </w:pPr>
      <m:oMathPara>
        <m:oMath>
          <m:sSub>
            <m:sSubPr>
              <m:ctrlPr>
                <w:rPr>
                  <w:rFonts w:ascii="Cambria Math" w:eastAsia="Times New Roman" w:hAnsi="Cambria Math" w:cs="Times New Roman"/>
                  <w:bCs/>
                  <w:i/>
                  <w:sz w:val="24"/>
                  <w:szCs w:val="24"/>
                  <w:lang w:eastAsia="en-GB"/>
                </w:rPr>
              </m:ctrlPr>
            </m:sSubPr>
            <m:e>
              <m:r>
                <w:rPr>
                  <w:rFonts w:ascii="Cambria Math" w:eastAsia="Times New Roman" w:hAnsi="Cambria Math" w:cs="Times New Roman"/>
                  <w:sz w:val="24"/>
                  <w:szCs w:val="24"/>
                  <w:lang w:eastAsia="en-GB"/>
                </w:rPr>
                <m:t>y</m:t>
              </m:r>
            </m:e>
            <m:sub>
              <m:r>
                <w:rPr>
                  <w:rFonts w:ascii="Cambria Math" w:eastAsia="Times New Roman" w:hAnsi="Cambria Math" w:cs="Times New Roman"/>
                  <w:sz w:val="24"/>
                  <w:szCs w:val="24"/>
                  <w:lang w:eastAsia="en-GB"/>
                </w:rPr>
                <m:t>i</m:t>
              </m:r>
            </m:sub>
          </m:sSub>
          <m:r>
            <w:rPr>
              <w:rFonts w:ascii="Cambria Math" w:eastAsia="Times New Roman" w:hAnsi="Cambria Math" w:cs="Times New Roman"/>
              <w:sz w:val="24"/>
              <w:szCs w:val="24"/>
              <w:lang w:eastAsia="en-GB"/>
            </w:rPr>
            <m:t>=</m:t>
          </m:r>
          <m:sSub>
            <m:sSubPr>
              <m:ctrlPr>
                <w:rPr>
                  <w:rFonts w:ascii="Cambria Math" w:eastAsia="Times New Roman" w:hAnsi="Cambria Math" w:cs="Times New Roman"/>
                  <w:bCs/>
                  <w:i/>
                  <w:sz w:val="24"/>
                  <w:szCs w:val="24"/>
                  <w:lang w:eastAsia="en-GB"/>
                </w:rPr>
              </m:ctrlPr>
            </m:sSubPr>
            <m:e>
              <m:r>
                <w:rPr>
                  <w:rFonts w:ascii="Cambria Math" w:eastAsia="Times New Roman" w:hAnsi="Cambria Math" w:cs="Times New Roman"/>
                  <w:sz w:val="24"/>
                  <w:szCs w:val="24"/>
                  <w:lang w:eastAsia="en-GB"/>
                </w:rPr>
                <m:t>a</m:t>
              </m:r>
            </m:e>
            <m:sub>
              <m:r>
                <w:rPr>
                  <w:rFonts w:ascii="Cambria Math" w:eastAsia="Times New Roman" w:hAnsi="Cambria Math" w:cs="Times New Roman"/>
                  <w:sz w:val="24"/>
                  <w:szCs w:val="24"/>
                  <w:lang w:eastAsia="en-GB"/>
                </w:rPr>
                <m:t>0</m:t>
              </m:r>
            </m:sub>
          </m:sSub>
          <m:d>
            <m:dPr>
              <m:ctrlPr>
                <w:rPr>
                  <w:rFonts w:ascii="Cambria Math" w:eastAsia="Times New Roman" w:hAnsi="Cambria Math" w:cs="Times New Roman"/>
                  <w:bCs/>
                  <w:i/>
                  <w:sz w:val="24"/>
                  <w:szCs w:val="24"/>
                  <w:lang w:eastAsia="en-GB"/>
                </w:rPr>
              </m:ctrlPr>
            </m:dPr>
            <m:e>
              <m:sSub>
                <m:sSubPr>
                  <m:ctrlPr>
                    <w:rPr>
                      <w:rFonts w:ascii="Cambria Math" w:eastAsia="Times New Roman" w:hAnsi="Cambria Math" w:cs="Times New Roman"/>
                      <w:bCs/>
                      <w:i/>
                      <w:sz w:val="24"/>
                      <w:szCs w:val="24"/>
                      <w:lang w:eastAsia="en-GB"/>
                    </w:rPr>
                  </m:ctrlPr>
                </m:sSubPr>
                <m:e>
                  <m:r>
                    <w:rPr>
                      <w:rFonts w:ascii="Cambria Math" w:eastAsia="Times New Roman" w:hAnsi="Cambria Math" w:cs="Times New Roman"/>
                      <w:sz w:val="24"/>
                      <w:szCs w:val="24"/>
                      <w:lang w:eastAsia="en-GB"/>
                    </w:rPr>
                    <m:t>u</m:t>
                  </m:r>
                </m:e>
                <m:sub>
                  <m:r>
                    <w:rPr>
                      <w:rFonts w:ascii="Cambria Math" w:eastAsia="Times New Roman" w:hAnsi="Cambria Math" w:cs="Times New Roman"/>
                      <w:sz w:val="24"/>
                      <w:szCs w:val="24"/>
                      <w:lang w:eastAsia="en-GB"/>
                    </w:rPr>
                    <m:t>i</m:t>
                  </m:r>
                </m:sub>
              </m:sSub>
              <m:r>
                <w:rPr>
                  <w:rFonts w:ascii="Cambria Math" w:eastAsia="Times New Roman" w:hAnsi="Cambria Math" w:cs="Times New Roman"/>
                  <w:sz w:val="24"/>
                  <w:szCs w:val="24"/>
                  <w:lang w:eastAsia="en-GB"/>
                </w:rPr>
                <m:t>,</m:t>
              </m:r>
              <m:sSub>
                <m:sSubPr>
                  <m:ctrlPr>
                    <w:rPr>
                      <w:rFonts w:ascii="Cambria Math" w:eastAsia="Times New Roman" w:hAnsi="Cambria Math" w:cs="Times New Roman"/>
                      <w:bCs/>
                      <w:i/>
                      <w:sz w:val="24"/>
                      <w:szCs w:val="24"/>
                      <w:lang w:eastAsia="en-GB"/>
                    </w:rPr>
                  </m:ctrlPr>
                </m:sSubPr>
                <m:e>
                  <m:r>
                    <w:rPr>
                      <w:rFonts w:ascii="Cambria Math" w:eastAsia="Times New Roman" w:hAnsi="Cambria Math" w:cs="Times New Roman"/>
                      <w:sz w:val="24"/>
                      <w:szCs w:val="24"/>
                      <w:lang w:eastAsia="en-GB"/>
                    </w:rPr>
                    <m:t>v</m:t>
                  </m:r>
                </m:e>
                <m:sub>
                  <m:r>
                    <w:rPr>
                      <w:rFonts w:ascii="Cambria Math" w:eastAsia="Times New Roman" w:hAnsi="Cambria Math" w:cs="Times New Roman"/>
                      <w:sz w:val="24"/>
                      <w:szCs w:val="24"/>
                      <w:lang w:eastAsia="en-GB"/>
                    </w:rPr>
                    <m:t>i</m:t>
                  </m:r>
                </m:sub>
              </m:sSub>
            </m:e>
          </m:d>
          <m:r>
            <w:rPr>
              <w:rFonts w:ascii="Cambria Math" w:eastAsia="Times New Roman" w:hAnsi="Cambria Math" w:cs="Times New Roman"/>
              <w:sz w:val="24"/>
              <w:szCs w:val="24"/>
              <w:lang w:eastAsia="en-GB"/>
            </w:rPr>
            <m:t>+</m:t>
          </m:r>
          <m:nary>
            <m:naryPr>
              <m:chr m:val="∑"/>
              <m:limLoc m:val="undOvr"/>
              <m:supHide m:val="1"/>
              <m:ctrlPr>
                <w:rPr>
                  <w:rFonts w:ascii="Cambria Math" w:eastAsia="Times New Roman" w:hAnsi="Cambria Math" w:cs="Times New Roman"/>
                  <w:bCs/>
                  <w:i/>
                  <w:sz w:val="24"/>
                  <w:szCs w:val="24"/>
                  <w:lang w:eastAsia="en-GB"/>
                </w:rPr>
              </m:ctrlPr>
            </m:naryPr>
            <m:sub>
              <m:r>
                <w:rPr>
                  <w:rFonts w:ascii="Cambria Math" w:eastAsia="Times New Roman" w:hAnsi="Cambria Math" w:cs="Times New Roman"/>
                  <w:sz w:val="24"/>
                  <w:szCs w:val="24"/>
                  <w:lang w:eastAsia="en-GB"/>
                </w:rPr>
                <m:t>k</m:t>
              </m:r>
            </m:sub>
            <m:sup/>
            <m:e>
              <m:sSub>
                <m:sSubPr>
                  <m:ctrlPr>
                    <w:rPr>
                      <w:rFonts w:ascii="Cambria Math" w:eastAsia="Times New Roman" w:hAnsi="Cambria Math" w:cs="Times New Roman"/>
                      <w:bCs/>
                      <w:i/>
                      <w:sz w:val="24"/>
                      <w:szCs w:val="24"/>
                      <w:lang w:eastAsia="en-GB"/>
                    </w:rPr>
                  </m:ctrlPr>
                </m:sSubPr>
                <m:e>
                  <m:r>
                    <w:rPr>
                      <w:rFonts w:ascii="Cambria Math" w:eastAsia="Times New Roman" w:hAnsi="Cambria Math" w:cs="Times New Roman"/>
                      <w:sz w:val="24"/>
                      <w:szCs w:val="24"/>
                      <w:lang w:eastAsia="en-GB"/>
                    </w:rPr>
                    <m:t>a</m:t>
                  </m:r>
                </m:e>
                <m:sub>
                  <m:r>
                    <w:rPr>
                      <w:rFonts w:ascii="Cambria Math" w:eastAsia="Times New Roman" w:hAnsi="Cambria Math" w:cs="Times New Roman"/>
                      <w:sz w:val="24"/>
                      <w:szCs w:val="24"/>
                      <w:lang w:eastAsia="en-GB"/>
                    </w:rPr>
                    <m:t>k</m:t>
                  </m:r>
                </m:sub>
              </m:sSub>
            </m:e>
          </m:nary>
          <m:d>
            <m:dPr>
              <m:ctrlPr>
                <w:rPr>
                  <w:rFonts w:ascii="Cambria Math" w:eastAsia="Times New Roman" w:hAnsi="Cambria Math" w:cs="Times New Roman"/>
                  <w:bCs/>
                  <w:i/>
                  <w:sz w:val="24"/>
                  <w:szCs w:val="24"/>
                  <w:lang w:eastAsia="en-GB"/>
                </w:rPr>
              </m:ctrlPr>
            </m:dPr>
            <m:e>
              <m:sSub>
                <m:sSubPr>
                  <m:ctrlPr>
                    <w:rPr>
                      <w:rFonts w:ascii="Cambria Math" w:eastAsia="Times New Roman" w:hAnsi="Cambria Math" w:cs="Times New Roman"/>
                      <w:bCs/>
                      <w:i/>
                      <w:sz w:val="24"/>
                      <w:szCs w:val="24"/>
                      <w:lang w:eastAsia="en-GB"/>
                    </w:rPr>
                  </m:ctrlPr>
                </m:sSubPr>
                <m:e>
                  <m:r>
                    <w:rPr>
                      <w:rFonts w:ascii="Cambria Math" w:eastAsia="Times New Roman" w:hAnsi="Cambria Math" w:cs="Times New Roman"/>
                      <w:sz w:val="24"/>
                      <w:szCs w:val="24"/>
                      <w:lang w:eastAsia="en-GB"/>
                    </w:rPr>
                    <m:t>u</m:t>
                  </m:r>
                </m:e>
                <m:sub>
                  <m:r>
                    <w:rPr>
                      <w:rFonts w:ascii="Cambria Math" w:eastAsia="Times New Roman" w:hAnsi="Cambria Math" w:cs="Times New Roman"/>
                      <w:sz w:val="24"/>
                      <w:szCs w:val="24"/>
                      <w:lang w:eastAsia="en-GB"/>
                    </w:rPr>
                    <m:t>i</m:t>
                  </m:r>
                </m:sub>
              </m:sSub>
              <m:r>
                <w:rPr>
                  <w:rFonts w:ascii="Cambria Math" w:eastAsia="Times New Roman" w:hAnsi="Cambria Math" w:cs="Times New Roman"/>
                  <w:sz w:val="24"/>
                  <w:szCs w:val="24"/>
                  <w:lang w:eastAsia="en-GB"/>
                </w:rPr>
                <m:t>,</m:t>
              </m:r>
              <m:sSub>
                <m:sSubPr>
                  <m:ctrlPr>
                    <w:rPr>
                      <w:rFonts w:ascii="Cambria Math" w:eastAsia="Times New Roman" w:hAnsi="Cambria Math" w:cs="Times New Roman"/>
                      <w:bCs/>
                      <w:i/>
                      <w:sz w:val="24"/>
                      <w:szCs w:val="24"/>
                      <w:lang w:eastAsia="en-GB"/>
                    </w:rPr>
                  </m:ctrlPr>
                </m:sSubPr>
                <m:e>
                  <m:r>
                    <w:rPr>
                      <w:rFonts w:ascii="Cambria Math" w:eastAsia="Times New Roman" w:hAnsi="Cambria Math" w:cs="Times New Roman"/>
                      <w:sz w:val="24"/>
                      <w:szCs w:val="24"/>
                      <w:lang w:eastAsia="en-GB"/>
                    </w:rPr>
                    <m:t>v</m:t>
                  </m:r>
                </m:e>
                <m:sub>
                  <m:r>
                    <w:rPr>
                      <w:rFonts w:ascii="Cambria Math" w:eastAsia="Times New Roman" w:hAnsi="Cambria Math" w:cs="Times New Roman"/>
                      <w:sz w:val="24"/>
                      <w:szCs w:val="24"/>
                      <w:lang w:eastAsia="en-GB"/>
                    </w:rPr>
                    <m:t>i</m:t>
                  </m:r>
                </m:sub>
              </m:sSub>
            </m:e>
          </m:d>
          <m:sSub>
            <m:sSubPr>
              <m:ctrlPr>
                <w:rPr>
                  <w:rFonts w:ascii="Cambria Math" w:eastAsia="Times New Roman" w:hAnsi="Cambria Math" w:cs="Times New Roman"/>
                  <w:bCs/>
                  <w:i/>
                  <w:sz w:val="24"/>
                  <w:szCs w:val="24"/>
                  <w:lang w:eastAsia="en-GB"/>
                </w:rPr>
              </m:ctrlPr>
            </m:sSubPr>
            <m:e>
              <m:r>
                <w:rPr>
                  <w:rFonts w:ascii="Cambria Math" w:eastAsia="Times New Roman" w:hAnsi="Cambria Math" w:cs="Times New Roman"/>
                  <w:sz w:val="24"/>
                  <w:szCs w:val="24"/>
                  <w:lang w:eastAsia="en-GB"/>
                </w:rPr>
                <m:t>x</m:t>
              </m:r>
            </m:e>
            <m:sub>
              <m:r>
                <w:rPr>
                  <w:rFonts w:ascii="Cambria Math" w:eastAsia="Times New Roman" w:hAnsi="Cambria Math" w:cs="Times New Roman"/>
                  <w:sz w:val="24"/>
                  <w:szCs w:val="24"/>
                  <w:lang w:eastAsia="en-GB"/>
                </w:rPr>
                <m:t>ik</m:t>
              </m:r>
            </m:sub>
          </m:sSub>
          <m:r>
            <w:rPr>
              <w:rFonts w:ascii="Cambria Math" w:eastAsia="Times New Roman" w:hAnsi="Cambria Math" w:cs="Times New Roman"/>
              <w:sz w:val="24"/>
              <w:szCs w:val="24"/>
              <w:lang w:eastAsia="en-GB"/>
            </w:rPr>
            <m:t>+</m:t>
          </m:r>
          <m:sSub>
            <m:sSubPr>
              <m:ctrlPr>
                <w:rPr>
                  <w:rFonts w:ascii="Cambria Math" w:eastAsia="Times New Roman" w:hAnsi="Cambria Math" w:cs="Times New Roman"/>
                  <w:bCs/>
                  <w:i/>
                  <w:sz w:val="24"/>
                  <w:szCs w:val="24"/>
                  <w:lang w:eastAsia="en-GB"/>
                </w:rPr>
              </m:ctrlPr>
            </m:sSubPr>
            <m:e>
              <m:r>
                <w:rPr>
                  <w:rFonts w:ascii="Cambria Math" w:eastAsia="Times New Roman" w:hAnsi="Cambria Math" w:cs="Times New Roman"/>
                  <w:sz w:val="24"/>
                  <w:szCs w:val="24"/>
                  <w:lang w:eastAsia="en-GB"/>
                </w:rPr>
                <m:t>ε</m:t>
              </m:r>
            </m:e>
            <m:sub>
              <m:r>
                <w:rPr>
                  <w:rFonts w:ascii="Cambria Math" w:eastAsia="Times New Roman" w:hAnsi="Cambria Math" w:cs="Times New Roman"/>
                  <w:sz w:val="24"/>
                  <w:szCs w:val="24"/>
                  <w:lang w:eastAsia="en-GB"/>
                </w:rPr>
                <m:t>i</m:t>
              </m:r>
            </m:sub>
          </m:sSub>
        </m:oMath>
      </m:oMathPara>
    </w:p>
    <w:p w:rsidR="00305A59" w:rsidRDefault="00CD46F9" w:rsidP="00FB11C5">
      <w:pPr>
        <w:spacing w:line="360" w:lineRule="auto"/>
        <w:jc w:val="both"/>
        <w:rPr>
          <w:rFonts w:eastAsia="Times New Roman" w:cs="Times New Roman"/>
          <w:bCs/>
          <w:sz w:val="24"/>
          <w:szCs w:val="24"/>
          <w:lang w:eastAsia="en-GB"/>
        </w:rPr>
      </w:pPr>
      <w:r>
        <w:rPr>
          <w:rFonts w:eastAsia="Times New Roman" w:cs="Times New Roman"/>
          <w:bCs/>
          <w:sz w:val="24"/>
          <w:szCs w:val="24"/>
          <w:lang w:eastAsia="en-GB"/>
        </w:rPr>
        <w:t xml:space="preserve">where </w:t>
      </w:r>
      <m:oMath>
        <m:d>
          <m:dPr>
            <m:ctrlPr>
              <w:rPr>
                <w:rFonts w:ascii="Cambria Math" w:eastAsia="Times New Roman" w:hAnsi="Cambria Math" w:cs="Times New Roman"/>
                <w:bCs/>
                <w:i/>
                <w:sz w:val="24"/>
                <w:szCs w:val="24"/>
                <w:lang w:eastAsia="en-GB"/>
              </w:rPr>
            </m:ctrlPr>
          </m:dPr>
          <m:e>
            <m:sSub>
              <m:sSubPr>
                <m:ctrlPr>
                  <w:rPr>
                    <w:rFonts w:ascii="Cambria Math" w:eastAsia="Times New Roman" w:hAnsi="Cambria Math" w:cs="Times New Roman"/>
                    <w:bCs/>
                    <w:i/>
                    <w:sz w:val="24"/>
                    <w:szCs w:val="24"/>
                    <w:lang w:eastAsia="en-GB"/>
                  </w:rPr>
                </m:ctrlPr>
              </m:sSubPr>
              <m:e>
                <m:r>
                  <w:rPr>
                    <w:rFonts w:ascii="Cambria Math" w:eastAsia="Times New Roman" w:hAnsi="Cambria Math" w:cs="Times New Roman"/>
                    <w:sz w:val="24"/>
                    <w:szCs w:val="24"/>
                    <w:lang w:eastAsia="en-GB"/>
                  </w:rPr>
                  <m:t>u</m:t>
                </m:r>
              </m:e>
              <m:sub>
                <m:r>
                  <w:rPr>
                    <w:rFonts w:ascii="Cambria Math" w:eastAsia="Times New Roman" w:hAnsi="Cambria Math" w:cs="Times New Roman"/>
                    <w:sz w:val="24"/>
                    <w:szCs w:val="24"/>
                    <w:lang w:eastAsia="en-GB"/>
                  </w:rPr>
                  <m:t>i</m:t>
                </m:r>
              </m:sub>
            </m:sSub>
            <m:r>
              <w:rPr>
                <w:rFonts w:ascii="Cambria Math" w:eastAsia="Times New Roman" w:hAnsi="Cambria Math" w:cs="Times New Roman"/>
                <w:sz w:val="24"/>
                <w:szCs w:val="24"/>
                <w:lang w:eastAsia="en-GB"/>
              </w:rPr>
              <m:t>,</m:t>
            </m:r>
            <m:sSub>
              <m:sSubPr>
                <m:ctrlPr>
                  <w:rPr>
                    <w:rFonts w:ascii="Cambria Math" w:eastAsia="Times New Roman" w:hAnsi="Cambria Math" w:cs="Times New Roman"/>
                    <w:bCs/>
                    <w:i/>
                    <w:sz w:val="24"/>
                    <w:szCs w:val="24"/>
                    <w:lang w:eastAsia="en-GB"/>
                  </w:rPr>
                </m:ctrlPr>
              </m:sSubPr>
              <m:e>
                <m:r>
                  <w:rPr>
                    <w:rFonts w:ascii="Cambria Math" w:eastAsia="Times New Roman" w:hAnsi="Cambria Math" w:cs="Times New Roman"/>
                    <w:sz w:val="24"/>
                    <w:szCs w:val="24"/>
                    <w:lang w:eastAsia="en-GB"/>
                  </w:rPr>
                  <m:t>v</m:t>
                </m:r>
              </m:e>
              <m:sub>
                <m:r>
                  <w:rPr>
                    <w:rFonts w:ascii="Cambria Math" w:eastAsia="Times New Roman" w:hAnsi="Cambria Math" w:cs="Times New Roman"/>
                    <w:sz w:val="24"/>
                    <w:szCs w:val="24"/>
                    <w:lang w:eastAsia="en-GB"/>
                  </w:rPr>
                  <m:t>i</m:t>
                </m:r>
              </m:sub>
            </m:sSub>
          </m:e>
        </m:d>
      </m:oMath>
      <w:r w:rsidR="00EF15A5">
        <w:rPr>
          <w:rFonts w:eastAsia="Times New Roman" w:cs="Times New Roman"/>
          <w:bCs/>
          <w:sz w:val="24"/>
          <w:szCs w:val="24"/>
          <w:lang w:eastAsia="en-GB"/>
        </w:rPr>
        <w:t xml:space="preserve"> </w:t>
      </w:r>
      <w:r>
        <w:rPr>
          <w:rFonts w:eastAsia="Times New Roman" w:cs="Times New Roman"/>
          <w:bCs/>
          <w:sz w:val="24"/>
          <w:szCs w:val="24"/>
          <w:lang w:eastAsia="en-GB"/>
        </w:rPr>
        <w:t>represents</w:t>
      </w:r>
      <w:r w:rsidR="00EF15A5">
        <w:rPr>
          <w:rFonts w:eastAsia="Times New Roman" w:cs="Times New Roman"/>
          <w:bCs/>
          <w:sz w:val="24"/>
          <w:szCs w:val="24"/>
          <w:lang w:eastAsia="en-GB"/>
        </w:rPr>
        <w:t xml:space="preserve"> the coordinates of the </w:t>
      </w:r>
      <m:oMath>
        <m:r>
          <w:rPr>
            <w:rFonts w:ascii="Cambria Math" w:eastAsia="Times New Roman" w:hAnsi="Cambria Math" w:cs="Times New Roman"/>
            <w:sz w:val="24"/>
            <w:szCs w:val="24"/>
            <w:lang w:eastAsia="en-GB"/>
          </w:rPr>
          <m:t>i</m:t>
        </m:r>
      </m:oMath>
      <w:r w:rsidR="00EF15A5">
        <w:rPr>
          <w:rFonts w:eastAsia="Times New Roman" w:cs="Times New Roman"/>
          <w:bCs/>
          <w:sz w:val="24"/>
          <w:szCs w:val="24"/>
          <w:lang w:eastAsia="en-GB"/>
        </w:rPr>
        <w:t>th point</w:t>
      </w:r>
      <w:r>
        <w:rPr>
          <w:rFonts w:eastAsia="Times New Roman" w:cs="Times New Roman"/>
          <w:bCs/>
          <w:sz w:val="24"/>
          <w:szCs w:val="24"/>
          <w:lang w:eastAsia="en-GB"/>
        </w:rPr>
        <w:t xml:space="preserve"> </w:t>
      </w:r>
      <w:r w:rsidR="00EF15A5">
        <w:rPr>
          <w:rFonts w:eastAsia="Times New Roman" w:cs="Times New Roman"/>
          <w:bCs/>
          <w:sz w:val="24"/>
          <w:szCs w:val="24"/>
          <w:lang w:eastAsia="en-GB"/>
        </w:rPr>
        <w:t>in space</w:t>
      </w:r>
      <w:r>
        <w:rPr>
          <w:rFonts w:eastAsia="Times New Roman" w:cs="Times New Roman"/>
          <w:bCs/>
          <w:sz w:val="24"/>
          <w:szCs w:val="24"/>
          <w:lang w:eastAsia="en-GB"/>
        </w:rPr>
        <w:t xml:space="preserve"> (each LSOA population-weighted centroid in this instance) and</w:t>
      </w:r>
      <w:r w:rsidR="00EF15A5">
        <w:rPr>
          <w:rFonts w:eastAsia="Times New Roman" w:cs="Times New Roman"/>
          <w:bCs/>
          <w:sz w:val="24"/>
          <w:szCs w:val="24"/>
          <w:lang w:eastAsia="en-GB"/>
        </w:rPr>
        <w:t xml:space="preserve"> </w:t>
      </w:r>
      <m:oMath>
        <m:sSub>
          <m:sSubPr>
            <m:ctrlPr>
              <w:rPr>
                <w:rFonts w:ascii="Cambria Math" w:eastAsia="Times New Roman" w:hAnsi="Cambria Math" w:cs="Times New Roman"/>
                <w:bCs/>
                <w:i/>
                <w:sz w:val="24"/>
                <w:szCs w:val="24"/>
                <w:lang w:eastAsia="en-GB"/>
              </w:rPr>
            </m:ctrlPr>
          </m:sSubPr>
          <m:e>
            <m:r>
              <w:rPr>
                <w:rFonts w:ascii="Cambria Math" w:eastAsia="Times New Roman" w:hAnsi="Cambria Math" w:cs="Times New Roman"/>
                <w:sz w:val="24"/>
                <w:szCs w:val="24"/>
                <w:lang w:eastAsia="en-GB"/>
              </w:rPr>
              <m:t>a</m:t>
            </m:r>
          </m:e>
          <m:sub>
            <m:r>
              <w:rPr>
                <w:rFonts w:ascii="Cambria Math" w:eastAsia="Times New Roman" w:hAnsi="Cambria Math" w:cs="Times New Roman"/>
                <w:sz w:val="24"/>
                <w:szCs w:val="24"/>
                <w:lang w:eastAsia="en-GB"/>
              </w:rPr>
              <m:t>k</m:t>
            </m:r>
          </m:sub>
        </m:sSub>
        <m:r>
          <w:rPr>
            <w:rFonts w:ascii="Cambria Math" w:eastAsia="Times New Roman" w:hAnsi="Cambria Math" w:cs="Times New Roman"/>
            <w:sz w:val="24"/>
            <w:szCs w:val="24"/>
            <w:lang w:eastAsia="en-GB"/>
          </w:rPr>
          <m:t>(</m:t>
        </m:r>
        <m:sSub>
          <m:sSubPr>
            <m:ctrlPr>
              <w:rPr>
                <w:rFonts w:ascii="Cambria Math" w:eastAsia="Times New Roman" w:hAnsi="Cambria Math" w:cs="Times New Roman"/>
                <w:bCs/>
                <w:i/>
                <w:sz w:val="24"/>
                <w:szCs w:val="24"/>
                <w:lang w:eastAsia="en-GB"/>
              </w:rPr>
            </m:ctrlPr>
          </m:sSubPr>
          <m:e>
            <m:r>
              <w:rPr>
                <w:rFonts w:ascii="Cambria Math" w:eastAsia="Times New Roman" w:hAnsi="Cambria Math" w:cs="Times New Roman"/>
                <w:sz w:val="24"/>
                <w:szCs w:val="24"/>
                <w:lang w:eastAsia="en-GB"/>
              </w:rPr>
              <m:t>u</m:t>
            </m:r>
          </m:e>
          <m:sub>
            <m:r>
              <w:rPr>
                <w:rFonts w:ascii="Cambria Math" w:eastAsia="Times New Roman" w:hAnsi="Cambria Math" w:cs="Times New Roman"/>
                <w:sz w:val="24"/>
                <w:szCs w:val="24"/>
                <w:lang w:eastAsia="en-GB"/>
              </w:rPr>
              <m:t>i</m:t>
            </m:r>
          </m:sub>
        </m:sSub>
        <m:r>
          <w:rPr>
            <w:rFonts w:ascii="Cambria Math" w:eastAsia="Times New Roman" w:hAnsi="Cambria Math" w:cs="Times New Roman"/>
            <w:sz w:val="24"/>
            <w:szCs w:val="24"/>
            <w:lang w:eastAsia="en-GB"/>
          </w:rPr>
          <m:t>,</m:t>
        </m:r>
        <m:sSub>
          <m:sSubPr>
            <m:ctrlPr>
              <w:rPr>
                <w:rFonts w:ascii="Cambria Math" w:eastAsia="Times New Roman" w:hAnsi="Cambria Math" w:cs="Times New Roman"/>
                <w:bCs/>
                <w:i/>
                <w:sz w:val="24"/>
                <w:szCs w:val="24"/>
                <w:lang w:eastAsia="en-GB"/>
              </w:rPr>
            </m:ctrlPr>
          </m:sSubPr>
          <m:e>
            <m:r>
              <w:rPr>
                <w:rFonts w:ascii="Cambria Math" w:eastAsia="Times New Roman" w:hAnsi="Cambria Math" w:cs="Times New Roman"/>
                <w:sz w:val="24"/>
                <w:szCs w:val="24"/>
                <w:lang w:eastAsia="en-GB"/>
              </w:rPr>
              <m:t>v</m:t>
            </m:r>
          </m:e>
          <m:sub>
            <m:r>
              <w:rPr>
                <w:rFonts w:ascii="Cambria Math" w:eastAsia="Times New Roman" w:hAnsi="Cambria Math" w:cs="Times New Roman"/>
                <w:sz w:val="24"/>
                <w:szCs w:val="24"/>
                <w:lang w:eastAsia="en-GB"/>
              </w:rPr>
              <m:t>i</m:t>
            </m:r>
          </m:sub>
        </m:sSub>
        <m:r>
          <w:rPr>
            <w:rFonts w:ascii="Cambria Math" w:eastAsia="Times New Roman" w:hAnsi="Cambria Math" w:cs="Times New Roman"/>
            <w:sz w:val="24"/>
            <w:szCs w:val="24"/>
            <w:lang w:eastAsia="en-GB"/>
          </w:rPr>
          <m:t>)</m:t>
        </m:r>
      </m:oMath>
      <w:r w:rsidR="00EF15A5">
        <w:rPr>
          <w:rFonts w:eastAsia="Times New Roman" w:cs="Times New Roman"/>
          <w:bCs/>
          <w:sz w:val="24"/>
          <w:szCs w:val="24"/>
          <w:lang w:eastAsia="en-GB"/>
        </w:rPr>
        <w:t xml:space="preserve"> is </w:t>
      </w:r>
      <w:r>
        <w:rPr>
          <w:rFonts w:eastAsia="Times New Roman" w:cs="Times New Roman"/>
          <w:bCs/>
          <w:sz w:val="24"/>
          <w:szCs w:val="24"/>
          <w:lang w:eastAsia="en-GB"/>
        </w:rPr>
        <w:t>the</w:t>
      </w:r>
      <w:r w:rsidR="00EF15A5">
        <w:rPr>
          <w:rFonts w:eastAsia="Times New Roman" w:cs="Times New Roman"/>
          <w:bCs/>
          <w:sz w:val="24"/>
          <w:szCs w:val="24"/>
          <w:lang w:eastAsia="en-GB"/>
        </w:rPr>
        <w:t xml:space="preserve"> continuous function </w:t>
      </w:r>
      <m:oMath>
        <m:sSub>
          <m:sSubPr>
            <m:ctrlPr>
              <w:rPr>
                <w:rFonts w:ascii="Cambria Math" w:eastAsia="Times New Roman" w:hAnsi="Cambria Math" w:cs="Times New Roman"/>
                <w:bCs/>
                <w:i/>
                <w:sz w:val="24"/>
                <w:szCs w:val="24"/>
                <w:lang w:eastAsia="en-GB"/>
              </w:rPr>
            </m:ctrlPr>
          </m:sSubPr>
          <m:e>
            <m:r>
              <w:rPr>
                <w:rFonts w:ascii="Cambria Math" w:eastAsia="Times New Roman" w:hAnsi="Cambria Math" w:cs="Times New Roman"/>
                <w:sz w:val="24"/>
                <w:szCs w:val="24"/>
                <w:lang w:eastAsia="en-GB"/>
              </w:rPr>
              <m:t>a</m:t>
            </m:r>
          </m:e>
          <m:sub>
            <m:r>
              <w:rPr>
                <w:rFonts w:ascii="Cambria Math" w:eastAsia="Times New Roman" w:hAnsi="Cambria Math" w:cs="Times New Roman"/>
                <w:sz w:val="24"/>
                <w:szCs w:val="24"/>
                <w:lang w:eastAsia="en-GB"/>
              </w:rPr>
              <m:t>k</m:t>
            </m:r>
          </m:sub>
        </m:sSub>
        <m:r>
          <w:rPr>
            <w:rFonts w:ascii="Cambria Math" w:eastAsia="Times New Roman" w:hAnsi="Cambria Math" w:cs="Times New Roman"/>
            <w:sz w:val="24"/>
            <w:szCs w:val="24"/>
            <w:lang w:eastAsia="en-GB"/>
          </w:rPr>
          <m:t>(u,v)</m:t>
        </m:r>
      </m:oMath>
      <w:r>
        <w:rPr>
          <w:rFonts w:eastAsia="Times New Roman" w:cs="Times New Roman"/>
          <w:bCs/>
          <w:sz w:val="24"/>
          <w:szCs w:val="24"/>
          <w:lang w:eastAsia="en-GB"/>
        </w:rPr>
        <w:t xml:space="preserve"> realised at each point </w:t>
      </w:r>
      <m:oMath>
        <m:r>
          <w:rPr>
            <w:rFonts w:ascii="Cambria Math" w:eastAsia="Times New Roman" w:hAnsi="Cambria Math" w:cs="Times New Roman"/>
            <w:sz w:val="24"/>
            <w:szCs w:val="24"/>
            <w:lang w:eastAsia="en-GB"/>
          </w:rPr>
          <m:t>i</m:t>
        </m:r>
      </m:oMath>
      <w:r w:rsidR="00DD2BF4">
        <w:rPr>
          <w:rFonts w:eastAsia="Times New Roman" w:cs="Times New Roman"/>
          <w:bCs/>
          <w:sz w:val="24"/>
          <w:szCs w:val="24"/>
          <w:lang w:eastAsia="en-GB"/>
        </w:rPr>
        <w:t xml:space="preserve"> (Fotheringham et al. 2003)</w:t>
      </w:r>
      <w:r>
        <w:rPr>
          <w:rFonts w:eastAsia="Times New Roman" w:cs="Times New Roman"/>
          <w:bCs/>
          <w:sz w:val="24"/>
          <w:szCs w:val="24"/>
          <w:lang w:eastAsia="en-GB"/>
        </w:rPr>
        <w:t xml:space="preserve">. </w:t>
      </w:r>
    </w:p>
    <w:p w:rsidR="009A26CF" w:rsidRPr="004722A3" w:rsidRDefault="006A5E8B" w:rsidP="00FB11C5">
      <w:pPr>
        <w:spacing w:line="360" w:lineRule="auto"/>
        <w:jc w:val="both"/>
        <w:rPr>
          <w:rFonts w:eastAsia="Times New Roman" w:cs="Times New Roman"/>
          <w:bCs/>
          <w:sz w:val="24"/>
          <w:szCs w:val="24"/>
          <w:lang w:eastAsia="en-GB"/>
        </w:rPr>
      </w:pPr>
      <w:r>
        <w:rPr>
          <w:rFonts w:eastAsia="Times New Roman" w:cs="Times New Roman"/>
          <w:bCs/>
          <w:sz w:val="24"/>
          <w:szCs w:val="24"/>
          <w:lang w:eastAsia="en-GB"/>
        </w:rPr>
        <w:t>To account for variation in LSOA</w:t>
      </w:r>
      <w:r w:rsidR="008B3788" w:rsidRPr="004722A3">
        <w:rPr>
          <w:rFonts w:eastAsia="Times New Roman" w:cs="Times New Roman"/>
          <w:bCs/>
          <w:sz w:val="24"/>
          <w:szCs w:val="24"/>
          <w:lang w:eastAsia="en-GB"/>
        </w:rPr>
        <w:t xml:space="preserve"> size an adaptive bandwidth determines its weighting, allow</w:t>
      </w:r>
      <w:r>
        <w:rPr>
          <w:rFonts w:eastAsia="Times New Roman" w:cs="Times New Roman"/>
          <w:bCs/>
          <w:sz w:val="24"/>
          <w:szCs w:val="24"/>
          <w:lang w:eastAsia="en-GB"/>
        </w:rPr>
        <w:t xml:space="preserve">ing for a smaller bandwidth </w:t>
      </w:r>
      <w:r w:rsidR="00DD2BF4">
        <w:rPr>
          <w:rFonts w:eastAsia="Times New Roman" w:cs="Times New Roman"/>
          <w:bCs/>
          <w:sz w:val="24"/>
          <w:szCs w:val="24"/>
          <w:lang w:eastAsia="en-GB"/>
        </w:rPr>
        <w:t xml:space="preserve">around </w:t>
      </w:r>
      <w:r w:rsidR="009A26CF">
        <w:rPr>
          <w:rFonts w:eastAsia="Times New Roman" w:cs="Times New Roman"/>
          <w:bCs/>
          <w:sz w:val="24"/>
          <w:szCs w:val="24"/>
          <w:lang w:eastAsia="en-GB"/>
        </w:rPr>
        <w:t>population centroids</w:t>
      </w:r>
      <w:r w:rsidR="00DD2BF4">
        <w:rPr>
          <w:rFonts w:eastAsia="Times New Roman" w:cs="Times New Roman"/>
          <w:bCs/>
          <w:sz w:val="24"/>
          <w:szCs w:val="24"/>
          <w:lang w:eastAsia="en-GB"/>
        </w:rPr>
        <w:t xml:space="preserve"> </w:t>
      </w:r>
      <w:r>
        <w:rPr>
          <w:rFonts w:eastAsia="Times New Roman" w:cs="Times New Roman"/>
          <w:bCs/>
          <w:sz w:val="24"/>
          <w:szCs w:val="24"/>
          <w:lang w:eastAsia="en-GB"/>
        </w:rPr>
        <w:t>where</w:t>
      </w:r>
      <w:r w:rsidR="008B3788" w:rsidRPr="004722A3">
        <w:rPr>
          <w:rFonts w:eastAsia="Times New Roman" w:cs="Times New Roman"/>
          <w:bCs/>
          <w:sz w:val="24"/>
          <w:szCs w:val="24"/>
          <w:lang w:eastAsia="en-GB"/>
        </w:rPr>
        <w:t xml:space="preserve"> </w:t>
      </w:r>
      <w:r w:rsidR="00DD2BF4">
        <w:rPr>
          <w:rFonts w:eastAsia="Times New Roman" w:cs="Times New Roman"/>
          <w:bCs/>
          <w:sz w:val="24"/>
          <w:szCs w:val="24"/>
          <w:lang w:eastAsia="en-GB"/>
        </w:rPr>
        <w:t xml:space="preserve">the </w:t>
      </w:r>
      <w:r w:rsidR="008B3788" w:rsidRPr="004722A3">
        <w:rPr>
          <w:rFonts w:eastAsia="Times New Roman" w:cs="Times New Roman"/>
          <w:bCs/>
          <w:sz w:val="24"/>
          <w:szCs w:val="24"/>
          <w:lang w:eastAsia="en-GB"/>
        </w:rPr>
        <w:t>data is denser (Fotheringham et al. 2003</w:t>
      </w:r>
      <w:r w:rsidR="00894D3A">
        <w:rPr>
          <w:rFonts w:eastAsia="Times New Roman" w:cs="Times New Roman"/>
          <w:bCs/>
          <w:sz w:val="24"/>
          <w:szCs w:val="24"/>
          <w:lang w:eastAsia="en-GB"/>
        </w:rPr>
        <w:t>). A c</w:t>
      </w:r>
      <w:r w:rsidR="008B3788" w:rsidRPr="004722A3">
        <w:rPr>
          <w:rFonts w:eastAsia="Times New Roman" w:cs="Times New Roman"/>
          <w:bCs/>
          <w:sz w:val="24"/>
          <w:szCs w:val="24"/>
          <w:lang w:eastAsia="en-GB"/>
        </w:rPr>
        <w:t xml:space="preserve">orrected Akaike Information Criterion (AICc) method is used to predict the bandwidth yielding a parameter of 799 (2.4% of LSOA). </w:t>
      </w:r>
    </w:p>
    <w:p w:rsidR="008B3788" w:rsidRPr="00980CD2" w:rsidRDefault="008B3788" w:rsidP="00FB11C5">
      <w:pPr>
        <w:spacing w:line="360" w:lineRule="auto"/>
        <w:jc w:val="both"/>
        <w:rPr>
          <w:rFonts w:eastAsiaTheme="majorEastAsia" w:cs="Times New Roman"/>
          <w:bCs/>
          <w:i/>
          <w:sz w:val="24"/>
          <w:szCs w:val="24"/>
        </w:rPr>
      </w:pPr>
      <w:r w:rsidRPr="00980CD2">
        <w:rPr>
          <w:rFonts w:eastAsiaTheme="majorEastAsia" w:cs="Times New Roman"/>
          <w:bCs/>
          <w:i/>
          <w:sz w:val="24"/>
          <w:szCs w:val="24"/>
        </w:rPr>
        <w:t>Sub-regional fuel poverty estimates and socio-spatial vulnerability variables</w:t>
      </w:r>
    </w:p>
    <w:p w:rsidR="008B3788" w:rsidRPr="004722A3" w:rsidRDefault="008B3788" w:rsidP="00FB11C5">
      <w:pPr>
        <w:spacing w:line="360" w:lineRule="auto"/>
        <w:jc w:val="both"/>
        <w:rPr>
          <w:rFonts w:eastAsia="Times New Roman" w:cs="Times New Roman"/>
          <w:bCs/>
          <w:sz w:val="24"/>
          <w:szCs w:val="24"/>
          <w:lang w:eastAsia="en-GB"/>
        </w:rPr>
      </w:pPr>
      <w:r w:rsidRPr="004722A3">
        <w:rPr>
          <w:rFonts w:eastAsia="Times New Roman" w:cs="Times New Roman"/>
          <w:bCs/>
          <w:sz w:val="24"/>
          <w:szCs w:val="24"/>
          <w:lang w:eastAsia="en-GB"/>
        </w:rPr>
        <w:t>Sub-regional estimates of fuel poverty for both the 10% indicator and the LIHC indicator are the dependent variables</w:t>
      </w:r>
      <w:r w:rsidR="00236767">
        <w:rPr>
          <w:rFonts w:eastAsia="Times New Roman" w:cs="Times New Roman"/>
          <w:bCs/>
          <w:sz w:val="24"/>
          <w:szCs w:val="24"/>
          <w:lang w:eastAsia="en-GB"/>
        </w:rPr>
        <w:t>. E</w:t>
      </w:r>
      <w:r w:rsidRPr="004722A3">
        <w:rPr>
          <w:rFonts w:eastAsia="Times New Roman" w:cs="Times New Roman"/>
          <w:bCs/>
          <w:sz w:val="24"/>
          <w:szCs w:val="24"/>
          <w:lang w:eastAsia="en-GB"/>
        </w:rPr>
        <w:t xml:space="preserve">stimates are derived from modelling based upon the English Housing Survey and provide a percentage of fuel poor households for </w:t>
      </w:r>
      <w:r w:rsidR="00236767">
        <w:rPr>
          <w:rFonts w:eastAsia="Times New Roman" w:cs="Times New Roman"/>
          <w:bCs/>
          <w:sz w:val="24"/>
          <w:szCs w:val="24"/>
          <w:lang w:eastAsia="en-GB"/>
        </w:rPr>
        <w:t xml:space="preserve">the year 2012 </w:t>
      </w:r>
      <w:r w:rsidR="00FB11C5">
        <w:rPr>
          <w:rFonts w:eastAsia="Times New Roman" w:cs="Times New Roman"/>
          <w:bCs/>
          <w:sz w:val="24"/>
          <w:szCs w:val="24"/>
          <w:lang w:eastAsia="en-GB"/>
        </w:rPr>
        <w:t xml:space="preserve">(DECC 2014). </w:t>
      </w:r>
    </w:p>
    <w:p w:rsidR="00C50B23" w:rsidRDefault="008B3788" w:rsidP="004506F6">
      <w:pPr>
        <w:spacing w:line="360" w:lineRule="auto"/>
        <w:jc w:val="both"/>
        <w:rPr>
          <w:rFonts w:cs="Times New Roman"/>
          <w:sz w:val="24"/>
          <w:szCs w:val="24"/>
        </w:rPr>
      </w:pPr>
      <w:r w:rsidRPr="004722A3">
        <w:rPr>
          <w:rFonts w:eastAsia="Times New Roman" w:cs="Times New Roman"/>
          <w:sz w:val="24"/>
          <w:szCs w:val="24"/>
          <w:lang w:eastAsia="en-GB"/>
        </w:rPr>
        <w:t xml:space="preserve">A range of socio-spatial vulnerability variables representative of demographic, socio-economic or socio-technical characteristics are selected as independent variables. An extensive literature review followed by a process of step-wise regression and backward elimination </w:t>
      </w:r>
      <w:r w:rsidR="00A83D73">
        <w:rPr>
          <w:rFonts w:eastAsia="Times New Roman" w:cs="Times New Roman"/>
          <w:sz w:val="24"/>
          <w:szCs w:val="24"/>
          <w:lang w:eastAsia="en-GB"/>
        </w:rPr>
        <w:t xml:space="preserve">using the OLS </w:t>
      </w:r>
      <w:r w:rsidR="0071252E">
        <w:rPr>
          <w:rFonts w:eastAsia="Times New Roman" w:cs="Times New Roman"/>
          <w:sz w:val="24"/>
          <w:szCs w:val="24"/>
          <w:lang w:eastAsia="en-GB"/>
        </w:rPr>
        <w:t>model</w:t>
      </w:r>
      <w:r w:rsidR="00A83D73">
        <w:rPr>
          <w:rFonts w:eastAsia="Times New Roman" w:cs="Times New Roman"/>
          <w:sz w:val="24"/>
          <w:szCs w:val="24"/>
          <w:lang w:eastAsia="en-GB"/>
        </w:rPr>
        <w:t xml:space="preserve"> </w:t>
      </w:r>
      <w:r w:rsidRPr="004722A3">
        <w:rPr>
          <w:rFonts w:eastAsia="Times New Roman" w:cs="Times New Roman"/>
          <w:sz w:val="24"/>
          <w:szCs w:val="24"/>
          <w:lang w:eastAsia="en-GB"/>
        </w:rPr>
        <w:t xml:space="preserve">identified six vulnerability variables: households with a disability or limiting long-term illness, all pensioner households, households with young children, lone-parent households, private renters and households without gas central heating. Table 2 explores further the vulnerability factors and pathways that are likely to characterise households represented by each variable. </w:t>
      </w:r>
      <w:r w:rsidR="00FC21F4" w:rsidRPr="004722A3">
        <w:rPr>
          <w:rFonts w:cs="Times New Roman"/>
          <w:sz w:val="24"/>
          <w:szCs w:val="24"/>
        </w:rPr>
        <w:t>Several additional varia</w:t>
      </w:r>
      <w:r w:rsidR="00FC21F4">
        <w:rPr>
          <w:rFonts w:cs="Times New Roman"/>
          <w:sz w:val="24"/>
          <w:szCs w:val="24"/>
        </w:rPr>
        <w:t xml:space="preserve">bles were identified </w:t>
      </w:r>
      <w:r w:rsidR="00FC21F4" w:rsidRPr="004722A3">
        <w:rPr>
          <w:rFonts w:cs="Times New Roman"/>
          <w:sz w:val="24"/>
          <w:szCs w:val="24"/>
        </w:rPr>
        <w:t>but excluded during the analysis: social renters, single person households and households with a pre-payment meter. This was due to problems of multicollinearity (where two variables are highly correlated) or a lack of suitable data.</w:t>
      </w:r>
      <w:r w:rsidR="007D34F1">
        <w:rPr>
          <w:rStyle w:val="FootnoteReference"/>
          <w:rFonts w:cs="Times New Roman"/>
          <w:sz w:val="24"/>
          <w:szCs w:val="24"/>
        </w:rPr>
        <w:footnoteReference w:id="1"/>
      </w:r>
      <w:r w:rsidR="00FC21F4" w:rsidRPr="004722A3">
        <w:rPr>
          <w:rFonts w:cs="Times New Roman"/>
          <w:sz w:val="24"/>
          <w:szCs w:val="24"/>
        </w:rPr>
        <w:t xml:space="preserve"> </w:t>
      </w:r>
      <w:r w:rsidR="00A84441">
        <w:rPr>
          <w:rFonts w:eastAsia="Times New Roman" w:cs="Times New Roman"/>
          <w:sz w:val="24"/>
          <w:szCs w:val="24"/>
          <w:lang w:eastAsia="en-GB"/>
        </w:rPr>
        <w:t xml:space="preserve">For a more extensive review of literature concerned with the geographical variance of the vulnerability factors and pathways detailed in Table 2, see Robinson et al. (2017a.). </w:t>
      </w:r>
      <w:r w:rsidR="00236767">
        <w:rPr>
          <w:rFonts w:eastAsia="Times New Roman" w:cs="Times New Roman"/>
          <w:sz w:val="24"/>
          <w:szCs w:val="24"/>
          <w:lang w:eastAsia="en-GB"/>
        </w:rPr>
        <w:t>H</w:t>
      </w:r>
      <w:r w:rsidRPr="004722A3">
        <w:rPr>
          <w:rFonts w:eastAsia="Times New Roman" w:cs="Times New Roman"/>
          <w:sz w:val="24"/>
          <w:szCs w:val="24"/>
          <w:lang w:eastAsia="en-GB"/>
        </w:rPr>
        <w:t>ousehold scale</w:t>
      </w:r>
      <w:r w:rsidR="00236767">
        <w:rPr>
          <w:rFonts w:eastAsia="Times New Roman" w:cs="Times New Roman"/>
          <w:sz w:val="24"/>
          <w:szCs w:val="24"/>
          <w:lang w:eastAsia="en-GB"/>
        </w:rPr>
        <w:t xml:space="preserve"> data</w:t>
      </w:r>
      <w:r w:rsidRPr="004722A3">
        <w:rPr>
          <w:rFonts w:eastAsia="Times New Roman" w:cs="Times New Roman"/>
          <w:sz w:val="24"/>
          <w:szCs w:val="24"/>
          <w:lang w:eastAsia="en-GB"/>
        </w:rPr>
        <w:t> is obtained from the most recent Census (Table 3) (ONS 2011a.).</w:t>
      </w:r>
      <w:r w:rsidRPr="004722A3">
        <w:rPr>
          <w:rFonts w:cs="Times New Roman"/>
          <w:sz w:val="24"/>
          <w:szCs w:val="24"/>
        </w:rPr>
        <w:t xml:space="preserve"> </w:t>
      </w:r>
    </w:p>
    <w:p w:rsidR="00F02B68" w:rsidRDefault="00F02B68" w:rsidP="0058650E">
      <w:pPr>
        <w:rPr>
          <w:rFonts w:eastAsia="Times New Roman" w:cs="Times New Roman"/>
          <w:b/>
          <w:sz w:val="24"/>
          <w:szCs w:val="24"/>
          <w:lang w:eastAsia="en-GB"/>
        </w:rPr>
        <w:sectPr w:rsidR="00F02B68" w:rsidSect="00F02B68">
          <w:type w:val="continuous"/>
          <w:pgSz w:w="11906" w:h="16838"/>
          <w:pgMar w:top="1440" w:right="1440" w:bottom="1440" w:left="1440" w:header="709" w:footer="709" w:gutter="0"/>
          <w:cols w:space="708"/>
          <w:docGrid w:linePitch="360"/>
        </w:sectPr>
      </w:pPr>
    </w:p>
    <w:tbl>
      <w:tblPr>
        <w:tblpPr w:leftFromText="180" w:rightFromText="180" w:vertAnchor="text" w:horzAnchor="margin" w:tblpY="-259"/>
        <w:tblW w:w="14330" w:type="dxa"/>
        <w:tblLayout w:type="fixed"/>
        <w:tblLook w:val="04A0" w:firstRow="1" w:lastRow="0" w:firstColumn="1" w:lastColumn="0" w:noHBand="0" w:noVBand="1"/>
      </w:tblPr>
      <w:tblGrid>
        <w:gridCol w:w="2477"/>
        <w:gridCol w:w="4083"/>
        <w:gridCol w:w="1295"/>
        <w:gridCol w:w="1295"/>
        <w:gridCol w:w="1295"/>
        <w:gridCol w:w="1295"/>
        <w:gridCol w:w="1295"/>
        <w:gridCol w:w="1295"/>
      </w:tblGrid>
      <w:tr w:rsidR="00F02B68" w:rsidRPr="00C50B23" w:rsidTr="004956C2">
        <w:trPr>
          <w:trHeight w:val="300"/>
        </w:trPr>
        <w:tc>
          <w:tcPr>
            <w:tcW w:w="14330" w:type="dxa"/>
            <w:gridSpan w:val="8"/>
            <w:tcBorders>
              <w:left w:val="nil"/>
              <w:bottom w:val="single" w:sz="4" w:space="0" w:color="auto"/>
              <w:right w:val="nil"/>
            </w:tcBorders>
            <w:shd w:val="clear" w:color="auto" w:fill="auto"/>
            <w:noWrap/>
            <w:vAlign w:val="center"/>
          </w:tcPr>
          <w:p w:rsidR="00F02B68" w:rsidRPr="000610D3" w:rsidRDefault="00F02B68" w:rsidP="004956C2">
            <w:pPr>
              <w:jc w:val="both"/>
              <w:rPr>
                <w:rFonts w:eastAsia="Times New Roman" w:cs="Times New Roman"/>
                <w:bCs/>
                <w:sz w:val="24"/>
                <w:szCs w:val="24"/>
                <w:lang w:eastAsia="en-GB"/>
              </w:rPr>
            </w:pPr>
            <w:r w:rsidRPr="004722A3">
              <w:rPr>
                <w:rFonts w:eastAsia="Times New Roman" w:cs="Times New Roman"/>
                <w:b/>
                <w:bCs/>
                <w:sz w:val="24"/>
                <w:szCs w:val="24"/>
                <w:lang w:eastAsia="en-GB"/>
              </w:rPr>
              <w:lastRenderedPageBreak/>
              <w:t xml:space="preserve">Table 2. </w:t>
            </w:r>
            <w:r>
              <w:rPr>
                <w:rFonts w:eastAsia="Times New Roman" w:cs="Times New Roman"/>
                <w:bCs/>
                <w:sz w:val="24"/>
                <w:szCs w:val="24"/>
                <w:lang w:eastAsia="en-GB"/>
              </w:rPr>
              <w:t>Possible v</w:t>
            </w:r>
            <w:r w:rsidRPr="004722A3">
              <w:rPr>
                <w:rFonts w:eastAsia="Times New Roman" w:cs="Times New Roman"/>
                <w:bCs/>
                <w:sz w:val="24"/>
                <w:szCs w:val="24"/>
                <w:lang w:eastAsia="en-GB"/>
              </w:rPr>
              <w:t xml:space="preserve">ulnerability pathways for </w:t>
            </w:r>
            <w:r>
              <w:rPr>
                <w:rFonts w:eastAsia="Times New Roman" w:cs="Times New Roman"/>
                <w:bCs/>
                <w:sz w:val="24"/>
                <w:szCs w:val="24"/>
                <w:lang w:eastAsia="en-GB"/>
              </w:rPr>
              <w:t>socio-spatial vulnerability variables.</w:t>
            </w:r>
          </w:p>
        </w:tc>
      </w:tr>
      <w:tr w:rsidR="00F02B68" w:rsidRPr="00C50B23" w:rsidTr="004956C2">
        <w:trPr>
          <w:trHeight w:val="300"/>
        </w:trPr>
        <w:tc>
          <w:tcPr>
            <w:tcW w:w="2477" w:type="dxa"/>
            <w:tcBorders>
              <w:top w:val="single" w:sz="4" w:space="0" w:color="auto"/>
              <w:left w:val="nil"/>
              <w:bottom w:val="single" w:sz="4" w:space="0" w:color="auto"/>
              <w:right w:val="nil"/>
            </w:tcBorders>
            <w:shd w:val="clear" w:color="auto" w:fill="auto"/>
            <w:noWrap/>
            <w:vAlign w:val="center"/>
            <w:hideMark/>
          </w:tcPr>
          <w:p w:rsidR="00F02B68" w:rsidRPr="00236767" w:rsidRDefault="00F02B68" w:rsidP="004956C2">
            <w:pPr>
              <w:spacing w:after="0"/>
              <w:jc w:val="both"/>
              <w:rPr>
                <w:rFonts w:eastAsia="Times New Roman" w:cs="Times New Roman"/>
                <w:bCs/>
                <w:lang w:eastAsia="en-GB"/>
              </w:rPr>
            </w:pPr>
            <w:r>
              <w:rPr>
                <w:rFonts w:eastAsia="Times New Roman" w:cs="Times New Roman"/>
                <w:bCs/>
                <w:vertAlign w:val="superscript"/>
                <w:lang w:eastAsia="en-GB"/>
              </w:rPr>
              <w:t>1</w:t>
            </w:r>
            <w:r>
              <w:rPr>
                <w:rFonts w:eastAsia="Times New Roman" w:cs="Times New Roman"/>
                <w:bCs/>
                <w:lang w:eastAsia="en-GB"/>
              </w:rPr>
              <w:t>Vulnerability dimension</w:t>
            </w:r>
          </w:p>
        </w:tc>
        <w:tc>
          <w:tcPr>
            <w:tcW w:w="4083" w:type="dxa"/>
            <w:tcBorders>
              <w:top w:val="single" w:sz="4" w:space="0" w:color="auto"/>
              <w:left w:val="nil"/>
              <w:bottom w:val="single" w:sz="4" w:space="0" w:color="auto"/>
              <w:right w:val="nil"/>
            </w:tcBorders>
            <w:shd w:val="clear" w:color="auto" w:fill="auto"/>
            <w:noWrap/>
            <w:vAlign w:val="center"/>
            <w:hideMark/>
          </w:tcPr>
          <w:p w:rsidR="00F02B68" w:rsidRPr="00236767" w:rsidRDefault="00F02B68" w:rsidP="004956C2">
            <w:pPr>
              <w:spacing w:after="0"/>
              <w:jc w:val="both"/>
              <w:rPr>
                <w:rFonts w:eastAsia="Times New Roman" w:cs="Times New Roman"/>
                <w:bCs/>
                <w:lang w:eastAsia="en-GB"/>
              </w:rPr>
            </w:pPr>
            <w:r>
              <w:rPr>
                <w:rFonts w:eastAsia="Times New Roman" w:cs="Times New Roman"/>
                <w:bCs/>
                <w:lang w:eastAsia="en-GB"/>
              </w:rPr>
              <w:t xml:space="preserve">Example </w:t>
            </w:r>
            <w:r w:rsidRPr="00236767">
              <w:rPr>
                <w:rFonts w:eastAsia="Times New Roman" w:cs="Times New Roman"/>
                <w:bCs/>
                <w:lang w:eastAsia="en-GB"/>
              </w:rPr>
              <w:t>vulnerability factor</w:t>
            </w:r>
          </w:p>
        </w:tc>
        <w:tc>
          <w:tcPr>
            <w:tcW w:w="1295" w:type="dxa"/>
            <w:tcBorders>
              <w:top w:val="single" w:sz="4" w:space="0" w:color="auto"/>
              <w:left w:val="nil"/>
              <w:bottom w:val="single" w:sz="4" w:space="0" w:color="auto"/>
              <w:right w:val="nil"/>
            </w:tcBorders>
            <w:shd w:val="clear" w:color="auto" w:fill="auto"/>
            <w:noWrap/>
            <w:vAlign w:val="center"/>
            <w:hideMark/>
          </w:tcPr>
          <w:p w:rsidR="00F02B68" w:rsidRPr="00C50B23" w:rsidRDefault="00F02B68" w:rsidP="004956C2">
            <w:pPr>
              <w:spacing w:after="0"/>
              <w:jc w:val="both"/>
              <w:rPr>
                <w:rFonts w:eastAsia="Times New Roman" w:cs="Times New Roman"/>
                <w:bCs/>
                <w:sz w:val="20"/>
                <w:szCs w:val="20"/>
                <w:vertAlign w:val="superscript"/>
                <w:lang w:eastAsia="en-GB"/>
              </w:rPr>
            </w:pPr>
            <w:r w:rsidRPr="00C50B23">
              <w:rPr>
                <w:rFonts w:eastAsia="Times New Roman" w:cs="Times New Roman"/>
                <w:bCs/>
                <w:sz w:val="20"/>
                <w:szCs w:val="20"/>
                <w:lang w:eastAsia="en-GB"/>
              </w:rPr>
              <w:t>Disability</w:t>
            </w:r>
            <w:r>
              <w:rPr>
                <w:rFonts w:eastAsia="Times New Roman" w:cs="Times New Roman"/>
                <w:bCs/>
                <w:sz w:val="20"/>
                <w:szCs w:val="20"/>
                <w:vertAlign w:val="superscript"/>
                <w:lang w:eastAsia="en-GB"/>
              </w:rPr>
              <w:t>2</w:t>
            </w:r>
          </w:p>
        </w:tc>
        <w:tc>
          <w:tcPr>
            <w:tcW w:w="1295" w:type="dxa"/>
            <w:tcBorders>
              <w:top w:val="single" w:sz="4" w:space="0" w:color="auto"/>
              <w:left w:val="nil"/>
              <w:bottom w:val="single" w:sz="4" w:space="0" w:color="auto"/>
              <w:right w:val="nil"/>
            </w:tcBorders>
            <w:shd w:val="clear" w:color="auto" w:fill="auto"/>
            <w:noWrap/>
            <w:vAlign w:val="center"/>
            <w:hideMark/>
          </w:tcPr>
          <w:p w:rsidR="00F02B68" w:rsidRPr="00C50B23" w:rsidRDefault="00F02B68" w:rsidP="004956C2">
            <w:pPr>
              <w:spacing w:after="0"/>
              <w:jc w:val="both"/>
              <w:rPr>
                <w:rFonts w:eastAsia="Times New Roman" w:cs="Times New Roman"/>
                <w:bCs/>
                <w:sz w:val="20"/>
                <w:szCs w:val="20"/>
                <w:vertAlign w:val="superscript"/>
                <w:lang w:eastAsia="en-GB"/>
              </w:rPr>
            </w:pPr>
            <w:r w:rsidRPr="00C50B23">
              <w:rPr>
                <w:rFonts w:eastAsia="Times New Roman" w:cs="Times New Roman"/>
                <w:bCs/>
                <w:sz w:val="20"/>
                <w:szCs w:val="20"/>
                <w:lang w:eastAsia="en-GB"/>
              </w:rPr>
              <w:t>Pensioner</w:t>
            </w:r>
            <w:r>
              <w:rPr>
                <w:rFonts w:eastAsia="Times New Roman" w:cs="Times New Roman"/>
                <w:bCs/>
                <w:sz w:val="20"/>
                <w:szCs w:val="20"/>
                <w:vertAlign w:val="superscript"/>
                <w:lang w:eastAsia="en-GB"/>
              </w:rPr>
              <w:t>3</w:t>
            </w:r>
          </w:p>
        </w:tc>
        <w:tc>
          <w:tcPr>
            <w:tcW w:w="1295" w:type="dxa"/>
            <w:tcBorders>
              <w:top w:val="single" w:sz="4" w:space="0" w:color="auto"/>
              <w:left w:val="nil"/>
              <w:bottom w:val="single" w:sz="4" w:space="0" w:color="auto"/>
              <w:right w:val="nil"/>
            </w:tcBorders>
            <w:shd w:val="clear" w:color="auto" w:fill="auto"/>
            <w:noWrap/>
            <w:vAlign w:val="center"/>
            <w:hideMark/>
          </w:tcPr>
          <w:p w:rsidR="00F02B68" w:rsidRPr="00C50B23" w:rsidRDefault="00F02B68" w:rsidP="004956C2">
            <w:pPr>
              <w:spacing w:after="0"/>
              <w:jc w:val="both"/>
              <w:rPr>
                <w:rFonts w:eastAsia="Times New Roman" w:cs="Times New Roman"/>
                <w:bCs/>
                <w:sz w:val="20"/>
                <w:szCs w:val="20"/>
                <w:vertAlign w:val="superscript"/>
                <w:lang w:eastAsia="en-GB"/>
              </w:rPr>
            </w:pPr>
            <w:r w:rsidRPr="00C50B23">
              <w:rPr>
                <w:rFonts w:eastAsia="Times New Roman" w:cs="Times New Roman"/>
                <w:bCs/>
                <w:sz w:val="20"/>
                <w:szCs w:val="20"/>
                <w:lang w:eastAsia="en-GB"/>
              </w:rPr>
              <w:t>Young child</w:t>
            </w:r>
            <w:r>
              <w:rPr>
                <w:rFonts w:eastAsia="Times New Roman" w:cs="Times New Roman"/>
                <w:bCs/>
                <w:sz w:val="20"/>
                <w:szCs w:val="20"/>
                <w:vertAlign w:val="superscript"/>
                <w:lang w:eastAsia="en-GB"/>
              </w:rPr>
              <w:t>4</w:t>
            </w:r>
          </w:p>
        </w:tc>
        <w:tc>
          <w:tcPr>
            <w:tcW w:w="1295" w:type="dxa"/>
            <w:tcBorders>
              <w:top w:val="single" w:sz="4" w:space="0" w:color="auto"/>
              <w:left w:val="nil"/>
              <w:bottom w:val="single" w:sz="4" w:space="0" w:color="auto"/>
              <w:right w:val="nil"/>
            </w:tcBorders>
            <w:shd w:val="clear" w:color="auto" w:fill="auto"/>
            <w:noWrap/>
            <w:vAlign w:val="center"/>
            <w:hideMark/>
          </w:tcPr>
          <w:p w:rsidR="00F02B68" w:rsidRPr="00C50B23" w:rsidRDefault="00F02B68" w:rsidP="004956C2">
            <w:pPr>
              <w:spacing w:after="0"/>
              <w:jc w:val="both"/>
              <w:rPr>
                <w:rFonts w:eastAsia="Times New Roman" w:cs="Times New Roman"/>
                <w:bCs/>
                <w:sz w:val="20"/>
                <w:szCs w:val="20"/>
                <w:vertAlign w:val="superscript"/>
                <w:lang w:eastAsia="en-GB"/>
              </w:rPr>
            </w:pPr>
            <w:r w:rsidRPr="00C50B23">
              <w:rPr>
                <w:rFonts w:eastAsia="Times New Roman" w:cs="Times New Roman"/>
                <w:bCs/>
                <w:sz w:val="20"/>
                <w:szCs w:val="20"/>
                <w:lang w:eastAsia="en-GB"/>
              </w:rPr>
              <w:t>Lone parent</w:t>
            </w:r>
            <w:r>
              <w:rPr>
                <w:rFonts w:eastAsia="Times New Roman" w:cs="Times New Roman"/>
                <w:bCs/>
                <w:sz w:val="20"/>
                <w:szCs w:val="20"/>
                <w:vertAlign w:val="superscript"/>
                <w:lang w:eastAsia="en-GB"/>
              </w:rPr>
              <w:t>5</w:t>
            </w:r>
          </w:p>
        </w:tc>
        <w:tc>
          <w:tcPr>
            <w:tcW w:w="1295" w:type="dxa"/>
            <w:tcBorders>
              <w:top w:val="single" w:sz="4" w:space="0" w:color="auto"/>
              <w:left w:val="nil"/>
              <w:bottom w:val="single" w:sz="4" w:space="0" w:color="auto"/>
              <w:right w:val="nil"/>
            </w:tcBorders>
            <w:shd w:val="clear" w:color="auto" w:fill="auto"/>
            <w:noWrap/>
            <w:vAlign w:val="center"/>
            <w:hideMark/>
          </w:tcPr>
          <w:p w:rsidR="00F02B68" w:rsidRPr="00C50B23" w:rsidRDefault="00F02B68" w:rsidP="004956C2">
            <w:pPr>
              <w:spacing w:after="0"/>
              <w:jc w:val="both"/>
              <w:rPr>
                <w:rFonts w:eastAsia="Times New Roman" w:cs="Times New Roman"/>
                <w:bCs/>
                <w:sz w:val="20"/>
                <w:szCs w:val="20"/>
                <w:vertAlign w:val="superscript"/>
                <w:lang w:eastAsia="en-GB"/>
              </w:rPr>
            </w:pPr>
            <w:r w:rsidRPr="00C50B23">
              <w:rPr>
                <w:rFonts w:eastAsia="Times New Roman" w:cs="Times New Roman"/>
                <w:bCs/>
                <w:sz w:val="20"/>
                <w:szCs w:val="20"/>
                <w:lang w:eastAsia="en-GB"/>
              </w:rPr>
              <w:t>Private rent</w:t>
            </w:r>
            <w:r>
              <w:rPr>
                <w:rFonts w:eastAsia="Times New Roman" w:cs="Times New Roman"/>
                <w:bCs/>
                <w:sz w:val="20"/>
                <w:szCs w:val="20"/>
                <w:vertAlign w:val="superscript"/>
                <w:lang w:eastAsia="en-GB"/>
              </w:rPr>
              <w:t>6</w:t>
            </w:r>
          </w:p>
        </w:tc>
        <w:tc>
          <w:tcPr>
            <w:tcW w:w="1295" w:type="dxa"/>
            <w:tcBorders>
              <w:top w:val="single" w:sz="4" w:space="0" w:color="auto"/>
              <w:left w:val="nil"/>
              <w:bottom w:val="single" w:sz="4" w:space="0" w:color="auto"/>
              <w:right w:val="nil"/>
            </w:tcBorders>
            <w:shd w:val="clear" w:color="auto" w:fill="auto"/>
            <w:noWrap/>
            <w:vAlign w:val="center"/>
            <w:hideMark/>
          </w:tcPr>
          <w:p w:rsidR="00F02B68" w:rsidRPr="00C50B23" w:rsidRDefault="00F02B68" w:rsidP="004956C2">
            <w:pPr>
              <w:spacing w:after="0"/>
              <w:jc w:val="both"/>
              <w:rPr>
                <w:rFonts w:eastAsia="Times New Roman" w:cs="Times New Roman"/>
                <w:bCs/>
                <w:sz w:val="20"/>
                <w:szCs w:val="20"/>
                <w:vertAlign w:val="superscript"/>
                <w:lang w:eastAsia="en-GB"/>
              </w:rPr>
            </w:pPr>
            <w:r w:rsidRPr="00C50B23">
              <w:rPr>
                <w:rFonts w:eastAsia="Times New Roman" w:cs="Times New Roman"/>
                <w:bCs/>
                <w:sz w:val="20"/>
                <w:szCs w:val="20"/>
                <w:lang w:eastAsia="en-GB"/>
              </w:rPr>
              <w:t>Non-gas</w:t>
            </w:r>
            <w:r>
              <w:rPr>
                <w:rFonts w:eastAsia="Times New Roman" w:cs="Times New Roman"/>
                <w:bCs/>
                <w:sz w:val="20"/>
                <w:szCs w:val="20"/>
                <w:vertAlign w:val="superscript"/>
                <w:lang w:eastAsia="en-GB"/>
              </w:rPr>
              <w:t>7</w:t>
            </w:r>
          </w:p>
        </w:tc>
      </w:tr>
      <w:tr w:rsidR="00F02B68" w:rsidRPr="00C50B23" w:rsidTr="004956C2">
        <w:trPr>
          <w:trHeight w:val="300"/>
        </w:trPr>
        <w:tc>
          <w:tcPr>
            <w:tcW w:w="2477" w:type="dxa"/>
            <w:tcBorders>
              <w:top w:val="nil"/>
              <w:left w:val="nil"/>
              <w:bottom w:val="single" w:sz="4" w:space="0" w:color="auto"/>
              <w:right w:val="dotted" w:sz="4" w:space="0" w:color="auto"/>
            </w:tcBorders>
            <w:shd w:val="clear" w:color="auto" w:fill="auto"/>
            <w:noWrap/>
            <w:vAlign w:val="center"/>
            <w:hideMark/>
          </w:tcPr>
          <w:p w:rsidR="00F02B68" w:rsidRPr="00236767" w:rsidRDefault="00F02B68" w:rsidP="004956C2">
            <w:pPr>
              <w:spacing w:after="0"/>
              <w:jc w:val="both"/>
              <w:rPr>
                <w:rFonts w:eastAsia="Times New Roman" w:cs="Times New Roman"/>
                <w:bCs/>
                <w:lang w:eastAsia="en-GB"/>
              </w:rPr>
            </w:pPr>
            <w:r w:rsidRPr="00236767">
              <w:rPr>
                <w:rFonts w:eastAsia="Times New Roman" w:cs="Times New Roman"/>
                <w:bCs/>
                <w:lang w:eastAsia="en-GB"/>
              </w:rPr>
              <w:t>Access</w:t>
            </w:r>
          </w:p>
        </w:tc>
        <w:tc>
          <w:tcPr>
            <w:tcW w:w="4083" w:type="dxa"/>
            <w:tcBorders>
              <w:top w:val="single" w:sz="4" w:space="0" w:color="auto"/>
              <w:left w:val="dotted" w:sz="4" w:space="0" w:color="auto"/>
              <w:bottom w:val="single" w:sz="4" w:space="0" w:color="auto"/>
              <w:right w:val="dotted" w:sz="4" w:space="0" w:color="auto"/>
            </w:tcBorders>
            <w:shd w:val="clear" w:color="auto" w:fill="auto"/>
            <w:noWrap/>
            <w:vAlign w:val="center"/>
            <w:hideMark/>
          </w:tcPr>
          <w:p w:rsidR="00F02B68" w:rsidRPr="00236767" w:rsidRDefault="00F02B68" w:rsidP="004956C2">
            <w:pPr>
              <w:spacing w:after="0"/>
              <w:jc w:val="both"/>
              <w:rPr>
                <w:rFonts w:eastAsia="Times New Roman" w:cs="Times New Roman"/>
                <w:lang w:eastAsia="en-GB"/>
              </w:rPr>
            </w:pPr>
            <w:r w:rsidRPr="00236767">
              <w:rPr>
                <w:rFonts w:eastAsia="Times New Roman" w:cs="Times New Roman"/>
                <w:lang w:eastAsia="en-GB"/>
              </w:rPr>
              <w:t>Inability to access cheaper fuels</w:t>
            </w:r>
          </w:p>
        </w:tc>
        <w:tc>
          <w:tcPr>
            <w:tcW w:w="1295" w:type="dxa"/>
            <w:tcBorders>
              <w:top w:val="single" w:sz="4" w:space="0" w:color="auto"/>
              <w:left w:val="dotted" w:sz="4" w:space="0" w:color="auto"/>
              <w:bottom w:val="single"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single" w:sz="4" w:space="0" w:color="auto"/>
              <w:left w:val="dotted" w:sz="4" w:space="0" w:color="auto"/>
              <w:bottom w:val="single"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single" w:sz="4" w:space="0" w:color="auto"/>
              <w:left w:val="dotted" w:sz="4" w:space="0" w:color="auto"/>
              <w:bottom w:val="single"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single" w:sz="4" w:space="0" w:color="auto"/>
              <w:left w:val="dotted" w:sz="4" w:space="0" w:color="auto"/>
              <w:bottom w:val="single"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single" w:sz="4" w:space="0" w:color="auto"/>
              <w:left w:val="dotted" w:sz="4" w:space="0" w:color="auto"/>
              <w:bottom w:val="single"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single" w:sz="4" w:space="0" w:color="auto"/>
              <w:left w:val="dotted" w:sz="4" w:space="0" w:color="auto"/>
              <w:bottom w:val="single"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r>
      <w:tr w:rsidR="00F02B68" w:rsidRPr="00C50B23" w:rsidTr="004956C2">
        <w:trPr>
          <w:trHeight w:val="300"/>
        </w:trPr>
        <w:tc>
          <w:tcPr>
            <w:tcW w:w="2477" w:type="dxa"/>
            <w:tcBorders>
              <w:top w:val="single" w:sz="4" w:space="0" w:color="auto"/>
              <w:left w:val="nil"/>
              <w:bottom w:val="nil"/>
              <w:right w:val="dotted" w:sz="4" w:space="0" w:color="auto"/>
            </w:tcBorders>
            <w:shd w:val="clear" w:color="auto" w:fill="auto"/>
            <w:noWrap/>
            <w:vAlign w:val="center"/>
            <w:hideMark/>
          </w:tcPr>
          <w:p w:rsidR="00F02B68" w:rsidRPr="00236767" w:rsidRDefault="00F02B68" w:rsidP="004956C2">
            <w:pPr>
              <w:spacing w:after="0"/>
              <w:jc w:val="both"/>
              <w:rPr>
                <w:rFonts w:eastAsia="Times New Roman" w:cs="Times New Roman"/>
                <w:bCs/>
                <w:lang w:eastAsia="en-GB"/>
              </w:rPr>
            </w:pPr>
            <w:r w:rsidRPr="00236767">
              <w:rPr>
                <w:rFonts w:eastAsia="Times New Roman" w:cs="Times New Roman"/>
                <w:bCs/>
                <w:lang w:eastAsia="en-GB"/>
              </w:rPr>
              <w:t>Affordability</w:t>
            </w:r>
          </w:p>
        </w:tc>
        <w:tc>
          <w:tcPr>
            <w:tcW w:w="4083"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F02B68" w:rsidRPr="00236767" w:rsidRDefault="00F02B68" w:rsidP="004956C2">
            <w:pPr>
              <w:spacing w:after="0"/>
              <w:jc w:val="both"/>
              <w:rPr>
                <w:rFonts w:eastAsia="Times New Roman" w:cs="Times New Roman"/>
                <w:lang w:eastAsia="en-GB"/>
              </w:rPr>
            </w:pPr>
            <w:r>
              <w:rPr>
                <w:rFonts w:eastAsia="Times New Roman" w:cs="Times New Roman"/>
                <w:lang w:eastAsia="en-GB"/>
              </w:rPr>
              <w:t>Low</w:t>
            </w:r>
            <w:r w:rsidRPr="00236767">
              <w:rPr>
                <w:rFonts w:eastAsia="Times New Roman" w:cs="Times New Roman"/>
                <w:lang w:eastAsia="en-GB"/>
              </w:rPr>
              <w:t xml:space="preserve"> income</w:t>
            </w:r>
          </w:p>
        </w:tc>
        <w:tc>
          <w:tcPr>
            <w:tcW w:w="1295"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r>
      <w:tr w:rsidR="00F02B68" w:rsidRPr="00C50B23" w:rsidTr="004956C2">
        <w:trPr>
          <w:trHeight w:val="300"/>
        </w:trPr>
        <w:tc>
          <w:tcPr>
            <w:tcW w:w="2477" w:type="dxa"/>
            <w:tcBorders>
              <w:top w:val="nil"/>
              <w:left w:val="nil"/>
              <w:bottom w:val="nil"/>
              <w:right w:val="dotted" w:sz="4" w:space="0" w:color="auto"/>
            </w:tcBorders>
            <w:shd w:val="clear" w:color="auto" w:fill="auto"/>
            <w:noWrap/>
            <w:vAlign w:val="center"/>
            <w:hideMark/>
          </w:tcPr>
          <w:p w:rsidR="00F02B68" w:rsidRPr="00236767" w:rsidRDefault="00F02B68" w:rsidP="004956C2">
            <w:pPr>
              <w:spacing w:after="0"/>
              <w:jc w:val="both"/>
              <w:rPr>
                <w:rFonts w:eastAsia="Times New Roman" w:cs="Times New Roman"/>
                <w:bCs/>
                <w:lang w:eastAsia="en-GB"/>
              </w:rPr>
            </w:pPr>
          </w:p>
        </w:tc>
        <w:tc>
          <w:tcPr>
            <w:tcW w:w="408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236767" w:rsidRDefault="00F02B68" w:rsidP="004956C2">
            <w:pPr>
              <w:spacing w:after="0"/>
              <w:jc w:val="both"/>
              <w:rPr>
                <w:rFonts w:eastAsia="Times New Roman" w:cs="Times New Roman"/>
                <w:lang w:eastAsia="en-GB"/>
              </w:rPr>
            </w:pPr>
            <w:r>
              <w:rPr>
                <w:rFonts w:eastAsia="Times New Roman" w:cs="Times New Roman"/>
                <w:lang w:eastAsia="en-GB"/>
              </w:rPr>
              <w:t>S</w:t>
            </w:r>
            <w:r w:rsidRPr="00236767">
              <w:rPr>
                <w:rFonts w:eastAsia="Times New Roman" w:cs="Times New Roman"/>
                <w:lang w:eastAsia="en-GB"/>
              </w:rPr>
              <w:t>tate pension</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r>
      <w:tr w:rsidR="00F02B68" w:rsidRPr="00C50B23" w:rsidTr="004956C2">
        <w:trPr>
          <w:trHeight w:val="300"/>
        </w:trPr>
        <w:tc>
          <w:tcPr>
            <w:tcW w:w="2477" w:type="dxa"/>
            <w:tcBorders>
              <w:top w:val="nil"/>
              <w:left w:val="nil"/>
              <w:bottom w:val="nil"/>
              <w:right w:val="dotted" w:sz="4" w:space="0" w:color="auto"/>
            </w:tcBorders>
            <w:shd w:val="clear" w:color="auto" w:fill="auto"/>
            <w:noWrap/>
            <w:vAlign w:val="center"/>
            <w:hideMark/>
          </w:tcPr>
          <w:p w:rsidR="00F02B68" w:rsidRPr="00236767" w:rsidRDefault="00F02B68" w:rsidP="004956C2">
            <w:pPr>
              <w:spacing w:after="0"/>
              <w:jc w:val="both"/>
              <w:rPr>
                <w:rFonts w:eastAsia="Times New Roman" w:cs="Times New Roman"/>
                <w:bCs/>
                <w:lang w:eastAsia="en-GB"/>
              </w:rPr>
            </w:pPr>
          </w:p>
        </w:tc>
        <w:tc>
          <w:tcPr>
            <w:tcW w:w="408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236767" w:rsidRDefault="00F02B68" w:rsidP="004956C2">
            <w:pPr>
              <w:spacing w:after="0"/>
              <w:jc w:val="both"/>
              <w:rPr>
                <w:rFonts w:eastAsia="Times New Roman" w:cs="Times New Roman"/>
                <w:lang w:eastAsia="en-GB"/>
              </w:rPr>
            </w:pPr>
            <w:r>
              <w:rPr>
                <w:rFonts w:eastAsia="Times New Roman" w:cs="Times New Roman"/>
                <w:lang w:eastAsia="en-GB"/>
              </w:rPr>
              <w:t>S</w:t>
            </w:r>
            <w:r w:rsidRPr="00236767">
              <w:rPr>
                <w:rFonts w:eastAsia="Times New Roman" w:cs="Times New Roman"/>
                <w:lang w:eastAsia="en-GB"/>
              </w:rPr>
              <w:t>tate security benefits</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r>
      <w:tr w:rsidR="00F02B68" w:rsidRPr="00C50B23" w:rsidTr="004956C2">
        <w:trPr>
          <w:trHeight w:val="300"/>
        </w:trPr>
        <w:tc>
          <w:tcPr>
            <w:tcW w:w="2477" w:type="dxa"/>
            <w:tcBorders>
              <w:top w:val="nil"/>
              <w:left w:val="nil"/>
              <w:bottom w:val="nil"/>
              <w:right w:val="dotted" w:sz="4" w:space="0" w:color="auto"/>
            </w:tcBorders>
            <w:shd w:val="clear" w:color="auto" w:fill="auto"/>
            <w:noWrap/>
            <w:vAlign w:val="center"/>
            <w:hideMark/>
          </w:tcPr>
          <w:p w:rsidR="00F02B68" w:rsidRPr="00236767" w:rsidRDefault="00F02B68" w:rsidP="004956C2">
            <w:pPr>
              <w:spacing w:after="0"/>
              <w:jc w:val="both"/>
              <w:rPr>
                <w:rFonts w:eastAsia="Times New Roman" w:cs="Times New Roman"/>
                <w:bCs/>
                <w:lang w:eastAsia="en-GB"/>
              </w:rPr>
            </w:pPr>
          </w:p>
        </w:tc>
        <w:tc>
          <w:tcPr>
            <w:tcW w:w="408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236767" w:rsidRDefault="00F02B68" w:rsidP="004956C2">
            <w:pPr>
              <w:spacing w:after="0"/>
              <w:jc w:val="both"/>
              <w:rPr>
                <w:rFonts w:eastAsia="Times New Roman" w:cs="Times New Roman"/>
                <w:lang w:eastAsia="en-GB"/>
              </w:rPr>
            </w:pPr>
            <w:r w:rsidRPr="00236767">
              <w:rPr>
                <w:rFonts w:eastAsia="Times New Roman" w:cs="Times New Roman"/>
                <w:lang w:eastAsia="en-GB"/>
              </w:rPr>
              <w:t>Unemployment</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r>
      <w:tr w:rsidR="00F02B68" w:rsidRPr="00C50B23" w:rsidTr="004956C2">
        <w:trPr>
          <w:trHeight w:val="300"/>
        </w:trPr>
        <w:tc>
          <w:tcPr>
            <w:tcW w:w="2477" w:type="dxa"/>
            <w:tcBorders>
              <w:top w:val="nil"/>
              <w:left w:val="nil"/>
              <w:bottom w:val="nil"/>
              <w:right w:val="dotted" w:sz="4" w:space="0" w:color="auto"/>
            </w:tcBorders>
            <w:shd w:val="clear" w:color="auto" w:fill="auto"/>
            <w:noWrap/>
            <w:vAlign w:val="center"/>
          </w:tcPr>
          <w:p w:rsidR="00F02B68" w:rsidRPr="00236767" w:rsidRDefault="00F02B68" w:rsidP="004956C2">
            <w:pPr>
              <w:spacing w:after="0"/>
              <w:jc w:val="both"/>
              <w:rPr>
                <w:rFonts w:eastAsia="Times New Roman" w:cs="Times New Roman"/>
                <w:bCs/>
                <w:lang w:eastAsia="en-GB"/>
              </w:rPr>
            </w:pPr>
          </w:p>
        </w:tc>
        <w:tc>
          <w:tcPr>
            <w:tcW w:w="4083" w:type="dxa"/>
            <w:tcBorders>
              <w:top w:val="dotted" w:sz="4" w:space="0" w:color="auto"/>
              <w:left w:val="dotted" w:sz="4" w:space="0" w:color="auto"/>
              <w:bottom w:val="dotted" w:sz="4" w:space="0" w:color="auto"/>
              <w:right w:val="dotted" w:sz="4" w:space="0" w:color="auto"/>
            </w:tcBorders>
            <w:shd w:val="clear" w:color="auto" w:fill="auto"/>
            <w:noWrap/>
            <w:vAlign w:val="center"/>
          </w:tcPr>
          <w:p w:rsidR="00F02B68" w:rsidRPr="00236767" w:rsidRDefault="00F02B68" w:rsidP="004956C2">
            <w:pPr>
              <w:spacing w:after="0"/>
              <w:jc w:val="both"/>
              <w:rPr>
                <w:rFonts w:eastAsia="Times New Roman" w:cs="Times New Roman"/>
                <w:lang w:eastAsia="en-GB"/>
              </w:rPr>
            </w:pPr>
            <w:r w:rsidRPr="00236767">
              <w:rPr>
                <w:rFonts w:eastAsia="Times New Roman" w:cs="Times New Roman"/>
                <w:lang w:eastAsia="en-GB"/>
              </w:rPr>
              <w:t>Part-time or precarious employment</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tcPr>
          <w:p w:rsidR="00F02B68" w:rsidRPr="00C50B23" w:rsidRDefault="00F02B68" w:rsidP="004956C2">
            <w:pPr>
              <w:spacing w:after="0"/>
              <w:jc w:val="center"/>
              <w:rPr>
                <w:rFonts w:eastAsia="Times New Roman" w:cs="Times New Roman"/>
                <w:sz w:val="20"/>
                <w:szCs w:val="20"/>
                <w:lang w:eastAsia="en-GB"/>
              </w:rPr>
            </w:pPr>
          </w:p>
        </w:tc>
      </w:tr>
      <w:tr w:rsidR="00F02B68" w:rsidRPr="00C50B23" w:rsidTr="004956C2">
        <w:trPr>
          <w:trHeight w:val="300"/>
        </w:trPr>
        <w:tc>
          <w:tcPr>
            <w:tcW w:w="2477" w:type="dxa"/>
            <w:tcBorders>
              <w:top w:val="nil"/>
              <w:left w:val="nil"/>
              <w:bottom w:val="nil"/>
              <w:right w:val="dotted" w:sz="4" w:space="0" w:color="auto"/>
            </w:tcBorders>
            <w:shd w:val="clear" w:color="auto" w:fill="auto"/>
            <w:noWrap/>
            <w:vAlign w:val="center"/>
            <w:hideMark/>
          </w:tcPr>
          <w:p w:rsidR="00F02B68" w:rsidRPr="00236767" w:rsidRDefault="00F02B68" w:rsidP="004956C2">
            <w:pPr>
              <w:spacing w:after="0"/>
              <w:jc w:val="both"/>
              <w:rPr>
                <w:rFonts w:eastAsia="Times New Roman" w:cs="Times New Roman"/>
                <w:bCs/>
                <w:lang w:eastAsia="en-GB"/>
              </w:rPr>
            </w:pPr>
          </w:p>
        </w:tc>
        <w:tc>
          <w:tcPr>
            <w:tcW w:w="408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236767" w:rsidRDefault="00F02B68" w:rsidP="004956C2">
            <w:pPr>
              <w:spacing w:after="0"/>
              <w:jc w:val="both"/>
              <w:rPr>
                <w:rFonts w:eastAsia="Times New Roman" w:cs="Times New Roman"/>
                <w:lang w:eastAsia="en-GB"/>
              </w:rPr>
            </w:pPr>
            <w:r w:rsidRPr="00236767">
              <w:rPr>
                <w:rFonts w:eastAsia="Times New Roman" w:cs="Times New Roman"/>
                <w:lang w:eastAsia="en-GB"/>
              </w:rPr>
              <w:t>Ineligible for financial support for heating</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r>
      <w:tr w:rsidR="00F02B68" w:rsidRPr="00C50B23" w:rsidTr="004956C2">
        <w:trPr>
          <w:trHeight w:val="300"/>
        </w:trPr>
        <w:tc>
          <w:tcPr>
            <w:tcW w:w="2477" w:type="dxa"/>
            <w:tcBorders>
              <w:top w:val="nil"/>
              <w:left w:val="nil"/>
              <w:bottom w:val="nil"/>
              <w:right w:val="dotted" w:sz="4" w:space="0" w:color="auto"/>
            </w:tcBorders>
            <w:shd w:val="clear" w:color="auto" w:fill="auto"/>
            <w:noWrap/>
            <w:vAlign w:val="center"/>
            <w:hideMark/>
          </w:tcPr>
          <w:p w:rsidR="00F02B68" w:rsidRPr="00236767" w:rsidRDefault="00F02B68" w:rsidP="004956C2">
            <w:pPr>
              <w:spacing w:after="0"/>
              <w:jc w:val="both"/>
              <w:rPr>
                <w:rFonts w:eastAsia="Times New Roman" w:cs="Times New Roman"/>
                <w:bCs/>
                <w:lang w:eastAsia="en-GB"/>
              </w:rPr>
            </w:pPr>
          </w:p>
        </w:tc>
        <w:tc>
          <w:tcPr>
            <w:tcW w:w="408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236767" w:rsidRDefault="00F02B68" w:rsidP="004956C2">
            <w:pPr>
              <w:spacing w:after="0"/>
              <w:jc w:val="both"/>
              <w:rPr>
                <w:rFonts w:eastAsia="Times New Roman" w:cs="Times New Roman"/>
                <w:lang w:eastAsia="en-GB"/>
              </w:rPr>
            </w:pPr>
            <w:r w:rsidRPr="00236767">
              <w:rPr>
                <w:rFonts w:eastAsia="Times New Roman" w:cs="Times New Roman"/>
                <w:lang w:eastAsia="en-GB"/>
              </w:rPr>
              <w:t>High energy use per capita</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r>
      <w:tr w:rsidR="00F02B68" w:rsidRPr="00C50B23" w:rsidTr="004956C2">
        <w:trPr>
          <w:trHeight w:val="300"/>
        </w:trPr>
        <w:tc>
          <w:tcPr>
            <w:tcW w:w="2477" w:type="dxa"/>
            <w:tcBorders>
              <w:top w:val="nil"/>
              <w:left w:val="nil"/>
              <w:bottom w:val="single" w:sz="4" w:space="0" w:color="auto"/>
              <w:right w:val="dotted" w:sz="4" w:space="0" w:color="auto"/>
            </w:tcBorders>
            <w:shd w:val="clear" w:color="auto" w:fill="auto"/>
            <w:noWrap/>
            <w:vAlign w:val="center"/>
            <w:hideMark/>
          </w:tcPr>
          <w:p w:rsidR="00F02B68" w:rsidRPr="00236767" w:rsidRDefault="00F02B68" w:rsidP="004956C2">
            <w:pPr>
              <w:spacing w:after="0"/>
              <w:jc w:val="both"/>
              <w:rPr>
                <w:rFonts w:eastAsia="Times New Roman" w:cs="Times New Roman"/>
                <w:bCs/>
                <w:lang w:eastAsia="en-GB"/>
              </w:rPr>
            </w:pPr>
          </w:p>
        </w:tc>
        <w:tc>
          <w:tcPr>
            <w:tcW w:w="4083"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rsidR="00F02B68" w:rsidRPr="00236767" w:rsidRDefault="00F02B68" w:rsidP="004956C2">
            <w:pPr>
              <w:spacing w:after="0"/>
              <w:jc w:val="both"/>
              <w:rPr>
                <w:rFonts w:eastAsia="Times New Roman" w:cs="Times New Roman"/>
                <w:lang w:eastAsia="en-GB"/>
              </w:rPr>
            </w:pPr>
            <w:r w:rsidRPr="00236767">
              <w:rPr>
                <w:rFonts w:eastAsia="Times New Roman" w:cs="Times New Roman"/>
                <w:lang w:eastAsia="en-GB"/>
              </w:rPr>
              <w:t>Income from state support reduced</w:t>
            </w:r>
          </w:p>
        </w:tc>
        <w:tc>
          <w:tcPr>
            <w:tcW w:w="1295"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r>
      <w:tr w:rsidR="00F02B68" w:rsidRPr="00C50B23" w:rsidTr="004956C2">
        <w:trPr>
          <w:trHeight w:val="300"/>
        </w:trPr>
        <w:tc>
          <w:tcPr>
            <w:tcW w:w="2477" w:type="dxa"/>
            <w:tcBorders>
              <w:top w:val="single" w:sz="4" w:space="0" w:color="auto"/>
              <w:left w:val="nil"/>
              <w:bottom w:val="nil"/>
              <w:right w:val="dotted" w:sz="4" w:space="0" w:color="auto"/>
            </w:tcBorders>
            <w:shd w:val="clear" w:color="auto" w:fill="auto"/>
            <w:noWrap/>
            <w:vAlign w:val="center"/>
            <w:hideMark/>
          </w:tcPr>
          <w:p w:rsidR="00F02B68" w:rsidRPr="00236767" w:rsidRDefault="00F02B68" w:rsidP="004956C2">
            <w:pPr>
              <w:spacing w:after="0"/>
              <w:jc w:val="both"/>
              <w:rPr>
                <w:rFonts w:eastAsia="Times New Roman" w:cs="Times New Roman"/>
                <w:bCs/>
                <w:lang w:eastAsia="en-GB"/>
              </w:rPr>
            </w:pPr>
            <w:r w:rsidRPr="00236767">
              <w:rPr>
                <w:rFonts w:eastAsia="Times New Roman" w:cs="Times New Roman"/>
                <w:bCs/>
                <w:lang w:eastAsia="en-GB"/>
              </w:rPr>
              <w:t>Efficiency</w:t>
            </w:r>
          </w:p>
        </w:tc>
        <w:tc>
          <w:tcPr>
            <w:tcW w:w="4083"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F02B68" w:rsidRPr="00236767" w:rsidRDefault="00F02B68" w:rsidP="004956C2">
            <w:pPr>
              <w:spacing w:after="0"/>
              <w:jc w:val="both"/>
              <w:rPr>
                <w:rFonts w:eastAsia="Times New Roman" w:cs="Times New Roman"/>
                <w:lang w:eastAsia="en-GB"/>
              </w:rPr>
            </w:pPr>
            <w:r w:rsidRPr="00236767">
              <w:rPr>
                <w:rFonts w:eastAsia="Times New Roman" w:cs="Times New Roman"/>
                <w:lang w:eastAsia="en-GB"/>
              </w:rPr>
              <w:t>Lack of capital to invest in efficiency</w:t>
            </w:r>
          </w:p>
        </w:tc>
        <w:tc>
          <w:tcPr>
            <w:tcW w:w="1295"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r>
      <w:tr w:rsidR="00F02B68" w:rsidRPr="00C50B23" w:rsidTr="004956C2">
        <w:trPr>
          <w:trHeight w:val="300"/>
        </w:trPr>
        <w:tc>
          <w:tcPr>
            <w:tcW w:w="2477" w:type="dxa"/>
            <w:tcBorders>
              <w:top w:val="nil"/>
              <w:left w:val="nil"/>
              <w:bottom w:val="nil"/>
              <w:right w:val="dotted" w:sz="4" w:space="0" w:color="auto"/>
            </w:tcBorders>
            <w:shd w:val="clear" w:color="auto" w:fill="auto"/>
            <w:noWrap/>
            <w:vAlign w:val="center"/>
            <w:hideMark/>
          </w:tcPr>
          <w:p w:rsidR="00F02B68" w:rsidRPr="00236767" w:rsidRDefault="00F02B68" w:rsidP="004956C2">
            <w:pPr>
              <w:spacing w:after="0"/>
              <w:jc w:val="both"/>
              <w:rPr>
                <w:rFonts w:eastAsia="Times New Roman" w:cs="Times New Roman"/>
                <w:bCs/>
                <w:lang w:eastAsia="en-GB"/>
              </w:rPr>
            </w:pPr>
          </w:p>
        </w:tc>
        <w:tc>
          <w:tcPr>
            <w:tcW w:w="408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236767" w:rsidRDefault="00F02B68" w:rsidP="004956C2">
            <w:pPr>
              <w:spacing w:after="0"/>
              <w:jc w:val="both"/>
              <w:rPr>
                <w:rFonts w:eastAsia="Times New Roman" w:cs="Times New Roman"/>
                <w:lang w:eastAsia="en-GB"/>
              </w:rPr>
            </w:pPr>
            <w:r w:rsidRPr="00236767">
              <w:rPr>
                <w:rFonts w:eastAsia="Times New Roman" w:cs="Times New Roman"/>
                <w:lang w:eastAsia="en-GB"/>
              </w:rPr>
              <w:t>Inefficient energy conversion by appliances</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r>
      <w:tr w:rsidR="00F02B68" w:rsidRPr="00C50B23" w:rsidTr="004956C2">
        <w:trPr>
          <w:trHeight w:val="300"/>
        </w:trPr>
        <w:tc>
          <w:tcPr>
            <w:tcW w:w="2477" w:type="dxa"/>
            <w:tcBorders>
              <w:top w:val="nil"/>
              <w:left w:val="nil"/>
              <w:bottom w:val="nil"/>
              <w:right w:val="dotted" w:sz="4" w:space="0" w:color="auto"/>
            </w:tcBorders>
            <w:shd w:val="clear" w:color="auto" w:fill="auto"/>
            <w:noWrap/>
            <w:vAlign w:val="center"/>
            <w:hideMark/>
          </w:tcPr>
          <w:p w:rsidR="00F02B68" w:rsidRPr="00236767" w:rsidRDefault="00F02B68" w:rsidP="004956C2">
            <w:pPr>
              <w:spacing w:after="0"/>
              <w:jc w:val="both"/>
              <w:rPr>
                <w:rFonts w:eastAsia="Times New Roman" w:cs="Times New Roman"/>
                <w:bCs/>
                <w:lang w:eastAsia="en-GB"/>
              </w:rPr>
            </w:pPr>
          </w:p>
        </w:tc>
        <w:tc>
          <w:tcPr>
            <w:tcW w:w="408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236767" w:rsidRDefault="00F02B68" w:rsidP="004956C2">
            <w:pPr>
              <w:spacing w:after="0"/>
              <w:jc w:val="both"/>
              <w:rPr>
                <w:rFonts w:eastAsia="Times New Roman" w:cs="Times New Roman"/>
                <w:lang w:eastAsia="en-GB"/>
              </w:rPr>
            </w:pPr>
            <w:r w:rsidRPr="00236767">
              <w:rPr>
                <w:rFonts w:eastAsia="Times New Roman" w:cs="Times New Roman"/>
                <w:lang w:eastAsia="en-GB"/>
              </w:rPr>
              <w:t>Energy inefficient property</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r>
      <w:tr w:rsidR="00F02B68" w:rsidRPr="00C50B23" w:rsidTr="004956C2">
        <w:trPr>
          <w:trHeight w:val="300"/>
        </w:trPr>
        <w:tc>
          <w:tcPr>
            <w:tcW w:w="2477" w:type="dxa"/>
            <w:tcBorders>
              <w:top w:val="nil"/>
              <w:left w:val="nil"/>
              <w:bottom w:val="single" w:sz="4" w:space="0" w:color="auto"/>
              <w:right w:val="dotted" w:sz="4" w:space="0" w:color="auto"/>
            </w:tcBorders>
            <w:shd w:val="clear" w:color="auto" w:fill="auto"/>
            <w:noWrap/>
            <w:vAlign w:val="center"/>
            <w:hideMark/>
          </w:tcPr>
          <w:p w:rsidR="00F02B68" w:rsidRPr="00236767" w:rsidRDefault="00F02B68" w:rsidP="004956C2">
            <w:pPr>
              <w:spacing w:after="0"/>
              <w:jc w:val="both"/>
              <w:rPr>
                <w:rFonts w:eastAsia="Times New Roman" w:cs="Times New Roman"/>
                <w:bCs/>
                <w:lang w:eastAsia="en-GB"/>
              </w:rPr>
            </w:pPr>
          </w:p>
        </w:tc>
        <w:tc>
          <w:tcPr>
            <w:tcW w:w="4083"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rsidR="00F02B68" w:rsidRPr="00236767" w:rsidRDefault="00F02B68" w:rsidP="004956C2">
            <w:pPr>
              <w:spacing w:after="0"/>
              <w:jc w:val="both"/>
              <w:rPr>
                <w:rFonts w:eastAsia="Times New Roman" w:cs="Times New Roman"/>
                <w:lang w:eastAsia="en-GB"/>
              </w:rPr>
            </w:pPr>
            <w:r w:rsidRPr="00236767">
              <w:rPr>
                <w:rFonts w:eastAsia="Times New Roman" w:cs="Times New Roman"/>
                <w:lang w:eastAsia="en-GB"/>
              </w:rPr>
              <w:t>Limited eligibility for efficiency measures</w:t>
            </w:r>
          </w:p>
        </w:tc>
        <w:tc>
          <w:tcPr>
            <w:tcW w:w="1295"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r>
      <w:tr w:rsidR="00F02B68" w:rsidRPr="00C50B23" w:rsidTr="004956C2">
        <w:trPr>
          <w:trHeight w:val="300"/>
        </w:trPr>
        <w:tc>
          <w:tcPr>
            <w:tcW w:w="2477" w:type="dxa"/>
            <w:tcBorders>
              <w:top w:val="single" w:sz="4" w:space="0" w:color="auto"/>
              <w:left w:val="nil"/>
              <w:bottom w:val="nil"/>
              <w:right w:val="dotted" w:sz="4" w:space="0" w:color="auto"/>
            </w:tcBorders>
            <w:shd w:val="clear" w:color="auto" w:fill="auto"/>
            <w:noWrap/>
            <w:vAlign w:val="center"/>
            <w:hideMark/>
          </w:tcPr>
          <w:p w:rsidR="00F02B68" w:rsidRPr="00236767" w:rsidRDefault="00F02B68" w:rsidP="004956C2">
            <w:pPr>
              <w:spacing w:after="0"/>
              <w:jc w:val="both"/>
              <w:rPr>
                <w:rFonts w:eastAsia="Times New Roman" w:cs="Times New Roman"/>
                <w:bCs/>
                <w:lang w:eastAsia="en-GB"/>
              </w:rPr>
            </w:pPr>
            <w:r w:rsidRPr="00236767">
              <w:rPr>
                <w:rFonts w:eastAsia="Times New Roman" w:cs="Times New Roman"/>
                <w:bCs/>
                <w:lang w:eastAsia="en-GB"/>
              </w:rPr>
              <w:t>Flexibility</w:t>
            </w:r>
          </w:p>
        </w:tc>
        <w:tc>
          <w:tcPr>
            <w:tcW w:w="4083"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F02B68" w:rsidRPr="00236767" w:rsidRDefault="00F02B68" w:rsidP="004956C2">
            <w:pPr>
              <w:spacing w:after="0"/>
              <w:jc w:val="both"/>
              <w:rPr>
                <w:rFonts w:eastAsia="Times New Roman" w:cs="Times New Roman"/>
                <w:lang w:eastAsia="en-GB"/>
              </w:rPr>
            </w:pPr>
            <w:r w:rsidRPr="00236767">
              <w:rPr>
                <w:rFonts w:eastAsia="Times New Roman" w:cs="Times New Roman"/>
                <w:lang w:eastAsia="en-GB"/>
              </w:rPr>
              <w:t>Inability to switch to cheaper tariff</w:t>
            </w:r>
          </w:p>
        </w:tc>
        <w:tc>
          <w:tcPr>
            <w:tcW w:w="1295"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r>
      <w:tr w:rsidR="00F02B68" w:rsidRPr="00C50B23" w:rsidTr="004956C2">
        <w:trPr>
          <w:trHeight w:val="300"/>
        </w:trPr>
        <w:tc>
          <w:tcPr>
            <w:tcW w:w="2477" w:type="dxa"/>
            <w:tcBorders>
              <w:top w:val="nil"/>
              <w:left w:val="nil"/>
              <w:bottom w:val="nil"/>
              <w:right w:val="dotted" w:sz="4" w:space="0" w:color="auto"/>
            </w:tcBorders>
            <w:shd w:val="clear" w:color="auto" w:fill="auto"/>
            <w:noWrap/>
            <w:vAlign w:val="center"/>
            <w:hideMark/>
          </w:tcPr>
          <w:p w:rsidR="00F02B68" w:rsidRPr="00236767" w:rsidRDefault="00F02B68" w:rsidP="004956C2">
            <w:pPr>
              <w:spacing w:after="0"/>
              <w:jc w:val="both"/>
              <w:rPr>
                <w:rFonts w:eastAsia="Times New Roman" w:cs="Times New Roman"/>
                <w:bCs/>
                <w:lang w:eastAsia="en-GB"/>
              </w:rPr>
            </w:pPr>
          </w:p>
        </w:tc>
        <w:tc>
          <w:tcPr>
            <w:tcW w:w="408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236767" w:rsidRDefault="00F02B68" w:rsidP="004956C2">
            <w:pPr>
              <w:spacing w:after="0"/>
              <w:jc w:val="both"/>
              <w:rPr>
                <w:rFonts w:eastAsia="Times New Roman" w:cs="Times New Roman"/>
                <w:lang w:eastAsia="en-GB"/>
              </w:rPr>
            </w:pPr>
            <w:r w:rsidRPr="00236767">
              <w:rPr>
                <w:rFonts w:eastAsia="Times New Roman" w:cs="Times New Roman"/>
                <w:lang w:eastAsia="en-GB"/>
              </w:rPr>
              <w:t xml:space="preserve">Under-occupancy </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r>
      <w:tr w:rsidR="00F02B68" w:rsidRPr="00C50B23" w:rsidTr="004956C2">
        <w:trPr>
          <w:trHeight w:val="300"/>
        </w:trPr>
        <w:tc>
          <w:tcPr>
            <w:tcW w:w="2477" w:type="dxa"/>
            <w:tcBorders>
              <w:top w:val="nil"/>
              <w:left w:val="nil"/>
              <w:bottom w:val="nil"/>
              <w:right w:val="dotted" w:sz="4" w:space="0" w:color="auto"/>
            </w:tcBorders>
            <w:shd w:val="clear" w:color="auto" w:fill="auto"/>
            <w:noWrap/>
            <w:vAlign w:val="center"/>
            <w:hideMark/>
          </w:tcPr>
          <w:p w:rsidR="00F02B68" w:rsidRPr="00236767" w:rsidRDefault="00F02B68" w:rsidP="004956C2">
            <w:pPr>
              <w:spacing w:after="0"/>
              <w:jc w:val="both"/>
              <w:rPr>
                <w:rFonts w:eastAsia="Times New Roman" w:cs="Times New Roman"/>
                <w:bCs/>
                <w:lang w:eastAsia="en-GB"/>
              </w:rPr>
            </w:pPr>
          </w:p>
        </w:tc>
        <w:tc>
          <w:tcPr>
            <w:tcW w:w="408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236767" w:rsidRDefault="00F02B68" w:rsidP="004956C2">
            <w:pPr>
              <w:spacing w:after="0"/>
              <w:jc w:val="both"/>
              <w:rPr>
                <w:rFonts w:eastAsia="Times New Roman" w:cs="Times New Roman"/>
                <w:lang w:eastAsia="en-GB"/>
              </w:rPr>
            </w:pPr>
            <w:r w:rsidRPr="00236767">
              <w:rPr>
                <w:rFonts w:eastAsia="Times New Roman" w:cs="Times New Roman"/>
                <w:lang w:eastAsia="en-GB"/>
              </w:rPr>
              <w:t>Reduced autonomy over energy service</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r>
      <w:tr w:rsidR="00F02B68" w:rsidRPr="00C50B23" w:rsidTr="004956C2">
        <w:trPr>
          <w:trHeight w:val="300"/>
        </w:trPr>
        <w:tc>
          <w:tcPr>
            <w:tcW w:w="2477" w:type="dxa"/>
            <w:tcBorders>
              <w:top w:val="nil"/>
              <w:left w:val="nil"/>
              <w:bottom w:val="nil"/>
              <w:right w:val="dotted" w:sz="4" w:space="0" w:color="auto"/>
            </w:tcBorders>
            <w:shd w:val="clear" w:color="auto" w:fill="auto"/>
            <w:noWrap/>
            <w:vAlign w:val="center"/>
            <w:hideMark/>
          </w:tcPr>
          <w:p w:rsidR="00F02B68" w:rsidRPr="00236767" w:rsidRDefault="00F02B68" w:rsidP="004956C2">
            <w:pPr>
              <w:spacing w:after="0"/>
              <w:jc w:val="both"/>
              <w:rPr>
                <w:rFonts w:eastAsia="Times New Roman" w:cs="Times New Roman"/>
                <w:bCs/>
                <w:lang w:eastAsia="en-GB"/>
              </w:rPr>
            </w:pPr>
          </w:p>
        </w:tc>
        <w:tc>
          <w:tcPr>
            <w:tcW w:w="408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236767" w:rsidRDefault="00F02B68" w:rsidP="004956C2">
            <w:pPr>
              <w:spacing w:after="0"/>
              <w:jc w:val="both"/>
              <w:rPr>
                <w:rFonts w:eastAsia="Times New Roman" w:cs="Times New Roman"/>
                <w:lang w:eastAsia="en-GB"/>
              </w:rPr>
            </w:pPr>
            <w:r w:rsidRPr="00236767">
              <w:rPr>
                <w:rFonts w:eastAsia="Times New Roman" w:cs="Times New Roman"/>
                <w:lang w:eastAsia="en-GB"/>
              </w:rPr>
              <w:t>Lack of control or choice over daily lives</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r>
      <w:tr w:rsidR="00F02B68" w:rsidRPr="00C50B23" w:rsidTr="004956C2">
        <w:trPr>
          <w:trHeight w:val="300"/>
        </w:trPr>
        <w:tc>
          <w:tcPr>
            <w:tcW w:w="2477" w:type="dxa"/>
            <w:tcBorders>
              <w:top w:val="nil"/>
              <w:left w:val="nil"/>
              <w:bottom w:val="nil"/>
              <w:right w:val="dotted" w:sz="4" w:space="0" w:color="auto"/>
            </w:tcBorders>
            <w:shd w:val="clear" w:color="auto" w:fill="auto"/>
            <w:noWrap/>
            <w:vAlign w:val="center"/>
            <w:hideMark/>
          </w:tcPr>
          <w:p w:rsidR="00F02B68" w:rsidRPr="00236767" w:rsidRDefault="00F02B68" w:rsidP="004956C2">
            <w:pPr>
              <w:spacing w:after="0"/>
              <w:jc w:val="both"/>
              <w:rPr>
                <w:rFonts w:eastAsia="Times New Roman" w:cs="Times New Roman"/>
                <w:bCs/>
                <w:lang w:eastAsia="en-GB"/>
              </w:rPr>
            </w:pPr>
          </w:p>
        </w:tc>
        <w:tc>
          <w:tcPr>
            <w:tcW w:w="408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236767" w:rsidRDefault="00F02B68" w:rsidP="004956C2">
            <w:pPr>
              <w:spacing w:after="0"/>
              <w:jc w:val="both"/>
              <w:rPr>
                <w:rFonts w:eastAsia="Times New Roman" w:cs="Times New Roman"/>
                <w:lang w:eastAsia="en-GB"/>
              </w:rPr>
            </w:pPr>
            <w:r w:rsidRPr="00236767">
              <w:rPr>
                <w:rFonts w:eastAsia="Times New Roman" w:cs="Times New Roman"/>
                <w:lang w:eastAsia="en-GB"/>
              </w:rPr>
              <w:t>Precarious living arrangements</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r>
      <w:tr w:rsidR="00F02B68" w:rsidRPr="00C50B23" w:rsidTr="004956C2">
        <w:trPr>
          <w:trHeight w:val="300"/>
        </w:trPr>
        <w:tc>
          <w:tcPr>
            <w:tcW w:w="2477" w:type="dxa"/>
            <w:tcBorders>
              <w:top w:val="nil"/>
              <w:left w:val="nil"/>
              <w:bottom w:val="nil"/>
              <w:right w:val="dotted" w:sz="4" w:space="0" w:color="auto"/>
            </w:tcBorders>
            <w:shd w:val="clear" w:color="auto" w:fill="auto"/>
            <w:noWrap/>
            <w:vAlign w:val="center"/>
            <w:hideMark/>
          </w:tcPr>
          <w:p w:rsidR="00F02B68" w:rsidRPr="00236767" w:rsidRDefault="00F02B68" w:rsidP="004956C2">
            <w:pPr>
              <w:spacing w:after="0"/>
              <w:jc w:val="both"/>
              <w:rPr>
                <w:rFonts w:eastAsia="Times New Roman" w:cs="Times New Roman"/>
                <w:bCs/>
                <w:lang w:eastAsia="en-GB"/>
              </w:rPr>
            </w:pPr>
          </w:p>
        </w:tc>
        <w:tc>
          <w:tcPr>
            <w:tcW w:w="408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236767" w:rsidRDefault="00F02B68" w:rsidP="004956C2">
            <w:pPr>
              <w:spacing w:after="0"/>
              <w:jc w:val="both"/>
              <w:rPr>
                <w:rFonts w:eastAsia="Times New Roman" w:cs="Times New Roman"/>
                <w:lang w:eastAsia="en-GB"/>
              </w:rPr>
            </w:pPr>
            <w:r w:rsidRPr="00236767">
              <w:rPr>
                <w:rFonts w:eastAsia="Times New Roman" w:cs="Times New Roman"/>
                <w:lang w:eastAsia="en-GB"/>
              </w:rPr>
              <w:t>Lack of housing rights</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r>
      <w:tr w:rsidR="00F02B68" w:rsidRPr="00C50B23" w:rsidTr="004956C2">
        <w:trPr>
          <w:trHeight w:val="300"/>
        </w:trPr>
        <w:tc>
          <w:tcPr>
            <w:tcW w:w="2477" w:type="dxa"/>
            <w:tcBorders>
              <w:top w:val="nil"/>
              <w:left w:val="nil"/>
              <w:bottom w:val="single" w:sz="4" w:space="0" w:color="auto"/>
              <w:right w:val="dotted" w:sz="4" w:space="0" w:color="auto"/>
            </w:tcBorders>
            <w:shd w:val="clear" w:color="auto" w:fill="auto"/>
            <w:noWrap/>
            <w:vAlign w:val="center"/>
            <w:hideMark/>
          </w:tcPr>
          <w:p w:rsidR="00F02B68" w:rsidRPr="00236767" w:rsidRDefault="00F02B68" w:rsidP="004956C2">
            <w:pPr>
              <w:spacing w:after="0"/>
              <w:jc w:val="both"/>
              <w:rPr>
                <w:rFonts w:eastAsia="Times New Roman" w:cs="Times New Roman"/>
                <w:bCs/>
                <w:lang w:eastAsia="en-GB"/>
              </w:rPr>
            </w:pPr>
          </w:p>
        </w:tc>
        <w:tc>
          <w:tcPr>
            <w:tcW w:w="4083"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rsidR="00F02B68" w:rsidRPr="00236767" w:rsidRDefault="00F02B68" w:rsidP="004956C2">
            <w:pPr>
              <w:spacing w:after="0"/>
              <w:jc w:val="both"/>
              <w:rPr>
                <w:rFonts w:eastAsia="Times New Roman" w:cs="Times New Roman"/>
                <w:lang w:eastAsia="en-GB"/>
              </w:rPr>
            </w:pPr>
            <w:r w:rsidRPr="00236767">
              <w:rPr>
                <w:rFonts w:eastAsia="Times New Roman" w:cs="Times New Roman"/>
                <w:lang w:eastAsia="en-GB"/>
              </w:rPr>
              <w:t>Unaffordability of owner-occupancy</w:t>
            </w:r>
          </w:p>
        </w:tc>
        <w:tc>
          <w:tcPr>
            <w:tcW w:w="1295"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r>
      <w:tr w:rsidR="00F02B68" w:rsidRPr="00C50B23" w:rsidTr="004956C2">
        <w:trPr>
          <w:trHeight w:val="300"/>
        </w:trPr>
        <w:tc>
          <w:tcPr>
            <w:tcW w:w="2477" w:type="dxa"/>
            <w:tcBorders>
              <w:top w:val="single" w:sz="4" w:space="0" w:color="auto"/>
              <w:left w:val="nil"/>
              <w:bottom w:val="nil"/>
              <w:right w:val="dotted" w:sz="4" w:space="0" w:color="auto"/>
            </w:tcBorders>
            <w:shd w:val="clear" w:color="auto" w:fill="auto"/>
            <w:noWrap/>
            <w:vAlign w:val="center"/>
            <w:hideMark/>
          </w:tcPr>
          <w:p w:rsidR="00F02B68" w:rsidRPr="00236767" w:rsidRDefault="00F02B68" w:rsidP="004956C2">
            <w:pPr>
              <w:spacing w:after="0"/>
              <w:jc w:val="both"/>
              <w:rPr>
                <w:rFonts w:eastAsia="Times New Roman" w:cs="Times New Roman"/>
                <w:bCs/>
                <w:lang w:eastAsia="en-GB"/>
              </w:rPr>
            </w:pPr>
            <w:r w:rsidRPr="00236767">
              <w:rPr>
                <w:rFonts w:eastAsia="Times New Roman" w:cs="Times New Roman"/>
                <w:bCs/>
                <w:lang w:eastAsia="en-GB"/>
              </w:rPr>
              <w:t>Needs and practices</w:t>
            </w:r>
          </w:p>
        </w:tc>
        <w:tc>
          <w:tcPr>
            <w:tcW w:w="4083"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F02B68" w:rsidRPr="00236767" w:rsidRDefault="00F02B68" w:rsidP="004956C2">
            <w:pPr>
              <w:spacing w:after="0"/>
              <w:jc w:val="both"/>
              <w:rPr>
                <w:rFonts w:eastAsia="Times New Roman" w:cs="Times New Roman"/>
                <w:lang w:eastAsia="en-GB"/>
              </w:rPr>
            </w:pPr>
            <w:r w:rsidRPr="00236767">
              <w:rPr>
                <w:rFonts w:eastAsia="Times New Roman" w:cs="Times New Roman"/>
                <w:lang w:eastAsia="en-GB"/>
              </w:rPr>
              <w:t>Large proportion of time spent at home</w:t>
            </w:r>
          </w:p>
        </w:tc>
        <w:tc>
          <w:tcPr>
            <w:tcW w:w="1295"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r>
      <w:tr w:rsidR="00F02B68" w:rsidRPr="00C50B23" w:rsidTr="004956C2">
        <w:trPr>
          <w:trHeight w:val="300"/>
        </w:trPr>
        <w:tc>
          <w:tcPr>
            <w:tcW w:w="2477" w:type="dxa"/>
            <w:tcBorders>
              <w:top w:val="nil"/>
              <w:left w:val="nil"/>
              <w:right w:val="dotted" w:sz="4" w:space="0" w:color="auto"/>
            </w:tcBorders>
            <w:shd w:val="clear" w:color="auto" w:fill="auto"/>
            <w:noWrap/>
            <w:vAlign w:val="center"/>
            <w:hideMark/>
          </w:tcPr>
          <w:p w:rsidR="00F02B68" w:rsidRPr="00236767" w:rsidRDefault="00F02B68" w:rsidP="004956C2">
            <w:pPr>
              <w:spacing w:after="0"/>
              <w:jc w:val="both"/>
              <w:rPr>
                <w:rFonts w:eastAsia="Times New Roman" w:cs="Times New Roman"/>
                <w:bCs/>
                <w:lang w:eastAsia="en-GB"/>
              </w:rPr>
            </w:pPr>
          </w:p>
        </w:tc>
        <w:tc>
          <w:tcPr>
            <w:tcW w:w="408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236767" w:rsidRDefault="00F02B68" w:rsidP="004956C2">
            <w:pPr>
              <w:spacing w:after="0"/>
              <w:jc w:val="both"/>
              <w:rPr>
                <w:rFonts w:eastAsia="Times New Roman" w:cs="Times New Roman"/>
                <w:lang w:eastAsia="en-GB"/>
              </w:rPr>
            </w:pPr>
            <w:r>
              <w:rPr>
                <w:rFonts w:eastAsia="Times New Roman" w:cs="Times New Roman"/>
                <w:lang w:eastAsia="en-GB"/>
              </w:rPr>
              <w:t xml:space="preserve">Physiological need for </w:t>
            </w:r>
            <w:r w:rsidRPr="00236767">
              <w:rPr>
                <w:rFonts w:eastAsia="Times New Roman" w:cs="Times New Roman"/>
                <w:lang w:eastAsia="en-GB"/>
              </w:rPr>
              <w:t>e</w:t>
            </w:r>
            <w:r>
              <w:rPr>
                <w:rFonts w:eastAsia="Times New Roman" w:cs="Times New Roman"/>
                <w:lang w:eastAsia="en-GB"/>
              </w:rPr>
              <w:t>nergy services</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r>
      <w:tr w:rsidR="00F02B68" w:rsidRPr="00C50B23" w:rsidTr="004956C2">
        <w:trPr>
          <w:trHeight w:val="300"/>
        </w:trPr>
        <w:tc>
          <w:tcPr>
            <w:tcW w:w="2477" w:type="dxa"/>
            <w:tcBorders>
              <w:top w:val="nil"/>
              <w:left w:val="nil"/>
              <w:right w:val="dotted" w:sz="4" w:space="0" w:color="auto"/>
            </w:tcBorders>
            <w:shd w:val="clear" w:color="auto" w:fill="auto"/>
            <w:noWrap/>
            <w:vAlign w:val="center"/>
            <w:hideMark/>
          </w:tcPr>
          <w:p w:rsidR="00F02B68" w:rsidRPr="00236767" w:rsidRDefault="00F02B68" w:rsidP="004956C2">
            <w:pPr>
              <w:spacing w:after="0"/>
              <w:jc w:val="both"/>
              <w:rPr>
                <w:rFonts w:eastAsia="Times New Roman" w:cs="Times New Roman"/>
                <w:bCs/>
                <w:lang w:eastAsia="en-GB"/>
              </w:rPr>
            </w:pPr>
          </w:p>
        </w:tc>
        <w:tc>
          <w:tcPr>
            <w:tcW w:w="408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236767" w:rsidRDefault="00F02B68" w:rsidP="004956C2">
            <w:pPr>
              <w:spacing w:after="0"/>
              <w:jc w:val="both"/>
              <w:rPr>
                <w:rFonts w:eastAsia="Times New Roman" w:cs="Times New Roman"/>
                <w:lang w:eastAsia="en-GB"/>
              </w:rPr>
            </w:pPr>
            <w:r w:rsidRPr="00236767">
              <w:rPr>
                <w:rFonts w:eastAsia="Times New Roman" w:cs="Times New Roman"/>
                <w:lang w:eastAsia="en-GB"/>
              </w:rPr>
              <w:t>Under-representation in fuel poverty policy</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r>
      <w:tr w:rsidR="00F02B68" w:rsidRPr="00C50B23" w:rsidTr="004956C2">
        <w:trPr>
          <w:trHeight w:val="300"/>
        </w:trPr>
        <w:tc>
          <w:tcPr>
            <w:tcW w:w="2477" w:type="dxa"/>
            <w:tcBorders>
              <w:left w:val="nil"/>
              <w:bottom w:val="nil"/>
              <w:right w:val="dotted" w:sz="4" w:space="0" w:color="auto"/>
            </w:tcBorders>
            <w:shd w:val="clear" w:color="auto" w:fill="auto"/>
            <w:noWrap/>
            <w:vAlign w:val="center"/>
            <w:hideMark/>
          </w:tcPr>
          <w:p w:rsidR="00F02B68" w:rsidRPr="00236767" w:rsidRDefault="00F02B68" w:rsidP="004956C2">
            <w:pPr>
              <w:spacing w:after="0"/>
              <w:jc w:val="both"/>
              <w:rPr>
                <w:rFonts w:eastAsia="Times New Roman" w:cs="Times New Roman"/>
                <w:bCs/>
                <w:lang w:eastAsia="en-GB"/>
              </w:rPr>
            </w:pPr>
          </w:p>
        </w:tc>
        <w:tc>
          <w:tcPr>
            <w:tcW w:w="408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236767" w:rsidRDefault="00F02B68" w:rsidP="004956C2">
            <w:pPr>
              <w:spacing w:after="0"/>
              <w:jc w:val="both"/>
              <w:rPr>
                <w:rFonts w:eastAsia="Times New Roman" w:cs="Times New Roman"/>
                <w:lang w:eastAsia="en-GB"/>
              </w:rPr>
            </w:pPr>
            <w:r w:rsidRPr="00236767">
              <w:rPr>
                <w:rFonts w:eastAsia="Times New Roman" w:cs="Times New Roman"/>
                <w:lang w:eastAsia="en-GB"/>
              </w:rPr>
              <w:t>Lack of awareness of support</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r>
      <w:tr w:rsidR="00F02B68" w:rsidRPr="00C50B23" w:rsidTr="004956C2">
        <w:trPr>
          <w:trHeight w:val="300"/>
        </w:trPr>
        <w:tc>
          <w:tcPr>
            <w:tcW w:w="2477" w:type="dxa"/>
            <w:tcBorders>
              <w:top w:val="nil"/>
              <w:left w:val="nil"/>
              <w:right w:val="dotted" w:sz="4" w:space="0" w:color="auto"/>
            </w:tcBorders>
            <w:shd w:val="clear" w:color="auto" w:fill="auto"/>
            <w:noWrap/>
            <w:vAlign w:val="center"/>
            <w:hideMark/>
          </w:tcPr>
          <w:p w:rsidR="00F02B68" w:rsidRPr="00236767" w:rsidRDefault="00F02B68" w:rsidP="004956C2">
            <w:pPr>
              <w:spacing w:after="0"/>
              <w:jc w:val="both"/>
              <w:rPr>
                <w:rFonts w:eastAsia="Times New Roman" w:cs="Times New Roman"/>
                <w:b/>
                <w:bCs/>
                <w:lang w:eastAsia="en-GB"/>
              </w:rPr>
            </w:pPr>
          </w:p>
        </w:tc>
        <w:tc>
          <w:tcPr>
            <w:tcW w:w="408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236767" w:rsidRDefault="00F02B68" w:rsidP="004956C2">
            <w:pPr>
              <w:spacing w:after="0"/>
              <w:jc w:val="both"/>
              <w:rPr>
                <w:rFonts w:eastAsia="Times New Roman" w:cs="Times New Roman"/>
                <w:lang w:eastAsia="en-GB"/>
              </w:rPr>
            </w:pPr>
            <w:r w:rsidRPr="00236767">
              <w:rPr>
                <w:rFonts w:eastAsia="Times New Roman" w:cs="Times New Roman"/>
                <w:lang w:eastAsia="en-GB"/>
              </w:rPr>
              <w:t>Lack of social relations in/outside the home</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r>
      <w:tr w:rsidR="00F02B68" w:rsidRPr="00C50B23" w:rsidTr="004956C2">
        <w:trPr>
          <w:trHeight w:val="300"/>
        </w:trPr>
        <w:tc>
          <w:tcPr>
            <w:tcW w:w="2477" w:type="dxa"/>
            <w:tcBorders>
              <w:top w:val="nil"/>
              <w:left w:val="nil"/>
              <w:bottom w:val="single" w:sz="4" w:space="0" w:color="auto"/>
              <w:right w:val="dotted" w:sz="4" w:space="0" w:color="auto"/>
            </w:tcBorders>
            <w:shd w:val="clear" w:color="auto" w:fill="auto"/>
            <w:noWrap/>
            <w:vAlign w:val="center"/>
            <w:hideMark/>
          </w:tcPr>
          <w:p w:rsidR="00F02B68" w:rsidRPr="00236767" w:rsidRDefault="00F02B68" w:rsidP="004956C2">
            <w:pPr>
              <w:spacing w:after="0"/>
              <w:jc w:val="both"/>
              <w:rPr>
                <w:rFonts w:eastAsia="Times New Roman" w:cs="Times New Roman"/>
                <w:b/>
                <w:bCs/>
                <w:lang w:eastAsia="en-GB"/>
              </w:rPr>
            </w:pPr>
          </w:p>
        </w:tc>
        <w:tc>
          <w:tcPr>
            <w:tcW w:w="4083"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rsidR="00F02B68" w:rsidRPr="00236767" w:rsidRDefault="00F02B68" w:rsidP="004956C2">
            <w:pPr>
              <w:spacing w:after="0"/>
              <w:jc w:val="both"/>
              <w:rPr>
                <w:rFonts w:eastAsia="Times New Roman" w:cs="Times New Roman"/>
                <w:lang w:eastAsia="en-GB"/>
              </w:rPr>
            </w:pPr>
            <w:r w:rsidRPr="00236767">
              <w:rPr>
                <w:rFonts w:eastAsia="Times New Roman" w:cs="Times New Roman"/>
                <w:lang w:eastAsia="en-GB"/>
              </w:rPr>
              <w:t>Unhealthy warm-related practices</w:t>
            </w:r>
          </w:p>
        </w:tc>
        <w:tc>
          <w:tcPr>
            <w:tcW w:w="1295"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r>
              <w:rPr>
                <w:rFonts w:eastAsia="Times New Roman" w:cs="Times New Roman"/>
                <w:sz w:val="20"/>
                <w:szCs w:val="20"/>
                <w:lang w:eastAsia="en-GB"/>
              </w:rPr>
              <w:t>x</w:t>
            </w:r>
          </w:p>
        </w:tc>
        <w:tc>
          <w:tcPr>
            <w:tcW w:w="1295"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c>
          <w:tcPr>
            <w:tcW w:w="1295"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rsidR="00F02B68" w:rsidRPr="00C50B23" w:rsidRDefault="00F02B68" w:rsidP="004956C2">
            <w:pPr>
              <w:spacing w:after="0"/>
              <w:jc w:val="center"/>
              <w:rPr>
                <w:rFonts w:eastAsia="Times New Roman" w:cs="Times New Roman"/>
                <w:sz w:val="20"/>
                <w:szCs w:val="20"/>
                <w:lang w:eastAsia="en-GB"/>
              </w:rPr>
            </w:pPr>
          </w:p>
        </w:tc>
      </w:tr>
    </w:tbl>
    <w:p w:rsidR="00F02B68" w:rsidRDefault="00F02B68" w:rsidP="00F02B68">
      <w:pPr>
        <w:spacing w:after="0"/>
        <w:jc w:val="both"/>
        <w:rPr>
          <w:rFonts w:cs="Times New Roman"/>
          <w:sz w:val="24"/>
          <w:szCs w:val="24"/>
        </w:rPr>
      </w:pPr>
    </w:p>
    <w:p w:rsidR="00F02B68" w:rsidRPr="00FB11C5" w:rsidRDefault="00F02B68" w:rsidP="00F02B68">
      <w:pPr>
        <w:spacing w:after="0"/>
        <w:jc w:val="both"/>
        <w:rPr>
          <w:rFonts w:cs="Times New Roman"/>
          <w:b/>
          <w:sz w:val="24"/>
          <w:szCs w:val="24"/>
        </w:rPr>
      </w:pPr>
      <w:r w:rsidRPr="00FB11C5">
        <w:rPr>
          <w:rFonts w:cs="Times New Roman"/>
          <w:b/>
          <w:sz w:val="24"/>
          <w:szCs w:val="24"/>
        </w:rPr>
        <w:lastRenderedPageBreak/>
        <w:t xml:space="preserve">Source: </w:t>
      </w:r>
    </w:p>
    <w:p w:rsidR="00F02B68" w:rsidRPr="00BD6D78" w:rsidRDefault="00F02B68" w:rsidP="00F02B68">
      <w:pPr>
        <w:spacing w:after="0"/>
        <w:jc w:val="both"/>
        <w:rPr>
          <w:rFonts w:cs="Times New Roman"/>
          <w:sz w:val="24"/>
          <w:szCs w:val="24"/>
        </w:rPr>
      </w:pPr>
      <w:r>
        <w:rPr>
          <w:rFonts w:cs="Times New Roman"/>
          <w:sz w:val="24"/>
          <w:szCs w:val="24"/>
          <w:vertAlign w:val="superscript"/>
        </w:rPr>
        <w:t>1</w:t>
      </w:r>
      <w:r>
        <w:rPr>
          <w:rFonts w:cs="Times New Roman"/>
          <w:sz w:val="24"/>
          <w:szCs w:val="24"/>
        </w:rPr>
        <w:t>Bouzarvoski and Petrova (2015)</w:t>
      </w:r>
    </w:p>
    <w:p w:rsidR="00F02B68" w:rsidRPr="004722A3" w:rsidRDefault="00F02B68" w:rsidP="00F02B68">
      <w:pPr>
        <w:spacing w:after="0"/>
        <w:jc w:val="both"/>
        <w:rPr>
          <w:rFonts w:cs="Times New Roman"/>
          <w:sz w:val="24"/>
          <w:szCs w:val="24"/>
          <w:vertAlign w:val="superscript"/>
        </w:rPr>
      </w:pPr>
      <w:r>
        <w:rPr>
          <w:rFonts w:cs="Times New Roman"/>
          <w:sz w:val="24"/>
          <w:szCs w:val="24"/>
          <w:vertAlign w:val="superscript"/>
        </w:rPr>
        <w:t>2</w:t>
      </w:r>
      <w:r w:rsidRPr="004722A3">
        <w:rPr>
          <w:rFonts w:cs="Times New Roman"/>
          <w:sz w:val="24"/>
          <w:szCs w:val="24"/>
        </w:rPr>
        <w:t>Gillard et al. (2017), Snell et al. (2015)</w:t>
      </w:r>
    </w:p>
    <w:p w:rsidR="00F02B68" w:rsidRPr="004722A3" w:rsidRDefault="00F02B68" w:rsidP="00F02B68">
      <w:pPr>
        <w:spacing w:after="0"/>
        <w:jc w:val="both"/>
        <w:rPr>
          <w:rFonts w:cs="Times New Roman"/>
          <w:sz w:val="24"/>
          <w:szCs w:val="24"/>
        </w:rPr>
      </w:pPr>
      <w:r>
        <w:rPr>
          <w:rFonts w:cs="Times New Roman"/>
          <w:sz w:val="24"/>
          <w:szCs w:val="24"/>
          <w:vertAlign w:val="superscript"/>
        </w:rPr>
        <w:t>3</w:t>
      </w:r>
      <w:r w:rsidRPr="004722A3">
        <w:rPr>
          <w:rFonts w:cs="Times New Roman"/>
          <w:sz w:val="24"/>
          <w:szCs w:val="24"/>
        </w:rPr>
        <w:t>Chard and Walker (2016), Healy and Clinch (2002)</w:t>
      </w:r>
    </w:p>
    <w:p w:rsidR="00F02B68" w:rsidRPr="004722A3" w:rsidRDefault="00F02B68" w:rsidP="00F02B68">
      <w:pPr>
        <w:spacing w:after="0"/>
        <w:jc w:val="both"/>
        <w:rPr>
          <w:rFonts w:cs="Times New Roman"/>
          <w:sz w:val="24"/>
          <w:szCs w:val="24"/>
        </w:rPr>
      </w:pPr>
      <w:r>
        <w:rPr>
          <w:rFonts w:cs="Times New Roman"/>
          <w:sz w:val="24"/>
          <w:szCs w:val="24"/>
          <w:vertAlign w:val="superscript"/>
        </w:rPr>
        <w:t>4</w:t>
      </w:r>
      <w:r w:rsidRPr="004722A3">
        <w:rPr>
          <w:rFonts w:cs="Times New Roman"/>
          <w:sz w:val="24"/>
          <w:szCs w:val="24"/>
        </w:rPr>
        <w:t>Gillard et al. (2017), Liddell and Morris (2010)</w:t>
      </w:r>
    </w:p>
    <w:p w:rsidR="00F02B68" w:rsidRDefault="00F02B68" w:rsidP="00F02B68">
      <w:pPr>
        <w:spacing w:after="0"/>
        <w:jc w:val="both"/>
        <w:rPr>
          <w:rFonts w:cs="Times New Roman"/>
          <w:sz w:val="24"/>
          <w:szCs w:val="24"/>
        </w:rPr>
      </w:pPr>
      <w:r>
        <w:rPr>
          <w:rFonts w:cs="Times New Roman"/>
          <w:sz w:val="24"/>
          <w:szCs w:val="24"/>
          <w:vertAlign w:val="superscript"/>
        </w:rPr>
        <w:t>5</w:t>
      </w:r>
      <w:r>
        <w:rPr>
          <w:rFonts w:cs="Times New Roman"/>
          <w:sz w:val="24"/>
          <w:szCs w:val="24"/>
        </w:rPr>
        <w:t>Gingerbread (2013)</w:t>
      </w:r>
    </w:p>
    <w:p w:rsidR="00F02B68" w:rsidRPr="004722A3" w:rsidRDefault="00F02B68" w:rsidP="00F02B68">
      <w:pPr>
        <w:spacing w:after="0"/>
        <w:jc w:val="both"/>
        <w:rPr>
          <w:rFonts w:cs="Times New Roman"/>
          <w:sz w:val="24"/>
          <w:szCs w:val="24"/>
        </w:rPr>
      </w:pPr>
      <w:r>
        <w:rPr>
          <w:rFonts w:cs="Times New Roman"/>
          <w:sz w:val="24"/>
          <w:szCs w:val="24"/>
          <w:vertAlign w:val="superscript"/>
        </w:rPr>
        <w:t>6</w:t>
      </w:r>
      <w:r>
        <w:rPr>
          <w:rFonts w:cs="Times New Roman"/>
          <w:sz w:val="24"/>
          <w:szCs w:val="24"/>
        </w:rPr>
        <w:t>Ambrose (2015)</w:t>
      </w:r>
    </w:p>
    <w:p w:rsidR="00F02B68" w:rsidRDefault="00F02B68" w:rsidP="00F02B68">
      <w:pPr>
        <w:jc w:val="both"/>
        <w:rPr>
          <w:rFonts w:cs="Times New Roman"/>
          <w:sz w:val="24"/>
          <w:szCs w:val="24"/>
        </w:rPr>
      </w:pPr>
      <w:r>
        <w:rPr>
          <w:rFonts w:cs="Times New Roman"/>
          <w:sz w:val="24"/>
          <w:szCs w:val="24"/>
          <w:vertAlign w:val="superscript"/>
        </w:rPr>
        <w:t>7</w:t>
      </w:r>
      <w:r w:rsidRPr="004722A3">
        <w:rPr>
          <w:rFonts w:cs="Times New Roman"/>
          <w:sz w:val="24"/>
          <w:szCs w:val="24"/>
        </w:rPr>
        <w:t>Graham an</w:t>
      </w:r>
      <w:r>
        <w:rPr>
          <w:rFonts w:cs="Times New Roman"/>
          <w:sz w:val="24"/>
          <w:szCs w:val="24"/>
        </w:rPr>
        <w:t>d Marvin (1994), Roberts (2008).</w:t>
      </w:r>
    </w:p>
    <w:p w:rsidR="00F02B68" w:rsidRDefault="00F02B68" w:rsidP="00F02B68">
      <w:pPr>
        <w:spacing w:line="360" w:lineRule="auto"/>
        <w:jc w:val="both"/>
        <w:rPr>
          <w:rFonts w:cs="Times New Roman"/>
          <w:sz w:val="24"/>
          <w:szCs w:val="24"/>
        </w:rPr>
      </w:pPr>
    </w:p>
    <w:p w:rsidR="00F02B68" w:rsidRDefault="00F02B68" w:rsidP="00F02B68">
      <w:pPr>
        <w:spacing w:line="360" w:lineRule="auto"/>
        <w:jc w:val="both"/>
        <w:rPr>
          <w:rFonts w:cs="Times New Roman"/>
          <w:sz w:val="24"/>
          <w:szCs w:val="24"/>
        </w:rPr>
      </w:pPr>
    </w:p>
    <w:p w:rsidR="00F02B68" w:rsidRDefault="00F02B68" w:rsidP="00F02B68">
      <w:pPr>
        <w:spacing w:line="360" w:lineRule="auto"/>
      </w:pPr>
    </w:p>
    <w:p w:rsidR="00F02B68" w:rsidRDefault="00F02B68" w:rsidP="00F02B68">
      <w:pPr>
        <w:spacing w:line="360" w:lineRule="auto"/>
      </w:pPr>
    </w:p>
    <w:p w:rsidR="00F02B68" w:rsidRDefault="00F02B68" w:rsidP="00F02B68">
      <w:pPr>
        <w:spacing w:line="360" w:lineRule="auto"/>
      </w:pPr>
    </w:p>
    <w:p w:rsidR="00F02B68" w:rsidRDefault="00F02B68" w:rsidP="00F02B68">
      <w:pPr>
        <w:spacing w:line="360" w:lineRule="auto"/>
      </w:pPr>
    </w:p>
    <w:p w:rsidR="00F02B68" w:rsidRDefault="00F02B68" w:rsidP="00F02B68">
      <w:pPr>
        <w:spacing w:line="360" w:lineRule="auto"/>
      </w:pPr>
    </w:p>
    <w:p w:rsidR="00F02B68" w:rsidRDefault="00F02B68" w:rsidP="00F02B68">
      <w:pPr>
        <w:spacing w:line="360" w:lineRule="auto"/>
      </w:pPr>
    </w:p>
    <w:p w:rsidR="00F02B68" w:rsidRDefault="00F02B68" w:rsidP="00F02B68">
      <w:pPr>
        <w:spacing w:line="360" w:lineRule="auto"/>
      </w:pPr>
    </w:p>
    <w:p w:rsidR="00F02B68" w:rsidRDefault="00F02B68" w:rsidP="00F02B68">
      <w:pPr>
        <w:spacing w:line="360" w:lineRule="auto"/>
      </w:pPr>
    </w:p>
    <w:p w:rsidR="00F02B68" w:rsidRDefault="00F02B68" w:rsidP="00F02B68">
      <w:pPr>
        <w:spacing w:line="360" w:lineRule="auto"/>
      </w:pPr>
    </w:p>
    <w:p w:rsidR="00F02B68" w:rsidRDefault="00F02B68" w:rsidP="00F02B68">
      <w:pPr>
        <w:rPr>
          <w:rFonts w:eastAsia="Times New Roman" w:cs="Times New Roman"/>
          <w:sz w:val="24"/>
          <w:szCs w:val="24"/>
          <w:lang w:eastAsia="en-GB"/>
        </w:rPr>
      </w:pPr>
      <w:r>
        <w:rPr>
          <w:rFonts w:eastAsia="Times New Roman" w:cs="Times New Roman"/>
          <w:b/>
          <w:sz w:val="24"/>
          <w:szCs w:val="24"/>
          <w:lang w:eastAsia="en-GB"/>
        </w:rPr>
        <w:lastRenderedPageBreak/>
        <w:t xml:space="preserve">Table 3. </w:t>
      </w:r>
      <w:r w:rsidRPr="00236767">
        <w:rPr>
          <w:rFonts w:eastAsia="Times New Roman" w:cs="Times New Roman"/>
          <w:sz w:val="24"/>
          <w:szCs w:val="24"/>
          <w:lang w:eastAsia="en-GB"/>
        </w:rPr>
        <w:t xml:space="preserve">Socio-spatial </w:t>
      </w:r>
      <w:r>
        <w:rPr>
          <w:rFonts w:eastAsia="Times New Roman" w:cs="Times New Roman"/>
          <w:sz w:val="24"/>
          <w:szCs w:val="24"/>
          <w:lang w:eastAsia="en-GB"/>
        </w:rPr>
        <w:t xml:space="preserve">vulnerability variables datasets </w:t>
      </w:r>
      <w:r w:rsidRPr="00236767">
        <w:rPr>
          <w:rFonts w:eastAsia="Times New Roman" w:cs="Times New Roman"/>
          <w:sz w:val="24"/>
          <w:szCs w:val="24"/>
          <w:lang w:eastAsia="en-GB"/>
        </w:rPr>
        <w:t xml:space="preserve">and descriptive statistics </w:t>
      </w:r>
    </w:p>
    <w:tbl>
      <w:tblPr>
        <w:tblStyle w:val="TableGrid"/>
        <w:tblW w:w="14209" w:type="dxa"/>
        <w:tblLayout w:type="fixed"/>
        <w:tblLook w:val="04A0" w:firstRow="1" w:lastRow="0" w:firstColumn="1" w:lastColumn="0" w:noHBand="0" w:noVBand="1"/>
      </w:tblPr>
      <w:tblGrid>
        <w:gridCol w:w="2126"/>
        <w:gridCol w:w="4915"/>
        <w:gridCol w:w="1024"/>
        <w:gridCol w:w="1024"/>
        <w:gridCol w:w="1024"/>
        <w:gridCol w:w="1024"/>
        <w:gridCol w:w="1024"/>
        <w:gridCol w:w="1024"/>
        <w:gridCol w:w="1024"/>
      </w:tblGrid>
      <w:tr w:rsidR="00F02B68" w:rsidRPr="00236767" w:rsidTr="004956C2">
        <w:tc>
          <w:tcPr>
            <w:tcW w:w="2126" w:type="dxa"/>
            <w:tcBorders>
              <w:left w:val="nil"/>
              <w:bottom w:val="single" w:sz="4" w:space="0" w:color="auto"/>
              <w:right w:val="nil"/>
            </w:tcBorders>
          </w:tcPr>
          <w:p w:rsidR="00F02B68" w:rsidRPr="00236767" w:rsidRDefault="00F02B68" w:rsidP="004956C2">
            <w:pPr>
              <w:jc w:val="both"/>
              <w:rPr>
                <w:rFonts w:eastAsia="Times New Roman" w:cs="Times New Roman"/>
                <w:sz w:val="24"/>
                <w:szCs w:val="24"/>
                <w:lang w:eastAsia="en-GB"/>
              </w:rPr>
            </w:pPr>
            <w:r w:rsidRPr="00236767">
              <w:rPr>
                <w:rFonts w:eastAsia="Times New Roman" w:cs="Times New Roman"/>
                <w:sz w:val="24"/>
                <w:szCs w:val="24"/>
                <w:lang w:eastAsia="en-GB"/>
              </w:rPr>
              <w:t>Descriptor</w:t>
            </w:r>
          </w:p>
        </w:tc>
        <w:tc>
          <w:tcPr>
            <w:tcW w:w="4915" w:type="dxa"/>
            <w:tcBorders>
              <w:left w:val="nil"/>
              <w:bottom w:val="single" w:sz="4" w:space="0" w:color="auto"/>
              <w:right w:val="nil"/>
            </w:tcBorders>
          </w:tcPr>
          <w:p w:rsidR="00F02B68" w:rsidRPr="00236767" w:rsidRDefault="00F02B68" w:rsidP="004956C2">
            <w:pPr>
              <w:jc w:val="both"/>
              <w:rPr>
                <w:rFonts w:eastAsia="Times New Roman" w:cs="Times New Roman"/>
                <w:sz w:val="24"/>
                <w:szCs w:val="24"/>
                <w:lang w:eastAsia="en-GB"/>
              </w:rPr>
            </w:pPr>
            <w:r w:rsidRPr="00236767">
              <w:rPr>
                <w:rFonts w:eastAsia="Times New Roman" w:cs="Times New Roman"/>
                <w:sz w:val="24"/>
                <w:szCs w:val="24"/>
                <w:lang w:eastAsia="en-GB"/>
              </w:rPr>
              <w:t>Census data</w:t>
            </w:r>
            <w:r>
              <w:rPr>
                <w:rFonts w:eastAsia="Times New Roman" w:cs="Times New Roman"/>
                <w:sz w:val="24"/>
                <w:szCs w:val="24"/>
                <w:lang w:eastAsia="en-GB"/>
              </w:rPr>
              <w:t>set</w:t>
            </w:r>
          </w:p>
          <w:p w:rsidR="00F02B68" w:rsidRPr="00236767" w:rsidRDefault="00F02B68" w:rsidP="004956C2">
            <w:pPr>
              <w:jc w:val="both"/>
              <w:rPr>
                <w:rFonts w:eastAsia="Times New Roman" w:cs="Times New Roman"/>
                <w:sz w:val="24"/>
                <w:szCs w:val="24"/>
                <w:lang w:eastAsia="en-GB"/>
              </w:rPr>
            </w:pPr>
          </w:p>
        </w:tc>
        <w:tc>
          <w:tcPr>
            <w:tcW w:w="1024" w:type="dxa"/>
            <w:tcBorders>
              <w:left w:val="nil"/>
              <w:bottom w:val="single" w:sz="4" w:space="0" w:color="auto"/>
              <w:right w:val="nil"/>
            </w:tcBorders>
          </w:tcPr>
          <w:p w:rsidR="00F02B68" w:rsidRPr="00236767" w:rsidRDefault="00F02B68" w:rsidP="004956C2">
            <w:pPr>
              <w:jc w:val="both"/>
              <w:rPr>
                <w:rFonts w:eastAsia="Times New Roman" w:cs="Times New Roman"/>
                <w:sz w:val="24"/>
                <w:szCs w:val="24"/>
                <w:lang w:eastAsia="en-GB"/>
              </w:rPr>
            </w:pPr>
            <w:r w:rsidRPr="00236767">
              <w:rPr>
                <w:rFonts w:eastAsia="Times New Roman" w:cs="Times New Roman"/>
                <w:sz w:val="24"/>
                <w:szCs w:val="24"/>
                <w:lang w:eastAsia="en-GB"/>
              </w:rPr>
              <w:t>Mean</w:t>
            </w:r>
          </w:p>
        </w:tc>
        <w:tc>
          <w:tcPr>
            <w:tcW w:w="1024" w:type="dxa"/>
            <w:tcBorders>
              <w:left w:val="nil"/>
              <w:bottom w:val="single" w:sz="4" w:space="0" w:color="auto"/>
              <w:right w:val="nil"/>
            </w:tcBorders>
          </w:tcPr>
          <w:p w:rsidR="00F02B68" w:rsidRPr="00236767" w:rsidRDefault="00F02B68" w:rsidP="004956C2">
            <w:pPr>
              <w:jc w:val="both"/>
              <w:rPr>
                <w:rFonts w:eastAsia="Times New Roman" w:cs="Times New Roman"/>
                <w:sz w:val="24"/>
                <w:szCs w:val="24"/>
                <w:lang w:eastAsia="en-GB"/>
              </w:rPr>
            </w:pPr>
            <w:r w:rsidRPr="00236767">
              <w:rPr>
                <w:rFonts w:eastAsia="Times New Roman" w:cs="Times New Roman"/>
                <w:sz w:val="24"/>
                <w:szCs w:val="24"/>
                <w:lang w:eastAsia="en-GB"/>
              </w:rPr>
              <w:t>Min.</w:t>
            </w:r>
          </w:p>
        </w:tc>
        <w:tc>
          <w:tcPr>
            <w:tcW w:w="1024" w:type="dxa"/>
            <w:tcBorders>
              <w:left w:val="nil"/>
              <w:bottom w:val="single" w:sz="4" w:space="0" w:color="auto"/>
              <w:right w:val="nil"/>
            </w:tcBorders>
          </w:tcPr>
          <w:p w:rsidR="00F02B68" w:rsidRPr="00236767" w:rsidRDefault="00F02B68" w:rsidP="004956C2">
            <w:pPr>
              <w:jc w:val="both"/>
              <w:rPr>
                <w:rFonts w:eastAsia="Times New Roman" w:cs="Times New Roman"/>
                <w:sz w:val="24"/>
                <w:szCs w:val="24"/>
                <w:lang w:eastAsia="en-GB"/>
              </w:rPr>
            </w:pPr>
            <w:r w:rsidRPr="00236767">
              <w:rPr>
                <w:rFonts w:eastAsia="Times New Roman" w:cs="Times New Roman"/>
                <w:sz w:val="24"/>
                <w:szCs w:val="24"/>
                <w:lang w:eastAsia="en-GB"/>
              </w:rPr>
              <w:t>Lower Quar.</w:t>
            </w:r>
          </w:p>
        </w:tc>
        <w:tc>
          <w:tcPr>
            <w:tcW w:w="1024" w:type="dxa"/>
            <w:tcBorders>
              <w:left w:val="nil"/>
              <w:bottom w:val="single" w:sz="4" w:space="0" w:color="auto"/>
              <w:right w:val="nil"/>
            </w:tcBorders>
          </w:tcPr>
          <w:p w:rsidR="00F02B68" w:rsidRPr="00236767" w:rsidRDefault="00F02B68" w:rsidP="004956C2">
            <w:pPr>
              <w:jc w:val="both"/>
              <w:rPr>
                <w:rFonts w:eastAsia="Times New Roman" w:cs="Times New Roman"/>
                <w:sz w:val="24"/>
                <w:szCs w:val="24"/>
                <w:lang w:eastAsia="en-GB"/>
              </w:rPr>
            </w:pPr>
            <w:r w:rsidRPr="00236767">
              <w:rPr>
                <w:rFonts w:eastAsia="Times New Roman" w:cs="Times New Roman"/>
                <w:sz w:val="24"/>
                <w:szCs w:val="24"/>
                <w:lang w:eastAsia="en-GB"/>
              </w:rPr>
              <w:t>Med.</w:t>
            </w:r>
          </w:p>
        </w:tc>
        <w:tc>
          <w:tcPr>
            <w:tcW w:w="1024" w:type="dxa"/>
            <w:tcBorders>
              <w:left w:val="nil"/>
              <w:bottom w:val="single" w:sz="4" w:space="0" w:color="auto"/>
              <w:right w:val="nil"/>
            </w:tcBorders>
          </w:tcPr>
          <w:p w:rsidR="00F02B68" w:rsidRPr="00236767" w:rsidRDefault="00F02B68" w:rsidP="004956C2">
            <w:pPr>
              <w:jc w:val="both"/>
              <w:rPr>
                <w:rFonts w:eastAsia="Times New Roman" w:cs="Times New Roman"/>
                <w:sz w:val="24"/>
                <w:szCs w:val="24"/>
                <w:lang w:eastAsia="en-GB"/>
              </w:rPr>
            </w:pPr>
            <w:r w:rsidRPr="00236767">
              <w:rPr>
                <w:rFonts w:eastAsia="Times New Roman" w:cs="Times New Roman"/>
                <w:sz w:val="24"/>
                <w:szCs w:val="24"/>
                <w:lang w:eastAsia="en-GB"/>
              </w:rPr>
              <w:t>Upper quar.</w:t>
            </w:r>
          </w:p>
        </w:tc>
        <w:tc>
          <w:tcPr>
            <w:tcW w:w="1024" w:type="dxa"/>
            <w:tcBorders>
              <w:left w:val="nil"/>
              <w:bottom w:val="single" w:sz="4" w:space="0" w:color="auto"/>
              <w:right w:val="nil"/>
            </w:tcBorders>
          </w:tcPr>
          <w:p w:rsidR="00F02B68" w:rsidRPr="00236767" w:rsidRDefault="00F02B68" w:rsidP="004956C2">
            <w:pPr>
              <w:jc w:val="both"/>
              <w:rPr>
                <w:rFonts w:eastAsia="Times New Roman" w:cs="Times New Roman"/>
                <w:sz w:val="24"/>
                <w:szCs w:val="24"/>
                <w:lang w:eastAsia="en-GB"/>
              </w:rPr>
            </w:pPr>
            <w:r w:rsidRPr="00236767">
              <w:rPr>
                <w:rFonts w:eastAsia="Times New Roman" w:cs="Times New Roman"/>
                <w:sz w:val="24"/>
                <w:szCs w:val="24"/>
                <w:lang w:eastAsia="en-GB"/>
              </w:rPr>
              <w:t>Max.</w:t>
            </w:r>
          </w:p>
        </w:tc>
        <w:tc>
          <w:tcPr>
            <w:tcW w:w="1024" w:type="dxa"/>
            <w:tcBorders>
              <w:left w:val="nil"/>
              <w:bottom w:val="single" w:sz="4" w:space="0" w:color="auto"/>
              <w:right w:val="nil"/>
            </w:tcBorders>
          </w:tcPr>
          <w:p w:rsidR="00F02B68" w:rsidRPr="00236767" w:rsidRDefault="00F02B68" w:rsidP="004956C2">
            <w:pPr>
              <w:jc w:val="both"/>
              <w:rPr>
                <w:rFonts w:eastAsia="Times New Roman" w:cs="Times New Roman"/>
                <w:sz w:val="24"/>
                <w:szCs w:val="24"/>
                <w:lang w:eastAsia="en-GB"/>
              </w:rPr>
            </w:pPr>
            <w:r>
              <w:rPr>
                <w:rFonts w:eastAsia="Times New Roman" w:cs="Times New Roman"/>
                <w:sz w:val="24"/>
                <w:szCs w:val="24"/>
                <w:lang w:eastAsia="en-GB"/>
              </w:rPr>
              <w:t xml:space="preserve">IQ* </w:t>
            </w:r>
            <w:r w:rsidRPr="00236767">
              <w:rPr>
                <w:rFonts w:eastAsia="Times New Roman" w:cs="Times New Roman"/>
                <w:sz w:val="24"/>
                <w:szCs w:val="24"/>
                <w:lang w:eastAsia="en-GB"/>
              </w:rPr>
              <w:t>range</w:t>
            </w:r>
          </w:p>
        </w:tc>
      </w:tr>
      <w:tr w:rsidR="00F02B68" w:rsidRPr="00B41758" w:rsidTr="004956C2">
        <w:tc>
          <w:tcPr>
            <w:tcW w:w="2126" w:type="dxa"/>
            <w:tcBorders>
              <w:left w:val="nil"/>
              <w:bottom w:val="nil"/>
              <w:right w:val="nil"/>
            </w:tcBorders>
          </w:tcPr>
          <w:p w:rsidR="00F02B68" w:rsidRPr="00236767" w:rsidRDefault="00F02B68" w:rsidP="004956C2">
            <w:pPr>
              <w:spacing w:before="240" w:line="276" w:lineRule="auto"/>
              <w:jc w:val="both"/>
              <w:rPr>
                <w:rFonts w:eastAsia="Times New Roman" w:cs="Times New Roman"/>
                <w:sz w:val="24"/>
                <w:szCs w:val="24"/>
                <w:lang w:eastAsia="en-GB"/>
              </w:rPr>
            </w:pPr>
            <w:r w:rsidRPr="00236767">
              <w:rPr>
                <w:rFonts w:eastAsia="Times New Roman" w:cs="Times New Roman"/>
                <w:sz w:val="24"/>
                <w:szCs w:val="24"/>
                <w:lang w:eastAsia="en-GB"/>
              </w:rPr>
              <w:t>DISABILITY</w:t>
            </w:r>
          </w:p>
        </w:tc>
        <w:tc>
          <w:tcPr>
            <w:tcW w:w="4915" w:type="dxa"/>
            <w:tcBorders>
              <w:left w:val="nil"/>
              <w:bottom w:val="nil"/>
              <w:right w:val="nil"/>
            </w:tcBorders>
          </w:tcPr>
          <w:p w:rsidR="00F02B68" w:rsidRPr="00236767" w:rsidRDefault="00F02B68" w:rsidP="004956C2">
            <w:pPr>
              <w:spacing w:before="240" w:line="276" w:lineRule="auto"/>
              <w:jc w:val="both"/>
              <w:rPr>
                <w:rFonts w:eastAsia="Times New Roman" w:cs="Times New Roman"/>
                <w:sz w:val="24"/>
                <w:szCs w:val="24"/>
                <w:lang w:eastAsia="en-GB"/>
              </w:rPr>
            </w:pPr>
            <w:r w:rsidRPr="00236767">
              <w:rPr>
                <w:rFonts w:eastAsia="Times New Roman" w:cs="Times New Roman"/>
                <w:sz w:val="24"/>
                <w:szCs w:val="24"/>
                <w:lang w:eastAsia="en-GB"/>
              </w:rPr>
              <w:t>Household with disability or limiting illness</w:t>
            </w:r>
          </w:p>
        </w:tc>
        <w:tc>
          <w:tcPr>
            <w:tcW w:w="1024" w:type="dxa"/>
            <w:tcBorders>
              <w:left w:val="nil"/>
              <w:bottom w:val="nil"/>
              <w:right w:val="nil"/>
            </w:tcBorders>
          </w:tcPr>
          <w:p w:rsidR="00F02B68" w:rsidRPr="00D42CCC" w:rsidRDefault="00F02B68" w:rsidP="004956C2">
            <w:pPr>
              <w:spacing w:before="240" w:line="276" w:lineRule="auto"/>
              <w:jc w:val="both"/>
              <w:rPr>
                <w:rFonts w:eastAsia="Times New Roman" w:cs="Times New Roman"/>
                <w:sz w:val="24"/>
                <w:szCs w:val="24"/>
                <w:lang w:eastAsia="en-GB"/>
              </w:rPr>
            </w:pPr>
            <w:r w:rsidRPr="00D42CCC">
              <w:rPr>
                <w:rFonts w:eastAsia="Times New Roman" w:cs="Times New Roman"/>
                <w:sz w:val="24"/>
                <w:szCs w:val="24"/>
                <w:lang w:eastAsia="en-GB"/>
              </w:rPr>
              <w:t>25.64</w:t>
            </w:r>
          </w:p>
        </w:tc>
        <w:tc>
          <w:tcPr>
            <w:tcW w:w="1024" w:type="dxa"/>
            <w:tcBorders>
              <w:left w:val="nil"/>
              <w:bottom w:val="nil"/>
              <w:right w:val="nil"/>
            </w:tcBorders>
          </w:tcPr>
          <w:p w:rsidR="00F02B68" w:rsidRPr="00D42CCC" w:rsidRDefault="00F02B68" w:rsidP="004956C2">
            <w:pPr>
              <w:spacing w:before="240" w:line="276" w:lineRule="auto"/>
              <w:jc w:val="both"/>
              <w:rPr>
                <w:rFonts w:eastAsia="Times New Roman" w:cs="Times New Roman"/>
                <w:sz w:val="24"/>
                <w:szCs w:val="24"/>
                <w:lang w:eastAsia="en-GB"/>
              </w:rPr>
            </w:pPr>
            <w:r w:rsidRPr="00D42CCC">
              <w:rPr>
                <w:rFonts w:eastAsia="Times New Roman" w:cs="Times New Roman"/>
                <w:sz w:val="24"/>
                <w:szCs w:val="24"/>
                <w:lang w:eastAsia="en-GB"/>
              </w:rPr>
              <w:t>3.00</w:t>
            </w:r>
          </w:p>
        </w:tc>
        <w:tc>
          <w:tcPr>
            <w:tcW w:w="1024" w:type="dxa"/>
            <w:tcBorders>
              <w:left w:val="nil"/>
              <w:bottom w:val="nil"/>
              <w:right w:val="nil"/>
            </w:tcBorders>
          </w:tcPr>
          <w:p w:rsidR="00F02B68" w:rsidRPr="00191C0B" w:rsidRDefault="00F02B68" w:rsidP="004956C2">
            <w:pPr>
              <w:spacing w:before="240" w:line="276" w:lineRule="auto"/>
              <w:jc w:val="both"/>
              <w:rPr>
                <w:rFonts w:eastAsia="Times New Roman" w:cs="Times New Roman"/>
                <w:color w:val="000000" w:themeColor="text1"/>
                <w:sz w:val="24"/>
                <w:szCs w:val="24"/>
                <w:lang w:eastAsia="en-GB"/>
              </w:rPr>
            </w:pPr>
            <w:r w:rsidRPr="00191C0B">
              <w:rPr>
                <w:rFonts w:eastAsia="Times New Roman" w:cs="Times New Roman"/>
                <w:color w:val="000000" w:themeColor="text1"/>
                <w:sz w:val="24"/>
                <w:szCs w:val="24"/>
                <w:lang w:eastAsia="en-GB"/>
              </w:rPr>
              <w:t>21.6</w:t>
            </w:r>
            <w:r>
              <w:rPr>
                <w:rFonts w:eastAsia="Times New Roman" w:cs="Times New Roman"/>
                <w:color w:val="000000" w:themeColor="text1"/>
                <w:sz w:val="24"/>
                <w:szCs w:val="24"/>
                <w:lang w:eastAsia="en-GB"/>
              </w:rPr>
              <w:t>0</w:t>
            </w:r>
          </w:p>
        </w:tc>
        <w:tc>
          <w:tcPr>
            <w:tcW w:w="1024" w:type="dxa"/>
            <w:tcBorders>
              <w:left w:val="nil"/>
              <w:bottom w:val="nil"/>
              <w:right w:val="nil"/>
            </w:tcBorders>
          </w:tcPr>
          <w:p w:rsidR="00F02B68" w:rsidRPr="00191C0B" w:rsidRDefault="00F02B68" w:rsidP="004956C2">
            <w:pPr>
              <w:spacing w:before="240" w:line="276" w:lineRule="auto"/>
              <w:jc w:val="both"/>
              <w:rPr>
                <w:rFonts w:eastAsia="Times New Roman" w:cs="Times New Roman"/>
                <w:color w:val="000000" w:themeColor="text1"/>
                <w:sz w:val="24"/>
                <w:szCs w:val="24"/>
                <w:lang w:eastAsia="en-GB"/>
              </w:rPr>
            </w:pPr>
            <w:r w:rsidRPr="00191C0B">
              <w:rPr>
                <w:rFonts w:eastAsia="Times New Roman" w:cs="Times New Roman"/>
                <w:color w:val="000000" w:themeColor="text1"/>
                <w:sz w:val="24"/>
                <w:szCs w:val="24"/>
                <w:lang w:eastAsia="en-GB"/>
              </w:rPr>
              <w:t>25.5</w:t>
            </w:r>
          </w:p>
        </w:tc>
        <w:tc>
          <w:tcPr>
            <w:tcW w:w="1024" w:type="dxa"/>
            <w:tcBorders>
              <w:left w:val="nil"/>
              <w:bottom w:val="nil"/>
              <w:right w:val="nil"/>
            </w:tcBorders>
          </w:tcPr>
          <w:p w:rsidR="00F02B68" w:rsidRPr="00191C0B" w:rsidRDefault="00F02B68" w:rsidP="004956C2">
            <w:pPr>
              <w:spacing w:before="240" w:line="276" w:lineRule="auto"/>
              <w:jc w:val="both"/>
              <w:rPr>
                <w:rFonts w:eastAsia="Times New Roman" w:cs="Times New Roman"/>
                <w:color w:val="000000" w:themeColor="text1"/>
                <w:sz w:val="24"/>
                <w:szCs w:val="24"/>
                <w:lang w:eastAsia="en-GB"/>
              </w:rPr>
            </w:pPr>
            <w:r w:rsidRPr="00191C0B">
              <w:rPr>
                <w:rFonts w:eastAsia="Times New Roman" w:cs="Times New Roman"/>
                <w:color w:val="000000" w:themeColor="text1"/>
                <w:sz w:val="24"/>
                <w:szCs w:val="24"/>
                <w:lang w:eastAsia="en-GB"/>
              </w:rPr>
              <w:t>29.6</w:t>
            </w:r>
            <w:r>
              <w:rPr>
                <w:rFonts w:eastAsia="Times New Roman" w:cs="Times New Roman"/>
                <w:color w:val="000000" w:themeColor="text1"/>
                <w:sz w:val="24"/>
                <w:szCs w:val="24"/>
                <w:lang w:eastAsia="en-GB"/>
              </w:rPr>
              <w:t>0</w:t>
            </w:r>
          </w:p>
        </w:tc>
        <w:tc>
          <w:tcPr>
            <w:tcW w:w="1024" w:type="dxa"/>
            <w:tcBorders>
              <w:left w:val="nil"/>
              <w:bottom w:val="nil"/>
              <w:right w:val="nil"/>
            </w:tcBorders>
          </w:tcPr>
          <w:p w:rsidR="00F02B68" w:rsidRPr="00D42CCC" w:rsidRDefault="00F02B68" w:rsidP="004956C2">
            <w:pPr>
              <w:spacing w:before="240" w:line="276" w:lineRule="auto"/>
              <w:jc w:val="both"/>
              <w:rPr>
                <w:rFonts w:eastAsia="Times New Roman" w:cs="Times New Roman"/>
                <w:sz w:val="24"/>
                <w:szCs w:val="24"/>
                <w:lang w:eastAsia="en-GB"/>
              </w:rPr>
            </w:pPr>
            <w:r w:rsidRPr="00D42CCC">
              <w:rPr>
                <w:rFonts w:eastAsia="Times New Roman" w:cs="Times New Roman"/>
                <w:sz w:val="24"/>
                <w:szCs w:val="24"/>
                <w:lang w:eastAsia="en-GB"/>
              </w:rPr>
              <w:t>60.10</w:t>
            </w:r>
          </w:p>
        </w:tc>
        <w:tc>
          <w:tcPr>
            <w:tcW w:w="1024" w:type="dxa"/>
            <w:tcBorders>
              <w:left w:val="nil"/>
              <w:bottom w:val="nil"/>
              <w:right w:val="nil"/>
            </w:tcBorders>
          </w:tcPr>
          <w:p w:rsidR="00F02B68" w:rsidRPr="00191C0B" w:rsidRDefault="00F02B68" w:rsidP="004956C2">
            <w:pPr>
              <w:spacing w:before="240" w:line="276" w:lineRule="auto"/>
              <w:jc w:val="both"/>
              <w:rPr>
                <w:rFonts w:eastAsia="Times New Roman" w:cs="Times New Roman"/>
                <w:color w:val="000000" w:themeColor="text1"/>
                <w:sz w:val="24"/>
                <w:szCs w:val="24"/>
                <w:lang w:eastAsia="en-GB"/>
              </w:rPr>
            </w:pPr>
            <w:r w:rsidRPr="00191C0B">
              <w:rPr>
                <w:rFonts w:eastAsia="Times New Roman" w:cs="Times New Roman"/>
                <w:color w:val="000000" w:themeColor="text1"/>
                <w:sz w:val="24"/>
                <w:szCs w:val="24"/>
                <w:lang w:eastAsia="en-GB"/>
              </w:rPr>
              <w:t>8.00</w:t>
            </w:r>
          </w:p>
        </w:tc>
      </w:tr>
      <w:tr w:rsidR="00F02B68" w:rsidRPr="00B41758" w:rsidTr="004956C2">
        <w:tc>
          <w:tcPr>
            <w:tcW w:w="2126" w:type="dxa"/>
            <w:tcBorders>
              <w:top w:val="nil"/>
              <w:left w:val="nil"/>
              <w:bottom w:val="nil"/>
              <w:right w:val="nil"/>
            </w:tcBorders>
          </w:tcPr>
          <w:p w:rsidR="00F02B68" w:rsidRPr="00236767" w:rsidRDefault="00F02B68" w:rsidP="004956C2">
            <w:pPr>
              <w:spacing w:line="276" w:lineRule="auto"/>
              <w:jc w:val="both"/>
              <w:rPr>
                <w:rFonts w:eastAsia="Times New Roman" w:cs="Times New Roman"/>
                <w:sz w:val="24"/>
                <w:szCs w:val="24"/>
                <w:lang w:eastAsia="en-GB"/>
              </w:rPr>
            </w:pPr>
            <w:r w:rsidRPr="00236767">
              <w:rPr>
                <w:rFonts w:eastAsia="Times New Roman" w:cs="Times New Roman"/>
                <w:sz w:val="24"/>
                <w:szCs w:val="24"/>
                <w:lang w:eastAsia="en-GB"/>
              </w:rPr>
              <w:t>PENSIONER</w:t>
            </w:r>
          </w:p>
        </w:tc>
        <w:tc>
          <w:tcPr>
            <w:tcW w:w="4915" w:type="dxa"/>
            <w:tcBorders>
              <w:top w:val="nil"/>
              <w:left w:val="nil"/>
              <w:bottom w:val="nil"/>
              <w:right w:val="nil"/>
            </w:tcBorders>
          </w:tcPr>
          <w:p w:rsidR="00F02B68" w:rsidRPr="00236767" w:rsidRDefault="00F02B68" w:rsidP="004956C2">
            <w:pPr>
              <w:spacing w:line="276" w:lineRule="auto"/>
              <w:jc w:val="both"/>
              <w:rPr>
                <w:rFonts w:eastAsia="Times New Roman" w:cs="Times New Roman"/>
                <w:sz w:val="24"/>
                <w:szCs w:val="24"/>
                <w:lang w:eastAsia="en-GB"/>
              </w:rPr>
            </w:pPr>
            <w:r w:rsidRPr="00236767">
              <w:rPr>
                <w:rFonts w:eastAsia="Times New Roman" w:cs="Times New Roman"/>
                <w:sz w:val="24"/>
                <w:szCs w:val="24"/>
                <w:lang w:eastAsia="en-GB"/>
              </w:rPr>
              <w:t>All pensioner household (aged over 65 years)</w:t>
            </w:r>
          </w:p>
        </w:tc>
        <w:tc>
          <w:tcPr>
            <w:tcW w:w="1024" w:type="dxa"/>
            <w:tcBorders>
              <w:top w:val="nil"/>
              <w:left w:val="nil"/>
              <w:bottom w:val="nil"/>
              <w:right w:val="nil"/>
            </w:tcBorders>
          </w:tcPr>
          <w:p w:rsidR="00F02B68" w:rsidRPr="007C3F08" w:rsidRDefault="00F02B68" w:rsidP="004956C2">
            <w:pPr>
              <w:spacing w:line="276" w:lineRule="auto"/>
              <w:jc w:val="both"/>
              <w:rPr>
                <w:rFonts w:eastAsia="Times New Roman" w:cs="Times New Roman"/>
                <w:sz w:val="24"/>
                <w:szCs w:val="24"/>
                <w:lang w:eastAsia="en-GB"/>
              </w:rPr>
            </w:pPr>
            <w:r w:rsidRPr="007C3F08">
              <w:rPr>
                <w:rFonts w:eastAsia="Times New Roman" w:cs="Times New Roman"/>
                <w:sz w:val="24"/>
                <w:szCs w:val="24"/>
                <w:lang w:eastAsia="en-GB"/>
              </w:rPr>
              <w:t>20.72</w:t>
            </w:r>
          </w:p>
        </w:tc>
        <w:tc>
          <w:tcPr>
            <w:tcW w:w="1024" w:type="dxa"/>
            <w:tcBorders>
              <w:top w:val="nil"/>
              <w:left w:val="nil"/>
              <w:bottom w:val="nil"/>
              <w:right w:val="nil"/>
            </w:tcBorders>
          </w:tcPr>
          <w:p w:rsidR="00F02B68" w:rsidRPr="007C3F08" w:rsidRDefault="00F02B68" w:rsidP="004956C2">
            <w:pPr>
              <w:spacing w:line="276" w:lineRule="auto"/>
              <w:jc w:val="both"/>
              <w:rPr>
                <w:rFonts w:eastAsia="Times New Roman" w:cs="Times New Roman"/>
                <w:sz w:val="24"/>
                <w:szCs w:val="24"/>
                <w:lang w:eastAsia="en-GB"/>
              </w:rPr>
            </w:pPr>
            <w:r w:rsidRPr="007C3F08">
              <w:rPr>
                <w:rFonts w:eastAsia="Times New Roman" w:cs="Times New Roman"/>
                <w:sz w:val="24"/>
                <w:szCs w:val="24"/>
                <w:lang w:eastAsia="en-GB"/>
              </w:rPr>
              <w:t>0.00</w:t>
            </w:r>
          </w:p>
        </w:tc>
        <w:tc>
          <w:tcPr>
            <w:tcW w:w="1024" w:type="dxa"/>
            <w:tcBorders>
              <w:top w:val="nil"/>
              <w:left w:val="nil"/>
              <w:bottom w:val="nil"/>
              <w:right w:val="nil"/>
            </w:tcBorders>
          </w:tcPr>
          <w:p w:rsidR="00F02B68" w:rsidRPr="00191C0B" w:rsidRDefault="00F02B68" w:rsidP="004956C2">
            <w:pPr>
              <w:spacing w:line="276" w:lineRule="auto"/>
              <w:jc w:val="both"/>
              <w:rPr>
                <w:rFonts w:eastAsia="Times New Roman" w:cs="Times New Roman"/>
                <w:color w:val="000000" w:themeColor="text1"/>
                <w:sz w:val="24"/>
                <w:szCs w:val="24"/>
                <w:lang w:eastAsia="en-GB"/>
              </w:rPr>
            </w:pPr>
            <w:r w:rsidRPr="00191C0B">
              <w:rPr>
                <w:rFonts w:eastAsia="Times New Roman" w:cs="Times New Roman"/>
                <w:color w:val="000000" w:themeColor="text1"/>
                <w:sz w:val="24"/>
                <w:szCs w:val="24"/>
                <w:lang w:eastAsia="en-GB"/>
              </w:rPr>
              <w:t>14.54</w:t>
            </w:r>
          </w:p>
        </w:tc>
        <w:tc>
          <w:tcPr>
            <w:tcW w:w="1024" w:type="dxa"/>
            <w:tcBorders>
              <w:top w:val="nil"/>
              <w:left w:val="nil"/>
              <w:bottom w:val="nil"/>
              <w:right w:val="nil"/>
            </w:tcBorders>
          </w:tcPr>
          <w:p w:rsidR="00F02B68" w:rsidRPr="00191C0B" w:rsidRDefault="00F02B68" w:rsidP="004956C2">
            <w:pPr>
              <w:spacing w:line="276" w:lineRule="auto"/>
              <w:jc w:val="both"/>
              <w:rPr>
                <w:rFonts w:eastAsia="Times New Roman" w:cs="Times New Roman"/>
                <w:color w:val="000000" w:themeColor="text1"/>
                <w:sz w:val="24"/>
                <w:szCs w:val="24"/>
                <w:lang w:eastAsia="en-GB"/>
              </w:rPr>
            </w:pPr>
            <w:r w:rsidRPr="00191C0B">
              <w:rPr>
                <w:rFonts w:eastAsia="Times New Roman" w:cs="Times New Roman"/>
                <w:color w:val="000000" w:themeColor="text1"/>
                <w:sz w:val="24"/>
                <w:szCs w:val="24"/>
                <w:lang w:eastAsia="en-GB"/>
              </w:rPr>
              <w:t>20.47</w:t>
            </w:r>
          </w:p>
        </w:tc>
        <w:tc>
          <w:tcPr>
            <w:tcW w:w="1024" w:type="dxa"/>
            <w:tcBorders>
              <w:top w:val="nil"/>
              <w:left w:val="nil"/>
              <w:bottom w:val="nil"/>
              <w:right w:val="nil"/>
            </w:tcBorders>
          </w:tcPr>
          <w:p w:rsidR="00F02B68" w:rsidRPr="00191C0B" w:rsidRDefault="00F02B68" w:rsidP="004956C2">
            <w:pPr>
              <w:spacing w:line="276" w:lineRule="auto"/>
              <w:jc w:val="both"/>
              <w:rPr>
                <w:rFonts w:eastAsia="Times New Roman" w:cs="Times New Roman"/>
                <w:color w:val="000000" w:themeColor="text1"/>
                <w:sz w:val="24"/>
                <w:szCs w:val="24"/>
                <w:lang w:eastAsia="en-GB"/>
              </w:rPr>
            </w:pPr>
            <w:r w:rsidRPr="00191C0B">
              <w:rPr>
                <w:rFonts w:eastAsia="Times New Roman" w:cs="Times New Roman"/>
                <w:color w:val="000000" w:themeColor="text1"/>
                <w:sz w:val="24"/>
                <w:szCs w:val="24"/>
                <w:lang w:eastAsia="en-GB"/>
              </w:rPr>
              <w:t>26.32</w:t>
            </w:r>
          </w:p>
        </w:tc>
        <w:tc>
          <w:tcPr>
            <w:tcW w:w="1024" w:type="dxa"/>
            <w:tcBorders>
              <w:top w:val="nil"/>
              <w:left w:val="nil"/>
              <w:bottom w:val="nil"/>
              <w:right w:val="nil"/>
            </w:tcBorders>
          </w:tcPr>
          <w:p w:rsidR="00F02B68" w:rsidRPr="007C3F08" w:rsidRDefault="00F02B68" w:rsidP="004956C2">
            <w:pPr>
              <w:spacing w:line="276" w:lineRule="auto"/>
              <w:jc w:val="both"/>
              <w:rPr>
                <w:rFonts w:eastAsia="Times New Roman" w:cs="Times New Roman"/>
                <w:sz w:val="24"/>
                <w:szCs w:val="24"/>
                <w:lang w:eastAsia="en-GB"/>
              </w:rPr>
            </w:pPr>
            <w:r w:rsidRPr="007C3F08">
              <w:rPr>
                <w:rFonts w:eastAsia="Times New Roman" w:cs="Times New Roman"/>
                <w:sz w:val="24"/>
                <w:szCs w:val="24"/>
                <w:lang w:eastAsia="en-GB"/>
              </w:rPr>
              <w:t>65.95</w:t>
            </w:r>
          </w:p>
        </w:tc>
        <w:tc>
          <w:tcPr>
            <w:tcW w:w="1024" w:type="dxa"/>
            <w:tcBorders>
              <w:top w:val="nil"/>
              <w:left w:val="nil"/>
              <w:bottom w:val="nil"/>
              <w:right w:val="nil"/>
            </w:tcBorders>
          </w:tcPr>
          <w:p w:rsidR="00F02B68" w:rsidRPr="00191C0B" w:rsidRDefault="00F02B68" w:rsidP="004956C2">
            <w:pPr>
              <w:spacing w:line="276" w:lineRule="auto"/>
              <w:jc w:val="both"/>
              <w:rPr>
                <w:rFonts w:eastAsia="Times New Roman" w:cs="Times New Roman"/>
                <w:color w:val="000000" w:themeColor="text1"/>
                <w:sz w:val="24"/>
                <w:szCs w:val="24"/>
                <w:lang w:eastAsia="en-GB"/>
              </w:rPr>
            </w:pPr>
            <w:r w:rsidRPr="00191C0B">
              <w:rPr>
                <w:rFonts w:eastAsia="Times New Roman" w:cs="Times New Roman"/>
                <w:color w:val="000000" w:themeColor="text1"/>
                <w:sz w:val="24"/>
                <w:szCs w:val="24"/>
                <w:lang w:eastAsia="en-GB"/>
              </w:rPr>
              <w:t>11.78</w:t>
            </w:r>
          </w:p>
        </w:tc>
      </w:tr>
      <w:tr w:rsidR="00F02B68" w:rsidRPr="00B41758" w:rsidTr="004956C2">
        <w:tc>
          <w:tcPr>
            <w:tcW w:w="2126" w:type="dxa"/>
            <w:tcBorders>
              <w:top w:val="nil"/>
              <w:left w:val="nil"/>
              <w:bottom w:val="nil"/>
              <w:right w:val="nil"/>
            </w:tcBorders>
          </w:tcPr>
          <w:p w:rsidR="00F02B68" w:rsidRPr="00236767" w:rsidRDefault="00F02B68" w:rsidP="004956C2">
            <w:pPr>
              <w:spacing w:line="276" w:lineRule="auto"/>
              <w:jc w:val="both"/>
              <w:rPr>
                <w:rFonts w:eastAsia="Times New Roman" w:cs="Times New Roman"/>
                <w:sz w:val="24"/>
                <w:szCs w:val="24"/>
                <w:lang w:eastAsia="en-GB"/>
              </w:rPr>
            </w:pPr>
            <w:r w:rsidRPr="00236767">
              <w:rPr>
                <w:rFonts w:eastAsia="Times New Roman" w:cs="Times New Roman"/>
                <w:sz w:val="24"/>
                <w:szCs w:val="24"/>
                <w:lang w:eastAsia="en-GB"/>
              </w:rPr>
              <w:t>YOUNG CHILD</w:t>
            </w:r>
          </w:p>
        </w:tc>
        <w:tc>
          <w:tcPr>
            <w:tcW w:w="4915" w:type="dxa"/>
            <w:tcBorders>
              <w:top w:val="nil"/>
              <w:left w:val="nil"/>
              <w:bottom w:val="nil"/>
              <w:right w:val="nil"/>
            </w:tcBorders>
          </w:tcPr>
          <w:p w:rsidR="00F02B68" w:rsidRPr="007C3F08" w:rsidRDefault="00F02B68" w:rsidP="004956C2">
            <w:pPr>
              <w:spacing w:line="276" w:lineRule="auto"/>
              <w:jc w:val="both"/>
              <w:rPr>
                <w:rFonts w:eastAsia="Times New Roman" w:cs="Times New Roman"/>
                <w:sz w:val="24"/>
                <w:szCs w:val="24"/>
                <w:lang w:eastAsia="en-GB"/>
              </w:rPr>
            </w:pPr>
            <w:r w:rsidRPr="007C3F08">
              <w:rPr>
                <w:rFonts w:eastAsia="Times New Roman" w:cs="Times New Roman"/>
                <w:sz w:val="24"/>
                <w:szCs w:val="24"/>
                <w:lang w:eastAsia="en-GB"/>
              </w:rPr>
              <w:t>Household with young child(ren) (0-4 years)</w:t>
            </w:r>
          </w:p>
        </w:tc>
        <w:tc>
          <w:tcPr>
            <w:tcW w:w="1024" w:type="dxa"/>
            <w:tcBorders>
              <w:top w:val="nil"/>
              <w:left w:val="nil"/>
              <w:bottom w:val="nil"/>
              <w:right w:val="nil"/>
            </w:tcBorders>
          </w:tcPr>
          <w:p w:rsidR="00F02B68" w:rsidRPr="007C3F08" w:rsidRDefault="00F02B68" w:rsidP="004956C2">
            <w:pPr>
              <w:spacing w:line="276" w:lineRule="auto"/>
              <w:jc w:val="both"/>
              <w:rPr>
                <w:rFonts w:eastAsia="Times New Roman" w:cs="Times New Roman"/>
                <w:sz w:val="24"/>
                <w:szCs w:val="24"/>
                <w:lang w:eastAsia="en-GB"/>
              </w:rPr>
            </w:pPr>
            <w:r w:rsidRPr="007C3F08">
              <w:rPr>
                <w:rFonts w:eastAsia="Times New Roman" w:cs="Times New Roman"/>
                <w:sz w:val="24"/>
                <w:szCs w:val="24"/>
                <w:lang w:eastAsia="en-GB"/>
              </w:rPr>
              <w:t>12.11</w:t>
            </w:r>
          </w:p>
        </w:tc>
        <w:tc>
          <w:tcPr>
            <w:tcW w:w="1024" w:type="dxa"/>
            <w:tcBorders>
              <w:top w:val="nil"/>
              <w:left w:val="nil"/>
              <w:bottom w:val="nil"/>
              <w:right w:val="nil"/>
            </w:tcBorders>
          </w:tcPr>
          <w:p w:rsidR="00F02B68" w:rsidRPr="007C3F08" w:rsidRDefault="00F02B68" w:rsidP="004956C2">
            <w:pPr>
              <w:spacing w:line="276" w:lineRule="auto"/>
              <w:jc w:val="both"/>
              <w:rPr>
                <w:rFonts w:eastAsia="Times New Roman" w:cs="Times New Roman"/>
                <w:sz w:val="24"/>
                <w:szCs w:val="24"/>
                <w:lang w:eastAsia="en-GB"/>
              </w:rPr>
            </w:pPr>
            <w:r w:rsidRPr="007C3F08">
              <w:rPr>
                <w:rFonts w:eastAsia="Times New Roman" w:cs="Times New Roman"/>
                <w:sz w:val="24"/>
                <w:szCs w:val="24"/>
                <w:lang w:eastAsia="en-GB"/>
              </w:rPr>
              <w:t>0.69</w:t>
            </w:r>
          </w:p>
        </w:tc>
        <w:tc>
          <w:tcPr>
            <w:tcW w:w="1024" w:type="dxa"/>
            <w:tcBorders>
              <w:top w:val="nil"/>
              <w:left w:val="nil"/>
              <w:bottom w:val="nil"/>
              <w:right w:val="nil"/>
            </w:tcBorders>
          </w:tcPr>
          <w:p w:rsidR="00F02B68" w:rsidRPr="00191C0B" w:rsidRDefault="00F02B68" w:rsidP="004956C2">
            <w:pPr>
              <w:spacing w:line="276" w:lineRule="auto"/>
              <w:jc w:val="both"/>
              <w:rPr>
                <w:rFonts w:eastAsia="Times New Roman" w:cs="Times New Roman"/>
                <w:color w:val="000000" w:themeColor="text1"/>
                <w:sz w:val="24"/>
                <w:szCs w:val="24"/>
                <w:lang w:eastAsia="en-GB"/>
              </w:rPr>
            </w:pPr>
            <w:r w:rsidRPr="00191C0B">
              <w:rPr>
                <w:rFonts w:eastAsia="Times New Roman" w:cs="Times New Roman"/>
                <w:color w:val="000000" w:themeColor="text1"/>
                <w:sz w:val="24"/>
                <w:szCs w:val="24"/>
                <w:lang w:eastAsia="en-GB"/>
              </w:rPr>
              <w:t>8.25</w:t>
            </w:r>
          </w:p>
        </w:tc>
        <w:tc>
          <w:tcPr>
            <w:tcW w:w="1024" w:type="dxa"/>
            <w:tcBorders>
              <w:top w:val="nil"/>
              <w:left w:val="nil"/>
              <w:bottom w:val="nil"/>
              <w:right w:val="nil"/>
            </w:tcBorders>
          </w:tcPr>
          <w:p w:rsidR="00F02B68" w:rsidRPr="00191C0B" w:rsidRDefault="00F02B68" w:rsidP="004956C2">
            <w:pPr>
              <w:spacing w:line="276" w:lineRule="auto"/>
              <w:jc w:val="both"/>
              <w:rPr>
                <w:rFonts w:eastAsia="Times New Roman" w:cs="Times New Roman"/>
                <w:color w:val="000000" w:themeColor="text1"/>
                <w:sz w:val="24"/>
                <w:szCs w:val="24"/>
                <w:lang w:eastAsia="en-GB"/>
              </w:rPr>
            </w:pPr>
            <w:r w:rsidRPr="00191C0B">
              <w:rPr>
                <w:rFonts w:eastAsia="Times New Roman" w:cs="Times New Roman"/>
                <w:color w:val="000000" w:themeColor="text1"/>
                <w:sz w:val="24"/>
                <w:szCs w:val="24"/>
                <w:lang w:eastAsia="en-GB"/>
              </w:rPr>
              <w:t>11.15</w:t>
            </w:r>
          </w:p>
        </w:tc>
        <w:tc>
          <w:tcPr>
            <w:tcW w:w="1024" w:type="dxa"/>
            <w:tcBorders>
              <w:top w:val="nil"/>
              <w:left w:val="nil"/>
              <w:bottom w:val="nil"/>
              <w:right w:val="nil"/>
            </w:tcBorders>
          </w:tcPr>
          <w:p w:rsidR="00F02B68" w:rsidRPr="00191C0B" w:rsidRDefault="00F02B68" w:rsidP="004956C2">
            <w:pPr>
              <w:spacing w:line="276" w:lineRule="auto"/>
              <w:jc w:val="both"/>
              <w:rPr>
                <w:rFonts w:eastAsia="Times New Roman" w:cs="Times New Roman"/>
                <w:color w:val="000000" w:themeColor="text1"/>
                <w:sz w:val="24"/>
                <w:szCs w:val="24"/>
                <w:lang w:eastAsia="en-GB"/>
              </w:rPr>
            </w:pPr>
            <w:r w:rsidRPr="00191C0B">
              <w:rPr>
                <w:rFonts w:eastAsia="Times New Roman" w:cs="Times New Roman"/>
                <w:color w:val="000000" w:themeColor="text1"/>
                <w:sz w:val="24"/>
                <w:szCs w:val="24"/>
                <w:lang w:eastAsia="en-GB"/>
              </w:rPr>
              <w:t>14.84</w:t>
            </w:r>
          </w:p>
        </w:tc>
        <w:tc>
          <w:tcPr>
            <w:tcW w:w="1024" w:type="dxa"/>
            <w:tcBorders>
              <w:top w:val="nil"/>
              <w:left w:val="nil"/>
              <w:bottom w:val="nil"/>
              <w:right w:val="nil"/>
            </w:tcBorders>
          </w:tcPr>
          <w:p w:rsidR="00F02B68" w:rsidRPr="007C3F08" w:rsidRDefault="00F02B68" w:rsidP="004956C2">
            <w:pPr>
              <w:spacing w:line="276" w:lineRule="auto"/>
              <w:jc w:val="both"/>
              <w:rPr>
                <w:rFonts w:eastAsia="Times New Roman" w:cs="Times New Roman"/>
                <w:sz w:val="24"/>
                <w:szCs w:val="24"/>
                <w:lang w:eastAsia="en-GB"/>
              </w:rPr>
            </w:pPr>
            <w:r w:rsidRPr="007C3F08">
              <w:rPr>
                <w:rFonts w:eastAsia="Times New Roman" w:cs="Times New Roman"/>
                <w:sz w:val="24"/>
                <w:szCs w:val="24"/>
                <w:lang w:eastAsia="en-GB"/>
              </w:rPr>
              <w:t>59.60</w:t>
            </w:r>
          </w:p>
        </w:tc>
        <w:tc>
          <w:tcPr>
            <w:tcW w:w="1024" w:type="dxa"/>
            <w:tcBorders>
              <w:top w:val="nil"/>
              <w:left w:val="nil"/>
              <w:bottom w:val="nil"/>
              <w:right w:val="nil"/>
            </w:tcBorders>
          </w:tcPr>
          <w:p w:rsidR="00F02B68" w:rsidRPr="00191C0B" w:rsidRDefault="00F02B68" w:rsidP="004956C2">
            <w:pPr>
              <w:spacing w:line="276" w:lineRule="auto"/>
              <w:jc w:val="both"/>
              <w:rPr>
                <w:rFonts w:eastAsia="Times New Roman" w:cs="Times New Roman"/>
                <w:color w:val="000000" w:themeColor="text1"/>
                <w:sz w:val="24"/>
                <w:szCs w:val="24"/>
                <w:lang w:eastAsia="en-GB"/>
              </w:rPr>
            </w:pPr>
            <w:r w:rsidRPr="00191C0B">
              <w:rPr>
                <w:rFonts w:eastAsia="Times New Roman" w:cs="Times New Roman"/>
                <w:color w:val="000000" w:themeColor="text1"/>
                <w:sz w:val="24"/>
                <w:szCs w:val="24"/>
                <w:lang w:eastAsia="en-GB"/>
              </w:rPr>
              <w:t>6.56</w:t>
            </w:r>
          </w:p>
        </w:tc>
      </w:tr>
      <w:tr w:rsidR="00F02B68" w:rsidRPr="00B41758" w:rsidTr="004956C2">
        <w:tc>
          <w:tcPr>
            <w:tcW w:w="2126" w:type="dxa"/>
            <w:tcBorders>
              <w:top w:val="nil"/>
              <w:left w:val="nil"/>
              <w:bottom w:val="nil"/>
              <w:right w:val="nil"/>
            </w:tcBorders>
          </w:tcPr>
          <w:p w:rsidR="00F02B68" w:rsidRPr="00236767" w:rsidRDefault="00F02B68" w:rsidP="004956C2">
            <w:pPr>
              <w:spacing w:line="276" w:lineRule="auto"/>
              <w:jc w:val="both"/>
              <w:rPr>
                <w:rFonts w:eastAsia="Times New Roman" w:cs="Times New Roman"/>
                <w:sz w:val="24"/>
                <w:szCs w:val="24"/>
                <w:lang w:eastAsia="en-GB"/>
              </w:rPr>
            </w:pPr>
            <w:r w:rsidRPr="00236767">
              <w:rPr>
                <w:rFonts w:eastAsia="Times New Roman" w:cs="Times New Roman"/>
                <w:sz w:val="24"/>
                <w:szCs w:val="24"/>
                <w:lang w:eastAsia="en-GB"/>
              </w:rPr>
              <w:t>LONE PARENT</w:t>
            </w:r>
          </w:p>
        </w:tc>
        <w:tc>
          <w:tcPr>
            <w:tcW w:w="4915" w:type="dxa"/>
            <w:tcBorders>
              <w:top w:val="nil"/>
              <w:left w:val="nil"/>
              <w:bottom w:val="nil"/>
              <w:right w:val="nil"/>
            </w:tcBorders>
          </w:tcPr>
          <w:p w:rsidR="00F02B68" w:rsidRPr="00236767" w:rsidRDefault="00F02B68" w:rsidP="004956C2">
            <w:pPr>
              <w:spacing w:line="276" w:lineRule="auto"/>
              <w:jc w:val="both"/>
              <w:rPr>
                <w:rFonts w:eastAsia="Times New Roman" w:cs="Times New Roman"/>
                <w:sz w:val="24"/>
                <w:szCs w:val="24"/>
                <w:lang w:eastAsia="en-GB"/>
              </w:rPr>
            </w:pPr>
            <w:r w:rsidRPr="00236767">
              <w:rPr>
                <w:rFonts w:eastAsia="Times New Roman" w:cs="Times New Roman"/>
                <w:sz w:val="24"/>
                <w:szCs w:val="24"/>
                <w:lang w:eastAsia="en-GB"/>
              </w:rPr>
              <w:t>Lone parent household</w:t>
            </w:r>
          </w:p>
        </w:tc>
        <w:tc>
          <w:tcPr>
            <w:tcW w:w="1024" w:type="dxa"/>
            <w:tcBorders>
              <w:top w:val="nil"/>
              <w:left w:val="nil"/>
              <w:bottom w:val="nil"/>
              <w:right w:val="nil"/>
            </w:tcBorders>
          </w:tcPr>
          <w:p w:rsidR="00F02B68" w:rsidRPr="00B41758" w:rsidRDefault="00F02B68" w:rsidP="004956C2">
            <w:pPr>
              <w:spacing w:line="276" w:lineRule="auto"/>
              <w:jc w:val="both"/>
              <w:rPr>
                <w:rFonts w:eastAsia="Times New Roman" w:cs="Times New Roman"/>
                <w:color w:val="000000" w:themeColor="text1"/>
                <w:sz w:val="24"/>
                <w:szCs w:val="24"/>
                <w:lang w:eastAsia="en-GB"/>
              </w:rPr>
            </w:pPr>
            <w:r w:rsidRPr="00B41758">
              <w:rPr>
                <w:rFonts w:eastAsia="Times New Roman" w:cs="Times New Roman"/>
                <w:color w:val="000000" w:themeColor="text1"/>
                <w:sz w:val="24"/>
                <w:szCs w:val="24"/>
                <w:lang w:eastAsia="en-GB"/>
              </w:rPr>
              <w:t>7.11</w:t>
            </w:r>
          </w:p>
        </w:tc>
        <w:tc>
          <w:tcPr>
            <w:tcW w:w="1024" w:type="dxa"/>
            <w:tcBorders>
              <w:top w:val="nil"/>
              <w:left w:val="nil"/>
              <w:bottom w:val="nil"/>
              <w:right w:val="nil"/>
            </w:tcBorders>
          </w:tcPr>
          <w:p w:rsidR="00F02B68" w:rsidRPr="00B41758" w:rsidRDefault="00F02B68" w:rsidP="004956C2">
            <w:pPr>
              <w:spacing w:line="276" w:lineRule="auto"/>
              <w:jc w:val="both"/>
              <w:rPr>
                <w:rFonts w:eastAsia="Times New Roman" w:cs="Times New Roman"/>
                <w:color w:val="000000" w:themeColor="text1"/>
                <w:sz w:val="24"/>
                <w:szCs w:val="24"/>
                <w:lang w:eastAsia="en-GB"/>
              </w:rPr>
            </w:pPr>
            <w:r w:rsidRPr="00B41758">
              <w:rPr>
                <w:rFonts w:eastAsia="Times New Roman" w:cs="Times New Roman"/>
                <w:color w:val="000000" w:themeColor="text1"/>
                <w:sz w:val="24"/>
                <w:szCs w:val="24"/>
                <w:lang w:eastAsia="en-GB"/>
              </w:rPr>
              <w:t>0.00</w:t>
            </w:r>
          </w:p>
        </w:tc>
        <w:tc>
          <w:tcPr>
            <w:tcW w:w="1024" w:type="dxa"/>
            <w:tcBorders>
              <w:top w:val="nil"/>
              <w:left w:val="nil"/>
              <w:bottom w:val="nil"/>
              <w:right w:val="nil"/>
            </w:tcBorders>
          </w:tcPr>
          <w:p w:rsidR="00F02B68" w:rsidRPr="00B41758" w:rsidRDefault="00F02B68" w:rsidP="004956C2">
            <w:pPr>
              <w:spacing w:line="276" w:lineRule="auto"/>
              <w:jc w:val="both"/>
              <w:rPr>
                <w:rFonts w:eastAsia="Times New Roman" w:cs="Times New Roman"/>
                <w:color w:val="000000" w:themeColor="text1"/>
                <w:sz w:val="24"/>
                <w:szCs w:val="24"/>
                <w:lang w:eastAsia="en-GB"/>
              </w:rPr>
            </w:pPr>
            <w:r w:rsidRPr="00B41758">
              <w:rPr>
                <w:rFonts w:eastAsia="Times New Roman" w:cs="Times New Roman"/>
                <w:color w:val="000000" w:themeColor="text1"/>
                <w:sz w:val="24"/>
                <w:szCs w:val="24"/>
                <w:lang w:eastAsia="en-GB"/>
              </w:rPr>
              <w:t>4.06</w:t>
            </w:r>
          </w:p>
        </w:tc>
        <w:tc>
          <w:tcPr>
            <w:tcW w:w="1024" w:type="dxa"/>
            <w:tcBorders>
              <w:top w:val="nil"/>
              <w:left w:val="nil"/>
              <w:bottom w:val="nil"/>
              <w:right w:val="nil"/>
            </w:tcBorders>
          </w:tcPr>
          <w:p w:rsidR="00F02B68" w:rsidRPr="00B41758" w:rsidRDefault="00F02B68" w:rsidP="004956C2">
            <w:pPr>
              <w:spacing w:line="276" w:lineRule="auto"/>
              <w:jc w:val="both"/>
              <w:rPr>
                <w:rFonts w:eastAsia="Times New Roman" w:cs="Times New Roman"/>
                <w:color w:val="000000" w:themeColor="text1"/>
                <w:sz w:val="24"/>
                <w:szCs w:val="24"/>
                <w:lang w:eastAsia="en-GB"/>
              </w:rPr>
            </w:pPr>
            <w:r w:rsidRPr="00B41758">
              <w:rPr>
                <w:rFonts w:eastAsia="Times New Roman" w:cs="Times New Roman"/>
                <w:color w:val="000000" w:themeColor="text1"/>
                <w:sz w:val="24"/>
                <w:szCs w:val="24"/>
                <w:lang w:eastAsia="en-GB"/>
              </w:rPr>
              <w:t>6.09</w:t>
            </w:r>
          </w:p>
        </w:tc>
        <w:tc>
          <w:tcPr>
            <w:tcW w:w="1024" w:type="dxa"/>
            <w:tcBorders>
              <w:top w:val="nil"/>
              <w:left w:val="nil"/>
              <w:bottom w:val="nil"/>
              <w:right w:val="nil"/>
            </w:tcBorders>
          </w:tcPr>
          <w:p w:rsidR="00F02B68" w:rsidRPr="00B41758" w:rsidRDefault="00F02B68" w:rsidP="004956C2">
            <w:pPr>
              <w:spacing w:line="276" w:lineRule="auto"/>
              <w:jc w:val="both"/>
              <w:rPr>
                <w:rFonts w:eastAsia="Times New Roman" w:cs="Times New Roman"/>
                <w:color w:val="000000" w:themeColor="text1"/>
                <w:sz w:val="24"/>
                <w:szCs w:val="24"/>
                <w:lang w:eastAsia="en-GB"/>
              </w:rPr>
            </w:pPr>
            <w:r w:rsidRPr="00B41758">
              <w:rPr>
                <w:rFonts w:eastAsia="Times New Roman" w:cs="Times New Roman"/>
                <w:color w:val="000000" w:themeColor="text1"/>
                <w:sz w:val="24"/>
                <w:szCs w:val="24"/>
                <w:lang w:eastAsia="en-GB"/>
              </w:rPr>
              <w:t>9.21</w:t>
            </w:r>
          </w:p>
        </w:tc>
        <w:tc>
          <w:tcPr>
            <w:tcW w:w="1024" w:type="dxa"/>
            <w:tcBorders>
              <w:top w:val="nil"/>
              <w:left w:val="nil"/>
              <w:bottom w:val="nil"/>
              <w:right w:val="nil"/>
            </w:tcBorders>
          </w:tcPr>
          <w:p w:rsidR="00F02B68" w:rsidRPr="00B41758" w:rsidRDefault="00F02B68" w:rsidP="004956C2">
            <w:pPr>
              <w:spacing w:line="276" w:lineRule="auto"/>
              <w:jc w:val="both"/>
              <w:rPr>
                <w:rFonts w:eastAsia="Times New Roman" w:cs="Times New Roman"/>
                <w:color w:val="000000" w:themeColor="text1"/>
                <w:sz w:val="24"/>
                <w:szCs w:val="24"/>
                <w:lang w:eastAsia="en-GB"/>
              </w:rPr>
            </w:pPr>
            <w:r w:rsidRPr="00B41758">
              <w:rPr>
                <w:rFonts w:eastAsia="Times New Roman" w:cs="Times New Roman"/>
                <w:color w:val="000000" w:themeColor="text1"/>
                <w:sz w:val="24"/>
                <w:szCs w:val="24"/>
                <w:lang w:eastAsia="en-GB"/>
              </w:rPr>
              <w:t>39.87</w:t>
            </w:r>
          </w:p>
        </w:tc>
        <w:tc>
          <w:tcPr>
            <w:tcW w:w="1024" w:type="dxa"/>
            <w:tcBorders>
              <w:top w:val="nil"/>
              <w:left w:val="nil"/>
              <w:bottom w:val="nil"/>
              <w:right w:val="nil"/>
            </w:tcBorders>
          </w:tcPr>
          <w:p w:rsidR="00F02B68" w:rsidRPr="00B41758" w:rsidRDefault="00F02B68" w:rsidP="004956C2">
            <w:pPr>
              <w:spacing w:line="276" w:lineRule="auto"/>
              <w:jc w:val="both"/>
              <w:rPr>
                <w:rFonts w:eastAsia="Times New Roman" w:cs="Times New Roman"/>
                <w:color w:val="000000" w:themeColor="text1"/>
                <w:sz w:val="24"/>
                <w:szCs w:val="24"/>
                <w:lang w:eastAsia="en-GB"/>
              </w:rPr>
            </w:pPr>
            <w:r>
              <w:rPr>
                <w:rFonts w:eastAsia="Times New Roman" w:cs="Times New Roman"/>
                <w:color w:val="000000" w:themeColor="text1"/>
                <w:sz w:val="24"/>
                <w:szCs w:val="24"/>
                <w:lang w:eastAsia="en-GB"/>
              </w:rPr>
              <w:t>5.15</w:t>
            </w:r>
          </w:p>
        </w:tc>
      </w:tr>
      <w:tr w:rsidR="00F02B68" w:rsidRPr="00236767" w:rsidTr="004956C2">
        <w:tc>
          <w:tcPr>
            <w:tcW w:w="2126" w:type="dxa"/>
            <w:tcBorders>
              <w:top w:val="nil"/>
              <w:left w:val="nil"/>
              <w:bottom w:val="nil"/>
              <w:right w:val="nil"/>
            </w:tcBorders>
          </w:tcPr>
          <w:p w:rsidR="00F02B68" w:rsidRPr="00236767" w:rsidRDefault="00F02B68" w:rsidP="004956C2">
            <w:pPr>
              <w:spacing w:line="276" w:lineRule="auto"/>
              <w:jc w:val="both"/>
              <w:rPr>
                <w:rFonts w:eastAsia="Times New Roman" w:cs="Times New Roman"/>
                <w:sz w:val="24"/>
                <w:szCs w:val="24"/>
                <w:lang w:eastAsia="en-GB"/>
              </w:rPr>
            </w:pPr>
            <w:r w:rsidRPr="00236767">
              <w:rPr>
                <w:rFonts w:eastAsia="Times New Roman" w:cs="Times New Roman"/>
                <w:sz w:val="24"/>
                <w:szCs w:val="24"/>
                <w:lang w:eastAsia="en-GB"/>
              </w:rPr>
              <w:t>PRIVATE RENT</w:t>
            </w:r>
          </w:p>
        </w:tc>
        <w:tc>
          <w:tcPr>
            <w:tcW w:w="4915" w:type="dxa"/>
            <w:tcBorders>
              <w:top w:val="nil"/>
              <w:left w:val="nil"/>
              <w:bottom w:val="nil"/>
              <w:right w:val="nil"/>
            </w:tcBorders>
          </w:tcPr>
          <w:p w:rsidR="00F02B68" w:rsidRPr="00236767" w:rsidRDefault="00F02B68" w:rsidP="004956C2">
            <w:pPr>
              <w:spacing w:line="276" w:lineRule="auto"/>
              <w:jc w:val="both"/>
              <w:rPr>
                <w:rFonts w:eastAsia="Times New Roman" w:cs="Times New Roman"/>
                <w:sz w:val="24"/>
                <w:szCs w:val="24"/>
                <w:lang w:eastAsia="en-GB"/>
              </w:rPr>
            </w:pPr>
            <w:r w:rsidRPr="00236767">
              <w:rPr>
                <w:rFonts w:eastAsia="Times New Roman" w:cs="Times New Roman"/>
                <w:sz w:val="24"/>
                <w:szCs w:val="24"/>
                <w:lang w:eastAsia="en-GB"/>
              </w:rPr>
              <w:t>Privately rented household</w:t>
            </w:r>
          </w:p>
        </w:tc>
        <w:tc>
          <w:tcPr>
            <w:tcW w:w="1024" w:type="dxa"/>
            <w:tcBorders>
              <w:top w:val="nil"/>
              <w:left w:val="nil"/>
              <w:bottom w:val="nil"/>
              <w:right w:val="nil"/>
            </w:tcBorders>
          </w:tcPr>
          <w:p w:rsidR="00F02B68" w:rsidRPr="005609C1" w:rsidRDefault="00F02B68" w:rsidP="004956C2">
            <w:pPr>
              <w:spacing w:line="276" w:lineRule="auto"/>
              <w:jc w:val="both"/>
              <w:rPr>
                <w:rFonts w:eastAsia="Times New Roman" w:cs="Times New Roman"/>
                <w:color w:val="000000" w:themeColor="text1"/>
                <w:sz w:val="24"/>
                <w:szCs w:val="24"/>
                <w:lang w:eastAsia="en-GB"/>
              </w:rPr>
            </w:pPr>
            <w:r w:rsidRPr="005609C1">
              <w:rPr>
                <w:rFonts w:eastAsia="Times New Roman" w:cs="Times New Roman"/>
                <w:color w:val="000000" w:themeColor="text1"/>
                <w:sz w:val="24"/>
                <w:szCs w:val="24"/>
                <w:lang w:eastAsia="en-GB"/>
              </w:rPr>
              <w:t>16.24</w:t>
            </w:r>
          </w:p>
        </w:tc>
        <w:tc>
          <w:tcPr>
            <w:tcW w:w="1024" w:type="dxa"/>
            <w:tcBorders>
              <w:top w:val="nil"/>
              <w:left w:val="nil"/>
              <w:bottom w:val="nil"/>
              <w:right w:val="nil"/>
            </w:tcBorders>
          </w:tcPr>
          <w:p w:rsidR="00F02B68" w:rsidRPr="005609C1" w:rsidRDefault="00F02B68" w:rsidP="004956C2">
            <w:pPr>
              <w:spacing w:line="276" w:lineRule="auto"/>
              <w:jc w:val="both"/>
              <w:rPr>
                <w:rFonts w:eastAsia="Times New Roman" w:cs="Times New Roman"/>
                <w:color w:val="000000" w:themeColor="text1"/>
                <w:sz w:val="24"/>
                <w:szCs w:val="24"/>
                <w:lang w:eastAsia="en-GB"/>
              </w:rPr>
            </w:pPr>
            <w:r w:rsidRPr="005609C1">
              <w:rPr>
                <w:rFonts w:eastAsia="Times New Roman" w:cs="Times New Roman"/>
                <w:color w:val="000000" w:themeColor="text1"/>
                <w:sz w:val="24"/>
                <w:szCs w:val="24"/>
                <w:lang w:eastAsia="en-GB"/>
              </w:rPr>
              <w:t>1.30</w:t>
            </w:r>
          </w:p>
        </w:tc>
        <w:tc>
          <w:tcPr>
            <w:tcW w:w="1024" w:type="dxa"/>
            <w:tcBorders>
              <w:top w:val="nil"/>
              <w:left w:val="nil"/>
              <w:bottom w:val="nil"/>
              <w:right w:val="nil"/>
            </w:tcBorders>
          </w:tcPr>
          <w:p w:rsidR="00F02B68" w:rsidRPr="005609C1" w:rsidRDefault="00F02B68" w:rsidP="004956C2">
            <w:pPr>
              <w:spacing w:line="276" w:lineRule="auto"/>
              <w:jc w:val="both"/>
              <w:rPr>
                <w:rFonts w:eastAsia="Times New Roman" w:cs="Times New Roman"/>
                <w:color w:val="000000" w:themeColor="text1"/>
                <w:sz w:val="24"/>
                <w:szCs w:val="24"/>
                <w:lang w:eastAsia="en-GB"/>
              </w:rPr>
            </w:pPr>
            <w:r w:rsidRPr="005609C1">
              <w:rPr>
                <w:rFonts w:eastAsia="Times New Roman" w:cs="Times New Roman"/>
                <w:color w:val="000000" w:themeColor="text1"/>
                <w:sz w:val="24"/>
                <w:szCs w:val="24"/>
                <w:lang w:eastAsia="en-GB"/>
              </w:rPr>
              <w:t>8.20</w:t>
            </w:r>
          </w:p>
        </w:tc>
        <w:tc>
          <w:tcPr>
            <w:tcW w:w="1024" w:type="dxa"/>
            <w:tcBorders>
              <w:top w:val="nil"/>
              <w:left w:val="nil"/>
              <w:bottom w:val="nil"/>
              <w:right w:val="nil"/>
            </w:tcBorders>
          </w:tcPr>
          <w:p w:rsidR="00F02B68" w:rsidRPr="005609C1" w:rsidRDefault="00F02B68" w:rsidP="004956C2">
            <w:pPr>
              <w:spacing w:line="276" w:lineRule="auto"/>
              <w:jc w:val="both"/>
              <w:rPr>
                <w:rFonts w:eastAsia="Times New Roman" w:cs="Times New Roman"/>
                <w:color w:val="000000" w:themeColor="text1"/>
                <w:sz w:val="24"/>
                <w:szCs w:val="24"/>
                <w:lang w:eastAsia="en-GB"/>
              </w:rPr>
            </w:pPr>
            <w:r w:rsidRPr="005609C1">
              <w:rPr>
                <w:rFonts w:eastAsia="Times New Roman" w:cs="Times New Roman"/>
                <w:color w:val="000000" w:themeColor="text1"/>
                <w:sz w:val="24"/>
                <w:szCs w:val="24"/>
                <w:lang w:eastAsia="en-GB"/>
              </w:rPr>
              <w:t>12.40</w:t>
            </w:r>
          </w:p>
        </w:tc>
        <w:tc>
          <w:tcPr>
            <w:tcW w:w="1024" w:type="dxa"/>
            <w:tcBorders>
              <w:top w:val="nil"/>
              <w:left w:val="nil"/>
              <w:bottom w:val="nil"/>
              <w:right w:val="nil"/>
            </w:tcBorders>
          </w:tcPr>
          <w:p w:rsidR="00F02B68" w:rsidRPr="005609C1" w:rsidRDefault="00F02B68" w:rsidP="004956C2">
            <w:pPr>
              <w:spacing w:line="276" w:lineRule="auto"/>
              <w:jc w:val="both"/>
              <w:rPr>
                <w:rFonts w:eastAsia="Times New Roman" w:cs="Times New Roman"/>
                <w:color w:val="000000" w:themeColor="text1"/>
                <w:sz w:val="24"/>
                <w:szCs w:val="24"/>
                <w:lang w:eastAsia="en-GB"/>
              </w:rPr>
            </w:pPr>
            <w:r w:rsidRPr="005609C1">
              <w:rPr>
                <w:rFonts w:eastAsia="Times New Roman" w:cs="Times New Roman"/>
                <w:color w:val="000000" w:themeColor="text1"/>
                <w:sz w:val="24"/>
                <w:szCs w:val="24"/>
                <w:lang w:eastAsia="en-GB"/>
              </w:rPr>
              <w:t>20.70</w:t>
            </w:r>
          </w:p>
        </w:tc>
        <w:tc>
          <w:tcPr>
            <w:tcW w:w="1024" w:type="dxa"/>
            <w:tcBorders>
              <w:top w:val="nil"/>
              <w:left w:val="nil"/>
              <w:bottom w:val="nil"/>
              <w:right w:val="nil"/>
            </w:tcBorders>
          </w:tcPr>
          <w:p w:rsidR="00F02B68" w:rsidRPr="005609C1" w:rsidRDefault="00F02B68" w:rsidP="004956C2">
            <w:pPr>
              <w:spacing w:line="276" w:lineRule="auto"/>
              <w:jc w:val="both"/>
              <w:rPr>
                <w:rFonts w:eastAsia="Times New Roman" w:cs="Times New Roman"/>
                <w:color w:val="000000" w:themeColor="text1"/>
                <w:sz w:val="24"/>
                <w:szCs w:val="24"/>
                <w:lang w:eastAsia="en-GB"/>
              </w:rPr>
            </w:pPr>
            <w:r w:rsidRPr="005609C1">
              <w:rPr>
                <w:rFonts w:eastAsia="Times New Roman" w:cs="Times New Roman"/>
                <w:color w:val="000000" w:themeColor="text1"/>
                <w:sz w:val="24"/>
                <w:szCs w:val="24"/>
                <w:lang w:eastAsia="en-GB"/>
              </w:rPr>
              <w:t>90.30</w:t>
            </w:r>
          </w:p>
        </w:tc>
        <w:tc>
          <w:tcPr>
            <w:tcW w:w="1024" w:type="dxa"/>
            <w:tcBorders>
              <w:top w:val="nil"/>
              <w:left w:val="nil"/>
              <w:bottom w:val="nil"/>
              <w:right w:val="nil"/>
            </w:tcBorders>
          </w:tcPr>
          <w:p w:rsidR="00F02B68" w:rsidRPr="005609C1" w:rsidRDefault="00F02B68" w:rsidP="004956C2">
            <w:pPr>
              <w:spacing w:line="276" w:lineRule="auto"/>
              <w:jc w:val="both"/>
              <w:rPr>
                <w:rFonts w:eastAsia="Times New Roman" w:cs="Times New Roman"/>
                <w:color w:val="000000" w:themeColor="text1"/>
                <w:sz w:val="24"/>
                <w:szCs w:val="24"/>
                <w:lang w:eastAsia="en-GB"/>
              </w:rPr>
            </w:pPr>
            <w:r>
              <w:rPr>
                <w:rFonts w:eastAsia="Times New Roman" w:cs="Times New Roman"/>
                <w:color w:val="000000" w:themeColor="text1"/>
                <w:sz w:val="24"/>
                <w:szCs w:val="24"/>
                <w:lang w:eastAsia="en-GB"/>
              </w:rPr>
              <w:t>12.50</w:t>
            </w:r>
          </w:p>
        </w:tc>
      </w:tr>
      <w:tr w:rsidR="00F02B68" w:rsidRPr="00236767" w:rsidTr="004956C2">
        <w:tc>
          <w:tcPr>
            <w:tcW w:w="2126" w:type="dxa"/>
            <w:tcBorders>
              <w:top w:val="nil"/>
              <w:left w:val="nil"/>
              <w:right w:val="nil"/>
            </w:tcBorders>
          </w:tcPr>
          <w:p w:rsidR="00F02B68" w:rsidRPr="00236767" w:rsidRDefault="00F02B68" w:rsidP="004956C2">
            <w:pPr>
              <w:spacing w:line="276" w:lineRule="auto"/>
              <w:jc w:val="both"/>
              <w:rPr>
                <w:rFonts w:eastAsia="Times New Roman" w:cs="Times New Roman"/>
                <w:sz w:val="24"/>
                <w:szCs w:val="24"/>
                <w:lang w:eastAsia="en-GB"/>
              </w:rPr>
            </w:pPr>
            <w:r w:rsidRPr="00236767">
              <w:rPr>
                <w:rFonts w:eastAsia="Times New Roman" w:cs="Times New Roman"/>
                <w:sz w:val="24"/>
                <w:szCs w:val="24"/>
                <w:lang w:eastAsia="en-GB"/>
              </w:rPr>
              <w:t>NON GAS</w:t>
            </w:r>
          </w:p>
        </w:tc>
        <w:tc>
          <w:tcPr>
            <w:tcW w:w="4915" w:type="dxa"/>
            <w:tcBorders>
              <w:top w:val="nil"/>
              <w:left w:val="nil"/>
              <w:right w:val="nil"/>
            </w:tcBorders>
          </w:tcPr>
          <w:p w:rsidR="00F02B68" w:rsidRPr="00236767" w:rsidRDefault="00F02B68" w:rsidP="004956C2">
            <w:pPr>
              <w:spacing w:line="276" w:lineRule="auto"/>
              <w:jc w:val="both"/>
              <w:rPr>
                <w:rFonts w:eastAsia="Times New Roman" w:cs="Times New Roman"/>
                <w:sz w:val="24"/>
                <w:szCs w:val="24"/>
                <w:lang w:eastAsia="en-GB"/>
              </w:rPr>
            </w:pPr>
            <w:r w:rsidRPr="00236767">
              <w:rPr>
                <w:rFonts w:eastAsia="Times New Roman" w:cs="Times New Roman"/>
                <w:sz w:val="24"/>
                <w:szCs w:val="24"/>
                <w:lang w:eastAsia="en-GB"/>
              </w:rPr>
              <w:t>Househo</w:t>
            </w:r>
            <w:r>
              <w:rPr>
                <w:rFonts w:eastAsia="Times New Roman" w:cs="Times New Roman"/>
                <w:sz w:val="24"/>
                <w:szCs w:val="24"/>
                <w:lang w:eastAsia="en-GB"/>
              </w:rPr>
              <w:t>ld with non-gas central heating</w:t>
            </w:r>
          </w:p>
        </w:tc>
        <w:tc>
          <w:tcPr>
            <w:tcW w:w="1024" w:type="dxa"/>
            <w:tcBorders>
              <w:top w:val="nil"/>
              <w:left w:val="nil"/>
              <w:right w:val="nil"/>
            </w:tcBorders>
          </w:tcPr>
          <w:p w:rsidR="00F02B68" w:rsidRPr="002E70D9" w:rsidRDefault="00F02B68" w:rsidP="004956C2">
            <w:pPr>
              <w:spacing w:line="276" w:lineRule="auto"/>
              <w:jc w:val="both"/>
              <w:rPr>
                <w:rFonts w:eastAsia="Times New Roman" w:cs="Times New Roman"/>
                <w:color w:val="000000" w:themeColor="text1"/>
                <w:sz w:val="24"/>
                <w:szCs w:val="24"/>
                <w:lang w:eastAsia="en-GB"/>
              </w:rPr>
            </w:pPr>
            <w:r w:rsidRPr="002E70D9">
              <w:rPr>
                <w:rFonts w:eastAsia="Times New Roman" w:cs="Times New Roman"/>
                <w:color w:val="000000" w:themeColor="text1"/>
                <w:sz w:val="24"/>
                <w:szCs w:val="24"/>
                <w:lang w:eastAsia="en-GB"/>
              </w:rPr>
              <w:t>20.55</w:t>
            </w:r>
          </w:p>
        </w:tc>
        <w:tc>
          <w:tcPr>
            <w:tcW w:w="1024" w:type="dxa"/>
            <w:tcBorders>
              <w:top w:val="nil"/>
              <w:left w:val="nil"/>
              <w:right w:val="nil"/>
            </w:tcBorders>
          </w:tcPr>
          <w:p w:rsidR="00F02B68" w:rsidRPr="002E70D9" w:rsidRDefault="00F02B68" w:rsidP="004956C2">
            <w:pPr>
              <w:spacing w:line="276" w:lineRule="auto"/>
              <w:jc w:val="both"/>
              <w:rPr>
                <w:rFonts w:eastAsia="Times New Roman" w:cs="Times New Roman"/>
                <w:color w:val="000000" w:themeColor="text1"/>
                <w:sz w:val="24"/>
                <w:szCs w:val="24"/>
                <w:lang w:eastAsia="en-GB"/>
              </w:rPr>
            </w:pPr>
            <w:r w:rsidRPr="002E70D9">
              <w:rPr>
                <w:rFonts w:eastAsia="Times New Roman" w:cs="Times New Roman"/>
                <w:color w:val="000000" w:themeColor="text1"/>
                <w:sz w:val="24"/>
                <w:szCs w:val="24"/>
                <w:lang w:eastAsia="en-GB"/>
              </w:rPr>
              <w:t>1.59</w:t>
            </w:r>
          </w:p>
        </w:tc>
        <w:tc>
          <w:tcPr>
            <w:tcW w:w="1024" w:type="dxa"/>
            <w:tcBorders>
              <w:top w:val="nil"/>
              <w:left w:val="nil"/>
              <w:right w:val="nil"/>
            </w:tcBorders>
          </w:tcPr>
          <w:p w:rsidR="00F02B68" w:rsidRPr="002E70D9" w:rsidRDefault="00F02B68" w:rsidP="004956C2">
            <w:pPr>
              <w:spacing w:line="276" w:lineRule="auto"/>
              <w:jc w:val="both"/>
              <w:rPr>
                <w:rFonts w:eastAsia="Times New Roman" w:cs="Times New Roman"/>
                <w:color w:val="000000" w:themeColor="text1"/>
                <w:sz w:val="24"/>
                <w:szCs w:val="24"/>
                <w:lang w:eastAsia="en-GB"/>
              </w:rPr>
            </w:pPr>
            <w:r w:rsidRPr="002E70D9">
              <w:rPr>
                <w:rFonts w:eastAsia="Times New Roman" w:cs="Times New Roman"/>
                <w:color w:val="000000" w:themeColor="text1"/>
                <w:sz w:val="24"/>
                <w:szCs w:val="24"/>
                <w:lang w:eastAsia="en-GB"/>
              </w:rPr>
              <w:t>9.96</w:t>
            </w:r>
          </w:p>
        </w:tc>
        <w:tc>
          <w:tcPr>
            <w:tcW w:w="1024" w:type="dxa"/>
            <w:tcBorders>
              <w:top w:val="nil"/>
              <w:left w:val="nil"/>
              <w:right w:val="nil"/>
            </w:tcBorders>
          </w:tcPr>
          <w:p w:rsidR="00F02B68" w:rsidRPr="002E70D9" w:rsidRDefault="00F02B68" w:rsidP="004956C2">
            <w:pPr>
              <w:spacing w:line="276" w:lineRule="auto"/>
              <w:jc w:val="both"/>
              <w:rPr>
                <w:rFonts w:eastAsia="Times New Roman" w:cs="Times New Roman"/>
                <w:color w:val="000000" w:themeColor="text1"/>
                <w:sz w:val="24"/>
                <w:szCs w:val="24"/>
                <w:lang w:eastAsia="en-GB"/>
              </w:rPr>
            </w:pPr>
            <w:r w:rsidRPr="002E70D9">
              <w:rPr>
                <w:rFonts w:eastAsia="Times New Roman" w:cs="Times New Roman"/>
                <w:color w:val="000000" w:themeColor="text1"/>
                <w:sz w:val="24"/>
                <w:szCs w:val="24"/>
                <w:lang w:eastAsia="en-GB"/>
              </w:rPr>
              <w:t>14.69</w:t>
            </w:r>
          </w:p>
        </w:tc>
        <w:tc>
          <w:tcPr>
            <w:tcW w:w="1024" w:type="dxa"/>
            <w:tcBorders>
              <w:top w:val="nil"/>
              <w:left w:val="nil"/>
              <w:right w:val="nil"/>
            </w:tcBorders>
          </w:tcPr>
          <w:p w:rsidR="00F02B68" w:rsidRPr="002E70D9" w:rsidRDefault="00F02B68" w:rsidP="004956C2">
            <w:pPr>
              <w:spacing w:line="276" w:lineRule="auto"/>
              <w:jc w:val="both"/>
              <w:rPr>
                <w:rFonts w:eastAsia="Times New Roman" w:cs="Times New Roman"/>
                <w:color w:val="000000" w:themeColor="text1"/>
                <w:sz w:val="24"/>
                <w:szCs w:val="24"/>
                <w:lang w:eastAsia="en-GB"/>
              </w:rPr>
            </w:pPr>
            <w:r w:rsidRPr="002E70D9">
              <w:rPr>
                <w:rFonts w:eastAsia="Times New Roman" w:cs="Times New Roman"/>
                <w:color w:val="000000" w:themeColor="text1"/>
                <w:sz w:val="24"/>
                <w:szCs w:val="24"/>
                <w:lang w:eastAsia="en-GB"/>
              </w:rPr>
              <w:t>22.99</w:t>
            </w:r>
          </w:p>
        </w:tc>
        <w:tc>
          <w:tcPr>
            <w:tcW w:w="1024" w:type="dxa"/>
            <w:tcBorders>
              <w:top w:val="nil"/>
              <w:left w:val="nil"/>
              <w:right w:val="nil"/>
            </w:tcBorders>
          </w:tcPr>
          <w:p w:rsidR="00F02B68" w:rsidRPr="002E70D9" w:rsidRDefault="00F02B68" w:rsidP="004956C2">
            <w:pPr>
              <w:spacing w:line="276" w:lineRule="auto"/>
              <w:jc w:val="both"/>
              <w:rPr>
                <w:rFonts w:eastAsia="Times New Roman" w:cs="Times New Roman"/>
                <w:color w:val="000000" w:themeColor="text1"/>
                <w:sz w:val="24"/>
                <w:szCs w:val="24"/>
                <w:lang w:eastAsia="en-GB"/>
              </w:rPr>
            </w:pPr>
            <w:r w:rsidRPr="002E70D9">
              <w:rPr>
                <w:rFonts w:eastAsia="Times New Roman" w:cs="Times New Roman"/>
                <w:color w:val="000000" w:themeColor="text1"/>
                <w:sz w:val="24"/>
                <w:szCs w:val="24"/>
                <w:lang w:eastAsia="en-GB"/>
              </w:rPr>
              <w:t>98.68</w:t>
            </w:r>
          </w:p>
        </w:tc>
        <w:tc>
          <w:tcPr>
            <w:tcW w:w="1024" w:type="dxa"/>
            <w:tcBorders>
              <w:top w:val="nil"/>
              <w:left w:val="nil"/>
              <w:right w:val="nil"/>
            </w:tcBorders>
          </w:tcPr>
          <w:p w:rsidR="00F02B68" w:rsidRPr="00236767" w:rsidRDefault="00F02B68" w:rsidP="004956C2">
            <w:pPr>
              <w:spacing w:line="276" w:lineRule="auto"/>
              <w:jc w:val="both"/>
              <w:rPr>
                <w:rFonts w:eastAsia="Times New Roman" w:cs="Times New Roman"/>
                <w:color w:val="FF0000"/>
                <w:sz w:val="24"/>
                <w:szCs w:val="24"/>
                <w:lang w:eastAsia="en-GB"/>
              </w:rPr>
            </w:pPr>
            <w:r w:rsidRPr="002E70D9">
              <w:rPr>
                <w:rFonts w:eastAsia="Times New Roman" w:cs="Times New Roman"/>
                <w:color w:val="000000" w:themeColor="text1"/>
                <w:sz w:val="24"/>
                <w:szCs w:val="24"/>
                <w:lang w:eastAsia="en-GB"/>
              </w:rPr>
              <w:t>13.03</w:t>
            </w:r>
          </w:p>
        </w:tc>
      </w:tr>
    </w:tbl>
    <w:p w:rsidR="00F02B68" w:rsidRDefault="00F02B68" w:rsidP="00F02B68">
      <w:pPr>
        <w:spacing w:after="0"/>
        <w:jc w:val="both"/>
        <w:rPr>
          <w:rFonts w:eastAsia="Times New Roman" w:cs="Times New Roman"/>
          <w:sz w:val="24"/>
          <w:szCs w:val="24"/>
          <w:lang w:eastAsia="en-GB"/>
        </w:rPr>
      </w:pPr>
    </w:p>
    <w:p w:rsidR="00F02B68" w:rsidRDefault="00F02B68" w:rsidP="00F02B68">
      <w:pPr>
        <w:spacing w:after="0"/>
        <w:jc w:val="both"/>
        <w:rPr>
          <w:rFonts w:eastAsia="Times New Roman" w:cs="Times New Roman"/>
          <w:sz w:val="24"/>
          <w:szCs w:val="24"/>
          <w:lang w:eastAsia="en-GB"/>
        </w:rPr>
      </w:pPr>
      <w:r>
        <w:rPr>
          <w:rFonts w:eastAsia="Times New Roman" w:cs="Times New Roman"/>
          <w:sz w:val="24"/>
          <w:szCs w:val="24"/>
          <w:lang w:eastAsia="en-GB"/>
        </w:rPr>
        <w:t>*Inter quartile</w:t>
      </w:r>
    </w:p>
    <w:p w:rsidR="00F02B68" w:rsidRPr="00236767" w:rsidRDefault="00F02B68" w:rsidP="00F02B68">
      <w:pPr>
        <w:spacing w:after="0"/>
        <w:jc w:val="both"/>
        <w:rPr>
          <w:rFonts w:eastAsia="Times New Roman" w:cs="Times New Roman"/>
          <w:sz w:val="24"/>
          <w:szCs w:val="24"/>
          <w:lang w:eastAsia="en-GB"/>
        </w:rPr>
      </w:pPr>
      <w:r>
        <w:rPr>
          <w:rFonts w:eastAsia="Times New Roman" w:cs="Times New Roman"/>
          <w:sz w:val="24"/>
          <w:szCs w:val="24"/>
          <w:lang w:eastAsia="en-GB"/>
        </w:rPr>
        <w:t xml:space="preserve">Source: </w:t>
      </w:r>
      <w:r w:rsidRPr="00236767">
        <w:rPr>
          <w:rFonts w:eastAsia="Times New Roman" w:cs="Times New Roman"/>
          <w:sz w:val="24"/>
          <w:szCs w:val="24"/>
          <w:lang w:eastAsia="en-GB"/>
        </w:rPr>
        <w:t xml:space="preserve">ONS </w:t>
      </w:r>
      <w:r>
        <w:rPr>
          <w:rFonts w:eastAsia="Times New Roman" w:cs="Times New Roman"/>
          <w:sz w:val="24"/>
          <w:szCs w:val="24"/>
          <w:lang w:eastAsia="en-GB"/>
        </w:rPr>
        <w:t>(</w:t>
      </w:r>
      <w:r w:rsidRPr="00236767">
        <w:rPr>
          <w:rFonts w:eastAsia="Times New Roman" w:cs="Times New Roman"/>
          <w:sz w:val="24"/>
          <w:szCs w:val="24"/>
          <w:lang w:eastAsia="en-GB"/>
        </w:rPr>
        <w:t>2011a.)</w:t>
      </w:r>
      <w:r>
        <w:rPr>
          <w:rFonts w:eastAsia="Times New Roman" w:cs="Times New Roman"/>
          <w:sz w:val="24"/>
          <w:szCs w:val="24"/>
          <w:lang w:eastAsia="en-GB"/>
        </w:rPr>
        <w:t>.</w:t>
      </w:r>
    </w:p>
    <w:p w:rsidR="00F02B68" w:rsidRPr="00236767" w:rsidRDefault="00F02B68" w:rsidP="00F02B68">
      <w:pPr>
        <w:spacing w:after="0" w:line="360" w:lineRule="auto"/>
        <w:jc w:val="both"/>
        <w:rPr>
          <w:rFonts w:eastAsia="Times New Roman" w:cs="Times New Roman"/>
          <w:sz w:val="24"/>
          <w:szCs w:val="24"/>
          <w:lang w:eastAsia="en-GB"/>
        </w:rPr>
      </w:pPr>
    </w:p>
    <w:p w:rsidR="00F02B68" w:rsidRPr="00236767" w:rsidRDefault="00F02B68" w:rsidP="00F02B68">
      <w:pPr>
        <w:spacing w:after="0" w:line="360" w:lineRule="auto"/>
        <w:jc w:val="both"/>
        <w:rPr>
          <w:rFonts w:eastAsia="Times New Roman" w:cs="Times New Roman"/>
          <w:sz w:val="24"/>
          <w:szCs w:val="24"/>
          <w:lang w:eastAsia="en-GB"/>
        </w:rPr>
      </w:pPr>
    </w:p>
    <w:p w:rsidR="00F02B68" w:rsidRDefault="00F02B68" w:rsidP="00F02B68">
      <w:pPr>
        <w:spacing w:line="360" w:lineRule="auto"/>
        <w:jc w:val="both"/>
        <w:rPr>
          <w:rFonts w:eastAsia="Times New Roman" w:cs="Times New Roman"/>
          <w:sz w:val="24"/>
          <w:szCs w:val="24"/>
          <w:lang w:eastAsia="en-GB"/>
        </w:rPr>
      </w:pPr>
    </w:p>
    <w:p w:rsidR="0058650E" w:rsidRDefault="0058650E" w:rsidP="00F02B68">
      <w:pPr>
        <w:spacing w:line="360" w:lineRule="auto"/>
        <w:rPr>
          <w:rFonts w:eastAsia="Times New Roman" w:cs="Times New Roman"/>
          <w:b/>
          <w:sz w:val="24"/>
          <w:szCs w:val="24"/>
          <w:lang w:eastAsia="en-GB"/>
        </w:rPr>
      </w:pPr>
    </w:p>
    <w:p w:rsidR="00F02B68" w:rsidRDefault="00F02B68" w:rsidP="00F02B68">
      <w:pPr>
        <w:spacing w:line="360" w:lineRule="auto"/>
        <w:rPr>
          <w:rFonts w:eastAsia="Times New Roman" w:cs="Times New Roman"/>
          <w:b/>
          <w:sz w:val="24"/>
          <w:szCs w:val="24"/>
          <w:lang w:eastAsia="en-GB"/>
        </w:rPr>
      </w:pPr>
    </w:p>
    <w:p w:rsidR="00F02B68" w:rsidRDefault="00F02B68" w:rsidP="00F02B68">
      <w:pPr>
        <w:spacing w:line="360" w:lineRule="auto"/>
        <w:rPr>
          <w:rFonts w:eastAsia="Times New Roman" w:cs="Times New Roman"/>
          <w:b/>
          <w:sz w:val="24"/>
          <w:szCs w:val="24"/>
          <w:lang w:eastAsia="en-GB"/>
        </w:rPr>
      </w:pPr>
    </w:p>
    <w:p w:rsidR="00F02B68" w:rsidRDefault="00F02B68" w:rsidP="00F02B68">
      <w:pPr>
        <w:spacing w:line="360" w:lineRule="auto"/>
        <w:rPr>
          <w:rFonts w:eastAsia="Times New Roman" w:cs="Times New Roman"/>
          <w:b/>
          <w:sz w:val="24"/>
          <w:szCs w:val="24"/>
          <w:lang w:eastAsia="en-GB"/>
        </w:rPr>
      </w:pPr>
    </w:p>
    <w:p w:rsidR="00F02B68" w:rsidRDefault="00F02B68" w:rsidP="00F02B68">
      <w:pPr>
        <w:spacing w:line="360" w:lineRule="auto"/>
        <w:rPr>
          <w:rFonts w:eastAsia="Times New Roman" w:cs="Times New Roman"/>
          <w:b/>
          <w:sz w:val="24"/>
          <w:szCs w:val="24"/>
          <w:lang w:eastAsia="en-GB"/>
        </w:rPr>
      </w:pPr>
    </w:p>
    <w:p w:rsidR="00F02B68" w:rsidRDefault="00F02B68" w:rsidP="0058650E">
      <w:pPr>
        <w:rPr>
          <w:rFonts w:eastAsia="Times New Roman" w:cs="Times New Roman"/>
          <w:b/>
          <w:sz w:val="24"/>
          <w:szCs w:val="24"/>
          <w:lang w:eastAsia="en-GB"/>
        </w:rPr>
      </w:pPr>
    </w:p>
    <w:p w:rsidR="00F02B68" w:rsidRDefault="00F02B68" w:rsidP="0058650E">
      <w:pPr>
        <w:rPr>
          <w:rFonts w:eastAsiaTheme="majorEastAsia" w:cs="Times New Roman"/>
          <w:b/>
          <w:bCs/>
          <w:sz w:val="24"/>
          <w:szCs w:val="24"/>
        </w:rPr>
        <w:sectPr w:rsidR="00F02B68" w:rsidSect="00F02B68">
          <w:type w:val="continuous"/>
          <w:pgSz w:w="16838" w:h="11906" w:orient="landscape"/>
          <w:pgMar w:top="1440" w:right="1440" w:bottom="1440" w:left="1440" w:header="709" w:footer="709" w:gutter="0"/>
          <w:cols w:space="708"/>
          <w:docGrid w:linePitch="360"/>
        </w:sectPr>
      </w:pPr>
    </w:p>
    <w:p w:rsidR="008B3788" w:rsidRPr="00236767" w:rsidRDefault="008B3788" w:rsidP="0058650E">
      <w:pPr>
        <w:rPr>
          <w:rFonts w:eastAsiaTheme="majorEastAsia" w:cs="Times New Roman"/>
          <w:b/>
          <w:bCs/>
          <w:sz w:val="24"/>
          <w:szCs w:val="24"/>
        </w:rPr>
      </w:pPr>
      <w:r w:rsidRPr="00236767">
        <w:rPr>
          <w:rFonts w:eastAsiaTheme="majorEastAsia" w:cs="Times New Roman"/>
          <w:b/>
          <w:bCs/>
          <w:sz w:val="24"/>
          <w:szCs w:val="24"/>
        </w:rPr>
        <w:lastRenderedPageBreak/>
        <w:t>National and local scale relationships between fuel poverty estimates and socio-spatial vulnerability variables</w:t>
      </w:r>
    </w:p>
    <w:p w:rsidR="009C222D" w:rsidRPr="004722A3" w:rsidRDefault="008B3788" w:rsidP="00C302DD">
      <w:pPr>
        <w:spacing w:line="360" w:lineRule="auto"/>
        <w:jc w:val="both"/>
        <w:rPr>
          <w:rFonts w:cs="Times New Roman"/>
          <w:sz w:val="24"/>
          <w:szCs w:val="24"/>
        </w:rPr>
      </w:pPr>
      <w:r w:rsidRPr="004722A3">
        <w:rPr>
          <w:rFonts w:cs="Times New Roman"/>
          <w:sz w:val="24"/>
          <w:szCs w:val="24"/>
        </w:rPr>
        <w:t xml:space="preserve">The national-scale results of the </w:t>
      </w:r>
      <w:r w:rsidR="00FF2496">
        <w:rPr>
          <w:rFonts w:cs="Times New Roman"/>
          <w:sz w:val="24"/>
          <w:szCs w:val="24"/>
        </w:rPr>
        <w:t>OLS</w:t>
      </w:r>
      <w:r w:rsidR="004820FF">
        <w:rPr>
          <w:rFonts w:cs="Times New Roman"/>
          <w:sz w:val="24"/>
          <w:szCs w:val="24"/>
        </w:rPr>
        <w:t xml:space="preserve"> regression demonstrate</w:t>
      </w:r>
      <w:r w:rsidRPr="004722A3">
        <w:rPr>
          <w:rFonts w:cs="Times New Roman"/>
          <w:sz w:val="24"/>
          <w:szCs w:val="24"/>
        </w:rPr>
        <w:t xml:space="preserve"> that there has been a</w:t>
      </w:r>
      <w:r w:rsidRPr="004722A3">
        <w:rPr>
          <w:rFonts w:eastAsia="Times New Roman" w:cs="Times New Roman"/>
          <w:bCs/>
          <w:sz w:val="24"/>
          <w:szCs w:val="24"/>
          <w:lang w:eastAsia="en-GB"/>
        </w:rPr>
        <w:t xml:space="preserve"> shift in the type of household likely to be detected as fuel poor, from a 10% indicator that pinpoints fuel poverty amongst pensioner and off-the-grid households towards a LIHC indicator that highlights fuel poverty amongst low income families </w:t>
      </w:r>
      <w:r w:rsidR="00135C86">
        <w:rPr>
          <w:rFonts w:cs="Times New Roman"/>
          <w:sz w:val="24"/>
          <w:szCs w:val="24"/>
        </w:rPr>
        <w:t>(Robinson et al. 2017b.</w:t>
      </w:r>
      <w:r w:rsidRPr="004722A3">
        <w:rPr>
          <w:rFonts w:cs="Times New Roman"/>
          <w:sz w:val="24"/>
          <w:szCs w:val="24"/>
        </w:rPr>
        <w:t xml:space="preserve">) (Table 4). However, Adjusted R² values for each of the OLS models </w:t>
      </w:r>
      <w:r w:rsidR="004820FF" w:rsidRPr="004722A3">
        <w:rPr>
          <w:rFonts w:cs="Times New Roman"/>
          <w:sz w:val="24"/>
          <w:szCs w:val="24"/>
        </w:rPr>
        <w:t>show</w:t>
      </w:r>
      <w:r w:rsidRPr="004722A3">
        <w:rPr>
          <w:rFonts w:cs="Times New Roman"/>
          <w:sz w:val="24"/>
          <w:szCs w:val="24"/>
        </w:rPr>
        <w:t xml:space="preserve"> that the LIHC indicator model explains</w:t>
      </w:r>
      <w:r w:rsidR="004820FF">
        <w:rPr>
          <w:rFonts w:cs="Times New Roman"/>
          <w:sz w:val="24"/>
          <w:szCs w:val="24"/>
        </w:rPr>
        <w:t xml:space="preserve"> only</w:t>
      </w:r>
      <w:r w:rsidR="002F7BA1">
        <w:rPr>
          <w:rFonts w:cs="Times New Roman"/>
          <w:sz w:val="24"/>
          <w:szCs w:val="24"/>
        </w:rPr>
        <w:t xml:space="preserve"> 23% of the variance</w:t>
      </w:r>
      <w:r w:rsidRPr="004722A3">
        <w:rPr>
          <w:rFonts w:cs="Times New Roman"/>
          <w:sz w:val="24"/>
          <w:szCs w:val="24"/>
        </w:rPr>
        <w:t xml:space="preserve"> in the relationships whilst the 10% indicator model ex</w:t>
      </w:r>
      <w:r w:rsidR="004820FF">
        <w:rPr>
          <w:rFonts w:cs="Times New Roman"/>
          <w:sz w:val="24"/>
          <w:szCs w:val="24"/>
        </w:rPr>
        <w:t>plains 32% of the variance. In contrast</w:t>
      </w:r>
      <w:r w:rsidR="00FC21F4">
        <w:rPr>
          <w:rFonts w:cs="Times New Roman"/>
          <w:sz w:val="24"/>
          <w:szCs w:val="24"/>
        </w:rPr>
        <w:t>,</w:t>
      </w:r>
      <w:r w:rsidR="004820FF">
        <w:rPr>
          <w:rFonts w:cs="Times New Roman"/>
          <w:sz w:val="24"/>
          <w:szCs w:val="24"/>
        </w:rPr>
        <w:t xml:space="preserve"> the </w:t>
      </w:r>
      <w:r w:rsidRPr="004722A3">
        <w:rPr>
          <w:rFonts w:cs="Times New Roman"/>
          <w:sz w:val="24"/>
          <w:szCs w:val="24"/>
        </w:rPr>
        <w:t xml:space="preserve">Adjusted R² values for the GWR models </w:t>
      </w:r>
      <w:r w:rsidR="004820FF">
        <w:rPr>
          <w:rFonts w:cs="Times New Roman"/>
          <w:sz w:val="24"/>
          <w:szCs w:val="24"/>
        </w:rPr>
        <w:t>suggest that</w:t>
      </w:r>
      <w:r w:rsidRPr="004722A3">
        <w:rPr>
          <w:rFonts w:cs="Times New Roman"/>
          <w:sz w:val="24"/>
          <w:szCs w:val="24"/>
        </w:rPr>
        <w:t xml:space="preserve"> they explain considerably more of the variance in fuel poor households using each indicator (65% and 72% respectively) by accounting for the </w:t>
      </w:r>
      <w:r w:rsidR="002F7BA1" w:rsidRPr="004722A3">
        <w:rPr>
          <w:rFonts w:cs="Times New Roman"/>
          <w:sz w:val="24"/>
          <w:szCs w:val="24"/>
        </w:rPr>
        <w:t>changing</w:t>
      </w:r>
      <w:r w:rsidRPr="004722A3">
        <w:rPr>
          <w:rFonts w:cs="Times New Roman"/>
          <w:sz w:val="24"/>
          <w:szCs w:val="24"/>
        </w:rPr>
        <w:t xml:space="preserve"> effect of predictor values across space. </w:t>
      </w:r>
    </w:p>
    <w:p w:rsidR="008B3788" w:rsidRPr="004722A3" w:rsidRDefault="008B3788" w:rsidP="00C302DD">
      <w:pPr>
        <w:spacing w:line="360" w:lineRule="auto"/>
        <w:jc w:val="both"/>
        <w:rPr>
          <w:rFonts w:cs="Times New Roman"/>
          <w:sz w:val="24"/>
          <w:szCs w:val="24"/>
        </w:rPr>
      </w:pPr>
      <w:r w:rsidRPr="004722A3">
        <w:rPr>
          <w:rFonts w:cs="Times New Roman"/>
          <w:sz w:val="24"/>
          <w:szCs w:val="24"/>
        </w:rPr>
        <w:t xml:space="preserve">Table 5 displays the summary results for the GWR model for each fuel poverty indicator. Once mapped, the </w:t>
      </w:r>
      <w:r w:rsidRPr="004722A3">
        <w:rPr>
          <w:rFonts w:eastAsia="Times New Roman" w:cs="Times New Roman"/>
          <w:bCs/>
          <w:sz w:val="24"/>
          <w:szCs w:val="24"/>
          <w:lang w:eastAsia="en-GB"/>
        </w:rPr>
        <w:t xml:space="preserve">coefficient </w:t>
      </w:r>
      <w:r w:rsidRPr="004722A3">
        <w:rPr>
          <w:rFonts w:cs="Times New Roman"/>
          <w:sz w:val="24"/>
          <w:szCs w:val="24"/>
        </w:rPr>
        <w:t xml:space="preserve">estimates highlight locales where the influence of a </w:t>
      </w:r>
      <w:r w:rsidR="004820FF">
        <w:rPr>
          <w:rFonts w:cs="Times New Roman"/>
          <w:sz w:val="24"/>
          <w:szCs w:val="24"/>
        </w:rPr>
        <w:t xml:space="preserve">socio-spatial </w:t>
      </w:r>
      <w:r w:rsidRPr="004722A3">
        <w:rPr>
          <w:rFonts w:cs="Times New Roman"/>
          <w:sz w:val="24"/>
          <w:szCs w:val="24"/>
        </w:rPr>
        <w:t>vulnerability variable upon fuel poverty using each indicator is particularly strong, either negatively or positively (Figures 1-4). The following sections discuss these spatial patterns further</w:t>
      </w:r>
      <w:r w:rsidR="002F7BA1">
        <w:rPr>
          <w:rFonts w:cs="Times New Roman"/>
          <w:sz w:val="24"/>
          <w:szCs w:val="24"/>
        </w:rPr>
        <w:t>,</w:t>
      </w:r>
      <w:r w:rsidRPr="004722A3">
        <w:rPr>
          <w:rFonts w:cs="Times New Roman"/>
          <w:sz w:val="24"/>
          <w:szCs w:val="24"/>
        </w:rPr>
        <w:t xml:space="preserve"> comparing the different extents to which socio-spatial vulnerabilities are represented by each indicator, considering which vulnerabilities are overlooked by the indicators</w:t>
      </w:r>
      <w:r w:rsidR="003D1BA3">
        <w:rPr>
          <w:rFonts w:cs="Times New Roman"/>
          <w:sz w:val="24"/>
          <w:szCs w:val="24"/>
        </w:rPr>
        <w:t>,</w:t>
      </w:r>
      <w:r w:rsidRPr="004722A3">
        <w:rPr>
          <w:rFonts w:cs="Times New Roman"/>
          <w:sz w:val="24"/>
          <w:szCs w:val="24"/>
        </w:rPr>
        <w:t xml:space="preserve"> and reflecting upon the limitations of </w:t>
      </w:r>
      <w:r w:rsidR="002F7BA1">
        <w:rPr>
          <w:rFonts w:cs="Times New Roman"/>
          <w:sz w:val="24"/>
          <w:szCs w:val="24"/>
        </w:rPr>
        <w:t>the</w:t>
      </w:r>
      <w:r w:rsidRPr="004722A3">
        <w:rPr>
          <w:rFonts w:cs="Times New Roman"/>
          <w:sz w:val="24"/>
          <w:szCs w:val="24"/>
        </w:rPr>
        <w:t xml:space="preserve"> analysis approach. How representative an indicator is of a particular socio-spatial vulnerability is determined by i) the strength of the positive correlation between the two indicators and ii) how closely aligned the spatial distribution of the coefficient estimates is to the spatial distribution of the vulnerability variable. </w:t>
      </w:r>
    </w:p>
    <w:p w:rsidR="008B3788" w:rsidRDefault="008B3788" w:rsidP="00C302DD">
      <w:pPr>
        <w:spacing w:line="360" w:lineRule="auto"/>
        <w:jc w:val="both"/>
        <w:rPr>
          <w:rFonts w:cs="Times New Roman"/>
          <w:sz w:val="24"/>
          <w:szCs w:val="24"/>
        </w:rPr>
      </w:pPr>
    </w:p>
    <w:p w:rsidR="00F02B68" w:rsidRDefault="00F02B68" w:rsidP="00C302DD">
      <w:pPr>
        <w:spacing w:line="360" w:lineRule="auto"/>
        <w:jc w:val="both"/>
        <w:rPr>
          <w:rFonts w:cs="Times New Roman"/>
          <w:sz w:val="24"/>
          <w:szCs w:val="24"/>
        </w:rPr>
      </w:pPr>
    </w:p>
    <w:p w:rsidR="00F02B68" w:rsidRDefault="00F02B68" w:rsidP="00C302DD">
      <w:pPr>
        <w:spacing w:line="360" w:lineRule="auto"/>
        <w:jc w:val="both"/>
        <w:rPr>
          <w:rFonts w:cs="Times New Roman"/>
          <w:sz w:val="24"/>
          <w:szCs w:val="24"/>
        </w:rPr>
      </w:pPr>
    </w:p>
    <w:p w:rsidR="00F02B68" w:rsidRDefault="00F02B68" w:rsidP="00C302DD">
      <w:pPr>
        <w:spacing w:line="360" w:lineRule="auto"/>
        <w:jc w:val="both"/>
        <w:rPr>
          <w:rFonts w:cs="Times New Roman"/>
          <w:sz w:val="24"/>
          <w:szCs w:val="24"/>
        </w:rPr>
      </w:pPr>
    </w:p>
    <w:p w:rsidR="00F02B68" w:rsidRDefault="00F02B68" w:rsidP="00C302DD">
      <w:pPr>
        <w:spacing w:line="360" w:lineRule="auto"/>
        <w:jc w:val="both"/>
        <w:rPr>
          <w:rFonts w:cs="Times New Roman"/>
          <w:sz w:val="24"/>
          <w:szCs w:val="24"/>
        </w:rPr>
      </w:pPr>
    </w:p>
    <w:p w:rsidR="00F02B68" w:rsidRDefault="00F02B68" w:rsidP="00C302DD">
      <w:pPr>
        <w:spacing w:line="360" w:lineRule="auto"/>
        <w:jc w:val="both"/>
        <w:rPr>
          <w:rFonts w:cs="Times New Roman"/>
          <w:sz w:val="24"/>
          <w:szCs w:val="24"/>
        </w:rPr>
      </w:pPr>
    </w:p>
    <w:p w:rsidR="00F02B68" w:rsidRDefault="00F02B68" w:rsidP="00C302DD">
      <w:pPr>
        <w:spacing w:line="360" w:lineRule="auto"/>
        <w:jc w:val="both"/>
        <w:rPr>
          <w:rFonts w:cs="Times New Roman"/>
          <w:sz w:val="24"/>
          <w:szCs w:val="24"/>
        </w:rPr>
      </w:pPr>
    </w:p>
    <w:p w:rsidR="00F02B68" w:rsidRDefault="00F02B68" w:rsidP="00C302DD">
      <w:pPr>
        <w:spacing w:line="360" w:lineRule="auto"/>
        <w:jc w:val="both"/>
        <w:rPr>
          <w:rFonts w:cs="Times New Roman"/>
          <w:sz w:val="24"/>
          <w:szCs w:val="24"/>
        </w:rPr>
        <w:sectPr w:rsidR="00F02B68" w:rsidSect="00F02B68">
          <w:type w:val="continuous"/>
          <w:pgSz w:w="11906" w:h="16838"/>
          <w:pgMar w:top="1440" w:right="1440" w:bottom="1440" w:left="1440" w:header="709" w:footer="709" w:gutter="0"/>
          <w:cols w:space="708"/>
          <w:docGrid w:linePitch="360"/>
        </w:sectPr>
      </w:pPr>
    </w:p>
    <w:p w:rsidR="00F02B68" w:rsidRPr="009C222D" w:rsidRDefault="00F02B68" w:rsidP="00F02B68">
      <w:pPr>
        <w:spacing w:line="240" w:lineRule="auto"/>
        <w:jc w:val="both"/>
        <w:rPr>
          <w:rFonts w:cs="Times New Roman"/>
          <w:sz w:val="24"/>
          <w:szCs w:val="24"/>
        </w:rPr>
      </w:pPr>
      <w:r w:rsidRPr="009C222D">
        <w:rPr>
          <w:rFonts w:cs="Times New Roman"/>
          <w:b/>
          <w:sz w:val="24"/>
          <w:szCs w:val="24"/>
        </w:rPr>
        <w:lastRenderedPageBreak/>
        <w:t>Table 4.</w:t>
      </w:r>
      <w:r>
        <w:rPr>
          <w:rFonts w:cs="Times New Roman"/>
          <w:sz w:val="24"/>
          <w:szCs w:val="24"/>
        </w:rPr>
        <w:t xml:space="preserve"> OLS regression models.</w:t>
      </w:r>
    </w:p>
    <w:tbl>
      <w:tblPr>
        <w:tblStyle w:val="TableGrid1"/>
        <w:tblW w:w="14033" w:type="dxa"/>
        <w:tblLayout w:type="fixed"/>
        <w:tblLook w:val="04A0" w:firstRow="1" w:lastRow="0" w:firstColumn="1" w:lastColumn="0" w:noHBand="0" w:noVBand="1"/>
      </w:tblPr>
      <w:tblGrid>
        <w:gridCol w:w="2268"/>
        <w:gridCol w:w="1701"/>
        <w:gridCol w:w="1276"/>
        <w:gridCol w:w="1559"/>
        <w:gridCol w:w="1276"/>
        <w:gridCol w:w="425"/>
        <w:gridCol w:w="1701"/>
        <w:gridCol w:w="1276"/>
        <w:gridCol w:w="1417"/>
        <w:gridCol w:w="1134"/>
      </w:tblGrid>
      <w:tr w:rsidR="00F02B68" w:rsidRPr="009C222D" w:rsidTr="004956C2">
        <w:tc>
          <w:tcPr>
            <w:tcW w:w="2268" w:type="dxa"/>
            <w:tcBorders>
              <w:left w:val="nil"/>
              <w:bottom w:val="nil"/>
              <w:right w:val="nil"/>
            </w:tcBorders>
          </w:tcPr>
          <w:p w:rsidR="00F02B68" w:rsidRPr="009C222D" w:rsidRDefault="00F02B68" w:rsidP="004956C2">
            <w:pPr>
              <w:spacing w:line="276" w:lineRule="auto"/>
              <w:jc w:val="both"/>
              <w:rPr>
                <w:rFonts w:cs="Times New Roman"/>
                <w:sz w:val="24"/>
                <w:szCs w:val="24"/>
              </w:rPr>
            </w:pPr>
            <w:r>
              <w:rPr>
                <w:rFonts w:cs="Times New Roman"/>
                <w:sz w:val="24"/>
                <w:szCs w:val="24"/>
              </w:rPr>
              <w:t>D</w:t>
            </w:r>
            <w:r w:rsidRPr="009C222D">
              <w:rPr>
                <w:rFonts w:cs="Times New Roman"/>
                <w:sz w:val="24"/>
                <w:szCs w:val="24"/>
              </w:rPr>
              <w:t>escriptor</w:t>
            </w:r>
          </w:p>
        </w:tc>
        <w:tc>
          <w:tcPr>
            <w:tcW w:w="5812" w:type="dxa"/>
            <w:gridSpan w:val="4"/>
            <w:tcBorders>
              <w:left w:val="nil"/>
              <w:bottom w:val="single" w:sz="4" w:space="0" w:color="auto"/>
              <w:right w:val="nil"/>
            </w:tcBorders>
          </w:tcPr>
          <w:p w:rsidR="00F02B68" w:rsidRPr="009C222D" w:rsidRDefault="00F02B68" w:rsidP="004956C2">
            <w:pPr>
              <w:spacing w:line="276" w:lineRule="auto"/>
              <w:jc w:val="both"/>
              <w:rPr>
                <w:rFonts w:cs="Times New Roman"/>
                <w:sz w:val="24"/>
                <w:szCs w:val="24"/>
              </w:rPr>
            </w:pPr>
            <w:r w:rsidRPr="009C222D">
              <w:rPr>
                <w:rFonts w:cs="Times New Roman"/>
                <w:sz w:val="24"/>
                <w:szCs w:val="24"/>
              </w:rPr>
              <w:t>LIHC indicator</w:t>
            </w:r>
          </w:p>
        </w:tc>
        <w:tc>
          <w:tcPr>
            <w:tcW w:w="425" w:type="dxa"/>
            <w:tcBorders>
              <w:left w:val="nil"/>
              <w:bottom w:val="nil"/>
              <w:right w:val="nil"/>
            </w:tcBorders>
          </w:tcPr>
          <w:p w:rsidR="00F02B68" w:rsidRPr="009C222D" w:rsidRDefault="00F02B68" w:rsidP="004956C2">
            <w:pPr>
              <w:spacing w:line="276" w:lineRule="auto"/>
              <w:jc w:val="both"/>
              <w:rPr>
                <w:rFonts w:cs="Times New Roman"/>
                <w:sz w:val="24"/>
                <w:szCs w:val="24"/>
              </w:rPr>
            </w:pPr>
          </w:p>
        </w:tc>
        <w:tc>
          <w:tcPr>
            <w:tcW w:w="5528" w:type="dxa"/>
            <w:gridSpan w:val="4"/>
            <w:tcBorders>
              <w:left w:val="nil"/>
              <w:bottom w:val="single" w:sz="4" w:space="0" w:color="auto"/>
              <w:right w:val="nil"/>
            </w:tcBorders>
          </w:tcPr>
          <w:p w:rsidR="00F02B68" w:rsidRPr="009C222D" w:rsidRDefault="00F02B68" w:rsidP="004956C2">
            <w:pPr>
              <w:spacing w:line="276" w:lineRule="auto"/>
              <w:jc w:val="both"/>
              <w:rPr>
                <w:rFonts w:cs="Times New Roman"/>
                <w:sz w:val="24"/>
                <w:szCs w:val="24"/>
              </w:rPr>
            </w:pPr>
            <w:r w:rsidRPr="009C222D">
              <w:rPr>
                <w:rFonts w:cs="Times New Roman"/>
                <w:sz w:val="24"/>
                <w:szCs w:val="24"/>
              </w:rPr>
              <w:t>10% indicator</w:t>
            </w:r>
          </w:p>
        </w:tc>
      </w:tr>
      <w:tr w:rsidR="00F02B68" w:rsidRPr="009C222D" w:rsidTr="004956C2">
        <w:tc>
          <w:tcPr>
            <w:tcW w:w="2268" w:type="dxa"/>
            <w:tcBorders>
              <w:top w:val="nil"/>
              <w:left w:val="nil"/>
              <w:bottom w:val="single" w:sz="4" w:space="0" w:color="auto"/>
              <w:right w:val="nil"/>
            </w:tcBorders>
          </w:tcPr>
          <w:p w:rsidR="00F02B68" w:rsidRPr="009C222D" w:rsidRDefault="00F02B68" w:rsidP="004956C2">
            <w:pPr>
              <w:spacing w:line="276" w:lineRule="auto"/>
              <w:jc w:val="both"/>
              <w:rPr>
                <w:rFonts w:cs="Times New Roman"/>
                <w:sz w:val="24"/>
                <w:szCs w:val="24"/>
              </w:rPr>
            </w:pPr>
          </w:p>
        </w:tc>
        <w:tc>
          <w:tcPr>
            <w:tcW w:w="1701" w:type="dxa"/>
            <w:tcBorders>
              <w:left w:val="nil"/>
              <w:bottom w:val="single" w:sz="4" w:space="0" w:color="auto"/>
              <w:right w:val="nil"/>
            </w:tcBorders>
          </w:tcPr>
          <w:p w:rsidR="00F02B68" w:rsidRPr="009C222D" w:rsidRDefault="00F02B68" w:rsidP="004956C2">
            <w:pPr>
              <w:spacing w:line="276" w:lineRule="auto"/>
              <w:jc w:val="both"/>
              <w:rPr>
                <w:rFonts w:cs="Times New Roman"/>
                <w:sz w:val="24"/>
                <w:szCs w:val="24"/>
              </w:rPr>
            </w:pPr>
            <w:r w:rsidRPr="009C222D">
              <w:rPr>
                <w:rFonts w:cs="Times New Roman"/>
                <w:sz w:val="24"/>
                <w:szCs w:val="24"/>
              </w:rPr>
              <w:t xml:space="preserve">Coefficient est. </w:t>
            </w:r>
          </w:p>
        </w:tc>
        <w:tc>
          <w:tcPr>
            <w:tcW w:w="1276" w:type="dxa"/>
            <w:tcBorders>
              <w:left w:val="nil"/>
              <w:bottom w:val="single" w:sz="4" w:space="0" w:color="auto"/>
              <w:right w:val="nil"/>
            </w:tcBorders>
          </w:tcPr>
          <w:p w:rsidR="00F02B68" w:rsidRPr="009C222D" w:rsidRDefault="00F02B68" w:rsidP="004956C2">
            <w:pPr>
              <w:spacing w:line="276" w:lineRule="auto"/>
              <w:jc w:val="both"/>
              <w:rPr>
                <w:rFonts w:cs="Times New Roman"/>
                <w:sz w:val="24"/>
                <w:szCs w:val="24"/>
              </w:rPr>
            </w:pPr>
            <w:r w:rsidRPr="009C222D">
              <w:rPr>
                <w:rFonts w:cs="Times New Roman"/>
                <w:sz w:val="24"/>
                <w:szCs w:val="24"/>
              </w:rPr>
              <w:t>StdError</w:t>
            </w:r>
          </w:p>
        </w:tc>
        <w:tc>
          <w:tcPr>
            <w:tcW w:w="1559" w:type="dxa"/>
            <w:tcBorders>
              <w:left w:val="nil"/>
              <w:bottom w:val="single" w:sz="4" w:space="0" w:color="auto"/>
              <w:right w:val="nil"/>
            </w:tcBorders>
          </w:tcPr>
          <w:p w:rsidR="00F02B68" w:rsidRPr="009C222D" w:rsidRDefault="00F02B68" w:rsidP="004956C2">
            <w:pPr>
              <w:spacing w:line="276" w:lineRule="auto"/>
              <w:jc w:val="both"/>
              <w:rPr>
                <w:rFonts w:cs="Times New Roman"/>
                <w:sz w:val="24"/>
                <w:szCs w:val="24"/>
              </w:rPr>
            </w:pPr>
            <w:r w:rsidRPr="009C222D">
              <w:rPr>
                <w:rFonts w:cs="Times New Roman"/>
                <w:sz w:val="24"/>
                <w:szCs w:val="24"/>
              </w:rPr>
              <w:t>t-Statistic</w:t>
            </w:r>
          </w:p>
        </w:tc>
        <w:tc>
          <w:tcPr>
            <w:tcW w:w="1276" w:type="dxa"/>
            <w:tcBorders>
              <w:left w:val="nil"/>
              <w:bottom w:val="single" w:sz="4" w:space="0" w:color="auto"/>
              <w:right w:val="nil"/>
            </w:tcBorders>
          </w:tcPr>
          <w:p w:rsidR="00F02B68" w:rsidRPr="009C222D" w:rsidRDefault="00F02B68" w:rsidP="004956C2">
            <w:pPr>
              <w:spacing w:line="276" w:lineRule="auto"/>
              <w:jc w:val="both"/>
              <w:rPr>
                <w:rFonts w:cs="Times New Roman"/>
                <w:sz w:val="24"/>
                <w:szCs w:val="24"/>
              </w:rPr>
            </w:pPr>
            <w:r w:rsidRPr="009C222D">
              <w:rPr>
                <w:rFonts w:cs="Times New Roman"/>
                <w:sz w:val="24"/>
                <w:szCs w:val="24"/>
              </w:rPr>
              <w:t>VIF</w:t>
            </w:r>
          </w:p>
        </w:tc>
        <w:tc>
          <w:tcPr>
            <w:tcW w:w="425" w:type="dxa"/>
            <w:tcBorders>
              <w:top w:val="nil"/>
              <w:left w:val="nil"/>
              <w:bottom w:val="single" w:sz="4" w:space="0" w:color="auto"/>
              <w:right w:val="nil"/>
            </w:tcBorders>
          </w:tcPr>
          <w:p w:rsidR="00F02B68" w:rsidRPr="009C222D" w:rsidRDefault="00F02B68" w:rsidP="004956C2">
            <w:pPr>
              <w:spacing w:line="276" w:lineRule="auto"/>
              <w:jc w:val="both"/>
              <w:rPr>
                <w:rFonts w:cs="Times New Roman"/>
                <w:sz w:val="24"/>
                <w:szCs w:val="24"/>
              </w:rPr>
            </w:pPr>
          </w:p>
        </w:tc>
        <w:tc>
          <w:tcPr>
            <w:tcW w:w="1701" w:type="dxa"/>
            <w:tcBorders>
              <w:left w:val="nil"/>
              <w:bottom w:val="single" w:sz="4" w:space="0" w:color="auto"/>
              <w:right w:val="nil"/>
            </w:tcBorders>
          </w:tcPr>
          <w:p w:rsidR="00F02B68" w:rsidRPr="009C222D" w:rsidRDefault="00F02B68" w:rsidP="004956C2">
            <w:pPr>
              <w:spacing w:line="276" w:lineRule="auto"/>
              <w:jc w:val="both"/>
              <w:rPr>
                <w:rFonts w:cs="Times New Roman"/>
                <w:sz w:val="24"/>
                <w:szCs w:val="24"/>
              </w:rPr>
            </w:pPr>
            <w:r w:rsidRPr="009C222D">
              <w:rPr>
                <w:rFonts w:cs="Times New Roman"/>
                <w:sz w:val="24"/>
                <w:szCs w:val="24"/>
              </w:rPr>
              <w:t>Coefficient est.</w:t>
            </w:r>
          </w:p>
        </w:tc>
        <w:tc>
          <w:tcPr>
            <w:tcW w:w="1276" w:type="dxa"/>
            <w:tcBorders>
              <w:left w:val="nil"/>
              <w:bottom w:val="single" w:sz="4" w:space="0" w:color="auto"/>
              <w:right w:val="nil"/>
            </w:tcBorders>
          </w:tcPr>
          <w:p w:rsidR="00F02B68" w:rsidRPr="009C222D" w:rsidRDefault="00F02B68" w:rsidP="004956C2">
            <w:pPr>
              <w:spacing w:line="276" w:lineRule="auto"/>
              <w:jc w:val="both"/>
              <w:rPr>
                <w:rFonts w:cs="Times New Roman"/>
                <w:sz w:val="24"/>
                <w:szCs w:val="24"/>
              </w:rPr>
            </w:pPr>
            <w:r w:rsidRPr="009C222D">
              <w:rPr>
                <w:rFonts w:cs="Times New Roman"/>
                <w:sz w:val="24"/>
                <w:szCs w:val="24"/>
              </w:rPr>
              <w:t>StdError</w:t>
            </w:r>
          </w:p>
        </w:tc>
        <w:tc>
          <w:tcPr>
            <w:tcW w:w="1417" w:type="dxa"/>
            <w:tcBorders>
              <w:left w:val="nil"/>
              <w:bottom w:val="single" w:sz="4" w:space="0" w:color="auto"/>
              <w:right w:val="nil"/>
            </w:tcBorders>
          </w:tcPr>
          <w:p w:rsidR="00F02B68" w:rsidRPr="009C222D" w:rsidRDefault="00F02B68" w:rsidP="004956C2">
            <w:pPr>
              <w:spacing w:line="276" w:lineRule="auto"/>
              <w:jc w:val="both"/>
              <w:rPr>
                <w:rFonts w:cs="Times New Roman"/>
                <w:sz w:val="24"/>
                <w:szCs w:val="24"/>
              </w:rPr>
            </w:pPr>
            <w:r w:rsidRPr="009C222D">
              <w:rPr>
                <w:rFonts w:cs="Times New Roman"/>
                <w:sz w:val="24"/>
                <w:szCs w:val="24"/>
              </w:rPr>
              <w:t>t-Statistic</w:t>
            </w:r>
          </w:p>
        </w:tc>
        <w:tc>
          <w:tcPr>
            <w:tcW w:w="1134" w:type="dxa"/>
            <w:tcBorders>
              <w:left w:val="nil"/>
              <w:bottom w:val="single" w:sz="4" w:space="0" w:color="auto"/>
              <w:right w:val="nil"/>
            </w:tcBorders>
          </w:tcPr>
          <w:p w:rsidR="00F02B68" w:rsidRPr="009C222D" w:rsidRDefault="00F02B68" w:rsidP="004956C2">
            <w:pPr>
              <w:spacing w:line="276" w:lineRule="auto"/>
              <w:jc w:val="both"/>
              <w:rPr>
                <w:rFonts w:cs="Times New Roman"/>
                <w:sz w:val="24"/>
                <w:szCs w:val="24"/>
              </w:rPr>
            </w:pPr>
            <w:r w:rsidRPr="009C222D">
              <w:rPr>
                <w:rFonts w:cs="Times New Roman"/>
                <w:sz w:val="24"/>
                <w:szCs w:val="24"/>
              </w:rPr>
              <w:t>VIF</w:t>
            </w:r>
          </w:p>
        </w:tc>
      </w:tr>
      <w:tr w:rsidR="00F02B68" w:rsidRPr="009C222D" w:rsidTr="004956C2">
        <w:tc>
          <w:tcPr>
            <w:tcW w:w="2268" w:type="dxa"/>
            <w:tcBorders>
              <w:left w:val="nil"/>
              <w:bottom w:val="nil"/>
              <w:right w:val="nil"/>
            </w:tcBorders>
          </w:tcPr>
          <w:p w:rsidR="00F02B68" w:rsidRPr="009C222D" w:rsidRDefault="00F02B68" w:rsidP="004956C2">
            <w:pPr>
              <w:spacing w:before="240" w:line="276" w:lineRule="auto"/>
              <w:jc w:val="both"/>
              <w:rPr>
                <w:rFonts w:cs="Times New Roman"/>
                <w:sz w:val="24"/>
                <w:szCs w:val="24"/>
              </w:rPr>
            </w:pPr>
            <w:r w:rsidRPr="009C222D">
              <w:rPr>
                <w:rFonts w:cs="Times New Roman"/>
                <w:sz w:val="24"/>
                <w:szCs w:val="24"/>
              </w:rPr>
              <w:t>Intercept</w:t>
            </w:r>
          </w:p>
        </w:tc>
        <w:tc>
          <w:tcPr>
            <w:tcW w:w="1701" w:type="dxa"/>
            <w:tcBorders>
              <w:left w:val="nil"/>
              <w:bottom w:val="nil"/>
              <w:right w:val="nil"/>
            </w:tcBorders>
          </w:tcPr>
          <w:p w:rsidR="00F02B68" w:rsidRPr="009C222D" w:rsidRDefault="00F02B68" w:rsidP="004956C2">
            <w:pPr>
              <w:spacing w:before="240" w:line="276" w:lineRule="auto"/>
              <w:jc w:val="both"/>
              <w:rPr>
                <w:rFonts w:eastAsia="Times New Roman" w:cs="Times New Roman"/>
                <w:bCs/>
                <w:sz w:val="24"/>
                <w:szCs w:val="24"/>
                <w:lang w:eastAsia="en-GB"/>
              </w:rPr>
            </w:pPr>
            <w:r w:rsidRPr="009C222D">
              <w:rPr>
                <w:rFonts w:eastAsia="Times New Roman" w:cs="Times New Roman"/>
                <w:bCs/>
                <w:sz w:val="24"/>
                <w:szCs w:val="24"/>
                <w:lang w:eastAsia="en-GB"/>
              </w:rPr>
              <w:t>0.094472</w:t>
            </w:r>
          </w:p>
        </w:tc>
        <w:tc>
          <w:tcPr>
            <w:tcW w:w="1276" w:type="dxa"/>
            <w:tcBorders>
              <w:left w:val="nil"/>
              <w:bottom w:val="nil"/>
              <w:right w:val="nil"/>
            </w:tcBorders>
          </w:tcPr>
          <w:p w:rsidR="00F02B68" w:rsidRPr="009C222D" w:rsidRDefault="00F02B68" w:rsidP="004956C2">
            <w:pPr>
              <w:spacing w:before="240" w:line="276" w:lineRule="auto"/>
              <w:jc w:val="both"/>
              <w:rPr>
                <w:rFonts w:eastAsia="Times New Roman" w:cs="Times New Roman"/>
                <w:sz w:val="24"/>
                <w:szCs w:val="24"/>
                <w:lang w:eastAsia="en-GB"/>
              </w:rPr>
            </w:pPr>
            <w:r w:rsidRPr="009C222D">
              <w:rPr>
                <w:rFonts w:eastAsia="Times New Roman" w:cs="Times New Roman"/>
                <w:sz w:val="24"/>
                <w:szCs w:val="24"/>
                <w:lang w:eastAsia="en-GB"/>
              </w:rPr>
              <w:t>0.337705</w:t>
            </w:r>
          </w:p>
        </w:tc>
        <w:tc>
          <w:tcPr>
            <w:tcW w:w="1559" w:type="dxa"/>
            <w:tcBorders>
              <w:left w:val="nil"/>
              <w:bottom w:val="nil"/>
              <w:right w:val="nil"/>
            </w:tcBorders>
          </w:tcPr>
          <w:p w:rsidR="00F02B68" w:rsidRPr="009C222D" w:rsidRDefault="00F02B68" w:rsidP="004956C2">
            <w:pPr>
              <w:spacing w:before="240" w:line="276" w:lineRule="auto"/>
              <w:jc w:val="both"/>
              <w:rPr>
                <w:rFonts w:eastAsia="Times New Roman" w:cs="Times New Roman"/>
                <w:sz w:val="24"/>
                <w:szCs w:val="24"/>
                <w:lang w:eastAsia="en-GB"/>
              </w:rPr>
            </w:pPr>
            <w:r w:rsidRPr="009C222D">
              <w:rPr>
                <w:rFonts w:eastAsia="Times New Roman" w:cs="Times New Roman"/>
                <w:sz w:val="24"/>
                <w:szCs w:val="24"/>
                <w:lang w:eastAsia="en-GB"/>
              </w:rPr>
              <w:t>0.279747</w:t>
            </w:r>
          </w:p>
        </w:tc>
        <w:tc>
          <w:tcPr>
            <w:tcW w:w="1276" w:type="dxa"/>
            <w:tcBorders>
              <w:left w:val="nil"/>
              <w:bottom w:val="nil"/>
              <w:right w:val="nil"/>
            </w:tcBorders>
          </w:tcPr>
          <w:p w:rsidR="00F02B68" w:rsidRPr="009C222D" w:rsidRDefault="00F02B68" w:rsidP="004956C2">
            <w:pPr>
              <w:spacing w:before="240" w:line="276" w:lineRule="auto"/>
              <w:jc w:val="both"/>
              <w:rPr>
                <w:rFonts w:eastAsia="Times New Roman" w:cs="Times New Roman"/>
                <w:sz w:val="24"/>
                <w:szCs w:val="24"/>
                <w:lang w:eastAsia="en-GB"/>
              </w:rPr>
            </w:pPr>
            <w:r w:rsidRPr="009C222D">
              <w:rPr>
                <w:rFonts w:eastAsia="Times New Roman" w:cs="Times New Roman"/>
                <w:sz w:val="24"/>
                <w:szCs w:val="24"/>
                <w:lang w:eastAsia="en-GB"/>
              </w:rPr>
              <w:t>---</w:t>
            </w:r>
          </w:p>
        </w:tc>
        <w:tc>
          <w:tcPr>
            <w:tcW w:w="425" w:type="dxa"/>
            <w:vMerge w:val="restart"/>
            <w:tcBorders>
              <w:left w:val="nil"/>
              <w:bottom w:val="single" w:sz="4" w:space="0" w:color="auto"/>
              <w:right w:val="nil"/>
            </w:tcBorders>
          </w:tcPr>
          <w:p w:rsidR="00F02B68" w:rsidRPr="009C222D" w:rsidRDefault="00F02B68" w:rsidP="004956C2">
            <w:pPr>
              <w:spacing w:before="240" w:line="276" w:lineRule="auto"/>
              <w:jc w:val="both"/>
              <w:rPr>
                <w:rFonts w:eastAsia="Times New Roman" w:cs="Times New Roman"/>
                <w:bCs/>
                <w:sz w:val="24"/>
                <w:szCs w:val="24"/>
                <w:lang w:eastAsia="en-GB"/>
              </w:rPr>
            </w:pPr>
          </w:p>
        </w:tc>
        <w:tc>
          <w:tcPr>
            <w:tcW w:w="1701" w:type="dxa"/>
            <w:tcBorders>
              <w:left w:val="nil"/>
              <w:bottom w:val="nil"/>
              <w:right w:val="nil"/>
            </w:tcBorders>
            <w:vAlign w:val="bottom"/>
          </w:tcPr>
          <w:p w:rsidR="00F02B68" w:rsidRPr="009C222D" w:rsidRDefault="00F02B68" w:rsidP="004956C2">
            <w:pPr>
              <w:spacing w:before="240" w:line="276" w:lineRule="auto"/>
              <w:jc w:val="both"/>
              <w:rPr>
                <w:rFonts w:eastAsia="Times New Roman" w:cs="Times New Roman"/>
                <w:bCs/>
                <w:sz w:val="24"/>
                <w:szCs w:val="24"/>
                <w:lang w:eastAsia="en-GB"/>
              </w:rPr>
            </w:pPr>
            <w:r w:rsidRPr="009C222D">
              <w:rPr>
                <w:rFonts w:eastAsia="Times New Roman" w:cs="Times New Roman"/>
                <w:bCs/>
                <w:sz w:val="24"/>
                <w:szCs w:val="24"/>
                <w:lang w:eastAsia="en-GB"/>
              </w:rPr>
              <w:t>0.340571</w:t>
            </w:r>
          </w:p>
        </w:tc>
        <w:tc>
          <w:tcPr>
            <w:tcW w:w="1276" w:type="dxa"/>
            <w:tcBorders>
              <w:left w:val="nil"/>
              <w:bottom w:val="nil"/>
              <w:right w:val="nil"/>
            </w:tcBorders>
            <w:vAlign w:val="bottom"/>
          </w:tcPr>
          <w:p w:rsidR="00F02B68" w:rsidRPr="009C222D" w:rsidRDefault="00F02B68" w:rsidP="004956C2">
            <w:pPr>
              <w:spacing w:before="240" w:line="276" w:lineRule="auto"/>
              <w:jc w:val="both"/>
              <w:rPr>
                <w:rFonts w:eastAsia="Times New Roman" w:cs="Times New Roman"/>
                <w:sz w:val="24"/>
                <w:szCs w:val="24"/>
                <w:lang w:eastAsia="en-GB"/>
              </w:rPr>
            </w:pPr>
            <w:r w:rsidRPr="009C222D">
              <w:rPr>
                <w:rFonts w:eastAsia="Times New Roman" w:cs="Times New Roman"/>
                <w:sz w:val="24"/>
                <w:szCs w:val="24"/>
                <w:lang w:eastAsia="en-GB"/>
              </w:rPr>
              <w:t>0.370015</w:t>
            </w:r>
          </w:p>
        </w:tc>
        <w:tc>
          <w:tcPr>
            <w:tcW w:w="1417" w:type="dxa"/>
            <w:tcBorders>
              <w:left w:val="nil"/>
              <w:bottom w:val="nil"/>
              <w:right w:val="nil"/>
            </w:tcBorders>
            <w:vAlign w:val="bottom"/>
          </w:tcPr>
          <w:p w:rsidR="00F02B68" w:rsidRPr="009C222D" w:rsidRDefault="00F02B68" w:rsidP="004956C2">
            <w:pPr>
              <w:spacing w:before="240" w:line="276" w:lineRule="auto"/>
              <w:jc w:val="both"/>
              <w:rPr>
                <w:rFonts w:eastAsia="Times New Roman" w:cs="Times New Roman"/>
                <w:sz w:val="24"/>
                <w:szCs w:val="24"/>
                <w:lang w:eastAsia="en-GB"/>
              </w:rPr>
            </w:pPr>
            <w:r w:rsidRPr="009C222D">
              <w:rPr>
                <w:rFonts w:eastAsia="Times New Roman" w:cs="Times New Roman"/>
                <w:sz w:val="24"/>
                <w:szCs w:val="24"/>
                <w:lang w:eastAsia="en-GB"/>
              </w:rPr>
              <w:t>0.920423*</w:t>
            </w:r>
          </w:p>
        </w:tc>
        <w:tc>
          <w:tcPr>
            <w:tcW w:w="1134" w:type="dxa"/>
            <w:tcBorders>
              <w:left w:val="nil"/>
              <w:bottom w:val="nil"/>
              <w:right w:val="nil"/>
            </w:tcBorders>
          </w:tcPr>
          <w:p w:rsidR="00F02B68" w:rsidRPr="009C222D" w:rsidRDefault="00F02B68" w:rsidP="004956C2">
            <w:pPr>
              <w:spacing w:before="240" w:line="276" w:lineRule="auto"/>
              <w:jc w:val="both"/>
              <w:rPr>
                <w:rFonts w:cs="Times New Roman"/>
                <w:sz w:val="24"/>
                <w:szCs w:val="24"/>
              </w:rPr>
            </w:pPr>
            <w:r w:rsidRPr="009C222D">
              <w:rPr>
                <w:rFonts w:cs="Times New Roman"/>
                <w:sz w:val="24"/>
                <w:szCs w:val="24"/>
              </w:rPr>
              <w:t>---</w:t>
            </w:r>
          </w:p>
        </w:tc>
      </w:tr>
      <w:tr w:rsidR="00F02B68" w:rsidRPr="009C222D" w:rsidTr="004956C2">
        <w:tc>
          <w:tcPr>
            <w:tcW w:w="2268" w:type="dxa"/>
            <w:tcBorders>
              <w:top w:val="nil"/>
              <w:left w:val="nil"/>
              <w:bottom w:val="nil"/>
              <w:right w:val="nil"/>
            </w:tcBorders>
          </w:tcPr>
          <w:p w:rsidR="00F02B68" w:rsidRPr="009C222D" w:rsidRDefault="00F02B68" w:rsidP="004956C2">
            <w:pPr>
              <w:spacing w:line="276" w:lineRule="auto"/>
              <w:jc w:val="both"/>
              <w:rPr>
                <w:rFonts w:cs="Times New Roman"/>
                <w:sz w:val="24"/>
                <w:szCs w:val="24"/>
              </w:rPr>
            </w:pPr>
            <w:r w:rsidRPr="009C222D">
              <w:rPr>
                <w:rFonts w:cs="Times New Roman"/>
                <w:sz w:val="24"/>
                <w:szCs w:val="24"/>
              </w:rPr>
              <w:t>DISABILITY</w:t>
            </w:r>
          </w:p>
        </w:tc>
        <w:tc>
          <w:tcPr>
            <w:tcW w:w="1701" w:type="dxa"/>
            <w:tcBorders>
              <w:top w:val="nil"/>
              <w:left w:val="nil"/>
              <w:bottom w:val="nil"/>
              <w:right w:val="nil"/>
            </w:tcBorders>
          </w:tcPr>
          <w:p w:rsidR="00F02B68" w:rsidRPr="009C222D" w:rsidRDefault="00F02B68" w:rsidP="004956C2">
            <w:pPr>
              <w:spacing w:line="276" w:lineRule="auto"/>
              <w:jc w:val="both"/>
              <w:rPr>
                <w:rFonts w:eastAsia="Times New Roman" w:cs="Times New Roman"/>
                <w:sz w:val="24"/>
                <w:szCs w:val="24"/>
                <w:lang w:eastAsia="en-GB"/>
              </w:rPr>
            </w:pPr>
            <w:r w:rsidRPr="009C222D">
              <w:rPr>
                <w:rFonts w:eastAsia="Times New Roman" w:cs="Times New Roman"/>
                <w:bCs/>
                <w:sz w:val="24"/>
                <w:szCs w:val="24"/>
                <w:lang w:eastAsia="en-GB"/>
              </w:rPr>
              <w:t>0.3355458</w:t>
            </w:r>
          </w:p>
        </w:tc>
        <w:tc>
          <w:tcPr>
            <w:tcW w:w="1276" w:type="dxa"/>
            <w:tcBorders>
              <w:top w:val="nil"/>
              <w:left w:val="nil"/>
              <w:bottom w:val="nil"/>
              <w:right w:val="nil"/>
            </w:tcBorders>
          </w:tcPr>
          <w:p w:rsidR="00F02B68" w:rsidRPr="009C222D" w:rsidRDefault="00F02B68" w:rsidP="004956C2">
            <w:pPr>
              <w:spacing w:line="276" w:lineRule="auto"/>
              <w:jc w:val="both"/>
              <w:rPr>
                <w:rFonts w:eastAsia="Times New Roman" w:cs="Times New Roman"/>
                <w:sz w:val="24"/>
                <w:szCs w:val="24"/>
                <w:lang w:eastAsia="en-GB"/>
              </w:rPr>
            </w:pPr>
            <w:r w:rsidRPr="009C222D">
              <w:rPr>
                <w:rFonts w:eastAsia="Times New Roman" w:cs="Times New Roman"/>
                <w:sz w:val="24"/>
                <w:szCs w:val="24"/>
                <w:lang w:eastAsia="en-GB"/>
              </w:rPr>
              <w:t>0.005931</w:t>
            </w:r>
          </w:p>
        </w:tc>
        <w:tc>
          <w:tcPr>
            <w:tcW w:w="1559" w:type="dxa"/>
            <w:tcBorders>
              <w:top w:val="nil"/>
              <w:left w:val="nil"/>
              <w:bottom w:val="nil"/>
              <w:right w:val="nil"/>
            </w:tcBorders>
          </w:tcPr>
          <w:p w:rsidR="00F02B68" w:rsidRPr="009C222D" w:rsidRDefault="00F02B68" w:rsidP="004956C2">
            <w:pPr>
              <w:spacing w:line="276" w:lineRule="auto"/>
              <w:jc w:val="both"/>
              <w:rPr>
                <w:rFonts w:eastAsia="Times New Roman" w:cs="Times New Roman"/>
                <w:sz w:val="24"/>
                <w:szCs w:val="24"/>
                <w:lang w:eastAsia="en-GB"/>
              </w:rPr>
            </w:pPr>
            <w:r w:rsidRPr="009C222D">
              <w:rPr>
                <w:rFonts w:eastAsia="Times New Roman" w:cs="Times New Roman"/>
                <w:sz w:val="24"/>
                <w:szCs w:val="24"/>
                <w:lang w:eastAsia="en-GB"/>
              </w:rPr>
              <w:t>56.557118*</w:t>
            </w:r>
          </w:p>
        </w:tc>
        <w:tc>
          <w:tcPr>
            <w:tcW w:w="1276" w:type="dxa"/>
            <w:tcBorders>
              <w:top w:val="nil"/>
              <w:left w:val="nil"/>
              <w:bottom w:val="nil"/>
              <w:right w:val="nil"/>
            </w:tcBorders>
          </w:tcPr>
          <w:p w:rsidR="00F02B68" w:rsidRPr="009C222D" w:rsidRDefault="00F02B68" w:rsidP="004956C2">
            <w:pPr>
              <w:spacing w:line="276" w:lineRule="auto"/>
              <w:jc w:val="both"/>
              <w:rPr>
                <w:rFonts w:eastAsia="Times New Roman" w:cs="Times New Roman"/>
                <w:sz w:val="24"/>
                <w:szCs w:val="24"/>
                <w:lang w:eastAsia="en-GB"/>
              </w:rPr>
            </w:pPr>
            <w:r w:rsidRPr="009C222D">
              <w:rPr>
                <w:rFonts w:eastAsia="Times New Roman" w:cs="Times New Roman"/>
                <w:sz w:val="24"/>
                <w:szCs w:val="24"/>
                <w:lang w:eastAsia="en-GB"/>
              </w:rPr>
              <w:t>1.534838 </w:t>
            </w:r>
          </w:p>
        </w:tc>
        <w:tc>
          <w:tcPr>
            <w:tcW w:w="425" w:type="dxa"/>
            <w:vMerge/>
            <w:tcBorders>
              <w:left w:val="nil"/>
              <w:bottom w:val="single" w:sz="4" w:space="0" w:color="auto"/>
              <w:right w:val="nil"/>
            </w:tcBorders>
          </w:tcPr>
          <w:p w:rsidR="00F02B68" w:rsidRPr="009C222D" w:rsidRDefault="00F02B68" w:rsidP="004956C2">
            <w:pPr>
              <w:spacing w:line="276" w:lineRule="auto"/>
              <w:jc w:val="both"/>
              <w:rPr>
                <w:rFonts w:eastAsia="Times New Roman" w:cs="Times New Roman"/>
                <w:bCs/>
                <w:sz w:val="24"/>
                <w:szCs w:val="24"/>
                <w:lang w:eastAsia="en-GB"/>
              </w:rPr>
            </w:pPr>
          </w:p>
        </w:tc>
        <w:tc>
          <w:tcPr>
            <w:tcW w:w="1701" w:type="dxa"/>
            <w:tcBorders>
              <w:top w:val="nil"/>
              <w:left w:val="nil"/>
              <w:bottom w:val="nil"/>
              <w:right w:val="nil"/>
            </w:tcBorders>
            <w:vAlign w:val="bottom"/>
          </w:tcPr>
          <w:p w:rsidR="00F02B68" w:rsidRPr="009C222D" w:rsidRDefault="00F02B68" w:rsidP="004956C2">
            <w:pPr>
              <w:spacing w:line="276" w:lineRule="auto"/>
              <w:jc w:val="both"/>
              <w:rPr>
                <w:rFonts w:eastAsia="Times New Roman" w:cs="Times New Roman"/>
                <w:sz w:val="24"/>
                <w:szCs w:val="24"/>
                <w:lang w:eastAsia="en-GB"/>
              </w:rPr>
            </w:pPr>
            <w:r w:rsidRPr="009C222D">
              <w:rPr>
                <w:rFonts w:eastAsia="Times New Roman" w:cs="Times New Roman"/>
                <w:bCs/>
                <w:sz w:val="24"/>
                <w:szCs w:val="24"/>
                <w:lang w:eastAsia="en-GB"/>
              </w:rPr>
              <w:t>0.294818</w:t>
            </w:r>
          </w:p>
        </w:tc>
        <w:tc>
          <w:tcPr>
            <w:tcW w:w="1276" w:type="dxa"/>
            <w:tcBorders>
              <w:top w:val="nil"/>
              <w:left w:val="nil"/>
              <w:bottom w:val="nil"/>
              <w:right w:val="nil"/>
            </w:tcBorders>
            <w:vAlign w:val="bottom"/>
          </w:tcPr>
          <w:p w:rsidR="00F02B68" w:rsidRPr="009C222D" w:rsidRDefault="00F02B68" w:rsidP="004956C2">
            <w:pPr>
              <w:spacing w:line="276" w:lineRule="auto"/>
              <w:jc w:val="both"/>
              <w:rPr>
                <w:rFonts w:eastAsia="Times New Roman" w:cs="Times New Roman"/>
                <w:sz w:val="24"/>
                <w:szCs w:val="24"/>
                <w:lang w:eastAsia="en-GB"/>
              </w:rPr>
            </w:pPr>
            <w:r w:rsidRPr="009C222D">
              <w:rPr>
                <w:rFonts w:eastAsia="Times New Roman" w:cs="Times New Roman"/>
                <w:sz w:val="24"/>
                <w:szCs w:val="24"/>
                <w:lang w:eastAsia="en-GB"/>
              </w:rPr>
              <w:t>0.006499</w:t>
            </w:r>
          </w:p>
        </w:tc>
        <w:tc>
          <w:tcPr>
            <w:tcW w:w="1417" w:type="dxa"/>
            <w:tcBorders>
              <w:top w:val="nil"/>
              <w:left w:val="nil"/>
              <w:bottom w:val="nil"/>
              <w:right w:val="nil"/>
            </w:tcBorders>
            <w:vAlign w:val="bottom"/>
          </w:tcPr>
          <w:p w:rsidR="00F02B68" w:rsidRPr="009C222D" w:rsidRDefault="00F02B68" w:rsidP="004956C2">
            <w:pPr>
              <w:spacing w:line="276" w:lineRule="auto"/>
              <w:jc w:val="both"/>
              <w:rPr>
                <w:rFonts w:eastAsia="Times New Roman" w:cs="Times New Roman"/>
                <w:sz w:val="24"/>
                <w:szCs w:val="24"/>
                <w:lang w:eastAsia="en-GB"/>
              </w:rPr>
            </w:pPr>
            <w:r w:rsidRPr="009C222D">
              <w:rPr>
                <w:rFonts w:eastAsia="Times New Roman" w:cs="Times New Roman"/>
                <w:sz w:val="24"/>
                <w:szCs w:val="24"/>
                <w:lang w:eastAsia="en-GB"/>
              </w:rPr>
              <w:t>45.364943*</w:t>
            </w:r>
          </w:p>
        </w:tc>
        <w:tc>
          <w:tcPr>
            <w:tcW w:w="1134" w:type="dxa"/>
            <w:tcBorders>
              <w:top w:val="nil"/>
              <w:left w:val="nil"/>
              <w:bottom w:val="nil"/>
              <w:right w:val="nil"/>
            </w:tcBorders>
            <w:vAlign w:val="bottom"/>
          </w:tcPr>
          <w:p w:rsidR="00F02B68" w:rsidRPr="009C222D" w:rsidRDefault="00F02B68" w:rsidP="004956C2">
            <w:pPr>
              <w:spacing w:line="276" w:lineRule="auto"/>
              <w:jc w:val="both"/>
              <w:rPr>
                <w:rFonts w:eastAsia="Times New Roman" w:cs="Times New Roman"/>
                <w:sz w:val="24"/>
                <w:szCs w:val="24"/>
                <w:lang w:eastAsia="en-GB"/>
              </w:rPr>
            </w:pPr>
            <w:r w:rsidRPr="009C222D">
              <w:rPr>
                <w:rFonts w:eastAsia="Times New Roman" w:cs="Times New Roman"/>
                <w:sz w:val="24"/>
                <w:szCs w:val="24"/>
                <w:lang w:eastAsia="en-GB"/>
              </w:rPr>
              <w:t>1.534838</w:t>
            </w:r>
          </w:p>
        </w:tc>
      </w:tr>
      <w:tr w:rsidR="00F02B68" w:rsidRPr="009C222D" w:rsidTr="004956C2">
        <w:tc>
          <w:tcPr>
            <w:tcW w:w="2268" w:type="dxa"/>
            <w:tcBorders>
              <w:top w:val="nil"/>
              <w:left w:val="nil"/>
              <w:bottom w:val="nil"/>
              <w:right w:val="nil"/>
            </w:tcBorders>
          </w:tcPr>
          <w:p w:rsidR="00F02B68" w:rsidRPr="009C222D" w:rsidRDefault="00F02B68" w:rsidP="004956C2">
            <w:pPr>
              <w:spacing w:line="276" w:lineRule="auto"/>
              <w:jc w:val="both"/>
              <w:rPr>
                <w:rFonts w:cs="Times New Roman"/>
                <w:sz w:val="24"/>
                <w:szCs w:val="24"/>
              </w:rPr>
            </w:pPr>
            <w:r w:rsidRPr="009C222D">
              <w:rPr>
                <w:rFonts w:cs="Times New Roman"/>
                <w:sz w:val="24"/>
                <w:szCs w:val="24"/>
              </w:rPr>
              <w:t>PENSIONER</w:t>
            </w:r>
          </w:p>
        </w:tc>
        <w:tc>
          <w:tcPr>
            <w:tcW w:w="1701" w:type="dxa"/>
            <w:tcBorders>
              <w:top w:val="nil"/>
              <w:left w:val="nil"/>
              <w:bottom w:val="nil"/>
              <w:right w:val="nil"/>
            </w:tcBorders>
          </w:tcPr>
          <w:p w:rsidR="00F02B68" w:rsidRPr="009C222D" w:rsidRDefault="00F02B68" w:rsidP="004956C2">
            <w:pPr>
              <w:spacing w:line="276" w:lineRule="auto"/>
              <w:jc w:val="both"/>
              <w:rPr>
                <w:rFonts w:eastAsia="Times New Roman" w:cs="Times New Roman"/>
                <w:sz w:val="24"/>
                <w:szCs w:val="24"/>
                <w:lang w:eastAsia="en-GB"/>
              </w:rPr>
            </w:pPr>
            <w:r w:rsidRPr="009C222D">
              <w:rPr>
                <w:rFonts w:eastAsia="Times New Roman" w:cs="Times New Roman"/>
                <w:bCs/>
                <w:sz w:val="24"/>
                <w:szCs w:val="24"/>
                <w:lang w:eastAsia="en-GB"/>
              </w:rPr>
              <w:t>-0.086398</w:t>
            </w:r>
          </w:p>
        </w:tc>
        <w:tc>
          <w:tcPr>
            <w:tcW w:w="1276" w:type="dxa"/>
            <w:tcBorders>
              <w:top w:val="nil"/>
              <w:left w:val="nil"/>
              <w:bottom w:val="nil"/>
              <w:right w:val="nil"/>
            </w:tcBorders>
          </w:tcPr>
          <w:p w:rsidR="00F02B68" w:rsidRPr="009C222D" w:rsidRDefault="00F02B68" w:rsidP="004956C2">
            <w:pPr>
              <w:spacing w:line="276" w:lineRule="auto"/>
              <w:jc w:val="both"/>
              <w:rPr>
                <w:rFonts w:eastAsia="Times New Roman" w:cs="Times New Roman"/>
                <w:sz w:val="24"/>
                <w:szCs w:val="24"/>
                <w:lang w:eastAsia="en-GB"/>
              </w:rPr>
            </w:pPr>
            <w:r w:rsidRPr="009C222D">
              <w:rPr>
                <w:rFonts w:eastAsia="Times New Roman" w:cs="Times New Roman"/>
                <w:sz w:val="24"/>
                <w:szCs w:val="24"/>
                <w:lang w:eastAsia="en-GB"/>
              </w:rPr>
              <w:t>0.006744</w:t>
            </w:r>
          </w:p>
        </w:tc>
        <w:tc>
          <w:tcPr>
            <w:tcW w:w="1559" w:type="dxa"/>
            <w:tcBorders>
              <w:top w:val="nil"/>
              <w:left w:val="nil"/>
              <w:bottom w:val="nil"/>
              <w:right w:val="nil"/>
            </w:tcBorders>
          </w:tcPr>
          <w:p w:rsidR="00F02B68" w:rsidRPr="009C222D" w:rsidRDefault="00F02B68" w:rsidP="004956C2">
            <w:pPr>
              <w:spacing w:line="276" w:lineRule="auto"/>
              <w:jc w:val="both"/>
              <w:rPr>
                <w:rFonts w:eastAsia="Times New Roman" w:cs="Times New Roman"/>
                <w:sz w:val="24"/>
                <w:szCs w:val="24"/>
                <w:lang w:eastAsia="en-GB"/>
              </w:rPr>
            </w:pPr>
            <w:r w:rsidRPr="009C222D">
              <w:rPr>
                <w:rFonts w:eastAsia="Times New Roman" w:cs="Times New Roman"/>
                <w:sz w:val="24"/>
                <w:szCs w:val="24"/>
                <w:lang w:eastAsia="en-GB"/>
              </w:rPr>
              <w:t>-12.811075*</w:t>
            </w:r>
          </w:p>
        </w:tc>
        <w:tc>
          <w:tcPr>
            <w:tcW w:w="1276" w:type="dxa"/>
            <w:tcBorders>
              <w:top w:val="nil"/>
              <w:left w:val="nil"/>
              <w:bottom w:val="nil"/>
              <w:right w:val="nil"/>
            </w:tcBorders>
          </w:tcPr>
          <w:p w:rsidR="00F02B68" w:rsidRPr="009C222D" w:rsidRDefault="00F02B68" w:rsidP="004956C2">
            <w:pPr>
              <w:spacing w:line="276" w:lineRule="auto"/>
              <w:jc w:val="both"/>
              <w:rPr>
                <w:rFonts w:eastAsia="Times New Roman" w:cs="Times New Roman"/>
                <w:sz w:val="24"/>
                <w:szCs w:val="24"/>
                <w:lang w:eastAsia="en-GB"/>
              </w:rPr>
            </w:pPr>
            <w:r w:rsidRPr="009C222D">
              <w:rPr>
                <w:rFonts w:eastAsia="Times New Roman" w:cs="Times New Roman"/>
                <w:sz w:val="24"/>
                <w:szCs w:val="24"/>
                <w:lang w:eastAsia="en-GB"/>
              </w:rPr>
              <w:t>2.442525 </w:t>
            </w:r>
          </w:p>
        </w:tc>
        <w:tc>
          <w:tcPr>
            <w:tcW w:w="425" w:type="dxa"/>
            <w:vMerge/>
            <w:tcBorders>
              <w:left w:val="nil"/>
              <w:bottom w:val="single" w:sz="4" w:space="0" w:color="auto"/>
              <w:right w:val="nil"/>
            </w:tcBorders>
          </w:tcPr>
          <w:p w:rsidR="00F02B68" w:rsidRPr="009C222D" w:rsidRDefault="00F02B68" w:rsidP="004956C2">
            <w:pPr>
              <w:spacing w:line="276" w:lineRule="auto"/>
              <w:jc w:val="both"/>
              <w:rPr>
                <w:rFonts w:eastAsia="Times New Roman" w:cs="Times New Roman"/>
                <w:bCs/>
                <w:sz w:val="24"/>
                <w:szCs w:val="24"/>
                <w:lang w:eastAsia="en-GB"/>
              </w:rPr>
            </w:pPr>
          </w:p>
        </w:tc>
        <w:tc>
          <w:tcPr>
            <w:tcW w:w="1701" w:type="dxa"/>
            <w:tcBorders>
              <w:top w:val="nil"/>
              <w:left w:val="nil"/>
              <w:bottom w:val="nil"/>
              <w:right w:val="nil"/>
            </w:tcBorders>
            <w:vAlign w:val="bottom"/>
          </w:tcPr>
          <w:p w:rsidR="00F02B68" w:rsidRPr="009C222D" w:rsidRDefault="00F02B68" w:rsidP="004956C2">
            <w:pPr>
              <w:spacing w:line="276" w:lineRule="auto"/>
              <w:jc w:val="both"/>
              <w:rPr>
                <w:rFonts w:eastAsia="Times New Roman" w:cs="Times New Roman"/>
                <w:sz w:val="24"/>
                <w:szCs w:val="24"/>
                <w:lang w:eastAsia="en-GB"/>
              </w:rPr>
            </w:pPr>
            <w:r w:rsidRPr="009C222D">
              <w:rPr>
                <w:rFonts w:eastAsia="Times New Roman" w:cs="Times New Roman"/>
                <w:bCs/>
                <w:sz w:val="24"/>
                <w:szCs w:val="24"/>
                <w:lang w:eastAsia="en-GB"/>
              </w:rPr>
              <w:t>0.060302</w:t>
            </w:r>
          </w:p>
        </w:tc>
        <w:tc>
          <w:tcPr>
            <w:tcW w:w="1276" w:type="dxa"/>
            <w:tcBorders>
              <w:top w:val="nil"/>
              <w:left w:val="nil"/>
              <w:bottom w:val="nil"/>
              <w:right w:val="nil"/>
            </w:tcBorders>
            <w:vAlign w:val="bottom"/>
          </w:tcPr>
          <w:p w:rsidR="00F02B68" w:rsidRPr="009C222D" w:rsidRDefault="00F02B68" w:rsidP="004956C2">
            <w:pPr>
              <w:spacing w:line="276" w:lineRule="auto"/>
              <w:jc w:val="both"/>
              <w:rPr>
                <w:rFonts w:eastAsia="Times New Roman" w:cs="Times New Roman"/>
                <w:sz w:val="24"/>
                <w:szCs w:val="24"/>
                <w:lang w:eastAsia="en-GB"/>
              </w:rPr>
            </w:pPr>
            <w:r w:rsidRPr="009C222D">
              <w:rPr>
                <w:rFonts w:eastAsia="Times New Roman" w:cs="Times New Roman"/>
                <w:sz w:val="24"/>
                <w:szCs w:val="24"/>
                <w:lang w:eastAsia="en-GB"/>
              </w:rPr>
              <w:t>0.007389</w:t>
            </w:r>
          </w:p>
        </w:tc>
        <w:tc>
          <w:tcPr>
            <w:tcW w:w="1417" w:type="dxa"/>
            <w:tcBorders>
              <w:top w:val="nil"/>
              <w:left w:val="nil"/>
              <w:bottom w:val="nil"/>
              <w:right w:val="nil"/>
            </w:tcBorders>
            <w:vAlign w:val="bottom"/>
          </w:tcPr>
          <w:p w:rsidR="00F02B68" w:rsidRPr="009C222D" w:rsidRDefault="00F02B68" w:rsidP="004956C2">
            <w:pPr>
              <w:spacing w:line="276" w:lineRule="auto"/>
              <w:jc w:val="both"/>
              <w:rPr>
                <w:rFonts w:eastAsia="Times New Roman" w:cs="Times New Roman"/>
                <w:sz w:val="24"/>
                <w:szCs w:val="24"/>
                <w:lang w:eastAsia="en-GB"/>
              </w:rPr>
            </w:pPr>
            <w:r w:rsidRPr="009C222D">
              <w:rPr>
                <w:rFonts w:eastAsia="Times New Roman" w:cs="Times New Roman"/>
                <w:sz w:val="24"/>
                <w:szCs w:val="24"/>
                <w:lang w:eastAsia="en-GB"/>
              </w:rPr>
              <w:t>8.160738*</w:t>
            </w:r>
          </w:p>
        </w:tc>
        <w:tc>
          <w:tcPr>
            <w:tcW w:w="1134" w:type="dxa"/>
            <w:tcBorders>
              <w:top w:val="nil"/>
              <w:left w:val="nil"/>
              <w:bottom w:val="nil"/>
              <w:right w:val="nil"/>
            </w:tcBorders>
            <w:vAlign w:val="bottom"/>
          </w:tcPr>
          <w:p w:rsidR="00F02B68" w:rsidRPr="009C222D" w:rsidRDefault="00F02B68" w:rsidP="004956C2">
            <w:pPr>
              <w:spacing w:line="276" w:lineRule="auto"/>
              <w:jc w:val="both"/>
              <w:rPr>
                <w:rFonts w:eastAsia="Times New Roman" w:cs="Times New Roman"/>
                <w:sz w:val="24"/>
                <w:szCs w:val="24"/>
                <w:lang w:eastAsia="en-GB"/>
              </w:rPr>
            </w:pPr>
            <w:r w:rsidRPr="009C222D">
              <w:rPr>
                <w:rFonts w:eastAsia="Times New Roman" w:cs="Times New Roman"/>
                <w:sz w:val="24"/>
                <w:szCs w:val="24"/>
                <w:lang w:eastAsia="en-GB"/>
              </w:rPr>
              <w:t>2.442525</w:t>
            </w:r>
          </w:p>
        </w:tc>
      </w:tr>
      <w:tr w:rsidR="00F02B68" w:rsidRPr="009C222D" w:rsidTr="004956C2">
        <w:tc>
          <w:tcPr>
            <w:tcW w:w="2268" w:type="dxa"/>
            <w:tcBorders>
              <w:top w:val="nil"/>
              <w:left w:val="nil"/>
              <w:bottom w:val="nil"/>
              <w:right w:val="nil"/>
            </w:tcBorders>
          </w:tcPr>
          <w:p w:rsidR="00F02B68" w:rsidRPr="009C222D" w:rsidRDefault="00F02B68" w:rsidP="004956C2">
            <w:pPr>
              <w:spacing w:line="276" w:lineRule="auto"/>
              <w:jc w:val="both"/>
              <w:rPr>
                <w:rFonts w:cs="Times New Roman"/>
                <w:sz w:val="24"/>
                <w:szCs w:val="24"/>
              </w:rPr>
            </w:pPr>
            <w:r w:rsidRPr="009C222D">
              <w:rPr>
                <w:rFonts w:cs="Times New Roman"/>
                <w:sz w:val="24"/>
                <w:szCs w:val="24"/>
              </w:rPr>
              <w:t>YOUNG CHILD</w:t>
            </w:r>
          </w:p>
        </w:tc>
        <w:tc>
          <w:tcPr>
            <w:tcW w:w="1701" w:type="dxa"/>
            <w:tcBorders>
              <w:top w:val="nil"/>
              <w:left w:val="nil"/>
              <w:bottom w:val="nil"/>
              <w:right w:val="nil"/>
            </w:tcBorders>
          </w:tcPr>
          <w:p w:rsidR="00F02B68" w:rsidRPr="009C222D" w:rsidRDefault="00F02B68" w:rsidP="004956C2">
            <w:pPr>
              <w:spacing w:line="276" w:lineRule="auto"/>
              <w:jc w:val="both"/>
              <w:rPr>
                <w:rFonts w:eastAsia="Times New Roman" w:cs="Times New Roman"/>
                <w:sz w:val="24"/>
                <w:szCs w:val="24"/>
                <w:lang w:eastAsia="en-GB"/>
              </w:rPr>
            </w:pPr>
            <w:r w:rsidRPr="009C222D">
              <w:rPr>
                <w:rFonts w:eastAsia="Times New Roman" w:cs="Times New Roman"/>
                <w:bCs/>
                <w:sz w:val="24"/>
                <w:szCs w:val="24"/>
                <w:lang w:eastAsia="en-GB"/>
              </w:rPr>
              <w:t>0.069810</w:t>
            </w:r>
          </w:p>
        </w:tc>
        <w:tc>
          <w:tcPr>
            <w:tcW w:w="1276" w:type="dxa"/>
            <w:tcBorders>
              <w:top w:val="nil"/>
              <w:left w:val="nil"/>
              <w:bottom w:val="nil"/>
              <w:right w:val="nil"/>
            </w:tcBorders>
          </w:tcPr>
          <w:p w:rsidR="00F02B68" w:rsidRPr="009C222D" w:rsidRDefault="00F02B68" w:rsidP="004956C2">
            <w:pPr>
              <w:spacing w:line="276" w:lineRule="auto"/>
              <w:jc w:val="both"/>
              <w:rPr>
                <w:rFonts w:eastAsia="Times New Roman" w:cs="Times New Roman"/>
                <w:sz w:val="24"/>
                <w:szCs w:val="24"/>
                <w:lang w:eastAsia="en-GB"/>
              </w:rPr>
            </w:pPr>
            <w:r w:rsidRPr="009C222D">
              <w:rPr>
                <w:rFonts w:eastAsia="Times New Roman" w:cs="Times New Roman"/>
                <w:sz w:val="24"/>
                <w:szCs w:val="24"/>
                <w:lang w:eastAsia="en-GB"/>
              </w:rPr>
              <w:t>0.007155</w:t>
            </w:r>
          </w:p>
        </w:tc>
        <w:tc>
          <w:tcPr>
            <w:tcW w:w="1559" w:type="dxa"/>
            <w:tcBorders>
              <w:top w:val="nil"/>
              <w:left w:val="nil"/>
              <w:bottom w:val="nil"/>
              <w:right w:val="nil"/>
            </w:tcBorders>
          </w:tcPr>
          <w:p w:rsidR="00F02B68" w:rsidRPr="009C222D" w:rsidRDefault="00F02B68" w:rsidP="004956C2">
            <w:pPr>
              <w:spacing w:line="276" w:lineRule="auto"/>
              <w:jc w:val="both"/>
              <w:rPr>
                <w:rFonts w:eastAsia="Times New Roman" w:cs="Times New Roman"/>
                <w:sz w:val="24"/>
                <w:szCs w:val="24"/>
                <w:lang w:eastAsia="en-GB"/>
              </w:rPr>
            </w:pPr>
            <w:r w:rsidRPr="009C222D">
              <w:rPr>
                <w:rFonts w:eastAsia="Times New Roman" w:cs="Times New Roman"/>
                <w:sz w:val="24"/>
                <w:szCs w:val="24"/>
                <w:lang w:eastAsia="en-GB"/>
              </w:rPr>
              <w:t>9.756461*</w:t>
            </w:r>
          </w:p>
        </w:tc>
        <w:tc>
          <w:tcPr>
            <w:tcW w:w="1276" w:type="dxa"/>
            <w:tcBorders>
              <w:top w:val="nil"/>
              <w:left w:val="nil"/>
              <w:bottom w:val="nil"/>
              <w:right w:val="nil"/>
            </w:tcBorders>
          </w:tcPr>
          <w:p w:rsidR="00F02B68" w:rsidRPr="009C222D" w:rsidRDefault="00F02B68" w:rsidP="004956C2">
            <w:pPr>
              <w:spacing w:line="276" w:lineRule="auto"/>
              <w:jc w:val="both"/>
              <w:rPr>
                <w:rFonts w:eastAsia="Times New Roman" w:cs="Times New Roman"/>
                <w:sz w:val="24"/>
                <w:szCs w:val="24"/>
                <w:lang w:eastAsia="en-GB"/>
              </w:rPr>
            </w:pPr>
            <w:r w:rsidRPr="009C222D">
              <w:rPr>
                <w:rFonts w:eastAsia="Times New Roman" w:cs="Times New Roman"/>
                <w:sz w:val="24"/>
                <w:szCs w:val="24"/>
                <w:lang w:eastAsia="en-GB"/>
              </w:rPr>
              <w:t>1.651629 </w:t>
            </w:r>
          </w:p>
        </w:tc>
        <w:tc>
          <w:tcPr>
            <w:tcW w:w="425" w:type="dxa"/>
            <w:vMerge/>
            <w:tcBorders>
              <w:left w:val="nil"/>
              <w:bottom w:val="single" w:sz="4" w:space="0" w:color="auto"/>
              <w:right w:val="nil"/>
            </w:tcBorders>
          </w:tcPr>
          <w:p w:rsidR="00F02B68" w:rsidRPr="009C222D" w:rsidRDefault="00F02B68" w:rsidP="004956C2">
            <w:pPr>
              <w:spacing w:line="276" w:lineRule="auto"/>
              <w:jc w:val="both"/>
              <w:rPr>
                <w:rFonts w:eastAsia="Times New Roman" w:cs="Times New Roman"/>
                <w:bCs/>
                <w:sz w:val="24"/>
                <w:szCs w:val="24"/>
                <w:lang w:eastAsia="en-GB"/>
              </w:rPr>
            </w:pPr>
          </w:p>
        </w:tc>
        <w:tc>
          <w:tcPr>
            <w:tcW w:w="1701" w:type="dxa"/>
            <w:tcBorders>
              <w:top w:val="nil"/>
              <w:left w:val="nil"/>
              <w:bottom w:val="nil"/>
              <w:right w:val="nil"/>
            </w:tcBorders>
            <w:vAlign w:val="bottom"/>
          </w:tcPr>
          <w:p w:rsidR="00F02B68" w:rsidRPr="009C222D" w:rsidRDefault="00F02B68" w:rsidP="004956C2">
            <w:pPr>
              <w:spacing w:line="276" w:lineRule="auto"/>
              <w:jc w:val="both"/>
              <w:rPr>
                <w:rFonts w:eastAsia="Times New Roman" w:cs="Times New Roman"/>
                <w:sz w:val="24"/>
                <w:szCs w:val="24"/>
                <w:lang w:eastAsia="en-GB"/>
              </w:rPr>
            </w:pPr>
            <w:r w:rsidRPr="009C222D">
              <w:rPr>
                <w:rFonts w:eastAsia="Times New Roman" w:cs="Times New Roman"/>
                <w:bCs/>
                <w:sz w:val="24"/>
                <w:szCs w:val="24"/>
                <w:lang w:eastAsia="en-GB"/>
              </w:rPr>
              <w:t>-0.031796</w:t>
            </w:r>
          </w:p>
        </w:tc>
        <w:tc>
          <w:tcPr>
            <w:tcW w:w="1276" w:type="dxa"/>
            <w:tcBorders>
              <w:top w:val="nil"/>
              <w:left w:val="nil"/>
              <w:bottom w:val="nil"/>
              <w:right w:val="nil"/>
            </w:tcBorders>
            <w:vAlign w:val="bottom"/>
          </w:tcPr>
          <w:p w:rsidR="00F02B68" w:rsidRPr="009C222D" w:rsidRDefault="00F02B68" w:rsidP="004956C2">
            <w:pPr>
              <w:spacing w:line="276" w:lineRule="auto"/>
              <w:jc w:val="both"/>
              <w:rPr>
                <w:rFonts w:eastAsia="Times New Roman" w:cs="Times New Roman"/>
                <w:sz w:val="24"/>
                <w:szCs w:val="24"/>
                <w:lang w:eastAsia="en-GB"/>
              </w:rPr>
            </w:pPr>
            <w:r w:rsidRPr="009C222D">
              <w:rPr>
                <w:rFonts w:eastAsia="Times New Roman" w:cs="Times New Roman"/>
                <w:sz w:val="24"/>
                <w:szCs w:val="24"/>
                <w:lang w:eastAsia="en-GB"/>
              </w:rPr>
              <w:t>0.007840</w:t>
            </w:r>
          </w:p>
        </w:tc>
        <w:tc>
          <w:tcPr>
            <w:tcW w:w="1417" w:type="dxa"/>
            <w:tcBorders>
              <w:top w:val="nil"/>
              <w:left w:val="nil"/>
              <w:bottom w:val="nil"/>
              <w:right w:val="nil"/>
            </w:tcBorders>
            <w:vAlign w:val="bottom"/>
          </w:tcPr>
          <w:p w:rsidR="00F02B68" w:rsidRPr="009C222D" w:rsidRDefault="00F02B68" w:rsidP="004956C2">
            <w:pPr>
              <w:spacing w:line="276" w:lineRule="auto"/>
              <w:jc w:val="both"/>
              <w:rPr>
                <w:rFonts w:eastAsia="Times New Roman" w:cs="Times New Roman"/>
                <w:sz w:val="24"/>
                <w:szCs w:val="24"/>
                <w:lang w:eastAsia="en-GB"/>
              </w:rPr>
            </w:pPr>
            <w:r w:rsidRPr="009C222D">
              <w:rPr>
                <w:rFonts w:eastAsia="Times New Roman" w:cs="Times New Roman"/>
                <w:sz w:val="24"/>
                <w:szCs w:val="24"/>
                <w:lang w:eastAsia="en-GB"/>
              </w:rPr>
              <w:t>-4.055711*</w:t>
            </w:r>
          </w:p>
        </w:tc>
        <w:tc>
          <w:tcPr>
            <w:tcW w:w="1134" w:type="dxa"/>
            <w:tcBorders>
              <w:top w:val="nil"/>
              <w:left w:val="nil"/>
              <w:bottom w:val="nil"/>
              <w:right w:val="nil"/>
            </w:tcBorders>
            <w:vAlign w:val="bottom"/>
          </w:tcPr>
          <w:p w:rsidR="00F02B68" w:rsidRPr="009C222D" w:rsidRDefault="00F02B68" w:rsidP="004956C2">
            <w:pPr>
              <w:spacing w:line="276" w:lineRule="auto"/>
              <w:jc w:val="both"/>
              <w:rPr>
                <w:rFonts w:eastAsia="Times New Roman" w:cs="Times New Roman"/>
                <w:sz w:val="24"/>
                <w:szCs w:val="24"/>
                <w:lang w:eastAsia="en-GB"/>
              </w:rPr>
            </w:pPr>
            <w:r w:rsidRPr="009C222D">
              <w:rPr>
                <w:rFonts w:eastAsia="Times New Roman" w:cs="Times New Roman"/>
                <w:sz w:val="24"/>
                <w:szCs w:val="24"/>
                <w:lang w:eastAsia="en-GB"/>
              </w:rPr>
              <w:t>1.651629</w:t>
            </w:r>
          </w:p>
        </w:tc>
      </w:tr>
      <w:tr w:rsidR="00F02B68" w:rsidRPr="009C222D" w:rsidTr="004956C2">
        <w:tc>
          <w:tcPr>
            <w:tcW w:w="2268" w:type="dxa"/>
            <w:tcBorders>
              <w:top w:val="nil"/>
              <w:left w:val="nil"/>
              <w:bottom w:val="nil"/>
              <w:right w:val="nil"/>
            </w:tcBorders>
          </w:tcPr>
          <w:p w:rsidR="00F02B68" w:rsidRPr="009C222D" w:rsidRDefault="00F02B68" w:rsidP="004956C2">
            <w:pPr>
              <w:spacing w:line="276" w:lineRule="auto"/>
              <w:jc w:val="both"/>
              <w:rPr>
                <w:rFonts w:cs="Times New Roman"/>
                <w:sz w:val="24"/>
                <w:szCs w:val="24"/>
              </w:rPr>
            </w:pPr>
            <w:r w:rsidRPr="009C222D">
              <w:rPr>
                <w:rFonts w:cs="Times New Roman"/>
                <w:sz w:val="24"/>
                <w:szCs w:val="24"/>
              </w:rPr>
              <w:t>LONE PARENT</w:t>
            </w:r>
          </w:p>
        </w:tc>
        <w:tc>
          <w:tcPr>
            <w:tcW w:w="1701" w:type="dxa"/>
            <w:tcBorders>
              <w:top w:val="nil"/>
              <w:left w:val="nil"/>
              <w:bottom w:val="nil"/>
              <w:right w:val="nil"/>
            </w:tcBorders>
          </w:tcPr>
          <w:p w:rsidR="00F02B68" w:rsidRPr="009C222D" w:rsidRDefault="00F02B68" w:rsidP="004956C2">
            <w:pPr>
              <w:spacing w:line="276" w:lineRule="auto"/>
              <w:jc w:val="both"/>
              <w:rPr>
                <w:rFonts w:eastAsia="Times New Roman" w:cs="Times New Roman"/>
                <w:sz w:val="24"/>
                <w:szCs w:val="24"/>
                <w:lang w:eastAsia="en-GB"/>
              </w:rPr>
            </w:pPr>
            <w:r w:rsidRPr="009C222D">
              <w:rPr>
                <w:rFonts w:eastAsia="Times New Roman" w:cs="Times New Roman"/>
                <w:bCs/>
                <w:sz w:val="24"/>
                <w:szCs w:val="24"/>
                <w:lang w:eastAsia="en-GB"/>
              </w:rPr>
              <w:t>0.056805</w:t>
            </w:r>
          </w:p>
        </w:tc>
        <w:tc>
          <w:tcPr>
            <w:tcW w:w="1276" w:type="dxa"/>
            <w:tcBorders>
              <w:top w:val="nil"/>
              <w:left w:val="nil"/>
              <w:bottom w:val="nil"/>
              <w:right w:val="nil"/>
            </w:tcBorders>
          </w:tcPr>
          <w:p w:rsidR="00F02B68" w:rsidRPr="009C222D" w:rsidRDefault="00F02B68" w:rsidP="004956C2">
            <w:pPr>
              <w:spacing w:line="276" w:lineRule="auto"/>
              <w:jc w:val="both"/>
              <w:rPr>
                <w:rFonts w:eastAsia="Times New Roman" w:cs="Times New Roman"/>
                <w:sz w:val="24"/>
                <w:szCs w:val="24"/>
                <w:lang w:eastAsia="en-GB"/>
              </w:rPr>
            </w:pPr>
            <w:r w:rsidRPr="009C222D">
              <w:rPr>
                <w:rFonts w:eastAsia="Times New Roman" w:cs="Times New Roman"/>
                <w:sz w:val="24"/>
                <w:szCs w:val="24"/>
                <w:lang w:eastAsia="en-GB"/>
              </w:rPr>
              <w:t>0.007185</w:t>
            </w:r>
          </w:p>
        </w:tc>
        <w:tc>
          <w:tcPr>
            <w:tcW w:w="1559" w:type="dxa"/>
            <w:tcBorders>
              <w:top w:val="nil"/>
              <w:left w:val="nil"/>
              <w:bottom w:val="nil"/>
              <w:right w:val="nil"/>
            </w:tcBorders>
          </w:tcPr>
          <w:p w:rsidR="00F02B68" w:rsidRPr="009C222D" w:rsidRDefault="00F02B68" w:rsidP="004956C2">
            <w:pPr>
              <w:spacing w:line="276" w:lineRule="auto"/>
              <w:jc w:val="both"/>
              <w:rPr>
                <w:rFonts w:eastAsia="Times New Roman" w:cs="Times New Roman"/>
                <w:sz w:val="24"/>
                <w:szCs w:val="24"/>
                <w:lang w:eastAsia="en-GB"/>
              </w:rPr>
            </w:pPr>
            <w:r w:rsidRPr="009C222D">
              <w:rPr>
                <w:rFonts w:eastAsia="Times New Roman" w:cs="Times New Roman"/>
                <w:sz w:val="24"/>
                <w:szCs w:val="24"/>
                <w:lang w:eastAsia="en-GB"/>
              </w:rPr>
              <w:t>7.906306*</w:t>
            </w:r>
          </w:p>
        </w:tc>
        <w:tc>
          <w:tcPr>
            <w:tcW w:w="1276" w:type="dxa"/>
            <w:tcBorders>
              <w:top w:val="nil"/>
              <w:left w:val="nil"/>
              <w:bottom w:val="nil"/>
              <w:right w:val="nil"/>
            </w:tcBorders>
          </w:tcPr>
          <w:p w:rsidR="00F02B68" w:rsidRPr="009C222D" w:rsidRDefault="00F02B68" w:rsidP="004956C2">
            <w:pPr>
              <w:spacing w:line="276" w:lineRule="auto"/>
              <w:jc w:val="both"/>
              <w:rPr>
                <w:rFonts w:eastAsia="Times New Roman" w:cs="Times New Roman"/>
                <w:sz w:val="24"/>
                <w:szCs w:val="24"/>
                <w:lang w:eastAsia="en-GB"/>
              </w:rPr>
            </w:pPr>
            <w:r w:rsidRPr="009C222D">
              <w:rPr>
                <w:rFonts w:eastAsia="Times New Roman" w:cs="Times New Roman"/>
                <w:sz w:val="24"/>
                <w:szCs w:val="24"/>
                <w:lang w:eastAsia="en-GB"/>
              </w:rPr>
              <w:t>2.121714 </w:t>
            </w:r>
          </w:p>
        </w:tc>
        <w:tc>
          <w:tcPr>
            <w:tcW w:w="425" w:type="dxa"/>
            <w:vMerge/>
            <w:tcBorders>
              <w:left w:val="nil"/>
              <w:bottom w:val="single" w:sz="4" w:space="0" w:color="auto"/>
              <w:right w:val="nil"/>
            </w:tcBorders>
          </w:tcPr>
          <w:p w:rsidR="00F02B68" w:rsidRPr="009C222D" w:rsidRDefault="00F02B68" w:rsidP="004956C2">
            <w:pPr>
              <w:spacing w:line="276" w:lineRule="auto"/>
              <w:jc w:val="both"/>
              <w:rPr>
                <w:rFonts w:eastAsia="Times New Roman" w:cs="Times New Roman"/>
                <w:bCs/>
                <w:sz w:val="24"/>
                <w:szCs w:val="24"/>
                <w:lang w:eastAsia="en-GB"/>
              </w:rPr>
            </w:pPr>
          </w:p>
        </w:tc>
        <w:tc>
          <w:tcPr>
            <w:tcW w:w="1701" w:type="dxa"/>
            <w:tcBorders>
              <w:top w:val="nil"/>
              <w:left w:val="nil"/>
              <w:bottom w:val="nil"/>
              <w:right w:val="nil"/>
            </w:tcBorders>
            <w:vAlign w:val="bottom"/>
          </w:tcPr>
          <w:p w:rsidR="00F02B68" w:rsidRPr="009C222D" w:rsidRDefault="00F02B68" w:rsidP="004956C2">
            <w:pPr>
              <w:spacing w:line="276" w:lineRule="auto"/>
              <w:jc w:val="both"/>
              <w:rPr>
                <w:rFonts w:eastAsia="Times New Roman" w:cs="Times New Roman"/>
                <w:sz w:val="24"/>
                <w:szCs w:val="24"/>
                <w:lang w:eastAsia="en-GB"/>
              </w:rPr>
            </w:pPr>
            <w:r w:rsidRPr="009C222D">
              <w:rPr>
                <w:rFonts w:eastAsia="Times New Roman" w:cs="Times New Roman"/>
                <w:bCs/>
                <w:sz w:val="24"/>
                <w:szCs w:val="24"/>
                <w:lang w:eastAsia="en-GB"/>
              </w:rPr>
              <w:t>-0.014179</w:t>
            </w:r>
          </w:p>
        </w:tc>
        <w:tc>
          <w:tcPr>
            <w:tcW w:w="1276" w:type="dxa"/>
            <w:tcBorders>
              <w:top w:val="nil"/>
              <w:left w:val="nil"/>
              <w:bottom w:val="nil"/>
              <w:right w:val="nil"/>
            </w:tcBorders>
            <w:vAlign w:val="bottom"/>
          </w:tcPr>
          <w:p w:rsidR="00F02B68" w:rsidRPr="009C222D" w:rsidRDefault="00F02B68" w:rsidP="004956C2">
            <w:pPr>
              <w:spacing w:line="276" w:lineRule="auto"/>
              <w:jc w:val="both"/>
              <w:rPr>
                <w:rFonts w:eastAsia="Times New Roman" w:cs="Times New Roman"/>
                <w:sz w:val="24"/>
                <w:szCs w:val="24"/>
                <w:lang w:eastAsia="en-GB"/>
              </w:rPr>
            </w:pPr>
            <w:r w:rsidRPr="009C222D">
              <w:rPr>
                <w:rFonts w:eastAsia="Times New Roman" w:cs="Times New Roman"/>
                <w:sz w:val="24"/>
                <w:szCs w:val="24"/>
                <w:lang w:eastAsia="en-GB"/>
              </w:rPr>
              <w:t>0.007872</w:t>
            </w:r>
          </w:p>
        </w:tc>
        <w:tc>
          <w:tcPr>
            <w:tcW w:w="1417" w:type="dxa"/>
            <w:tcBorders>
              <w:top w:val="nil"/>
              <w:left w:val="nil"/>
              <w:bottom w:val="nil"/>
              <w:right w:val="nil"/>
            </w:tcBorders>
            <w:vAlign w:val="bottom"/>
          </w:tcPr>
          <w:p w:rsidR="00F02B68" w:rsidRPr="009C222D" w:rsidRDefault="00F02B68" w:rsidP="004956C2">
            <w:pPr>
              <w:spacing w:line="276" w:lineRule="auto"/>
              <w:jc w:val="both"/>
              <w:rPr>
                <w:rFonts w:eastAsia="Times New Roman" w:cs="Times New Roman"/>
                <w:sz w:val="24"/>
                <w:szCs w:val="24"/>
                <w:lang w:eastAsia="en-GB"/>
              </w:rPr>
            </w:pPr>
            <w:r w:rsidRPr="009C222D">
              <w:rPr>
                <w:rFonts w:eastAsia="Times New Roman" w:cs="Times New Roman"/>
                <w:sz w:val="24"/>
                <w:szCs w:val="24"/>
                <w:lang w:eastAsia="en-GB"/>
              </w:rPr>
              <w:t>-1.81188*</w:t>
            </w:r>
          </w:p>
        </w:tc>
        <w:tc>
          <w:tcPr>
            <w:tcW w:w="1134" w:type="dxa"/>
            <w:tcBorders>
              <w:top w:val="nil"/>
              <w:left w:val="nil"/>
              <w:bottom w:val="nil"/>
              <w:right w:val="nil"/>
            </w:tcBorders>
            <w:vAlign w:val="bottom"/>
          </w:tcPr>
          <w:p w:rsidR="00F02B68" w:rsidRPr="009C222D" w:rsidRDefault="00F02B68" w:rsidP="004956C2">
            <w:pPr>
              <w:spacing w:line="276" w:lineRule="auto"/>
              <w:jc w:val="both"/>
              <w:rPr>
                <w:rFonts w:eastAsia="Times New Roman" w:cs="Times New Roman"/>
                <w:sz w:val="24"/>
                <w:szCs w:val="24"/>
                <w:lang w:eastAsia="en-GB"/>
              </w:rPr>
            </w:pPr>
            <w:r w:rsidRPr="009C222D">
              <w:rPr>
                <w:rFonts w:eastAsia="Times New Roman" w:cs="Times New Roman"/>
                <w:sz w:val="24"/>
                <w:szCs w:val="24"/>
                <w:lang w:eastAsia="en-GB"/>
              </w:rPr>
              <w:t>2.121714</w:t>
            </w:r>
          </w:p>
        </w:tc>
      </w:tr>
      <w:tr w:rsidR="00F02B68" w:rsidRPr="009C222D" w:rsidTr="004956C2">
        <w:tc>
          <w:tcPr>
            <w:tcW w:w="2268" w:type="dxa"/>
            <w:tcBorders>
              <w:top w:val="nil"/>
              <w:left w:val="nil"/>
              <w:bottom w:val="nil"/>
              <w:right w:val="nil"/>
            </w:tcBorders>
          </w:tcPr>
          <w:p w:rsidR="00F02B68" w:rsidRPr="009C222D" w:rsidRDefault="00F02B68" w:rsidP="004956C2">
            <w:pPr>
              <w:spacing w:line="276" w:lineRule="auto"/>
              <w:jc w:val="both"/>
              <w:rPr>
                <w:rFonts w:cs="Times New Roman"/>
                <w:sz w:val="24"/>
                <w:szCs w:val="24"/>
              </w:rPr>
            </w:pPr>
            <w:r w:rsidRPr="009C222D">
              <w:rPr>
                <w:rFonts w:cs="Times New Roman"/>
                <w:sz w:val="24"/>
                <w:szCs w:val="24"/>
              </w:rPr>
              <w:t>PRIVATE RENT</w:t>
            </w:r>
          </w:p>
        </w:tc>
        <w:tc>
          <w:tcPr>
            <w:tcW w:w="1701" w:type="dxa"/>
            <w:tcBorders>
              <w:top w:val="nil"/>
              <w:left w:val="nil"/>
              <w:bottom w:val="nil"/>
              <w:right w:val="nil"/>
            </w:tcBorders>
          </w:tcPr>
          <w:p w:rsidR="00F02B68" w:rsidRPr="009C222D" w:rsidRDefault="00F02B68" w:rsidP="004956C2">
            <w:pPr>
              <w:spacing w:line="276" w:lineRule="auto"/>
              <w:jc w:val="both"/>
              <w:rPr>
                <w:rFonts w:eastAsia="Times New Roman" w:cs="Times New Roman"/>
                <w:sz w:val="24"/>
                <w:szCs w:val="24"/>
                <w:lang w:eastAsia="en-GB"/>
              </w:rPr>
            </w:pPr>
            <w:r w:rsidRPr="009C222D">
              <w:rPr>
                <w:rFonts w:eastAsia="Times New Roman" w:cs="Times New Roman"/>
                <w:bCs/>
                <w:sz w:val="24"/>
                <w:szCs w:val="24"/>
                <w:lang w:eastAsia="en-GB"/>
              </w:rPr>
              <w:t>0.253467</w:t>
            </w:r>
          </w:p>
        </w:tc>
        <w:tc>
          <w:tcPr>
            <w:tcW w:w="1276" w:type="dxa"/>
            <w:tcBorders>
              <w:top w:val="nil"/>
              <w:left w:val="nil"/>
              <w:bottom w:val="nil"/>
              <w:right w:val="nil"/>
            </w:tcBorders>
          </w:tcPr>
          <w:p w:rsidR="00F02B68" w:rsidRPr="009C222D" w:rsidRDefault="00F02B68" w:rsidP="004956C2">
            <w:pPr>
              <w:spacing w:line="276" w:lineRule="auto"/>
              <w:jc w:val="both"/>
              <w:rPr>
                <w:rFonts w:eastAsia="Times New Roman" w:cs="Times New Roman"/>
                <w:sz w:val="24"/>
                <w:szCs w:val="24"/>
                <w:lang w:eastAsia="en-GB"/>
              </w:rPr>
            </w:pPr>
            <w:r w:rsidRPr="009C222D">
              <w:rPr>
                <w:rFonts w:eastAsia="Times New Roman" w:cs="Times New Roman"/>
                <w:sz w:val="24"/>
                <w:szCs w:val="24"/>
                <w:lang w:eastAsia="en-GB"/>
              </w:rPr>
              <w:t>0.004794</w:t>
            </w:r>
          </w:p>
        </w:tc>
        <w:tc>
          <w:tcPr>
            <w:tcW w:w="1559" w:type="dxa"/>
            <w:tcBorders>
              <w:top w:val="nil"/>
              <w:left w:val="nil"/>
              <w:bottom w:val="nil"/>
              <w:right w:val="nil"/>
            </w:tcBorders>
          </w:tcPr>
          <w:p w:rsidR="00F02B68" w:rsidRPr="009C222D" w:rsidRDefault="00F02B68" w:rsidP="004956C2">
            <w:pPr>
              <w:spacing w:line="276" w:lineRule="auto"/>
              <w:jc w:val="both"/>
              <w:rPr>
                <w:rFonts w:eastAsia="Times New Roman" w:cs="Times New Roman"/>
                <w:sz w:val="24"/>
                <w:szCs w:val="24"/>
                <w:lang w:eastAsia="en-GB"/>
              </w:rPr>
            </w:pPr>
            <w:r w:rsidRPr="009C222D">
              <w:rPr>
                <w:rFonts w:eastAsia="Times New Roman" w:cs="Times New Roman"/>
                <w:sz w:val="24"/>
                <w:szCs w:val="24"/>
                <w:lang w:eastAsia="en-GB"/>
              </w:rPr>
              <w:t>52.867880*</w:t>
            </w:r>
          </w:p>
        </w:tc>
        <w:tc>
          <w:tcPr>
            <w:tcW w:w="1276" w:type="dxa"/>
            <w:tcBorders>
              <w:top w:val="nil"/>
              <w:left w:val="nil"/>
              <w:bottom w:val="nil"/>
              <w:right w:val="nil"/>
            </w:tcBorders>
          </w:tcPr>
          <w:p w:rsidR="00F02B68" w:rsidRPr="009C222D" w:rsidRDefault="00F02B68" w:rsidP="004956C2">
            <w:pPr>
              <w:spacing w:line="276" w:lineRule="auto"/>
              <w:jc w:val="both"/>
              <w:rPr>
                <w:rFonts w:eastAsia="Times New Roman" w:cs="Times New Roman"/>
                <w:sz w:val="24"/>
                <w:szCs w:val="24"/>
                <w:lang w:eastAsia="en-GB"/>
              </w:rPr>
            </w:pPr>
            <w:r w:rsidRPr="009C222D">
              <w:rPr>
                <w:rFonts w:eastAsia="Times New Roman" w:cs="Times New Roman"/>
                <w:sz w:val="24"/>
                <w:szCs w:val="24"/>
                <w:lang w:eastAsia="en-GB"/>
              </w:rPr>
              <w:t>1.511060 </w:t>
            </w:r>
          </w:p>
        </w:tc>
        <w:tc>
          <w:tcPr>
            <w:tcW w:w="425" w:type="dxa"/>
            <w:vMerge/>
            <w:tcBorders>
              <w:left w:val="nil"/>
              <w:bottom w:val="nil"/>
              <w:right w:val="nil"/>
            </w:tcBorders>
          </w:tcPr>
          <w:p w:rsidR="00F02B68" w:rsidRPr="009C222D" w:rsidRDefault="00F02B68" w:rsidP="004956C2">
            <w:pPr>
              <w:spacing w:line="276" w:lineRule="auto"/>
              <w:jc w:val="both"/>
              <w:rPr>
                <w:rFonts w:eastAsia="Times New Roman" w:cs="Times New Roman"/>
                <w:bCs/>
                <w:sz w:val="24"/>
                <w:szCs w:val="24"/>
                <w:lang w:eastAsia="en-GB"/>
              </w:rPr>
            </w:pPr>
          </w:p>
        </w:tc>
        <w:tc>
          <w:tcPr>
            <w:tcW w:w="1701" w:type="dxa"/>
            <w:tcBorders>
              <w:top w:val="nil"/>
              <w:left w:val="nil"/>
              <w:bottom w:val="nil"/>
              <w:right w:val="nil"/>
            </w:tcBorders>
            <w:vAlign w:val="bottom"/>
          </w:tcPr>
          <w:p w:rsidR="00F02B68" w:rsidRPr="009C222D" w:rsidRDefault="00F02B68" w:rsidP="004956C2">
            <w:pPr>
              <w:spacing w:line="276" w:lineRule="auto"/>
              <w:jc w:val="both"/>
              <w:rPr>
                <w:rFonts w:eastAsia="Times New Roman" w:cs="Times New Roman"/>
                <w:sz w:val="24"/>
                <w:szCs w:val="24"/>
                <w:lang w:eastAsia="en-GB"/>
              </w:rPr>
            </w:pPr>
            <w:r w:rsidRPr="009C222D">
              <w:rPr>
                <w:rFonts w:eastAsia="Times New Roman" w:cs="Times New Roman"/>
                <w:bCs/>
                <w:sz w:val="24"/>
                <w:szCs w:val="24"/>
                <w:lang w:eastAsia="en-GB"/>
              </w:rPr>
              <w:t>0.163514</w:t>
            </w:r>
          </w:p>
        </w:tc>
        <w:tc>
          <w:tcPr>
            <w:tcW w:w="1276" w:type="dxa"/>
            <w:tcBorders>
              <w:top w:val="nil"/>
              <w:left w:val="nil"/>
              <w:bottom w:val="nil"/>
              <w:right w:val="nil"/>
            </w:tcBorders>
            <w:vAlign w:val="bottom"/>
          </w:tcPr>
          <w:p w:rsidR="00F02B68" w:rsidRPr="009C222D" w:rsidRDefault="00F02B68" w:rsidP="004956C2">
            <w:pPr>
              <w:spacing w:line="276" w:lineRule="auto"/>
              <w:jc w:val="both"/>
              <w:rPr>
                <w:rFonts w:eastAsia="Times New Roman" w:cs="Times New Roman"/>
                <w:sz w:val="24"/>
                <w:szCs w:val="24"/>
                <w:lang w:eastAsia="en-GB"/>
              </w:rPr>
            </w:pPr>
            <w:r w:rsidRPr="009C222D">
              <w:rPr>
                <w:rFonts w:eastAsia="Times New Roman" w:cs="Times New Roman"/>
                <w:sz w:val="24"/>
                <w:szCs w:val="24"/>
                <w:lang w:eastAsia="en-GB"/>
              </w:rPr>
              <w:t>0.005253</w:t>
            </w:r>
          </w:p>
        </w:tc>
        <w:tc>
          <w:tcPr>
            <w:tcW w:w="1417" w:type="dxa"/>
            <w:tcBorders>
              <w:top w:val="nil"/>
              <w:left w:val="nil"/>
              <w:bottom w:val="nil"/>
              <w:right w:val="nil"/>
            </w:tcBorders>
            <w:vAlign w:val="bottom"/>
          </w:tcPr>
          <w:p w:rsidR="00F02B68" w:rsidRPr="009C222D" w:rsidRDefault="00F02B68" w:rsidP="004956C2">
            <w:pPr>
              <w:spacing w:line="276" w:lineRule="auto"/>
              <w:jc w:val="both"/>
              <w:rPr>
                <w:rFonts w:eastAsia="Times New Roman" w:cs="Times New Roman"/>
                <w:sz w:val="24"/>
                <w:szCs w:val="24"/>
                <w:lang w:eastAsia="en-GB"/>
              </w:rPr>
            </w:pPr>
            <w:r w:rsidRPr="009C222D">
              <w:rPr>
                <w:rFonts w:eastAsia="Times New Roman" w:cs="Times New Roman"/>
                <w:sz w:val="24"/>
                <w:szCs w:val="24"/>
                <w:lang w:eastAsia="en-GB"/>
              </w:rPr>
              <w:t>31.127402*</w:t>
            </w:r>
          </w:p>
        </w:tc>
        <w:tc>
          <w:tcPr>
            <w:tcW w:w="1134" w:type="dxa"/>
            <w:tcBorders>
              <w:top w:val="nil"/>
              <w:left w:val="nil"/>
              <w:bottom w:val="nil"/>
              <w:right w:val="nil"/>
            </w:tcBorders>
            <w:vAlign w:val="bottom"/>
          </w:tcPr>
          <w:p w:rsidR="00F02B68" w:rsidRPr="009C222D" w:rsidRDefault="00F02B68" w:rsidP="004956C2">
            <w:pPr>
              <w:spacing w:line="276" w:lineRule="auto"/>
              <w:jc w:val="both"/>
              <w:rPr>
                <w:rFonts w:eastAsia="Times New Roman" w:cs="Times New Roman"/>
                <w:sz w:val="24"/>
                <w:szCs w:val="24"/>
                <w:lang w:eastAsia="en-GB"/>
              </w:rPr>
            </w:pPr>
            <w:r w:rsidRPr="009C222D">
              <w:rPr>
                <w:rFonts w:eastAsia="Times New Roman" w:cs="Times New Roman"/>
                <w:sz w:val="24"/>
                <w:szCs w:val="24"/>
                <w:lang w:eastAsia="en-GB"/>
              </w:rPr>
              <w:t>1.511060</w:t>
            </w:r>
          </w:p>
        </w:tc>
      </w:tr>
      <w:tr w:rsidR="00F02B68" w:rsidRPr="009C222D" w:rsidTr="004956C2">
        <w:tc>
          <w:tcPr>
            <w:tcW w:w="2268" w:type="dxa"/>
            <w:tcBorders>
              <w:top w:val="nil"/>
              <w:left w:val="nil"/>
              <w:bottom w:val="nil"/>
              <w:right w:val="nil"/>
            </w:tcBorders>
          </w:tcPr>
          <w:p w:rsidR="00F02B68" w:rsidRPr="009C222D" w:rsidRDefault="00F02B68" w:rsidP="004956C2">
            <w:pPr>
              <w:spacing w:line="276" w:lineRule="auto"/>
              <w:jc w:val="both"/>
              <w:rPr>
                <w:rFonts w:cs="Times New Roman"/>
                <w:sz w:val="24"/>
                <w:szCs w:val="24"/>
              </w:rPr>
            </w:pPr>
            <w:r w:rsidRPr="009C222D">
              <w:rPr>
                <w:rFonts w:cs="Times New Roman"/>
                <w:sz w:val="24"/>
                <w:szCs w:val="24"/>
              </w:rPr>
              <w:t>NON GAS</w:t>
            </w:r>
          </w:p>
        </w:tc>
        <w:tc>
          <w:tcPr>
            <w:tcW w:w="1701" w:type="dxa"/>
            <w:tcBorders>
              <w:top w:val="nil"/>
              <w:left w:val="nil"/>
              <w:bottom w:val="nil"/>
              <w:right w:val="nil"/>
            </w:tcBorders>
          </w:tcPr>
          <w:p w:rsidR="00F02B68" w:rsidRPr="009C222D" w:rsidRDefault="00F02B68" w:rsidP="004956C2">
            <w:pPr>
              <w:spacing w:line="276" w:lineRule="auto"/>
              <w:jc w:val="both"/>
              <w:rPr>
                <w:rFonts w:eastAsia="Times New Roman" w:cs="Times New Roman"/>
                <w:sz w:val="24"/>
                <w:szCs w:val="24"/>
                <w:lang w:eastAsia="en-GB"/>
              </w:rPr>
            </w:pPr>
            <w:r w:rsidRPr="009C222D">
              <w:rPr>
                <w:rFonts w:eastAsia="Times New Roman" w:cs="Times New Roman"/>
                <w:bCs/>
                <w:sz w:val="24"/>
                <w:szCs w:val="24"/>
                <w:lang w:eastAsia="en-GB"/>
              </w:rPr>
              <w:t>0.064383</w:t>
            </w:r>
          </w:p>
        </w:tc>
        <w:tc>
          <w:tcPr>
            <w:tcW w:w="1276" w:type="dxa"/>
            <w:tcBorders>
              <w:top w:val="nil"/>
              <w:left w:val="nil"/>
              <w:bottom w:val="nil"/>
              <w:right w:val="nil"/>
            </w:tcBorders>
          </w:tcPr>
          <w:p w:rsidR="00F02B68" w:rsidRPr="009C222D" w:rsidRDefault="00F02B68" w:rsidP="004956C2">
            <w:pPr>
              <w:spacing w:line="276" w:lineRule="auto"/>
              <w:jc w:val="both"/>
              <w:rPr>
                <w:rFonts w:eastAsia="Times New Roman" w:cs="Times New Roman"/>
                <w:sz w:val="24"/>
                <w:szCs w:val="24"/>
                <w:lang w:eastAsia="en-GB"/>
              </w:rPr>
            </w:pPr>
            <w:r w:rsidRPr="009C222D">
              <w:rPr>
                <w:rFonts w:eastAsia="Times New Roman" w:cs="Times New Roman"/>
                <w:sz w:val="24"/>
                <w:szCs w:val="24"/>
                <w:lang w:eastAsia="en-GB"/>
              </w:rPr>
              <w:t>0.002879</w:t>
            </w:r>
          </w:p>
        </w:tc>
        <w:tc>
          <w:tcPr>
            <w:tcW w:w="1559" w:type="dxa"/>
            <w:tcBorders>
              <w:top w:val="nil"/>
              <w:left w:val="nil"/>
              <w:bottom w:val="nil"/>
              <w:right w:val="nil"/>
            </w:tcBorders>
          </w:tcPr>
          <w:p w:rsidR="00F02B68" w:rsidRPr="009C222D" w:rsidRDefault="00F02B68" w:rsidP="004956C2">
            <w:pPr>
              <w:spacing w:line="276" w:lineRule="auto"/>
              <w:jc w:val="both"/>
              <w:rPr>
                <w:rFonts w:eastAsia="Times New Roman" w:cs="Times New Roman"/>
                <w:sz w:val="24"/>
                <w:szCs w:val="24"/>
                <w:lang w:eastAsia="en-GB"/>
              </w:rPr>
            </w:pPr>
            <w:r w:rsidRPr="009C222D">
              <w:rPr>
                <w:rFonts w:eastAsia="Times New Roman" w:cs="Times New Roman"/>
                <w:sz w:val="24"/>
                <w:szCs w:val="24"/>
                <w:lang w:eastAsia="en-GB"/>
              </w:rPr>
              <w:t>22.361189*</w:t>
            </w:r>
          </w:p>
        </w:tc>
        <w:tc>
          <w:tcPr>
            <w:tcW w:w="1276" w:type="dxa"/>
            <w:tcBorders>
              <w:top w:val="nil"/>
              <w:left w:val="nil"/>
              <w:bottom w:val="nil"/>
              <w:right w:val="nil"/>
            </w:tcBorders>
          </w:tcPr>
          <w:p w:rsidR="00F02B68" w:rsidRPr="009C222D" w:rsidRDefault="00F02B68" w:rsidP="004956C2">
            <w:pPr>
              <w:spacing w:line="276" w:lineRule="auto"/>
              <w:jc w:val="both"/>
              <w:rPr>
                <w:rFonts w:eastAsia="Times New Roman" w:cs="Times New Roman"/>
                <w:sz w:val="24"/>
                <w:szCs w:val="24"/>
                <w:lang w:eastAsia="en-GB"/>
              </w:rPr>
            </w:pPr>
            <w:r w:rsidRPr="009C222D">
              <w:rPr>
                <w:rFonts w:eastAsia="Times New Roman" w:cs="Times New Roman"/>
                <w:sz w:val="24"/>
                <w:szCs w:val="24"/>
                <w:lang w:eastAsia="en-GB"/>
              </w:rPr>
              <w:t>1.102838 </w:t>
            </w:r>
          </w:p>
        </w:tc>
        <w:tc>
          <w:tcPr>
            <w:tcW w:w="425" w:type="dxa"/>
            <w:vMerge/>
            <w:tcBorders>
              <w:top w:val="nil"/>
              <w:left w:val="nil"/>
              <w:bottom w:val="nil"/>
              <w:right w:val="nil"/>
            </w:tcBorders>
          </w:tcPr>
          <w:p w:rsidR="00F02B68" w:rsidRPr="009C222D" w:rsidRDefault="00F02B68" w:rsidP="004956C2">
            <w:pPr>
              <w:spacing w:line="276" w:lineRule="auto"/>
              <w:jc w:val="both"/>
              <w:rPr>
                <w:rFonts w:eastAsia="Times New Roman" w:cs="Times New Roman"/>
                <w:bCs/>
                <w:sz w:val="24"/>
                <w:szCs w:val="24"/>
                <w:lang w:eastAsia="en-GB"/>
              </w:rPr>
            </w:pPr>
          </w:p>
        </w:tc>
        <w:tc>
          <w:tcPr>
            <w:tcW w:w="1701" w:type="dxa"/>
            <w:tcBorders>
              <w:top w:val="nil"/>
              <w:left w:val="nil"/>
              <w:bottom w:val="nil"/>
              <w:right w:val="nil"/>
            </w:tcBorders>
            <w:vAlign w:val="bottom"/>
          </w:tcPr>
          <w:p w:rsidR="00F02B68" w:rsidRPr="009C222D" w:rsidRDefault="00F02B68" w:rsidP="004956C2">
            <w:pPr>
              <w:spacing w:line="276" w:lineRule="auto"/>
              <w:jc w:val="both"/>
              <w:rPr>
                <w:rFonts w:eastAsia="Times New Roman" w:cs="Times New Roman"/>
                <w:sz w:val="24"/>
                <w:szCs w:val="24"/>
                <w:lang w:eastAsia="en-GB"/>
              </w:rPr>
            </w:pPr>
            <w:r w:rsidRPr="009C222D">
              <w:rPr>
                <w:rFonts w:eastAsia="Times New Roman" w:cs="Times New Roman"/>
                <w:bCs/>
                <w:sz w:val="24"/>
                <w:szCs w:val="24"/>
                <w:lang w:eastAsia="en-GB"/>
              </w:rPr>
              <w:t>0.312323</w:t>
            </w:r>
          </w:p>
        </w:tc>
        <w:tc>
          <w:tcPr>
            <w:tcW w:w="1276" w:type="dxa"/>
            <w:tcBorders>
              <w:top w:val="nil"/>
              <w:left w:val="nil"/>
              <w:bottom w:val="nil"/>
              <w:right w:val="nil"/>
            </w:tcBorders>
            <w:vAlign w:val="bottom"/>
          </w:tcPr>
          <w:p w:rsidR="00F02B68" w:rsidRPr="009C222D" w:rsidRDefault="00F02B68" w:rsidP="004956C2">
            <w:pPr>
              <w:spacing w:line="276" w:lineRule="auto"/>
              <w:jc w:val="both"/>
              <w:rPr>
                <w:rFonts w:eastAsia="Times New Roman" w:cs="Times New Roman"/>
                <w:sz w:val="24"/>
                <w:szCs w:val="24"/>
                <w:lang w:eastAsia="en-GB"/>
              </w:rPr>
            </w:pPr>
            <w:r w:rsidRPr="009C222D">
              <w:rPr>
                <w:rFonts w:eastAsia="Times New Roman" w:cs="Times New Roman"/>
                <w:sz w:val="24"/>
                <w:szCs w:val="24"/>
                <w:lang w:eastAsia="en-GB"/>
              </w:rPr>
              <w:t>0.003155</w:t>
            </w:r>
          </w:p>
        </w:tc>
        <w:tc>
          <w:tcPr>
            <w:tcW w:w="1417" w:type="dxa"/>
            <w:tcBorders>
              <w:top w:val="nil"/>
              <w:left w:val="nil"/>
              <w:bottom w:val="nil"/>
              <w:right w:val="nil"/>
            </w:tcBorders>
            <w:vAlign w:val="bottom"/>
          </w:tcPr>
          <w:p w:rsidR="00F02B68" w:rsidRPr="009C222D" w:rsidRDefault="00F02B68" w:rsidP="004956C2">
            <w:pPr>
              <w:spacing w:line="276" w:lineRule="auto"/>
              <w:jc w:val="both"/>
              <w:rPr>
                <w:rFonts w:eastAsia="Times New Roman" w:cs="Times New Roman"/>
                <w:sz w:val="24"/>
                <w:szCs w:val="24"/>
                <w:lang w:eastAsia="en-GB"/>
              </w:rPr>
            </w:pPr>
            <w:r w:rsidRPr="009C222D">
              <w:rPr>
                <w:rFonts w:eastAsia="Times New Roman" w:cs="Times New Roman"/>
                <w:sz w:val="24"/>
                <w:szCs w:val="24"/>
                <w:lang w:eastAsia="en-GB"/>
              </w:rPr>
              <w:t>99.002216*</w:t>
            </w:r>
          </w:p>
        </w:tc>
        <w:tc>
          <w:tcPr>
            <w:tcW w:w="1134" w:type="dxa"/>
            <w:tcBorders>
              <w:top w:val="nil"/>
              <w:left w:val="nil"/>
              <w:bottom w:val="nil"/>
              <w:right w:val="nil"/>
            </w:tcBorders>
            <w:vAlign w:val="bottom"/>
          </w:tcPr>
          <w:p w:rsidR="00F02B68" w:rsidRPr="009C222D" w:rsidRDefault="00F02B68" w:rsidP="004956C2">
            <w:pPr>
              <w:spacing w:line="276" w:lineRule="auto"/>
              <w:jc w:val="both"/>
              <w:rPr>
                <w:rFonts w:eastAsia="Times New Roman" w:cs="Times New Roman"/>
                <w:sz w:val="24"/>
                <w:szCs w:val="24"/>
                <w:lang w:eastAsia="en-GB"/>
              </w:rPr>
            </w:pPr>
            <w:r w:rsidRPr="009C222D">
              <w:rPr>
                <w:rFonts w:eastAsia="Times New Roman" w:cs="Times New Roman"/>
                <w:sz w:val="24"/>
                <w:szCs w:val="24"/>
                <w:lang w:eastAsia="en-GB"/>
              </w:rPr>
              <w:t>1.102838</w:t>
            </w:r>
          </w:p>
        </w:tc>
      </w:tr>
      <w:tr w:rsidR="00F02B68" w:rsidRPr="009C222D" w:rsidTr="004956C2">
        <w:tc>
          <w:tcPr>
            <w:tcW w:w="2268" w:type="dxa"/>
            <w:tcBorders>
              <w:top w:val="nil"/>
              <w:left w:val="nil"/>
              <w:bottom w:val="single" w:sz="4" w:space="0" w:color="auto"/>
              <w:right w:val="nil"/>
            </w:tcBorders>
          </w:tcPr>
          <w:p w:rsidR="00F02B68" w:rsidRPr="009C222D" w:rsidRDefault="00F02B68" w:rsidP="004956C2">
            <w:pPr>
              <w:spacing w:before="240"/>
              <w:jc w:val="both"/>
              <w:rPr>
                <w:rFonts w:cs="Times New Roman"/>
                <w:sz w:val="2"/>
                <w:szCs w:val="24"/>
              </w:rPr>
            </w:pPr>
          </w:p>
        </w:tc>
        <w:tc>
          <w:tcPr>
            <w:tcW w:w="1701" w:type="dxa"/>
            <w:tcBorders>
              <w:top w:val="nil"/>
              <w:left w:val="nil"/>
              <w:bottom w:val="single" w:sz="4" w:space="0" w:color="auto"/>
              <w:right w:val="nil"/>
            </w:tcBorders>
          </w:tcPr>
          <w:p w:rsidR="00F02B68" w:rsidRPr="009C222D" w:rsidRDefault="00F02B68" w:rsidP="004956C2">
            <w:pPr>
              <w:spacing w:before="240"/>
              <w:jc w:val="both"/>
              <w:rPr>
                <w:rFonts w:eastAsia="Times New Roman" w:cs="Times New Roman"/>
                <w:bCs/>
                <w:sz w:val="2"/>
                <w:szCs w:val="24"/>
                <w:lang w:eastAsia="en-GB"/>
              </w:rPr>
            </w:pPr>
          </w:p>
        </w:tc>
        <w:tc>
          <w:tcPr>
            <w:tcW w:w="1276" w:type="dxa"/>
            <w:tcBorders>
              <w:top w:val="nil"/>
              <w:left w:val="nil"/>
              <w:bottom w:val="single" w:sz="4" w:space="0" w:color="auto"/>
              <w:right w:val="nil"/>
            </w:tcBorders>
          </w:tcPr>
          <w:p w:rsidR="00F02B68" w:rsidRPr="009C222D" w:rsidRDefault="00F02B68" w:rsidP="004956C2">
            <w:pPr>
              <w:spacing w:before="240"/>
              <w:jc w:val="both"/>
              <w:rPr>
                <w:rFonts w:eastAsia="Times New Roman" w:cs="Times New Roman"/>
                <w:sz w:val="2"/>
                <w:szCs w:val="24"/>
                <w:lang w:eastAsia="en-GB"/>
              </w:rPr>
            </w:pPr>
          </w:p>
        </w:tc>
        <w:tc>
          <w:tcPr>
            <w:tcW w:w="1559" w:type="dxa"/>
            <w:tcBorders>
              <w:top w:val="nil"/>
              <w:left w:val="nil"/>
              <w:bottom w:val="single" w:sz="4" w:space="0" w:color="auto"/>
              <w:right w:val="nil"/>
            </w:tcBorders>
          </w:tcPr>
          <w:p w:rsidR="00F02B68" w:rsidRPr="009C222D" w:rsidRDefault="00F02B68" w:rsidP="004956C2">
            <w:pPr>
              <w:spacing w:before="240"/>
              <w:jc w:val="both"/>
              <w:rPr>
                <w:rFonts w:eastAsia="Times New Roman" w:cs="Times New Roman"/>
                <w:sz w:val="2"/>
                <w:szCs w:val="24"/>
                <w:lang w:eastAsia="en-GB"/>
              </w:rPr>
            </w:pPr>
          </w:p>
        </w:tc>
        <w:tc>
          <w:tcPr>
            <w:tcW w:w="1276" w:type="dxa"/>
            <w:tcBorders>
              <w:top w:val="nil"/>
              <w:left w:val="nil"/>
              <w:bottom w:val="single" w:sz="4" w:space="0" w:color="auto"/>
              <w:right w:val="nil"/>
            </w:tcBorders>
          </w:tcPr>
          <w:p w:rsidR="00F02B68" w:rsidRPr="009C222D" w:rsidRDefault="00F02B68" w:rsidP="004956C2">
            <w:pPr>
              <w:spacing w:before="240"/>
              <w:jc w:val="both"/>
              <w:rPr>
                <w:rFonts w:eastAsia="Times New Roman" w:cs="Times New Roman"/>
                <w:sz w:val="2"/>
                <w:szCs w:val="24"/>
                <w:lang w:eastAsia="en-GB"/>
              </w:rPr>
            </w:pPr>
          </w:p>
        </w:tc>
        <w:tc>
          <w:tcPr>
            <w:tcW w:w="425" w:type="dxa"/>
            <w:tcBorders>
              <w:top w:val="nil"/>
              <w:left w:val="nil"/>
              <w:bottom w:val="single" w:sz="4" w:space="0" w:color="auto"/>
              <w:right w:val="nil"/>
            </w:tcBorders>
          </w:tcPr>
          <w:p w:rsidR="00F02B68" w:rsidRPr="009C222D" w:rsidRDefault="00F02B68" w:rsidP="004956C2">
            <w:pPr>
              <w:spacing w:before="240"/>
              <w:jc w:val="both"/>
              <w:rPr>
                <w:rFonts w:eastAsia="Times New Roman" w:cs="Times New Roman"/>
                <w:bCs/>
                <w:sz w:val="2"/>
                <w:szCs w:val="24"/>
                <w:lang w:eastAsia="en-GB"/>
              </w:rPr>
            </w:pPr>
          </w:p>
        </w:tc>
        <w:tc>
          <w:tcPr>
            <w:tcW w:w="1701" w:type="dxa"/>
            <w:tcBorders>
              <w:top w:val="nil"/>
              <w:left w:val="nil"/>
              <w:bottom w:val="single" w:sz="4" w:space="0" w:color="auto"/>
              <w:right w:val="nil"/>
            </w:tcBorders>
            <w:vAlign w:val="bottom"/>
          </w:tcPr>
          <w:p w:rsidR="00F02B68" w:rsidRPr="009C222D" w:rsidRDefault="00F02B68" w:rsidP="004956C2">
            <w:pPr>
              <w:spacing w:before="240"/>
              <w:jc w:val="both"/>
              <w:rPr>
                <w:rFonts w:eastAsia="Times New Roman" w:cs="Times New Roman"/>
                <w:bCs/>
                <w:sz w:val="2"/>
                <w:szCs w:val="24"/>
                <w:lang w:eastAsia="en-GB"/>
              </w:rPr>
            </w:pPr>
          </w:p>
        </w:tc>
        <w:tc>
          <w:tcPr>
            <w:tcW w:w="1276" w:type="dxa"/>
            <w:tcBorders>
              <w:top w:val="nil"/>
              <w:left w:val="nil"/>
              <w:bottom w:val="single" w:sz="4" w:space="0" w:color="auto"/>
              <w:right w:val="nil"/>
            </w:tcBorders>
            <w:vAlign w:val="bottom"/>
          </w:tcPr>
          <w:p w:rsidR="00F02B68" w:rsidRPr="009C222D" w:rsidRDefault="00F02B68" w:rsidP="004956C2">
            <w:pPr>
              <w:spacing w:before="240"/>
              <w:jc w:val="both"/>
              <w:rPr>
                <w:rFonts w:eastAsia="Times New Roman" w:cs="Times New Roman"/>
                <w:sz w:val="2"/>
                <w:szCs w:val="24"/>
                <w:lang w:eastAsia="en-GB"/>
              </w:rPr>
            </w:pPr>
          </w:p>
        </w:tc>
        <w:tc>
          <w:tcPr>
            <w:tcW w:w="1417" w:type="dxa"/>
            <w:tcBorders>
              <w:top w:val="nil"/>
              <w:left w:val="nil"/>
              <w:bottom w:val="single" w:sz="4" w:space="0" w:color="auto"/>
              <w:right w:val="nil"/>
            </w:tcBorders>
            <w:vAlign w:val="bottom"/>
          </w:tcPr>
          <w:p w:rsidR="00F02B68" w:rsidRPr="009C222D" w:rsidRDefault="00F02B68" w:rsidP="004956C2">
            <w:pPr>
              <w:spacing w:before="240"/>
              <w:jc w:val="both"/>
              <w:rPr>
                <w:rFonts w:eastAsia="Times New Roman" w:cs="Times New Roman"/>
                <w:sz w:val="2"/>
                <w:szCs w:val="24"/>
                <w:lang w:eastAsia="en-GB"/>
              </w:rPr>
            </w:pPr>
          </w:p>
        </w:tc>
        <w:tc>
          <w:tcPr>
            <w:tcW w:w="1134" w:type="dxa"/>
            <w:tcBorders>
              <w:top w:val="nil"/>
              <w:left w:val="nil"/>
              <w:bottom w:val="single" w:sz="4" w:space="0" w:color="auto"/>
              <w:right w:val="nil"/>
            </w:tcBorders>
            <w:vAlign w:val="bottom"/>
          </w:tcPr>
          <w:p w:rsidR="00F02B68" w:rsidRPr="009C222D" w:rsidRDefault="00F02B68" w:rsidP="004956C2">
            <w:pPr>
              <w:spacing w:before="240"/>
              <w:jc w:val="both"/>
              <w:rPr>
                <w:rFonts w:eastAsia="Times New Roman" w:cs="Times New Roman"/>
                <w:sz w:val="2"/>
                <w:szCs w:val="24"/>
                <w:lang w:eastAsia="en-GB"/>
              </w:rPr>
            </w:pPr>
          </w:p>
        </w:tc>
      </w:tr>
    </w:tbl>
    <w:p w:rsidR="00F02B68" w:rsidRDefault="00F02B68" w:rsidP="00F02B68">
      <w:pPr>
        <w:jc w:val="both"/>
        <w:rPr>
          <w:rFonts w:cs="Times New Roman"/>
          <w:sz w:val="24"/>
          <w:szCs w:val="24"/>
        </w:rPr>
      </w:pPr>
    </w:p>
    <w:p w:rsidR="00F02B68" w:rsidRPr="009C222D" w:rsidRDefault="00F02B68" w:rsidP="00F02B68">
      <w:pPr>
        <w:jc w:val="both"/>
        <w:rPr>
          <w:rFonts w:cs="Times New Roman"/>
          <w:sz w:val="24"/>
          <w:szCs w:val="24"/>
        </w:rPr>
      </w:pPr>
      <w:r w:rsidRPr="009C222D">
        <w:rPr>
          <w:rFonts w:cs="Times New Roman"/>
          <w:sz w:val="24"/>
          <w:szCs w:val="24"/>
        </w:rPr>
        <w:t xml:space="preserve">Note: LIHC model, N= 32,844, adjusted R2 </w:t>
      </w:r>
      <w:r>
        <w:rPr>
          <w:rFonts w:cs="Times New Roman"/>
          <w:sz w:val="24"/>
          <w:szCs w:val="24"/>
        </w:rPr>
        <w:t xml:space="preserve">= 0.231839, AIC = 239888.120711. </w:t>
      </w:r>
      <w:r w:rsidRPr="009C222D">
        <w:rPr>
          <w:rFonts w:cs="Times New Roman"/>
          <w:sz w:val="24"/>
          <w:szCs w:val="24"/>
        </w:rPr>
        <w:t>10% model, N=32,844, Adjusted R2 = 0.322807, AICc = 245890.215314</w:t>
      </w:r>
      <w:r>
        <w:rPr>
          <w:rFonts w:cs="Times New Roman"/>
          <w:sz w:val="24"/>
          <w:szCs w:val="24"/>
        </w:rPr>
        <w:t>.</w:t>
      </w:r>
    </w:p>
    <w:p w:rsidR="00F02B68" w:rsidRPr="009C222D" w:rsidRDefault="00F02B68" w:rsidP="00F02B68">
      <w:pPr>
        <w:spacing w:line="240" w:lineRule="auto"/>
        <w:jc w:val="both"/>
        <w:rPr>
          <w:rFonts w:cs="Times New Roman"/>
          <w:sz w:val="24"/>
          <w:szCs w:val="24"/>
        </w:rPr>
      </w:pPr>
      <w:r w:rsidRPr="009C222D">
        <w:rPr>
          <w:rFonts w:cs="Times New Roman"/>
          <w:sz w:val="24"/>
          <w:szCs w:val="24"/>
        </w:rPr>
        <w:t>*Significant at 0.001 level</w:t>
      </w:r>
    </w:p>
    <w:p w:rsidR="00F02B68" w:rsidRPr="009C222D" w:rsidRDefault="00F02B68" w:rsidP="00F02B68">
      <w:pPr>
        <w:spacing w:line="360" w:lineRule="auto"/>
        <w:jc w:val="both"/>
        <w:rPr>
          <w:rFonts w:cs="Times New Roman"/>
          <w:b/>
          <w:sz w:val="24"/>
          <w:szCs w:val="24"/>
        </w:rPr>
      </w:pPr>
      <w:r>
        <w:rPr>
          <w:rFonts w:cs="Times New Roman"/>
          <w:sz w:val="24"/>
          <w:szCs w:val="24"/>
        </w:rPr>
        <w:t xml:space="preserve">Source: </w:t>
      </w:r>
      <w:r w:rsidRPr="009C222D">
        <w:rPr>
          <w:rFonts w:cs="Times New Roman"/>
          <w:sz w:val="24"/>
          <w:szCs w:val="24"/>
        </w:rPr>
        <w:t xml:space="preserve">Robinson et al. </w:t>
      </w:r>
      <w:r>
        <w:rPr>
          <w:rFonts w:cs="Times New Roman"/>
          <w:sz w:val="24"/>
          <w:szCs w:val="24"/>
        </w:rPr>
        <w:t>(2018</w:t>
      </w:r>
      <w:r w:rsidRPr="009C222D">
        <w:rPr>
          <w:rFonts w:cs="Times New Roman"/>
          <w:sz w:val="24"/>
          <w:szCs w:val="24"/>
        </w:rPr>
        <w:t>)</w:t>
      </w:r>
      <w:r>
        <w:rPr>
          <w:rFonts w:cs="Times New Roman"/>
          <w:sz w:val="24"/>
          <w:szCs w:val="24"/>
        </w:rPr>
        <w:t>.</w:t>
      </w:r>
    </w:p>
    <w:p w:rsidR="00F02B68" w:rsidRDefault="00F02B68" w:rsidP="00F02B68">
      <w:pPr>
        <w:spacing w:line="360" w:lineRule="auto"/>
        <w:jc w:val="both"/>
        <w:rPr>
          <w:rFonts w:eastAsia="Times New Roman" w:cs="Times New Roman"/>
          <w:sz w:val="24"/>
          <w:szCs w:val="24"/>
          <w:lang w:eastAsia="en-GB"/>
        </w:rPr>
      </w:pPr>
    </w:p>
    <w:p w:rsidR="00F02B68" w:rsidRDefault="00F02B68" w:rsidP="00F02B68">
      <w:pPr>
        <w:spacing w:line="360" w:lineRule="auto"/>
        <w:jc w:val="both"/>
        <w:rPr>
          <w:rFonts w:eastAsia="Times New Roman" w:cs="Times New Roman"/>
          <w:sz w:val="24"/>
          <w:szCs w:val="24"/>
          <w:lang w:eastAsia="en-GB"/>
        </w:rPr>
      </w:pPr>
    </w:p>
    <w:p w:rsidR="00F02B68" w:rsidRDefault="00F02B68" w:rsidP="00F02B68">
      <w:pPr>
        <w:spacing w:line="360" w:lineRule="auto"/>
        <w:jc w:val="both"/>
        <w:rPr>
          <w:rFonts w:eastAsia="Times New Roman" w:cs="Times New Roman"/>
          <w:sz w:val="24"/>
          <w:szCs w:val="24"/>
          <w:lang w:eastAsia="en-GB"/>
        </w:rPr>
      </w:pPr>
    </w:p>
    <w:p w:rsidR="00F02B68" w:rsidRDefault="00F02B68" w:rsidP="00F02B68">
      <w:pPr>
        <w:spacing w:line="360" w:lineRule="auto"/>
        <w:jc w:val="both"/>
        <w:rPr>
          <w:rFonts w:eastAsia="Times New Roman" w:cs="Times New Roman"/>
          <w:sz w:val="24"/>
          <w:szCs w:val="24"/>
          <w:lang w:eastAsia="en-GB"/>
        </w:rPr>
      </w:pPr>
    </w:p>
    <w:p w:rsidR="00F02B68" w:rsidRPr="001326AE" w:rsidRDefault="00F02B68" w:rsidP="00F02B68">
      <w:pPr>
        <w:spacing w:before="240" w:line="360" w:lineRule="auto"/>
        <w:jc w:val="both"/>
        <w:rPr>
          <w:rFonts w:cs="Times New Roman"/>
          <w:sz w:val="24"/>
          <w:szCs w:val="24"/>
        </w:rPr>
      </w:pPr>
      <w:r w:rsidRPr="001326AE">
        <w:rPr>
          <w:rFonts w:cs="Times New Roman"/>
          <w:b/>
          <w:sz w:val="24"/>
          <w:szCs w:val="24"/>
        </w:rPr>
        <w:lastRenderedPageBreak/>
        <w:t>Table 5.</w:t>
      </w:r>
      <w:r>
        <w:rPr>
          <w:rFonts w:cs="Times New Roman"/>
          <w:sz w:val="24"/>
          <w:szCs w:val="24"/>
        </w:rPr>
        <w:t xml:space="preserve"> GWR models.</w:t>
      </w:r>
    </w:p>
    <w:tbl>
      <w:tblPr>
        <w:tblW w:w="12727" w:type="dxa"/>
        <w:tblLook w:val="04A0" w:firstRow="1" w:lastRow="0" w:firstColumn="1" w:lastColumn="0" w:noHBand="0" w:noVBand="1"/>
      </w:tblPr>
      <w:tblGrid>
        <w:gridCol w:w="2660"/>
        <w:gridCol w:w="1527"/>
        <w:gridCol w:w="1410"/>
        <w:gridCol w:w="1410"/>
        <w:gridCol w:w="1410"/>
        <w:gridCol w:w="1410"/>
        <w:gridCol w:w="1490"/>
        <w:gridCol w:w="1410"/>
      </w:tblGrid>
      <w:tr w:rsidR="00F02B68" w:rsidRPr="001326AE" w:rsidTr="004956C2">
        <w:trPr>
          <w:trHeight w:val="330"/>
        </w:trPr>
        <w:tc>
          <w:tcPr>
            <w:tcW w:w="2660" w:type="dxa"/>
            <w:tcBorders>
              <w:top w:val="single" w:sz="4" w:space="0" w:color="auto"/>
              <w:left w:val="nil"/>
              <w:right w:val="nil"/>
            </w:tcBorders>
            <w:shd w:val="clear" w:color="000000" w:fill="FFFFFF"/>
          </w:tcPr>
          <w:p w:rsidR="00F02B68" w:rsidRPr="001326AE" w:rsidRDefault="00F02B68" w:rsidP="004956C2">
            <w:pPr>
              <w:spacing w:after="0"/>
              <w:rPr>
                <w:rFonts w:eastAsia="Times New Roman" w:cs="Times New Roman"/>
                <w:color w:val="000000"/>
                <w:sz w:val="24"/>
                <w:szCs w:val="24"/>
                <w:lang w:eastAsia="en-GB"/>
              </w:rPr>
            </w:pPr>
            <w:r>
              <w:rPr>
                <w:rFonts w:eastAsia="Times New Roman" w:cs="Times New Roman"/>
                <w:color w:val="000000"/>
                <w:sz w:val="24"/>
                <w:szCs w:val="24"/>
                <w:lang w:eastAsia="en-GB"/>
              </w:rPr>
              <w:t>Descriptor</w:t>
            </w:r>
          </w:p>
        </w:tc>
        <w:tc>
          <w:tcPr>
            <w:tcW w:w="10067" w:type="dxa"/>
            <w:gridSpan w:val="7"/>
            <w:tcBorders>
              <w:top w:val="single" w:sz="4" w:space="0" w:color="auto"/>
              <w:left w:val="nil"/>
              <w:bottom w:val="single" w:sz="8" w:space="0" w:color="auto"/>
              <w:right w:val="nil"/>
            </w:tcBorders>
            <w:shd w:val="clear" w:color="000000" w:fill="FFFFFF"/>
            <w:vAlign w:val="bottom"/>
            <w:hideMark/>
          </w:tcPr>
          <w:p w:rsidR="00F02B68" w:rsidRPr="001326AE" w:rsidRDefault="00F02B68" w:rsidP="004956C2">
            <w:pPr>
              <w:spacing w:after="0"/>
              <w:rPr>
                <w:rFonts w:eastAsia="Times New Roman" w:cs="Times New Roman"/>
                <w:color w:val="000000"/>
                <w:sz w:val="24"/>
                <w:szCs w:val="24"/>
                <w:lang w:eastAsia="en-GB"/>
              </w:rPr>
            </w:pPr>
            <w:r w:rsidRPr="001326AE">
              <w:rPr>
                <w:rFonts w:eastAsia="Times New Roman" w:cs="Times New Roman"/>
                <w:color w:val="000000"/>
                <w:sz w:val="24"/>
                <w:szCs w:val="24"/>
                <w:lang w:eastAsia="en-GB"/>
              </w:rPr>
              <w:t>LIHC indicator (coefficient estimates)</w:t>
            </w:r>
          </w:p>
        </w:tc>
      </w:tr>
      <w:tr w:rsidR="00F02B68" w:rsidRPr="001326AE" w:rsidTr="004956C2">
        <w:trPr>
          <w:trHeight w:val="20"/>
        </w:trPr>
        <w:tc>
          <w:tcPr>
            <w:tcW w:w="2660" w:type="dxa"/>
            <w:tcBorders>
              <w:left w:val="nil"/>
              <w:bottom w:val="single" w:sz="8" w:space="0" w:color="auto"/>
              <w:right w:val="nil"/>
            </w:tcBorders>
            <w:shd w:val="clear" w:color="000000" w:fill="FFFFFF"/>
          </w:tcPr>
          <w:p w:rsidR="00F02B68" w:rsidRPr="001326AE" w:rsidRDefault="00F02B68" w:rsidP="004956C2">
            <w:pPr>
              <w:spacing w:after="0"/>
              <w:rPr>
                <w:rFonts w:eastAsia="Times New Roman" w:cs="Times New Roman"/>
                <w:color w:val="000000"/>
                <w:sz w:val="24"/>
                <w:szCs w:val="24"/>
                <w:lang w:eastAsia="en-GB"/>
              </w:rPr>
            </w:pPr>
          </w:p>
        </w:tc>
        <w:tc>
          <w:tcPr>
            <w:tcW w:w="1527" w:type="dxa"/>
            <w:tcBorders>
              <w:top w:val="nil"/>
              <w:left w:val="nil"/>
              <w:bottom w:val="single" w:sz="8" w:space="0" w:color="auto"/>
              <w:right w:val="nil"/>
            </w:tcBorders>
            <w:shd w:val="clear" w:color="000000" w:fill="FFFFFF"/>
            <w:vAlign w:val="bottom"/>
            <w:hideMark/>
          </w:tcPr>
          <w:p w:rsidR="00F02B68" w:rsidRPr="001326AE" w:rsidRDefault="00F02B68" w:rsidP="004956C2">
            <w:pPr>
              <w:spacing w:after="0"/>
              <w:rPr>
                <w:rFonts w:eastAsia="Times New Roman" w:cs="Times New Roman"/>
                <w:color w:val="000000"/>
                <w:sz w:val="24"/>
                <w:szCs w:val="24"/>
                <w:lang w:eastAsia="en-GB"/>
              </w:rPr>
            </w:pPr>
            <w:r w:rsidRPr="001326AE">
              <w:rPr>
                <w:rFonts w:eastAsia="Times New Roman" w:cs="Times New Roman"/>
                <w:color w:val="000000"/>
                <w:sz w:val="24"/>
                <w:szCs w:val="24"/>
                <w:lang w:eastAsia="en-GB"/>
              </w:rPr>
              <w:t>Mean est.</w:t>
            </w:r>
          </w:p>
        </w:tc>
        <w:tc>
          <w:tcPr>
            <w:tcW w:w="1410" w:type="dxa"/>
            <w:tcBorders>
              <w:top w:val="nil"/>
              <w:left w:val="nil"/>
              <w:bottom w:val="single" w:sz="8" w:space="0" w:color="auto"/>
              <w:right w:val="nil"/>
            </w:tcBorders>
            <w:shd w:val="clear" w:color="000000" w:fill="FFFFFF"/>
            <w:vAlign w:val="bottom"/>
            <w:hideMark/>
          </w:tcPr>
          <w:p w:rsidR="00F02B68" w:rsidRPr="001326AE" w:rsidRDefault="00F02B68" w:rsidP="004956C2">
            <w:pPr>
              <w:spacing w:after="0"/>
              <w:rPr>
                <w:rFonts w:eastAsia="Times New Roman" w:cs="Times New Roman"/>
                <w:color w:val="000000"/>
                <w:sz w:val="24"/>
                <w:szCs w:val="24"/>
                <w:lang w:eastAsia="en-GB"/>
              </w:rPr>
            </w:pPr>
            <w:r w:rsidRPr="001326AE">
              <w:rPr>
                <w:rFonts w:eastAsia="Times New Roman" w:cs="Times New Roman"/>
                <w:color w:val="000000"/>
                <w:sz w:val="24"/>
                <w:szCs w:val="24"/>
                <w:lang w:eastAsia="en-GB"/>
              </w:rPr>
              <w:t>Min. est.</w:t>
            </w:r>
          </w:p>
        </w:tc>
        <w:tc>
          <w:tcPr>
            <w:tcW w:w="1410" w:type="dxa"/>
            <w:tcBorders>
              <w:top w:val="nil"/>
              <w:left w:val="nil"/>
              <w:bottom w:val="single" w:sz="8" w:space="0" w:color="auto"/>
              <w:right w:val="nil"/>
            </w:tcBorders>
            <w:shd w:val="clear" w:color="000000" w:fill="FFFFFF"/>
            <w:vAlign w:val="bottom"/>
            <w:hideMark/>
          </w:tcPr>
          <w:p w:rsidR="00F02B68" w:rsidRPr="001326AE" w:rsidRDefault="00F02B68" w:rsidP="004956C2">
            <w:pPr>
              <w:spacing w:after="0"/>
              <w:rPr>
                <w:rFonts w:eastAsia="Times New Roman" w:cs="Times New Roman"/>
                <w:color w:val="000000"/>
                <w:sz w:val="24"/>
                <w:szCs w:val="24"/>
                <w:lang w:eastAsia="en-GB"/>
              </w:rPr>
            </w:pPr>
            <w:r w:rsidRPr="001326AE">
              <w:rPr>
                <w:rFonts w:eastAsia="Times New Roman" w:cs="Times New Roman"/>
                <w:color w:val="000000"/>
                <w:sz w:val="24"/>
                <w:szCs w:val="24"/>
                <w:lang w:eastAsia="en-GB"/>
              </w:rPr>
              <w:t>Lower quar.</w:t>
            </w:r>
          </w:p>
        </w:tc>
        <w:tc>
          <w:tcPr>
            <w:tcW w:w="1410" w:type="dxa"/>
            <w:tcBorders>
              <w:top w:val="nil"/>
              <w:left w:val="nil"/>
              <w:bottom w:val="single" w:sz="8" w:space="0" w:color="auto"/>
              <w:right w:val="nil"/>
            </w:tcBorders>
            <w:shd w:val="clear" w:color="000000" w:fill="FFFFFF"/>
            <w:vAlign w:val="bottom"/>
            <w:hideMark/>
          </w:tcPr>
          <w:p w:rsidR="00F02B68" w:rsidRPr="001326AE" w:rsidRDefault="00F02B68" w:rsidP="004956C2">
            <w:pPr>
              <w:spacing w:after="0"/>
              <w:rPr>
                <w:rFonts w:eastAsia="Times New Roman" w:cs="Times New Roman"/>
                <w:color w:val="000000"/>
                <w:sz w:val="24"/>
                <w:szCs w:val="24"/>
                <w:lang w:eastAsia="en-GB"/>
              </w:rPr>
            </w:pPr>
            <w:r w:rsidRPr="001326AE">
              <w:rPr>
                <w:rFonts w:eastAsia="Times New Roman" w:cs="Times New Roman"/>
                <w:color w:val="000000"/>
                <w:sz w:val="24"/>
                <w:szCs w:val="24"/>
                <w:lang w:eastAsia="en-GB"/>
              </w:rPr>
              <w:t>Median</w:t>
            </w:r>
          </w:p>
        </w:tc>
        <w:tc>
          <w:tcPr>
            <w:tcW w:w="1410" w:type="dxa"/>
            <w:tcBorders>
              <w:top w:val="nil"/>
              <w:left w:val="nil"/>
              <w:bottom w:val="single" w:sz="8" w:space="0" w:color="auto"/>
              <w:right w:val="nil"/>
            </w:tcBorders>
            <w:shd w:val="clear" w:color="000000" w:fill="FFFFFF"/>
            <w:vAlign w:val="bottom"/>
            <w:hideMark/>
          </w:tcPr>
          <w:p w:rsidR="00F02B68" w:rsidRPr="001326AE" w:rsidRDefault="00F02B68" w:rsidP="004956C2">
            <w:pPr>
              <w:spacing w:after="0"/>
              <w:rPr>
                <w:rFonts w:eastAsia="Times New Roman" w:cs="Times New Roman"/>
                <w:color w:val="000000"/>
                <w:sz w:val="24"/>
                <w:szCs w:val="24"/>
                <w:lang w:eastAsia="en-GB"/>
              </w:rPr>
            </w:pPr>
            <w:r w:rsidRPr="001326AE">
              <w:rPr>
                <w:rFonts w:eastAsia="Times New Roman" w:cs="Times New Roman"/>
                <w:color w:val="000000"/>
                <w:sz w:val="24"/>
                <w:szCs w:val="24"/>
                <w:lang w:eastAsia="en-GB"/>
              </w:rPr>
              <w:t>Upper quar.</w:t>
            </w:r>
          </w:p>
        </w:tc>
        <w:tc>
          <w:tcPr>
            <w:tcW w:w="1490" w:type="dxa"/>
            <w:tcBorders>
              <w:top w:val="nil"/>
              <w:left w:val="nil"/>
              <w:bottom w:val="single" w:sz="8" w:space="0" w:color="auto"/>
              <w:right w:val="nil"/>
            </w:tcBorders>
            <w:shd w:val="clear" w:color="000000" w:fill="FFFFFF"/>
            <w:vAlign w:val="bottom"/>
            <w:hideMark/>
          </w:tcPr>
          <w:p w:rsidR="00F02B68" w:rsidRPr="001326AE" w:rsidRDefault="00F02B68" w:rsidP="004956C2">
            <w:pPr>
              <w:spacing w:after="0"/>
              <w:rPr>
                <w:rFonts w:eastAsia="Times New Roman" w:cs="Times New Roman"/>
                <w:color w:val="000000"/>
                <w:sz w:val="24"/>
                <w:szCs w:val="24"/>
                <w:lang w:eastAsia="en-GB"/>
              </w:rPr>
            </w:pPr>
            <w:r w:rsidRPr="001326AE">
              <w:rPr>
                <w:rFonts w:eastAsia="Times New Roman" w:cs="Times New Roman"/>
                <w:color w:val="000000"/>
                <w:sz w:val="24"/>
                <w:szCs w:val="24"/>
                <w:lang w:eastAsia="en-GB"/>
              </w:rPr>
              <w:t>Max. est.</w:t>
            </w:r>
          </w:p>
        </w:tc>
        <w:tc>
          <w:tcPr>
            <w:tcW w:w="1410" w:type="dxa"/>
            <w:tcBorders>
              <w:top w:val="nil"/>
              <w:left w:val="nil"/>
              <w:bottom w:val="single" w:sz="8" w:space="0" w:color="auto"/>
              <w:right w:val="nil"/>
            </w:tcBorders>
            <w:shd w:val="clear" w:color="000000" w:fill="FFFFFF"/>
            <w:vAlign w:val="bottom"/>
            <w:hideMark/>
          </w:tcPr>
          <w:p w:rsidR="00F02B68" w:rsidRPr="001326AE" w:rsidRDefault="00F02B68" w:rsidP="004956C2">
            <w:pPr>
              <w:spacing w:after="0"/>
              <w:rPr>
                <w:rFonts w:eastAsia="Times New Roman" w:cs="Times New Roman"/>
                <w:color w:val="000000"/>
                <w:sz w:val="24"/>
                <w:szCs w:val="24"/>
                <w:lang w:eastAsia="en-GB"/>
              </w:rPr>
            </w:pPr>
            <w:r w:rsidRPr="001326AE">
              <w:rPr>
                <w:rFonts w:eastAsia="Times New Roman" w:cs="Times New Roman"/>
                <w:color w:val="000000"/>
                <w:sz w:val="24"/>
                <w:szCs w:val="24"/>
                <w:lang w:eastAsia="en-GB"/>
              </w:rPr>
              <w:t>IQ* range</w:t>
            </w:r>
          </w:p>
        </w:tc>
      </w:tr>
      <w:tr w:rsidR="00F02B68" w:rsidRPr="001326AE" w:rsidTr="004956C2">
        <w:trPr>
          <w:trHeight w:val="20"/>
        </w:trPr>
        <w:tc>
          <w:tcPr>
            <w:tcW w:w="2660" w:type="dxa"/>
            <w:tcBorders>
              <w:top w:val="nil"/>
              <w:left w:val="nil"/>
              <w:bottom w:val="nil"/>
              <w:right w:val="nil"/>
            </w:tcBorders>
            <w:vAlign w:val="center"/>
          </w:tcPr>
          <w:p w:rsidR="00F02B68" w:rsidRPr="001326AE" w:rsidRDefault="00F02B68" w:rsidP="004956C2">
            <w:pPr>
              <w:spacing w:before="240"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Intercept</w:t>
            </w:r>
          </w:p>
        </w:tc>
        <w:tc>
          <w:tcPr>
            <w:tcW w:w="1527" w:type="dxa"/>
            <w:tcBorders>
              <w:top w:val="nil"/>
              <w:left w:val="nil"/>
              <w:bottom w:val="nil"/>
              <w:right w:val="nil"/>
            </w:tcBorders>
            <w:shd w:val="clear" w:color="auto" w:fill="auto"/>
            <w:vAlign w:val="center"/>
            <w:hideMark/>
          </w:tcPr>
          <w:p w:rsidR="00F02B68" w:rsidRPr="001326AE" w:rsidRDefault="00F02B68" w:rsidP="004956C2">
            <w:pPr>
              <w:spacing w:before="240"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2.755653</w:t>
            </w:r>
          </w:p>
        </w:tc>
        <w:tc>
          <w:tcPr>
            <w:tcW w:w="1410" w:type="dxa"/>
            <w:tcBorders>
              <w:top w:val="nil"/>
              <w:left w:val="nil"/>
              <w:bottom w:val="nil"/>
              <w:right w:val="nil"/>
            </w:tcBorders>
            <w:shd w:val="clear" w:color="auto" w:fill="auto"/>
            <w:vAlign w:val="center"/>
            <w:hideMark/>
          </w:tcPr>
          <w:p w:rsidR="00F02B68" w:rsidRPr="001326AE" w:rsidRDefault="00F02B68" w:rsidP="004956C2">
            <w:pPr>
              <w:spacing w:before="240"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-8.81328</w:t>
            </w:r>
          </w:p>
        </w:tc>
        <w:tc>
          <w:tcPr>
            <w:tcW w:w="1410" w:type="dxa"/>
            <w:tcBorders>
              <w:top w:val="nil"/>
              <w:left w:val="nil"/>
              <w:bottom w:val="nil"/>
              <w:right w:val="nil"/>
            </w:tcBorders>
            <w:shd w:val="clear" w:color="auto" w:fill="auto"/>
            <w:vAlign w:val="center"/>
            <w:hideMark/>
          </w:tcPr>
          <w:p w:rsidR="00F02B68" w:rsidRPr="001326AE" w:rsidRDefault="00F02B68" w:rsidP="004956C2">
            <w:pPr>
              <w:spacing w:before="240"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0.905857</w:t>
            </w:r>
          </w:p>
        </w:tc>
        <w:tc>
          <w:tcPr>
            <w:tcW w:w="1410" w:type="dxa"/>
            <w:tcBorders>
              <w:top w:val="nil"/>
              <w:left w:val="nil"/>
              <w:bottom w:val="nil"/>
              <w:right w:val="nil"/>
            </w:tcBorders>
            <w:shd w:val="clear" w:color="auto" w:fill="auto"/>
            <w:vAlign w:val="center"/>
            <w:hideMark/>
          </w:tcPr>
          <w:p w:rsidR="00F02B68" w:rsidRPr="001326AE" w:rsidRDefault="00F02B68" w:rsidP="004956C2">
            <w:pPr>
              <w:spacing w:before="240"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2.954928</w:t>
            </w:r>
          </w:p>
        </w:tc>
        <w:tc>
          <w:tcPr>
            <w:tcW w:w="1410" w:type="dxa"/>
            <w:tcBorders>
              <w:top w:val="nil"/>
              <w:left w:val="nil"/>
              <w:bottom w:val="nil"/>
              <w:right w:val="nil"/>
            </w:tcBorders>
            <w:shd w:val="clear" w:color="auto" w:fill="auto"/>
            <w:vAlign w:val="center"/>
            <w:hideMark/>
          </w:tcPr>
          <w:p w:rsidR="00F02B68" w:rsidRPr="001326AE" w:rsidRDefault="00F02B68" w:rsidP="004956C2">
            <w:pPr>
              <w:spacing w:before="240"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6.911875</w:t>
            </w:r>
          </w:p>
        </w:tc>
        <w:tc>
          <w:tcPr>
            <w:tcW w:w="1490" w:type="dxa"/>
            <w:tcBorders>
              <w:top w:val="nil"/>
              <w:left w:val="nil"/>
              <w:bottom w:val="nil"/>
              <w:right w:val="nil"/>
            </w:tcBorders>
            <w:shd w:val="clear" w:color="auto" w:fill="auto"/>
            <w:vAlign w:val="center"/>
            <w:hideMark/>
          </w:tcPr>
          <w:p w:rsidR="00F02B68" w:rsidRPr="001326AE" w:rsidRDefault="00F02B68" w:rsidP="004956C2">
            <w:pPr>
              <w:spacing w:before="240"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16.789417</w:t>
            </w:r>
          </w:p>
        </w:tc>
        <w:tc>
          <w:tcPr>
            <w:tcW w:w="1410" w:type="dxa"/>
            <w:tcBorders>
              <w:top w:val="nil"/>
              <w:left w:val="nil"/>
              <w:bottom w:val="nil"/>
              <w:right w:val="nil"/>
            </w:tcBorders>
            <w:shd w:val="clear" w:color="auto" w:fill="auto"/>
            <w:vAlign w:val="center"/>
            <w:hideMark/>
          </w:tcPr>
          <w:p w:rsidR="00F02B68" w:rsidRPr="001326AE" w:rsidRDefault="00F02B68" w:rsidP="004956C2">
            <w:pPr>
              <w:spacing w:before="240"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6.006018</w:t>
            </w:r>
          </w:p>
        </w:tc>
      </w:tr>
      <w:tr w:rsidR="00F02B68" w:rsidRPr="001326AE" w:rsidTr="004956C2">
        <w:trPr>
          <w:trHeight w:val="20"/>
        </w:trPr>
        <w:tc>
          <w:tcPr>
            <w:tcW w:w="2660" w:type="dxa"/>
            <w:tcBorders>
              <w:top w:val="nil"/>
              <w:left w:val="nil"/>
              <w:bottom w:val="nil"/>
              <w:right w:val="nil"/>
            </w:tcBorders>
            <w:vAlign w:val="center"/>
          </w:tcPr>
          <w:p w:rsidR="00F02B68" w:rsidRPr="001326AE" w:rsidRDefault="00F02B68" w:rsidP="004956C2">
            <w:pPr>
              <w:spacing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DISABILITY</w:t>
            </w:r>
          </w:p>
        </w:tc>
        <w:tc>
          <w:tcPr>
            <w:tcW w:w="1527" w:type="dxa"/>
            <w:tcBorders>
              <w:top w:val="nil"/>
              <w:left w:val="nil"/>
              <w:bottom w:val="nil"/>
              <w:right w:val="nil"/>
            </w:tcBorders>
            <w:shd w:val="clear" w:color="auto" w:fill="auto"/>
            <w:vAlign w:val="center"/>
            <w:hideMark/>
          </w:tcPr>
          <w:p w:rsidR="00F02B68" w:rsidRPr="001326AE" w:rsidRDefault="00F02B68" w:rsidP="004956C2">
            <w:pPr>
              <w:spacing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0.118834</w:t>
            </w:r>
          </w:p>
        </w:tc>
        <w:tc>
          <w:tcPr>
            <w:tcW w:w="1410" w:type="dxa"/>
            <w:tcBorders>
              <w:top w:val="nil"/>
              <w:left w:val="nil"/>
              <w:bottom w:val="nil"/>
              <w:right w:val="nil"/>
            </w:tcBorders>
            <w:shd w:val="clear" w:color="auto" w:fill="auto"/>
            <w:vAlign w:val="center"/>
            <w:hideMark/>
          </w:tcPr>
          <w:p w:rsidR="00F02B68" w:rsidRPr="001326AE" w:rsidRDefault="00F02B68" w:rsidP="004956C2">
            <w:pPr>
              <w:spacing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-0.035428</w:t>
            </w:r>
          </w:p>
        </w:tc>
        <w:tc>
          <w:tcPr>
            <w:tcW w:w="1410" w:type="dxa"/>
            <w:tcBorders>
              <w:top w:val="nil"/>
              <w:left w:val="nil"/>
              <w:bottom w:val="nil"/>
              <w:right w:val="nil"/>
            </w:tcBorders>
            <w:shd w:val="clear" w:color="auto" w:fill="auto"/>
            <w:vAlign w:val="center"/>
            <w:hideMark/>
          </w:tcPr>
          <w:p w:rsidR="00F02B68" w:rsidRPr="001326AE" w:rsidRDefault="00F02B68" w:rsidP="004956C2">
            <w:pPr>
              <w:spacing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0.04898</w:t>
            </w:r>
          </w:p>
        </w:tc>
        <w:tc>
          <w:tcPr>
            <w:tcW w:w="1410" w:type="dxa"/>
            <w:tcBorders>
              <w:top w:val="nil"/>
              <w:left w:val="nil"/>
              <w:bottom w:val="nil"/>
              <w:right w:val="nil"/>
            </w:tcBorders>
            <w:shd w:val="clear" w:color="auto" w:fill="auto"/>
            <w:vAlign w:val="center"/>
            <w:hideMark/>
          </w:tcPr>
          <w:p w:rsidR="00F02B68" w:rsidRPr="001326AE" w:rsidRDefault="00F02B68" w:rsidP="004956C2">
            <w:pPr>
              <w:spacing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0.088958</w:t>
            </w:r>
          </w:p>
        </w:tc>
        <w:tc>
          <w:tcPr>
            <w:tcW w:w="1410" w:type="dxa"/>
            <w:tcBorders>
              <w:top w:val="nil"/>
              <w:left w:val="nil"/>
              <w:bottom w:val="nil"/>
              <w:right w:val="nil"/>
            </w:tcBorders>
            <w:shd w:val="clear" w:color="auto" w:fill="auto"/>
            <w:vAlign w:val="center"/>
            <w:hideMark/>
          </w:tcPr>
          <w:p w:rsidR="00F02B68" w:rsidRPr="001326AE" w:rsidRDefault="00F02B68" w:rsidP="004956C2">
            <w:pPr>
              <w:spacing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0.16366</w:t>
            </w:r>
          </w:p>
        </w:tc>
        <w:tc>
          <w:tcPr>
            <w:tcW w:w="1490" w:type="dxa"/>
            <w:tcBorders>
              <w:top w:val="nil"/>
              <w:left w:val="nil"/>
              <w:bottom w:val="nil"/>
              <w:right w:val="nil"/>
            </w:tcBorders>
            <w:shd w:val="clear" w:color="auto" w:fill="auto"/>
            <w:vAlign w:val="center"/>
            <w:hideMark/>
          </w:tcPr>
          <w:p w:rsidR="00F02B68" w:rsidRPr="001326AE" w:rsidRDefault="00F02B68" w:rsidP="004956C2">
            <w:pPr>
              <w:spacing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0.453623</w:t>
            </w:r>
          </w:p>
        </w:tc>
        <w:tc>
          <w:tcPr>
            <w:tcW w:w="1410" w:type="dxa"/>
            <w:tcBorders>
              <w:top w:val="nil"/>
              <w:left w:val="nil"/>
              <w:bottom w:val="nil"/>
              <w:right w:val="nil"/>
            </w:tcBorders>
            <w:shd w:val="clear" w:color="auto" w:fill="auto"/>
            <w:vAlign w:val="center"/>
            <w:hideMark/>
          </w:tcPr>
          <w:p w:rsidR="00F02B68" w:rsidRPr="001326AE" w:rsidRDefault="00F02B68" w:rsidP="004956C2">
            <w:pPr>
              <w:spacing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0.11468</w:t>
            </w:r>
            <w:r>
              <w:rPr>
                <w:rFonts w:eastAsia="Times New Roman" w:cs="Times New Roman"/>
                <w:color w:val="000000"/>
                <w:sz w:val="24"/>
                <w:szCs w:val="24"/>
                <w:lang w:eastAsia="en-GB"/>
              </w:rPr>
              <w:t>0</w:t>
            </w:r>
          </w:p>
        </w:tc>
      </w:tr>
      <w:tr w:rsidR="00F02B68" w:rsidRPr="001326AE" w:rsidTr="004956C2">
        <w:trPr>
          <w:trHeight w:val="20"/>
        </w:trPr>
        <w:tc>
          <w:tcPr>
            <w:tcW w:w="2660" w:type="dxa"/>
            <w:tcBorders>
              <w:top w:val="nil"/>
              <w:left w:val="nil"/>
              <w:bottom w:val="nil"/>
              <w:right w:val="nil"/>
            </w:tcBorders>
            <w:vAlign w:val="center"/>
          </w:tcPr>
          <w:p w:rsidR="00F02B68" w:rsidRPr="001326AE" w:rsidRDefault="00F02B68" w:rsidP="004956C2">
            <w:pPr>
              <w:spacing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PENSIONER</w:t>
            </w:r>
          </w:p>
        </w:tc>
        <w:tc>
          <w:tcPr>
            <w:tcW w:w="1527" w:type="dxa"/>
            <w:tcBorders>
              <w:top w:val="nil"/>
              <w:left w:val="nil"/>
              <w:bottom w:val="nil"/>
              <w:right w:val="nil"/>
            </w:tcBorders>
            <w:shd w:val="clear" w:color="auto" w:fill="auto"/>
            <w:vAlign w:val="center"/>
            <w:hideMark/>
          </w:tcPr>
          <w:p w:rsidR="00F02B68" w:rsidRPr="001326AE" w:rsidRDefault="00F02B68" w:rsidP="004956C2">
            <w:pPr>
              <w:spacing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-0.045553</w:t>
            </w:r>
          </w:p>
        </w:tc>
        <w:tc>
          <w:tcPr>
            <w:tcW w:w="1410" w:type="dxa"/>
            <w:tcBorders>
              <w:top w:val="nil"/>
              <w:left w:val="nil"/>
              <w:bottom w:val="nil"/>
              <w:right w:val="nil"/>
            </w:tcBorders>
            <w:shd w:val="clear" w:color="auto" w:fill="auto"/>
            <w:vAlign w:val="center"/>
            <w:hideMark/>
          </w:tcPr>
          <w:p w:rsidR="00F02B68" w:rsidRPr="001326AE" w:rsidRDefault="00F02B68" w:rsidP="004956C2">
            <w:pPr>
              <w:spacing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-0.418038</w:t>
            </w:r>
          </w:p>
        </w:tc>
        <w:tc>
          <w:tcPr>
            <w:tcW w:w="1410" w:type="dxa"/>
            <w:tcBorders>
              <w:top w:val="nil"/>
              <w:left w:val="nil"/>
              <w:bottom w:val="nil"/>
              <w:right w:val="nil"/>
            </w:tcBorders>
            <w:shd w:val="clear" w:color="auto" w:fill="auto"/>
            <w:vAlign w:val="center"/>
            <w:hideMark/>
          </w:tcPr>
          <w:p w:rsidR="00F02B68" w:rsidRPr="001326AE" w:rsidRDefault="00F02B68" w:rsidP="004956C2">
            <w:pPr>
              <w:spacing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-0.091877</w:t>
            </w:r>
          </w:p>
        </w:tc>
        <w:tc>
          <w:tcPr>
            <w:tcW w:w="1410" w:type="dxa"/>
            <w:tcBorders>
              <w:top w:val="nil"/>
              <w:left w:val="nil"/>
              <w:bottom w:val="nil"/>
              <w:right w:val="nil"/>
            </w:tcBorders>
            <w:shd w:val="clear" w:color="auto" w:fill="auto"/>
            <w:vAlign w:val="center"/>
            <w:hideMark/>
          </w:tcPr>
          <w:p w:rsidR="00F02B68" w:rsidRPr="001326AE" w:rsidRDefault="00F02B68" w:rsidP="004956C2">
            <w:pPr>
              <w:spacing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-0.024724</w:t>
            </w:r>
          </w:p>
        </w:tc>
        <w:tc>
          <w:tcPr>
            <w:tcW w:w="1410" w:type="dxa"/>
            <w:tcBorders>
              <w:top w:val="nil"/>
              <w:left w:val="nil"/>
              <w:bottom w:val="nil"/>
              <w:right w:val="nil"/>
            </w:tcBorders>
            <w:shd w:val="clear" w:color="auto" w:fill="auto"/>
            <w:vAlign w:val="center"/>
            <w:hideMark/>
          </w:tcPr>
          <w:p w:rsidR="00F02B68" w:rsidRPr="001326AE" w:rsidRDefault="00F02B68" w:rsidP="004956C2">
            <w:pPr>
              <w:spacing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0.026485</w:t>
            </w:r>
          </w:p>
        </w:tc>
        <w:tc>
          <w:tcPr>
            <w:tcW w:w="1490" w:type="dxa"/>
            <w:tcBorders>
              <w:top w:val="nil"/>
              <w:left w:val="nil"/>
              <w:bottom w:val="nil"/>
              <w:right w:val="nil"/>
            </w:tcBorders>
            <w:shd w:val="clear" w:color="auto" w:fill="auto"/>
            <w:vAlign w:val="center"/>
            <w:hideMark/>
          </w:tcPr>
          <w:p w:rsidR="00F02B68" w:rsidRPr="001326AE" w:rsidRDefault="00F02B68" w:rsidP="004956C2">
            <w:pPr>
              <w:spacing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0.234505</w:t>
            </w:r>
          </w:p>
        </w:tc>
        <w:tc>
          <w:tcPr>
            <w:tcW w:w="1410" w:type="dxa"/>
            <w:tcBorders>
              <w:top w:val="nil"/>
              <w:left w:val="nil"/>
              <w:bottom w:val="nil"/>
              <w:right w:val="nil"/>
            </w:tcBorders>
            <w:shd w:val="clear" w:color="auto" w:fill="auto"/>
            <w:vAlign w:val="center"/>
            <w:hideMark/>
          </w:tcPr>
          <w:p w:rsidR="00F02B68" w:rsidRPr="001326AE" w:rsidRDefault="00F02B68" w:rsidP="004956C2">
            <w:pPr>
              <w:spacing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0.118362</w:t>
            </w:r>
          </w:p>
        </w:tc>
      </w:tr>
      <w:tr w:rsidR="00F02B68" w:rsidRPr="001326AE" w:rsidTr="004956C2">
        <w:trPr>
          <w:trHeight w:val="20"/>
        </w:trPr>
        <w:tc>
          <w:tcPr>
            <w:tcW w:w="2660" w:type="dxa"/>
            <w:tcBorders>
              <w:top w:val="nil"/>
              <w:left w:val="nil"/>
              <w:bottom w:val="nil"/>
              <w:right w:val="nil"/>
            </w:tcBorders>
            <w:vAlign w:val="center"/>
          </w:tcPr>
          <w:p w:rsidR="00F02B68" w:rsidRPr="001326AE" w:rsidRDefault="00F02B68" w:rsidP="004956C2">
            <w:pPr>
              <w:spacing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YOUND CHILD</w:t>
            </w:r>
          </w:p>
        </w:tc>
        <w:tc>
          <w:tcPr>
            <w:tcW w:w="1527" w:type="dxa"/>
            <w:tcBorders>
              <w:top w:val="nil"/>
              <w:left w:val="nil"/>
              <w:bottom w:val="nil"/>
              <w:right w:val="nil"/>
            </w:tcBorders>
            <w:shd w:val="clear" w:color="auto" w:fill="auto"/>
            <w:vAlign w:val="center"/>
            <w:hideMark/>
          </w:tcPr>
          <w:p w:rsidR="00F02B68" w:rsidRPr="001326AE" w:rsidRDefault="00F02B68" w:rsidP="004956C2">
            <w:pPr>
              <w:spacing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0.007392</w:t>
            </w:r>
          </w:p>
        </w:tc>
        <w:tc>
          <w:tcPr>
            <w:tcW w:w="1410" w:type="dxa"/>
            <w:tcBorders>
              <w:top w:val="nil"/>
              <w:left w:val="nil"/>
              <w:bottom w:val="nil"/>
              <w:right w:val="nil"/>
            </w:tcBorders>
            <w:shd w:val="clear" w:color="auto" w:fill="auto"/>
            <w:vAlign w:val="center"/>
            <w:hideMark/>
          </w:tcPr>
          <w:p w:rsidR="00F02B68" w:rsidRPr="001326AE" w:rsidRDefault="00F02B68" w:rsidP="004956C2">
            <w:pPr>
              <w:spacing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-0.22</w:t>
            </w:r>
          </w:p>
        </w:tc>
        <w:tc>
          <w:tcPr>
            <w:tcW w:w="1410" w:type="dxa"/>
            <w:tcBorders>
              <w:top w:val="nil"/>
              <w:left w:val="nil"/>
              <w:bottom w:val="nil"/>
              <w:right w:val="nil"/>
            </w:tcBorders>
            <w:shd w:val="clear" w:color="auto" w:fill="auto"/>
            <w:vAlign w:val="center"/>
            <w:hideMark/>
          </w:tcPr>
          <w:p w:rsidR="00F02B68" w:rsidRPr="001326AE" w:rsidRDefault="00F02B68" w:rsidP="004956C2">
            <w:pPr>
              <w:spacing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-0.026488</w:t>
            </w:r>
          </w:p>
        </w:tc>
        <w:tc>
          <w:tcPr>
            <w:tcW w:w="1410" w:type="dxa"/>
            <w:tcBorders>
              <w:top w:val="nil"/>
              <w:left w:val="nil"/>
              <w:bottom w:val="nil"/>
              <w:right w:val="nil"/>
            </w:tcBorders>
            <w:shd w:val="clear" w:color="auto" w:fill="auto"/>
            <w:vAlign w:val="center"/>
            <w:hideMark/>
          </w:tcPr>
          <w:p w:rsidR="00F02B68" w:rsidRPr="001326AE" w:rsidRDefault="00F02B68" w:rsidP="004956C2">
            <w:pPr>
              <w:spacing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0.079237</w:t>
            </w:r>
          </w:p>
        </w:tc>
        <w:tc>
          <w:tcPr>
            <w:tcW w:w="1410" w:type="dxa"/>
            <w:tcBorders>
              <w:top w:val="nil"/>
              <w:left w:val="nil"/>
              <w:bottom w:val="nil"/>
              <w:right w:val="nil"/>
            </w:tcBorders>
            <w:shd w:val="clear" w:color="auto" w:fill="auto"/>
            <w:vAlign w:val="center"/>
            <w:hideMark/>
          </w:tcPr>
          <w:p w:rsidR="00F02B68" w:rsidRPr="001326AE" w:rsidRDefault="00F02B68" w:rsidP="004956C2">
            <w:pPr>
              <w:spacing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0.261626</w:t>
            </w:r>
          </w:p>
        </w:tc>
        <w:tc>
          <w:tcPr>
            <w:tcW w:w="1490" w:type="dxa"/>
            <w:tcBorders>
              <w:top w:val="nil"/>
              <w:left w:val="nil"/>
              <w:bottom w:val="nil"/>
              <w:right w:val="nil"/>
            </w:tcBorders>
            <w:shd w:val="clear" w:color="auto" w:fill="auto"/>
            <w:vAlign w:val="center"/>
            <w:hideMark/>
          </w:tcPr>
          <w:p w:rsidR="00F02B68" w:rsidRPr="001326AE" w:rsidRDefault="00F02B68" w:rsidP="004956C2">
            <w:pPr>
              <w:spacing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0.561141</w:t>
            </w:r>
          </w:p>
        </w:tc>
        <w:tc>
          <w:tcPr>
            <w:tcW w:w="1410" w:type="dxa"/>
            <w:tcBorders>
              <w:top w:val="nil"/>
              <w:left w:val="nil"/>
              <w:bottom w:val="nil"/>
              <w:right w:val="nil"/>
            </w:tcBorders>
            <w:shd w:val="clear" w:color="auto" w:fill="auto"/>
            <w:vAlign w:val="center"/>
            <w:hideMark/>
          </w:tcPr>
          <w:p w:rsidR="00F02B68" w:rsidRPr="001326AE" w:rsidRDefault="00F02B68" w:rsidP="004956C2">
            <w:pPr>
              <w:spacing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0.288114</w:t>
            </w:r>
          </w:p>
        </w:tc>
      </w:tr>
      <w:tr w:rsidR="00F02B68" w:rsidRPr="001326AE" w:rsidTr="004956C2">
        <w:trPr>
          <w:trHeight w:val="20"/>
        </w:trPr>
        <w:tc>
          <w:tcPr>
            <w:tcW w:w="2660" w:type="dxa"/>
            <w:tcBorders>
              <w:top w:val="nil"/>
              <w:left w:val="nil"/>
              <w:bottom w:val="nil"/>
              <w:right w:val="nil"/>
            </w:tcBorders>
            <w:vAlign w:val="center"/>
          </w:tcPr>
          <w:p w:rsidR="00F02B68" w:rsidRPr="001326AE" w:rsidRDefault="00F02B68" w:rsidP="004956C2">
            <w:pPr>
              <w:spacing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LONE PARENT</w:t>
            </w:r>
          </w:p>
        </w:tc>
        <w:tc>
          <w:tcPr>
            <w:tcW w:w="1527" w:type="dxa"/>
            <w:tcBorders>
              <w:top w:val="nil"/>
              <w:left w:val="nil"/>
              <w:bottom w:val="nil"/>
              <w:right w:val="nil"/>
            </w:tcBorders>
            <w:shd w:val="clear" w:color="auto" w:fill="auto"/>
            <w:vAlign w:val="center"/>
            <w:hideMark/>
          </w:tcPr>
          <w:p w:rsidR="00F02B68" w:rsidRPr="001326AE" w:rsidRDefault="00F02B68" w:rsidP="004956C2">
            <w:pPr>
              <w:spacing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0.061056</w:t>
            </w:r>
          </w:p>
        </w:tc>
        <w:tc>
          <w:tcPr>
            <w:tcW w:w="1410" w:type="dxa"/>
            <w:tcBorders>
              <w:top w:val="nil"/>
              <w:left w:val="nil"/>
              <w:bottom w:val="nil"/>
              <w:right w:val="nil"/>
            </w:tcBorders>
            <w:shd w:val="clear" w:color="auto" w:fill="auto"/>
            <w:vAlign w:val="center"/>
            <w:hideMark/>
          </w:tcPr>
          <w:p w:rsidR="00F02B68" w:rsidRPr="001326AE" w:rsidRDefault="00F02B68" w:rsidP="004956C2">
            <w:pPr>
              <w:spacing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-0.28</w:t>
            </w:r>
          </w:p>
        </w:tc>
        <w:tc>
          <w:tcPr>
            <w:tcW w:w="1410" w:type="dxa"/>
            <w:tcBorders>
              <w:top w:val="nil"/>
              <w:left w:val="nil"/>
              <w:bottom w:val="nil"/>
              <w:right w:val="nil"/>
            </w:tcBorders>
            <w:shd w:val="clear" w:color="auto" w:fill="auto"/>
            <w:vAlign w:val="center"/>
            <w:hideMark/>
          </w:tcPr>
          <w:p w:rsidR="00F02B68" w:rsidRPr="001326AE" w:rsidRDefault="00F02B68" w:rsidP="004956C2">
            <w:pPr>
              <w:spacing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-0.066617</w:t>
            </w:r>
          </w:p>
        </w:tc>
        <w:tc>
          <w:tcPr>
            <w:tcW w:w="1410" w:type="dxa"/>
            <w:tcBorders>
              <w:top w:val="nil"/>
              <w:left w:val="nil"/>
              <w:bottom w:val="nil"/>
              <w:right w:val="nil"/>
            </w:tcBorders>
            <w:shd w:val="clear" w:color="auto" w:fill="auto"/>
            <w:vAlign w:val="center"/>
            <w:hideMark/>
          </w:tcPr>
          <w:p w:rsidR="00F02B68" w:rsidRPr="001326AE" w:rsidRDefault="00F02B68" w:rsidP="004956C2">
            <w:pPr>
              <w:spacing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0.053004</w:t>
            </w:r>
          </w:p>
        </w:tc>
        <w:tc>
          <w:tcPr>
            <w:tcW w:w="1410" w:type="dxa"/>
            <w:tcBorders>
              <w:top w:val="nil"/>
              <w:left w:val="nil"/>
              <w:bottom w:val="nil"/>
              <w:right w:val="nil"/>
            </w:tcBorders>
            <w:shd w:val="clear" w:color="auto" w:fill="auto"/>
            <w:vAlign w:val="center"/>
            <w:hideMark/>
          </w:tcPr>
          <w:p w:rsidR="00F02B68" w:rsidRPr="001326AE" w:rsidRDefault="00F02B68" w:rsidP="004956C2">
            <w:pPr>
              <w:spacing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0.163524</w:t>
            </w:r>
          </w:p>
        </w:tc>
        <w:tc>
          <w:tcPr>
            <w:tcW w:w="1490" w:type="dxa"/>
            <w:tcBorders>
              <w:top w:val="nil"/>
              <w:left w:val="nil"/>
              <w:bottom w:val="nil"/>
              <w:right w:val="nil"/>
            </w:tcBorders>
            <w:shd w:val="clear" w:color="auto" w:fill="auto"/>
            <w:vAlign w:val="center"/>
            <w:hideMark/>
          </w:tcPr>
          <w:p w:rsidR="00F02B68" w:rsidRPr="001326AE" w:rsidRDefault="00F02B68" w:rsidP="004956C2">
            <w:pPr>
              <w:spacing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0.359083</w:t>
            </w:r>
          </w:p>
        </w:tc>
        <w:tc>
          <w:tcPr>
            <w:tcW w:w="1410" w:type="dxa"/>
            <w:tcBorders>
              <w:top w:val="nil"/>
              <w:left w:val="nil"/>
              <w:bottom w:val="nil"/>
              <w:right w:val="nil"/>
            </w:tcBorders>
            <w:shd w:val="clear" w:color="auto" w:fill="auto"/>
            <w:vAlign w:val="center"/>
            <w:hideMark/>
          </w:tcPr>
          <w:p w:rsidR="00F02B68" w:rsidRPr="001326AE" w:rsidRDefault="00F02B68" w:rsidP="004956C2">
            <w:pPr>
              <w:spacing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0.230141</w:t>
            </w:r>
          </w:p>
        </w:tc>
      </w:tr>
      <w:tr w:rsidR="00F02B68" w:rsidRPr="001326AE" w:rsidTr="004956C2">
        <w:trPr>
          <w:trHeight w:val="20"/>
        </w:trPr>
        <w:tc>
          <w:tcPr>
            <w:tcW w:w="2660" w:type="dxa"/>
            <w:tcBorders>
              <w:top w:val="nil"/>
              <w:left w:val="nil"/>
              <w:bottom w:val="nil"/>
              <w:right w:val="nil"/>
            </w:tcBorders>
            <w:vAlign w:val="center"/>
          </w:tcPr>
          <w:p w:rsidR="00F02B68" w:rsidRPr="001326AE" w:rsidRDefault="00F02B68" w:rsidP="004956C2">
            <w:pPr>
              <w:spacing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PRIVATE RENTER</w:t>
            </w:r>
          </w:p>
        </w:tc>
        <w:tc>
          <w:tcPr>
            <w:tcW w:w="1527" w:type="dxa"/>
            <w:tcBorders>
              <w:top w:val="nil"/>
              <w:left w:val="nil"/>
              <w:bottom w:val="nil"/>
              <w:right w:val="nil"/>
            </w:tcBorders>
            <w:shd w:val="clear" w:color="auto" w:fill="auto"/>
            <w:vAlign w:val="center"/>
            <w:hideMark/>
          </w:tcPr>
          <w:p w:rsidR="00F02B68" w:rsidRPr="001326AE" w:rsidRDefault="00F02B68" w:rsidP="004956C2">
            <w:pPr>
              <w:spacing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0.176777</w:t>
            </w:r>
          </w:p>
        </w:tc>
        <w:tc>
          <w:tcPr>
            <w:tcW w:w="1410" w:type="dxa"/>
            <w:tcBorders>
              <w:top w:val="nil"/>
              <w:left w:val="nil"/>
              <w:bottom w:val="nil"/>
              <w:right w:val="nil"/>
            </w:tcBorders>
            <w:shd w:val="clear" w:color="auto" w:fill="auto"/>
            <w:vAlign w:val="center"/>
            <w:hideMark/>
          </w:tcPr>
          <w:p w:rsidR="00F02B68" w:rsidRPr="001326AE" w:rsidRDefault="00F02B68" w:rsidP="004956C2">
            <w:pPr>
              <w:spacing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-0.06</w:t>
            </w:r>
          </w:p>
        </w:tc>
        <w:tc>
          <w:tcPr>
            <w:tcW w:w="1410" w:type="dxa"/>
            <w:tcBorders>
              <w:top w:val="nil"/>
              <w:left w:val="nil"/>
              <w:bottom w:val="nil"/>
              <w:right w:val="nil"/>
            </w:tcBorders>
            <w:shd w:val="clear" w:color="auto" w:fill="auto"/>
            <w:vAlign w:val="center"/>
            <w:hideMark/>
          </w:tcPr>
          <w:p w:rsidR="00F02B68" w:rsidRPr="001326AE" w:rsidRDefault="00F02B68" w:rsidP="004956C2">
            <w:pPr>
              <w:spacing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0.101401</w:t>
            </w:r>
          </w:p>
        </w:tc>
        <w:tc>
          <w:tcPr>
            <w:tcW w:w="1410" w:type="dxa"/>
            <w:tcBorders>
              <w:top w:val="nil"/>
              <w:left w:val="nil"/>
              <w:bottom w:val="nil"/>
              <w:right w:val="nil"/>
            </w:tcBorders>
            <w:shd w:val="clear" w:color="auto" w:fill="auto"/>
            <w:vAlign w:val="center"/>
            <w:hideMark/>
          </w:tcPr>
          <w:p w:rsidR="00F02B68" w:rsidRPr="001326AE" w:rsidRDefault="00F02B68" w:rsidP="004956C2">
            <w:pPr>
              <w:spacing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0.187608</w:t>
            </w:r>
          </w:p>
        </w:tc>
        <w:tc>
          <w:tcPr>
            <w:tcW w:w="1410" w:type="dxa"/>
            <w:tcBorders>
              <w:top w:val="nil"/>
              <w:left w:val="nil"/>
              <w:bottom w:val="nil"/>
              <w:right w:val="nil"/>
            </w:tcBorders>
            <w:shd w:val="clear" w:color="auto" w:fill="auto"/>
            <w:vAlign w:val="center"/>
            <w:hideMark/>
          </w:tcPr>
          <w:p w:rsidR="00F02B68" w:rsidRPr="001326AE" w:rsidRDefault="00F02B68" w:rsidP="004956C2">
            <w:pPr>
              <w:spacing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0.289015</w:t>
            </w:r>
          </w:p>
        </w:tc>
        <w:tc>
          <w:tcPr>
            <w:tcW w:w="1490" w:type="dxa"/>
            <w:tcBorders>
              <w:top w:val="nil"/>
              <w:left w:val="nil"/>
              <w:bottom w:val="nil"/>
              <w:right w:val="nil"/>
            </w:tcBorders>
            <w:shd w:val="clear" w:color="auto" w:fill="auto"/>
            <w:vAlign w:val="center"/>
            <w:hideMark/>
          </w:tcPr>
          <w:p w:rsidR="00F02B68" w:rsidRPr="001326AE" w:rsidRDefault="00F02B68" w:rsidP="004956C2">
            <w:pPr>
              <w:spacing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0.474736</w:t>
            </w:r>
          </w:p>
        </w:tc>
        <w:tc>
          <w:tcPr>
            <w:tcW w:w="1410" w:type="dxa"/>
            <w:tcBorders>
              <w:top w:val="nil"/>
              <w:left w:val="nil"/>
              <w:bottom w:val="nil"/>
              <w:right w:val="nil"/>
            </w:tcBorders>
            <w:shd w:val="clear" w:color="auto" w:fill="auto"/>
            <w:vAlign w:val="center"/>
            <w:hideMark/>
          </w:tcPr>
          <w:p w:rsidR="00F02B68" w:rsidRPr="001326AE" w:rsidRDefault="00F02B68" w:rsidP="004956C2">
            <w:pPr>
              <w:spacing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0.187614</w:t>
            </w:r>
          </w:p>
        </w:tc>
      </w:tr>
      <w:tr w:rsidR="00F02B68" w:rsidRPr="001326AE" w:rsidTr="004956C2">
        <w:trPr>
          <w:trHeight w:val="20"/>
        </w:trPr>
        <w:tc>
          <w:tcPr>
            <w:tcW w:w="2660" w:type="dxa"/>
            <w:tcBorders>
              <w:top w:val="nil"/>
              <w:left w:val="nil"/>
              <w:bottom w:val="single" w:sz="4" w:space="0" w:color="000000"/>
              <w:right w:val="nil"/>
            </w:tcBorders>
            <w:vAlign w:val="center"/>
          </w:tcPr>
          <w:p w:rsidR="00F02B68" w:rsidRPr="001326AE" w:rsidRDefault="00F02B68" w:rsidP="004956C2">
            <w:pPr>
              <w:spacing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NON GAS</w:t>
            </w:r>
          </w:p>
        </w:tc>
        <w:tc>
          <w:tcPr>
            <w:tcW w:w="1527" w:type="dxa"/>
            <w:tcBorders>
              <w:top w:val="nil"/>
              <w:left w:val="nil"/>
              <w:bottom w:val="single" w:sz="4" w:space="0" w:color="000000"/>
              <w:right w:val="nil"/>
            </w:tcBorders>
            <w:shd w:val="clear" w:color="auto" w:fill="auto"/>
            <w:vAlign w:val="center"/>
            <w:hideMark/>
          </w:tcPr>
          <w:p w:rsidR="00F02B68" w:rsidRPr="001326AE" w:rsidRDefault="00F02B68" w:rsidP="004956C2">
            <w:pPr>
              <w:spacing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-0.012492</w:t>
            </w:r>
          </w:p>
        </w:tc>
        <w:tc>
          <w:tcPr>
            <w:tcW w:w="1410" w:type="dxa"/>
            <w:tcBorders>
              <w:top w:val="nil"/>
              <w:left w:val="nil"/>
              <w:bottom w:val="single" w:sz="4" w:space="0" w:color="000000"/>
              <w:right w:val="nil"/>
            </w:tcBorders>
            <w:shd w:val="clear" w:color="auto" w:fill="auto"/>
            <w:vAlign w:val="center"/>
            <w:hideMark/>
          </w:tcPr>
          <w:p w:rsidR="00F02B68" w:rsidRPr="001326AE" w:rsidRDefault="00F02B68" w:rsidP="004956C2">
            <w:pPr>
              <w:spacing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-0.31</w:t>
            </w:r>
          </w:p>
        </w:tc>
        <w:tc>
          <w:tcPr>
            <w:tcW w:w="1410" w:type="dxa"/>
            <w:tcBorders>
              <w:top w:val="nil"/>
              <w:left w:val="nil"/>
              <w:bottom w:val="single" w:sz="4" w:space="0" w:color="000000"/>
              <w:right w:val="nil"/>
            </w:tcBorders>
            <w:shd w:val="clear" w:color="auto" w:fill="auto"/>
            <w:vAlign w:val="center"/>
            <w:hideMark/>
          </w:tcPr>
          <w:p w:rsidR="00F02B68" w:rsidRPr="001326AE" w:rsidRDefault="00F02B68" w:rsidP="004956C2">
            <w:pPr>
              <w:spacing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-0.143219</w:t>
            </w:r>
          </w:p>
        </w:tc>
        <w:tc>
          <w:tcPr>
            <w:tcW w:w="1410" w:type="dxa"/>
            <w:tcBorders>
              <w:top w:val="nil"/>
              <w:left w:val="nil"/>
              <w:bottom w:val="single" w:sz="4" w:space="0" w:color="000000"/>
              <w:right w:val="nil"/>
            </w:tcBorders>
            <w:shd w:val="clear" w:color="auto" w:fill="auto"/>
            <w:vAlign w:val="center"/>
            <w:hideMark/>
          </w:tcPr>
          <w:p w:rsidR="00F02B68" w:rsidRPr="001326AE" w:rsidRDefault="00F02B68" w:rsidP="004956C2">
            <w:pPr>
              <w:spacing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-0.043999</w:t>
            </w:r>
          </w:p>
        </w:tc>
        <w:tc>
          <w:tcPr>
            <w:tcW w:w="1410" w:type="dxa"/>
            <w:tcBorders>
              <w:top w:val="nil"/>
              <w:left w:val="nil"/>
              <w:bottom w:val="single" w:sz="4" w:space="0" w:color="000000"/>
              <w:right w:val="nil"/>
            </w:tcBorders>
            <w:shd w:val="clear" w:color="auto" w:fill="auto"/>
            <w:vAlign w:val="center"/>
            <w:hideMark/>
          </w:tcPr>
          <w:p w:rsidR="00F02B68" w:rsidRPr="001326AE" w:rsidRDefault="00F02B68" w:rsidP="004956C2">
            <w:pPr>
              <w:spacing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0.037649</w:t>
            </w:r>
          </w:p>
        </w:tc>
        <w:tc>
          <w:tcPr>
            <w:tcW w:w="1490" w:type="dxa"/>
            <w:tcBorders>
              <w:top w:val="nil"/>
              <w:left w:val="nil"/>
              <w:bottom w:val="single" w:sz="4" w:space="0" w:color="000000"/>
              <w:right w:val="nil"/>
            </w:tcBorders>
            <w:shd w:val="clear" w:color="auto" w:fill="auto"/>
            <w:vAlign w:val="center"/>
            <w:hideMark/>
          </w:tcPr>
          <w:p w:rsidR="00F02B68" w:rsidRPr="001326AE" w:rsidRDefault="00F02B68" w:rsidP="004956C2">
            <w:pPr>
              <w:spacing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0.200534</w:t>
            </w:r>
          </w:p>
        </w:tc>
        <w:tc>
          <w:tcPr>
            <w:tcW w:w="1410" w:type="dxa"/>
            <w:tcBorders>
              <w:top w:val="nil"/>
              <w:left w:val="nil"/>
              <w:bottom w:val="single" w:sz="4" w:space="0" w:color="000000"/>
              <w:right w:val="nil"/>
            </w:tcBorders>
            <w:shd w:val="clear" w:color="auto" w:fill="auto"/>
            <w:vAlign w:val="center"/>
            <w:hideMark/>
          </w:tcPr>
          <w:p w:rsidR="00F02B68" w:rsidRPr="001326AE" w:rsidRDefault="00F02B68" w:rsidP="004956C2">
            <w:pPr>
              <w:spacing w:after="0"/>
              <w:jc w:val="both"/>
              <w:rPr>
                <w:rFonts w:eastAsia="Times New Roman" w:cs="Times New Roman"/>
                <w:color w:val="000000"/>
                <w:sz w:val="24"/>
                <w:szCs w:val="24"/>
                <w:lang w:eastAsia="en-GB"/>
              </w:rPr>
            </w:pPr>
            <w:r w:rsidRPr="001326AE">
              <w:rPr>
                <w:rFonts w:eastAsia="Times New Roman" w:cs="Times New Roman"/>
                <w:color w:val="000000"/>
                <w:sz w:val="24"/>
                <w:szCs w:val="24"/>
                <w:lang w:eastAsia="en-GB"/>
              </w:rPr>
              <w:t>0.180868</w:t>
            </w:r>
          </w:p>
        </w:tc>
      </w:tr>
    </w:tbl>
    <w:p w:rsidR="00F02B68" w:rsidRDefault="00F02B68" w:rsidP="00F02B68">
      <w:pPr>
        <w:spacing w:line="360" w:lineRule="auto"/>
        <w:jc w:val="both"/>
        <w:rPr>
          <w:rFonts w:cs="Times New Roman"/>
          <w:sz w:val="24"/>
          <w:szCs w:val="24"/>
        </w:rPr>
      </w:pPr>
    </w:p>
    <w:tbl>
      <w:tblPr>
        <w:tblpPr w:leftFromText="180" w:rightFromText="180" w:vertAnchor="text" w:horzAnchor="margin" w:tblpY="-10"/>
        <w:tblW w:w="12724" w:type="dxa"/>
        <w:tblLook w:val="04A0" w:firstRow="1" w:lastRow="0" w:firstColumn="1" w:lastColumn="0" w:noHBand="0" w:noVBand="1"/>
      </w:tblPr>
      <w:tblGrid>
        <w:gridCol w:w="2660"/>
        <w:gridCol w:w="1564"/>
        <w:gridCol w:w="1413"/>
        <w:gridCol w:w="1417"/>
        <w:gridCol w:w="1418"/>
        <w:gridCol w:w="1417"/>
        <w:gridCol w:w="1418"/>
        <w:gridCol w:w="1417"/>
      </w:tblGrid>
      <w:tr w:rsidR="00F02B68" w:rsidRPr="00984366" w:rsidTr="004956C2">
        <w:trPr>
          <w:trHeight w:val="330"/>
        </w:trPr>
        <w:tc>
          <w:tcPr>
            <w:tcW w:w="2660" w:type="dxa"/>
            <w:tcBorders>
              <w:top w:val="single" w:sz="4" w:space="0" w:color="000000"/>
              <w:left w:val="nil"/>
              <w:right w:val="nil"/>
            </w:tcBorders>
            <w:shd w:val="clear" w:color="000000" w:fill="FFFFFF"/>
          </w:tcPr>
          <w:p w:rsidR="00F02B68" w:rsidRPr="00984366" w:rsidRDefault="00F02B68" w:rsidP="004956C2">
            <w:pPr>
              <w:spacing w:after="0"/>
              <w:jc w:val="both"/>
              <w:rPr>
                <w:rFonts w:eastAsia="Times New Roman" w:cs="Times New Roman"/>
                <w:color w:val="000000"/>
                <w:sz w:val="24"/>
                <w:szCs w:val="24"/>
                <w:lang w:eastAsia="en-GB"/>
              </w:rPr>
            </w:pPr>
            <w:r>
              <w:rPr>
                <w:rFonts w:eastAsia="Times New Roman" w:cs="Times New Roman"/>
                <w:color w:val="000000"/>
                <w:sz w:val="24"/>
                <w:szCs w:val="24"/>
                <w:lang w:eastAsia="en-GB"/>
              </w:rPr>
              <w:t>Descriptor</w:t>
            </w:r>
          </w:p>
        </w:tc>
        <w:tc>
          <w:tcPr>
            <w:tcW w:w="10064" w:type="dxa"/>
            <w:gridSpan w:val="7"/>
            <w:tcBorders>
              <w:top w:val="single" w:sz="4" w:space="0" w:color="000000"/>
              <w:left w:val="nil"/>
              <w:bottom w:val="single" w:sz="8" w:space="0" w:color="auto"/>
              <w:right w:val="nil"/>
            </w:tcBorders>
            <w:shd w:val="clear" w:color="000000" w:fill="FFFFFF"/>
            <w:vAlign w:val="center"/>
            <w:hideMark/>
          </w:tcPr>
          <w:p w:rsidR="00F02B68" w:rsidRPr="00984366" w:rsidRDefault="00F02B68" w:rsidP="004956C2">
            <w:pPr>
              <w:spacing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10% indicator (coefficient estimates)</w:t>
            </w:r>
          </w:p>
        </w:tc>
      </w:tr>
      <w:tr w:rsidR="00F02B68" w:rsidRPr="00984366" w:rsidTr="004956C2">
        <w:trPr>
          <w:trHeight w:val="262"/>
        </w:trPr>
        <w:tc>
          <w:tcPr>
            <w:tcW w:w="2660" w:type="dxa"/>
            <w:tcBorders>
              <w:left w:val="nil"/>
              <w:bottom w:val="single" w:sz="8" w:space="0" w:color="auto"/>
              <w:right w:val="nil"/>
            </w:tcBorders>
            <w:shd w:val="clear" w:color="000000" w:fill="FFFFFF"/>
          </w:tcPr>
          <w:p w:rsidR="00F02B68" w:rsidRPr="00984366" w:rsidRDefault="00F02B68" w:rsidP="004956C2">
            <w:pPr>
              <w:spacing w:after="0"/>
              <w:rPr>
                <w:rFonts w:eastAsia="Times New Roman" w:cs="Times New Roman"/>
                <w:color w:val="000000"/>
                <w:sz w:val="24"/>
                <w:szCs w:val="24"/>
                <w:lang w:eastAsia="en-GB"/>
              </w:rPr>
            </w:pPr>
          </w:p>
        </w:tc>
        <w:tc>
          <w:tcPr>
            <w:tcW w:w="1564" w:type="dxa"/>
            <w:tcBorders>
              <w:top w:val="nil"/>
              <w:left w:val="nil"/>
              <w:bottom w:val="single" w:sz="8" w:space="0" w:color="auto"/>
              <w:right w:val="nil"/>
            </w:tcBorders>
            <w:shd w:val="clear" w:color="000000" w:fill="FFFFFF"/>
            <w:vAlign w:val="center"/>
            <w:hideMark/>
          </w:tcPr>
          <w:p w:rsidR="00F02B68" w:rsidRPr="00984366" w:rsidRDefault="00F02B68" w:rsidP="004956C2">
            <w:pPr>
              <w:spacing w:after="0"/>
              <w:rPr>
                <w:rFonts w:eastAsia="Times New Roman" w:cs="Times New Roman"/>
                <w:color w:val="000000"/>
                <w:sz w:val="24"/>
                <w:szCs w:val="24"/>
                <w:lang w:eastAsia="en-GB"/>
              </w:rPr>
            </w:pPr>
            <w:r w:rsidRPr="00984366">
              <w:rPr>
                <w:rFonts w:eastAsia="Times New Roman" w:cs="Times New Roman"/>
                <w:color w:val="000000"/>
                <w:sz w:val="24"/>
                <w:szCs w:val="24"/>
                <w:lang w:eastAsia="en-GB"/>
              </w:rPr>
              <w:t>Mean est.</w:t>
            </w:r>
          </w:p>
        </w:tc>
        <w:tc>
          <w:tcPr>
            <w:tcW w:w="1413" w:type="dxa"/>
            <w:tcBorders>
              <w:top w:val="nil"/>
              <w:left w:val="nil"/>
              <w:bottom w:val="single" w:sz="8" w:space="0" w:color="auto"/>
              <w:right w:val="nil"/>
            </w:tcBorders>
            <w:shd w:val="clear" w:color="000000" w:fill="FFFFFF"/>
            <w:vAlign w:val="center"/>
            <w:hideMark/>
          </w:tcPr>
          <w:p w:rsidR="00F02B68" w:rsidRPr="00984366" w:rsidRDefault="00F02B68" w:rsidP="004956C2">
            <w:pPr>
              <w:spacing w:after="0"/>
              <w:rPr>
                <w:rFonts w:eastAsia="Times New Roman" w:cs="Times New Roman"/>
                <w:color w:val="000000"/>
                <w:sz w:val="24"/>
                <w:szCs w:val="24"/>
                <w:lang w:eastAsia="en-GB"/>
              </w:rPr>
            </w:pPr>
            <w:r w:rsidRPr="00984366">
              <w:rPr>
                <w:rFonts w:eastAsia="Times New Roman" w:cs="Times New Roman"/>
                <w:color w:val="000000"/>
                <w:sz w:val="24"/>
                <w:szCs w:val="24"/>
                <w:lang w:eastAsia="en-GB"/>
              </w:rPr>
              <w:t>Min. est.</w:t>
            </w:r>
          </w:p>
        </w:tc>
        <w:tc>
          <w:tcPr>
            <w:tcW w:w="1417" w:type="dxa"/>
            <w:tcBorders>
              <w:top w:val="nil"/>
              <w:left w:val="nil"/>
              <w:bottom w:val="single" w:sz="8" w:space="0" w:color="auto"/>
              <w:right w:val="nil"/>
            </w:tcBorders>
            <w:shd w:val="clear" w:color="000000" w:fill="FFFFFF"/>
            <w:vAlign w:val="center"/>
            <w:hideMark/>
          </w:tcPr>
          <w:p w:rsidR="00F02B68" w:rsidRPr="00984366" w:rsidRDefault="00F02B68" w:rsidP="004956C2">
            <w:pPr>
              <w:spacing w:after="0"/>
              <w:rPr>
                <w:rFonts w:eastAsia="Times New Roman" w:cs="Times New Roman"/>
                <w:color w:val="000000"/>
                <w:sz w:val="24"/>
                <w:szCs w:val="24"/>
                <w:lang w:eastAsia="en-GB"/>
              </w:rPr>
            </w:pPr>
            <w:r w:rsidRPr="00984366">
              <w:rPr>
                <w:rFonts w:eastAsia="Times New Roman" w:cs="Times New Roman"/>
                <w:color w:val="000000"/>
                <w:sz w:val="24"/>
                <w:szCs w:val="24"/>
                <w:lang w:eastAsia="en-GB"/>
              </w:rPr>
              <w:t>Lower quar.</w:t>
            </w:r>
          </w:p>
        </w:tc>
        <w:tc>
          <w:tcPr>
            <w:tcW w:w="1418" w:type="dxa"/>
            <w:tcBorders>
              <w:top w:val="nil"/>
              <w:left w:val="nil"/>
              <w:bottom w:val="single" w:sz="8" w:space="0" w:color="auto"/>
              <w:right w:val="nil"/>
            </w:tcBorders>
            <w:shd w:val="clear" w:color="000000" w:fill="FFFFFF"/>
            <w:vAlign w:val="center"/>
            <w:hideMark/>
          </w:tcPr>
          <w:p w:rsidR="00F02B68" w:rsidRPr="00984366" w:rsidRDefault="00F02B68" w:rsidP="004956C2">
            <w:pPr>
              <w:spacing w:after="0"/>
              <w:rPr>
                <w:rFonts w:eastAsia="Times New Roman" w:cs="Times New Roman"/>
                <w:color w:val="000000"/>
                <w:sz w:val="24"/>
                <w:szCs w:val="24"/>
                <w:lang w:eastAsia="en-GB"/>
              </w:rPr>
            </w:pPr>
            <w:r w:rsidRPr="00984366">
              <w:rPr>
                <w:rFonts w:eastAsia="Times New Roman" w:cs="Times New Roman"/>
                <w:color w:val="000000"/>
                <w:sz w:val="24"/>
                <w:szCs w:val="24"/>
                <w:lang w:eastAsia="en-GB"/>
              </w:rPr>
              <w:t>Median</w:t>
            </w:r>
          </w:p>
        </w:tc>
        <w:tc>
          <w:tcPr>
            <w:tcW w:w="1417" w:type="dxa"/>
            <w:tcBorders>
              <w:top w:val="nil"/>
              <w:left w:val="nil"/>
              <w:bottom w:val="single" w:sz="8" w:space="0" w:color="auto"/>
              <w:right w:val="nil"/>
            </w:tcBorders>
            <w:shd w:val="clear" w:color="000000" w:fill="FFFFFF"/>
            <w:vAlign w:val="center"/>
            <w:hideMark/>
          </w:tcPr>
          <w:p w:rsidR="00F02B68" w:rsidRPr="00984366" w:rsidRDefault="00F02B68" w:rsidP="004956C2">
            <w:pPr>
              <w:spacing w:after="0"/>
              <w:rPr>
                <w:rFonts w:eastAsia="Times New Roman" w:cs="Times New Roman"/>
                <w:color w:val="000000"/>
                <w:sz w:val="24"/>
                <w:szCs w:val="24"/>
                <w:lang w:eastAsia="en-GB"/>
              </w:rPr>
            </w:pPr>
            <w:r w:rsidRPr="00984366">
              <w:rPr>
                <w:rFonts w:eastAsia="Times New Roman" w:cs="Times New Roman"/>
                <w:color w:val="000000"/>
                <w:sz w:val="24"/>
                <w:szCs w:val="24"/>
                <w:lang w:eastAsia="en-GB"/>
              </w:rPr>
              <w:t>Upper quar.</w:t>
            </w:r>
          </w:p>
        </w:tc>
        <w:tc>
          <w:tcPr>
            <w:tcW w:w="1418" w:type="dxa"/>
            <w:tcBorders>
              <w:top w:val="nil"/>
              <w:left w:val="nil"/>
              <w:bottom w:val="single" w:sz="8" w:space="0" w:color="auto"/>
              <w:right w:val="nil"/>
            </w:tcBorders>
            <w:shd w:val="clear" w:color="000000" w:fill="FFFFFF"/>
            <w:vAlign w:val="center"/>
            <w:hideMark/>
          </w:tcPr>
          <w:p w:rsidR="00F02B68" w:rsidRPr="00984366" w:rsidRDefault="00F02B68" w:rsidP="004956C2">
            <w:pPr>
              <w:spacing w:after="0"/>
              <w:rPr>
                <w:rFonts w:eastAsia="Times New Roman" w:cs="Times New Roman"/>
                <w:color w:val="000000"/>
                <w:sz w:val="24"/>
                <w:szCs w:val="24"/>
                <w:lang w:eastAsia="en-GB"/>
              </w:rPr>
            </w:pPr>
            <w:r w:rsidRPr="00984366">
              <w:rPr>
                <w:rFonts w:eastAsia="Times New Roman" w:cs="Times New Roman"/>
                <w:color w:val="000000"/>
                <w:sz w:val="24"/>
                <w:szCs w:val="24"/>
                <w:lang w:eastAsia="en-GB"/>
              </w:rPr>
              <w:t>Max. est.</w:t>
            </w:r>
          </w:p>
        </w:tc>
        <w:tc>
          <w:tcPr>
            <w:tcW w:w="1417" w:type="dxa"/>
            <w:tcBorders>
              <w:top w:val="nil"/>
              <w:left w:val="nil"/>
              <w:bottom w:val="single" w:sz="8" w:space="0" w:color="auto"/>
              <w:right w:val="nil"/>
            </w:tcBorders>
            <w:shd w:val="clear" w:color="000000" w:fill="FFFFFF"/>
            <w:vAlign w:val="center"/>
            <w:hideMark/>
          </w:tcPr>
          <w:p w:rsidR="00F02B68" w:rsidRPr="00984366" w:rsidRDefault="00F02B68" w:rsidP="004956C2">
            <w:pPr>
              <w:spacing w:after="0"/>
              <w:rPr>
                <w:rFonts w:eastAsia="Times New Roman" w:cs="Times New Roman"/>
                <w:color w:val="000000"/>
                <w:sz w:val="24"/>
                <w:szCs w:val="24"/>
                <w:lang w:eastAsia="en-GB"/>
              </w:rPr>
            </w:pPr>
            <w:r w:rsidRPr="00984366">
              <w:rPr>
                <w:rFonts w:eastAsia="Times New Roman" w:cs="Times New Roman"/>
                <w:color w:val="000000"/>
                <w:sz w:val="24"/>
                <w:szCs w:val="24"/>
                <w:lang w:eastAsia="en-GB"/>
              </w:rPr>
              <w:t>IQ* range</w:t>
            </w:r>
          </w:p>
        </w:tc>
      </w:tr>
      <w:tr w:rsidR="00F02B68" w:rsidRPr="00984366" w:rsidTr="004956C2">
        <w:trPr>
          <w:trHeight w:val="315"/>
        </w:trPr>
        <w:tc>
          <w:tcPr>
            <w:tcW w:w="2660" w:type="dxa"/>
            <w:tcBorders>
              <w:top w:val="nil"/>
              <w:left w:val="nil"/>
              <w:bottom w:val="nil"/>
              <w:right w:val="nil"/>
            </w:tcBorders>
            <w:vAlign w:val="center"/>
          </w:tcPr>
          <w:p w:rsidR="00F02B68" w:rsidRPr="00984366" w:rsidRDefault="00F02B68" w:rsidP="004956C2">
            <w:pPr>
              <w:spacing w:before="240"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Intercept</w:t>
            </w:r>
          </w:p>
        </w:tc>
        <w:tc>
          <w:tcPr>
            <w:tcW w:w="1564" w:type="dxa"/>
            <w:tcBorders>
              <w:top w:val="nil"/>
              <w:left w:val="nil"/>
              <w:bottom w:val="nil"/>
              <w:right w:val="nil"/>
            </w:tcBorders>
            <w:shd w:val="clear" w:color="auto" w:fill="auto"/>
            <w:vAlign w:val="center"/>
            <w:hideMark/>
          </w:tcPr>
          <w:p w:rsidR="00F02B68" w:rsidRPr="00984366" w:rsidRDefault="00F02B68" w:rsidP="004956C2">
            <w:pPr>
              <w:spacing w:before="240"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6.653573</w:t>
            </w:r>
          </w:p>
        </w:tc>
        <w:tc>
          <w:tcPr>
            <w:tcW w:w="1413" w:type="dxa"/>
            <w:tcBorders>
              <w:top w:val="nil"/>
              <w:left w:val="nil"/>
              <w:bottom w:val="nil"/>
              <w:right w:val="nil"/>
            </w:tcBorders>
            <w:shd w:val="clear" w:color="auto" w:fill="auto"/>
            <w:vAlign w:val="center"/>
            <w:hideMark/>
          </w:tcPr>
          <w:p w:rsidR="00F02B68" w:rsidRPr="00984366" w:rsidRDefault="00F02B68" w:rsidP="004956C2">
            <w:pPr>
              <w:spacing w:before="240"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-6.097825</w:t>
            </w:r>
          </w:p>
        </w:tc>
        <w:tc>
          <w:tcPr>
            <w:tcW w:w="1417" w:type="dxa"/>
            <w:tcBorders>
              <w:top w:val="nil"/>
              <w:left w:val="nil"/>
              <w:bottom w:val="nil"/>
              <w:right w:val="nil"/>
            </w:tcBorders>
            <w:shd w:val="clear" w:color="auto" w:fill="auto"/>
            <w:vAlign w:val="center"/>
            <w:hideMark/>
          </w:tcPr>
          <w:p w:rsidR="00F02B68" w:rsidRPr="00984366" w:rsidRDefault="00F02B68" w:rsidP="004956C2">
            <w:pPr>
              <w:spacing w:before="240"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3.095929</w:t>
            </w:r>
          </w:p>
        </w:tc>
        <w:tc>
          <w:tcPr>
            <w:tcW w:w="1418" w:type="dxa"/>
            <w:tcBorders>
              <w:top w:val="nil"/>
              <w:left w:val="nil"/>
              <w:bottom w:val="nil"/>
              <w:right w:val="nil"/>
            </w:tcBorders>
            <w:shd w:val="clear" w:color="auto" w:fill="auto"/>
            <w:vAlign w:val="center"/>
            <w:hideMark/>
          </w:tcPr>
          <w:p w:rsidR="00F02B68" w:rsidRPr="00984366" w:rsidRDefault="00F02B68" w:rsidP="004956C2">
            <w:pPr>
              <w:spacing w:before="240"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6.51299</w:t>
            </w:r>
          </w:p>
        </w:tc>
        <w:tc>
          <w:tcPr>
            <w:tcW w:w="1417" w:type="dxa"/>
            <w:tcBorders>
              <w:top w:val="nil"/>
              <w:left w:val="nil"/>
              <w:bottom w:val="nil"/>
              <w:right w:val="nil"/>
            </w:tcBorders>
            <w:shd w:val="clear" w:color="auto" w:fill="auto"/>
            <w:vAlign w:val="center"/>
            <w:hideMark/>
          </w:tcPr>
          <w:p w:rsidR="00F02B68" w:rsidRPr="00984366" w:rsidRDefault="00F02B68" w:rsidP="004956C2">
            <w:pPr>
              <w:spacing w:before="240"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9.858161</w:t>
            </w:r>
          </w:p>
        </w:tc>
        <w:tc>
          <w:tcPr>
            <w:tcW w:w="1418" w:type="dxa"/>
            <w:tcBorders>
              <w:top w:val="nil"/>
              <w:left w:val="nil"/>
              <w:bottom w:val="nil"/>
              <w:right w:val="nil"/>
            </w:tcBorders>
            <w:shd w:val="clear" w:color="auto" w:fill="auto"/>
            <w:vAlign w:val="center"/>
            <w:hideMark/>
          </w:tcPr>
          <w:p w:rsidR="00F02B68" w:rsidRPr="00984366" w:rsidRDefault="00F02B68" w:rsidP="004956C2">
            <w:pPr>
              <w:spacing w:before="240"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17.331789</w:t>
            </w:r>
          </w:p>
        </w:tc>
        <w:tc>
          <w:tcPr>
            <w:tcW w:w="1417" w:type="dxa"/>
            <w:tcBorders>
              <w:top w:val="nil"/>
              <w:left w:val="nil"/>
              <w:bottom w:val="nil"/>
              <w:right w:val="nil"/>
            </w:tcBorders>
            <w:shd w:val="clear" w:color="auto" w:fill="auto"/>
            <w:vAlign w:val="center"/>
            <w:hideMark/>
          </w:tcPr>
          <w:p w:rsidR="00F02B68" w:rsidRPr="00984366" w:rsidRDefault="00F02B68" w:rsidP="004956C2">
            <w:pPr>
              <w:spacing w:before="240"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6.762232</w:t>
            </w:r>
          </w:p>
        </w:tc>
      </w:tr>
      <w:tr w:rsidR="00F02B68" w:rsidRPr="00984366" w:rsidTr="004956C2">
        <w:trPr>
          <w:trHeight w:val="315"/>
        </w:trPr>
        <w:tc>
          <w:tcPr>
            <w:tcW w:w="2660" w:type="dxa"/>
            <w:tcBorders>
              <w:top w:val="nil"/>
              <w:left w:val="nil"/>
              <w:bottom w:val="nil"/>
              <w:right w:val="nil"/>
            </w:tcBorders>
            <w:vAlign w:val="center"/>
          </w:tcPr>
          <w:p w:rsidR="00F02B68" w:rsidRPr="00984366" w:rsidRDefault="00F02B68" w:rsidP="004956C2">
            <w:pPr>
              <w:spacing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DISABILITY</w:t>
            </w:r>
          </w:p>
        </w:tc>
        <w:tc>
          <w:tcPr>
            <w:tcW w:w="1564" w:type="dxa"/>
            <w:tcBorders>
              <w:top w:val="nil"/>
              <w:left w:val="nil"/>
              <w:bottom w:val="nil"/>
              <w:right w:val="nil"/>
            </w:tcBorders>
            <w:shd w:val="clear" w:color="auto" w:fill="auto"/>
            <w:vAlign w:val="center"/>
            <w:hideMark/>
          </w:tcPr>
          <w:p w:rsidR="00F02B68" w:rsidRPr="00984366" w:rsidRDefault="00F02B68" w:rsidP="004956C2">
            <w:pPr>
              <w:spacing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0.045701</w:t>
            </w:r>
          </w:p>
        </w:tc>
        <w:tc>
          <w:tcPr>
            <w:tcW w:w="1413" w:type="dxa"/>
            <w:tcBorders>
              <w:top w:val="nil"/>
              <w:left w:val="nil"/>
              <w:bottom w:val="nil"/>
              <w:right w:val="nil"/>
            </w:tcBorders>
            <w:shd w:val="clear" w:color="auto" w:fill="auto"/>
            <w:vAlign w:val="center"/>
            <w:hideMark/>
          </w:tcPr>
          <w:p w:rsidR="00F02B68" w:rsidRPr="00984366" w:rsidRDefault="00F02B68" w:rsidP="004956C2">
            <w:pPr>
              <w:spacing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-0.134653</w:t>
            </w:r>
          </w:p>
        </w:tc>
        <w:tc>
          <w:tcPr>
            <w:tcW w:w="1417" w:type="dxa"/>
            <w:tcBorders>
              <w:top w:val="nil"/>
              <w:left w:val="nil"/>
              <w:bottom w:val="nil"/>
              <w:right w:val="nil"/>
            </w:tcBorders>
            <w:shd w:val="clear" w:color="auto" w:fill="auto"/>
            <w:vAlign w:val="center"/>
            <w:hideMark/>
          </w:tcPr>
          <w:p w:rsidR="00F02B68" w:rsidRPr="00984366" w:rsidRDefault="00F02B68" w:rsidP="004956C2">
            <w:pPr>
              <w:spacing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0.001136</w:t>
            </w:r>
          </w:p>
        </w:tc>
        <w:tc>
          <w:tcPr>
            <w:tcW w:w="1418" w:type="dxa"/>
            <w:tcBorders>
              <w:top w:val="nil"/>
              <w:left w:val="nil"/>
              <w:bottom w:val="nil"/>
              <w:right w:val="nil"/>
            </w:tcBorders>
            <w:shd w:val="clear" w:color="auto" w:fill="auto"/>
            <w:vAlign w:val="center"/>
            <w:hideMark/>
          </w:tcPr>
          <w:p w:rsidR="00F02B68" w:rsidRPr="00984366" w:rsidRDefault="00F02B68" w:rsidP="004956C2">
            <w:pPr>
              <w:spacing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0.032948</w:t>
            </w:r>
          </w:p>
        </w:tc>
        <w:tc>
          <w:tcPr>
            <w:tcW w:w="1417" w:type="dxa"/>
            <w:tcBorders>
              <w:top w:val="nil"/>
              <w:left w:val="nil"/>
              <w:bottom w:val="nil"/>
              <w:right w:val="nil"/>
            </w:tcBorders>
            <w:shd w:val="clear" w:color="auto" w:fill="auto"/>
            <w:vAlign w:val="center"/>
            <w:hideMark/>
          </w:tcPr>
          <w:p w:rsidR="00F02B68" w:rsidRPr="00984366" w:rsidRDefault="00F02B68" w:rsidP="004956C2">
            <w:pPr>
              <w:spacing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0.070789</w:t>
            </w:r>
          </w:p>
        </w:tc>
        <w:tc>
          <w:tcPr>
            <w:tcW w:w="1418" w:type="dxa"/>
            <w:tcBorders>
              <w:top w:val="nil"/>
              <w:left w:val="nil"/>
              <w:bottom w:val="nil"/>
              <w:right w:val="nil"/>
            </w:tcBorders>
            <w:shd w:val="clear" w:color="auto" w:fill="auto"/>
            <w:vAlign w:val="center"/>
            <w:hideMark/>
          </w:tcPr>
          <w:p w:rsidR="00F02B68" w:rsidRPr="00984366" w:rsidRDefault="00F02B68" w:rsidP="004956C2">
            <w:pPr>
              <w:spacing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0.347365</w:t>
            </w:r>
          </w:p>
        </w:tc>
        <w:tc>
          <w:tcPr>
            <w:tcW w:w="1417" w:type="dxa"/>
            <w:tcBorders>
              <w:top w:val="nil"/>
              <w:left w:val="nil"/>
              <w:bottom w:val="nil"/>
              <w:right w:val="nil"/>
            </w:tcBorders>
            <w:shd w:val="clear" w:color="auto" w:fill="auto"/>
            <w:vAlign w:val="center"/>
            <w:hideMark/>
          </w:tcPr>
          <w:p w:rsidR="00F02B68" w:rsidRPr="00984366" w:rsidRDefault="00F02B68" w:rsidP="004956C2">
            <w:pPr>
              <w:spacing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0.069653</w:t>
            </w:r>
          </w:p>
        </w:tc>
      </w:tr>
      <w:tr w:rsidR="00F02B68" w:rsidRPr="00984366" w:rsidTr="004956C2">
        <w:trPr>
          <w:trHeight w:val="315"/>
        </w:trPr>
        <w:tc>
          <w:tcPr>
            <w:tcW w:w="2660" w:type="dxa"/>
            <w:tcBorders>
              <w:top w:val="nil"/>
              <w:left w:val="nil"/>
              <w:bottom w:val="nil"/>
              <w:right w:val="nil"/>
            </w:tcBorders>
            <w:vAlign w:val="center"/>
          </w:tcPr>
          <w:p w:rsidR="00F02B68" w:rsidRPr="00984366" w:rsidRDefault="00F02B68" w:rsidP="004956C2">
            <w:pPr>
              <w:spacing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PENSIONER</w:t>
            </w:r>
          </w:p>
        </w:tc>
        <w:tc>
          <w:tcPr>
            <w:tcW w:w="1564" w:type="dxa"/>
            <w:tcBorders>
              <w:top w:val="nil"/>
              <w:left w:val="nil"/>
              <w:bottom w:val="nil"/>
              <w:right w:val="nil"/>
            </w:tcBorders>
            <w:shd w:val="clear" w:color="auto" w:fill="auto"/>
            <w:vAlign w:val="center"/>
            <w:hideMark/>
          </w:tcPr>
          <w:p w:rsidR="00F02B68" w:rsidRPr="00984366" w:rsidRDefault="00F02B68" w:rsidP="004956C2">
            <w:pPr>
              <w:spacing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0.01008</w:t>
            </w:r>
            <w:r>
              <w:rPr>
                <w:rFonts w:eastAsia="Times New Roman" w:cs="Times New Roman"/>
                <w:color w:val="000000"/>
                <w:sz w:val="24"/>
                <w:szCs w:val="24"/>
                <w:lang w:eastAsia="en-GB"/>
              </w:rPr>
              <w:t>0</w:t>
            </w:r>
          </w:p>
        </w:tc>
        <w:tc>
          <w:tcPr>
            <w:tcW w:w="1413" w:type="dxa"/>
            <w:tcBorders>
              <w:top w:val="nil"/>
              <w:left w:val="nil"/>
              <w:bottom w:val="nil"/>
              <w:right w:val="nil"/>
            </w:tcBorders>
            <w:shd w:val="clear" w:color="auto" w:fill="auto"/>
            <w:vAlign w:val="center"/>
            <w:hideMark/>
          </w:tcPr>
          <w:p w:rsidR="00F02B68" w:rsidRPr="00984366" w:rsidRDefault="00F02B68" w:rsidP="004956C2">
            <w:pPr>
              <w:spacing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-0.335684</w:t>
            </w:r>
          </w:p>
        </w:tc>
        <w:tc>
          <w:tcPr>
            <w:tcW w:w="1417" w:type="dxa"/>
            <w:tcBorders>
              <w:top w:val="nil"/>
              <w:left w:val="nil"/>
              <w:bottom w:val="nil"/>
              <w:right w:val="nil"/>
            </w:tcBorders>
            <w:shd w:val="clear" w:color="auto" w:fill="auto"/>
            <w:vAlign w:val="center"/>
            <w:hideMark/>
          </w:tcPr>
          <w:p w:rsidR="00F02B68" w:rsidRPr="00984366" w:rsidRDefault="00F02B68" w:rsidP="004956C2">
            <w:pPr>
              <w:spacing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-0.043683</w:t>
            </w:r>
          </w:p>
        </w:tc>
        <w:tc>
          <w:tcPr>
            <w:tcW w:w="1418" w:type="dxa"/>
            <w:tcBorders>
              <w:top w:val="nil"/>
              <w:left w:val="nil"/>
              <w:bottom w:val="nil"/>
              <w:right w:val="nil"/>
            </w:tcBorders>
            <w:shd w:val="clear" w:color="auto" w:fill="auto"/>
            <w:vAlign w:val="center"/>
            <w:hideMark/>
          </w:tcPr>
          <w:p w:rsidR="00F02B68" w:rsidRPr="00984366" w:rsidRDefault="00F02B68" w:rsidP="004956C2">
            <w:pPr>
              <w:spacing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0.019489</w:t>
            </w:r>
          </w:p>
        </w:tc>
        <w:tc>
          <w:tcPr>
            <w:tcW w:w="1417" w:type="dxa"/>
            <w:tcBorders>
              <w:top w:val="nil"/>
              <w:left w:val="nil"/>
              <w:bottom w:val="nil"/>
              <w:right w:val="nil"/>
            </w:tcBorders>
            <w:shd w:val="clear" w:color="auto" w:fill="auto"/>
            <w:vAlign w:val="center"/>
            <w:hideMark/>
          </w:tcPr>
          <w:p w:rsidR="00F02B68" w:rsidRPr="00984366" w:rsidRDefault="00F02B68" w:rsidP="004956C2">
            <w:pPr>
              <w:spacing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0.069725</w:t>
            </w:r>
          </w:p>
        </w:tc>
        <w:tc>
          <w:tcPr>
            <w:tcW w:w="1418" w:type="dxa"/>
            <w:tcBorders>
              <w:top w:val="nil"/>
              <w:left w:val="nil"/>
              <w:bottom w:val="nil"/>
              <w:right w:val="nil"/>
            </w:tcBorders>
            <w:shd w:val="clear" w:color="auto" w:fill="auto"/>
            <w:vAlign w:val="center"/>
            <w:hideMark/>
          </w:tcPr>
          <w:p w:rsidR="00F02B68" w:rsidRPr="00984366" w:rsidRDefault="00F02B68" w:rsidP="004956C2">
            <w:pPr>
              <w:spacing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0.284755</w:t>
            </w:r>
          </w:p>
        </w:tc>
        <w:tc>
          <w:tcPr>
            <w:tcW w:w="1417" w:type="dxa"/>
            <w:tcBorders>
              <w:top w:val="nil"/>
              <w:left w:val="nil"/>
              <w:bottom w:val="nil"/>
              <w:right w:val="nil"/>
            </w:tcBorders>
            <w:shd w:val="clear" w:color="auto" w:fill="auto"/>
            <w:vAlign w:val="center"/>
            <w:hideMark/>
          </w:tcPr>
          <w:p w:rsidR="00F02B68" w:rsidRPr="00984366" w:rsidRDefault="00F02B68" w:rsidP="004956C2">
            <w:pPr>
              <w:spacing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0.113408</w:t>
            </w:r>
          </w:p>
        </w:tc>
      </w:tr>
      <w:tr w:rsidR="00F02B68" w:rsidRPr="00984366" w:rsidTr="004956C2">
        <w:trPr>
          <w:trHeight w:val="315"/>
        </w:trPr>
        <w:tc>
          <w:tcPr>
            <w:tcW w:w="2660" w:type="dxa"/>
            <w:tcBorders>
              <w:top w:val="nil"/>
              <w:left w:val="nil"/>
              <w:bottom w:val="nil"/>
              <w:right w:val="nil"/>
            </w:tcBorders>
            <w:vAlign w:val="center"/>
          </w:tcPr>
          <w:p w:rsidR="00F02B68" w:rsidRPr="00984366" w:rsidRDefault="00F02B68" w:rsidP="004956C2">
            <w:pPr>
              <w:spacing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YOUNG CHILD</w:t>
            </w:r>
          </w:p>
        </w:tc>
        <w:tc>
          <w:tcPr>
            <w:tcW w:w="1564" w:type="dxa"/>
            <w:tcBorders>
              <w:top w:val="nil"/>
              <w:left w:val="nil"/>
              <w:bottom w:val="nil"/>
              <w:right w:val="nil"/>
            </w:tcBorders>
            <w:shd w:val="clear" w:color="auto" w:fill="auto"/>
            <w:vAlign w:val="center"/>
            <w:hideMark/>
          </w:tcPr>
          <w:p w:rsidR="00F02B68" w:rsidRPr="00984366" w:rsidRDefault="00F02B68" w:rsidP="004956C2">
            <w:pPr>
              <w:spacing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-0.003815</w:t>
            </w:r>
          </w:p>
        </w:tc>
        <w:tc>
          <w:tcPr>
            <w:tcW w:w="1413" w:type="dxa"/>
            <w:tcBorders>
              <w:top w:val="nil"/>
              <w:left w:val="nil"/>
              <w:bottom w:val="nil"/>
              <w:right w:val="nil"/>
            </w:tcBorders>
            <w:shd w:val="clear" w:color="auto" w:fill="auto"/>
            <w:vAlign w:val="center"/>
            <w:hideMark/>
          </w:tcPr>
          <w:p w:rsidR="00F02B68" w:rsidRPr="00984366" w:rsidRDefault="00F02B68" w:rsidP="004956C2">
            <w:pPr>
              <w:spacing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-0.208673</w:t>
            </w:r>
          </w:p>
        </w:tc>
        <w:tc>
          <w:tcPr>
            <w:tcW w:w="1417" w:type="dxa"/>
            <w:tcBorders>
              <w:top w:val="nil"/>
              <w:left w:val="nil"/>
              <w:bottom w:val="nil"/>
              <w:right w:val="nil"/>
            </w:tcBorders>
            <w:shd w:val="clear" w:color="auto" w:fill="auto"/>
            <w:vAlign w:val="center"/>
            <w:hideMark/>
          </w:tcPr>
          <w:p w:rsidR="00F02B68" w:rsidRPr="00984366" w:rsidRDefault="00F02B68" w:rsidP="004956C2">
            <w:pPr>
              <w:spacing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-0.0469</w:t>
            </w:r>
            <w:r>
              <w:rPr>
                <w:rFonts w:eastAsia="Times New Roman" w:cs="Times New Roman"/>
                <w:color w:val="000000"/>
                <w:sz w:val="24"/>
                <w:szCs w:val="24"/>
                <w:lang w:eastAsia="en-GB"/>
              </w:rPr>
              <w:t>00</w:t>
            </w:r>
          </w:p>
        </w:tc>
        <w:tc>
          <w:tcPr>
            <w:tcW w:w="1418" w:type="dxa"/>
            <w:tcBorders>
              <w:top w:val="nil"/>
              <w:left w:val="nil"/>
              <w:bottom w:val="nil"/>
              <w:right w:val="nil"/>
            </w:tcBorders>
            <w:shd w:val="clear" w:color="auto" w:fill="auto"/>
            <w:vAlign w:val="center"/>
            <w:hideMark/>
          </w:tcPr>
          <w:p w:rsidR="00F02B68" w:rsidRPr="00984366" w:rsidRDefault="00F02B68" w:rsidP="004956C2">
            <w:pPr>
              <w:spacing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-0.01602</w:t>
            </w:r>
            <w:r>
              <w:rPr>
                <w:rFonts w:eastAsia="Times New Roman" w:cs="Times New Roman"/>
                <w:color w:val="000000"/>
                <w:sz w:val="24"/>
                <w:szCs w:val="24"/>
                <w:lang w:eastAsia="en-GB"/>
              </w:rPr>
              <w:t>0</w:t>
            </w:r>
          </w:p>
        </w:tc>
        <w:tc>
          <w:tcPr>
            <w:tcW w:w="1417" w:type="dxa"/>
            <w:tcBorders>
              <w:top w:val="nil"/>
              <w:left w:val="nil"/>
              <w:bottom w:val="nil"/>
              <w:right w:val="nil"/>
            </w:tcBorders>
            <w:shd w:val="clear" w:color="auto" w:fill="auto"/>
            <w:vAlign w:val="center"/>
            <w:hideMark/>
          </w:tcPr>
          <w:p w:rsidR="00F02B68" w:rsidRPr="00984366" w:rsidRDefault="00F02B68" w:rsidP="004956C2">
            <w:pPr>
              <w:spacing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0.032997</w:t>
            </w:r>
          </w:p>
        </w:tc>
        <w:tc>
          <w:tcPr>
            <w:tcW w:w="1418" w:type="dxa"/>
            <w:tcBorders>
              <w:top w:val="nil"/>
              <w:left w:val="nil"/>
              <w:bottom w:val="nil"/>
              <w:right w:val="nil"/>
            </w:tcBorders>
            <w:shd w:val="clear" w:color="auto" w:fill="auto"/>
            <w:vAlign w:val="center"/>
            <w:hideMark/>
          </w:tcPr>
          <w:p w:rsidR="00F02B68" w:rsidRPr="00984366" w:rsidRDefault="00F02B68" w:rsidP="004956C2">
            <w:pPr>
              <w:spacing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0.357279</w:t>
            </w:r>
          </w:p>
        </w:tc>
        <w:tc>
          <w:tcPr>
            <w:tcW w:w="1417" w:type="dxa"/>
            <w:tcBorders>
              <w:top w:val="nil"/>
              <w:left w:val="nil"/>
              <w:bottom w:val="nil"/>
              <w:right w:val="nil"/>
            </w:tcBorders>
            <w:shd w:val="clear" w:color="auto" w:fill="auto"/>
            <w:vAlign w:val="center"/>
            <w:hideMark/>
          </w:tcPr>
          <w:p w:rsidR="00F02B68" w:rsidRPr="00984366" w:rsidRDefault="00F02B68" w:rsidP="004956C2">
            <w:pPr>
              <w:spacing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0.079897</w:t>
            </w:r>
          </w:p>
        </w:tc>
      </w:tr>
      <w:tr w:rsidR="00F02B68" w:rsidRPr="00984366" w:rsidTr="004956C2">
        <w:trPr>
          <w:trHeight w:val="315"/>
        </w:trPr>
        <w:tc>
          <w:tcPr>
            <w:tcW w:w="2660" w:type="dxa"/>
            <w:tcBorders>
              <w:top w:val="nil"/>
              <w:left w:val="nil"/>
              <w:bottom w:val="nil"/>
              <w:right w:val="nil"/>
            </w:tcBorders>
            <w:vAlign w:val="center"/>
          </w:tcPr>
          <w:p w:rsidR="00F02B68" w:rsidRPr="00984366" w:rsidRDefault="00F02B68" w:rsidP="004956C2">
            <w:pPr>
              <w:spacing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LONE PARENT</w:t>
            </w:r>
          </w:p>
        </w:tc>
        <w:tc>
          <w:tcPr>
            <w:tcW w:w="1564" w:type="dxa"/>
            <w:tcBorders>
              <w:top w:val="nil"/>
              <w:left w:val="nil"/>
              <w:bottom w:val="nil"/>
              <w:right w:val="nil"/>
            </w:tcBorders>
            <w:shd w:val="clear" w:color="auto" w:fill="auto"/>
            <w:vAlign w:val="center"/>
            <w:hideMark/>
          </w:tcPr>
          <w:p w:rsidR="00F02B68" w:rsidRPr="00984366" w:rsidRDefault="00F02B68" w:rsidP="004956C2">
            <w:pPr>
              <w:spacing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0.012427</w:t>
            </w:r>
          </w:p>
        </w:tc>
        <w:tc>
          <w:tcPr>
            <w:tcW w:w="1413" w:type="dxa"/>
            <w:tcBorders>
              <w:top w:val="nil"/>
              <w:left w:val="nil"/>
              <w:bottom w:val="nil"/>
              <w:right w:val="nil"/>
            </w:tcBorders>
            <w:shd w:val="clear" w:color="auto" w:fill="auto"/>
            <w:vAlign w:val="center"/>
            <w:hideMark/>
          </w:tcPr>
          <w:p w:rsidR="00F02B68" w:rsidRPr="00984366" w:rsidRDefault="00F02B68" w:rsidP="004956C2">
            <w:pPr>
              <w:spacing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-0.239007</w:t>
            </w:r>
          </w:p>
        </w:tc>
        <w:tc>
          <w:tcPr>
            <w:tcW w:w="1417" w:type="dxa"/>
            <w:tcBorders>
              <w:top w:val="nil"/>
              <w:left w:val="nil"/>
              <w:bottom w:val="nil"/>
              <w:right w:val="nil"/>
            </w:tcBorders>
            <w:shd w:val="clear" w:color="auto" w:fill="auto"/>
            <w:vAlign w:val="center"/>
            <w:hideMark/>
          </w:tcPr>
          <w:p w:rsidR="00F02B68" w:rsidRPr="00984366" w:rsidRDefault="00F02B68" w:rsidP="004956C2">
            <w:pPr>
              <w:spacing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-0.036295</w:t>
            </w:r>
          </w:p>
        </w:tc>
        <w:tc>
          <w:tcPr>
            <w:tcW w:w="1418" w:type="dxa"/>
            <w:tcBorders>
              <w:top w:val="nil"/>
              <w:left w:val="nil"/>
              <w:bottom w:val="nil"/>
              <w:right w:val="nil"/>
            </w:tcBorders>
            <w:shd w:val="clear" w:color="auto" w:fill="auto"/>
            <w:vAlign w:val="center"/>
            <w:hideMark/>
          </w:tcPr>
          <w:p w:rsidR="00F02B68" w:rsidRPr="00984366" w:rsidRDefault="00F02B68" w:rsidP="004956C2">
            <w:pPr>
              <w:spacing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0.013344</w:t>
            </w:r>
          </w:p>
        </w:tc>
        <w:tc>
          <w:tcPr>
            <w:tcW w:w="1417" w:type="dxa"/>
            <w:tcBorders>
              <w:top w:val="nil"/>
              <w:left w:val="nil"/>
              <w:bottom w:val="nil"/>
              <w:right w:val="nil"/>
            </w:tcBorders>
            <w:shd w:val="clear" w:color="auto" w:fill="auto"/>
            <w:vAlign w:val="center"/>
            <w:hideMark/>
          </w:tcPr>
          <w:p w:rsidR="00F02B68" w:rsidRPr="00984366" w:rsidRDefault="00F02B68" w:rsidP="004956C2">
            <w:pPr>
              <w:spacing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0.064664</w:t>
            </w:r>
          </w:p>
        </w:tc>
        <w:tc>
          <w:tcPr>
            <w:tcW w:w="1418" w:type="dxa"/>
            <w:tcBorders>
              <w:top w:val="nil"/>
              <w:left w:val="nil"/>
              <w:bottom w:val="nil"/>
              <w:right w:val="nil"/>
            </w:tcBorders>
            <w:shd w:val="clear" w:color="auto" w:fill="auto"/>
            <w:vAlign w:val="center"/>
            <w:hideMark/>
          </w:tcPr>
          <w:p w:rsidR="00F02B68" w:rsidRPr="00984366" w:rsidRDefault="00F02B68" w:rsidP="004956C2">
            <w:pPr>
              <w:spacing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0.202016</w:t>
            </w:r>
          </w:p>
        </w:tc>
        <w:tc>
          <w:tcPr>
            <w:tcW w:w="1417" w:type="dxa"/>
            <w:tcBorders>
              <w:top w:val="nil"/>
              <w:left w:val="nil"/>
              <w:bottom w:val="nil"/>
              <w:right w:val="nil"/>
            </w:tcBorders>
            <w:shd w:val="clear" w:color="auto" w:fill="auto"/>
            <w:vAlign w:val="center"/>
            <w:hideMark/>
          </w:tcPr>
          <w:p w:rsidR="00F02B68" w:rsidRPr="00984366" w:rsidRDefault="00F02B68" w:rsidP="004956C2">
            <w:pPr>
              <w:spacing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0.100959</w:t>
            </w:r>
          </w:p>
        </w:tc>
      </w:tr>
      <w:tr w:rsidR="00F02B68" w:rsidRPr="00984366" w:rsidTr="004956C2">
        <w:trPr>
          <w:trHeight w:val="315"/>
        </w:trPr>
        <w:tc>
          <w:tcPr>
            <w:tcW w:w="2660" w:type="dxa"/>
            <w:tcBorders>
              <w:top w:val="nil"/>
              <w:left w:val="nil"/>
              <w:bottom w:val="nil"/>
              <w:right w:val="nil"/>
            </w:tcBorders>
            <w:vAlign w:val="center"/>
          </w:tcPr>
          <w:p w:rsidR="00F02B68" w:rsidRPr="00984366" w:rsidRDefault="00F02B68" w:rsidP="004956C2">
            <w:pPr>
              <w:spacing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PRIVATE RENT</w:t>
            </w:r>
          </w:p>
        </w:tc>
        <w:tc>
          <w:tcPr>
            <w:tcW w:w="1564" w:type="dxa"/>
            <w:tcBorders>
              <w:top w:val="nil"/>
              <w:left w:val="nil"/>
              <w:bottom w:val="nil"/>
              <w:right w:val="nil"/>
            </w:tcBorders>
            <w:shd w:val="clear" w:color="auto" w:fill="auto"/>
            <w:vAlign w:val="center"/>
            <w:hideMark/>
          </w:tcPr>
          <w:p w:rsidR="00F02B68" w:rsidRPr="00984366" w:rsidRDefault="00F02B68" w:rsidP="004956C2">
            <w:pPr>
              <w:spacing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0.140429</w:t>
            </w:r>
          </w:p>
        </w:tc>
        <w:tc>
          <w:tcPr>
            <w:tcW w:w="1413" w:type="dxa"/>
            <w:tcBorders>
              <w:top w:val="nil"/>
              <w:left w:val="nil"/>
              <w:bottom w:val="nil"/>
              <w:right w:val="nil"/>
            </w:tcBorders>
            <w:shd w:val="clear" w:color="auto" w:fill="auto"/>
            <w:vAlign w:val="center"/>
            <w:hideMark/>
          </w:tcPr>
          <w:p w:rsidR="00F02B68" w:rsidRPr="00984366" w:rsidRDefault="00F02B68" w:rsidP="004956C2">
            <w:pPr>
              <w:spacing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-0.133425</w:t>
            </w:r>
          </w:p>
        </w:tc>
        <w:tc>
          <w:tcPr>
            <w:tcW w:w="1417" w:type="dxa"/>
            <w:tcBorders>
              <w:top w:val="nil"/>
              <w:left w:val="nil"/>
              <w:bottom w:val="nil"/>
              <w:right w:val="nil"/>
            </w:tcBorders>
            <w:shd w:val="clear" w:color="auto" w:fill="auto"/>
            <w:vAlign w:val="center"/>
            <w:hideMark/>
          </w:tcPr>
          <w:p w:rsidR="00F02B68" w:rsidRPr="00984366" w:rsidRDefault="00F02B68" w:rsidP="004956C2">
            <w:pPr>
              <w:spacing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0.061893</w:t>
            </w:r>
          </w:p>
        </w:tc>
        <w:tc>
          <w:tcPr>
            <w:tcW w:w="1418" w:type="dxa"/>
            <w:tcBorders>
              <w:top w:val="nil"/>
              <w:left w:val="nil"/>
              <w:bottom w:val="nil"/>
              <w:right w:val="nil"/>
            </w:tcBorders>
            <w:shd w:val="clear" w:color="auto" w:fill="auto"/>
            <w:vAlign w:val="center"/>
            <w:hideMark/>
          </w:tcPr>
          <w:p w:rsidR="00F02B68" w:rsidRPr="00984366" w:rsidRDefault="00F02B68" w:rsidP="004956C2">
            <w:pPr>
              <w:spacing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0.126297</w:t>
            </w:r>
          </w:p>
        </w:tc>
        <w:tc>
          <w:tcPr>
            <w:tcW w:w="1417" w:type="dxa"/>
            <w:tcBorders>
              <w:top w:val="nil"/>
              <w:left w:val="nil"/>
              <w:bottom w:val="nil"/>
              <w:right w:val="nil"/>
            </w:tcBorders>
            <w:shd w:val="clear" w:color="auto" w:fill="auto"/>
            <w:vAlign w:val="center"/>
            <w:hideMark/>
          </w:tcPr>
          <w:p w:rsidR="00F02B68" w:rsidRPr="00984366" w:rsidRDefault="00F02B68" w:rsidP="004956C2">
            <w:pPr>
              <w:spacing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0.218129</w:t>
            </w:r>
          </w:p>
        </w:tc>
        <w:tc>
          <w:tcPr>
            <w:tcW w:w="1418" w:type="dxa"/>
            <w:tcBorders>
              <w:top w:val="nil"/>
              <w:left w:val="nil"/>
              <w:bottom w:val="nil"/>
              <w:right w:val="nil"/>
            </w:tcBorders>
            <w:shd w:val="clear" w:color="auto" w:fill="auto"/>
            <w:vAlign w:val="center"/>
            <w:hideMark/>
          </w:tcPr>
          <w:p w:rsidR="00F02B68" w:rsidRPr="00984366" w:rsidRDefault="00F02B68" w:rsidP="004956C2">
            <w:pPr>
              <w:spacing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0.404626</w:t>
            </w:r>
          </w:p>
        </w:tc>
        <w:tc>
          <w:tcPr>
            <w:tcW w:w="1417" w:type="dxa"/>
            <w:tcBorders>
              <w:top w:val="nil"/>
              <w:left w:val="nil"/>
              <w:bottom w:val="nil"/>
              <w:right w:val="nil"/>
            </w:tcBorders>
            <w:shd w:val="clear" w:color="auto" w:fill="auto"/>
            <w:vAlign w:val="center"/>
            <w:hideMark/>
          </w:tcPr>
          <w:p w:rsidR="00F02B68" w:rsidRPr="00984366" w:rsidRDefault="00F02B68" w:rsidP="004956C2">
            <w:pPr>
              <w:spacing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0.156236</w:t>
            </w:r>
          </w:p>
        </w:tc>
      </w:tr>
      <w:tr w:rsidR="00F02B68" w:rsidRPr="00984366" w:rsidTr="004956C2">
        <w:trPr>
          <w:trHeight w:val="330"/>
        </w:trPr>
        <w:tc>
          <w:tcPr>
            <w:tcW w:w="2660" w:type="dxa"/>
            <w:tcBorders>
              <w:top w:val="nil"/>
              <w:left w:val="nil"/>
              <w:bottom w:val="single" w:sz="8" w:space="0" w:color="auto"/>
              <w:right w:val="nil"/>
            </w:tcBorders>
            <w:vAlign w:val="center"/>
          </w:tcPr>
          <w:p w:rsidR="00F02B68" w:rsidRPr="00984366" w:rsidRDefault="00F02B68" w:rsidP="004956C2">
            <w:pPr>
              <w:spacing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NON GAS</w:t>
            </w:r>
          </w:p>
        </w:tc>
        <w:tc>
          <w:tcPr>
            <w:tcW w:w="1564" w:type="dxa"/>
            <w:tcBorders>
              <w:top w:val="nil"/>
              <w:left w:val="nil"/>
              <w:bottom w:val="single" w:sz="8" w:space="0" w:color="auto"/>
              <w:right w:val="nil"/>
            </w:tcBorders>
            <w:shd w:val="clear" w:color="auto" w:fill="auto"/>
            <w:vAlign w:val="center"/>
            <w:hideMark/>
          </w:tcPr>
          <w:p w:rsidR="00F02B68" w:rsidRPr="00984366" w:rsidRDefault="00F02B68" w:rsidP="004956C2">
            <w:pPr>
              <w:spacing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0.098217</w:t>
            </w:r>
          </w:p>
        </w:tc>
        <w:tc>
          <w:tcPr>
            <w:tcW w:w="1413" w:type="dxa"/>
            <w:tcBorders>
              <w:top w:val="nil"/>
              <w:left w:val="nil"/>
              <w:bottom w:val="single" w:sz="8" w:space="0" w:color="auto"/>
              <w:right w:val="nil"/>
            </w:tcBorders>
            <w:shd w:val="clear" w:color="auto" w:fill="auto"/>
            <w:vAlign w:val="center"/>
            <w:hideMark/>
          </w:tcPr>
          <w:p w:rsidR="00F02B68" w:rsidRPr="00984366" w:rsidRDefault="00F02B68" w:rsidP="004956C2">
            <w:pPr>
              <w:spacing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-0.227701</w:t>
            </w:r>
          </w:p>
        </w:tc>
        <w:tc>
          <w:tcPr>
            <w:tcW w:w="1417" w:type="dxa"/>
            <w:tcBorders>
              <w:top w:val="nil"/>
              <w:left w:val="nil"/>
              <w:bottom w:val="single" w:sz="8" w:space="0" w:color="auto"/>
              <w:right w:val="nil"/>
            </w:tcBorders>
            <w:shd w:val="clear" w:color="auto" w:fill="auto"/>
            <w:vAlign w:val="center"/>
            <w:hideMark/>
          </w:tcPr>
          <w:p w:rsidR="00F02B68" w:rsidRPr="00984366" w:rsidRDefault="00F02B68" w:rsidP="004956C2">
            <w:pPr>
              <w:spacing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-0.004793</w:t>
            </w:r>
          </w:p>
        </w:tc>
        <w:tc>
          <w:tcPr>
            <w:tcW w:w="1418" w:type="dxa"/>
            <w:tcBorders>
              <w:top w:val="nil"/>
              <w:left w:val="nil"/>
              <w:bottom w:val="single" w:sz="8" w:space="0" w:color="auto"/>
              <w:right w:val="nil"/>
            </w:tcBorders>
            <w:shd w:val="clear" w:color="auto" w:fill="auto"/>
            <w:vAlign w:val="center"/>
            <w:hideMark/>
          </w:tcPr>
          <w:p w:rsidR="00F02B68" w:rsidRPr="00984366" w:rsidRDefault="00F02B68" w:rsidP="004956C2">
            <w:pPr>
              <w:spacing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0.119317</w:t>
            </w:r>
          </w:p>
        </w:tc>
        <w:tc>
          <w:tcPr>
            <w:tcW w:w="1417" w:type="dxa"/>
            <w:tcBorders>
              <w:top w:val="nil"/>
              <w:left w:val="nil"/>
              <w:bottom w:val="single" w:sz="8" w:space="0" w:color="auto"/>
              <w:right w:val="nil"/>
            </w:tcBorders>
            <w:shd w:val="clear" w:color="auto" w:fill="auto"/>
            <w:vAlign w:val="center"/>
            <w:hideMark/>
          </w:tcPr>
          <w:p w:rsidR="00F02B68" w:rsidRPr="00984366" w:rsidRDefault="00F02B68" w:rsidP="004956C2">
            <w:pPr>
              <w:spacing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0.228607</w:t>
            </w:r>
          </w:p>
        </w:tc>
        <w:tc>
          <w:tcPr>
            <w:tcW w:w="1418" w:type="dxa"/>
            <w:tcBorders>
              <w:top w:val="nil"/>
              <w:left w:val="nil"/>
              <w:bottom w:val="single" w:sz="8" w:space="0" w:color="auto"/>
              <w:right w:val="nil"/>
            </w:tcBorders>
            <w:shd w:val="clear" w:color="auto" w:fill="auto"/>
            <w:vAlign w:val="center"/>
            <w:hideMark/>
          </w:tcPr>
          <w:p w:rsidR="00F02B68" w:rsidRPr="00984366" w:rsidRDefault="00F02B68" w:rsidP="004956C2">
            <w:pPr>
              <w:spacing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0.45234</w:t>
            </w:r>
            <w:r>
              <w:rPr>
                <w:rFonts w:eastAsia="Times New Roman" w:cs="Times New Roman"/>
                <w:color w:val="000000"/>
                <w:sz w:val="24"/>
                <w:szCs w:val="24"/>
                <w:lang w:eastAsia="en-GB"/>
              </w:rPr>
              <w:t>0</w:t>
            </w:r>
          </w:p>
        </w:tc>
        <w:tc>
          <w:tcPr>
            <w:tcW w:w="1417" w:type="dxa"/>
            <w:tcBorders>
              <w:top w:val="nil"/>
              <w:left w:val="nil"/>
              <w:bottom w:val="single" w:sz="8" w:space="0" w:color="auto"/>
              <w:right w:val="nil"/>
            </w:tcBorders>
            <w:shd w:val="clear" w:color="auto" w:fill="auto"/>
            <w:vAlign w:val="center"/>
            <w:hideMark/>
          </w:tcPr>
          <w:p w:rsidR="00F02B68" w:rsidRPr="00984366" w:rsidRDefault="00F02B68" w:rsidP="004956C2">
            <w:pPr>
              <w:spacing w:after="0"/>
              <w:jc w:val="both"/>
              <w:rPr>
                <w:rFonts w:eastAsia="Times New Roman" w:cs="Times New Roman"/>
                <w:color w:val="000000"/>
                <w:sz w:val="24"/>
                <w:szCs w:val="24"/>
                <w:lang w:eastAsia="en-GB"/>
              </w:rPr>
            </w:pPr>
            <w:r w:rsidRPr="00984366">
              <w:rPr>
                <w:rFonts w:eastAsia="Times New Roman" w:cs="Times New Roman"/>
                <w:color w:val="000000"/>
                <w:sz w:val="24"/>
                <w:szCs w:val="24"/>
                <w:lang w:eastAsia="en-GB"/>
              </w:rPr>
              <w:t>0.2334</w:t>
            </w:r>
            <w:r>
              <w:rPr>
                <w:rFonts w:eastAsia="Times New Roman" w:cs="Times New Roman"/>
                <w:color w:val="000000"/>
                <w:sz w:val="24"/>
                <w:szCs w:val="24"/>
                <w:lang w:eastAsia="en-GB"/>
              </w:rPr>
              <w:t>00</w:t>
            </w:r>
          </w:p>
        </w:tc>
      </w:tr>
    </w:tbl>
    <w:p w:rsidR="00F02B68" w:rsidRDefault="00F02B68" w:rsidP="00F02B68">
      <w:pPr>
        <w:spacing w:line="360" w:lineRule="auto"/>
        <w:jc w:val="both"/>
        <w:rPr>
          <w:rFonts w:cs="Times New Roman"/>
          <w:sz w:val="24"/>
          <w:szCs w:val="24"/>
        </w:rPr>
      </w:pPr>
    </w:p>
    <w:p w:rsidR="00F02B68" w:rsidRDefault="00F02B68" w:rsidP="00F02B68">
      <w:pPr>
        <w:spacing w:line="360" w:lineRule="auto"/>
        <w:jc w:val="both"/>
        <w:rPr>
          <w:rFonts w:cs="Times New Roman"/>
          <w:sz w:val="24"/>
          <w:szCs w:val="24"/>
        </w:rPr>
      </w:pPr>
    </w:p>
    <w:p w:rsidR="00F02B68" w:rsidRDefault="00F02B68" w:rsidP="00F02B68">
      <w:pPr>
        <w:jc w:val="both"/>
        <w:rPr>
          <w:rFonts w:cs="Times New Roman"/>
          <w:sz w:val="24"/>
          <w:szCs w:val="24"/>
        </w:rPr>
      </w:pPr>
    </w:p>
    <w:p w:rsidR="00F02B68" w:rsidRDefault="00F02B68" w:rsidP="00F02B68">
      <w:pPr>
        <w:jc w:val="both"/>
        <w:rPr>
          <w:rFonts w:cs="Times New Roman"/>
          <w:sz w:val="24"/>
          <w:szCs w:val="24"/>
        </w:rPr>
      </w:pPr>
    </w:p>
    <w:p w:rsidR="00F02B68" w:rsidRDefault="00F02B68" w:rsidP="00F02B68">
      <w:pPr>
        <w:jc w:val="both"/>
        <w:rPr>
          <w:rFonts w:cs="Times New Roman"/>
          <w:sz w:val="24"/>
          <w:szCs w:val="24"/>
        </w:rPr>
      </w:pPr>
    </w:p>
    <w:p w:rsidR="00F02B68" w:rsidRDefault="00F02B68" w:rsidP="00F02B68">
      <w:pPr>
        <w:jc w:val="both"/>
        <w:rPr>
          <w:rFonts w:cs="Times New Roman"/>
          <w:sz w:val="24"/>
          <w:szCs w:val="24"/>
        </w:rPr>
      </w:pPr>
    </w:p>
    <w:p w:rsidR="00F02B68" w:rsidRDefault="00F02B68" w:rsidP="00F02B68">
      <w:pPr>
        <w:spacing w:after="0"/>
        <w:jc w:val="both"/>
        <w:rPr>
          <w:rFonts w:cs="Times New Roman"/>
          <w:sz w:val="24"/>
          <w:szCs w:val="24"/>
        </w:rPr>
      </w:pPr>
    </w:p>
    <w:p w:rsidR="00F02B68" w:rsidRPr="001326AE" w:rsidRDefault="00F02B68" w:rsidP="00F02B68">
      <w:pPr>
        <w:spacing w:after="0"/>
        <w:jc w:val="both"/>
        <w:rPr>
          <w:rFonts w:cs="Times New Roman"/>
          <w:sz w:val="24"/>
          <w:szCs w:val="24"/>
        </w:rPr>
      </w:pPr>
      <w:r w:rsidRPr="001326AE">
        <w:rPr>
          <w:rFonts w:cs="Times New Roman"/>
          <w:sz w:val="24"/>
          <w:szCs w:val="24"/>
        </w:rPr>
        <w:t xml:space="preserve">Note: LIHC model, N= 32,844, adjusted R2 </w:t>
      </w:r>
      <w:r>
        <w:rPr>
          <w:rFonts w:cs="Times New Roman"/>
          <w:sz w:val="24"/>
          <w:szCs w:val="24"/>
        </w:rPr>
        <w:t>= 0.646709, AIC = 170791.103775.</w:t>
      </w:r>
      <w:r w:rsidRPr="001326AE">
        <w:rPr>
          <w:rFonts w:cs="Times New Roman"/>
          <w:sz w:val="24"/>
          <w:szCs w:val="24"/>
        </w:rPr>
        <w:t>10% model, N=32,844, Adjusted R2 = 0.768967, AICc = 71694.524498</w:t>
      </w:r>
      <w:r>
        <w:rPr>
          <w:rFonts w:cs="Times New Roman"/>
          <w:sz w:val="24"/>
          <w:szCs w:val="24"/>
        </w:rPr>
        <w:t>.</w:t>
      </w:r>
    </w:p>
    <w:p w:rsidR="00F02B68" w:rsidRDefault="00F02B68" w:rsidP="00F02B68">
      <w:pPr>
        <w:jc w:val="both"/>
        <w:rPr>
          <w:rFonts w:cs="Times New Roman"/>
          <w:sz w:val="24"/>
          <w:szCs w:val="24"/>
        </w:rPr>
      </w:pPr>
      <w:r>
        <w:rPr>
          <w:rFonts w:cs="Times New Roman"/>
          <w:sz w:val="24"/>
          <w:szCs w:val="24"/>
        </w:rPr>
        <w:t>*Inter quartile</w:t>
      </w:r>
    </w:p>
    <w:p w:rsidR="00F02B68" w:rsidRDefault="00F02B68" w:rsidP="00C302DD">
      <w:pPr>
        <w:spacing w:line="360" w:lineRule="auto"/>
        <w:jc w:val="both"/>
        <w:rPr>
          <w:rFonts w:eastAsiaTheme="majorEastAsia" w:cs="Times New Roman"/>
          <w:b/>
          <w:bCs/>
          <w:sz w:val="24"/>
          <w:szCs w:val="24"/>
        </w:rPr>
        <w:sectPr w:rsidR="00F02B68" w:rsidSect="00F02B68">
          <w:type w:val="continuous"/>
          <w:pgSz w:w="16838" w:h="11906" w:orient="landscape"/>
          <w:pgMar w:top="1440" w:right="1440" w:bottom="1440" w:left="1440" w:header="709" w:footer="709" w:gutter="0"/>
          <w:cols w:space="708"/>
          <w:docGrid w:linePitch="360"/>
        </w:sectPr>
      </w:pPr>
    </w:p>
    <w:p w:rsidR="008B3788" w:rsidRPr="00984366" w:rsidRDefault="008B3788" w:rsidP="00C302DD">
      <w:pPr>
        <w:spacing w:line="360" w:lineRule="auto"/>
        <w:jc w:val="both"/>
        <w:rPr>
          <w:rFonts w:eastAsiaTheme="majorEastAsia" w:cs="Times New Roman"/>
          <w:b/>
          <w:bCs/>
          <w:sz w:val="24"/>
          <w:szCs w:val="24"/>
        </w:rPr>
      </w:pPr>
      <w:r w:rsidRPr="00984366">
        <w:rPr>
          <w:rFonts w:eastAsiaTheme="majorEastAsia" w:cs="Times New Roman"/>
          <w:b/>
          <w:bCs/>
          <w:sz w:val="24"/>
          <w:szCs w:val="24"/>
        </w:rPr>
        <w:lastRenderedPageBreak/>
        <w:t xml:space="preserve">Comparing the socio-spatial vulnerabilities and neighbourhoods represented by fuel poverty indicators </w:t>
      </w:r>
    </w:p>
    <w:p w:rsidR="008B3788" w:rsidRPr="004722A3" w:rsidRDefault="008B3788" w:rsidP="00C302DD">
      <w:pPr>
        <w:spacing w:line="360" w:lineRule="auto"/>
        <w:jc w:val="both"/>
        <w:rPr>
          <w:rFonts w:cs="Times New Roman"/>
          <w:sz w:val="24"/>
          <w:szCs w:val="24"/>
        </w:rPr>
      </w:pPr>
      <w:r w:rsidRPr="004722A3">
        <w:rPr>
          <w:rFonts w:cs="Times New Roman"/>
          <w:sz w:val="24"/>
          <w:szCs w:val="24"/>
        </w:rPr>
        <w:t xml:space="preserve">The private renter vulnerability variable is the only variable </w:t>
      </w:r>
      <w:r w:rsidR="002F7BA1">
        <w:rPr>
          <w:rFonts w:cs="Times New Roman"/>
          <w:sz w:val="24"/>
          <w:szCs w:val="24"/>
        </w:rPr>
        <w:t>that</w:t>
      </w:r>
      <w:r w:rsidRPr="004722A3">
        <w:rPr>
          <w:rFonts w:cs="Times New Roman"/>
          <w:sz w:val="24"/>
          <w:szCs w:val="24"/>
        </w:rPr>
        <w:t xml:space="preserve"> is represented well by the spatial distribution of fuel poor households using both indicator</w:t>
      </w:r>
      <w:r w:rsidR="00984366">
        <w:rPr>
          <w:rFonts w:cs="Times New Roman"/>
          <w:sz w:val="24"/>
          <w:szCs w:val="24"/>
        </w:rPr>
        <w:t>s, exhibiting</w:t>
      </w:r>
      <w:r w:rsidR="00E556ED">
        <w:rPr>
          <w:rFonts w:cs="Times New Roman"/>
          <w:sz w:val="24"/>
          <w:szCs w:val="24"/>
        </w:rPr>
        <w:t xml:space="preserve"> a positive relationship in each ‘global’ OLS model</w:t>
      </w:r>
      <w:r w:rsidRPr="004722A3">
        <w:rPr>
          <w:rFonts w:cs="Times New Roman"/>
          <w:sz w:val="24"/>
          <w:szCs w:val="24"/>
        </w:rPr>
        <w:t xml:space="preserve"> when controlling for other variables. For the 10% ind</w:t>
      </w:r>
      <w:r w:rsidR="00984366">
        <w:rPr>
          <w:rFonts w:cs="Times New Roman"/>
          <w:sz w:val="24"/>
          <w:szCs w:val="24"/>
        </w:rPr>
        <w:t>icator ‘local’ GWR model, the 25</w:t>
      </w:r>
      <w:r w:rsidRPr="004722A3">
        <w:rPr>
          <w:rFonts w:cs="Times New Roman"/>
          <w:sz w:val="24"/>
          <w:szCs w:val="24"/>
        </w:rPr>
        <w:t>% of LSOA with the highest positive coefficients exceed +0.21</w:t>
      </w:r>
      <w:r w:rsidR="00E556ED">
        <w:rPr>
          <w:rFonts w:cs="Times New Roman"/>
          <w:sz w:val="24"/>
          <w:szCs w:val="24"/>
        </w:rPr>
        <w:t xml:space="preserve"> and are </w:t>
      </w:r>
      <w:r w:rsidR="00E556ED" w:rsidRPr="004722A3">
        <w:rPr>
          <w:rFonts w:cs="Times New Roman"/>
          <w:sz w:val="24"/>
          <w:szCs w:val="24"/>
        </w:rPr>
        <w:t>concentrated</w:t>
      </w:r>
      <w:r w:rsidRPr="004722A3">
        <w:rPr>
          <w:rFonts w:cs="Times New Roman"/>
          <w:sz w:val="24"/>
          <w:szCs w:val="24"/>
        </w:rPr>
        <w:t xml:space="preserve"> in urban areas in the Midlands and Northern regions, in particular the North East. This concurs with the spatial distribution of privately rented properties </w:t>
      </w:r>
      <w:r w:rsidR="00984366">
        <w:rPr>
          <w:rFonts w:cs="Times New Roman"/>
          <w:sz w:val="24"/>
          <w:szCs w:val="24"/>
        </w:rPr>
        <w:t>in which</w:t>
      </w:r>
      <w:r w:rsidR="00034BF0">
        <w:rPr>
          <w:rFonts w:cs="Times New Roman"/>
          <w:sz w:val="24"/>
          <w:szCs w:val="24"/>
        </w:rPr>
        <w:t xml:space="preserve"> low </w:t>
      </w:r>
      <w:r w:rsidRPr="004722A3">
        <w:rPr>
          <w:rFonts w:cs="Times New Roman"/>
          <w:sz w:val="24"/>
          <w:szCs w:val="24"/>
        </w:rPr>
        <w:t>concentrations</w:t>
      </w:r>
      <w:r w:rsidR="00984366">
        <w:rPr>
          <w:rFonts w:cs="Times New Roman"/>
          <w:sz w:val="24"/>
          <w:szCs w:val="24"/>
        </w:rPr>
        <w:t xml:space="preserve"> are found in</w:t>
      </w:r>
      <w:r w:rsidR="00034BF0">
        <w:rPr>
          <w:rFonts w:cs="Times New Roman"/>
          <w:sz w:val="24"/>
          <w:szCs w:val="24"/>
        </w:rPr>
        <w:t xml:space="preserve"> the</w:t>
      </w:r>
      <w:r w:rsidR="00984366">
        <w:rPr>
          <w:rFonts w:cs="Times New Roman"/>
          <w:sz w:val="24"/>
          <w:szCs w:val="24"/>
        </w:rPr>
        <w:t xml:space="preserve"> </w:t>
      </w:r>
      <w:r w:rsidRPr="004722A3">
        <w:rPr>
          <w:rFonts w:cs="Times New Roman"/>
          <w:sz w:val="24"/>
          <w:szCs w:val="24"/>
        </w:rPr>
        <w:t>suburbs of urban areas where home ownership is high (ONS 2011a.). The strength of these positive relationships is greater using the LIHC GWR model in which 25% of LSOA have a coefficient of over +0.29. With the exception of two clusters of negative coefficients in London</w:t>
      </w:r>
      <w:r w:rsidR="00034BF0">
        <w:rPr>
          <w:rFonts w:cs="Times New Roman"/>
          <w:sz w:val="24"/>
          <w:szCs w:val="24"/>
        </w:rPr>
        <w:t>’s commuter belt</w:t>
      </w:r>
      <w:r w:rsidRPr="004722A3">
        <w:rPr>
          <w:rFonts w:cs="Times New Roman"/>
          <w:sz w:val="24"/>
          <w:szCs w:val="24"/>
        </w:rPr>
        <w:t xml:space="preserve">, all LSOA have a positive coefficient using the LIHC indicator. This positive relationship is strongest in major cities, with the exception of London, and </w:t>
      </w:r>
      <w:r w:rsidR="00F56202">
        <w:rPr>
          <w:rFonts w:cs="Times New Roman"/>
          <w:sz w:val="24"/>
          <w:szCs w:val="24"/>
        </w:rPr>
        <w:t>in remoter</w:t>
      </w:r>
      <w:r w:rsidRPr="004722A3">
        <w:rPr>
          <w:rFonts w:cs="Times New Roman"/>
          <w:sz w:val="24"/>
          <w:szCs w:val="24"/>
        </w:rPr>
        <w:t xml:space="preserve"> rural areas that</w:t>
      </w:r>
      <w:r w:rsidR="00F56202">
        <w:rPr>
          <w:rFonts w:cs="Times New Roman"/>
          <w:sz w:val="24"/>
          <w:szCs w:val="24"/>
        </w:rPr>
        <w:t xml:space="preserve"> also</w:t>
      </w:r>
      <w:r w:rsidRPr="004722A3">
        <w:rPr>
          <w:rFonts w:cs="Times New Roman"/>
          <w:sz w:val="24"/>
          <w:szCs w:val="24"/>
        </w:rPr>
        <w:t xml:space="preserve"> have </w:t>
      </w:r>
      <w:r w:rsidR="00F56202">
        <w:rPr>
          <w:rFonts w:cs="Times New Roman"/>
          <w:sz w:val="24"/>
          <w:szCs w:val="24"/>
        </w:rPr>
        <w:t>a</w:t>
      </w:r>
      <w:r w:rsidRPr="004722A3">
        <w:rPr>
          <w:rFonts w:cs="Times New Roman"/>
          <w:sz w:val="24"/>
          <w:szCs w:val="24"/>
        </w:rPr>
        <w:t xml:space="preserve"> high percentage of private renters</w:t>
      </w:r>
      <w:r w:rsidR="00F56202">
        <w:rPr>
          <w:rFonts w:cs="Times New Roman"/>
          <w:sz w:val="24"/>
          <w:szCs w:val="24"/>
        </w:rPr>
        <w:t xml:space="preserve"> (Houston and Sisson 2012)</w:t>
      </w:r>
      <w:r w:rsidRPr="004722A3">
        <w:rPr>
          <w:rFonts w:cs="Times New Roman"/>
          <w:sz w:val="24"/>
          <w:szCs w:val="24"/>
        </w:rPr>
        <w:t xml:space="preserve">. </w:t>
      </w:r>
      <w:r w:rsidR="00132254">
        <w:rPr>
          <w:rFonts w:cs="Times New Roman"/>
          <w:sz w:val="24"/>
          <w:szCs w:val="24"/>
        </w:rPr>
        <w:t xml:space="preserve"> </w:t>
      </w:r>
    </w:p>
    <w:p w:rsidR="008B3788" w:rsidRPr="004722A3" w:rsidRDefault="008B3788" w:rsidP="00C302DD">
      <w:pPr>
        <w:spacing w:line="360" w:lineRule="auto"/>
        <w:jc w:val="both"/>
        <w:rPr>
          <w:rFonts w:cs="Times New Roman"/>
          <w:sz w:val="24"/>
          <w:szCs w:val="24"/>
        </w:rPr>
      </w:pPr>
      <w:r w:rsidRPr="004722A3">
        <w:rPr>
          <w:rFonts w:cs="Times New Roman"/>
          <w:sz w:val="24"/>
          <w:szCs w:val="24"/>
        </w:rPr>
        <w:t xml:space="preserve">In representing the socio-spatial vulnerabilities associated with private renting, the LIHC indicator might be anticipated to be most effective. By including housing costs in the calculation of income, the 10% indicator favours households that own their property outright (Moore 2012). In contrast, the calculation of income </w:t>
      </w:r>
      <w:r w:rsidRPr="004722A3">
        <w:rPr>
          <w:rFonts w:cs="Times New Roman"/>
          <w:i/>
          <w:sz w:val="24"/>
          <w:szCs w:val="24"/>
        </w:rPr>
        <w:t>After Housing Costs</w:t>
      </w:r>
      <w:r w:rsidRPr="004722A3">
        <w:rPr>
          <w:rFonts w:cs="Times New Roman"/>
          <w:sz w:val="24"/>
          <w:szCs w:val="24"/>
        </w:rPr>
        <w:t xml:space="preserve"> in the LIHC indicator favours households with higher housing costs, including mortgage or rent payments (Hills 2012). In fact, using the GWR model, the private renter variable is that which exhibits some of the strongest positive relationships with fuel poor households using both indicator</w:t>
      </w:r>
      <w:r w:rsidR="00FC21F4">
        <w:rPr>
          <w:rFonts w:cs="Times New Roman"/>
          <w:sz w:val="24"/>
          <w:szCs w:val="24"/>
        </w:rPr>
        <w:t>s</w:t>
      </w:r>
      <w:r w:rsidRPr="004722A3">
        <w:rPr>
          <w:rFonts w:cs="Times New Roman"/>
          <w:sz w:val="24"/>
          <w:szCs w:val="24"/>
        </w:rPr>
        <w:t xml:space="preserve">. This suggests that vulnerability amongst private renters is determined to an extent by the different facets of vulnerability that the design of each indictor prioritises, high energy prices concerning the 10% indicator and relatively low incomes in the case of the LIHC indicator. </w:t>
      </w:r>
      <w:r w:rsidR="001C3D29">
        <w:rPr>
          <w:rFonts w:cs="Times New Roman"/>
          <w:sz w:val="24"/>
          <w:szCs w:val="24"/>
        </w:rPr>
        <w:t xml:space="preserve">Private renters tend to be disproportionately reliant upon high cost pre-payment meters and live in energy inefficient properties, increasing the price of energy (Ambrose 2015). </w:t>
      </w:r>
      <w:r w:rsidRPr="004722A3">
        <w:rPr>
          <w:rFonts w:cs="Times New Roman"/>
          <w:sz w:val="24"/>
          <w:szCs w:val="24"/>
        </w:rPr>
        <w:t>It also suggests that the vulnerability variable begins to explain the manifestation of the phenomenon in diverse urban and rural settings</w:t>
      </w:r>
      <w:r w:rsidR="00FC21F4">
        <w:rPr>
          <w:rFonts w:cs="Times New Roman"/>
          <w:sz w:val="24"/>
          <w:szCs w:val="24"/>
        </w:rPr>
        <w:t xml:space="preserve">. </w:t>
      </w:r>
      <w:r w:rsidR="00E556ED">
        <w:rPr>
          <w:rFonts w:cs="Times New Roman"/>
          <w:sz w:val="24"/>
          <w:szCs w:val="24"/>
        </w:rPr>
        <w:t xml:space="preserve">Whilst the </w:t>
      </w:r>
      <w:r w:rsidRPr="004722A3">
        <w:rPr>
          <w:rFonts w:cs="Times New Roman"/>
          <w:sz w:val="24"/>
          <w:szCs w:val="24"/>
        </w:rPr>
        <w:t>positive relat</w:t>
      </w:r>
      <w:r w:rsidR="00E556ED">
        <w:rPr>
          <w:rFonts w:cs="Times New Roman"/>
          <w:sz w:val="24"/>
          <w:szCs w:val="24"/>
        </w:rPr>
        <w:t xml:space="preserve">ionship is </w:t>
      </w:r>
      <w:r w:rsidRPr="004722A3">
        <w:rPr>
          <w:rFonts w:cs="Times New Roman"/>
          <w:sz w:val="24"/>
          <w:szCs w:val="24"/>
        </w:rPr>
        <w:t>less strong i</w:t>
      </w:r>
      <w:r w:rsidR="00E556ED">
        <w:rPr>
          <w:rFonts w:cs="Times New Roman"/>
          <w:sz w:val="24"/>
          <w:szCs w:val="24"/>
        </w:rPr>
        <w:t xml:space="preserve">n parts of London, despite the </w:t>
      </w:r>
      <w:r w:rsidRPr="004722A3">
        <w:rPr>
          <w:rFonts w:cs="Times New Roman"/>
          <w:sz w:val="24"/>
          <w:szCs w:val="24"/>
        </w:rPr>
        <w:t xml:space="preserve">region </w:t>
      </w:r>
      <w:r w:rsidR="00E556ED">
        <w:rPr>
          <w:rFonts w:cs="Times New Roman"/>
          <w:sz w:val="24"/>
          <w:szCs w:val="24"/>
        </w:rPr>
        <w:t>having</w:t>
      </w:r>
      <w:r w:rsidRPr="004722A3">
        <w:rPr>
          <w:rFonts w:cs="Times New Roman"/>
          <w:sz w:val="24"/>
          <w:szCs w:val="24"/>
        </w:rPr>
        <w:t xml:space="preserve"> the highest percentage of privately rented households, this can be partially attributed to high concentrations of private renters living in more affluent neighbourhoods (GLA, 2015).</w:t>
      </w:r>
    </w:p>
    <w:p w:rsidR="008B3788" w:rsidRDefault="008B3788" w:rsidP="00C302DD">
      <w:pPr>
        <w:spacing w:line="360" w:lineRule="auto"/>
        <w:jc w:val="both"/>
        <w:rPr>
          <w:rFonts w:eastAsia="Times New Roman" w:cs="Times New Roman"/>
          <w:sz w:val="24"/>
          <w:szCs w:val="24"/>
          <w:lang w:eastAsia="en-GB"/>
        </w:rPr>
      </w:pPr>
      <w:r w:rsidRPr="004722A3">
        <w:rPr>
          <w:rFonts w:eastAsia="Times New Roman" w:cs="Times New Roman"/>
          <w:sz w:val="24"/>
          <w:szCs w:val="24"/>
          <w:lang w:eastAsia="en-GB"/>
        </w:rPr>
        <w:lastRenderedPageBreak/>
        <w:t>In contrast, the L</w:t>
      </w:r>
      <w:r w:rsidR="001C3D29">
        <w:rPr>
          <w:rFonts w:eastAsia="Times New Roman" w:cs="Times New Roman"/>
          <w:sz w:val="24"/>
          <w:szCs w:val="24"/>
          <w:lang w:eastAsia="en-GB"/>
        </w:rPr>
        <w:t>IHC indicator better represents</w:t>
      </w:r>
      <w:r w:rsidRPr="004722A3">
        <w:rPr>
          <w:rFonts w:eastAsia="Times New Roman" w:cs="Times New Roman"/>
          <w:sz w:val="24"/>
          <w:szCs w:val="24"/>
          <w:lang w:eastAsia="en-GB"/>
        </w:rPr>
        <w:t xml:space="preserve"> socio-spatial vulnerabilities associated with disability and illness that manifest in large city regions. Using</w:t>
      </w:r>
      <w:r w:rsidRPr="004722A3">
        <w:rPr>
          <w:rFonts w:cs="Times New Roman"/>
          <w:sz w:val="24"/>
          <w:szCs w:val="24"/>
        </w:rPr>
        <w:t xml:space="preserve"> the OLS models, disability and long-term illness has a positive effect on fuel poverty using both indicators. Investigating further the spatial variation in these relationships, for the 10% indicator GWR model </w:t>
      </w:r>
      <w:r w:rsidR="001C3D29">
        <w:rPr>
          <w:rFonts w:cs="Times New Roman"/>
          <w:sz w:val="24"/>
          <w:szCs w:val="24"/>
          <w:shd w:val="clear" w:color="auto" w:fill="FFFFFF"/>
        </w:rPr>
        <w:t>25</w:t>
      </w:r>
      <w:r w:rsidRPr="004722A3">
        <w:rPr>
          <w:rFonts w:cs="Times New Roman"/>
          <w:sz w:val="24"/>
          <w:szCs w:val="24"/>
          <w:shd w:val="clear" w:color="auto" w:fill="FFFFFF"/>
        </w:rPr>
        <w:t>% of LSOA have a co</w:t>
      </w:r>
      <w:r w:rsidR="001C3D29">
        <w:rPr>
          <w:rFonts w:cs="Times New Roman"/>
          <w:sz w:val="24"/>
          <w:szCs w:val="24"/>
          <w:shd w:val="clear" w:color="auto" w:fill="FFFFFF"/>
        </w:rPr>
        <w:t>efficient of above +0.07</w:t>
      </w:r>
      <w:r w:rsidRPr="004722A3">
        <w:rPr>
          <w:rFonts w:cs="Times New Roman"/>
          <w:sz w:val="24"/>
          <w:szCs w:val="24"/>
          <w:shd w:val="clear" w:color="auto" w:fill="FFFFFF"/>
        </w:rPr>
        <w:t xml:space="preserve"> whilst fo</w:t>
      </w:r>
      <w:r w:rsidR="000B7439">
        <w:rPr>
          <w:rFonts w:cs="Times New Roman"/>
          <w:sz w:val="24"/>
          <w:szCs w:val="24"/>
          <w:shd w:val="clear" w:color="auto" w:fill="FFFFFF"/>
        </w:rPr>
        <w:t>r the LIHC indicator GWR model 25</w:t>
      </w:r>
      <w:r w:rsidRPr="004722A3">
        <w:rPr>
          <w:rFonts w:cs="Times New Roman"/>
          <w:sz w:val="24"/>
          <w:szCs w:val="24"/>
          <w:shd w:val="clear" w:color="auto" w:fill="FFFFFF"/>
        </w:rPr>
        <w:t xml:space="preserve">% of LSOA </w:t>
      </w:r>
      <w:r w:rsidR="001C3D29">
        <w:rPr>
          <w:rFonts w:cs="Times New Roman"/>
          <w:sz w:val="24"/>
          <w:szCs w:val="24"/>
          <w:shd w:val="clear" w:color="auto" w:fill="FFFFFF"/>
        </w:rPr>
        <w:t>have a coefficient of over +0.16</w:t>
      </w:r>
      <w:r w:rsidRPr="004722A3">
        <w:rPr>
          <w:rFonts w:cs="Times New Roman"/>
          <w:sz w:val="24"/>
          <w:szCs w:val="24"/>
          <w:shd w:val="clear" w:color="auto" w:fill="FFFFFF"/>
        </w:rPr>
        <w:t xml:space="preserve">. </w:t>
      </w:r>
      <w:r w:rsidRPr="004722A3">
        <w:rPr>
          <w:rFonts w:cs="Times New Roman"/>
          <w:sz w:val="24"/>
          <w:szCs w:val="24"/>
        </w:rPr>
        <w:t xml:space="preserve">Geographically, households with a member with a disability or long-term illness tend to concentrate in urban areas in the Midlands and North, or in coastal communities (ONS 2011a.), areas with structural forms of deprivation related to income and employment. </w:t>
      </w:r>
      <w:r w:rsidRPr="004722A3">
        <w:rPr>
          <w:rFonts w:cs="Times New Roman"/>
          <w:sz w:val="24"/>
          <w:szCs w:val="24"/>
          <w:shd w:val="clear" w:color="auto" w:fill="FFFFFF"/>
        </w:rPr>
        <w:t xml:space="preserve">Concurring in part with this spatial distribution, Figure 1 highlights a positive relationship using the 10% indicator in large cities across the North and the Midlands. For the LIHC indicator this positive relationship is stronger and additionally manifests in some southern cities including London, Luton and Southampton. </w:t>
      </w:r>
      <w:r w:rsidR="00177EC5">
        <w:rPr>
          <w:rFonts w:eastAsia="Times New Roman" w:cs="Times New Roman"/>
          <w:sz w:val="24"/>
          <w:szCs w:val="24"/>
          <w:lang w:eastAsia="en-GB"/>
        </w:rPr>
        <w:t>Greater</w:t>
      </w:r>
      <w:r w:rsidRPr="004722A3">
        <w:rPr>
          <w:rFonts w:eastAsia="Times New Roman" w:cs="Times New Roman"/>
          <w:sz w:val="24"/>
          <w:szCs w:val="24"/>
          <w:lang w:eastAsia="en-GB"/>
        </w:rPr>
        <w:t xml:space="preserve"> recognition of the concentration of the variable in city regions by the LIHC indicator can be partially attributed to its design prioritising vulnerabilities typically associated with urban areas, including rates of home ownership and high housing costs. It can also be related to the spatial distribution of relative income deprivation</w:t>
      </w:r>
      <w:r w:rsidR="001C3D29">
        <w:rPr>
          <w:rFonts w:eastAsia="Times New Roman" w:cs="Times New Roman"/>
          <w:sz w:val="24"/>
          <w:szCs w:val="24"/>
          <w:lang w:eastAsia="en-GB"/>
        </w:rPr>
        <w:t>,</w:t>
      </w:r>
      <w:r w:rsidRPr="004722A3">
        <w:rPr>
          <w:rFonts w:eastAsia="Times New Roman" w:cs="Times New Roman"/>
          <w:sz w:val="24"/>
          <w:szCs w:val="24"/>
          <w:lang w:eastAsia="en-GB"/>
        </w:rPr>
        <w:t xml:space="preserve"> an element prioritised by the LIHC indicator, as households</w:t>
      </w:r>
      <w:r w:rsidR="00F56202">
        <w:rPr>
          <w:rFonts w:eastAsia="Times New Roman" w:cs="Times New Roman"/>
          <w:sz w:val="24"/>
          <w:szCs w:val="24"/>
          <w:lang w:eastAsia="en-GB"/>
        </w:rPr>
        <w:t xml:space="preserve"> with a disabled member</w:t>
      </w:r>
      <w:r w:rsidRPr="004722A3">
        <w:rPr>
          <w:rFonts w:eastAsia="Times New Roman" w:cs="Times New Roman"/>
          <w:sz w:val="24"/>
          <w:szCs w:val="24"/>
          <w:lang w:eastAsia="en-GB"/>
        </w:rPr>
        <w:t xml:space="preserve"> are more likely to experience relative poverty (Snell et al. 2015). </w:t>
      </w:r>
    </w:p>
    <w:p w:rsidR="00F02B68" w:rsidRDefault="00F02B68" w:rsidP="00C302DD">
      <w:pPr>
        <w:spacing w:line="360" w:lineRule="auto"/>
        <w:jc w:val="both"/>
        <w:rPr>
          <w:rFonts w:eastAsia="Times New Roman" w:cs="Times New Roman"/>
          <w:b/>
          <w:sz w:val="24"/>
          <w:szCs w:val="24"/>
          <w:lang w:eastAsia="en-GB"/>
        </w:rPr>
      </w:pPr>
      <w:r>
        <w:rPr>
          <w:rFonts w:eastAsia="Times New Roman" w:cs="Times New Roman"/>
          <w:b/>
          <w:noProof/>
          <w:sz w:val="24"/>
          <w:szCs w:val="24"/>
          <w:lang w:eastAsia="en-GB"/>
        </w:rPr>
        <w:drawing>
          <wp:inline distT="0" distB="0" distL="0" distR="0">
            <wp:extent cx="6038850" cy="33539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ility_revised.tif"/>
                    <pic:cNvPicPr/>
                  </pic:nvPicPr>
                  <pic:blipFill>
                    <a:blip r:embed="rId10">
                      <a:extLst>
                        <a:ext uri="{28A0092B-C50C-407E-A947-70E740481C1C}">
                          <a14:useLocalDpi xmlns:a14="http://schemas.microsoft.com/office/drawing/2010/main" val="0"/>
                        </a:ext>
                      </a:extLst>
                    </a:blip>
                    <a:stretch>
                      <a:fillRect/>
                    </a:stretch>
                  </pic:blipFill>
                  <pic:spPr>
                    <a:xfrm>
                      <a:off x="0" y="0"/>
                      <a:ext cx="6046103" cy="3357979"/>
                    </a:xfrm>
                    <a:prstGeom prst="rect">
                      <a:avLst/>
                    </a:prstGeom>
                  </pic:spPr>
                </pic:pic>
              </a:graphicData>
            </a:graphic>
          </wp:inline>
        </w:drawing>
      </w:r>
    </w:p>
    <w:p w:rsidR="00F02B68" w:rsidRDefault="00F02B68" w:rsidP="00F02B68">
      <w:pPr>
        <w:spacing w:line="240" w:lineRule="auto"/>
        <w:jc w:val="center"/>
        <w:rPr>
          <w:rFonts w:eastAsia="Times New Roman" w:cs="Times New Roman"/>
          <w:sz w:val="24"/>
          <w:szCs w:val="24"/>
          <w:shd w:val="clear" w:color="auto" w:fill="FFFFFF"/>
          <w:lang w:eastAsia="en-GB"/>
        </w:rPr>
      </w:pPr>
      <w:r w:rsidRPr="004722A3">
        <w:rPr>
          <w:rFonts w:eastAsia="Times New Roman" w:cs="Times New Roman"/>
          <w:b/>
          <w:sz w:val="24"/>
          <w:szCs w:val="24"/>
          <w:lang w:eastAsia="en-GB"/>
        </w:rPr>
        <w:t>Figure 1.</w:t>
      </w:r>
      <w:r w:rsidRPr="004722A3">
        <w:rPr>
          <w:rFonts w:eastAsia="Times New Roman" w:cs="Times New Roman"/>
          <w:sz w:val="24"/>
          <w:szCs w:val="24"/>
          <w:lang w:eastAsia="en-GB"/>
        </w:rPr>
        <w:t xml:space="preserve">  </w:t>
      </w:r>
      <w:r w:rsidRPr="004722A3">
        <w:rPr>
          <w:rFonts w:eastAsia="Times New Roman" w:cs="Times New Roman"/>
          <w:sz w:val="24"/>
          <w:szCs w:val="24"/>
          <w:shd w:val="clear" w:color="auto" w:fill="FFFFFF"/>
          <w:lang w:eastAsia="en-GB"/>
        </w:rPr>
        <w:t xml:space="preserve">GWR coefficient estimates for disability and illness </w:t>
      </w:r>
      <w:r>
        <w:rPr>
          <w:rFonts w:eastAsia="Times New Roman" w:cs="Times New Roman"/>
          <w:sz w:val="24"/>
          <w:szCs w:val="24"/>
          <w:shd w:val="clear" w:color="auto" w:fill="FFFFFF"/>
          <w:lang w:eastAsia="en-GB"/>
        </w:rPr>
        <w:t>variable. Source: ONS (2011b.).</w:t>
      </w:r>
    </w:p>
    <w:p w:rsidR="00BD6D78" w:rsidRDefault="008B3788" w:rsidP="00C302DD">
      <w:pPr>
        <w:spacing w:line="360" w:lineRule="auto"/>
        <w:jc w:val="both"/>
        <w:rPr>
          <w:rFonts w:cs="Times New Roman"/>
          <w:sz w:val="24"/>
          <w:szCs w:val="24"/>
        </w:rPr>
      </w:pPr>
      <w:r w:rsidRPr="004722A3">
        <w:rPr>
          <w:rFonts w:cs="Times New Roman"/>
          <w:sz w:val="24"/>
          <w:szCs w:val="24"/>
        </w:rPr>
        <w:lastRenderedPageBreak/>
        <w:t xml:space="preserve">Unlike the disability </w:t>
      </w:r>
      <w:r w:rsidR="001C3D29">
        <w:rPr>
          <w:rFonts w:cs="Times New Roman"/>
          <w:sz w:val="24"/>
          <w:szCs w:val="24"/>
        </w:rPr>
        <w:t>variable,</w:t>
      </w:r>
      <w:r w:rsidRPr="004722A3">
        <w:rPr>
          <w:rFonts w:cs="Times New Roman"/>
          <w:sz w:val="24"/>
          <w:szCs w:val="24"/>
        </w:rPr>
        <w:t xml:space="preserve"> socio-spatial vulnerabilities associated with non-gas central heating are best represented by the 10% indicator. Non-gas central heating </w:t>
      </w:r>
      <w:r w:rsidR="000C2024">
        <w:rPr>
          <w:rFonts w:cs="Times New Roman"/>
          <w:sz w:val="24"/>
          <w:szCs w:val="24"/>
        </w:rPr>
        <w:t>has a relatively high</w:t>
      </w:r>
      <w:r w:rsidRPr="004722A3">
        <w:rPr>
          <w:rFonts w:cs="Times New Roman"/>
          <w:sz w:val="24"/>
          <w:szCs w:val="24"/>
        </w:rPr>
        <w:t xml:space="preserve"> positive effect on fuel poverty using the 10% indicator OLS model (+0.31)</w:t>
      </w:r>
      <w:r w:rsidR="000C2024">
        <w:rPr>
          <w:rFonts w:cs="Times New Roman"/>
          <w:sz w:val="24"/>
          <w:szCs w:val="24"/>
        </w:rPr>
        <w:t>, compared to the LIHC indicator (+0.06).</w:t>
      </w:r>
      <w:r w:rsidRPr="004722A3">
        <w:rPr>
          <w:rFonts w:cs="Times New Roman"/>
          <w:sz w:val="24"/>
          <w:szCs w:val="24"/>
        </w:rPr>
        <w:t xml:space="preserve"> </w:t>
      </w:r>
      <w:r w:rsidR="001C3D29">
        <w:rPr>
          <w:rFonts w:cs="Times New Roman"/>
          <w:sz w:val="24"/>
          <w:szCs w:val="24"/>
        </w:rPr>
        <w:t>Geographic</w:t>
      </w:r>
      <w:r w:rsidRPr="004722A3">
        <w:rPr>
          <w:rFonts w:cs="Times New Roman"/>
          <w:sz w:val="24"/>
          <w:szCs w:val="24"/>
        </w:rPr>
        <w:t>ally, households without gas central heating cluster in rural</w:t>
      </w:r>
      <w:r w:rsidR="001C3D29">
        <w:rPr>
          <w:rFonts w:cs="Times New Roman"/>
          <w:sz w:val="24"/>
          <w:szCs w:val="24"/>
        </w:rPr>
        <w:t xml:space="preserve"> areas and in pockets of inner city areas within </w:t>
      </w:r>
      <w:r w:rsidRPr="004722A3">
        <w:rPr>
          <w:rFonts w:cs="Times New Roman"/>
          <w:sz w:val="24"/>
          <w:szCs w:val="24"/>
        </w:rPr>
        <w:t>major conu</w:t>
      </w:r>
      <w:r w:rsidR="001C3D29">
        <w:rPr>
          <w:rFonts w:cs="Times New Roman"/>
          <w:sz w:val="24"/>
          <w:szCs w:val="24"/>
        </w:rPr>
        <w:t>rbations (ONS 2011a.). Concurring</w:t>
      </w:r>
      <w:r w:rsidR="00177EC5">
        <w:rPr>
          <w:rFonts w:cs="Times New Roman"/>
          <w:sz w:val="24"/>
          <w:szCs w:val="24"/>
        </w:rPr>
        <w:t xml:space="preserve"> to some extent</w:t>
      </w:r>
      <w:r w:rsidRPr="004722A3">
        <w:rPr>
          <w:rFonts w:cs="Times New Roman"/>
          <w:sz w:val="24"/>
          <w:szCs w:val="24"/>
        </w:rPr>
        <w:t>, the negative coefficient estimates from the GWR models of both indic</w:t>
      </w:r>
      <w:r w:rsidR="001C3D29">
        <w:rPr>
          <w:rFonts w:cs="Times New Roman"/>
          <w:sz w:val="24"/>
          <w:szCs w:val="24"/>
        </w:rPr>
        <w:t xml:space="preserve">ators are concentrated in </w:t>
      </w:r>
      <w:r w:rsidRPr="004722A3">
        <w:rPr>
          <w:rFonts w:cs="Times New Roman"/>
          <w:sz w:val="24"/>
          <w:szCs w:val="24"/>
        </w:rPr>
        <w:t xml:space="preserve">urban conurbations. However, compared to the 10% indicator, the LIHC indicator has a less strong positive relationship with the non-gas central heating variable in rural areas. Abandonment of universal tariff structures </w:t>
      </w:r>
      <w:r w:rsidR="00FC21F4">
        <w:rPr>
          <w:rFonts w:cs="Times New Roman"/>
          <w:sz w:val="24"/>
          <w:szCs w:val="24"/>
        </w:rPr>
        <w:t>during</w:t>
      </w:r>
      <w:r w:rsidRPr="004722A3">
        <w:rPr>
          <w:rFonts w:cs="Times New Roman"/>
          <w:sz w:val="24"/>
          <w:szCs w:val="24"/>
        </w:rPr>
        <w:t xml:space="preserve"> the privatisation of energy companies has </w:t>
      </w:r>
      <w:r w:rsidR="00FC21F4">
        <w:rPr>
          <w:rFonts w:cs="Times New Roman"/>
          <w:sz w:val="24"/>
          <w:szCs w:val="24"/>
        </w:rPr>
        <w:t>resulted in</w:t>
      </w:r>
      <w:r w:rsidRPr="004722A3">
        <w:rPr>
          <w:rFonts w:cs="Times New Roman"/>
          <w:sz w:val="24"/>
          <w:szCs w:val="24"/>
        </w:rPr>
        <w:t xml:space="preserve"> social fragmentation, with fewer cross subsidies between urban areas that are cheaper to supply and more expensive rural areas (Graham and Marvin 1994). As such, the non-gas central heating variable is the variable to which high energy prices make the greatest contribu</w:t>
      </w:r>
      <w:r w:rsidR="001C3D29">
        <w:rPr>
          <w:rFonts w:cs="Times New Roman"/>
          <w:sz w:val="24"/>
          <w:szCs w:val="24"/>
        </w:rPr>
        <w:t xml:space="preserve">tion, a significant component </w:t>
      </w:r>
      <w:r w:rsidR="00034BF0">
        <w:rPr>
          <w:rFonts w:cs="Times New Roman"/>
          <w:sz w:val="24"/>
          <w:szCs w:val="24"/>
        </w:rPr>
        <w:t xml:space="preserve">in the 10% indicator design. </w:t>
      </w:r>
    </w:p>
    <w:p w:rsidR="00F02B68" w:rsidRDefault="00F02B68" w:rsidP="00F02B68">
      <w:pPr>
        <w:spacing w:line="240" w:lineRule="auto"/>
        <w:rPr>
          <w:rFonts w:cs="Times New Roman"/>
          <w:b/>
          <w:sz w:val="24"/>
          <w:szCs w:val="24"/>
          <w:shd w:val="clear" w:color="auto" w:fill="FFFFFF"/>
        </w:rPr>
      </w:pPr>
    </w:p>
    <w:p w:rsidR="00F02B68" w:rsidRDefault="00F02B68" w:rsidP="00F02B68">
      <w:pPr>
        <w:spacing w:line="240" w:lineRule="auto"/>
        <w:rPr>
          <w:rFonts w:cs="Times New Roman"/>
          <w:b/>
          <w:sz w:val="24"/>
          <w:szCs w:val="24"/>
          <w:shd w:val="clear" w:color="auto" w:fill="FFFFFF"/>
        </w:rPr>
      </w:pPr>
      <w:r>
        <w:rPr>
          <w:rFonts w:cs="Times New Roman"/>
          <w:b/>
          <w:noProof/>
          <w:sz w:val="24"/>
          <w:szCs w:val="24"/>
          <w:shd w:val="clear" w:color="auto" w:fill="FFFFFF"/>
          <w:lang w:eastAsia="en-GB"/>
        </w:rPr>
        <w:drawing>
          <wp:inline distT="0" distB="0" distL="0" distR="0" wp14:anchorId="4C5EC75F" wp14:editId="6B137428">
            <wp:extent cx="6333382" cy="3514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_revised.tif"/>
                    <pic:cNvPicPr/>
                  </pic:nvPicPr>
                  <pic:blipFill>
                    <a:blip r:embed="rId11">
                      <a:extLst>
                        <a:ext uri="{28A0092B-C50C-407E-A947-70E740481C1C}">
                          <a14:useLocalDpi xmlns:a14="http://schemas.microsoft.com/office/drawing/2010/main" val="0"/>
                        </a:ext>
                      </a:extLst>
                    </a:blip>
                    <a:stretch>
                      <a:fillRect/>
                    </a:stretch>
                  </pic:blipFill>
                  <pic:spPr>
                    <a:xfrm>
                      <a:off x="0" y="0"/>
                      <a:ext cx="6335057" cy="3515655"/>
                    </a:xfrm>
                    <a:prstGeom prst="rect">
                      <a:avLst/>
                    </a:prstGeom>
                  </pic:spPr>
                </pic:pic>
              </a:graphicData>
            </a:graphic>
          </wp:inline>
        </w:drawing>
      </w:r>
    </w:p>
    <w:p w:rsidR="00F02B68" w:rsidRDefault="00F02B68" w:rsidP="00F02B68">
      <w:pPr>
        <w:spacing w:line="240" w:lineRule="auto"/>
        <w:jc w:val="center"/>
        <w:rPr>
          <w:rFonts w:cs="Times New Roman"/>
          <w:sz w:val="24"/>
          <w:szCs w:val="24"/>
          <w:shd w:val="clear" w:color="auto" w:fill="FFFFFF"/>
        </w:rPr>
      </w:pPr>
      <w:r>
        <w:rPr>
          <w:rFonts w:cs="Times New Roman"/>
          <w:b/>
          <w:sz w:val="24"/>
          <w:szCs w:val="24"/>
          <w:shd w:val="clear" w:color="auto" w:fill="FFFFFF"/>
        </w:rPr>
        <w:t>F</w:t>
      </w:r>
      <w:r w:rsidRPr="004722A3">
        <w:rPr>
          <w:rFonts w:cs="Times New Roman"/>
          <w:b/>
          <w:sz w:val="24"/>
          <w:szCs w:val="24"/>
          <w:shd w:val="clear" w:color="auto" w:fill="FFFFFF"/>
        </w:rPr>
        <w:t xml:space="preserve">igure 2. </w:t>
      </w:r>
      <w:r>
        <w:rPr>
          <w:rFonts w:cs="Times New Roman"/>
          <w:sz w:val="24"/>
          <w:szCs w:val="24"/>
          <w:shd w:val="clear" w:color="auto" w:fill="FFFFFF"/>
        </w:rPr>
        <w:t xml:space="preserve">GWR coefficients for </w:t>
      </w:r>
      <w:r w:rsidRPr="004722A3">
        <w:rPr>
          <w:rFonts w:cs="Times New Roman"/>
          <w:sz w:val="24"/>
          <w:szCs w:val="24"/>
          <w:shd w:val="clear" w:color="auto" w:fill="FFFFFF"/>
        </w:rPr>
        <w:t>non-gas central</w:t>
      </w:r>
      <w:r>
        <w:rPr>
          <w:rFonts w:cs="Times New Roman"/>
          <w:sz w:val="24"/>
          <w:szCs w:val="24"/>
          <w:shd w:val="clear" w:color="auto" w:fill="FFFFFF"/>
        </w:rPr>
        <w:t xml:space="preserve"> heating variable.Source: </w:t>
      </w:r>
      <w:r w:rsidRPr="004722A3">
        <w:rPr>
          <w:rFonts w:cs="Times New Roman"/>
          <w:sz w:val="24"/>
          <w:szCs w:val="24"/>
          <w:shd w:val="clear" w:color="auto" w:fill="FFFFFF"/>
        </w:rPr>
        <w:t xml:space="preserve">ONS </w:t>
      </w:r>
      <w:r>
        <w:rPr>
          <w:rFonts w:cs="Times New Roman"/>
          <w:sz w:val="24"/>
          <w:szCs w:val="24"/>
          <w:shd w:val="clear" w:color="auto" w:fill="FFFFFF"/>
        </w:rPr>
        <w:t>(2011b.).</w:t>
      </w:r>
    </w:p>
    <w:p w:rsidR="00F02B68" w:rsidRDefault="00F02B68" w:rsidP="0058650E">
      <w:pPr>
        <w:spacing w:line="240" w:lineRule="auto"/>
        <w:rPr>
          <w:rFonts w:cs="Times New Roman"/>
          <w:b/>
          <w:sz w:val="24"/>
          <w:szCs w:val="24"/>
          <w:shd w:val="clear" w:color="auto" w:fill="FFFFFF"/>
        </w:rPr>
      </w:pPr>
    </w:p>
    <w:p w:rsidR="00F02B68" w:rsidRDefault="00F02B68" w:rsidP="0058650E">
      <w:pPr>
        <w:spacing w:line="240" w:lineRule="auto"/>
        <w:rPr>
          <w:rFonts w:cs="Times New Roman"/>
          <w:b/>
          <w:sz w:val="24"/>
          <w:szCs w:val="24"/>
          <w:shd w:val="clear" w:color="auto" w:fill="FFFFFF"/>
        </w:rPr>
      </w:pPr>
    </w:p>
    <w:p w:rsidR="00F02B68" w:rsidRPr="004506F6" w:rsidRDefault="00F02B68" w:rsidP="0058650E">
      <w:pPr>
        <w:spacing w:line="240" w:lineRule="auto"/>
        <w:rPr>
          <w:rFonts w:cs="Times New Roman"/>
          <w:b/>
          <w:sz w:val="24"/>
          <w:szCs w:val="24"/>
          <w:shd w:val="clear" w:color="auto" w:fill="FFFFFF"/>
        </w:rPr>
      </w:pPr>
    </w:p>
    <w:p w:rsidR="008B3788" w:rsidRDefault="008B3788" w:rsidP="00C302DD">
      <w:pPr>
        <w:spacing w:line="360" w:lineRule="auto"/>
        <w:jc w:val="both"/>
        <w:rPr>
          <w:rFonts w:cs="Times New Roman"/>
          <w:sz w:val="24"/>
          <w:szCs w:val="24"/>
        </w:rPr>
      </w:pPr>
      <w:r w:rsidRPr="004722A3">
        <w:rPr>
          <w:rFonts w:cs="Times New Roman"/>
          <w:sz w:val="24"/>
          <w:szCs w:val="24"/>
          <w:shd w:val="clear" w:color="auto" w:fill="FFFFFF"/>
        </w:rPr>
        <w:lastRenderedPageBreak/>
        <w:t xml:space="preserve">The spatial distribution of the all pensioner household variable is also best represented by the 10% indicator. </w:t>
      </w:r>
      <w:r w:rsidR="002D3AF5">
        <w:rPr>
          <w:rFonts w:cs="Times New Roman"/>
          <w:sz w:val="24"/>
          <w:szCs w:val="24"/>
        </w:rPr>
        <w:t xml:space="preserve">In the </w:t>
      </w:r>
      <w:r w:rsidRPr="004722A3">
        <w:rPr>
          <w:rFonts w:cs="Times New Roman"/>
          <w:sz w:val="24"/>
          <w:szCs w:val="24"/>
        </w:rPr>
        <w:t>OLS model the variable has a positive effect on fuel poverty</w:t>
      </w:r>
      <w:r w:rsidR="002D3AF5">
        <w:rPr>
          <w:rFonts w:cs="Times New Roman"/>
          <w:sz w:val="24"/>
          <w:szCs w:val="24"/>
        </w:rPr>
        <w:t xml:space="preserve"> using the 10% indicator</w:t>
      </w:r>
      <w:r w:rsidRPr="004722A3">
        <w:rPr>
          <w:rFonts w:cs="Times New Roman"/>
          <w:sz w:val="24"/>
          <w:szCs w:val="24"/>
        </w:rPr>
        <w:t xml:space="preserve"> (+0.06) and a negative effect using the LIHC indicator (-0.09). For the 10% indicator GWR model, 40% of LSOA have a negative coefficient, largely concentrated in urban conurbations. </w:t>
      </w:r>
      <w:r w:rsidR="002D3AF5">
        <w:rPr>
          <w:rFonts w:cs="Times New Roman"/>
          <w:sz w:val="24"/>
          <w:szCs w:val="24"/>
        </w:rPr>
        <w:t xml:space="preserve">For the </w:t>
      </w:r>
      <w:r w:rsidRPr="004722A3">
        <w:rPr>
          <w:rFonts w:cs="Times New Roman"/>
          <w:sz w:val="24"/>
          <w:szCs w:val="24"/>
        </w:rPr>
        <w:t xml:space="preserve">LIHC indicator approximately 60% of neighbourhoods have a negative coefficient value </w:t>
      </w:r>
      <w:r w:rsidRPr="004722A3">
        <w:rPr>
          <w:rFonts w:cs="Times New Roman"/>
          <w:sz w:val="24"/>
          <w:szCs w:val="24"/>
          <w:shd w:val="clear" w:color="auto" w:fill="FFFFFF"/>
        </w:rPr>
        <w:t xml:space="preserve">concentrated in large urban conurbations, but extending into swathes of rural areas across the South West, South East and North West where there is a high percentage of all pensioner households (Figure 3). Given that neighbourhoods with the highest percentage of all pensioner households are commonly found in rural and coastal areas (ONS 2011), the distribution of the 10% indicator coefficients best represents the variable. </w:t>
      </w:r>
      <w:r w:rsidRPr="004722A3">
        <w:rPr>
          <w:rFonts w:cs="Times New Roman"/>
          <w:sz w:val="24"/>
          <w:szCs w:val="24"/>
        </w:rPr>
        <w:t xml:space="preserve">This can be explained by the considerable influence of energy price upon the 10% indicator, a factor that commonly enhances the vulnerability of older populations due to their tendency to live in rural areas off the gas network (Roberts 2008). In contrast, the LIHC indicator places more emphasis upon properties with high housing costs (using a </w:t>
      </w:r>
      <w:r w:rsidRPr="004722A3">
        <w:rPr>
          <w:rFonts w:cs="Times New Roman"/>
          <w:i/>
          <w:sz w:val="24"/>
          <w:szCs w:val="24"/>
        </w:rPr>
        <w:t>Before Housing Cost</w:t>
      </w:r>
      <w:r w:rsidRPr="004722A3">
        <w:rPr>
          <w:rFonts w:cs="Times New Roman"/>
          <w:sz w:val="24"/>
          <w:szCs w:val="24"/>
        </w:rPr>
        <w:t xml:space="preserve"> measure of income) excluding pensioners who are most likely to be owner-occupiers (ONS 2011a.). The LIHC indicator is also less likely to recognise under-occupied properties, common amongst pensioner</w:t>
      </w:r>
      <w:r w:rsidR="002D3AF5">
        <w:rPr>
          <w:rFonts w:cs="Times New Roman"/>
          <w:sz w:val="24"/>
          <w:szCs w:val="24"/>
        </w:rPr>
        <w:t>s</w:t>
      </w:r>
      <w:r w:rsidRPr="004722A3">
        <w:rPr>
          <w:rFonts w:cs="Times New Roman"/>
          <w:sz w:val="24"/>
          <w:szCs w:val="24"/>
        </w:rPr>
        <w:t xml:space="preserve">, due to the equivalisation of income according to household composition (Healy and Clinch 2002, Moore 2012). </w:t>
      </w:r>
    </w:p>
    <w:p w:rsidR="00F02B68" w:rsidRDefault="00F02B68" w:rsidP="00F02B68">
      <w:pPr>
        <w:spacing w:after="0" w:line="240" w:lineRule="auto"/>
        <w:jc w:val="center"/>
        <w:rPr>
          <w:rFonts w:cs="Times New Roman"/>
          <w:b/>
          <w:sz w:val="24"/>
          <w:szCs w:val="24"/>
        </w:rPr>
      </w:pPr>
      <w:r>
        <w:rPr>
          <w:rFonts w:cs="Times New Roman"/>
          <w:b/>
          <w:noProof/>
          <w:sz w:val="24"/>
          <w:szCs w:val="24"/>
          <w:lang w:eastAsia="en-GB"/>
        </w:rPr>
        <w:drawing>
          <wp:inline distT="0" distB="0" distL="0" distR="0">
            <wp:extent cx="6288543" cy="3419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sion_revised.tif"/>
                    <pic:cNvPicPr/>
                  </pic:nvPicPr>
                  <pic:blipFill>
                    <a:blip r:embed="rId12">
                      <a:extLst>
                        <a:ext uri="{28A0092B-C50C-407E-A947-70E740481C1C}">
                          <a14:useLocalDpi xmlns:a14="http://schemas.microsoft.com/office/drawing/2010/main" val="0"/>
                        </a:ext>
                      </a:extLst>
                    </a:blip>
                    <a:stretch>
                      <a:fillRect/>
                    </a:stretch>
                  </pic:blipFill>
                  <pic:spPr>
                    <a:xfrm>
                      <a:off x="0" y="0"/>
                      <a:ext cx="6296245" cy="3423663"/>
                    </a:xfrm>
                    <a:prstGeom prst="rect">
                      <a:avLst/>
                    </a:prstGeom>
                  </pic:spPr>
                </pic:pic>
              </a:graphicData>
            </a:graphic>
          </wp:inline>
        </w:drawing>
      </w:r>
    </w:p>
    <w:p w:rsidR="00F02B68" w:rsidRDefault="00F02B68" w:rsidP="00F02B68">
      <w:pPr>
        <w:spacing w:after="0" w:line="240" w:lineRule="auto"/>
        <w:jc w:val="center"/>
        <w:rPr>
          <w:rFonts w:cs="Times New Roman"/>
          <w:b/>
          <w:sz w:val="24"/>
          <w:szCs w:val="24"/>
        </w:rPr>
      </w:pPr>
    </w:p>
    <w:p w:rsidR="00F02B68" w:rsidRDefault="00F02B68" w:rsidP="00F02B68">
      <w:pPr>
        <w:spacing w:after="0" w:line="240" w:lineRule="auto"/>
        <w:jc w:val="center"/>
        <w:rPr>
          <w:rFonts w:cs="Times New Roman"/>
          <w:sz w:val="24"/>
          <w:szCs w:val="24"/>
          <w:shd w:val="clear" w:color="auto" w:fill="FFFFFF"/>
        </w:rPr>
      </w:pPr>
      <w:r w:rsidRPr="004722A3">
        <w:rPr>
          <w:rFonts w:cs="Times New Roman"/>
          <w:b/>
          <w:sz w:val="24"/>
          <w:szCs w:val="24"/>
        </w:rPr>
        <w:t>Figure 3.</w:t>
      </w:r>
      <w:r w:rsidRPr="004722A3">
        <w:rPr>
          <w:rFonts w:cs="Times New Roman"/>
          <w:sz w:val="24"/>
          <w:szCs w:val="24"/>
        </w:rPr>
        <w:t xml:space="preserve">  </w:t>
      </w:r>
      <w:r w:rsidRPr="004722A3">
        <w:rPr>
          <w:rFonts w:cs="Times New Roman"/>
          <w:sz w:val="24"/>
          <w:szCs w:val="24"/>
          <w:shd w:val="clear" w:color="auto" w:fill="FFFFFF"/>
        </w:rPr>
        <w:t>GWR coefficient estimates for all pensioner ho</w:t>
      </w:r>
      <w:r>
        <w:rPr>
          <w:rFonts w:cs="Times New Roman"/>
          <w:sz w:val="24"/>
          <w:szCs w:val="24"/>
          <w:shd w:val="clear" w:color="auto" w:fill="FFFFFF"/>
        </w:rPr>
        <w:t xml:space="preserve">usehold variable. Source: </w:t>
      </w:r>
      <w:r w:rsidRPr="004722A3">
        <w:rPr>
          <w:rFonts w:cs="Times New Roman"/>
          <w:sz w:val="24"/>
          <w:szCs w:val="24"/>
          <w:shd w:val="clear" w:color="auto" w:fill="FFFFFF"/>
        </w:rPr>
        <w:t xml:space="preserve">ONS </w:t>
      </w:r>
      <w:r>
        <w:rPr>
          <w:rFonts w:cs="Times New Roman"/>
          <w:sz w:val="24"/>
          <w:szCs w:val="24"/>
          <w:shd w:val="clear" w:color="auto" w:fill="FFFFFF"/>
        </w:rPr>
        <w:t>(</w:t>
      </w:r>
      <w:r w:rsidRPr="004722A3">
        <w:rPr>
          <w:rFonts w:cs="Times New Roman"/>
          <w:sz w:val="24"/>
          <w:szCs w:val="24"/>
          <w:shd w:val="clear" w:color="auto" w:fill="FFFFFF"/>
        </w:rPr>
        <w:t>2011b.)</w:t>
      </w:r>
    </w:p>
    <w:p w:rsidR="008B3788" w:rsidRPr="00034BF0" w:rsidRDefault="008B3788" w:rsidP="00C302DD">
      <w:pPr>
        <w:spacing w:line="360" w:lineRule="auto"/>
        <w:jc w:val="both"/>
        <w:rPr>
          <w:rFonts w:eastAsiaTheme="majorEastAsia" w:cs="Times New Roman"/>
          <w:b/>
          <w:bCs/>
          <w:sz w:val="24"/>
          <w:szCs w:val="24"/>
        </w:rPr>
      </w:pPr>
      <w:r w:rsidRPr="00034BF0">
        <w:rPr>
          <w:rFonts w:eastAsiaTheme="majorEastAsia" w:cs="Times New Roman"/>
          <w:b/>
          <w:bCs/>
          <w:sz w:val="24"/>
          <w:szCs w:val="24"/>
        </w:rPr>
        <w:lastRenderedPageBreak/>
        <w:t>Underrepresented socio-spatial vulnerabilities and neighbourhoods</w:t>
      </w:r>
    </w:p>
    <w:p w:rsidR="008B3788" w:rsidRDefault="008B3788" w:rsidP="00C302DD">
      <w:pPr>
        <w:spacing w:line="360" w:lineRule="auto"/>
        <w:jc w:val="both"/>
        <w:rPr>
          <w:rFonts w:cs="Times New Roman"/>
          <w:sz w:val="24"/>
          <w:szCs w:val="24"/>
        </w:rPr>
      </w:pPr>
      <w:r w:rsidRPr="004722A3">
        <w:rPr>
          <w:rFonts w:cs="Times New Roman"/>
          <w:sz w:val="24"/>
          <w:szCs w:val="24"/>
        </w:rPr>
        <w:t>The GWR models highlights that some vulnerability variables may be poorly represented by both indicators when considering their</w:t>
      </w:r>
      <w:r w:rsidR="003D5540">
        <w:rPr>
          <w:rFonts w:cs="Times New Roman"/>
          <w:sz w:val="24"/>
          <w:szCs w:val="24"/>
        </w:rPr>
        <w:t xml:space="preserve"> spatial </w:t>
      </w:r>
      <w:r w:rsidRPr="004722A3">
        <w:rPr>
          <w:rFonts w:cs="Times New Roman"/>
          <w:sz w:val="24"/>
          <w:szCs w:val="24"/>
        </w:rPr>
        <w:t xml:space="preserve">distribution. Using the OLS model, seemingly the LIHC indicator better represents vulnerability amongst lone parent families. </w:t>
      </w:r>
      <w:r w:rsidR="003D5540">
        <w:rPr>
          <w:rFonts w:cs="Times New Roman"/>
          <w:sz w:val="24"/>
          <w:szCs w:val="24"/>
        </w:rPr>
        <w:t>However</w:t>
      </w:r>
      <w:r w:rsidRPr="004722A3">
        <w:rPr>
          <w:rFonts w:cs="Times New Roman"/>
          <w:sz w:val="24"/>
          <w:szCs w:val="24"/>
        </w:rPr>
        <w:t xml:space="preserve"> the GWR demonstrate</w:t>
      </w:r>
      <w:r w:rsidR="002D3AF5">
        <w:rPr>
          <w:rFonts w:cs="Times New Roman"/>
          <w:sz w:val="24"/>
          <w:szCs w:val="24"/>
        </w:rPr>
        <w:t>s</w:t>
      </w:r>
      <w:r w:rsidRPr="004722A3">
        <w:rPr>
          <w:rFonts w:cs="Times New Roman"/>
          <w:sz w:val="24"/>
          <w:szCs w:val="24"/>
        </w:rPr>
        <w:t xml:space="preserve"> that the 10% indicator is in fact slightly preferential in its representation of the spat</w:t>
      </w:r>
      <w:r w:rsidR="002D3AF5">
        <w:rPr>
          <w:rFonts w:cs="Times New Roman"/>
          <w:sz w:val="24"/>
          <w:szCs w:val="24"/>
        </w:rPr>
        <w:t>ial distribution of lone parent</w:t>
      </w:r>
      <w:r w:rsidRPr="004722A3">
        <w:rPr>
          <w:rFonts w:cs="Times New Roman"/>
          <w:sz w:val="24"/>
          <w:szCs w:val="24"/>
        </w:rPr>
        <w:t>s, having a less strong positive relationship with lone parent households in rural areas compared to</w:t>
      </w:r>
      <w:r w:rsidR="002D3AF5">
        <w:rPr>
          <w:rFonts w:cs="Times New Roman"/>
          <w:sz w:val="24"/>
          <w:szCs w:val="24"/>
        </w:rPr>
        <w:t xml:space="preserve"> the LIHC indicator. Whilst a</w:t>
      </w:r>
      <w:r w:rsidRPr="004722A3">
        <w:rPr>
          <w:rFonts w:cs="Times New Roman"/>
          <w:sz w:val="24"/>
          <w:szCs w:val="24"/>
        </w:rPr>
        <w:t>pproximately 75% of LSOA have a positive coefficient value using the LIHC indicator, these are concentrated in rural areas in the Midlands, Yorkshire and the Humber and the East of England. Whilst some city regions have positive relationships (e.g. Newcastle and Liverpool) others exhibit negative relationships (e.g. Manchester, Birmingham and Leeds). These spatial patterns fail to represent the concentration of lone-parent households in large urban conurbations (ONS 2011a.). The analysis</w:t>
      </w:r>
      <w:r w:rsidR="003D5540">
        <w:rPr>
          <w:rFonts w:cs="Times New Roman"/>
          <w:sz w:val="24"/>
          <w:szCs w:val="24"/>
        </w:rPr>
        <w:t xml:space="preserve"> scale may contribute</w:t>
      </w:r>
      <w:r w:rsidRPr="004722A3">
        <w:rPr>
          <w:rFonts w:cs="Times New Roman"/>
          <w:sz w:val="24"/>
          <w:szCs w:val="24"/>
        </w:rPr>
        <w:t xml:space="preserve"> towards this lack of recognition, as </w:t>
      </w:r>
      <w:r w:rsidRPr="004722A3">
        <w:rPr>
          <w:rFonts w:eastAsia="Times New Roman" w:cs="Times New Roman"/>
          <w:bCs/>
          <w:sz w:val="24"/>
          <w:szCs w:val="24"/>
          <w:lang w:eastAsia="en-GB"/>
        </w:rPr>
        <w:t xml:space="preserve">2.4% of LSOA are included in the bandwidth of each GWR regression equation. Given that lone parent households are highly spatially </w:t>
      </w:r>
      <w:r w:rsidR="002D3AF5">
        <w:rPr>
          <w:rFonts w:eastAsia="Times New Roman" w:cs="Times New Roman"/>
          <w:bCs/>
          <w:sz w:val="24"/>
          <w:szCs w:val="24"/>
          <w:lang w:eastAsia="en-GB"/>
        </w:rPr>
        <w:t xml:space="preserve">concentrated relative to other </w:t>
      </w:r>
      <w:r w:rsidRPr="004722A3">
        <w:rPr>
          <w:rFonts w:eastAsia="Times New Roman" w:cs="Times New Roman"/>
          <w:bCs/>
          <w:sz w:val="24"/>
          <w:szCs w:val="24"/>
          <w:lang w:eastAsia="en-GB"/>
        </w:rPr>
        <w:t xml:space="preserve">variables, a large bandwidth may be smoothing the results, masking pockets of LSOA where the relationship is positive. The complexities associated with deprivation amongst lone parent families, who are likely to experience a myriad of </w:t>
      </w:r>
      <w:r w:rsidR="002D3AF5">
        <w:rPr>
          <w:rFonts w:eastAsia="Times New Roman" w:cs="Times New Roman"/>
          <w:bCs/>
          <w:sz w:val="24"/>
          <w:szCs w:val="24"/>
          <w:lang w:eastAsia="en-GB"/>
        </w:rPr>
        <w:t>challenges</w:t>
      </w:r>
      <w:r w:rsidRPr="004722A3">
        <w:rPr>
          <w:rFonts w:eastAsia="Times New Roman" w:cs="Times New Roman"/>
          <w:bCs/>
          <w:sz w:val="24"/>
          <w:szCs w:val="24"/>
          <w:lang w:eastAsia="en-GB"/>
        </w:rPr>
        <w:t xml:space="preserve"> in balancing employment and childcare, may also be more difficult to represent using a single indicator</w:t>
      </w:r>
      <w:r w:rsidR="00385464">
        <w:rPr>
          <w:rFonts w:cs="Times New Roman"/>
          <w:sz w:val="24"/>
          <w:szCs w:val="24"/>
        </w:rPr>
        <w:t xml:space="preserve"> (Gingerbread 2013</w:t>
      </w:r>
      <w:r w:rsidRPr="004722A3">
        <w:rPr>
          <w:rFonts w:cs="Times New Roman"/>
          <w:sz w:val="24"/>
          <w:szCs w:val="24"/>
        </w:rPr>
        <w:t xml:space="preserve">). </w:t>
      </w:r>
    </w:p>
    <w:p w:rsidR="00F02B68" w:rsidRDefault="00F02B68" w:rsidP="00F02B68">
      <w:pPr>
        <w:spacing w:line="240" w:lineRule="auto"/>
        <w:jc w:val="center"/>
        <w:rPr>
          <w:rFonts w:eastAsia="Times New Roman" w:cs="Times New Roman"/>
          <w:b/>
          <w:sz w:val="24"/>
          <w:szCs w:val="24"/>
          <w:lang w:eastAsia="en-GB"/>
        </w:rPr>
      </w:pPr>
      <w:r>
        <w:rPr>
          <w:rFonts w:eastAsia="Times New Roman" w:cs="Times New Roman"/>
          <w:b/>
          <w:noProof/>
          <w:sz w:val="24"/>
          <w:szCs w:val="24"/>
          <w:lang w:eastAsia="en-GB"/>
        </w:rPr>
        <w:drawing>
          <wp:inline distT="0" distB="0" distL="0" distR="0">
            <wp:extent cx="5731510" cy="3119120"/>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e_Revised.tif"/>
                    <pic:cNvPicPr/>
                  </pic:nvPicPr>
                  <pic:blipFill>
                    <a:blip r:embed="rId13">
                      <a:extLst>
                        <a:ext uri="{28A0092B-C50C-407E-A947-70E740481C1C}">
                          <a14:useLocalDpi xmlns:a14="http://schemas.microsoft.com/office/drawing/2010/main" val="0"/>
                        </a:ext>
                      </a:extLst>
                    </a:blip>
                    <a:stretch>
                      <a:fillRect/>
                    </a:stretch>
                  </pic:blipFill>
                  <pic:spPr>
                    <a:xfrm>
                      <a:off x="0" y="0"/>
                      <a:ext cx="5731510" cy="3119120"/>
                    </a:xfrm>
                    <a:prstGeom prst="rect">
                      <a:avLst/>
                    </a:prstGeom>
                  </pic:spPr>
                </pic:pic>
              </a:graphicData>
            </a:graphic>
          </wp:inline>
        </w:drawing>
      </w:r>
    </w:p>
    <w:p w:rsidR="00F02B68" w:rsidRPr="004722A3" w:rsidRDefault="00F02B68" w:rsidP="00F02B68">
      <w:pPr>
        <w:spacing w:line="240" w:lineRule="auto"/>
        <w:jc w:val="center"/>
        <w:rPr>
          <w:rFonts w:eastAsia="Times New Roman" w:cs="Times New Roman"/>
          <w:sz w:val="24"/>
          <w:szCs w:val="24"/>
          <w:shd w:val="clear" w:color="auto" w:fill="FFFFFF"/>
          <w:lang w:eastAsia="en-GB"/>
        </w:rPr>
      </w:pPr>
      <w:r w:rsidRPr="004722A3">
        <w:rPr>
          <w:rFonts w:eastAsia="Times New Roman" w:cs="Times New Roman"/>
          <w:b/>
          <w:sz w:val="24"/>
          <w:szCs w:val="24"/>
          <w:lang w:eastAsia="en-GB"/>
        </w:rPr>
        <w:t>Figure 4</w:t>
      </w:r>
      <w:r w:rsidRPr="004722A3">
        <w:rPr>
          <w:rFonts w:eastAsia="Times New Roman" w:cs="Times New Roman"/>
          <w:sz w:val="24"/>
          <w:szCs w:val="24"/>
          <w:lang w:eastAsia="en-GB"/>
        </w:rPr>
        <w:t>.</w:t>
      </w:r>
      <w:r w:rsidRPr="004722A3">
        <w:rPr>
          <w:rFonts w:eastAsia="Times New Roman" w:cs="Times New Roman"/>
          <w:b/>
          <w:sz w:val="24"/>
          <w:szCs w:val="24"/>
          <w:lang w:eastAsia="en-GB"/>
        </w:rPr>
        <w:t xml:space="preserve">  </w:t>
      </w:r>
      <w:r w:rsidRPr="004722A3">
        <w:rPr>
          <w:rFonts w:eastAsia="Times New Roman" w:cs="Times New Roman"/>
          <w:sz w:val="24"/>
          <w:szCs w:val="24"/>
          <w:shd w:val="clear" w:color="auto" w:fill="FFFFFF"/>
          <w:lang w:eastAsia="en-GB"/>
        </w:rPr>
        <w:t>GWR coefficients for lone parent ho</w:t>
      </w:r>
      <w:r>
        <w:rPr>
          <w:rFonts w:eastAsia="Times New Roman" w:cs="Times New Roman"/>
          <w:sz w:val="24"/>
          <w:szCs w:val="24"/>
          <w:shd w:val="clear" w:color="auto" w:fill="FFFFFF"/>
          <w:lang w:eastAsia="en-GB"/>
        </w:rPr>
        <w:t xml:space="preserve">usehold variable. Source: </w:t>
      </w:r>
      <w:r w:rsidRPr="004722A3">
        <w:rPr>
          <w:rFonts w:eastAsia="Times New Roman" w:cs="Times New Roman"/>
          <w:sz w:val="24"/>
          <w:szCs w:val="24"/>
          <w:shd w:val="clear" w:color="auto" w:fill="FFFFFF"/>
          <w:lang w:eastAsia="en-GB"/>
        </w:rPr>
        <w:t xml:space="preserve">ONS </w:t>
      </w:r>
      <w:r>
        <w:rPr>
          <w:rFonts w:eastAsia="Times New Roman" w:cs="Times New Roman"/>
          <w:sz w:val="24"/>
          <w:szCs w:val="24"/>
          <w:shd w:val="clear" w:color="auto" w:fill="FFFFFF"/>
          <w:lang w:eastAsia="en-GB"/>
        </w:rPr>
        <w:t>(2011b.).</w:t>
      </w:r>
    </w:p>
    <w:p w:rsidR="008B3788" w:rsidRPr="004722A3" w:rsidRDefault="008B3788" w:rsidP="00C302DD">
      <w:pPr>
        <w:spacing w:line="360" w:lineRule="auto"/>
        <w:jc w:val="both"/>
        <w:rPr>
          <w:rFonts w:cs="Times New Roman"/>
          <w:sz w:val="24"/>
          <w:szCs w:val="24"/>
        </w:rPr>
      </w:pPr>
      <w:r w:rsidRPr="004722A3">
        <w:rPr>
          <w:rFonts w:cs="Times New Roman"/>
          <w:sz w:val="24"/>
          <w:szCs w:val="24"/>
        </w:rPr>
        <w:lastRenderedPageBreak/>
        <w:t>To a lesser extent, socio-spatial vulnerabilities associated with some young families with children may also be underestimated by the fuel poverty indicators. The OLS estimate for the 10% indicator is weakly negative whilst for the LIHC indicator it is positive. In</w:t>
      </w:r>
      <w:r w:rsidR="003D5540">
        <w:rPr>
          <w:rFonts w:cs="Times New Roman"/>
          <w:sz w:val="24"/>
          <w:szCs w:val="24"/>
        </w:rPr>
        <w:t xml:space="preserve"> the GWR models for</w:t>
      </w:r>
      <w:r w:rsidRPr="004722A3">
        <w:rPr>
          <w:rFonts w:cs="Times New Roman"/>
          <w:sz w:val="24"/>
          <w:szCs w:val="24"/>
        </w:rPr>
        <w:t xml:space="preserve"> both indicators </w:t>
      </w:r>
      <w:bookmarkStart w:id="1" w:name="OLE_LINK1"/>
      <w:bookmarkStart w:id="2" w:name="OLE_LINK2"/>
      <w:r w:rsidRPr="004722A3">
        <w:rPr>
          <w:rFonts w:cs="Times New Roman"/>
          <w:sz w:val="24"/>
          <w:szCs w:val="24"/>
        </w:rPr>
        <w:t xml:space="preserve">approximately 50% of LSOA have a negative relationship with fuel poverty. </w:t>
      </w:r>
      <w:bookmarkEnd w:id="1"/>
      <w:bookmarkEnd w:id="2"/>
      <w:r w:rsidRPr="004722A3">
        <w:rPr>
          <w:rFonts w:cs="Times New Roman"/>
          <w:sz w:val="24"/>
          <w:szCs w:val="24"/>
        </w:rPr>
        <w:t>However, for the 10% indicator the highest positive coefficient has a value of +0.36 whilst f</w:t>
      </w:r>
      <w:r w:rsidRPr="004722A3">
        <w:rPr>
          <w:rFonts w:cs="Times New Roman"/>
          <w:noProof/>
          <w:sz w:val="24"/>
          <w:szCs w:val="24"/>
          <w:lang w:eastAsia="en-GB"/>
        </w:rPr>
        <w:t>or the LIHC indicator the value is considerably higher, +0.56. Geographically, families with young children are clustered</w:t>
      </w:r>
      <w:r w:rsidRPr="004722A3">
        <w:rPr>
          <w:rFonts w:cs="Times New Roman"/>
          <w:sz w:val="24"/>
          <w:szCs w:val="24"/>
        </w:rPr>
        <w:t xml:space="preserve"> in urban areas and some select rural neighbourhoods (ONS 2011a.). Using the 10% indicator, the city of Birmingham has a large concentration of positive coefficient estimates. For the LIHC indicator, East Lancashire, Leeds and Birmingham also have a strong positive relationship. Despite the LIHC indicator being a slight improvement in representing vulnerabilities amongst families with young children, there are many neighbourhoods where their socio-spatial vulnerability may be underrepresented, particularly in large urban conurbations that do not exhibit a positive relationship</w:t>
      </w:r>
      <w:r w:rsidR="00FB11C5">
        <w:rPr>
          <w:rFonts w:cs="Times New Roman"/>
          <w:sz w:val="24"/>
          <w:szCs w:val="24"/>
        </w:rPr>
        <w:t xml:space="preserve"> with fuel poverty.  </w:t>
      </w:r>
    </w:p>
    <w:p w:rsidR="008B3788" w:rsidRPr="004722A3" w:rsidRDefault="008B3788" w:rsidP="00C302DD">
      <w:pPr>
        <w:spacing w:line="360" w:lineRule="auto"/>
        <w:jc w:val="both"/>
        <w:rPr>
          <w:rFonts w:eastAsia="Times New Roman" w:cs="Times New Roman"/>
          <w:sz w:val="24"/>
          <w:szCs w:val="24"/>
          <w:lang w:eastAsia="en-GB"/>
        </w:rPr>
      </w:pPr>
      <w:r w:rsidRPr="004722A3">
        <w:rPr>
          <w:rFonts w:cs="Times New Roman"/>
          <w:sz w:val="24"/>
          <w:szCs w:val="24"/>
        </w:rPr>
        <w:t xml:space="preserve">Additionally, the analysis suggests that particular facets of vulnerability within variables are ignored in certain neighbourhoods. Snell </w:t>
      </w:r>
      <w:r w:rsidRPr="004722A3">
        <w:rPr>
          <w:rFonts w:cs="Times New Roman"/>
          <w:i/>
          <w:sz w:val="24"/>
          <w:szCs w:val="24"/>
        </w:rPr>
        <w:t>et al</w:t>
      </w:r>
      <w:r w:rsidRPr="004722A3">
        <w:rPr>
          <w:rFonts w:cs="Times New Roman"/>
          <w:sz w:val="24"/>
          <w:szCs w:val="24"/>
        </w:rPr>
        <w:t xml:space="preserve">. (2015) recognises that neither fuel poverty indicator is able to represent the myriad of vulnerability dimensions that enhance the likelihood of those with a disability experiencing fuel poverty. These concerns are reflected here by the absence of particular spatial patterns anticipated when exploring the relationship between disability or long term illness and fuel poverty. </w:t>
      </w:r>
      <w:r w:rsidRPr="004722A3">
        <w:rPr>
          <w:rFonts w:eastAsia="Times New Roman" w:cs="Times New Roman"/>
          <w:sz w:val="24"/>
          <w:szCs w:val="24"/>
          <w:lang w:eastAsia="en-GB"/>
        </w:rPr>
        <w:t>The North East has the highest percentage of households with a disability or long-term illness (29.26%) yet the region has relatively low mean coefficient values for the 10% indicator (+0.01) and LIHC indicator (+0.02)</w:t>
      </w:r>
      <w:r w:rsidR="003D5540">
        <w:rPr>
          <w:rFonts w:eastAsia="Times New Roman" w:cs="Times New Roman"/>
          <w:sz w:val="24"/>
          <w:szCs w:val="24"/>
          <w:lang w:eastAsia="en-GB"/>
        </w:rPr>
        <w:t>. Disabled households are</w:t>
      </w:r>
      <w:r w:rsidRPr="004722A3">
        <w:rPr>
          <w:rFonts w:eastAsia="Times New Roman" w:cs="Times New Roman"/>
          <w:sz w:val="24"/>
          <w:szCs w:val="24"/>
          <w:lang w:eastAsia="en-GB"/>
        </w:rPr>
        <w:t xml:space="preserve"> geographically clustered in coastal communities, particularly former seaside towns (ONS 2011a), where a range of social problems and derivations tend to manifest</w:t>
      </w:r>
      <w:r w:rsidR="0020040D">
        <w:rPr>
          <w:rFonts w:eastAsia="Times New Roman" w:cs="Times New Roman"/>
          <w:sz w:val="24"/>
          <w:szCs w:val="24"/>
          <w:lang w:eastAsia="en-GB"/>
        </w:rPr>
        <w:t>,</w:t>
      </w:r>
      <w:r w:rsidRPr="004722A3">
        <w:rPr>
          <w:rFonts w:eastAsia="Times New Roman" w:cs="Times New Roman"/>
          <w:sz w:val="24"/>
          <w:szCs w:val="24"/>
          <w:lang w:eastAsia="en-GB"/>
        </w:rPr>
        <w:t xml:space="preserve"> including a high percentage of elderly residents, low employment levels and physical isolation (Fernandez-Bilbao 2011). Yet neither GWR model detects the concentration of households with a disability in these communities. </w:t>
      </w:r>
      <w:r w:rsidRPr="004722A3">
        <w:rPr>
          <w:rFonts w:cs="Times New Roman"/>
          <w:sz w:val="24"/>
          <w:szCs w:val="24"/>
        </w:rPr>
        <w:t xml:space="preserve">Meanwhile, both indicators have a negative relationship with the non-gas central heating vulnerability variable in large urban conurbations suggesting that neither recognises the socio-spatial vulnerabilities experienced in inner-city areas that rely on more expensive electricity to </w:t>
      </w:r>
      <w:r w:rsidR="002D3AF5">
        <w:rPr>
          <w:rFonts w:cs="Times New Roman"/>
          <w:sz w:val="24"/>
          <w:szCs w:val="24"/>
        </w:rPr>
        <w:t>heat the home</w:t>
      </w:r>
      <w:r w:rsidRPr="004722A3">
        <w:rPr>
          <w:rFonts w:cs="Times New Roman"/>
          <w:sz w:val="24"/>
          <w:szCs w:val="24"/>
        </w:rPr>
        <w:t xml:space="preserve">. Vulnerabilities associated with inner-city areas are often not as well articulated or explored in England as elsewhere in Europe (e.g. Tirado-Herrero and Urge-Vorsatz 2012). This is despite wider recognition of vulnerability amongst young urban adults, a precarious </w:t>
      </w:r>
      <w:r w:rsidRPr="004722A3">
        <w:rPr>
          <w:rFonts w:cs="Times New Roman"/>
          <w:sz w:val="24"/>
          <w:szCs w:val="24"/>
        </w:rPr>
        <w:lastRenderedPageBreak/>
        <w:t xml:space="preserve">and transient group that are likely to live in inner-city areas without access to the gas network (Bouzarovski </w:t>
      </w:r>
      <w:r w:rsidRPr="004722A3">
        <w:rPr>
          <w:rFonts w:cs="Times New Roman"/>
          <w:i/>
          <w:sz w:val="24"/>
          <w:szCs w:val="24"/>
        </w:rPr>
        <w:t>et al.</w:t>
      </w:r>
      <w:r w:rsidRPr="004722A3">
        <w:rPr>
          <w:rFonts w:cs="Times New Roman"/>
          <w:sz w:val="24"/>
          <w:szCs w:val="24"/>
        </w:rPr>
        <w:t xml:space="preserve"> 2013). </w:t>
      </w:r>
    </w:p>
    <w:p w:rsidR="008B3788" w:rsidRPr="004722A3" w:rsidRDefault="008B3788" w:rsidP="00C302DD">
      <w:pPr>
        <w:spacing w:line="360" w:lineRule="auto"/>
        <w:jc w:val="both"/>
        <w:rPr>
          <w:rFonts w:cs="Times New Roman"/>
          <w:sz w:val="24"/>
          <w:szCs w:val="24"/>
        </w:rPr>
      </w:pPr>
    </w:p>
    <w:p w:rsidR="008B3788" w:rsidRPr="00034BF0" w:rsidRDefault="00980CD2" w:rsidP="00C302DD">
      <w:pPr>
        <w:spacing w:line="360" w:lineRule="auto"/>
        <w:jc w:val="both"/>
        <w:rPr>
          <w:rFonts w:eastAsiaTheme="majorEastAsia" w:cs="Times New Roman"/>
          <w:b/>
          <w:bCs/>
          <w:sz w:val="24"/>
          <w:szCs w:val="24"/>
        </w:rPr>
      </w:pPr>
      <w:r>
        <w:rPr>
          <w:rFonts w:eastAsiaTheme="majorEastAsia" w:cs="Times New Roman"/>
          <w:b/>
          <w:bCs/>
          <w:sz w:val="24"/>
          <w:szCs w:val="24"/>
        </w:rPr>
        <w:t>L</w:t>
      </w:r>
      <w:r w:rsidR="008B3788" w:rsidRPr="00034BF0">
        <w:rPr>
          <w:rFonts w:eastAsiaTheme="majorEastAsia" w:cs="Times New Roman"/>
          <w:b/>
          <w:bCs/>
          <w:sz w:val="24"/>
          <w:szCs w:val="24"/>
        </w:rPr>
        <w:t xml:space="preserve">imitations of the analysis </w:t>
      </w:r>
    </w:p>
    <w:p w:rsidR="008B3788" w:rsidRPr="00FB11C5" w:rsidRDefault="008B3788" w:rsidP="00C302DD">
      <w:pPr>
        <w:spacing w:line="360" w:lineRule="auto"/>
        <w:jc w:val="both"/>
        <w:rPr>
          <w:rFonts w:cs="Times New Roman"/>
          <w:sz w:val="24"/>
          <w:szCs w:val="24"/>
          <w:shd w:val="clear" w:color="auto" w:fill="FFFFFF"/>
        </w:rPr>
      </w:pPr>
      <w:r w:rsidRPr="004722A3">
        <w:rPr>
          <w:rFonts w:cs="Times New Roman"/>
          <w:sz w:val="24"/>
          <w:szCs w:val="24"/>
          <w:shd w:val="clear" w:color="auto" w:fill="FFFFFF"/>
        </w:rPr>
        <w:t xml:space="preserve">It is worth noting that the selected variables </w:t>
      </w:r>
      <w:r w:rsidRPr="004722A3">
        <w:rPr>
          <w:rFonts w:eastAsia="Times New Roman" w:cs="Times New Roman"/>
          <w:sz w:val="24"/>
          <w:szCs w:val="24"/>
          <w:lang w:eastAsia="en-GB"/>
        </w:rPr>
        <w:t xml:space="preserve">represent relatively broad categorisations within which different capacities, inequalities and vulnerabilities exist. </w:t>
      </w:r>
      <w:r w:rsidRPr="004722A3">
        <w:rPr>
          <w:rFonts w:cs="Times New Roman"/>
          <w:sz w:val="24"/>
          <w:szCs w:val="24"/>
        </w:rPr>
        <w:t>C</w:t>
      </w:r>
      <w:r w:rsidRPr="004722A3">
        <w:rPr>
          <w:rFonts w:eastAsia="Times New Roman" w:cs="Times New Roman"/>
          <w:sz w:val="24"/>
          <w:szCs w:val="24"/>
        </w:rPr>
        <w:t>ategorisation using demographic characteristics can risk underestimating the complexities associated with vulnerability to fuel poverty (Walker and Day 2012).</w:t>
      </w:r>
      <w:r w:rsidRPr="004722A3">
        <w:rPr>
          <w:rFonts w:cs="Times New Roman"/>
          <w:sz w:val="24"/>
          <w:szCs w:val="24"/>
        </w:rPr>
        <w:t xml:space="preserve"> </w:t>
      </w:r>
      <w:r w:rsidRPr="004722A3">
        <w:rPr>
          <w:rFonts w:eastAsia="Times New Roman" w:cs="Times New Roman"/>
          <w:sz w:val="24"/>
          <w:szCs w:val="24"/>
          <w:lang w:eastAsia="en-GB"/>
        </w:rPr>
        <w:t>Some categorisations are broader than others and it should</w:t>
      </w:r>
      <w:r w:rsidRPr="004722A3">
        <w:rPr>
          <w:rFonts w:cs="Times New Roman"/>
          <w:sz w:val="24"/>
          <w:szCs w:val="24"/>
        </w:rPr>
        <w:t xml:space="preserve"> not be assumed a household characterised by a variable is necessarily fuel poor (Boardman 2010). </w:t>
      </w:r>
      <w:r w:rsidRPr="004722A3">
        <w:rPr>
          <w:rFonts w:cs="Times New Roman"/>
          <w:sz w:val="24"/>
          <w:szCs w:val="24"/>
          <w:shd w:val="clear" w:color="auto" w:fill="FFFFFF"/>
        </w:rPr>
        <w:t xml:space="preserve">For example, concerning the all pensioner household variable, the challenges of fuel poverty amongst older people may arise from a diverse range of vulnerability factors that are by no means universal to all pensioners, many of whom benefit from a comfortable retirement supported by generous final-salary pension schemes and property ownership. This partially explains why certain socio-spatial vulnerabilities are not well represented by the spatial distribution of the existing fuel poverty indicators. Thus, some variables may </w:t>
      </w:r>
      <w:r w:rsidR="003D5540">
        <w:rPr>
          <w:rFonts w:cs="Times New Roman"/>
          <w:sz w:val="24"/>
          <w:szCs w:val="24"/>
          <w:shd w:val="clear" w:color="auto" w:fill="FFFFFF"/>
        </w:rPr>
        <w:t>be less</w:t>
      </w:r>
      <w:r w:rsidRPr="004722A3">
        <w:rPr>
          <w:rFonts w:cs="Times New Roman"/>
          <w:sz w:val="24"/>
          <w:szCs w:val="24"/>
          <w:shd w:val="clear" w:color="auto" w:fill="FFFFFF"/>
        </w:rPr>
        <w:t xml:space="preserve"> useful in </w:t>
      </w:r>
      <w:r w:rsidR="003D5540">
        <w:rPr>
          <w:rFonts w:cs="Times New Roman"/>
          <w:sz w:val="24"/>
          <w:szCs w:val="24"/>
          <w:shd w:val="clear" w:color="auto" w:fill="FFFFFF"/>
        </w:rPr>
        <w:t xml:space="preserve">the </w:t>
      </w:r>
      <w:r w:rsidRPr="004722A3">
        <w:rPr>
          <w:rFonts w:cs="Times New Roman"/>
          <w:sz w:val="24"/>
          <w:szCs w:val="24"/>
          <w:shd w:val="clear" w:color="auto" w:fill="FFFFFF"/>
        </w:rPr>
        <w:t>measurement of fuel</w:t>
      </w:r>
      <w:r w:rsidR="003D5540">
        <w:rPr>
          <w:rFonts w:cs="Times New Roman"/>
          <w:sz w:val="24"/>
          <w:szCs w:val="24"/>
          <w:shd w:val="clear" w:color="auto" w:fill="FFFFFF"/>
        </w:rPr>
        <w:t xml:space="preserve"> poverty when used in isolation</w:t>
      </w:r>
      <w:r w:rsidRPr="004722A3">
        <w:rPr>
          <w:rFonts w:cs="Times New Roman"/>
          <w:sz w:val="24"/>
          <w:szCs w:val="24"/>
          <w:shd w:val="clear" w:color="auto" w:fill="FFFFFF"/>
        </w:rPr>
        <w:t xml:space="preserve"> but </w:t>
      </w:r>
      <w:r w:rsidR="002D3AF5">
        <w:rPr>
          <w:rFonts w:cs="Times New Roman"/>
          <w:sz w:val="24"/>
          <w:szCs w:val="24"/>
          <w:shd w:val="clear" w:color="auto" w:fill="FFFFFF"/>
        </w:rPr>
        <w:t xml:space="preserve">may be </w:t>
      </w:r>
      <w:r w:rsidRPr="004722A3">
        <w:rPr>
          <w:rFonts w:cs="Times New Roman"/>
          <w:sz w:val="24"/>
          <w:szCs w:val="24"/>
          <w:shd w:val="clear" w:color="auto" w:fill="FFFFFF"/>
        </w:rPr>
        <w:t>more powerful when combined with other vulnerability factors, for example, low income. This draws attention to the problematic nature of universal income support measures</w:t>
      </w:r>
      <w:r w:rsidR="002D3AF5">
        <w:rPr>
          <w:rFonts w:cs="Times New Roman"/>
          <w:sz w:val="24"/>
          <w:szCs w:val="24"/>
          <w:shd w:val="clear" w:color="auto" w:fill="FFFFFF"/>
        </w:rPr>
        <w:t xml:space="preserve"> targeted at a particular demographic</w:t>
      </w:r>
      <w:r w:rsidRPr="004722A3">
        <w:rPr>
          <w:rFonts w:cs="Times New Roman"/>
          <w:sz w:val="24"/>
          <w:szCs w:val="24"/>
          <w:shd w:val="clear" w:color="auto" w:fill="FFFFFF"/>
        </w:rPr>
        <w:t xml:space="preserve"> as a means of alleviating fuel poverty</w:t>
      </w:r>
      <w:r w:rsidR="00C1772A">
        <w:rPr>
          <w:rFonts w:cs="Times New Roman"/>
          <w:sz w:val="24"/>
          <w:szCs w:val="24"/>
          <w:shd w:val="clear" w:color="auto" w:fill="FFFFFF"/>
        </w:rPr>
        <w:t xml:space="preserve"> – an issue</w:t>
      </w:r>
      <w:r w:rsidR="002D3AF5">
        <w:rPr>
          <w:rFonts w:cs="Times New Roman"/>
          <w:sz w:val="24"/>
          <w:szCs w:val="24"/>
          <w:shd w:val="clear" w:color="auto" w:fill="FFFFFF"/>
        </w:rPr>
        <w:t xml:space="preserve"> </w:t>
      </w:r>
      <w:r w:rsidRPr="004722A3">
        <w:rPr>
          <w:rFonts w:cs="Times New Roman"/>
          <w:sz w:val="24"/>
          <w:szCs w:val="24"/>
          <w:shd w:val="clear" w:color="auto" w:fill="FFFFFF"/>
        </w:rPr>
        <w:t>previously</w:t>
      </w:r>
      <w:r w:rsidR="002D3AF5">
        <w:rPr>
          <w:rFonts w:cs="Times New Roman"/>
          <w:sz w:val="24"/>
          <w:szCs w:val="24"/>
          <w:shd w:val="clear" w:color="auto" w:fill="FFFFFF"/>
        </w:rPr>
        <w:t xml:space="preserve"> highlighted by Walker and Day (</w:t>
      </w:r>
      <w:r w:rsidRPr="004722A3">
        <w:rPr>
          <w:rFonts w:cs="Times New Roman"/>
          <w:sz w:val="24"/>
          <w:szCs w:val="24"/>
          <w:shd w:val="clear" w:color="auto" w:fill="FFFFFF"/>
        </w:rPr>
        <w:t xml:space="preserve">2012), for example the Winter Fuel Payment paid to every person of pensionable age in the UK.  </w:t>
      </w:r>
      <w:r w:rsidRPr="004722A3">
        <w:rPr>
          <w:rFonts w:cs="Times New Roman"/>
          <w:sz w:val="24"/>
          <w:szCs w:val="24"/>
        </w:rPr>
        <w:t xml:space="preserve"> </w:t>
      </w:r>
    </w:p>
    <w:p w:rsidR="008B3788" w:rsidRPr="004722A3" w:rsidRDefault="008B3788" w:rsidP="00C302DD">
      <w:pPr>
        <w:spacing w:line="360" w:lineRule="auto"/>
        <w:jc w:val="both"/>
        <w:rPr>
          <w:rFonts w:cs="Times New Roman"/>
          <w:b/>
          <w:sz w:val="24"/>
          <w:szCs w:val="24"/>
        </w:rPr>
      </w:pPr>
      <w:r w:rsidRPr="004722A3">
        <w:rPr>
          <w:rFonts w:cs="Times New Roman"/>
          <w:sz w:val="24"/>
          <w:szCs w:val="24"/>
          <w:shd w:val="clear" w:color="auto" w:fill="FFFFFF"/>
        </w:rPr>
        <w:t>Aspects of a group’s vulnerability may also be captured by an alternative vulnerability variabl</w:t>
      </w:r>
      <w:r w:rsidR="003D5540">
        <w:rPr>
          <w:rFonts w:cs="Times New Roman"/>
          <w:sz w:val="24"/>
          <w:szCs w:val="24"/>
          <w:shd w:val="clear" w:color="auto" w:fill="FFFFFF"/>
        </w:rPr>
        <w:t>e. For instance, elements of a</w:t>
      </w:r>
      <w:r w:rsidRPr="004722A3">
        <w:rPr>
          <w:rFonts w:cs="Times New Roman"/>
          <w:sz w:val="24"/>
          <w:szCs w:val="24"/>
          <w:shd w:val="clear" w:color="auto" w:fill="FFFFFF"/>
        </w:rPr>
        <w:t xml:space="preserve"> pensioner’s vulnerability may be subsumed within the non-gas central heating and disability or illness </w:t>
      </w:r>
      <w:r w:rsidR="003D5540">
        <w:rPr>
          <w:rFonts w:cs="Times New Roman"/>
          <w:sz w:val="24"/>
          <w:szCs w:val="24"/>
          <w:shd w:val="clear" w:color="auto" w:fill="FFFFFF"/>
        </w:rPr>
        <w:t>variables</w:t>
      </w:r>
      <w:r w:rsidRPr="004722A3">
        <w:rPr>
          <w:rFonts w:cs="Times New Roman"/>
          <w:sz w:val="24"/>
          <w:szCs w:val="24"/>
          <w:shd w:val="clear" w:color="auto" w:fill="FFFFFF"/>
        </w:rPr>
        <w:t xml:space="preserve">. Meanwhile, </w:t>
      </w:r>
      <w:r w:rsidRPr="004722A3">
        <w:rPr>
          <w:rFonts w:cs="Times New Roman"/>
          <w:sz w:val="24"/>
          <w:szCs w:val="24"/>
        </w:rPr>
        <w:t xml:space="preserve">there has been a dramatic increase in the number of families bringing up children in privately rented accommodation with families making up 40% of private renters in England (Citizens Advice, 2017). Therefore the private renter variable is likely to capture aspects of the vulnerability experienced by young families. </w:t>
      </w:r>
    </w:p>
    <w:p w:rsidR="008B3788" w:rsidRPr="004722A3" w:rsidRDefault="008B3788" w:rsidP="00C302DD">
      <w:pPr>
        <w:spacing w:line="360" w:lineRule="auto"/>
        <w:jc w:val="both"/>
        <w:rPr>
          <w:rFonts w:eastAsia="Times New Roman" w:cs="Times New Roman"/>
          <w:sz w:val="24"/>
          <w:szCs w:val="24"/>
          <w:lang w:eastAsia="en-GB"/>
        </w:rPr>
      </w:pPr>
      <w:r w:rsidRPr="004722A3">
        <w:rPr>
          <w:rFonts w:eastAsia="Times New Roman" w:cs="Times New Roman"/>
          <w:sz w:val="24"/>
          <w:szCs w:val="24"/>
          <w:lang w:eastAsia="en-GB"/>
        </w:rPr>
        <w:t xml:space="preserve">A further consideration is the diversity that exists in the deprivation and affluence of households within neighbourhoods defined as rural, compared to their denser urban counterparts. Concern has been voiced within multiple deprivation research about how </w:t>
      </w:r>
      <w:r w:rsidRPr="004722A3">
        <w:rPr>
          <w:rFonts w:eastAsia="Times New Roman" w:cs="Times New Roman"/>
          <w:sz w:val="24"/>
          <w:szCs w:val="24"/>
          <w:lang w:eastAsia="en-GB"/>
        </w:rPr>
        <w:lastRenderedPageBreak/>
        <w:t>measurement approaches tend to prioritise urban areas that are more homogenous</w:t>
      </w:r>
      <w:r w:rsidR="00C1772A">
        <w:rPr>
          <w:rFonts w:eastAsia="Times New Roman" w:cs="Times New Roman"/>
          <w:sz w:val="24"/>
          <w:szCs w:val="24"/>
          <w:lang w:eastAsia="en-GB"/>
        </w:rPr>
        <w:t>;</w:t>
      </w:r>
      <w:r w:rsidRPr="004722A3">
        <w:rPr>
          <w:rFonts w:eastAsia="Times New Roman" w:cs="Times New Roman"/>
          <w:sz w:val="24"/>
          <w:szCs w:val="24"/>
          <w:lang w:eastAsia="en-GB"/>
        </w:rPr>
        <w:t xml:space="preserve"> thus masking rural deprivation (Commins 2004). These arguments </w:t>
      </w:r>
      <w:r w:rsidR="003D5540">
        <w:rPr>
          <w:rFonts w:eastAsia="Times New Roman" w:cs="Times New Roman"/>
          <w:sz w:val="24"/>
          <w:szCs w:val="24"/>
          <w:lang w:eastAsia="en-GB"/>
        </w:rPr>
        <w:t>are relevant</w:t>
      </w:r>
      <w:r w:rsidRPr="004722A3">
        <w:rPr>
          <w:rFonts w:eastAsia="Times New Roman" w:cs="Times New Roman"/>
          <w:sz w:val="24"/>
          <w:szCs w:val="24"/>
          <w:lang w:eastAsia="en-GB"/>
        </w:rPr>
        <w:t xml:space="preserve"> </w:t>
      </w:r>
      <w:r w:rsidR="00C1772A">
        <w:rPr>
          <w:rFonts w:eastAsia="Times New Roman" w:cs="Times New Roman"/>
          <w:sz w:val="24"/>
          <w:szCs w:val="24"/>
          <w:lang w:eastAsia="en-GB"/>
        </w:rPr>
        <w:t>in light of</w:t>
      </w:r>
      <w:r w:rsidR="00C1772A" w:rsidRPr="004722A3">
        <w:rPr>
          <w:rFonts w:eastAsia="Times New Roman" w:cs="Times New Roman"/>
          <w:sz w:val="24"/>
          <w:szCs w:val="24"/>
          <w:lang w:eastAsia="en-GB"/>
        </w:rPr>
        <w:t xml:space="preserve"> </w:t>
      </w:r>
      <w:r w:rsidRPr="004722A3">
        <w:rPr>
          <w:rFonts w:eastAsia="Times New Roman" w:cs="Times New Roman"/>
          <w:sz w:val="24"/>
          <w:szCs w:val="24"/>
          <w:lang w:eastAsia="en-GB"/>
        </w:rPr>
        <w:t xml:space="preserve">the concentration of positive relationships between </w:t>
      </w:r>
      <w:r w:rsidR="003D5540">
        <w:rPr>
          <w:rFonts w:eastAsia="Times New Roman" w:cs="Times New Roman"/>
          <w:sz w:val="24"/>
          <w:szCs w:val="24"/>
          <w:lang w:eastAsia="en-GB"/>
        </w:rPr>
        <w:t xml:space="preserve">the </w:t>
      </w:r>
      <w:r w:rsidRPr="004722A3">
        <w:rPr>
          <w:rFonts w:eastAsia="Times New Roman" w:cs="Times New Roman"/>
          <w:sz w:val="24"/>
          <w:szCs w:val="24"/>
          <w:lang w:eastAsia="en-GB"/>
        </w:rPr>
        <w:t>fuel poverty</w:t>
      </w:r>
      <w:r w:rsidR="003D5540">
        <w:rPr>
          <w:rFonts w:eastAsia="Times New Roman" w:cs="Times New Roman"/>
          <w:sz w:val="24"/>
          <w:szCs w:val="24"/>
          <w:lang w:eastAsia="en-GB"/>
        </w:rPr>
        <w:t xml:space="preserve"> indicators</w:t>
      </w:r>
      <w:r w:rsidRPr="004722A3">
        <w:rPr>
          <w:rFonts w:eastAsia="Times New Roman" w:cs="Times New Roman"/>
          <w:sz w:val="24"/>
          <w:szCs w:val="24"/>
          <w:lang w:eastAsia="en-GB"/>
        </w:rPr>
        <w:t xml:space="preserve"> and several vulnerability variables in urban areas. Conversely, some variables are primarily concentrated in rural areas, for example, the inability to access the gas network. This variable is therefore likely to represent a more diverse range of households that do not necessarily experience other socio-spatial vulnerabilities that characterise the fuel poor. </w:t>
      </w:r>
    </w:p>
    <w:p w:rsidR="00FB11C5" w:rsidRPr="00034BF0" w:rsidRDefault="00FB11C5" w:rsidP="00C302DD">
      <w:pPr>
        <w:spacing w:line="360" w:lineRule="auto"/>
        <w:jc w:val="both"/>
        <w:rPr>
          <w:rFonts w:eastAsia="Times New Roman" w:cs="Times New Roman"/>
          <w:b/>
          <w:sz w:val="24"/>
          <w:szCs w:val="24"/>
          <w:lang w:eastAsia="en-GB"/>
        </w:rPr>
      </w:pPr>
    </w:p>
    <w:p w:rsidR="008B3788" w:rsidRPr="00034BF0" w:rsidRDefault="008B3788" w:rsidP="00C302DD">
      <w:pPr>
        <w:spacing w:line="360" w:lineRule="auto"/>
        <w:jc w:val="both"/>
        <w:rPr>
          <w:rFonts w:eastAsiaTheme="majorEastAsia" w:cs="Times New Roman"/>
          <w:b/>
          <w:bCs/>
          <w:sz w:val="24"/>
          <w:szCs w:val="24"/>
        </w:rPr>
      </w:pPr>
      <w:r w:rsidRPr="00034BF0">
        <w:rPr>
          <w:rFonts w:eastAsiaTheme="majorEastAsia" w:cs="Times New Roman"/>
          <w:b/>
          <w:bCs/>
          <w:sz w:val="24"/>
          <w:szCs w:val="24"/>
        </w:rPr>
        <w:t>Conclusion: Challenging a one-size fits all approach</w:t>
      </w:r>
    </w:p>
    <w:p w:rsidR="00BD6D78" w:rsidRPr="004722A3" w:rsidRDefault="008B3788" w:rsidP="00C302DD">
      <w:pPr>
        <w:spacing w:line="360" w:lineRule="auto"/>
        <w:jc w:val="both"/>
        <w:rPr>
          <w:rFonts w:cs="Times New Roman"/>
          <w:sz w:val="24"/>
          <w:szCs w:val="24"/>
        </w:rPr>
      </w:pPr>
      <w:r w:rsidRPr="004722A3">
        <w:rPr>
          <w:rFonts w:cs="Times New Roman"/>
          <w:sz w:val="24"/>
          <w:szCs w:val="24"/>
        </w:rPr>
        <w:t>The initial aim of this paper was to understand how particular socio-spatial vulnerabilities and neighbourhoods are prioritised or underrepresented by existing fuel poverty indicators. Whilst the analysis focuses upon England, the findings have implications for alternative national contexts where a similar measurem</w:t>
      </w:r>
      <w:r w:rsidR="001458DD" w:rsidRPr="004722A3">
        <w:rPr>
          <w:rFonts w:cs="Times New Roman"/>
          <w:sz w:val="24"/>
          <w:szCs w:val="24"/>
        </w:rPr>
        <w:t xml:space="preserve">ent approach is being considered, </w:t>
      </w:r>
      <w:r w:rsidR="003D1BA3">
        <w:rPr>
          <w:rFonts w:cs="Times New Roman"/>
          <w:sz w:val="24"/>
          <w:szCs w:val="24"/>
        </w:rPr>
        <w:t>for example,</w:t>
      </w:r>
      <w:r w:rsidR="001458DD" w:rsidRPr="002A2876">
        <w:rPr>
          <w:rFonts w:cs="Times New Roman"/>
          <w:sz w:val="24"/>
          <w:szCs w:val="24"/>
        </w:rPr>
        <w:t xml:space="preserve"> Heindel </w:t>
      </w:r>
      <w:r w:rsidR="00FB36DB">
        <w:rPr>
          <w:rFonts w:cs="Times New Roman"/>
          <w:sz w:val="24"/>
          <w:szCs w:val="24"/>
        </w:rPr>
        <w:t>(2015) and</w:t>
      </w:r>
      <w:r w:rsidR="002A2876" w:rsidRPr="002A2876">
        <w:rPr>
          <w:rFonts w:cs="Times New Roman"/>
          <w:sz w:val="24"/>
          <w:szCs w:val="24"/>
        </w:rPr>
        <w:t xml:space="preserve"> Legendre and Ricci (2015). </w:t>
      </w:r>
      <w:r w:rsidRPr="004722A3">
        <w:rPr>
          <w:rFonts w:eastAsia="Times New Roman" w:cs="Times New Roman"/>
          <w:bCs/>
          <w:sz w:val="24"/>
          <w:szCs w:val="24"/>
          <w:lang w:eastAsia="en-GB"/>
        </w:rPr>
        <w:t xml:space="preserve">We demonstrate how a national-scale shift in the type of household likely to be detected as fuel poor, from a 10% indicator that pinpoints fuel poverty amongst pensioner and off-the-grid households towards a LIHC indicator that better highlights fuel poverty amongst low income families has not been experienced uniformly. </w:t>
      </w:r>
      <w:r w:rsidRPr="004722A3">
        <w:rPr>
          <w:rFonts w:cs="Times New Roman"/>
          <w:sz w:val="24"/>
          <w:szCs w:val="24"/>
        </w:rPr>
        <w:t>Whilst it is recognised that the variables used are relatively b</w:t>
      </w:r>
      <w:r w:rsidR="00B5585E">
        <w:rPr>
          <w:rFonts w:cs="Times New Roman"/>
          <w:sz w:val="24"/>
          <w:szCs w:val="24"/>
        </w:rPr>
        <w:t xml:space="preserve">road, </w:t>
      </w:r>
      <w:r w:rsidRPr="004722A3">
        <w:rPr>
          <w:rFonts w:cs="Times New Roman"/>
          <w:sz w:val="24"/>
          <w:szCs w:val="24"/>
        </w:rPr>
        <w:t>the analysis highlights particular geographies not identified as fuel poor by the indicators that might be anticipated to have an enhanced vulnerability to fuel poverty. Socio-spatial vulnerabilities that neither indicator pinpoints include coastal communities with a high prevalence of disability and illness, an older population and entrenched income deprivation (</w:t>
      </w:r>
      <w:r w:rsidRPr="004722A3">
        <w:rPr>
          <w:rFonts w:cs="Times New Roman"/>
          <w:sz w:val="24"/>
          <w:szCs w:val="24"/>
          <w:shd w:val="clear" w:color="auto" w:fill="FFFFFF"/>
        </w:rPr>
        <w:t>Fernández-Bilbao 2013)</w:t>
      </w:r>
      <w:r w:rsidR="00C77580">
        <w:rPr>
          <w:rFonts w:cs="Times New Roman"/>
          <w:sz w:val="24"/>
          <w:szCs w:val="24"/>
          <w:shd w:val="clear" w:color="auto" w:fill="FFFFFF"/>
        </w:rPr>
        <w:t>,</w:t>
      </w:r>
      <w:r w:rsidRPr="004722A3">
        <w:rPr>
          <w:rFonts w:cs="Times New Roman"/>
          <w:b/>
          <w:sz w:val="24"/>
          <w:szCs w:val="24"/>
          <w:shd w:val="clear" w:color="auto" w:fill="FFFFFF"/>
        </w:rPr>
        <w:t xml:space="preserve"> </w:t>
      </w:r>
      <w:r w:rsidRPr="004722A3">
        <w:rPr>
          <w:rFonts w:cs="Times New Roman"/>
          <w:sz w:val="24"/>
          <w:szCs w:val="24"/>
        </w:rPr>
        <w:t>and inner-city urban areas</w:t>
      </w:r>
      <w:r w:rsidR="00B5585E">
        <w:rPr>
          <w:rFonts w:cs="Times New Roman"/>
          <w:sz w:val="24"/>
          <w:szCs w:val="24"/>
        </w:rPr>
        <w:t xml:space="preserve"> where</w:t>
      </w:r>
      <w:r w:rsidRPr="004722A3">
        <w:rPr>
          <w:rFonts w:cs="Times New Roman"/>
          <w:sz w:val="24"/>
          <w:szCs w:val="24"/>
        </w:rPr>
        <w:t xml:space="preserve"> transient populations are without access to the gas network (Bouzarovski et al. 2013, Bouzarovski 2014). Particular locales are also under-represented, for example, the high percentage of disability in the North East. More broadly, there is a general failure by both indicators to recognise the vulnerability of neighbourhoods with a high percentage of lone parents</w:t>
      </w:r>
      <w:r w:rsidR="00FB36DB">
        <w:rPr>
          <w:rFonts w:cs="Times New Roman"/>
          <w:sz w:val="24"/>
          <w:szCs w:val="24"/>
        </w:rPr>
        <w:t xml:space="preserve"> and, to a lesser extent, families with young children</w:t>
      </w:r>
      <w:r w:rsidRPr="004722A3">
        <w:rPr>
          <w:rFonts w:cs="Times New Roman"/>
          <w:sz w:val="24"/>
          <w:szCs w:val="24"/>
        </w:rPr>
        <w:t>. Underrepresentation of these vulnerabilities suggests that the focus of existing indicators upon expenditure ignores more complex socio-spatial distributions pertaining to the efficiency, availability and flexibility of infrastructure</w:t>
      </w:r>
      <w:r w:rsidR="00FB36DB">
        <w:rPr>
          <w:rFonts w:cs="Times New Roman"/>
          <w:sz w:val="24"/>
          <w:szCs w:val="24"/>
        </w:rPr>
        <w:t>s</w:t>
      </w:r>
      <w:r w:rsidRPr="004722A3">
        <w:rPr>
          <w:rFonts w:cs="Times New Roman"/>
          <w:sz w:val="24"/>
          <w:szCs w:val="24"/>
        </w:rPr>
        <w:t xml:space="preserve">, and specific household needs. </w:t>
      </w:r>
    </w:p>
    <w:p w:rsidR="003D5540" w:rsidRPr="004722A3" w:rsidRDefault="008B3788" w:rsidP="00C302DD">
      <w:pPr>
        <w:spacing w:line="360" w:lineRule="auto"/>
        <w:jc w:val="both"/>
        <w:rPr>
          <w:rFonts w:cs="Times New Roman"/>
          <w:sz w:val="24"/>
          <w:szCs w:val="24"/>
        </w:rPr>
      </w:pPr>
      <w:r w:rsidRPr="004722A3">
        <w:rPr>
          <w:rFonts w:cs="Times New Roman"/>
          <w:sz w:val="24"/>
          <w:szCs w:val="24"/>
        </w:rPr>
        <w:t>Exploration of th</w:t>
      </w:r>
      <w:r w:rsidR="00F56202">
        <w:rPr>
          <w:rFonts w:cs="Times New Roman"/>
          <w:sz w:val="24"/>
          <w:szCs w:val="24"/>
        </w:rPr>
        <w:t xml:space="preserve">ese relationships helps to address </w:t>
      </w:r>
      <w:r w:rsidRPr="004722A3">
        <w:rPr>
          <w:rFonts w:cs="Times New Roman"/>
          <w:sz w:val="24"/>
          <w:szCs w:val="24"/>
        </w:rPr>
        <w:t xml:space="preserve">our second aim, to provide further knowledge of the geographic characteristics of vulnerability to fuel poverty. The analysis </w:t>
      </w:r>
      <w:r w:rsidRPr="004722A3">
        <w:rPr>
          <w:rFonts w:cs="Times New Roman"/>
          <w:sz w:val="24"/>
          <w:szCs w:val="24"/>
        </w:rPr>
        <w:lastRenderedPageBreak/>
        <w:t xml:space="preserve">suggests that the socio-spatial distribution of </w:t>
      </w:r>
      <w:r w:rsidR="00FB36DB">
        <w:rPr>
          <w:rFonts w:cs="Times New Roman"/>
          <w:sz w:val="24"/>
          <w:szCs w:val="24"/>
        </w:rPr>
        <w:t xml:space="preserve">vulnerability to </w:t>
      </w:r>
      <w:r w:rsidRPr="004722A3">
        <w:rPr>
          <w:rFonts w:cs="Times New Roman"/>
          <w:sz w:val="24"/>
          <w:szCs w:val="24"/>
        </w:rPr>
        <w:t>fuel poverty is considerably more complex than the spatial distribution of fuel poverty as understood by either the 10% indicator or LIHC indicator suggests. A wide range of socio-spatial vulnerabilities exist that span both the urban and rural, that differ in the strength of their spatial concentration and in the likelihood of their manifesting in a locale characterised by other vulnerabilities. The analysis therefore emphasises the important role of place, and the contributio</w:t>
      </w:r>
      <w:r w:rsidR="003D5540">
        <w:rPr>
          <w:rFonts w:cs="Times New Roman"/>
          <w:sz w:val="24"/>
          <w:szCs w:val="24"/>
        </w:rPr>
        <w:t>n of surrounding neighbourhoods</w:t>
      </w:r>
      <w:r w:rsidRPr="004722A3">
        <w:rPr>
          <w:rFonts w:cs="Times New Roman"/>
          <w:sz w:val="24"/>
          <w:szCs w:val="24"/>
        </w:rPr>
        <w:t xml:space="preserve"> in </w:t>
      </w:r>
      <w:r w:rsidR="003D5540">
        <w:rPr>
          <w:rFonts w:cs="Times New Roman"/>
          <w:sz w:val="24"/>
          <w:szCs w:val="24"/>
        </w:rPr>
        <w:t>seeking to understand</w:t>
      </w:r>
      <w:r w:rsidRPr="004722A3">
        <w:rPr>
          <w:rFonts w:cs="Times New Roman"/>
          <w:sz w:val="24"/>
          <w:szCs w:val="24"/>
        </w:rPr>
        <w:t xml:space="preserve"> the likelihood of a household falling into fuel poverty, and thus in succeeding in </w:t>
      </w:r>
      <w:r w:rsidR="00B5585E">
        <w:rPr>
          <w:rFonts w:cs="Times New Roman"/>
          <w:sz w:val="24"/>
          <w:szCs w:val="24"/>
        </w:rPr>
        <w:t xml:space="preserve">meaningfully </w:t>
      </w:r>
      <w:r w:rsidRPr="004722A3">
        <w:rPr>
          <w:rFonts w:cs="Times New Roman"/>
          <w:sz w:val="24"/>
          <w:szCs w:val="24"/>
        </w:rPr>
        <w:t>measuring the phenomenon</w:t>
      </w:r>
      <w:r w:rsidR="00FB36DB">
        <w:rPr>
          <w:rFonts w:cs="Times New Roman"/>
          <w:sz w:val="24"/>
          <w:szCs w:val="24"/>
        </w:rPr>
        <w:t xml:space="preserve">. This emphasis upon the importance of place </w:t>
      </w:r>
      <w:r w:rsidR="00B5585E">
        <w:rPr>
          <w:rFonts w:cs="Times New Roman"/>
          <w:sz w:val="24"/>
          <w:szCs w:val="24"/>
        </w:rPr>
        <w:t>has enabled</w:t>
      </w:r>
      <w:r w:rsidRPr="004722A3">
        <w:rPr>
          <w:rFonts w:cs="Times New Roman"/>
          <w:sz w:val="24"/>
          <w:szCs w:val="24"/>
        </w:rPr>
        <w:t xml:space="preserve"> us to avoid some of the simplistic assumptions </w:t>
      </w:r>
      <w:r w:rsidR="00B5585E">
        <w:rPr>
          <w:rFonts w:cs="Times New Roman"/>
          <w:sz w:val="24"/>
          <w:szCs w:val="24"/>
        </w:rPr>
        <w:t xml:space="preserve">that can be </w:t>
      </w:r>
      <w:r w:rsidRPr="004722A3">
        <w:rPr>
          <w:rFonts w:cs="Times New Roman"/>
          <w:sz w:val="24"/>
          <w:szCs w:val="24"/>
        </w:rPr>
        <w:t>made in quantitative analyses about the needs and lives of vulnerable groups, better recognising the heterogeneity of vulnerable groups via their complex socio-spatial distribution (Gillard et al. 2017).</w:t>
      </w:r>
    </w:p>
    <w:p w:rsidR="00BD6D78" w:rsidRPr="00FB11C5" w:rsidRDefault="008B3788" w:rsidP="00C302DD">
      <w:pPr>
        <w:spacing w:line="360" w:lineRule="auto"/>
        <w:jc w:val="both"/>
        <w:rPr>
          <w:rFonts w:eastAsia="Times New Roman" w:cs="Times New Roman"/>
          <w:bCs/>
          <w:sz w:val="24"/>
          <w:szCs w:val="24"/>
          <w:lang w:eastAsia="en-GB"/>
        </w:rPr>
      </w:pPr>
      <w:r w:rsidRPr="004722A3">
        <w:rPr>
          <w:rFonts w:cs="Times New Roman"/>
          <w:sz w:val="24"/>
          <w:szCs w:val="24"/>
        </w:rPr>
        <w:t>Pertaining to th</w:t>
      </w:r>
      <w:r w:rsidR="00B5585E">
        <w:rPr>
          <w:rFonts w:cs="Times New Roman"/>
          <w:sz w:val="24"/>
          <w:szCs w:val="24"/>
        </w:rPr>
        <w:t>e final aim, the findings offer</w:t>
      </w:r>
      <w:r w:rsidRPr="004722A3">
        <w:rPr>
          <w:rFonts w:cs="Times New Roman"/>
          <w:sz w:val="24"/>
          <w:szCs w:val="24"/>
        </w:rPr>
        <w:t xml:space="preserve"> </w:t>
      </w:r>
      <w:r w:rsidRPr="004722A3">
        <w:rPr>
          <w:rFonts w:eastAsia="Times New Roman" w:cs="Times New Roman"/>
          <w:bCs/>
          <w:sz w:val="24"/>
          <w:szCs w:val="24"/>
          <w:lang w:eastAsia="en-GB"/>
        </w:rPr>
        <w:t xml:space="preserve">a means of </w:t>
      </w:r>
      <w:r w:rsidRPr="004722A3">
        <w:rPr>
          <w:rFonts w:cs="Times New Roman"/>
          <w:sz w:val="24"/>
          <w:szCs w:val="24"/>
        </w:rPr>
        <w:t xml:space="preserve">challenging the indicators and associated policy, questioning why certain socio-spatial vulnerabilities are less well represented within a particular neighbourhood. Whilst wider fuel poverty research </w:t>
      </w:r>
      <w:r w:rsidR="00FB36DB" w:rsidRPr="004722A3">
        <w:rPr>
          <w:rFonts w:cs="Times New Roman"/>
          <w:sz w:val="24"/>
          <w:szCs w:val="24"/>
        </w:rPr>
        <w:t>stresses</w:t>
      </w:r>
      <w:r w:rsidRPr="004722A3">
        <w:rPr>
          <w:rFonts w:cs="Times New Roman"/>
          <w:sz w:val="24"/>
          <w:szCs w:val="24"/>
        </w:rPr>
        <w:t xml:space="preserve"> the multi-dimensional and spatially variable nature of fuel poverty, exploring the</w:t>
      </w:r>
      <w:r w:rsidRPr="004722A3">
        <w:rPr>
          <w:rFonts w:eastAsiaTheme="minorEastAsia" w:cs="Times New Roman"/>
          <w:sz w:val="24"/>
          <w:szCs w:val="24"/>
          <w:lang w:eastAsia="zh-CN"/>
        </w:rPr>
        <w:t xml:space="preserve"> complex socio-spatial distribution of drivers between different households </w:t>
      </w:r>
      <w:r w:rsidR="002A2876">
        <w:rPr>
          <w:rFonts w:eastAsiaTheme="minorEastAsia" w:cs="Times New Roman"/>
          <w:sz w:val="24"/>
          <w:szCs w:val="24"/>
          <w:lang w:eastAsia="zh-CN"/>
        </w:rPr>
        <w:t>(Middlemiss and Gillard 2015)</w:t>
      </w:r>
      <w:r w:rsidRPr="004722A3">
        <w:rPr>
          <w:rFonts w:eastAsiaTheme="minorEastAsia" w:cs="Times New Roman"/>
          <w:sz w:val="24"/>
          <w:szCs w:val="24"/>
          <w:lang w:eastAsia="zh-CN"/>
        </w:rPr>
        <w:t xml:space="preserve"> and national contexts (Thomson and Snell 2013), policy-making </w:t>
      </w:r>
      <w:r w:rsidRPr="004722A3">
        <w:rPr>
          <w:rFonts w:cs="Times New Roman"/>
          <w:sz w:val="24"/>
          <w:szCs w:val="24"/>
        </w:rPr>
        <w:t>has tended to seek a universal, ‘one-size fi</w:t>
      </w:r>
      <w:r w:rsidR="0020040D">
        <w:rPr>
          <w:rFonts w:cs="Times New Roman"/>
          <w:sz w:val="24"/>
          <w:szCs w:val="24"/>
        </w:rPr>
        <w:t xml:space="preserve">ts all’ measurement approach. A relatively </w:t>
      </w:r>
      <w:r w:rsidRPr="004722A3">
        <w:rPr>
          <w:rFonts w:cs="Times New Roman"/>
          <w:sz w:val="24"/>
          <w:szCs w:val="24"/>
        </w:rPr>
        <w:t>isolated example of an alternative ap</w:t>
      </w:r>
      <w:r w:rsidR="00B5585E">
        <w:rPr>
          <w:rFonts w:cs="Times New Roman"/>
          <w:sz w:val="24"/>
          <w:szCs w:val="24"/>
        </w:rPr>
        <w:t xml:space="preserve">proach is the area-based approach deployed in Northern Ireland </w:t>
      </w:r>
      <w:r w:rsidRPr="004722A3">
        <w:rPr>
          <w:rFonts w:cs="Times New Roman"/>
          <w:sz w:val="24"/>
          <w:szCs w:val="24"/>
        </w:rPr>
        <w:t>(Walker et a</w:t>
      </w:r>
      <w:r w:rsidR="00B5585E">
        <w:rPr>
          <w:rFonts w:cs="Times New Roman"/>
          <w:sz w:val="24"/>
          <w:szCs w:val="24"/>
        </w:rPr>
        <w:t>l. 2012). There is value in a</w:t>
      </w:r>
      <w:r w:rsidRPr="004722A3">
        <w:rPr>
          <w:rFonts w:cs="Times New Roman"/>
          <w:sz w:val="24"/>
          <w:szCs w:val="24"/>
        </w:rPr>
        <w:t xml:space="preserve"> ‘one-s</w:t>
      </w:r>
      <w:r w:rsidR="00B5585E">
        <w:rPr>
          <w:rFonts w:cs="Times New Roman"/>
          <w:sz w:val="24"/>
          <w:szCs w:val="24"/>
        </w:rPr>
        <w:t>ize fits all’ approach as it can</w:t>
      </w:r>
      <w:r w:rsidRPr="004722A3">
        <w:rPr>
          <w:rFonts w:cs="Times New Roman"/>
          <w:sz w:val="24"/>
          <w:szCs w:val="24"/>
        </w:rPr>
        <w:t xml:space="preserve"> provide a national benchmark of the number of fuel poor households </w:t>
      </w:r>
      <w:r w:rsidR="00B5585E">
        <w:rPr>
          <w:rFonts w:cs="Times New Roman"/>
          <w:sz w:val="24"/>
          <w:szCs w:val="24"/>
        </w:rPr>
        <w:t>emphasising</w:t>
      </w:r>
      <w:r w:rsidRPr="004722A3">
        <w:rPr>
          <w:rFonts w:cs="Times New Roman"/>
          <w:sz w:val="24"/>
          <w:szCs w:val="24"/>
        </w:rPr>
        <w:t xml:space="preserve"> the importance of the issue and measur</w:t>
      </w:r>
      <w:r w:rsidR="00B5585E">
        <w:rPr>
          <w:rFonts w:cs="Times New Roman"/>
          <w:sz w:val="24"/>
          <w:szCs w:val="24"/>
        </w:rPr>
        <w:t>ing</w:t>
      </w:r>
      <w:r w:rsidRPr="004722A3">
        <w:rPr>
          <w:rFonts w:cs="Times New Roman"/>
          <w:sz w:val="24"/>
          <w:szCs w:val="24"/>
        </w:rPr>
        <w:t xml:space="preserve"> national progress (or lack of progress) in alleviation. However, our analysis suggests that when used in isolation neither indicator is </w:t>
      </w:r>
      <w:r w:rsidRPr="004722A3">
        <w:rPr>
          <w:rFonts w:eastAsia="Times New Roman" w:cs="Times New Roman"/>
          <w:bCs/>
          <w:sz w:val="24"/>
          <w:szCs w:val="24"/>
          <w:lang w:eastAsia="en-GB"/>
        </w:rPr>
        <w:t xml:space="preserve">likely to capture the diversity of socio-spatial vulnerabilities that enhance the likelihood of fuel poverty experienced between different demographics and geographies. </w:t>
      </w:r>
    </w:p>
    <w:p w:rsidR="00BD6D78" w:rsidRPr="004506F6" w:rsidRDefault="004506F6" w:rsidP="00C302DD">
      <w:pPr>
        <w:spacing w:line="360" w:lineRule="auto"/>
        <w:jc w:val="both"/>
        <w:rPr>
          <w:rFonts w:cs="Times New Roman"/>
          <w:sz w:val="24"/>
          <w:szCs w:val="24"/>
        </w:rPr>
      </w:pPr>
      <w:r w:rsidRPr="004506F6">
        <w:rPr>
          <w:rFonts w:cs="Times New Roman"/>
          <w:sz w:val="24"/>
          <w:szCs w:val="24"/>
        </w:rPr>
        <w:t xml:space="preserve">Fuel </w:t>
      </w:r>
      <w:r w:rsidRPr="004506F6">
        <w:rPr>
          <w:rFonts w:eastAsia="Times New Roman" w:cs="Times New Roman"/>
          <w:sz w:val="24"/>
          <w:szCs w:val="24"/>
          <w:lang w:eastAsia="en-GB"/>
        </w:rPr>
        <w:t>poverty indicators can be regarded as a form of governance (Davis et al. 2012) that can simultaneously make visible, create and conceal injustices.</w:t>
      </w:r>
      <w:r w:rsidRPr="004506F6">
        <w:rPr>
          <w:rFonts w:cs="Times New Roman"/>
          <w:sz w:val="24"/>
          <w:szCs w:val="24"/>
        </w:rPr>
        <w:t xml:space="preserve"> Insufficient representation of particular vulnerabilities by the chosen measurement approach contributes to a lack of recognition in fuel poverty policy and in the targeting of alleviation measures, further compounding the condition (Walker and Day 2012). </w:t>
      </w:r>
      <w:r w:rsidR="008644C6" w:rsidRPr="004506F6">
        <w:rPr>
          <w:rFonts w:cs="Times New Roman"/>
          <w:sz w:val="24"/>
          <w:szCs w:val="24"/>
        </w:rPr>
        <w:t>Our</w:t>
      </w:r>
      <w:r w:rsidR="008B3788" w:rsidRPr="004506F6">
        <w:rPr>
          <w:rFonts w:cs="Times New Roman"/>
          <w:sz w:val="24"/>
          <w:szCs w:val="24"/>
        </w:rPr>
        <w:t xml:space="preserve"> analysis is useful in highlighting the explicitly</w:t>
      </w:r>
      <w:r w:rsidR="008B3788" w:rsidRPr="00C77580">
        <w:rPr>
          <w:rFonts w:cs="Times New Roman"/>
          <w:sz w:val="24"/>
          <w:szCs w:val="24"/>
        </w:rPr>
        <w:t xml:space="preserve"> spatial</w:t>
      </w:r>
      <w:r w:rsidR="008B3788" w:rsidRPr="004506F6">
        <w:rPr>
          <w:rFonts w:cs="Times New Roman"/>
          <w:sz w:val="24"/>
          <w:szCs w:val="24"/>
        </w:rPr>
        <w:t xml:space="preserve"> injustices associated with how socio-spatial vulnerabilities and losses of wellbeing that manifest in particular locales can be concealed, revealed or created by the </w:t>
      </w:r>
      <w:r w:rsidR="008B3788" w:rsidRPr="004506F6">
        <w:rPr>
          <w:rFonts w:cs="Times New Roman"/>
          <w:sz w:val="24"/>
          <w:szCs w:val="24"/>
        </w:rPr>
        <w:lastRenderedPageBreak/>
        <w:t xml:space="preserve">government’s framing of fuel poverty using different indicators. This builds upon </w:t>
      </w:r>
      <w:r w:rsidR="00B5585E" w:rsidRPr="004506F6">
        <w:rPr>
          <w:rFonts w:cs="Times New Roman"/>
          <w:sz w:val="24"/>
          <w:szCs w:val="24"/>
        </w:rPr>
        <w:t>discussion</w:t>
      </w:r>
      <w:r w:rsidR="008B3788" w:rsidRPr="004506F6">
        <w:rPr>
          <w:rFonts w:cs="Times New Roman"/>
          <w:sz w:val="24"/>
          <w:szCs w:val="24"/>
        </w:rPr>
        <w:t xml:space="preserve"> of spatial injustices within existing neighbourhood effects (Rae 2012) and fuel poverty</w:t>
      </w:r>
      <w:r w:rsidR="008644C6" w:rsidRPr="004506F6">
        <w:rPr>
          <w:rFonts w:cs="Times New Roman"/>
          <w:sz w:val="24"/>
          <w:szCs w:val="24"/>
        </w:rPr>
        <w:t xml:space="preserve"> literature</w:t>
      </w:r>
      <w:r w:rsidR="008B3788" w:rsidRPr="004506F6">
        <w:rPr>
          <w:rFonts w:cs="Times New Roman"/>
          <w:sz w:val="24"/>
          <w:szCs w:val="24"/>
        </w:rPr>
        <w:t xml:space="preserve"> (Bouzarovski and Simcock 2017). </w:t>
      </w:r>
    </w:p>
    <w:p w:rsidR="008B3788" w:rsidRDefault="008B3788" w:rsidP="00C302DD">
      <w:pPr>
        <w:spacing w:line="360" w:lineRule="auto"/>
        <w:jc w:val="both"/>
        <w:rPr>
          <w:rFonts w:cs="Times New Roman"/>
          <w:sz w:val="24"/>
          <w:szCs w:val="24"/>
        </w:rPr>
      </w:pPr>
      <w:r w:rsidRPr="004722A3">
        <w:rPr>
          <w:rFonts w:cs="Times New Roman"/>
          <w:sz w:val="24"/>
          <w:szCs w:val="24"/>
        </w:rPr>
        <w:t>Recognition of the underrepresentation by existing indicators of particular households, locales and subsequent injustices affirms that additional means of measuring vulnerability to fuel poverty are required. An alterna</w:t>
      </w:r>
      <w:r w:rsidR="00B5585E">
        <w:rPr>
          <w:rFonts w:cs="Times New Roman"/>
          <w:sz w:val="24"/>
          <w:szCs w:val="24"/>
        </w:rPr>
        <w:t>tive approach should explicitly account for</w:t>
      </w:r>
      <w:r w:rsidRPr="004722A3">
        <w:rPr>
          <w:rFonts w:cs="Times New Roman"/>
          <w:sz w:val="24"/>
          <w:szCs w:val="24"/>
        </w:rPr>
        <w:t xml:space="preserve"> the socio-spatial variability of vulnerability</w:t>
      </w:r>
      <w:r w:rsidR="00B5585E">
        <w:rPr>
          <w:rFonts w:cs="Times New Roman"/>
          <w:sz w:val="24"/>
          <w:szCs w:val="24"/>
        </w:rPr>
        <w:t xml:space="preserve"> and the important contribution of place</w:t>
      </w:r>
      <w:r w:rsidR="00FB36DB">
        <w:rPr>
          <w:rFonts w:cs="Times New Roman"/>
          <w:sz w:val="24"/>
          <w:szCs w:val="24"/>
        </w:rPr>
        <w:t xml:space="preserve"> to the manifestation of fuel poverty</w:t>
      </w:r>
      <w:r w:rsidRPr="004722A3">
        <w:rPr>
          <w:rFonts w:cs="Times New Roman"/>
          <w:sz w:val="24"/>
          <w:szCs w:val="24"/>
        </w:rPr>
        <w:t xml:space="preserve">. </w:t>
      </w:r>
    </w:p>
    <w:p w:rsidR="0058650E" w:rsidRPr="004722A3" w:rsidRDefault="0058650E" w:rsidP="00C302DD">
      <w:pPr>
        <w:spacing w:line="360" w:lineRule="auto"/>
        <w:jc w:val="both"/>
        <w:rPr>
          <w:rFonts w:cs="Times New Roman"/>
          <w:sz w:val="24"/>
          <w:szCs w:val="24"/>
        </w:rPr>
      </w:pPr>
    </w:p>
    <w:p w:rsidR="008B3788" w:rsidRPr="001E35F9" w:rsidRDefault="008B3788" w:rsidP="00C302DD">
      <w:pPr>
        <w:spacing w:line="360" w:lineRule="auto"/>
        <w:jc w:val="both"/>
        <w:rPr>
          <w:rFonts w:eastAsiaTheme="majorEastAsia" w:cs="Times New Roman"/>
          <w:b/>
          <w:bCs/>
          <w:sz w:val="24"/>
          <w:szCs w:val="24"/>
        </w:rPr>
      </w:pPr>
      <w:r w:rsidRPr="001E35F9">
        <w:rPr>
          <w:rFonts w:eastAsiaTheme="majorEastAsia" w:cs="Times New Roman"/>
          <w:b/>
          <w:bCs/>
          <w:sz w:val="24"/>
          <w:szCs w:val="24"/>
        </w:rPr>
        <w:t>References</w:t>
      </w:r>
    </w:p>
    <w:p w:rsidR="008B3788" w:rsidRPr="001E35F9" w:rsidRDefault="00813185" w:rsidP="00FB11C5">
      <w:pPr>
        <w:rPr>
          <w:rFonts w:cs="Times New Roman"/>
          <w:sz w:val="24"/>
          <w:szCs w:val="24"/>
        </w:rPr>
      </w:pPr>
      <w:r w:rsidRPr="001E35F9">
        <w:rPr>
          <w:rFonts w:cs="Times New Roman"/>
          <w:sz w:val="24"/>
          <w:szCs w:val="24"/>
          <w:shd w:val="clear" w:color="auto" w:fill="FFFFFF"/>
        </w:rPr>
        <w:t>Adger</w:t>
      </w:r>
      <w:r w:rsidR="008B3788" w:rsidRPr="001E35F9">
        <w:rPr>
          <w:rFonts w:cs="Times New Roman"/>
          <w:sz w:val="24"/>
          <w:szCs w:val="24"/>
          <w:shd w:val="clear" w:color="auto" w:fill="FFFFFF"/>
        </w:rPr>
        <w:t xml:space="preserve"> W</w:t>
      </w:r>
      <w:r w:rsidRPr="001E35F9">
        <w:rPr>
          <w:rFonts w:cs="Times New Roman"/>
          <w:sz w:val="24"/>
          <w:szCs w:val="24"/>
          <w:shd w:val="clear" w:color="auto" w:fill="FFFFFF"/>
        </w:rPr>
        <w:t>N (2006)</w:t>
      </w:r>
      <w:r w:rsidR="008B3788" w:rsidRPr="001E35F9">
        <w:rPr>
          <w:rFonts w:cs="Times New Roman"/>
          <w:sz w:val="24"/>
          <w:szCs w:val="24"/>
          <w:shd w:val="clear" w:color="auto" w:fill="FFFFFF"/>
        </w:rPr>
        <w:t xml:space="preserve"> Vulnerability</w:t>
      </w:r>
      <w:r w:rsidRPr="001E35F9">
        <w:rPr>
          <w:rFonts w:cs="Times New Roman"/>
          <w:sz w:val="24"/>
          <w:szCs w:val="24"/>
          <w:shd w:val="clear" w:color="auto" w:fill="FFFFFF"/>
        </w:rPr>
        <w:t>.</w:t>
      </w:r>
      <w:r w:rsidR="008B3788" w:rsidRPr="001E35F9">
        <w:rPr>
          <w:rFonts w:cs="Times New Roman"/>
          <w:sz w:val="24"/>
          <w:szCs w:val="24"/>
          <w:shd w:val="clear" w:color="auto" w:fill="FFFFFF"/>
        </w:rPr>
        <w:t> </w:t>
      </w:r>
      <w:r w:rsidR="008B3788" w:rsidRPr="001E35F9">
        <w:rPr>
          <w:rFonts w:cs="Times New Roman"/>
          <w:i/>
          <w:iCs/>
          <w:sz w:val="24"/>
          <w:szCs w:val="24"/>
          <w:shd w:val="clear" w:color="auto" w:fill="FFFFFF"/>
        </w:rPr>
        <w:t>Global environmental change</w:t>
      </w:r>
      <w:r w:rsidR="008B3788" w:rsidRPr="001E35F9">
        <w:rPr>
          <w:rFonts w:cs="Times New Roman"/>
          <w:sz w:val="24"/>
          <w:szCs w:val="24"/>
          <w:shd w:val="clear" w:color="auto" w:fill="FFFFFF"/>
        </w:rPr>
        <w:t> </w:t>
      </w:r>
      <w:r w:rsidR="008B3788" w:rsidRPr="001E35F9">
        <w:rPr>
          <w:rFonts w:cs="Times New Roman"/>
          <w:iCs/>
          <w:sz w:val="24"/>
          <w:szCs w:val="24"/>
          <w:shd w:val="clear" w:color="auto" w:fill="FFFFFF"/>
        </w:rPr>
        <w:t>16</w:t>
      </w:r>
      <w:r w:rsidRPr="001E35F9">
        <w:rPr>
          <w:rFonts w:cs="Times New Roman"/>
          <w:sz w:val="24"/>
          <w:szCs w:val="24"/>
          <w:shd w:val="clear" w:color="auto" w:fill="FFFFFF"/>
        </w:rPr>
        <w:t xml:space="preserve">(3): </w:t>
      </w:r>
      <w:r w:rsidR="008B3788" w:rsidRPr="001E35F9">
        <w:rPr>
          <w:rFonts w:cs="Times New Roman"/>
          <w:sz w:val="24"/>
          <w:szCs w:val="24"/>
          <w:shd w:val="clear" w:color="auto" w:fill="FFFFFF"/>
        </w:rPr>
        <w:t>268-281.</w:t>
      </w:r>
    </w:p>
    <w:p w:rsidR="008B3788" w:rsidRPr="00B13E6D" w:rsidRDefault="00813185" w:rsidP="00FB11C5">
      <w:pPr>
        <w:rPr>
          <w:rFonts w:cs="Times New Roman"/>
          <w:sz w:val="24"/>
          <w:szCs w:val="24"/>
        </w:rPr>
      </w:pPr>
      <w:r w:rsidRPr="00B13E6D">
        <w:rPr>
          <w:rFonts w:cs="Times New Roman"/>
          <w:sz w:val="24"/>
          <w:szCs w:val="24"/>
          <w:shd w:val="clear" w:color="auto" w:fill="FFFFFF"/>
        </w:rPr>
        <w:t xml:space="preserve">Allen K (2003) </w:t>
      </w:r>
      <w:r w:rsidR="008B3788" w:rsidRPr="00B13E6D">
        <w:rPr>
          <w:rFonts w:cs="Times New Roman"/>
          <w:sz w:val="24"/>
          <w:szCs w:val="24"/>
          <w:shd w:val="clear" w:color="auto" w:fill="FFFFFF"/>
        </w:rPr>
        <w:t>Vulnerability reduction a</w:t>
      </w:r>
      <w:r w:rsidRPr="00B13E6D">
        <w:rPr>
          <w:rFonts w:cs="Times New Roman"/>
          <w:sz w:val="24"/>
          <w:szCs w:val="24"/>
          <w:shd w:val="clear" w:color="auto" w:fill="FFFFFF"/>
        </w:rPr>
        <w:t>nd the community-based approach.</w:t>
      </w:r>
      <w:r w:rsidR="008B3788" w:rsidRPr="00B13E6D">
        <w:rPr>
          <w:rFonts w:cs="Times New Roman"/>
          <w:sz w:val="24"/>
          <w:szCs w:val="24"/>
          <w:shd w:val="clear" w:color="auto" w:fill="FFFFFF"/>
        </w:rPr>
        <w:t> In</w:t>
      </w:r>
      <w:r w:rsidRPr="00B13E6D">
        <w:rPr>
          <w:rFonts w:cs="Times New Roman"/>
          <w:sz w:val="24"/>
          <w:szCs w:val="24"/>
          <w:shd w:val="clear" w:color="auto" w:fill="FFFFFF"/>
        </w:rPr>
        <w:t xml:space="preserve">: </w:t>
      </w:r>
      <w:r w:rsidR="00B13E6D" w:rsidRPr="00B13E6D">
        <w:rPr>
          <w:rFonts w:cs="Times New Roman"/>
          <w:sz w:val="24"/>
          <w:szCs w:val="24"/>
          <w:shd w:val="clear" w:color="auto" w:fill="FFFFFF"/>
        </w:rPr>
        <w:t xml:space="preserve">Pelling M </w:t>
      </w:r>
      <w:r w:rsidRPr="00B13E6D">
        <w:rPr>
          <w:rFonts w:cs="Times New Roman"/>
          <w:sz w:val="24"/>
          <w:szCs w:val="24"/>
          <w:shd w:val="clear" w:color="auto" w:fill="FFFFFF"/>
        </w:rPr>
        <w:t>(eds)</w:t>
      </w:r>
      <w:r w:rsidR="008B3788" w:rsidRPr="00B13E6D">
        <w:rPr>
          <w:rFonts w:cs="Times New Roman"/>
          <w:sz w:val="24"/>
          <w:szCs w:val="24"/>
          <w:shd w:val="clear" w:color="auto" w:fill="FFFFFF"/>
        </w:rPr>
        <w:t xml:space="preserve"> </w:t>
      </w:r>
      <w:r w:rsidR="008B3788" w:rsidRPr="00B13E6D">
        <w:rPr>
          <w:rFonts w:cs="Times New Roman"/>
          <w:i/>
          <w:iCs/>
          <w:sz w:val="24"/>
          <w:szCs w:val="24"/>
          <w:shd w:val="clear" w:color="auto" w:fill="FFFFFF"/>
        </w:rPr>
        <w:t>Natural disasters and development in a globalizing world</w:t>
      </w:r>
      <w:r w:rsidRPr="00B13E6D">
        <w:rPr>
          <w:rFonts w:cs="Times New Roman"/>
          <w:i/>
          <w:iCs/>
          <w:sz w:val="24"/>
          <w:szCs w:val="24"/>
          <w:shd w:val="clear" w:color="auto" w:fill="FFFFFF"/>
        </w:rPr>
        <w:t xml:space="preserve">. </w:t>
      </w:r>
      <w:r w:rsidRPr="00B13E6D">
        <w:rPr>
          <w:rFonts w:cs="Times New Roman"/>
          <w:iCs/>
          <w:sz w:val="24"/>
          <w:szCs w:val="24"/>
          <w:shd w:val="clear" w:color="auto" w:fill="FFFFFF"/>
        </w:rPr>
        <w:t>London: Routledge, pp</w:t>
      </w:r>
      <w:r w:rsidRPr="00B13E6D">
        <w:rPr>
          <w:rFonts w:cs="Times New Roman"/>
          <w:sz w:val="24"/>
          <w:szCs w:val="24"/>
          <w:shd w:val="clear" w:color="auto" w:fill="FFFFFF"/>
        </w:rPr>
        <w:t xml:space="preserve"> 170-184. </w:t>
      </w:r>
    </w:p>
    <w:p w:rsidR="008B3788" w:rsidRPr="001E35F9" w:rsidRDefault="00813185" w:rsidP="00FB11C5">
      <w:pPr>
        <w:rPr>
          <w:rFonts w:cs="Times New Roman"/>
          <w:sz w:val="24"/>
          <w:szCs w:val="24"/>
          <w:shd w:val="clear" w:color="auto" w:fill="FFFFFF"/>
        </w:rPr>
      </w:pPr>
      <w:r w:rsidRPr="001E35F9">
        <w:rPr>
          <w:rFonts w:cs="Times New Roman"/>
          <w:sz w:val="24"/>
          <w:szCs w:val="24"/>
          <w:shd w:val="clear" w:color="auto" w:fill="FFFFFF"/>
        </w:rPr>
        <w:t>Ambrose AR (2015)</w:t>
      </w:r>
      <w:r w:rsidR="008B3788" w:rsidRPr="001E35F9">
        <w:rPr>
          <w:rFonts w:cs="Times New Roman"/>
          <w:sz w:val="24"/>
          <w:szCs w:val="24"/>
          <w:shd w:val="clear" w:color="auto" w:fill="FFFFFF"/>
        </w:rPr>
        <w:t xml:space="preserve"> Improving energy efficiency in private rented ho</w:t>
      </w:r>
      <w:r w:rsidRPr="001E35F9">
        <w:rPr>
          <w:rFonts w:cs="Times New Roman"/>
          <w:sz w:val="24"/>
          <w:szCs w:val="24"/>
          <w:shd w:val="clear" w:color="auto" w:fill="FFFFFF"/>
        </w:rPr>
        <w:t>using: Why don't landlords act?</w:t>
      </w:r>
      <w:r w:rsidR="008B3788" w:rsidRPr="001E35F9">
        <w:rPr>
          <w:rFonts w:cs="Times New Roman"/>
          <w:sz w:val="24"/>
          <w:szCs w:val="24"/>
          <w:shd w:val="clear" w:color="auto" w:fill="FFFFFF"/>
        </w:rPr>
        <w:t> </w:t>
      </w:r>
      <w:r w:rsidR="008B3788" w:rsidRPr="001E35F9">
        <w:rPr>
          <w:rFonts w:cs="Times New Roman"/>
          <w:i/>
          <w:iCs/>
          <w:sz w:val="24"/>
          <w:szCs w:val="24"/>
          <w:shd w:val="clear" w:color="auto" w:fill="FFFFFF"/>
        </w:rPr>
        <w:t>Indoor and Built Environment</w:t>
      </w:r>
      <w:r w:rsidRPr="001E35F9">
        <w:rPr>
          <w:rFonts w:cs="Times New Roman"/>
          <w:sz w:val="24"/>
          <w:szCs w:val="24"/>
          <w:shd w:val="clear" w:color="auto" w:fill="FFFFFF"/>
        </w:rPr>
        <w:t xml:space="preserve"> </w:t>
      </w:r>
      <w:r w:rsidR="008B3788" w:rsidRPr="001E35F9">
        <w:rPr>
          <w:rFonts w:cs="Times New Roman"/>
          <w:iCs/>
          <w:sz w:val="24"/>
          <w:szCs w:val="24"/>
          <w:shd w:val="clear" w:color="auto" w:fill="FFFFFF"/>
        </w:rPr>
        <w:t>24</w:t>
      </w:r>
      <w:r w:rsidRPr="001E35F9">
        <w:rPr>
          <w:rFonts w:cs="Times New Roman"/>
          <w:sz w:val="24"/>
          <w:szCs w:val="24"/>
          <w:shd w:val="clear" w:color="auto" w:fill="FFFFFF"/>
        </w:rPr>
        <w:t xml:space="preserve">(7): </w:t>
      </w:r>
      <w:r w:rsidR="008B3788" w:rsidRPr="001E35F9">
        <w:rPr>
          <w:rFonts w:cs="Times New Roman"/>
          <w:sz w:val="24"/>
          <w:szCs w:val="24"/>
          <w:shd w:val="clear" w:color="auto" w:fill="FFFFFF"/>
        </w:rPr>
        <w:t>913-924.</w:t>
      </w:r>
    </w:p>
    <w:p w:rsidR="008B3788" w:rsidRPr="001E35F9" w:rsidRDefault="00813185" w:rsidP="00FB11C5">
      <w:pPr>
        <w:rPr>
          <w:rFonts w:cs="Times New Roman"/>
          <w:sz w:val="24"/>
          <w:szCs w:val="24"/>
          <w:shd w:val="clear" w:color="auto" w:fill="FFFFFF"/>
        </w:rPr>
      </w:pPr>
      <w:r w:rsidRPr="001E35F9">
        <w:rPr>
          <w:rFonts w:cs="Times New Roman"/>
          <w:sz w:val="24"/>
          <w:szCs w:val="24"/>
          <w:shd w:val="clear" w:color="auto" w:fill="FFFFFF"/>
        </w:rPr>
        <w:t>Boardman B (1991)</w:t>
      </w:r>
      <w:r w:rsidR="008B3788" w:rsidRPr="001E35F9">
        <w:rPr>
          <w:rFonts w:cs="Times New Roman"/>
          <w:sz w:val="24"/>
          <w:szCs w:val="24"/>
          <w:shd w:val="clear" w:color="auto" w:fill="FFFFFF"/>
        </w:rPr>
        <w:t> </w:t>
      </w:r>
      <w:r w:rsidR="008B3788" w:rsidRPr="001E35F9">
        <w:rPr>
          <w:rFonts w:cs="Times New Roman"/>
          <w:i/>
          <w:iCs/>
          <w:sz w:val="24"/>
          <w:szCs w:val="24"/>
          <w:shd w:val="clear" w:color="auto" w:fill="FFFFFF"/>
        </w:rPr>
        <w:t>Fuel poverty: from cold homes to affordable warmth</w:t>
      </w:r>
      <w:r w:rsidR="008B3788" w:rsidRPr="001E35F9">
        <w:rPr>
          <w:rFonts w:cs="Times New Roman"/>
          <w:sz w:val="24"/>
          <w:szCs w:val="24"/>
          <w:shd w:val="clear" w:color="auto" w:fill="FFFFFF"/>
        </w:rPr>
        <w:t xml:space="preserve">. </w:t>
      </w:r>
      <w:r w:rsidRPr="001E35F9">
        <w:rPr>
          <w:rFonts w:cs="Times New Roman"/>
          <w:sz w:val="24"/>
          <w:szCs w:val="24"/>
          <w:shd w:val="clear" w:color="auto" w:fill="FFFFFF"/>
        </w:rPr>
        <w:t>London: Pinter Pub Lt</w:t>
      </w:r>
      <w:r w:rsidR="008B3788" w:rsidRPr="001E35F9">
        <w:rPr>
          <w:rFonts w:cs="Times New Roman"/>
          <w:sz w:val="24"/>
          <w:szCs w:val="24"/>
          <w:shd w:val="clear" w:color="auto" w:fill="FFFFFF"/>
        </w:rPr>
        <w:t>d.</w:t>
      </w:r>
    </w:p>
    <w:p w:rsidR="008B3788" w:rsidRPr="001E35F9" w:rsidRDefault="00813185" w:rsidP="00FB11C5">
      <w:pPr>
        <w:rPr>
          <w:rFonts w:cs="Times New Roman"/>
          <w:sz w:val="24"/>
          <w:szCs w:val="24"/>
          <w:shd w:val="clear" w:color="auto" w:fill="FFFFFF"/>
        </w:rPr>
      </w:pPr>
      <w:r w:rsidRPr="001E35F9">
        <w:rPr>
          <w:rFonts w:cs="Times New Roman"/>
          <w:sz w:val="24"/>
          <w:szCs w:val="24"/>
          <w:shd w:val="clear" w:color="auto" w:fill="FFFFFF"/>
        </w:rPr>
        <w:t>Boardman B (2010)</w:t>
      </w:r>
      <w:r w:rsidR="008B3788" w:rsidRPr="001E35F9">
        <w:rPr>
          <w:rFonts w:cs="Times New Roman"/>
          <w:sz w:val="24"/>
          <w:szCs w:val="24"/>
          <w:shd w:val="clear" w:color="auto" w:fill="FFFFFF"/>
        </w:rPr>
        <w:t> </w:t>
      </w:r>
      <w:r w:rsidR="008B3788" w:rsidRPr="001E35F9">
        <w:rPr>
          <w:rFonts w:cs="Times New Roman"/>
          <w:i/>
          <w:iCs/>
          <w:sz w:val="24"/>
          <w:szCs w:val="24"/>
          <w:shd w:val="clear" w:color="auto" w:fill="FFFFFF"/>
        </w:rPr>
        <w:t>Fixing fuel poverty: challenges and solutions</w:t>
      </w:r>
      <w:r w:rsidR="008B3788" w:rsidRPr="001E35F9">
        <w:rPr>
          <w:rFonts w:cs="Times New Roman"/>
          <w:sz w:val="24"/>
          <w:szCs w:val="24"/>
          <w:shd w:val="clear" w:color="auto" w:fill="FFFFFF"/>
        </w:rPr>
        <w:t>.</w:t>
      </w:r>
      <w:r w:rsidR="00B13E6D">
        <w:rPr>
          <w:rFonts w:cs="Times New Roman"/>
          <w:sz w:val="24"/>
          <w:szCs w:val="24"/>
          <w:shd w:val="clear" w:color="auto" w:fill="FFFFFF"/>
        </w:rPr>
        <w:t xml:space="preserve"> New York</w:t>
      </w:r>
      <w:r w:rsidRPr="001E35F9">
        <w:rPr>
          <w:rFonts w:cs="Times New Roman"/>
          <w:sz w:val="24"/>
          <w:szCs w:val="24"/>
          <w:shd w:val="clear" w:color="auto" w:fill="FFFFFF"/>
        </w:rPr>
        <w:t>: Earthscan.</w:t>
      </w:r>
    </w:p>
    <w:p w:rsidR="008B3788" w:rsidRPr="001E35F9" w:rsidRDefault="00813185" w:rsidP="00FB11C5">
      <w:pPr>
        <w:rPr>
          <w:rFonts w:cs="Times New Roman"/>
          <w:sz w:val="24"/>
          <w:szCs w:val="24"/>
          <w:shd w:val="clear" w:color="auto" w:fill="FFFFFF"/>
        </w:rPr>
      </w:pPr>
      <w:r w:rsidRPr="001E35F9">
        <w:rPr>
          <w:rFonts w:cs="Times New Roman"/>
          <w:sz w:val="24"/>
          <w:szCs w:val="24"/>
          <w:shd w:val="clear" w:color="auto" w:fill="FFFFFF"/>
        </w:rPr>
        <w:t>Boardman B</w:t>
      </w:r>
      <w:r w:rsidR="008B3788" w:rsidRPr="001E35F9">
        <w:rPr>
          <w:rFonts w:cs="Times New Roman"/>
          <w:sz w:val="24"/>
          <w:szCs w:val="24"/>
          <w:shd w:val="clear" w:color="auto" w:fill="FFFFFF"/>
        </w:rPr>
        <w:t xml:space="preserve"> (2012) Fuel poverty synthesis: Lessons learnt, actions needed.</w:t>
      </w:r>
      <w:r w:rsidRPr="001E35F9">
        <w:rPr>
          <w:rFonts w:cs="Times New Roman"/>
          <w:sz w:val="24"/>
          <w:szCs w:val="24"/>
          <w:shd w:val="clear" w:color="auto" w:fill="FFFFFF"/>
        </w:rPr>
        <w:t xml:space="preserve"> </w:t>
      </w:r>
      <w:r w:rsidR="008B3788" w:rsidRPr="001E35F9">
        <w:rPr>
          <w:rFonts w:cs="Times New Roman"/>
          <w:i/>
          <w:iCs/>
          <w:sz w:val="24"/>
          <w:szCs w:val="24"/>
          <w:shd w:val="clear" w:color="auto" w:fill="FFFFFF"/>
        </w:rPr>
        <w:t>Energy Policy</w:t>
      </w:r>
      <w:r w:rsidRPr="001E35F9">
        <w:rPr>
          <w:rFonts w:cs="Times New Roman"/>
          <w:sz w:val="24"/>
          <w:szCs w:val="24"/>
          <w:shd w:val="clear" w:color="auto" w:fill="FFFFFF"/>
        </w:rPr>
        <w:t xml:space="preserve"> </w:t>
      </w:r>
      <w:r w:rsidR="008B3788" w:rsidRPr="001E35F9">
        <w:rPr>
          <w:rFonts w:cs="Times New Roman"/>
          <w:iCs/>
          <w:sz w:val="24"/>
          <w:szCs w:val="24"/>
          <w:shd w:val="clear" w:color="auto" w:fill="FFFFFF"/>
        </w:rPr>
        <w:t>49</w:t>
      </w:r>
      <w:r w:rsidRPr="001E35F9">
        <w:rPr>
          <w:rFonts w:cs="Times New Roman"/>
          <w:sz w:val="24"/>
          <w:szCs w:val="24"/>
          <w:shd w:val="clear" w:color="auto" w:fill="FFFFFF"/>
        </w:rPr>
        <w:t>(0):</w:t>
      </w:r>
      <w:r w:rsidR="008B3788" w:rsidRPr="001E35F9">
        <w:rPr>
          <w:rFonts w:cs="Times New Roman"/>
          <w:sz w:val="24"/>
          <w:szCs w:val="24"/>
          <w:shd w:val="clear" w:color="auto" w:fill="FFFFFF"/>
        </w:rPr>
        <w:t xml:space="preserve"> 143-8.</w:t>
      </w:r>
    </w:p>
    <w:p w:rsidR="008B3788" w:rsidRPr="001E35F9" w:rsidRDefault="008B3788" w:rsidP="00FB11C5">
      <w:pPr>
        <w:rPr>
          <w:rFonts w:cs="Times New Roman"/>
          <w:sz w:val="24"/>
          <w:szCs w:val="24"/>
          <w:shd w:val="clear" w:color="auto" w:fill="FFFFFF"/>
        </w:rPr>
      </w:pPr>
      <w:r w:rsidRPr="001E35F9">
        <w:rPr>
          <w:rFonts w:cs="Times New Roman"/>
          <w:sz w:val="24"/>
          <w:szCs w:val="24"/>
          <w:shd w:val="clear" w:color="auto" w:fill="FFFFFF"/>
        </w:rPr>
        <w:t>Bouzarovski</w:t>
      </w:r>
      <w:r w:rsidR="00813185" w:rsidRPr="001E35F9">
        <w:rPr>
          <w:rFonts w:cs="Times New Roman"/>
          <w:sz w:val="24"/>
          <w:szCs w:val="24"/>
          <w:shd w:val="clear" w:color="auto" w:fill="FFFFFF"/>
        </w:rPr>
        <w:t xml:space="preserve"> S</w:t>
      </w:r>
      <w:r w:rsidRPr="001E35F9">
        <w:rPr>
          <w:rFonts w:cs="Times New Roman"/>
          <w:sz w:val="24"/>
          <w:szCs w:val="24"/>
          <w:shd w:val="clear" w:color="auto" w:fill="FFFFFF"/>
        </w:rPr>
        <w:t xml:space="preserve"> (2014) Energy poverty in the European Union: landscapes of vulnerability. </w:t>
      </w:r>
      <w:r w:rsidRPr="001E35F9">
        <w:rPr>
          <w:rFonts w:cs="Times New Roman"/>
          <w:i/>
          <w:iCs/>
          <w:sz w:val="24"/>
          <w:szCs w:val="24"/>
          <w:shd w:val="clear" w:color="auto" w:fill="FFFFFF"/>
        </w:rPr>
        <w:t>Wiley Interdisciplinary Revi</w:t>
      </w:r>
      <w:r w:rsidR="00813185" w:rsidRPr="001E35F9">
        <w:rPr>
          <w:rFonts w:cs="Times New Roman"/>
          <w:i/>
          <w:iCs/>
          <w:sz w:val="24"/>
          <w:szCs w:val="24"/>
          <w:shd w:val="clear" w:color="auto" w:fill="FFFFFF"/>
        </w:rPr>
        <w:t xml:space="preserve">ews: Energy and Environment </w:t>
      </w:r>
      <w:r w:rsidRPr="001E35F9">
        <w:rPr>
          <w:rFonts w:cs="Times New Roman"/>
          <w:iCs/>
          <w:sz w:val="24"/>
          <w:szCs w:val="24"/>
          <w:shd w:val="clear" w:color="auto" w:fill="FFFFFF"/>
        </w:rPr>
        <w:t>3</w:t>
      </w:r>
      <w:r w:rsidR="00813185" w:rsidRPr="001E35F9">
        <w:rPr>
          <w:rFonts w:cs="Times New Roman"/>
          <w:sz w:val="24"/>
          <w:szCs w:val="24"/>
          <w:shd w:val="clear" w:color="auto" w:fill="FFFFFF"/>
        </w:rPr>
        <w:t>(3): 276-289.</w:t>
      </w:r>
    </w:p>
    <w:p w:rsidR="008B3788" w:rsidRPr="00B13E6D" w:rsidRDefault="00813185" w:rsidP="00FB11C5">
      <w:pPr>
        <w:rPr>
          <w:rFonts w:cs="Times New Roman"/>
          <w:sz w:val="24"/>
          <w:szCs w:val="24"/>
          <w:shd w:val="clear" w:color="auto" w:fill="FFFFFF"/>
        </w:rPr>
      </w:pPr>
      <w:r w:rsidRPr="00B13E6D">
        <w:rPr>
          <w:rFonts w:cs="Times New Roman"/>
          <w:sz w:val="24"/>
          <w:szCs w:val="24"/>
          <w:shd w:val="clear" w:color="auto" w:fill="FFFFFF"/>
        </w:rPr>
        <w:t xml:space="preserve">Bouzarovski S, Petrova S, Kitching M and Baldwick J (2013) </w:t>
      </w:r>
      <w:r w:rsidR="008B3788" w:rsidRPr="00B13E6D">
        <w:rPr>
          <w:rFonts w:cs="Times New Roman"/>
          <w:sz w:val="24"/>
          <w:szCs w:val="24"/>
          <w:shd w:val="clear" w:color="auto" w:fill="FFFFFF"/>
        </w:rPr>
        <w:t>Precarious domesticities: energy vulnerability among urban young adults. In:</w:t>
      </w:r>
      <w:r w:rsidRPr="00B13E6D">
        <w:rPr>
          <w:rFonts w:cs="Times New Roman"/>
          <w:sz w:val="24"/>
          <w:szCs w:val="24"/>
          <w:shd w:val="clear" w:color="auto" w:fill="FFFFFF"/>
        </w:rPr>
        <w:t xml:space="preserve"> </w:t>
      </w:r>
      <w:r w:rsidR="00731F49">
        <w:rPr>
          <w:rFonts w:cs="Times New Roman"/>
          <w:sz w:val="24"/>
          <w:szCs w:val="24"/>
          <w:shd w:val="clear" w:color="auto" w:fill="FFFFFF"/>
        </w:rPr>
        <w:t>Bickerstaff K, W</w:t>
      </w:r>
      <w:r w:rsidR="00B13E6D" w:rsidRPr="00B13E6D">
        <w:rPr>
          <w:rFonts w:cs="Times New Roman"/>
          <w:sz w:val="24"/>
          <w:szCs w:val="24"/>
          <w:shd w:val="clear" w:color="auto" w:fill="FFFFFF"/>
        </w:rPr>
        <w:t>alker G and Bulkeley H</w:t>
      </w:r>
      <w:r w:rsidRPr="00B13E6D">
        <w:rPr>
          <w:rFonts w:cs="Times New Roman"/>
          <w:sz w:val="24"/>
          <w:szCs w:val="24"/>
          <w:shd w:val="clear" w:color="auto" w:fill="FFFFFF"/>
        </w:rPr>
        <w:t xml:space="preserve"> (eds) </w:t>
      </w:r>
      <w:r w:rsidR="008B3788" w:rsidRPr="00B13E6D">
        <w:rPr>
          <w:rFonts w:cs="Times New Roman"/>
          <w:sz w:val="24"/>
          <w:szCs w:val="24"/>
          <w:shd w:val="clear" w:color="auto" w:fill="FFFFFF"/>
        </w:rPr>
        <w:t xml:space="preserve"> </w:t>
      </w:r>
      <w:r w:rsidR="008B3788" w:rsidRPr="00B13E6D">
        <w:rPr>
          <w:rFonts w:cs="Times New Roman"/>
          <w:i/>
          <w:iCs/>
          <w:sz w:val="24"/>
          <w:szCs w:val="24"/>
          <w:shd w:val="clear" w:color="auto" w:fill="FFFFFF"/>
        </w:rPr>
        <w:t xml:space="preserve">Energy justice in a changing climate-Social equity implications of the energy and low carbon relationship. </w:t>
      </w:r>
      <w:r w:rsidR="008B3788" w:rsidRPr="00B13E6D">
        <w:rPr>
          <w:rFonts w:cs="Times New Roman"/>
          <w:iCs/>
          <w:sz w:val="24"/>
          <w:szCs w:val="24"/>
          <w:shd w:val="clear" w:color="auto" w:fill="FFFFFF"/>
        </w:rPr>
        <w:t>London: Zed Books</w:t>
      </w:r>
      <w:r w:rsidR="00B13E6D" w:rsidRPr="00B13E6D">
        <w:rPr>
          <w:rFonts w:cs="Times New Roman"/>
          <w:sz w:val="24"/>
          <w:szCs w:val="24"/>
          <w:shd w:val="clear" w:color="auto" w:fill="FFFFFF"/>
        </w:rPr>
        <w:t>, pp. 30-45.</w:t>
      </w:r>
    </w:p>
    <w:p w:rsidR="008B3788" w:rsidRPr="001E35F9" w:rsidRDefault="00813185" w:rsidP="00FB11C5">
      <w:pPr>
        <w:rPr>
          <w:rFonts w:cs="Times New Roman"/>
          <w:sz w:val="24"/>
          <w:szCs w:val="24"/>
          <w:shd w:val="clear" w:color="auto" w:fill="FFFFFF"/>
        </w:rPr>
      </w:pPr>
      <w:r w:rsidRPr="001E35F9">
        <w:rPr>
          <w:rFonts w:cs="Times New Roman"/>
          <w:sz w:val="24"/>
          <w:szCs w:val="24"/>
          <w:shd w:val="clear" w:color="auto" w:fill="FFFFFF"/>
        </w:rPr>
        <w:t>Bouzarovski S and Petrova S (2015)</w:t>
      </w:r>
      <w:r w:rsidR="008B3788" w:rsidRPr="001E35F9">
        <w:rPr>
          <w:rFonts w:cs="Times New Roman"/>
          <w:sz w:val="24"/>
          <w:szCs w:val="24"/>
          <w:shd w:val="clear" w:color="auto" w:fill="FFFFFF"/>
        </w:rPr>
        <w:t xml:space="preserve"> A global perspective on domestic energy deprivation: Overcoming the energy poverty–fuel poverty binary. </w:t>
      </w:r>
      <w:r w:rsidR="008B3788" w:rsidRPr="001E35F9">
        <w:rPr>
          <w:rFonts w:cs="Times New Roman"/>
          <w:i/>
          <w:iCs/>
          <w:sz w:val="24"/>
          <w:szCs w:val="24"/>
          <w:shd w:val="clear" w:color="auto" w:fill="FFFFFF"/>
        </w:rPr>
        <w:t>Energy Research &amp; Social Science</w:t>
      </w:r>
      <w:r w:rsidR="008B3788" w:rsidRPr="001E35F9">
        <w:rPr>
          <w:rFonts w:cs="Times New Roman"/>
          <w:sz w:val="24"/>
          <w:szCs w:val="24"/>
          <w:shd w:val="clear" w:color="auto" w:fill="FFFFFF"/>
        </w:rPr>
        <w:t> </w:t>
      </w:r>
      <w:r w:rsidR="008B3788" w:rsidRPr="001E35F9">
        <w:rPr>
          <w:rFonts w:cs="Times New Roman"/>
          <w:iCs/>
          <w:sz w:val="24"/>
          <w:szCs w:val="24"/>
          <w:shd w:val="clear" w:color="auto" w:fill="FFFFFF"/>
        </w:rPr>
        <w:t>10</w:t>
      </w:r>
      <w:r w:rsidRPr="001E35F9">
        <w:rPr>
          <w:rFonts w:cs="Times New Roman"/>
          <w:sz w:val="24"/>
          <w:szCs w:val="24"/>
          <w:shd w:val="clear" w:color="auto" w:fill="FFFFFF"/>
        </w:rPr>
        <w:t>:</w:t>
      </w:r>
      <w:r w:rsidR="008B3788" w:rsidRPr="001E35F9">
        <w:rPr>
          <w:rFonts w:cs="Times New Roman"/>
          <w:sz w:val="24"/>
          <w:szCs w:val="24"/>
          <w:shd w:val="clear" w:color="auto" w:fill="FFFFFF"/>
        </w:rPr>
        <w:t xml:space="preserve"> 31-40.</w:t>
      </w:r>
    </w:p>
    <w:p w:rsidR="008B3788" w:rsidRPr="001E35F9" w:rsidRDefault="008B3788" w:rsidP="00FB11C5">
      <w:pPr>
        <w:rPr>
          <w:rFonts w:cs="Times New Roman"/>
          <w:color w:val="FF0000"/>
          <w:sz w:val="24"/>
          <w:szCs w:val="24"/>
          <w:shd w:val="clear" w:color="auto" w:fill="FFFFFF"/>
        </w:rPr>
      </w:pPr>
      <w:r w:rsidRPr="001E35F9">
        <w:rPr>
          <w:rFonts w:cs="Times New Roman"/>
          <w:sz w:val="24"/>
          <w:szCs w:val="24"/>
          <w:shd w:val="clear" w:color="auto" w:fill="FFFFFF"/>
        </w:rPr>
        <w:t>Bouzarov</w:t>
      </w:r>
      <w:r w:rsidR="00813185" w:rsidRPr="001E35F9">
        <w:rPr>
          <w:rFonts w:cs="Times New Roman"/>
          <w:sz w:val="24"/>
          <w:szCs w:val="24"/>
          <w:shd w:val="clear" w:color="auto" w:fill="FFFFFF"/>
        </w:rPr>
        <w:t xml:space="preserve">ski S and Simcock N (2017) </w:t>
      </w:r>
      <w:r w:rsidRPr="001E35F9">
        <w:rPr>
          <w:rFonts w:cs="Times New Roman"/>
          <w:sz w:val="24"/>
          <w:szCs w:val="24"/>
          <w:shd w:val="clear" w:color="auto" w:fill="FFFFFF"/>
        </w:rPr>
        <w:t>Spatializing energy justice. </w:t>
      </w:r>
      <w:r w:rsidRPr="001E35F9">
        <w:rPr>
          <w:rFonts w:cs="Times New Roman"/>
          <w:i/>
          <w:iCs/>
          <w:sz w:val="24"/>
          <w:szCs w:val="24"/>
          <w:shd w:val="clear" w:color="auto" w:fill="FFFFFF"/>
        </w:rPr>
        <w:t>Energy Policy</w:t>
      </w:r>
      <w:r w:rsidR="002A2876">
        <w:rPr>
          <w:rFonts w:cs="Times New Roman"/>
          <w:sz w:val="24"/>
          <w:szCs w:val="24"/>
          <w:shd w:val="clear" w:color="auto" w:fill="FFFFFF"/>
        </w:rPr>
        <w:t xml:space="preserve"> 107: 640-648.</w:t>
      </w:r>
    </w:p>
    <w:p w:rsidR="008B3788" w:rsidRPr="001E35F9" w:rsidRDefault="00FE65E7" w:rsidP="00FB11C5">
      <w:pPr>
        <w:rPr>
          <w:rFonts w:cs="Times New Roman"/>
          <w:sz w:val="24"/>
          <w:szCs w:val="24"/>
          <w:shd w:val="clear" w:color="auto" w:fill="FFFFFF"/>
        </w:rPr>
      </w:pPr>
      <w:r w:rsidRPr="001E35F9">
        <w:rPr>
          <w:rFonts w:cs="Times New Roman"/>
          <w:sz w:val="24"/>
          <w:szCs w:val="24"/>
          <w:shd w:val="clear" w:color="auto" w:fill="FFFFFF"/>
        </w:rPr>
        <w:lastRenderedPageBreak/>
        <w:t xml:space="preserve">Bouzarovski S, Tirado Herrero S, Petrova S, Frankowski J, Matoušek R and Maltby T (2017) </w:t>
      </w:r>
      <w:r w:rsidR="008B3788" w:rsidRPr="001E35F9">
        <w:rPr>
          <w:rFonts w:cs="Times New Roman"/>
          <w:sz w:val="24"/>
          <w:szCs w:val="24"/>
          <w:shd w:val="clear" w:color="auto" w:fill="FFFFFF"/>
        </w:rPr>
        <w:t>Multiple transformations: theorizing energy vulnerability as a socio-spatial phenomenon. </w:t>
      </w:r>
      <w:r w:rsidR="008B3788" w:rsidRPr="001E35F9">
        <w:rPr>
          <w:rFonts w:cs="Times New Roman"/>
          <w:i/>
          <w:iCs/>
          <w:sz w:val="24"/>
          <w:szCs w:val="24"/>
          <w:shd w:val="clear" w:color="auto" w:fill="FFFFFF"/>
        </w:rPr>
        <w:t>Geografiska Annaler: Series B, Human Geography</w:t>
      </w:r>
      <w:r w:rsidR="008B3788" w:rsidRPr="001E35F9">
        <w:rPr>
          <w:rFonts w:cs="Times New Roman"/>
          <w:sz w:val="24"/>
          <w:szCs w:val="24"/>
          <w:shd w:val="clear" w:color="auto" w:fill="FFFFFF"/>
        </w:rPr>
        <w:t> </w:t>
      </w:r>
      <w:r w:rsidR="008B3788" w:rsidRPr="001E35F9">
        <w:rPr>
          <w:rFonts w:cs="Times New Roman"/>
          <w:iCs/>
          <w:sz w:val="24"/>
          <w:szCs w:val="24"/>
          <w:shd w:val="clear" w:color="auto" w:fill="FFFFFF"/>
        </w:rPr>
        <w:t>99</w:t>
      </w:r>
      <w:r w:rsidRPr="001E35F9">
        <w:rPr>
          <w:rFonts w:cs="Times New Roman"/>
          <w:sz w:val="24"/>
          <w:szCs w:val="24"/>
          <w:shd w:val="clear" w:color="auto" w:fill="FFFFFF"/>
        </w:rPr>
        <w:t>(1):</w:t>
      </w:r>
      <w:r w:rsidR="008B3788" w:rsidRPr="001E35F9">
        <w:rPr>
          <w:rFonts w:cs="Times New Roman"/>
          <w:sz w:val="24"/>
          <w:szCs w:val="24"/>
          <w:shd w:val="clear" w:color="auto" w:fill="FFFFFF"/>
        </w:rPr>
        <w:t xml:space="preserve"> 20-41.</w:t>
      </w:r>
    </w:p>
    <w:p w:rsidR="008B3788" w:rsidRPr="001E35F9" w:rsidRDefault="00FE65E7" w:rsidP="00FB11C5">
      <w:pPr>
        <w:rPr>
          <w:rFonts w:cs="Times New Roman"/>
          <w:sz w:val="24"/>
          <w:szCs w:val="24"/>
          <w:shd w:val="clear" w:color="auto" w:fill="FFFFFF"/>
        </w:rPr>
      </w:pPr>
      <w:r w:rsidRPr="001E35F9">
        <w:rPr>
          <w:rFonts w:cs="Times New Roman"/>
          <w:sz w:val="24"/>
          <w:szCs w:val="24"/>
          <w:shd w:val="clear" w:color="auto" w:fill="FFFFFF"/>
        </w:rPr>
        <w:t>Buzar S (2007)</w:t>
      </w:r>
      <w:r w:rsidR="008B3788" w:rsidRPr="001E35F9">
        <w:rPr>
          <w:rFonts w:cs="Times New Roman"/>
          <w:sz w:val="24"/>
          <w:szCs w:val="24"/>
          <w:shd w:val="clear" w:color="auto" w:fill="FFFFFF"/>
        </w:rPr>
        <w:t> </w:t>
      </w:r>
      <w:r w:rsidR="008B3788" w:rsidRPr="001E35F9">
        <w:rPr>
          <w:rFonts w:cs="Times New Roman"/>
          <w:i/>
          <w:iCs/>
          <w:sz w:val="24"/>
          <w:szCs w:val="24"/>
          <w:shd w:val="clear" w:color="auto" w:fill="FFFFFF"/>
        </w:rPr>
        <w:t>Energy poverty in Eastern Europe: hidden geographies of deprivation</w:t>
      </w:r>
      <w:r w:rsidR="008B3788" w:rsidRPr="001E35F9">
        <w:rPr>
          <w:rFonts w:cs="Times New Roman"/>
          <w:sz w:val="24"/>
          <w:szCs w:val="24"/>
          <w:shd w:val="clear" w:color="auto" w:fill="FFFFFF"/>
        </w:rPr>
        <w:t xml:space="preserve">. </w:t>
      </w:r>
      <w:r w:rsidRPr="001E35F9">
        <w:rPr>
          <w:rFonts w:cs="Times New Roman"/>
          <w:sz w:val="24"/>
          <w:szCs w:val="24"/>
          <w:shd w:val="clear" w:color="auto" w:fill="FFFFFF"/>
        </w:rPr>
        <w:t>London: Ashgate Publishing Ltd.</w:t>
      </w:r>
    </w:p>
    <w:p w:rsidR="008B3788" w:rsidRPr="001E35F9" w:rsidRDefault="00FE65E7" w:rsidP="00FB11C5">
      <w:pPr>
        <w:rPr>
          <w:rFonts w:cs="Times New Roman"/>
          <w:sz w:val="24"/>
          <w:szCs w:val="24"/>
          <w:shd w:val="clear" w:color="auto" w:fill="FFFFFF"/>
        </w:rPr>
      </w:pPr>
      <w:r w:rsidRPr="001E35F9">
        <w:rPr>
          <w:rFonts w:cs="Times New Roman"/>
          <w:sz w:val="24"/>
          <w:szCs w:val="24"/>
          <w:shd w:val="clear" w:color="auto" w:fill="FFFFFF"/>
        </w:rPr>
        <w:t xml:space="preserve">Citizens Advice (2017) </w:t>
      </w:r>
      <w:r w:rsidR="008B3788" w:rsidRPr="001E35F9">
        <w:rPr>
          <w:rFonts w:cs="Times New Roman"/>
          <w:sz w:val="24"/>
          <w:szCs w:val="24"/>
          <w:shd w:val="clear" w:color="auto" w:fill="FFFFFF"/>
        </w:rPr>
        <w:t>Families with children hit by insecurity</w:t>
      </w:r>
      <w:r w:rsidRPr="001E35F9">
        <w:rPr>
          <w:rFonts w:cs="Times New Roman"/>
          <w:sz w:val="24"/>
          <w:szCs w:val="24"/>
          <w:shd w:val="clear" w:color="auto" w:fill="FFFFFF"/>
        </w:rPr>
        <w:t xml:space="preserve"> in the private rented sector. Available at: </w:t>
      </w:r>
      <w:r w:rsidR="008B3788" w:rsidRPr="001E35F9">
        <w:rPr>
          <w:rFonts w:cs="Times New Roman"/>
          <w:sz w:val="24"/>
          <w:szCs w:val="24"/>
          <w:shd w:val="clear" w:color="auto" w:fill="FFFFFF"/>
        </w:rPr>
        <w:t>www.citizensadvice.org.uk/families-with-children-hit-by-insecuri</w:t>
      </w:r>
      <w:r w:rsidRPr="001E35F9">
        <w:rPr>
          <w:rFonts w:cs="Times New Roman"/>
          <w:sz w:val="24"/>
          <w:szCs w:val="24"/>
          <w:shd w:val="clear" w:color="auto" w:fill="FFFFFF"/>
        </w:rPr>
        <w:t>ty-in-the-private-rented-sector</w:t>
      </w:r>
      <w:r w:rsidR="008B3788" w:rsidRPr="001E35F9">
        <w:rPr>
          <w:rFonts w:cs="Times New Roman"/>
          <w:sz w:val="24"/>
          <w:szCs w:val="24"/>
          <w:shd w:val="clear" w:color="auto" w:fill="FFFFFF"/>
        </w:rPr>
        <w:t xml:space="preserve"> </w:t>
      </w:r>
      <w:r w:rsidRPr="001E35F9">
        <w:rPr>
          <w:rFonts w:cs="Times New Roman"/>
          <w:sz w:val="24"/>
          <w:szCs w:val="24"/>
          <w:shd w:val="clear" w:color="auto" w:fill="FFFFFF"/>
        </w:rPr>
        <w:t>(accessed 24</w:t>
      </w:r>
      <w:r w:rsidRPr="001E35F9">
        <w:rPr>
          <w:rFonts w:cs="Times New Roman"/>
          <w:sz w:val="24"/>
          <w:szCs w:val="24"/>
          <w:shd w:val="clear" w:color="auto" w:fill="FFFFFF"/>
          <w:vertAlign w:val="superscript"/>
        </w:rPr>
        <w:t>th</w:t>
      </w:r>
      <w:r w:rsidRPr="001E35F9">
        <w:rPr>
          <w:rFonts w:cs="Times New Roman"/>
          <w:sz w:val="24"/>
          <w:szCs w:val="24"/>
          <w:shd w:val="clear" w:color="auto" w:fill="FFFFFF"/>
        </w:rPr>
        <w:t xml:space="preserve"> May </w:t>
      </w:r>
      <w:r w:rsidR="008B3788" w:rsidRPr="001E35F9">
        <w:rPr>
          <w:rFonts w:cs="Times New Roman"/>
          <w:sz w:val="24"/>
          <w:szCs w:val="24"/>
          <w:shd w:val="clear" w:color="auto" w:fill="FFFFFF"/>
        </w:rPr>
        <w:t>2017</w:t>
      </w:r>
      <w:r w:rsidRPr="001E35F9">
        <w:rPr>
          <w:rFonts w:cs="Times New Roman"/>
          <w:sz w:val="24"/>
          <w:szCs w:val="24"/>
          <w:shd w:val="clear" w:color="auto" w:fill="FFFFFF"/>
        </w:rPr>
        <w:t>)</w:t>
      </w:r>
    </w:p>
    <w:p w:rsidR="008B3788" w:rsidRPr="001E35F9" w:rsidRDefault="00FE65E7" w:rsidP="00FB11C5">
      <w:pPr>
        <w:rPr>
          <w:rFonts w:cs="Times New Roman"/>
          <w:sz w:val="24"/>
          <w:szCs w:val="24"/>
          <w:shd w:val="clear" w:color="auto" w:fill="FFFFFF"/>
        </w:rPr>
      </w:pPr>
      <w:r w:rsidRPr="001E35F9">
        <w:rPr>
          <w:rFonts w:cs="Times New Roman"/>
          <w:sz w:val="24"/>
          <w:szCs w:val="24"/>
          <w:shd w:val="clear" w:color="auto" w:fill="FFFFFF"/>
        </w:rPr>
        <w:t>Chard R and Walker G (2016)</w:t>
      </w:r>
      <w:r w:rsidR="008B3788" w:rsidRPr="001E35F9">
        <w:rPr>
          <w:rFonts w:cs="Times New Roman"/>
          <w:sz w:val="24"/>
          <w:szCs w:val="24"/>
          <w:shd w:val="clear" w:color="auto" w:fill="FFFFFF"/>
        </w:rPr>
        <w:t xml:space="preserve"> Living with fuel poverty in older age: coping strategies and their problematic implications. </w:t>
      </w:r>
      <w:r w:rsidR="008B3788" w:rsidRPr="001E35F9">
        <w:rPr>
          <w:rFonts w:cs="Times New Roman"/>
          <w:i/>
          <w:iCs/>
          <w:sz w:val="24"/>
          <w:szCs w:val="24"/>
          <w:shd w:val="clear" w:color="auto" w:fill="FFFFFF"/>
        </w:rPr>
        <w:t>Energy Research &amp; Social Science</w:t>
      </w:r>
      <w:r w:rsidRPr="001E35F9">
        <w:rPr>
          <w:rFonts w:cs="Times New Roman"/>
          <w:sz w:val="24"/>
          <w:szCs w:val="24"/>
          <w:shd w:val="clear" w:color="auto" w:fill="FFFFFF"/>
        </w:rPr>
        <w:t xml:space="preserve"> </w:t>
      </w:r>
      <w:r w:rsidR="008B3788" w:rsidRPr="001E35F9">
        <w:rPr>
          <w:rFonts w:cs="Times New Roman"/>
          <w:i/>
          <w:iCs/>
          <w:sz w:val="24"/>
          <w:szCs w:val="24"/>
          <w:shd w:val="clear" w:color="auto" w:fill="FFFFFF"/>
        </w:rPr>
        <w:t>18</w:t>
      </w:r>
      <w:r w:rsidRPr="001E35F9">
        <w:rPr>
          <w:rFonts w:cs="Times New Roman"/>
          <w:sz w:val="24"/>
          <w:szCs w:val="24"/>
          <w:shd w:val="clear" w:color="auto" w:fill="FFFFFF"/>
        </w:rPr>
        <w:t>:</w:t>
      </w:r>
      <w:r w:rsidR="008B3788" w:rsidRPr="001E35F9">
        <w:rPr>
          <w:rFonts w:cs="Times New Roman"/>
          <w:sz w:val="24"/>
          <w:szCs w:val="24"/>
          <w:shd w:val="clear" w:color="auto" w:fill="FFFFFF"/>
        </w:rPr>
        <w:t xml:space="preserve"> 62-70.</w:t>
      </w:r>
    </w:p>
    <w:p w:rsidR="008B3788" w:rsidRPr="001E35F9" w:rsidRDefault="00FE65E7" w:rsidP="00FB11C5">
      <w:pPr>
        <w:rPr>
          <w:rFonts w:cs="Times New Roman"/>
          <w:sz w:val="24"/>
          <w:szCs w:val="24"/>
          <w:shd w:val="clear" w:color="auto" w:fill="FFFFFF"/>
        </w:rPr>
      </w:pPr>
      <w:r w:rsidRPr="001E35F9">
        <w:rPr>
          <w:rFonts w:cs="Times New Roman"/>
          <w:sz w:val="24"/>
          <w:szCs w:val="24"/>
          <w:shd w:val="clear" w:color="auto" w:fill="FFFFFF"/>
        </w:rPr>
        <w:t>Commins P (2004)</w:t>
      </w:r>
      <w:r w:rsidR="008B3788" w:rsidRPr="001E35F9">
        <w:rPr>
          <w:rFonts w:cs="Times New Roman"/>
          <w:sz w:val="24"/>
          <w:szCs w:val="24"/>
          <w:shd w:val="clear" w:color="auto" w:fill="FFFFFF"/>
        </w:rPr>
        <w:t xml:space="preserve"> Poverty and social exclusion in rural areas: characteristics, processes and research </w:t>
      </w:r>
      <w:r w:rsidRPr="001E35F9">
        <w:rPr>
          <w:rFonts w:cs="Times New Roman"/>
          <w:sz w:val="24"/>
          <w:szCs w:val="24"/>
          <w:shd w:val="clear" w:color="auto" w:fill="FFFFFF"/>
        </w:rPr>
        <w:t>issues.</w:t>
      </w:r>
      <w:r w:rsidR="008B3788" w:rsidRPr="001E35F9">
        <w:rPr>
          <w:rFonts w:cs="Times New Roman"/>
          <w:sz w:val="24"/>
          <w:szCs w:val="24"/>
          <w:shd w:val="clear" w:color="auto" w:fill="FFFFFF"/>
        </w:rPr>
        <w:t> </w:t>
      </w:r>
      <w:r w:rsidR="008B3788" w:rsidRPr="001E35F9">
        <w:rPr>
          <w:rFonts w:cs="Times New Roman"/>
          <w:i/>
          <w:iCs/>
          <w:sz w:val="24"/>
          <w:szCs w:val="24"/>
          <w:shd w:val="clear" w:color="auto" w:fill="FFFFFF"/>
        </w:rPr>
        <w:t>Sociologia Ruralis</w:t>
      </w:r>
      <w:r w:rsidRPr="001E35F9">
        <w:rPr>
          <w:rFonts w:cs="Times New Roman"/>
          <w:sz w:val="24"/>
          <w:szCs w:val="24"/>
          <w:shd w:val="clear" w:color="auto" w:fill="FFFFFF"/>
        </w:rPr>
        <w:t xml:space="preserve"> </w:t>
      </w:r>
      <w:r w:rsidR="008B3788" w:rsidRPr="001E35F9">
        <w:rPr>
          <w:rFonts w:cs="Times New Roman"/>
          <w:iCs/>
          <w:sz w:val="24"/>
          <w:szCs w:val="24"/>
          <w:shd w:val="clear" w:color="auto" w:fill="FFFFFF"/>
        </w:rPr>
        <w:t>44</w:t>
      </w:r>
      <w:r w:rsidRPr="001E35F9">
        <w:rPr>
          <w:rFonts w:cs="Times New Roman"/>
          <w:sz w:val="24"/>
          <w:szCs w:val="24"/>
          <w:shd w:val="clear" w:color="auto" w:fill="FFFFFF"/>
        </w:rPr>
        <w:t>(1):</w:t>
      </w:r>
      <w:r w:rsidR="008B3788" w:rsidRPr="001E35F9">
        <w:rPr>
          <w:rFonts w:cs="Times New Roman"/>
          <w:sz w:val="24"/>
          <w:szCs w:val="24"/>
          <w:shd w:val="clear" w:color="auto" w:fill="FFFFFF"/>
        </w:rPr>
        <w:t xml:space="preserve"> 60-75.</w:t>
      </w:r>
    </w:p>
    <w:p w:rsidR="005F6025" w:rsidRPr="005F6025" w:rsidRDefault="005F6025" w:rsidP="00FB11C5">
      <w:pPr>
        <w:rPr>
          <w:rFonts w:cs="Times New Roman"/>
          <w:i/>
          <w:sz w:val="24"/>
          <w:szCs w:val="24"/>
          <w:shd w:val="clear" w:color="auto" w:fill="FFFFFF"/>
        </w:rPr>
      </w:pPr>
      <w:r>
        <w:rPr>
          <w:rFonts w:cs="Times New Roman"/>
          <w:sz w:val="24"/>
          <w:szCs w:val="24"/>
          <w:shd w:val="clear" w:color="auto" w:fill="FFFFFF"/>
        </w:rPr>
        <w:t xml:space="preserve">Crossley S (2017) In Their Place: The Imagined Geographies of Poverty. </w:t>
      </w:r>
      <w:r>
        <w:rPr>
          <w:rFonts w:cs="Times New Roman"/>
          <w:i/>
          <w:sz w:val="24"/>
          <w:szCs w:val="24"/>
          <w:shd w:val="clear" w:color="auto" w:fill="FFFFFF"/>
        </w:rPr>
        <w:t xml:space="preserve">Pluto Press: London. </w:t>
      </w:r>
    </w:p>
    <w:p w:rsidR="008B3788" w:rsidRPr="001E35F9" w:rsidRDefault="00FE65E7" w:rsidP="00FB11C5">
      <w:pPr>
        <w:rPr>
          <w:rFonts w:cs="Times New Roman"/>
          <w:sz w:val="24"/>
          <w:szCs w:val="24"/>
          <w:shd w:val="clear" w:color="auto" w:fill="FFFFFF"/>
        </w:rPr>
      </w:pPr>
      <w:r w:rsidRPr="001E35F9">
        <w:rPr>
          <w:rFonts w:cs="Times New Roman"/>
          <w:sz w:val="24"/>
          <w:szCs w:val="24"/>
          <w:shd w:val="clear" w:color="auto" w:fill="FFFFFF"/>
        </w:rPr>
        <w:t>Cutter SL, Boruff BJ and Shirley WL (2003)</w:t>
      </w:r>
      <w:r w:rsidR="008B3788" w:rsidRPr="001E35F9">
        <w:rPr>
          <w:rFonts w:cs="Times New Roman"/>
          <w:sz w:val="24"/>
          <w:szCs w:val="24"/>
          <w:shd w:val="clear" w:color="auto" w:fill="FFFFFF"/>
        </w:rPr>
        <w:t xml:space="preserve"> Social vulnerability to environmental hazards. </w:t>
      </w:r>
      <w:r w:rsidR="008B3788" w:rsidRPr="001E35F9">
        <w:rPr>
          <w:rFonts w:cs="Times New Roman"/>
          <w:i/>
          <w:iCs/>
          <w:sz w:val="24"/>
          <w:szCs w:val="24"/>
          <w:shd w:val="clear" w:color="auto" w:fill="FFFFFF"/>
        </w:rPr>
        <w:t>Social science quarterly</w:t>
      </w:r>
      <w:r w:rsidRPr="001E35F9">
        <w:rPr>
          <w:rFonts w:cs="Times New Roman"/>
          <w:sz w:val="24"/>
          <w:szCs w:val="24"/>
          <w:shd w:val="clear" w:color="auto" w:fill="FFFFFF"/>
        </w:rPr>
        <w:t xml:space="preserve"> </w:t>
      </w:r>
      <w:r w:rsidR="008B3788" w:rsidRPr="001E35F9">
        <w:rPr>
          <w:rFonts w:cs="Times New Roman"/>
          <w:iCs/>
          <w:sz w:val="24"/>
          <w:szCs w:val="24"/>
          <w:shd w:val="clear" w:color="auto" w:fill="FFFFFF"/>
        </w:rPr>
        <w:t>84</w:t>
      </w:r>
      <w:r w:rsidRPr="001E35F9">
        <w:rPr>
          <w:rFonts w:cs="Times New Roman"/>
          <w:sz w:val="24"/>
          <w:szCs w:val="24"/>
          <w:shd w:val="clear" w:color="auto" w:fill="FFFFFF"/>
        </w:rPr>
        <w:t>(2):</w:t>
      </w:r>
      <w:r w:rsidR="008B3788" w:rsidRPr="001E35F9">
        <w:rPr>
          <w:rFonts w:cs="Times New Roman"/>
          <w:sz w:val="24"/>
          <w:szCs w:val="24"/>
          <w:shd w:val="clear" w:color="auto" w:fill="FFFFFF"/>
        </w:rPr>
        <w:t xml:space="preserve"> 242-261.</w:t>
      </w:r>
    </w:p>
    <w:p w:rsidR="00227828" w:rsidRPr="001E35F9" w:rsidRDefault="00FE65E7" w:rsidP="00FB11C5">
      <w:pPr>
        <w:rPr>
          <w:rFonts w:eastAsia="Times New Roman" w:cs="Times New Roman"/>
          <w:sz w:val="24"/>
          <w:szCs w:val="24"/>
          <w:lang w:eastAsia="en-GB"/>
        </w:rPr>
      </w:pPr>
      <w:r w:rsidRPr="00B13E6D">
        <w:rPr>
          <w:rFonts w:eastAsia="Times New Roman" w:cs="Times New Roman"/>
          <w:sz w:val="24"/>
          <w:szCs w:val="24"/>
          <w:lang w:eastAsia="en-GB"/>
        </w:rPr>
        <w:t xml:space="preserve">Davis K, Fisher A, Kingsbury B, </w:t>
      </w:r>
      <w:r w:rsidR="00227828" w:rsidRPr="00B13E6D">
        <w:rPr>
          <w:rFonts w:eastAsia="Times New Roman" w:cs="Times New Roman"/>
          <w:sz w:val="24"/>
          <w:szCs w:val="24"/>
          <w:lang w:eastAsia="en-GB"/>
        </w:rPr>
        <w:t>Merry</w:t>
      </w:r>
      <w:r w:rsidR="00B13E6D" w:rsidRPr="00B13E6D">
        <w:rPr>
          <w:rFonts w:eastAsia="Times New Roman" w:cs="Times New Roman"/>
          <w:sz w:val="24"/>
          <w:szCs w:val="24"/>
          <w:lang w:eastAsia="en-GB"/>
        </w:rPr>
        <w:t xml:space="preserve"> SE</w:t>
      </w:r>
      <w:r w:rsidR="00227828" w:rsidRPr="00B13E6D">
        <w:rPr>
          <w:rFonts w:eastAsia="Times New Roman" w:cs="Times New Roman"/>
          <w:sz w:val="24"/>
          <w:szCs w:val="24"/>
          <w:lang w:eastAsia="en-GB"/>
        </w:rPr>
        <w:t xml:space="preserve"> </w:t>
      </w:r>
      <w:r w:rsidRPr="001E35F9">
        <w:rPr>
          <w:rFonts w:eastAsia="Times New Roman" w:cs="Times New Roman"/>
          <w:sz w:val="24"/>
          <w:szCs w:val="24"/>
          <w:lang w:eastAsia="en-GB"/>
        </w:rPr>
        <w:t>(2012)</w:t>
      </w:r>
      <w:r w:rsidR="00227828" w:rsidRPr="001E35F9">
        <w:rPr>
          <w:rFonts w:eastAsia="Times New Roman" w:cs="Times New Roman"/>
          <w:sz w:val="24"/>
          <w:szCs w:val="24"/>
          <w:lang w:eastAsia="en-GB"/>
        </w:rPr>
        <w:t xml:space="preserve"> </w:t>
      </w:r>
      <w:r w:rsidR="00227828" w:rsidRPr="001E35F9">
        <w:rPr>
          <w:rFonts w:eastAsia="Times New Roman" w:cs="Times New Roman"/>
          <w:i/>
          <w:sz w:val="24"/>
          <w:szCs w:val="24"/>
          <w:lang w:eastAsia="en-GB"/>
        </w:rPr>
        <w:t>Governance by Indicators: Global Power Throu</w:t>
      </w:r>
      <w:r w:rsidRPr="001E35F9">
        <w:rPr>
          <w:rFonts w:eastAsia="Times New Roman" w:cs="Times New Roman"/>
          <w:i/>
          <w:sz w:val="24"/>
          <w:szCs w:val="24"/>
          <w:lang w:eastAsia="en-GB"/>
        </w:rPr>
        <w:t>gh Classification and Rankings.</w:t>
      </w:r>
      <w:r w:rsidRPr="001E35F9">
        <w:rPr>
          <w:rFonts w:eastAsia="Times New Roman" w:cs="Times New Roman"/>
          <w:sz w:val="24"/>
          <w:szCs w:val="24"/>
          <w:lang w:eastAsia="en-GB"/>
        </w:rPr>
        <w:t xml:space="preserve"> Oxford: </w:t>
      </w:r>
      <w:r w:rsidR="00227828" w:rsidRPr="001E35F9">
        <w:rPr>
          <w:rFonts w:eastAsia="Times New Roman" w:cs="Times New Roman"/>
          <w:sz w:val="24"/>
          <w:szCs w:val="24"/>
          <w:lang w:eastAsia="en-GB"/>
        </w:rPr>
        <w:t xml:space="preserve">Oxford University Press. </w:t>
      </w:r>
    </w:p>
    <w:p w:rsidR="008B3788" w:rsidRPr="001E35F9" w:rsidRDefault="00FE65E7" w:rsidP="00FB11C5">
      <w:pPr>
        <w:rPr>
          <w:rFonts w:cs="Times New Roman"/>
          <w:sz w:val="24"/>
          <w:szCs w:val="24"/>
          <w:shd w:val="clear" w:color="auto" w:fill="FFFFFF"/>
        </w:rPr>
      </w:pPr>
      <w:r w:rsidRPr="001E35F9">
        <w:rPr>
          <w:rFonts w:cs="Times New Roman"/>
          <w:sz w:val="24"/>
          <w:szCs w:val="24"/>
          <w:shd w:val="clear" w:color="auto" w:fill="FFFFFF"/>
        </w:rPr>
        <w:t>Day R, Walker G and Simcock N (2016)</w:t>
      </w:r>
      <w:r w:rsidR="008B3788" w:rsidRPr="001E35F9">
        <w:rPr>
          <w:rFonts w:cs="Times New Roman"/>
          <w:sz w:val="24"/>
          <w:szCs w:val="24"/>
          <w:shd w:val="clear" w:color="auto" w:fill="FFFFFF"/>
        </w:rPr>
        <w:t xml:space="preserve"> Conceptualising energy use and energy poverty using a capabilities framework. </w:t>
      </w:r>
      <w:r w:rsidR="008B3788" w:rsidRPr="001E35F9">
        <w:rPr>
          <w:rFonts w:cs="Times New Roman"/>
          <w:i/>
          <w:iCs/>
          <w:sz w:val="24"/>
          <w:szCs w:val="24"/>
          <w:shd w:val="clear" w:color="auto" w:fill="FFFFFF"/>
        </w:rPr>
        <w:t>Energy Policy</w:t>
      </w:r>
      <w:r w:rsidR="008B3788" w:rsidRPr="001E35F9">
        <w:rPr>
          <w:rFonts w:cs="Times New Roman"/>
          <w:sz w:val="24"/>
          <w:szCs w:val="24"/>
          <w:shd w:val="clear" w:color="auto" w:fill="FFFFFF"/>
        </w:rPr>
        <w:t> </w:t>
      </w:r>
      <w:r w:rsidR="008B3788" w:rsidRPr="001E35F9">
        <w:rPr>
          <w:rFonts w:cs="Times New Roman"/>
          <w:iCs/>
          <w:sz w:val="24"/>
          <w:szCs w:val="24"/>
          <w:shd w:val="clear" w:color="auto" w:fill="FFFFFF"/>
        </w:rPr>
        <w:t>93</w:t>
      </w:r>
      <w:r w:rsidRPr="001E35F9">
        <w:rPr>
          <w:rFonts w:cs="Times New Roman"/>
          <w:sz w:val="24"/>
          <w:szCs w:val="24"/>
          <w:shd w:val="clear" w:color="auto" w:fill="FFFFFF"/>
        </w:rPr>
        <w:t>:</w:t>
      </w:r>
      <w:r w:rsidR="008B3788" w:rsidRPr="001E35F9">
        <w:rPr>
          <w:rFonts w:cs="Times New Roman"/>
          <w:sz w:val="24"/>
          <w:szCs w:val="24"/>
          <w:shd w:val="clear" w:color="auto" w:fill="FFFFFF"/>
        </w:rPr>
        <w:t xml:space="preserve"> 255-264.</w:t>
      </w:r>
    </w:p>
    <w:p w:rsidR="008B3788" w:rsidRPr="001E35F9" w:rsidRDefault="008B3788" w:rsidP="00FB11C5">
      <w:pPr>
        <w:rPr>
          <w:rFonts w:cs="Times New Roman"/>
          <w:sz w:val="24"/>
          <w:szCs w:val="24"/>
          <w:shd w:val="clear" w:color="auto" w:fill="FFFFFF"/>
        </w:rPr>
      </w:pPr>
      <w:r w:rsidRPr="001E35F9">
        <w:rPr>
          <w:rFonts w:cs="Times New Roman"/>
          <w:sz w:val="24"/>
          <w:szCs w:val="24"/>
          <w:shd w:val="clear" w:color="auto" w:fill="FFFFFF"/>
        </w:rPr>
        <w:t>Department for Energy an</w:t>
      </w:r>
      <w:r w:rsidR="00FE65E7" w:rsidRPr="001E35F9">
        <w:rPr>
          <w:rFonts w:cs="Times New Roman"/>
          <w:sz w:val="24"/>
          <w:szCs w:val="24"/>
          <w:shd w:val="clear" w:color="auto" w:fill="FFFFFF"/>
        </w:rPr>
        <w:t xml:space="preserve">d Climate Change (DECC) (2014) </w:t>
      </w:r>
      <w:r w:rsidRPr="001E35F9">
        <w:rPr>
          <w:rFonts w:cs="Times New Roman"/>
          <w:sz w:val="24"/>
          <w:szCs w:val="24"/>
          <w:shd w:val="clear" w:color="auto" w:fill="FFFFFF"/>
        </w:rPr>
        <w:t>2012 s</w:t>
      </w:r>
      <w:r w:rsidR="00FE65E7" w:rsidRPr="001E35F9">
        <w:rPr>
          <w:rFonts w:cs="Times New Roman"/>
          <w:sz w:val="24"/>
          <w:szCs w:val="24"/>
          <w:shd w:val="clear" w:color="auto" w:fill="FFFFFF"/>
        </w:rPr>
        <w:t xml:space="preserve">ub-regional fuel poverty data. Available at: </w:t>
      </w:r>
      <w:r w:rsidRPr="001E35F9">
        <w:rPr>
          <w:rFonts w:cs="Times New Roman"/>
          <w:sz w:val="24"/>
          <w:szCs w:val="24"/>
          <w:shd w:val="clear" w:color="auto" w:fill="FFFFFF"/>
        </w:rPr>
        <w:t>https://www.gov.uk/government/collections/fuel-</w:t>
      </w:r>
      <w:r w:rsidR="00FE65E7" w:rsidRPr="001E35F9">
        <w:rPr>
          <w:rFonts w:cs="Times New Roman"/>
          <w:sz w:val="24"/>
          <w:szCs w:val="24"/>
          <w:shd w:val="clear" w:color="auto" w:fill="FFFFFF"/>
        </w:rPr>
        <w:t>poverty-sub-regional-statistics</w:t>
      </w:r>
      <w:r w:rsidRPr="001E35F9">
        <w:rPr>
          <w:rFonts w:cs="Times New Roman"/>
          <w:sz w:val="24"/>
          <w:szCs w:val="24"/>
          <w:shd w:val="clear" w:color="auto" w:fill="FFFFFF"/>
        </w:rPr>
        <w:t xml:space="preserve"> </w:t>
      </w:r>
      <w:r w:rsidR="00FE65E7" w:rsidRPr="001E35F9">
        <w:rPr>
          <w:rFonts w:cs="Times New Roman"/>
          <w:sz w:val="24"/>
          <w:szCs w:val="24"/>
          <w:shd w:val="clear" w:color="auto" w:fill="FFFFFF"/>
        </w:rPr>
        <w:t>(accessed 16th June 2017).</w:t>
      </w:r>
    </w:p>
    <w:p w:rsidR="008B3788" w:rsidRPr="001E35F9" w:rsidRDefault="008B3788" w:rsidP="00FB11C5">
      <w:pPr>
        <w:rPr>
          <w:rFonts w:cs="Times New Roman"/>
          <w:sz w:val="24"/>
          <w:szCs w:val="24"/>
          <w:shd w:val="clear" w:color="auto" w:fill="FFFFFF"/>
        </w:rPr>
      </w:pPr>
      <w:r w:rsidRPr="001E35F9">
        <w:rPr>
          <w:rFonts w:cs="Times New Roman"/>
          <w:sz w:val="24"/>
          <w:szCs w:val="24"/>
          <w:shd w:val="clear" w:color="auto" w:fill="FFFFFF"/>
        </w:rPr>
        <w:t>Department for Energy a</w:t>
      </w:r>
      <w:r w:rsidR="00FE65E7" w:rsidRPr="001E35F9">
        <w:rPr>
          <w:rFonts w:cs="Times New Roman"/>
          <w:sz w:val="24"/>
          <w:szCs w:val="24"/>
          <w:shd w:val="clear" w:color="auto" w:fill="FFFFFF"/>
        </w:rPr>
        <w:t>nd Climate Change (DECC) (2016)</w:t>
      </w:r>
      <w:r w:rsidRPr="001E35F9">
        <w:rPr>
          <w:rFonts w:cs="Times New Roman"/>
          <w:sz w:val="24"/>
          <w:szCs w:val="24"/>
          <w:shd w:val="clear" w:color="auto" w:fill="FFFFFF"/>
        </w:rPr>
        <w:t xml:space="preserve"> Fuel Poverty Met</w:t>
      </w:r>
      <w:r w:rsidR="00FE65E7" w:rsidRPr="001E35F9">
        <w:rPr>
          <w:rFonts w:cs="Times New Roman"/>
          <w:sz w:val="24"/>
          <w:szCs w:val="24"/>
          <w:shd w:val="clear" w:color="auto" w:fill="FFFFFF"/>
        </w:rPr>
        <w:t>hodology Handbook. Available at: https://www.gov.uk/government/publications/fuel-poverty-statistics-methodology-handbook (accessed 16th June 2017).</w:t>
      </w:r>
    </w:p>
    <w:p w:rsidR="008B3788" w:rsidRPr="001E35F9" w:rsidRDefault="00FE65E7" w:rsidP="00FB11C5">
      <w:pPr>
        <w:rPr>
          <w:rFonts w:cs="Times New Roman"/>
          <w:sz w:val="24"/>
          <w:szCs w:val="24"/>
          <w:shd w:val="clear" w:color="auto" w:fill="FFFFFF"/>
        </w:rPr>
      </w:pPr>
      <w:r w:rsidRPr="001E35F9">
        <w:rPr>
          <w:rFonts w:cs="Times New Roman"/>
          <w:sz w:val="24"/>
          <w:szCs w:val="24"/>
          <w:shd w:val="clear" w:color="auto" w:fill="FFFFFF"/>
        </w:rPr>
        <w:t>Dietz RD (2002)</w:t>
      </w:r>
      <w:r w:rsidR="008B3788" w:rsidRPr="001E35F9">
        <w:rPr>
          <w:rFonts w:cs="Times New Roman"/>
          <w:sz w:val="24"/>
          <w:szCs w:val="24"/>
          <w:shd w:val="clear" w:color="auto" w:fill="FFFFFF"/>
        </w:rPr>
        <w:t xml:space="preserve"> The estimation of neighborhood effects in the social sciences: An interdisciplinary approach. </w:t>
      </w:r>
      <w:r w:rsidR="008B3788" w:rsidRPr="001E35F9">
        <w:rPr>
          <w:rFonts w:cs="Times New Roman"/>
          <w:i/>
          <w:iCs/>
          <w:sz w:val="24"/>
          <w:szCs w:val="24"/>
          <w:shd w:val="clear" w:color="auto" w:fill="FFFFFF"/>
        </w:rPr>
        <w:t>Social science research</w:t>
      </w:r>
      <w:r w:rsidR="008B3788" w:rsidRPr="001E35F9">
        <w:rPr>
          <w:rFonts w:cs="Times New Roman"/>
          <w:sz w:val="24"/>
          <w:szCs w:val="24"/>
          <w:shd w:val="clear" w:color="auto" w:fill="FFFFFF"/>
        </w:rPr>
        <w:t> </w:t>
      </w:r>
      <w:r w:rsidR="008B3788" w:rsidRPr="001E35F9">
        <w:rPr>
          <w:rFonts w:cs="Times New Roman"/>
          <w:iCs/>
          <w:sz w:val="24"/>
          <w:szCs w:val="24"/>
          <w:shd w:val="clear" w:color="auto" w:fill="FFFFFF"/>
        </w:rPr>
        <w:t>31</w:t>
      </w:r>
      <w:r w:rsidRPr="001E35F9">
        <w:rPr>
          <w:rFonts w:cs="Times New Roman"/>
          <w:sz w:val="24"/>
          <w:szCs w:val="24"/>
          <w:shd w:val="clear" w:color="auto" w:fill="FFFFFF"/>
        </w:rPr>
        <w:t>(4):</w:t>
      </w:r>
      <w:r w:rsidR="008B3788" w:rsidRPr="001E35F9">
        <w:rPr>
          <w:rFonts w:cs="Times New Roman"/>
          <w:sz w:val="24"/>
          <w:szCs w:val="24"/>
          <w:shd w:val="clear" w:color="auto" w:fill="FFFFFF"/>
        </w:rPr>
        <w:t xml:space="preserve"> 539-575.</w:t>
      </w:r>
    </w:p>
    <w:p w:rsidR="008B3788" w:rsidRPr="001E35F9" w:rsidRDefault="00FE65E7" w:rsidP="00FB11C5">
      <w:pPr>
        <w:rPr>
          <w:rFonts w:cs="Times New Roman"/>
          <w:sz w:val="24"/>
          <w:szCs w:val="24"/>
          <w:shd w:val="clear" w:color="auto" w:fill="FFFFFF"/>
        </w:rPr>
      </w:pPr>
      <w:r w:rsidRPr="001E35F9">
        <w:rPr>
          <w:rFonts w:cs="Times New Roman"/>
          <w:sz w:val="24"/>
          <w:szCs w:val="24"/>
          <w:shd w:val="clear" w:color="auto" w:fill="FFFFFF"/>
        </w:rPr>
        <w:t>Dorling D (2001)</w:t>
      </w:r>
      <w:r w:rsidR="008B3788" w:rsidRPr="001E35F9">
        <w:rPr>
          <w:rFonts w:cs="Times New Roman"/>
          <w:sz w:val="24"/>
          <w:szCs w:val="24"/>
          <w:shd w:val="clear" w:color="auto" w:fill="FFFFFF"/>
        </w:rPr>
        <w:t xml:space="preserve"> How much does place matter. </w:t>
      </w:r>
      <w:r w:rsidR="008B3788" w:rsidRPr="001E35F9">
        <w:rPr>
          <w:rFonts w:cs="Times New Roman"/>
          <w:i/>
          <w:iCs/>
          <w:sz w:val="24"/>
          <w:szCs w:val="24"/>
          <w:shd w:val="clear" w:color="auto" w:fill="FFFFFF"/>
        </w:rPr>
        <w:t>Environment and Planning A</w:t>
      </w:r>
      <w:r w:rsidR="008B3788" w:rsidRPr="001E35F9">
        <w:rPr>
          <w:rFonts w:cs="Times New Roman"/>
          <w:sz w:val="24"/>
          <w:szCs w:val="24"/>
          <w:shd w:val="clear" w:color="auto" w:fill="FFFFFF"/>
        </w:rPr>
        <w:t>, </w:t>
      </w:r>
      <w:r w:rsidR="008B3788" w:rsidRPr="001E35F9">
        <w:rPr>
          <w:rFonts w:cs="Times New Roman"/>
          <w:iCs/>
          <w:sz w:val="24"/>
          <w:szCs w:val="24"/>
          <w:shd w:val="clear" w:color="auto" w:fill="FFFFFF"/>
        </w:rPr>
        <w:t>33</w:t>
      </w:r>
      <w:r w:rsidRPr="001E35F9">
        <w:rPr>
          <w:rFonts w:cs="Times New Roman"/>
          <w:sz w:val="24"/>
          <w:szCs w:val="24"/>
          <w:shd w:val="clear" w:color="auto" w:fill="FFFFFF"/>
        </w:rPr>
        <w:t xml:space="preserve">(8): </w:t>
      </w:r>
      <w:r w:rsidR="008B3788" w:rsidRPr="001E35F9">
        <w:rPr>
          <w:rFonts w:cs="Times New Roman"/>
          <w:sz w:val="24"/>
          <w:szCs w:val="24"/>
          <w:shd w:val="clear" w:color="auto" w:fill="FFFFFF"/>
        </w:rPr>
        <w:t>1335-1369.</w:t>
      </w:r>
    </w:p>
    <w:p w:rsidR="008B3788" w:rsidRPr="001E35F9" w:rsidRDefault="00FE65E7" w:rsidP="00FB11C5">
      <w:pPr>
        <w:rPr>
          <w:rFonts w:cs="Times New Roman"/>
          <w:sz w:val="24"/>
          <w:szCs w:val="24"/>
          <w:shd w:val="clear" w:color="auto" w:fill="FFFFFF"/>
        </w:rPr>
      </w:pPr>
      <w:r w:rsidRPr="001E35F9">
        <w:rPr>
          <w:rFonts w:cs="Times New Roman"/>
          <w:sz w:val="24"/>
          <w:szCs w:val="24"/>
          <w:shd w:val="clear" w:color="auto" w:fill="FFFFFF"/>
        </w:rPr>
        <w:t>Fernández-Bilbao A (2011)</w:t>
      </w:r>
      <w:r w:rsidR="008B3788" w:rsidRPr="001E35F9">
        <w:rPr>
          <w:rFonts w:cs="Times New Roman"/>
          <w:sz w:val="24"/>
          <w:szCs w:val="24"/>
          <w:shd w:val="clear" w:color="auto" w:fill="FFFFFF"/>
        </w:rPr>
        <w:t xml:space="preserve"> An ageing population and a changing climate: The case of coastal communities in the UK. </w:t>
      </w:r>
      <w:r w:rsidR="008B3788" w:rsidRPr="001E35F9">
        <w:rPr>
          <w:rFonts w:cs="Times New Roman"/>
          <w:i/>
          <w:iCs/>
          <w:sz w:val="24"/>
          <w:szCs w:val="24"/>
          <w:shd w:val="clear" w:color="auto" w:fill="FFFFFF"/>
        </w:rPr>
        <w:t>Psyecology</w:t>
      </w:r>
      <w:r w:rsidR="008B3788" w:rsidRPr="001E35F9">
        <w:rPr>
          <w:rFonts w:cs="Times New Roman"/>
          <w:sz w:val="24"/>
          <w:szCs w:val="24"/>
          <w:shd w:val="clear" w:color="auto" w:fill="FFFFFF"/>
        </w:rPr>
        <w:t> </w:t>
      </w:r>
      <w:r w:rsidR="008B3788" w:rsidRPr="001E35F9">
        <w:rPr>
          <w:rFonts w:cs="Times New Roman"/>
          <w:iCs/>
          <w:sz w:val="24"/>
          <w:szCs w:val="24"/>
          <w:shd w:val="clear" w:color="auto" w:fill="FFFFFF"/>
        </w:rPr>
        <w:t>2</w:t>
      </w:r>
      <w:r w:rsidRPr="001E35F9">
        <w:rPr>
          <w:rFonts w:cs="Times New Roman"/>
          <w:sz w:val="24"/>
          <w:szCs w:val="24"/>
          <w:shd w:val="clear" w:color="auto" w:fill="FFFFFF"/>
        </w:rPr>
        <w:t>(3):</w:t>
      </w:r>
      <w:r w:rsidR="008B3788" w:rsidRPr="001E35F9">
        <w:rPr>
          <w:rFonts w:cs="Times New Roman"/>
          <w:sz w:val="24"/>
          <w:szCs w:val="24"/>
          <w:shd w:val="clear" w:color="auto" w:fill="FFFFFF"/>
        </w:rPr>
        <w:t xml:space="preserve"> 349-355.</w:t>
      </w:r>
    </w:p>
    <w:p w:rsidR="008B3788" w:rsidRPr="001E35F9" w:rsidRDefault="00FE65E7" w:rsidP="00FB11C5">
      <w:pPr>
        <w:rPr>
          <w:rFonts w:cs="Times New Roman"/>
          <w:sz w:val="24"/>
          <w:szCs w:val="24"/>
          <w:shd w:val="clear" w:color="auto" w:fill="FFFFFF"/>
        </w:rPr>
      </w:pPr>
      <w:r w:rsidRPr="001E35F9">
        <w:rPr>
          <w:rFonts w:cs="Times New Roman"/>
          <w:sz w:val="24"/>
          <w:szCs w:val="24"/>
          <w:shd w:val="clear" w:color="auto" w:fill="FFFFFF"/>
        </w:rPr>
        <w:t>Fotheringham AS, Brunsdon C and Charlton M (2003)</w:t>
      </w:r>
      <w:r w:rsidR="008B3788" w:rsidRPr="001E35F9">
        <w:rPr>
          <w:rFonts w:cs="Times New Roman"/>
          <w:sz w:val="24"/>
          <w:szCs w:val="24"/>
          <w:shd w:val="clear" w:color="auto" w:fill="FFFFFF"/>
        </w:rPr>
        <w:t> </w:t>
      </w:r>
      <w:r w:rsidR="008B3788" w:rsidRPr="001E35F9">
        <w:rPr>
          <w:rFonts w:cs="Times New Roman"/>
          <w:i/>
          <w:iCs/>
          <w:sz w:val="24"/>
          <w:szCs w:val="24"/>
          <w:shd w:val="clear" w:color="auto" w:fill="FFFFFF"/>
        </w:rPr>
        <w:t>Geographically weighted regression: the analysis of spatially varying relationships</w:t>
      </w:r>
      <w:r w:rsidR="008B3788" w:rsidRPr="001E35F9">
        <w:rPr>
          <w:rFonts w:cs="Times New Roman"/>
          <w:sz w:val="24"/>
          <w:szCs w:val="24"/>
          <w:shd w:val="clear" w:color="auto" w:fill="FFFFFF"/>
        </w:rPr>
        <w:t>.</w:t>
      </w:r>
      <w:r w:rsidRPr="001E35F9">
        <w:rPr>
          <w:rFonts w:cs="Times New Roman"/>
          <w:sz w:val="24"/>
          <w:szCs w:val="24"/>
          <w:shd w:val="clear" w:color="auto" w:fill="FFFFFF"/>
        </w:rPr>
        <w:t xml:space="preserve"> </w:t>
      </w:r>
      <w:r w:rsidR="00B13E6D" w:rsidRPr="00B13E6D">
        <w:rPr>
          <w:rFonts w:cs="Times New Roman"/>
          <w:sz w:val="24"/>
          <w:szCs w:val="24"/>
          <w:shd w:val="clear" w:color="auto" w:fill="FFFFFF"/>
        </w:rPr>
        <w:t>Chichester</w:t>
      </w:r>
      <w:r w:rsidRPr="00B13E6D">
        <w:rPr>
          <w:rFonts w:cs="Times New Roman"/>
          <w:sz w:val="24"/>
          <w:szCs w:val="24"/>
          <w:shd w:val="clear" w:color="auto" w:fill="FFFFFF"/>
        </w:rPr>
        <w:t>:</w:t>
      </w:r>
      <w:r w:rsidR="008B3788" w:rsidRPr="00B13E6D">
        <w:rPr>
          <w:rFonts w:cs="Times New Roman"/>
          <w:sz w:val="24"/>
          <w:szCs w:val="24"/>
          <w:shd w:val="clear" w:color="auto" w:fill="FFFFFF"/>
        </w:rPr>
        <w:t xml:space="preserve"> </w:t>
      </w:r>
      <w:r w:rsidR="008B3788" w:rsidRPr="001E35F9">
        <w:rPr>
          <w:rFonts w:cs="Times New Roman"/>
          <w:sz w:val="24"/>
          <w:szCs w:val="24"/>
          <w:shd w:val="clear" w:color="auto" w:fill="FFFFFF"/>
        </w:rPr>
        <w:t>John Wiley &amp; Sons.</w:t>
      </w:r>
    </w:p>
    <w:p w:rsidR="008B3788" w:rsidRPr="001E35F9" w:rsidRDefault="00FE65E7" w:rsidP="00FB11C5">
      <w:pPr>
        <w:rPr>
          <w:rFonts w:cs="Times New Roman"/>
          <w:sz w:val="24"/>
          <w:szCs w:val="24"/>
          <w:shd w:val="clear" w:color="auto" w:fill="FFFFFF"/>
        </w:rPr>
      </w:pPr>
      <w:r w:rsidRPr="001E35F9">
        <w:rPr>
          <w:rFonts w:cs="Times New Roman"/>
          <w:sz w:val="24"/>
          <w:szCs w:val="24"/>
          <w:shd w:val="clear" w:color="auto" w:fill="FFFFFF"/>
        </w:rPr>
        <w:lastRenderedPageBreak/>
        <w:t>Galster G (2001)</w:t>
      </w:r>
      <w:r w:rsidR="008B3788" w:rsidRPr="001E35F9">
        <w:rPr>
          <w:rFonts w:cs="Times New Roman"/>
          <w:sz w:val="24"/>
          <w:szCs w:val="24"/>
          <w:shd w:val="clear" w:color="auto" w:fill="FFFFFF"/>
        </w:rPr>
        <w:t xml:space="preserve"> On the nature of neighbourhood. </w:t>
      </w:r>
      <w:r w:rsidR="008B3788" w:rsidRPr="001E35F9">
        <w:rPr>
          <w:rFonts w:cs="Times New Roman"/>
          <w:i/>
          <w:iCs/>
          <w:sz w:val="24"/>
          <w:szCs w:val="24"/>
          <w:shd w:val="clear" w:color="auto" w:fill="FFFFFF"/>
        </w:rPr>
        <w:t>Urban studies</w:t>
      </w:r>
      <w:r w:rsidRPr="001E35F9">
        <w:rPr>
          <w:rFonts w:cs="Times New Roman"/>
          <w:sz w:val="24"/>
          <w:szCs w:val="24"/>
          <w:shd w:val="clear" w:color="auto" w:fill="FFFFFF"/>
        </w:rPr>
        <w:t xml:space="preserve"> </w:t>
      </w:r>
      <w:r w:rsidR="008B3788" w:rsidRPr="001E35F9">
        <w:rPr>
          <w:rFonts w:cs="Times New Roman"/>
          <w:iCs/>
          <w:sz w:val="24"/>
          <w:szCs w:val="24"/>
          <w:shd w:val="clear" w:color="auto" w:fill="FFFFFF"/>
        </w:rPr>
        <w:t>38</w:t>
      </w:r>
      <w:r w:rsidRPr="001E35F9">
        <w:rPr>
          <w:rFonts w:cs="Times New Roman"/>
          <w:sz w:val="24"/>
          <w:szCs w:val="24"/>
          <w:shd w:val="clear" w:color="auto" w:fill="FFFFFF"/>
        </w:rPr>
        <w:t>(12):</w:t>
      </w:r>
      <w:r w:rsidR="008B3788" w:rsidRPr="001E35F9">
        <w:rPr>
          <w:rFonts w:cs="Times New Roman"/>
          <w:sz w:val="24"/>
          <w:szCs w:val="24"/>
          <w:shd w:val="clear" w:color="auto" w:fill="FFFFFF"/>
        </w:rPr>
        <w:t xml:space="preserve"> 2111-2124.</w:t>
      </w:r>
    </w:p>
    <w:p w:rsidR="008B3788" w:rsidRPr="001E35F9" w:rsidRDefault="00FE65E7" w:rsidP="00FB11C5">
      <w:pPr>
        <w:rPr>
          <w:rFonts w:cs="Times New Roman"/>
          <w:sz w:val="24"/>
          <w:szCs w:val="24"/>
          <w:shd w:val="clear" w:color="auto" w:fill="FFFFFF"/>
        </w:rPr>
      </w:pPr>
      <w:r w:rsidRPr="001E35F9">
        <w:rPr>
          <w:rFonts w:cs="Times New Roman"/>
          <w:sz w:val="24"/>
          <w:szCs w:val="24"/>
          <w:shd w:val="clear" w:color="auto" w:fill="FFFFFF"/>
        </w:rPr>
        <w:t>Gillard R, Snell C and Bevan M (2017)</w:t>
      </w:r>
      <w:r w:rsidR="008B3788" w:rsidRPr="001E35F9">
        <w:rPr>
          <w:rFonts w:cs="Times New Roman"/>
          <w:sz w:val="24"/>
          <w:szCs w:val="24"/>
          <w:shd w:val="clear" w:color="auto" w:fill="FFFFFF"/>
        </w:rPr>
        <w:t xml:space="preserve"> Advancing an energy justice perspective of fuel poverty: Household vulnerability and domestic retrofit policy in the United Kingdom. </w:t>
      </w:r>
      <w:r w:rsidR="008B3788" w:rsidRPr="001E35F9">
        <w:rPr>
          <w:rFonts w:cs="Times New Roman"/>
          <w:i/>
          <w:iCs/>
          <w:sz w:val="24"/>
          <w:szCs w:val="24"/>
          <w:shd w:val="clear" w:color="auto" w:fill="FFFFFF"/>
        </w:rPr>
        <w:t>Energy Research &amp; Social Science</w:t>
      </w:r>
      <w:r w:rsidR="008B3788" w:rsidRPr="001E35F9">
        <w:rPr>
          <w:rFonts w:cs="Times New Roman"/>
          <w:sz w:val="24"/>
          <w:szCs w:val="24"/>
          <w:shd w:val="clear" w:color="auto" w:fill="FFFFFF"/>
        </w:rPr>
        <w:t> </w:t>
      </w:r>
      <w:r w:rsidR="008B3788" w:rsidRPr="001E35F9">
        <w:rPr>
          <w:rFonts w:cs="Times New Roman"/>
          <w:iCs/>
          <w:sz w:val="24"/>
          <w:szCs w:val="24"/>
          <w:shd w:val="clear" w:color="auto" w:fill="FFFFFF"/>
        </w:rPr>
        <w:t>29</w:t>
      </w:r>
      <w:r w:rsidRPr="001E35F9">
        <w:rPr>
          <w:rFonts w:cs="Times New Roman"/>
          <w:sz w:val="24"/>
          <w:szCs w:val="24"/>
          <w:shd w:val="clear" w:color="auto" w:fill="FFFFFF"/>
        </w:rPr>
        <w:t>:</w:t>
      </w:r>
      <w:r w:rsidR="008B3788" w:rsidRPr="001E35F9">
        <w:rPr>
          <w:rFonts w:cs="Times New Roman"/>
          <w:sz w:val="24"/>
          <w:szCs w:val="24"/>
          <w:shd w:val="clear" w:color="auto" w:fill="FFFFFF"/>
        </w:rPr>
        <w:t xml:space="preserve"> 53-61.</w:t>
      </w:r>
    </w:p>
    <w:p w:rsidR="008B3788" w:rsidRPr="001E35F9" w:rsidRDefault="00385464" w:rsidP="00FB11C5">
      <w:pPr>
        <w:rPr>
          <w:rFonts w:cs="Times New Roman"/>
          <w:i/>
          <w:color w:val="FF0000"/>
          <w:sz w:val="24"/>
          <w:szCs w:val="24"/>
          <w:shd w:val="clear" w:color="auto" w:fill="FFFFFF"/>
        </w:rPr>
      </w:pPr>
      <w:r>
        <w:rPr>
          <w:rFonts w:cs="Times New Roman"/>
          <w:sz w:val="24"/>
          <w:szCs w:val="24"/>
          <w:shd w:val="clear" w:color="auto" w:fill="FFFFFF"/>
        </w:rPr>
        <w:t>Gingerbread (2013</w:t>
      </w:r>
      <w:r w:rsidR="00FE65E7" w:rsidRPr="001E35F9">
        <w:rPr>
          <w:rFonts w:cs="Times New Roman"/>
          <w:sz w:val="24"/>
          <w:szCs w:val="24"/>
          <w:shd w:val="clear" w:color="auto" w:fill="FFFFFF"/>
        </w:rPr>
        <w:t>)</w:t>
      </w:r>
      <w:r w:rsidR="008B3788" w:rsidRPr="001E35F9">
        <w:rPr>
          <w:rFonts w:cs="Times New Roman"/>
          <w:sz w:val="24"/>
          <w:szCs w:val="24"/>
          <w:shd w:val="clear" w:color="auto" w:fill="FFFFFF"/>
        </w:rPr>
        <w:t xml:space="preserve"> Paying the price: Single parents in the age of austerity. </w:t>
      </w:r>
      <w:r>
        <w:rPr>
          <w:rFonts w:cs="Times New Roman"/>
          <w:sz w:val="24"/>
          <w:szCs w:val="24"/>
          <w:shd w:val="clear" w:color="auto" w:fill="FFFFFF"/>
        </w:rPr>
        <w:t xml:space="preserve">Report, </w:t>
      </w:r>
      <w:r w:rsidRPr="00385464">
        <w:rPr>
          <w:rFonts w:cs="Times New Roman"/>
          <w:sz w:val="24"/>
          <w:szCs w:val="24"/>
          <w:shd w:val="clear" w:color="auto" w:fill="FFFFFF"/>
        </w:rPr>
        <w:t xml:space="preserve">December. </w:t>
      </w:r>
    </w:p>
    <w:p w:rsidR="008B3788" w:rsidRPr="001E35F9" w:rsidRDefault="00D209C7" w:rsidP="00FB11C5">
      <w:pPr>
        <w:rPr>
          <w:rFonts w:cs="Times New Roman"/>
          <w:sz w:val="24"/>
          <w:szCs w:val="24"/>
          <w:shd w:val="clear" w:color="auto" w:fill="FFFFFF"/>
        </w:rPr>
      </w:pPr>
      <w:r w:rsidRPr="001E35F9">
        <w:rPr>
          <w:rFonts w:cs="Times New Roman"/>
          <w:sz w:val="24"/>
          <w:szCs w:val="24"/>
          <w:shd w:val="clear" w:color="auto" w:fill="FFFFFF"/>
        </w:rPr>
        <w:t>Graham S and Marvin S (1994)</w:t>
      </w:r>
      <w:r w:rsidR="008B3788" w:rsidRPr="001E35F9">
        <w:rPr>
          <w:rFonts w:cs="Times New Roman"/>
          <w:sz w:val="24"/>
          <w:szCs w:val="24"/>
          <w:shd w:val="clear" w:color="auto" w:fill="FFFFFF"/>
        </w:rPr>
        <w:t xml:space="preserve"> Cherry picking and social dumping: utilities in the 1990s. </w:t>
      </w:r>
      <w:r w:rsidR="008B3788" w:rsidRPr="001E35F9">
        <w:rPr>
          <w:rFonts w:cs="Times New Roman"/>
          <w:i/>
          <w:iCs/>
          <w:sz w:val="24"/>
          <w:szCs w:val="24"/>
          <w:shd w:val="clear" w:color="auto" w:fill="FFFFFF"/>
        </w:rPr>
        <w:t>Utilities policy</w:t>
      </w:r>
      <w:r w:rsidR="008B3788" w:rsidRPr="001E35F9">
        <w:rPr>
          <w:rFonts w:cs="Times New Roman"/>
          <w:sz w:val="24"/>
          <w:szCs w:val="24"/>
          <w:shd w:val="clear" w:color="auto" w:fill="FFFFFF"/>
        </w:rPr>
        <w:t> </w:t>
      </w:r>
      <w:r w:rsidR="008B3788" w:rsidRPr="001E35F9">
        <w:rPr>
          <w:rFonts w:cs="Times New Roman"/>
          <w:iCs/>
          <w:sz w:val="24"/>
          <w:szCs w:val="24"/>
          <w:shd w:val="clear" w:color="auto" w:fill="FFFFFF"/>
        </w:rPr>
        <w:t>4</w:t>
      </w:r>
      <w:r w:rsidRPr="001E35F9">
        <w:rPr>
          <w:rFonts w:cs="Times New Roman"/>
          <w:sz w:val="24"/>
          <w:szCs w:val="24"/>
          <w:shd w:val="clear" w:color="auto" w:fill="FFFFFF"/>
        </w:rPr>
        <w:t>(2):</w:t>
      </w:r>
      <w:r w:rsidR="008B3788" w:rsidRPr="001E35F9">
        <w:rPr>
          <w:rFonts w:cs="Times New Roman"/>
          <w:sz w:val="24"/>
          <w:szCs w:val="24"/>
          <w:shd w:val="clear" w:color="auto" w:fill="FFFFFF"/>
        </w:rPr>
        <w:t xml:space="preserve"> 113-119.</w:t>
      </w:r>
    </w:p>
    <w:p w:rsidR="008B3788" w:rsidRPr="001E35F9" w:rsidRDefault="00D209C7" w:rsidP="00FB11C5">
      <w:pPr>
        <w:rPr>
          <w:rFonts w:cs="Times New Roman"/>
          <w:sz w:val="24"/>
          <w:szCs w:val="24"/>
          <w:shd w:val="clear" w:color="auto" w:fill="FFFFFF"/>
        </w:rPr>
      </w:pPr>
      <w:r w:rsidRPr="001E35F9">
        <w:rPr>
          <w:rFonts w:cs="Times New Roman"/>
          <w:sz w:val="24"/>
          <w:szCs w:val="24"/>
          <w:shd w:val="clear" w:color="auto" w:fill="FFFFFF"/>
        </w:rPr>
        <w:t>Graham S and Marvin S (2001)</w:t>
      </w:r>
      <w:r w:rsidR="008B3788" w:rsidRPr="001E35F9">
        <w:rPr>
          <w:rFonts w:cs="Times New Roman"/>
          <w:sz w:val="24"/>
          <w:szCs w:val="24"/>
          <w:shd w:val="clear" w:color="auto" w:fill="FFFFFF"/>
        </w:rPr>
        <w:t> </w:t>
      </w:r>
      <w:r w:rsidR="008B3788" w:rsidRPr="001E35F9">
        <w:rPr>
          <w:rFonts w:cs="Times New Roman"/>
          <w:i/>
          <w:iCs/>
          <w:sz w:val="24"/>
          <w:szCs w:val="24"/>
          <w:shd w:val="clear" w:color="auto" w:fill="FFFFFF"/>
        </w:rPr>
        <w:t>Splintering urbanism: networked infrastructures, technological mobilities and the urban condition</w:t>
      </w:r>
      <w:r w:rsidR="008B3788" w:rsidRPr="001E35F9">
        <w:rPr>
          <w:rFonts w:cs="Times New Roman"/>
          <w:sz w:val="24"/>
          <w:szCs w:val="24"/>
          <w:shd w:val="clear" w:color="auto" w:fill="FFFFFF"/>
        </w:rPr>
        <w:t xml:space="preserve">. </w:t>
      </w:r>
      <w:r w:rsidR="00385464" w:rsidRPr="00385464">
        <w:rPr>
          <w:rFonts w:cs="Times New Roman"/>
          <w:sz w:val="24"/>
          <w:szCs w:val="24"/>
          <w:shd w:val="clear" w:color="auto" w:fill="FFFFFF"/>
        </w:rPr>
        <w:t>London</w:t>
      </w:r>
      <w:r w:rsidRPr="00385464">
        <w:rPr>
          <w:rFonts w:cs="Times New Roman"/>
          <w:sz w:val="24"/>
          <w:szCs w:val="24"/>
          <w:shd w:val="clear" w:color="auto" w:fill="FFFFFF"/>
        </w:rPr>
        <w:t xml:space="preserve">: </w:t>
      </w:r>
      <w:r w:rsidR="00385464" w:rsidRPr="00385464">
        <w:rPr>
          <w:rFonts w:cs="Times New Roman"/>
          <w:sz w:val="24"/>
          <w:szCs w:val="24"/>
          <w:shd w:val="clear" w:color="auto" w:fill="FFFFFF"/>
        </w:rPr>
        <w:t>Routledge</w:t>
      </w:r>
      <w:r w:rsidR="008B3788" w:rsidRPr="00385464">
        <w:rPr>
          <w:rFonts w:cs="Times New Roman"/>
          <w:sz w:val="24"/>
          <w:szCs w:val="24"/>
          <w:shd w:val="clear" w:color="auto" w:fill="FFFFFF"/>
        </w:rPr>
        <w:t>.</w:t>
      </w:r>
    </w:p>
    <w:p w:rsidR="00385464" w:rsidRDefault="008B3788" w:rsidP="00FB11C5">
      <w:pPr>
        <w:rPr>
          <w:rFonts w:cs="Times New Roman"/>
          <w:sz w:val="24"/>
          <w:szCs w:val="24"/>
          <w:shd w:val="clear" w:color="auto" w:fill="FFFFFF"/>
        </w:rPr>
      </w:pPr>
      <w:r w:rsidRPr="001E35F9">
        <w:rPr>
          <w:rFonts w:cs="Times New Roman"/>
          <w:sz w:val="24"/>
          <w:szCs w:val="24"/>
          <w:shd w:val="clear" w:color="auto" w:fill="FFFFFF"/>
        </w:rPr>
        <w:t>Greater</w:t>
      </w:r>
      <w:r w:rsidR="00D209C7" w:rsidRPr="001E35F9">
        <w:rPr>
          <w:rFonts w:cs="Times New Roman"/>
          <w:sz w:val="24"/>
          <w:szCs w:val="24"/>
          <w:shd w:val="clear" w:color="auto" w:fill="FFFFFF"/>
        </w:rPr>
        <w:t xml:space="preserve"> London Authority (GLA) (2015) </w:t>
      </w:r>
      <w:r w:rsidRPr="001E35F9">
        <w:rPr>
          <w:rFonts w:cs="Times New Roman"/>
          <w:sz w:val="24"/>
          <w:szCs w:val="24"/>
          <w:shd w:val="clear" w:color="auto" w:fill="FFFFFF"/>
        </w:rPr>
        <w:t xml:space="preserve">Housing in London 2015: The evidence base for the Mayor’s Housing Strategy. </w:t>
      </w:r>
      <w:r w:rsidR="00385464">
        <w:rPr>
          <w:rFonts w:cs="Times New Roman"/>
          <w:sz w:val="24"/>
          <w:szCs w:val="24"/>
          <w:shd w:val="clear" w:color="auto" w:fill="FFFFFF"/>
        </w:rPr>
        <w:t>Report</w:t>
      </w:r>
      <w:r w:rsidR="00D209C7" w:rsidRPr="001E35F9">
        <w:rPr>
          <w:rFonts w:cs="Times New Roman"/>
          <w:sz w:val="24"/>
          <w:szCs w:val="24"/>
          <w:shd w:val="clear" w:color="auto" w:fill="FFFFFF"/>
        </w:rPr>
        <w:t xml:space="preserve">, </w:t>
      </w:r>
      <w:r w:rsidR="00385464">
        <w:rPr>
          <w:rFonts w:cs="Times New Roman"/>
          <w:sz w:val="24"/>
          <w:szCs w:val="24"/>
          <w:shd w:val="clear" w:color="auto" w:fill="FFFFFF"/>
        </w:rPr>
        <w:t>September.</w:t>
      </w:r>
    </w:p>
    <w:p w:rsidR="008B3788" w:rsidRPr="00385464" w:rsidRDefault="00D209C7" w:rsidP="00FB11C5">
      <w:pPr>
        <w:rPr>
          <w:rFonts w:cs="Times New Roman"/>
          <w:color w:val="FF0000"/>
          <w:sz w:val="24"/>
          <w:szCs w:val="24"/>
          <w:shd w:val="clear" w:color="auto" w:fill="FFFFFF"/>
        </w:rPr>
      </w:pPr>
      <w:r w:rsidRPr="001E35F9">
        <w:rPr>
          <w:rFonts w:cs="Times New Roman"/>
          <w:sz w:val="24"/>
          <w:szCs w:val="24"/>
          <w:shd w:val="clear" w:color="auto" w:fill="FFFFFF"/>
        </w:rPr>
        <w:t>Hall S M, Hards S and Bulkeley H (2013)</w:t>
      </w:r>
      <w:r w:rsidR="008B3788" w:rsidRPr="001E35F9">
        <w:rPr>
          <w:rFonts w:cs="Times New Roman"/>
          <w:sz w:val="24"/>
          <w:szCs w:val="24"/>
          <w:shd w:val="clear" w:color="auto" w:fill="FFFFFF"/>
        </w:rPr>
        <w:t xml:space="preserve"> New approaches to energy: equity, justice and vulnerability. Introduction to the special issue.</w:t>
      </w:r>
      <w:r w:rsidRPr="001E35F9">
        <w:rPr>
          <w:rFonts w:cs="Times New Roman"/>
          <w:color w:val="FF0000"/>
          <w:sz w:val="24"/>
          <w:szCs w:val="24"/>
          <w:shd w:val="clear" w:color="auto" w:fill="FFFFFF"/>
        </w:rPr>
        <w:t xml:space="preserve"> </w:t>
      </w:r>
      <w:r w:rsidR="00385464" w:rsidRPr="00385464">
        <w:rPr>
          <w:rFonts w:cs="Times New Roman"/>
          <w:i/>
          <w:sz w:val="24"/>
          <w:szCs w:val="24"/>
          <w:shd w:val="clear" w:color="auto" w:fill="FFFFFF"/>
        </w:rPr>
        <w:t xml:space="preserve">Local Environment </w:t>
      </w:r>
      <w:r w:rsidR="00385464" w:rsidRPr="00385464">
        <w:rPr>
          <w:rFonts w:cs="Times New Roman"/>
          <w:sz w:val="24"/>
          <w:szCs w:val="24"/>
          <w:shd w:val="clear" w:color="auto" w:fill="FFFFFF"/>
        </w:rPr>
        <w:t xml:space="preserve">18(4): 413-421. </w:t>
      </w:r>
    </w:p>
    <w:p w:rsidR="008B3788" w:rsidRPr="001E35F9" w:rsidRDefault="00D209C7" w:rsidP="00FB11C5">
      <w:pPr>
        <w:rPr>
          <w:rFonts w:cs="Times New Roman"/>
          <w:sz w:val="24"/>
          <w:szCs w:val="24"/>
          <w:shd w:val="clear" w:color="auto" w:fill="FFFFFF"/>
        </w:rPr>
      </w:pPr>
      <w:r w:rsidRPr="001E35F9">
        <w:rPr>
          <w:rFonts w:cs="Times New Roman"/>
          <w:sz w:val="24"/>
          <w:szCs w:val="24"/>
          <w:shd w:val="clear" w:color="auto" w:fill="FFFFFF"/>
        </w:rPr>
        <w:t>Harrison C and Popke J</w:t>
      </w:r>
      <w:r w:rsidR="008B3788" w:rsidRPr="001E35F9">
        <w:rPr>
          <w:rFonts w:cs="Times New Roman"/>
          <w:sz w:val="24"/>
          <w:szCs w:val="24"/>
          <w:shd w:val="clear" w:color="auto" w:fill="FFFFFF"/>
        </w:rPr>
        <w:t xml:space="preserve"> (2011). “Because you got to have heat”: the networked assemblage of energy poverty in Eastern North Carolina. </w:t>
      </w:r>
      <w:r w:rsidR="008B3788" w:rsidRPr="001E35F9">
        <w:rPr>
          <w:rFonts w:cs="Times New Roman"/>
          <w:i/>
          <w:iCs/>
          <w:sz w:val="24"/>
          <w:szCs w:val="24"/>
          <w:shd w:val="clear" w:color="auto" w:fill="FFFFFF"/>
        </w:rPr>
        <w:t>Annals of the Association of American Geographers</w:t>
      </w:r>
      <w:r w:rsidR="008B3788" w:rsidRPr="001E35F9">
        <w:rPr>
          <w:rFonts w:cs="Times New Roman"/>
          <w:sz w:val="24"/>
          <w:szCs w:val="24"/>
          <w:shd w:val="clear" w:color="auto" w:fill="FFFFFF"/>
        </w:rPr>
        <w:t> </w:t>
      </w:r>
      <w:r w:rsidR="008B3788" w:rsidRPr="001E35F9">
        <w:rPr>
          <w:rFonts w:cs="Times New Roman"/>
          <w:iCs/>
          <w:sz w:val="24"/>
          <w:szCs w:val="24"/>
          <w:shd w:val="clear" w:color="auto" w:fill="FFFFFF"/>
        </w:rPr>
        <w:t>101</w:t>
      </w:r>
      <w:r w:rsidRPr="001E35F9">
        <w:rPr>
          <w:rFonts w:cs="Times New Roman"/>
          <w:sz w:val="24"/>
          <w:szCs w:val="24"/>
          <w:shd w:val="clear" w:color="auto" w:fill="FFFFFF"/>
        </w:rPr>
        <w:t>(4):</w:t>
      </w:r>
      <w:r w:rsidR="008B3788" w:rsidRPr="001E35F9">
        <w:rPr>
          <w:rFonts w:cs="Times New Roman"/>
          <w:sz w:val="24"/>
          <w:szCs w:val="24"/>
          <w:shd w:val="clear" w:color="auto" w:fill="FFFFFF"/>
        </w:rPr>
        <w:t xml:space="preserve"> 949-961.</w:t>
      </w:r>
    </w:p>
    <w:p w:rsidR="008B3788" w:rsidRPr="001E35F9" w:rsidRDefault="00D209C7" w:rsidP="00FB11C5">
      <w:pPr>
        <w:rPr>
          <w:rFonts w:cs="Times New Roman"/>
          <w:sz w:val="24"/>
          <w:szCs w:val="24"/>
          <w:shd w:val="clear" w:color="auto" w:fill="FFFFFF"/>
        </w:rPr>
      </w:pPr>
      <w:r w:rsidRPr="001E35F9">
        <w:rPr>
          <w:rFonts w:cs="Times New Roman"/>
          <w:sz w:val="24"/>
          <w:szCs w:val="24"/>
          <w:shd w:val="clear" w:color="auto" w:fill="FFFFFF"/>
        </w:rPr>
        <w:t>Healy JD and Clinch J</w:t>
      </w:r>
      <w:r w:rsidR="008B3788" w:rsidRPr="001E35F9">
        <w:rPr>
          <w:rFonts w:cs="Times New Roman"/>
          <w:sz w:val="24"/>
          <w:szCs w:val="24"/>
          <w:shd w:val="clear" w:color="auto" w:fill="FFFFFF"/>
        </w:rPr>
        <w:t>P</w:t>
      </w:r>
      <w:r w:rsidRPr="001E35F9">
        <w:rPr>
          <w:rFonts w:cs="Times New Roman"/>
          <w:sz w:val="24"/>
          <w:szCs w:val="24"/>
          <w:shd w:val="clear" w:color="auto" w:fill="FFFFFF"/>
        </w:rPr>
        <w:t xml:space="preserve"> (2002)</w:t>
      </w:r>
      <w:r w:rsidR="008B3788" w:rsidRPr="001E35F9">
        <w:rPr>
          <w:rFonts w:cs="Times New Roman"/>
          <w:sz w:val="24"/>
          <w:szCs w:val="24"/>
          <w:shd w:val="clear" w:color="auto" w:fill="FFFFFF"/>
        </w:rPr>
        <w:t xml:space="preserve"> Fuel poverty, thermal comfort and occupancy: results of a national household-survey in Ireland. </w:t>
      </w:r>
      <w:r w:rsidR="008B3788" w:rsidRPr="001E35F9">
        <w:rPr>
          <w:rFonts w:cs="Times New Roman"/>
          <w:i/>
          <w:iCs/>
          <w:sz w:val="24"/>
          <w:szCs w:val="24"/>
          <w:shd w:val="clear" w:color="auto" w:fill="FFFFFF"/>
        </w:rPr>
        <w:t>Applied Energy</w:t>
      </w:r>
      <w:r w:rsidRPr="001E35F9">
        <w:rPr>
          <w:rFonts w:cs="Times New Roman"/>
          <w:sz w:val="24"/>
          <w:szCs w:val="24"/>
          <w:shd w:val="clear" w:color="auto" w:fill="FFFFFF"/>
        </w:rPr>
        <w:t xml:space="preserve"> </w:t>
      </w:r>
      <w:r w:rsidR="008B3788" w:rsidRPr="001E35F9">
        <w:rPr>
          <w:rFonts w:cs="Times New Roman"/>
          <w:iCs/>
          <w:sz w:val="24"/>
          <w:szCs w:val="24"/>
          <w:shd w:val="clear" w:color="auto" w:fill="FFFFFF"/>
        </w:rPr>
        <w:t>73</w:t>
      </w:r>
      <w:r w:rsidRPr="001E35F9">
        <w:rPr>
          <w:rFonts w:cs="Times New Roman"/>
          <w:sz w:val="24"/>
          <w:szCs w:val="24"/>
          <w:shd w:val="clear" w:color="auto" w:fill="FFFFFF"/>
        </w:rPr>
        <w:t>(3):</w:t>
      </w:r>
      <w:r w:rsidR="008B3788" w:rsidRPr="001E35F9">
        <w:rPr>
          <w:rFonts w:cs="Times New Roman"/>
          <w:sz w:val="24"/>
          <w:szCs w:val="24"/>
          <w:shd w:val="clear" w:color="auto" w:fill="FFFFFF"/>
        </w:rPr>
        <w:t xml:space="preserve"> 329-343.</w:t>
      </w:r>
    </w:p>
    <w:p w:rsidR="002A2876" w:rsidRPr="002A2876" w:rsidRDefault="002A2876" w:rsidP="00FB11C5">
      <w:pPr>
        <w:rPr>
          <w:rFonts w:cs="Times New Roman"/>
          <w:sz w:val="32"/>
          <w:szCs w:val="24"/>
          <w:shd w:val="clear" w:color="auto" w:fill="FFFFFF"/>
        </w:rPr>
      </w:pPr>
      <w:r w:rsidRPr="002A2876">
        <w:rPr>
          <w:rFonts w:cs="Times New Roman"/>
          <w:color w:val="222222"/>
          <w:sz w:val="24"/>
          <w:szCs w:val="20"/>
          <w:shd w:val="clear" w:color="auto" w:fill="FFFFFF"/>
        </w:rPr>
        <w:t>Heindl P (2015) Measuring fuel poverty: General considerations and application to German household data.</w:t>
      </w:r>
      <w:r w:rsidRPr="002A2876">
        <w:rPr>
          <w:rStyle w:val="apple-converted-space"/>
          <w:rFonts w:cs="Times New Roman"/>
          <w:color w:val="222222"/>
          <w:sz w:val="24"/>
          <w:szCs w:val="20"/>
          <w:shd w:val="clear" w:color="auto" w:fill="FFFFFF"/>
        </w:rPr>
        <w:t> </w:t>
      </w:r>
      <w:r w:rsidRPr="002A2876">
        <w:rPr>
          <w:rFonts w:cs="Times New Roman"/>
          <w:i/>
          <w:iCs/>
          <w:color w:val="222222"/>
          <w:sz w:val="24"/>
          <w:szCs w:val="20"/>
          <w:shd w:val="clear" w:color="auto" w:fill="FFFFFF"/>
        </w:rPr>
        <w:t>FinanzArchiv: Public Finance Analysis</w:t>
      </w:r>
      <w:r w:rsidRPr="002A2876">
        <w:rPr>
          <w:rStyle w:val="apple-converted-space"/>
          <w:rFonts w:cs="Times New Roman"/>
          <w:color w:val="222222"/>
          <w:sz w:val="24"/>
          <w:szCs w:val="20"/>
          <w:shd w:val="clear" w:color="auto" w:fill="FFFFFF"/>
        </w:rPr>
        <w:t> </w:t>
      </w:r>
      <w:r w:rsidRPr="002A2876">
        <w:rPr>
          <w:rFonts w:cs="Times New Roman"/>
          <w:i/>
          <w:iCs/>
          <w:color w:val="222222"/>
          <w:sz w:val="24"/>
          <w:szCs w:val="20"/>
          <w:shd w:val="clear" w:color="auto" w:fill="FFFFFF"/>
        </w:rPr>
        <w:t>71</w:t>
      </w:r>
      <w:r w:rsidRPr="002A2876">
        <w:rPr>
          <w:rFonts w:cs="Times New Roman"/>
          <w:color w:val="222222"/>
          <w:sz w:val="24"/>
          <w:szCs w:val="20"/>
          <w:shd w:val="clear" w:color="auto" w:fill="FFFFFF"/>
        </w:rPr>
        <w:t>(2): 178-215.</w:t>
      </w:r>
    </w:p>
    <w:p w:rsidR="008B3788" w:rsidRPr="00315123" w:rsidRDefault="00D209C7" w:rsidP="00FB11C5">
      <w:pPr>
        <w:rPr>
          <w:rFonts w:cs="Times New Roman"/>
          <w:i/>
          <w:sz w:val="24"/>
          <w:szCs w:val="24"/>
          <w:shd w:val="clear" w:color="auto" w:fill="FFFFFF"/>
        </w:rPr>
      </w:pPr>
      <w:r w:rsidRPr="001E35F9">
        <w:rPr>
          <w:rFonts w:cs="Times New Roman"/>
          <w:sz w:val="24"/>
          <w:szCs w:val="24"/>
          <w:shd w:val="clear" w:color="auto" w:fill="FFFFFF"/>
        </w:rPr>
        <w:t>Hills J (2012)</w:t>
      </w:r>
      <w:r w:rsidR="008B3788" w:rsidRPr="001E35F9">
        <w:rPr>
          <w:rFonts w:cs="Times New Roman"/>
          <w:sz w:val="24"/>
          <w:szCs w:val="24"/>
          <w:shd w:val="clear" w:color="auto" w:fill="FFFFFF"/>
        </w:rPr>
        <w:t xml:space="preserve"> Getting the measure of fuel poverty: Final Report of the Fuel Poverty Review. </w:t>
      </w:r>
      <w:r w:rsidRPr="001E35F9">
        <w:rPr>
          <w:rFonts w:cs="Times New Roman"/>
          <w:sz w:val="24"/>
          <w:szCs w:val="24"/>
          <w:shd w:val="clear" w:color="auto" w:fill="FFFFFF"/>
        </w:rPr>
        <w:t>Report, London School of Economic</w:t>
      </w:r>
      <w:r w:rsidR="00385464">
        <w:rPr>
          <w:rFonts w:cs="Times New Roman"/>
          <w:sz w:val="24"/>
          <w:szCs w:val="24"/>
          <w:shd w:val="clear" w:color="auto" w:fill="FFFFFF"/>
        </w:rPr>
        <w:t>s</w:t>
      </w:r>
      <w:r w:rsidRPr="001E35F9">
        <w:rPr>
          <w:rFonts w:cs="Times New Roman"/>
          <w:sz w:val="24"/>
          <w:szCs w:val="24"/>
          <w:shd w:val="clear" w:color="auto" w:fill="FFFFFF"/>
        </w:rPr>
        <w:t xml:space="preserve">, </w:t>
      </w:r>
      <w:r w:rsidR="00315123">
        <w:rPr>
          <w:rFonts w:cs="Times New Roman"/>
          <w:sz w:val="24"/>
          <w:szCs w:val="24"/>
          <w:shd w:val="clear" w:color="auto" w:fill="FFFFFF"/>
        </w:rPr>
        <w:t>March.</w:t>
      </w:r>
    </w:p>
    <w:p w:rsidR="00F56202" w:rsidRPr="00F56202" w:rsidRDefault="00F56202" w:rsidP="00FB11C5">
      <w:pPr>
        <w:rPr>
          <w:rFonts w:cs="Times New Roman"/>
          <w:sz w:val="24"/>
          <w:szCs w:val="24"/>
          <w:shd w:val="clear" w:color="auto" w:fill="FFFFFF"/>
        </w:rPr>
      </w:pPr>
      <w:r>
        <w:rPr>
          <w:rFonts w:cs="Times New Roman"/>
          <w:sz w:val="24"/>
          <w:szCs w:val="24"/>
          <w:shd w:val="clear" w:color="auto" w:fill="FFFFFF"/>
        </w:rPr>
        <w:t xml:space="preserve">Houston D and Sisson P (2012) The Changing Geography of Privately Rented Households. </w:t>
      </w:r>
      <w:r>
        <w:rPr>
          <w:rFonts w:cs="Times New Roman"/>
          <w:i/>
          <w:sz w:val="24"/>
          <w:szCs w:val="24"/>
          <w:shd w:val="clear" w:color="auto" w:fill="FFFFFF"/>
        </w:rPr>
        <w:t xml:space="preserve">Urban Studies </w:t>
      </w:r>
      <w:r>
        <w:rPr>
          <w:rFonts w:cs="Times New Roman"/>
          <w:sz w:val="24"/>
          <w:szCs w:val="24"/>
          <w:shd w:val="clear" w:color="auto" w:fill="FFFFFF"/>
        </w:rPr>
        <w:t>49(4): 795-819.</w:t>
      </w:r>
    </w:p>
    <w:p w:rsidR="002A2876" w:rsidRPr="002F7BA1" w:rsidRDefault="002A2876" w:rsidP="00FB11C5">
      <w:pPr>
        <w:rPr>
          <w:rFonts w:cs="Times New Roman"/>
          <w:color w:val="000000" w:themeColor="text1"/>
          <w:sz w:val="32"/>
          <w:szCs w:val="24"/>
          <w:shd w:val="clear" w:color="auto" w:fill="FFFFFF"/>
        </w:rPr>
      </w:pPr>
      <w:r w:rsidRPr="002F7BA1">
        <w:rPr>
          <w:rFonts w:cs="Times New Roman"/>
          <w:color w:val="000000" w:themeColor="text1"/>
          <w:sz w:val="24"/>
          <w:szCs w:val="20"/>
          <w:shd w:val="clear" w:color="auto" w:fill="FFFFFF"/>
        </w:rPr>
        <w:t>Legendre B and Ricci O (2015) Measuring fuel poverty in France: Which households are the most fuel vulnerable?</w:t>
      </w:r>
      <w:r w:rsidRPr="002F7BA1">
        <w:rPr>
          <w:rStyle w:val="apple-converted-space"/>
          <w:rFonts w:cs="Times New Roman"/>
          <w:color w:val="000000" w:themeColor="text1"/>
          <w:sz w:val="24"/>
          <w:szCs w:val="20"/>
          <w:shd w:val="clear" w:color="auto" w:fill="FFFFFF"/>
        </w:rPr>
        <w:t> </w:t>
      </w:r>
      <w:r w:rsidRPr="002F7BA1">
        <w:rPr>
          <w:rFonts w:cs="Times New Roman"/>
          <w:i/>
          <w:iCs/>
          <w:color w:val="000000" w:themeColor="text1"/>
          <w:sz w:val="24"/>
          <w:szCs w:val="20"/>
          <w:shd w:val="clear" w:color="auto" w:fill="FFFFFF"/>
        </w:rPr>
        <w:t>Energy Economics</w:t>
      </w:r>
      <w:r w:rsidRPr="002F7BA1">
        <w:rPr>
          <w:rStyle w:val="apple-converted-space"/>
          <w:rFonts w:cs="Times New Roman"/>
          <w:color w:val="000000" w:themeColor="text1"/>
          <w:sz w:val="24"/>
          <w:szCs w:val="20"/>
          <w:shd w:val="clear" w:color="auto" w:fill="FFFFFF"/>
        </w:rPr>
        <w:t> </w:t>
      </w:r>
      <w:r w:rsidRPr="002F7BA1">
        <w:rPr>
          <w:rFonts w:cs="Times New Roman"/>
          <w:iCs/>
          <w:color w:val="000000" w:themeColor="text1"/>
          <w:sz w:val="24"/>
          <w:szCs w:val="20"/>
          <w:shd w:val="clear" w:color="auto" w:fill="FFFFFF"/>
        </w:rPr>
        <w:t>49</w:t>
      </w:r>
      <w:r w:rsidRPr="002F7BA1">
        <w:rPr>
          <w:rFonts w:cs="Times New Roman"/>
          <w:color w:val="000000" w:themeColor="text1"/>
          <w:sz w:val="24"/>
          <w:szCs w:val="20"/>
          <w:shd w:val="clear" w:color="auto" w:fill="FFFFFF"/>
        </w:rPr>
        <w:t>: 620-628.</w:t>
      </w:r>
    </w:p>
    <w:p w:rsidR="008B3788" w:rsidRDefault="00D209C7" w:rsidP="00FB11C5">
      <w:pPr>
        <w:rPr>
          <w:rFonts w:cs="Times New Roman"/>
          <w:sz w:val="24"/>
          <w:szCs w:val="24"/>
          <w:shd w:val="clear" w:color="auto" w:fill="FFFFFF"/>
        </w:rPr>
      </w:pPr>
      <w:r w:rsidRPr="001E35F9">
        <w:rPr>
          <w:rFonts w:cs="Times New Roman"/>
          <w:sz w:val="24"/>
          <w:szCs w:val="24"/>
          <w:shd w:val="clear" w:color="auto" w:fill="FFFFFF"/>
        </w:rPr>
        <w:t>Liddell C and Morris C (2010)</w:t>
      </w:r>
      <w:r w:rsidR="008B3788" w:rsidRPr="001E35F9">
        <w:rPr>
          <w:rFonts w:cs="Times New Roman"/>
          <w:sz w:val="24"/>
          <w:szCs w:val="24"/>
          <w:shd w:val="clear" w:color="auto" w:fill="FFFFFF"/>
        </w:rPr>
        <w:t xml:space="preserve"> Fuel poverty and human health: a review of recent evidence. </w:t>
      </w:r>
      <w:r w:rsidR="008B3788" w:rsidRPr="001E35F9">
        <w:rPr>
          <w:rFonts w:cs="Times New Roman"/>
          <w:i/>
          <w:iCs/>
          <w:sz w:val="24"/>
          <w:szCs w:val="24"/>
          <w:shd w:val="clear" w:color="auto" w:fill="FFFFFF"/>
        </w:rPr>
        <w:t>Energy policy</w:t>
      </w:r>
      <w:r w:rsidR="008B3788" w:rsidRPr="001E35F9">
        <w:rPr>
          <w:rFonts w:cs="Times New Roman"/>
          <w:sz w:val="24"/>
          <w:szCs w:val="24"/>
          <w:shd w:val="clear" w:color="auto" w:fill="FFFFFF"/>
        </w:rPr>
        <w:t> </w:t>
      </w:r>
      <w:r w:rsidR="008B3788" w:rsidRPr="001E35F9">
        <w:rPr>
          <w:rFonts w:cs="Times New Roman"/>
          <w:iCs/>
          <w:sz w:val="24"/>
          <w:szCs w:val="24"/>
          <w:shd w:val="clear" w:color="auto" w:fill="FFFFFF"/>
        </w:rPr>
        <w:t>38</w:t>
      </w:r>
      <w:r w:rsidR="008B3788" w:rsidRPr="001E35F9">
        <w:rPr>
          <w:rFonts w:cs="Times New Roman"/>
          <w:sz w:val="24"/>
          <w:szCs w:val="24"/>
          <w:shd w:val="clear" w:color="auto" w:fill="FFFFFF"/>
        </w:rPr>
        <w:t>(6</w:t>
      </w:r>
      <w:r w:rsidRPr="001E35F9">
        <w:rPr>
          <w:rFonts w:cs="Times New Roman"/>
          <w:sz w:val="24"/>
          <w:szCs w:val="24"/>
          <w:shd w:val="clear" w:color="auto" w:fill="FFFFFF"/>
        </w:rPr>
        <w:t>):</w:t>
      </w:r>
      <w:r w:rsidR="008B3788" w:rsidRPr="001E35F9">
        <w:rPr>
          <w:rFonts w:cs="Times New Roman"/>
          <w:sz w:val="24"/>
          <w:szCs w:val="24"/>
          <w:shd w:val="clear" w:color="auto" w:fill="FFFFFF"/>
        </w:rPr>
        <w:t xml:space="preserve"> 2987-2997.</w:t>
      </w:r>
    </w:p>
    <w:p w:rsidR="00DE7AAA" w:rsidRPr="001E35F9" w:rsidRDefault="00DE7AAA" w:rsidP="00FB11C5">
      <w:pPr>
        <w:rPr>
          <w:rFonts w:cs="Times New Roman"/>
          <w:sz w:val="24"/>
          <w:szCs w:val="24"/>
          <w:shd w:val="clear" w:color="auto" w:fill="FFFFFF"/>
        </w:rPr>
      </w:pPr>
      <w:r>
        <w:rPr>
          <w:rFonts w:cs="Times New Roman"/>
          <w:sz w:val="24"/>
          <w:szCs w:val="24"/>
          <w:shd w:val="clear" w:color="auto" w:fill="FFFFFF"/>
        </w:rPr>
        <w:t xml:space="preserve">Liddell C, Morris C, McKenzie P and Rae G (2011) Defining Fuel Poverty in Northern Ireland: A Preliminary Review. Report, Department for Social Development Northern Ireland, September. </w:t>
      </w:r>
    </w:p>
    <w:p w:rsidR="008B3788" w:rsidRPr="001E35F9" w:rsidRDefault="00D209C7" w:rsidP="00FB11C5">
      <w:pPr>
        <w:rPr>
          <w:rFonts w:cs="Times New Roman"/>
          <w:sz w:val="24"/>
          <w:szCs w:val="24"/>
          <w:shd w:val="clear" w:color="auto" w:fill="FFFFFF"/>
        </w:rPr>
      </w:pPr>
      <w:r w:rsidRPr="001E35F9">
        <w:rPr>
          <w:rFonts w:cs="Times New Roman"/>
          <w:sz w:val="24"/>
          <w:szCs w:val="24"/>
          <w:shd w:val="clear" w:color="auto" w:fill="FFFFFF"/>
        </w:rPr>
        <w:t>Lindley S, O’Neill J, Kandeh J, Lawson N, Christian R and O’Neill M (2011)</w:t>
      </w:r>
      <w:r w:rsidR="008B3788" w:rsidRPr="001E35F9">
        <w:rPr>
          <w:rFonts w:cs="Times New Roman"/>
          <w:sz w:val="24"/>
          <w:szCs w:val="24"/>
          <w:shd w:val="clear" w:color="auto" w:fill="FFFFFF"/>
        </w:rPr>
        <w:t xml:space="preserve"> Climate change, justice and vulnerability. </w:t>
      </w:r>
      <w:r w:rsidRPr="001E35F9">
        <w:rPr>
          <w:rFonts w:cs="Times New Roman"/>
          <w:sz w:val="24"/>
          <w:szCs w:val="24"/>
          <w:shd w:val="clear" w:color="auto" w:fill="FFFFFF"/>
        </w:rPr>
        <w:t xml:space="preserve">Report, </w:t>
      </w:r>
      <w:r w:rsidR="008B3788" w:rsidRPr="001E35F9">
        <w:rPr>
          <w:rFonts w:cs="Times New Roman"/>
          <w:iCs/>
          <w:sz w:val="24"/>
          <w:szCs w:val="24"/>
          <w:shd w:val="clear" w:color="auto" w:fill="FFFFFF"/>
        </w:rPr>
        <w:t>Joseph Rowntree Foundation</w:t>
      </w:r>
      <w:r w:rsidRPr="001E35F9">
        <w:rPr>
          <w:rFonts w:cs="Times New Roman"/>
          <w:iCs/>
          <w:sz w:val="24"/>
          <w:szCs w:val="24"/>
          <w:shd w:val="clear" w:color="auto" w:fill="FFFFFF"/>
        </w:rPr>
        <w:t xml:space="preserve">, </w:t>
      </w:r>
      <w:r w:rsidR="00E556ED" w:rsidRPr="00E556ED">
        <w:rPr>
          <w:rFonts w:cs="Times New Roman"/>
          <w:iCs/>
          <w:sz w:val="24"/>
          <w:szCs w:val="24"/>
          <w:shd w:val="clear" w:color="auto" w:fill="FFFFFF"/>
        </w:rPr>
        <w:t>November</w:t>
      </w:r>
      <w:r w:rsidRPr="00E556ED">
        <w:rPr>
          <w:rFonts w:cs="Times New Roman"/>
          <w:iCs/>
          <w:sz w:val="24"/>
          <w:szCs w:val="24"/>
          <w:shd w:val="clear" w:color="auto" w:fill="FFFFFF"/>
        </w:rPr>
        <w:t>.</w:t>
      </w:r>
    </w:p>
    <w:p w:rsidR="008B3788" w:rsidRPr="001E35F9" w:rsidRDefault="00D209C7" w:rsidP="00FB11C5">
      <w:pPr>
        <w:rPr>
          <w:rFonts w:cs="Times New Roman"/>
          <w:sz w:val="24"/>
          <w:szCs w:val="24"/>
          <w:shd w:val="clear" w:color="auto" w:fill="FFFFFF"/>
        </w:rPr>
      </w:pPr>
      <w:r w:rsidRPr="001E35F9">
        <w:rPr>
          <w:rFonts w:cs="Times New Roman"/>
          <w:sz w:val="24"/>
          <w:szCs w:val="24"/>
          <w:shd w:val="clear" w:color="auto" w:fill="FFFFFF"/>
        </w:rPr>
        <w:lastRenderedPageBreak/>
        <w:t>Lupton R (2003)</w:t>
      </w:r>
      <w:r w:rsidR="008B3788" w:rsidRPr="001E35F9">
        <w:rPr>
          <w:rFonts w:cs="Times New Roman"/>
          <w:sz w:val="24"/>
          <w:szCs w:val="24"/>
          <w:shd w:val="clear" w:color="auto" w:fill="FFFFFF"/>
        </w:rPr>
        <w:t xml:space="preserve"> </w:t>
      </w:r>
      <w:r w:rsidR="008B3788" w:rsidRPr="001E35F9">
        <w:rPr>
          <w:rFonts w:cs="Times New Roman"/>
          <w:i/>
          <w:sz w:val="24"/>
          <w:szCs w:val="24"/>
          <w:shd w:val="clear" w:color="auto" w:fill="FFFFFF"/>
        </w:rPr>
        <w:t>‘Neighbourhood effects’: Can we measure them and does it matter?</w:t>
      </w:r>
      <w:r w:rsidR="008B3788" w:rsidRPr="001E35F9">
        <w:rPr>
          <w:rFonts w:cs="Times New Roman"/>
          <w:sz w:val="24"/>
          <w:szCs w:val="24"/>
          <w:shd w:val="clear" w:color="auto" w:fill="FFFFFF"/>
        </w:rPr>
        <w:t xml:space="preserve"> </w:t>
      </w:r>
      <w:r w:rsidRPr="001E35F9">
        <w:rPr>
          <w:rFonts w:cs="Times New Roman"/>
          <w:sz w:val="24"/>
          <w:szCs w:val="24"/>
          <w:shd w:val="clear" w:color="auto" w:fill="FFFFFF"/>
        </w:rPr>
        <w:t>Report for Centre for Soc</w:t>
      </w:r>
      <w:r w:rsidR="002F7BA1">
        <w:rPr>
          <w:rFonts w:cs="Times New Roman"/>
          <w:sz w:val="24"/>
          <w:szCs w:val="24"/>
          <w:shd w:val="clear" w:color="auto" w:fill="FFFFFF"/>
        </w:rPr>
        <w:t>F</w:t>
      </w:r>
      <w:r w:rsidRPr="001E35F9">
        <w:rPr>
          <w:rFonts w:cs="Times New Roman"/>
          <w:sz w:val="24"/>
          <w:szCs w:val="24"/>
          <w:shd w:val="clear" w:color="auto" w:fill="FFFFFF"/>
        </w:rPr>
        <w:t>ial Exclusion. Report no.</w:t>
      </w:r>
      <w:r w:rsidR="008B3788" w:rsidRPr="001E35F9">
        <w:rPr>
          <w:rFonts w:cs="Times New Roman"/>
          <w:sz w:val="24"/>
          <w:szCs w:val="24"/>
          <w:shd w:val="clear" w:color="auto" w:fill="FFFFFF"/>
        </w:rPr>
        <w:t xml:space="preserve">73, </w:t>
      </w:r>
      <w:r w:rsidR="00E556ED">
        <w:rPr>
          <w:rFonts w:cs="Times New Roman"/>
          <w:sz w:val="24"/>
          <w:szCs w:val="24"/>
          <w:shd w:val="clear" w:color="auto" w:fill="FFFFFF"/>
        </w:rPr>
        <w:t>September</w:t>
      </w:r>
      <w:r w:rsidRPr="00E556ED">
        <w:rPr>
          <w:rFonts w:cs="Times New Roman"/>
          <w:sz w:val="24"/>
          <w:szCs w:val="24"/>
          <w:shd w:val="clear" w:color="auto" w:fill="FFFFFF"/>
        </w:rPr>
        <w:t xml:space="preserve">, </w:t>
      </w:r>
      <w:r w:rsidR="008B3788" w:rsidRPr="001E35F9">
        <w:rPr>
          <w:rFonts w:cs="Times New Roman"/>
          <w:sz w:val="24"/>
          <w:szCs w:val="24"/>
          <w:shd w:val="clear" w:color="auto" w:fill="FFFFFF"/>
        </w:rPr>
        <w:t xml:space="preserve">London.  </w:t>
      </w:r>
    </w:p>
    <w:p w:rsidR="008B3788" w:rsidRPr="001E35F9" w:rsidRDefault="00D209C7" w:rsidP="00FB11C5">
      <w:pPr>
        <w:rPr>
          <w:rFonts w:cs="Times New Roman"/>
          <w:sz w:val="24"/>
          <w:szCs w:val="24"/>
          <w:shd w:val="clear" w:color="auto" w:fill="FFFFFF"/>
        </w:rPr>
      </w:pPr>
      <w:r w:rsidRPr="001E35F9">
        <w:rPr>
          <w:rFonts w:cs="Times New Roman"/>
          <w:sz w:val="24"/>
          <w:szCs w:val="24"/>
          <w:shd w:val="clear" w:color="auto" w:fill="FFFFFF"/>
        </w:rPr>
        <w:t>Macintyre S, Ellaway A and Cummins S (2002)</w:t>
      </w:r>
      <w:r w:rsidR="008B3788" w:rsidRPr="001E35F9">
        <w:rPr>
          <w:rFonts w:cs="Times New Roman"/>
          <w:sz w:val="24"/>
          <w:szCs w:val="24"/>
          <w:shd w:val="clear" w:color="auto" w:fill="FFFFFF"/>
        </w:rPr>
        <w:t xml:space="preserve"> Place effects on health: how can we conceptualise, o</w:t>
      </w:r>
      <w:r w:rsidRPr="001E35F9">
        <w:rPr>
          <w:rFonts w:cs="Times New Roman"/>
          <w:sz w:val="24"/>
          <w:szCs w:val="24"/>
          <w:shd w:val="clear" w:color="auto" w:fill="FFFFFF"/>
        </w:rPr>
        <w:t>perationalise and measure them?</w:t>
      </w:r>
      <w:r w:rsidR="008B3788" w:rsidRPr="001E35F9">
        <w:rPr>
          <w:rFonts w:cs="Times New Roman"/>
          <w:sz w:val="24"/>
          <w:szCs w:val="24"/>
          <w:shd w:val="clear" w:color="auto" w:fill="FFFFFF"/>
        </w:rPr>
        <w:t> </w:t>
      </w:r>
      <w:r w:rsidR="008B3788" w:rsidRPr="001E35F9">
        <w:rPr>
          <w:rFonts w:cs="Times New Roman"/>
          <w:i/>
          <w:iCs/>
          <w:sz w:val="24"/>
          <w:szCs w:val="24"/>
          <w:shd w:val="clear" w:color="auto" w:fill="FFFFFF"/>
        </w:rPr>
        <w:t>Social science &amp; medicine</w:t>
      </w:r>
      <w:r w:rsidR="008B3788" w:rsidRPr="001E35F9">
        <w:rPr>
          <w:rFonts w:cs="Times New Roman"/>
          <w:sz w:val="24"/>
          <w:szCs w:val="24"/>
          <w:shd w:val="clear" w:color="auto" w:fill="FFFFFF"/>
        </w:rPr>
        <w:t> </w:t>
      </w:r>
      <w:r w:rsidR="008B3788" w:rsidRPr="001E35F9">
        <w:rPr>
          <w:rFonts w:cs="Times New Roman"/>
          <w:iCs/>
          <w:sz w:val="24"/>
          <w:szCs w:val="24"/>
          <w:shd w:val="clear" w:color="auto" w:fill="FFFFFF"/>
        </w:rPr>
        <w:t>55</w:t>
      </w:r>
      <w:r w:rsidRPr="001E35F9">
        <w:rPr>
          <w:rFonts w:cs="Times New Roman"/>
          <w:sz w:val="24"/>
          <w:szCs w:val="24"/>
          <w:shd w:val="clear" w:color="auto" w:fill="FFFFFF"/>
        </w:rPr>
        <w:t>(1):</w:t>
      </w:r>
      <w:r w:rsidR="008B3788" w:rsidRPr="001E35F9">
        <w:rPr>
          <w:rFonts w:cs="Times New Roman"/>
          <w:sz w:val="24"/>
          <w:szCs w:val="24"/>
          <w:shd w:val="clear" w:color="auto" w:fill="FFFFFF"/>
        </w:rPr>
        <w:t xml:space="preserve"> 125-139.</w:t>
      </w:r>
    </w:p>
    <w:p w:rsidR="008B3788" w:rsidRPr="001E35F9" w:rsidRDefault="00D209C7" w:rsidP="00FB11C5">
      <w:pPr>
        <w:rPr>
          <w:rFonts w:cs="Times New Roman"/>
          <w:sz w:val="24"/>
          <w:szCs w:val="24"/>
          <w:shd w:val="clear" w:color="auto" w:fill="FFFFFF"/>
        </w:rPr>
      </w:pPr>
      <w:r w:rsidRPr="001E35F9">
        <w:rPr>
          <w:rFonts w:cs="Times New Roman"/>
          <w:sz w:val="24"/>
          <w:szCs w:val="24"/>
          <w:shd w:val="clear" w:color="auto" w:fill="FFFFFF"/>
        </w:rPr>
        <w:t>Massey D (1994)</w:t>
      </w:r>
      <w:r w:rsidR="008B3788" w:rsidRPr="001E35F9">
        <w:rPr>
          <w:rFonts w:cs="Times New Roman"/>
          <w:sz w:val="24"/>
          <w:szCs w:val="24"/>
          <w:shd w:val="clear" w:color="auto" w:fill="FFFFFF"/>
        </w:rPr>
        <w:t xml:space="preserve"> </w:t>
      </w:r>
      <w:r w:rsidR="008B3788" w:rsidRPr="001E35F9">
        <w:rPr>
          <w:rFonts w:cs="Times New Roman"/>
          <w:i/>
          <w:sz w:val="24"/>
          <w:szCs w:val="24"/>
          <w:shd w:val="clear" w:color="auto" w:fill="FFFFFF"/>
        </w:rPr>
        <w:t>Place, space and gender.</w:t>
      </w:r>
      <w:r w:rsidR="008B3788" w:rsidRPr="001E35F9">
        <w:rPr>
          <w:rFonts w:cs="Times New Roman"/>
          <w:sz w:val="24"/>
          <w:szCs w:val="24"/>
          <w:shd w:val="clear" w:color="auto" w:fill="FFFFFF"/>
        </w:rPr>
        <w:t> </w:t>
      </w:r>
      <w:r w:rsidRPr="001E35F9">
        <w:rPr>
          <w:rFonts w:cs="Times New Roman"/>
          <w:sz w:val="24"/>
          <w:szCs w:val="24"/>
          <w:shd w:val="clear" w:color="auto" w:fill="FFFFFF"/>
        </w:rPr>
        <w:t xml:space="preserve">Minneapolis: </w:t>
      </w:r>
      <w:r w:rsidRPr="001E35F9">
        <w:rPr>
          <w:rFonts w:cs="Times New Roman"/>
          <w:iCs/>
          <w:sz w:val="24"/>
          <w:szCs w:val="24"/>
          <w:shd w:val="clear" w:color="auto" w:fill="FFFFFF"/>
        </w:rPr>
        <w:t>University of Minnesota.</w:t>
      </w:r>
    </w:p>
    <w:p w:rsidR="008B3788" w:rsidRPr="00A1438C" w:rsidRDefault="00D209C7" w:rsidP="00FB11C5">
      <w:pPr>
        <w:rPr>
          <w:rFonts w:cs="Times New Roman"/>
          <w:sz w:val="24"/>
          <w:szCs w:val="24"/>
          <w:shd w:val="clear" w:color="auto" w:fill="FFFFFF"/>
        </w:rPr>
      </w:pPr>
      <w:r w:rsidRPr="001E35F9">
        <w:rPr>
          <w:rFonts w:cs="Times New Roman"/>
          <w:sz w:val="24"/>
          <w:szCs w:val="24"/>
          <w:shd w:val="clear" w:color="auto" w:fill="FFFFFF"/>
        </w:rPr>
        <w:t>Middlemiss L (2016)</w:t>
      </w:r>
      <w:r w:rsidR="008B3788" w:rsidRPr="001E35F9">
        <w:rPr>
          <w:rFonts w:cs="Times New Roman"/>
          <w:sz w:val="24"/>
          <w:szCs w:val="24"/>
          <w:shd w:val="clear" w:color="auto" w:fill="FFFFFF"/>
        </w:rPr>
        <w:t xml:space="preserve"> A critical analysis of the new politics of fuel poverty in England. </w:t>
      </w:r>
      <w:r w:rsidR="008B3788" w:rsidRPr="001E35F9">
        <w:rPr>
          <w:rFonts w:cs="Times New Roman"/>
          <w:i/>
          <w:iCs/>
          <w:sz w:val="24"/>
          <w:szCs w:val="24"/>
          <w:shd w:val="clear" w:color="auto" w:fill="FFFFFF"/>
        </w:rPr>
        <w:t xml:space="preserve">Critical Social </w:t>
      </w:r>
      <w:r w:rsidR="00E556ED">
        <w:rPr>
          <w:rFonts w:cs="Times New Roman"/>
          <w:i/>
          <w:iCs/>
          <w:sz w:val="24"/>
          <w:szCs w:val="24"/>
          <w:shd w:val="clear" w:color="auto" w:fill="FFFFFF"/>
        </w:rPr>
        <w:t xml:space="preserve">Policy </w:t>
      </w:r>
      <w:r w:rsidR="00A1438C">
        <w:rPr>
          <w:rFonts w:cs="Times New Roman"/>
          <w:iCs/>
          <w:sz w:val="24"/>
          <w:szCs w:val="24"/>
          <w:shd w:val="clear" w:color="auto" w:fill="FFFFFF"/>
        </w:rPr>
        <w:t>37(3): 425-443.</w:t>
      </w:r>
    </w:p>
    <w:p w:rsidR="008B3788" w:rsidRPr="001E35F9" w:rsidRDefault="001E35F9" w:rsidP="00FB11C5">
      <w:pPr>
        <w:rPr>
          <w:rFonts w:cs="Times New Roman"/>
          <w:sz w:val="24"/>
          <w:szCs w:val="24"/>
          <w:shd w:val="clear" w:color="auto" w:fill="FFFFFF"/>
        </w:rPr>
      </w:pPr>
      <w:r w:rsidRPr="001E35F9">
        <w:rPr>
          <w:rFonts w:cs="Times New Roman"/>
          <w:sz w:val="24"/>
          <w:szCs w:val="24"/>
          <w:shd w:val="clear" w:color="auto" w:fill="FFFFFF"/>
        </w:rPr>
        <w:t>Middlemis  L</w:t>
      </w:r>
      <w:r w:rsidR="008B3788" w:rsidRPr="001E35F9">
        <w:rPr>
          <w:rFonts w:cs="Times New Roman"/>
          <w:sz w:val="24"/>
          <w:szCs w:val="24"/>
          <w:shd w:val="clear" w:color="auto" w:fill="FFFFFF"/>
        </w:rPr>
        <w:t xml:space="preserve"> </w:t>
      </w:r>
      <w:r w:rsidRPr="001E35F9">
        <w:rPr>
          <w:rFonts w:cs="Times New Roman"/>
          <w:sz w:val="24"/>
          <w:szCs w:val="24"/>
          <w:shd w:val="clear" w:color="auto" w:fill="FFFFFF"/>
        </w:rPr>
        <w:t>and Gillard R (2015)</w:t>
      </w:r>
      <w:r w:rsidR="008B3788" w:rsidRPr="001E35F9">
        <w:rPr>
          <w:rFonts w:cs="Times New Roman"/>
          <w:sz w:val="24"/>
          <w:szCs w:val="24"/>
          <w:shd w:val="clear" w:color="auto" w:fill="FFFFFF"/>
        </w:rPr>
        <w:t xml:space="preserve"> Fuel poverty from the bottom-up: Characterising household energy vulnerability through the lived experience of the fuel poor. </w:t>
      </w:r>
      <w:r w:rsidR="008B3788" w:rsidRPr="001E35F9">
        <w:rPr>
          <w:rFonts w:cs="Times New Roman"/>
          <w:i/>
          <w:iCs/>
          <w:sz w:val="24"/>
          <w:szCs w:val="24"/>
          <w:shd w:val="clear" w:color="auto" w:fill="FFFFFF"/>
        </w:rPr>
        <w:t>Energy Research &amp; Social Science</w:t>
      </w:r>
      <w:r w:rsidR="008B3788" w:rsidRPr="001E35F9">
        <w:rPr>
          <w:rFonts w:cs="Times New Roman"/>
          <w:sz w:val="24"/>
          <w:szCs w:val="24"/>
          <w:shd w:val="clear" w:color="auto" w:fill="FFFFFF"/>
        </w:rPr>
        <w:t> </w:t>
      </w:r>
      <w:r w:rsidR="008B3788" w:rsidRPr="001E35F9">
        <w:rPr>
          <w:rFonts w:cs="Times New Roman"/>
          <w:iCs/>
          <w:sz w:val="24"/>
          <w:szCs w:val="24"/>
          <w:shd w:val="clear" w:color="auto" w:fill="FFFFFF"/>
        </w:rPr>
        <w:t>6</w:t>
      </w:r>
      <w:r w:rsidRPr="001E35F9">
        <w:rPr>
          <w:rFonts w:cs="Times New Roman"/>
          <w:sz w:val="24"/>
          <w:szCs w:val="24"/>
          <w:shd w:val="clear" w:color="auto" w:fill="FFFFFF"/>
        </w:rPr>
        <w:t>:</w:t>
      </w:r>
      <w:r w:rsidR="008B3788" w:rsidRPr="001E35F9">
        <w:rPr>
          <w:rFonts w:cs="Times New Roman"/>
          <w:sz w:val="24"/>
          <w:szCs w:val="24"/>
          <w:shd w:val="clear" w:color="auto" w:fill="FFFFFF"/>
        </w:rPr>
        <w:t xml:space="preserve"> 146-154.</w:t>
      </w:r>
    </w:p>
    <w:p w:rsidR="008B3788" w:rsidRPr="001E35F9" w:rsidRDefault="008B3788" w:rsidP="00FB11C5">
      <w:pPr>
        <w:rPr>
          <w:rFonts w:cs="Times New Roman"/>
          <w:sz w:val="24"/>
          <w:szCs w:val="24"/>
          <w:shd w:val="clear" w:color="auto" w:fill="FFFFFF"/>
        </w:rPr>
      </w:pPr>
      <w:r w:rsidRPr="001E35F9">
        <w:rPr>
          <w:rFonts w:cs="Times New Roman"/>
          <w:sz w:val="24"/>
          <w:szCs w:val="24"/>
          <w:shd w:val="clear" w:color="auto" w:fill="FFFFFF"/>
        </w:rPr>
        <w:t>Moore</w:t>
      </w:r>
      <w:r w:rsidR="001E35F9" w:rsidRPr="001E35F9">
        <w:rPr>
          <w:rFonts w:cs="Times New Roman"/>
          <w:sz w:val="24"/>
          <w:szCs w:val="24"/>
          <w:shd w:val="clear" w:color="auto" w:fill="FFFFFF"/>
        </w:rPr>
        <w:t xml:space="preserve"> R (2012)</w:t>
      </w:r>
      <w:r w:rsidRPr="001E35F9">
        <w:rPr>
          <w:rFonts w:cs="Times New Roman"/>
          <w:sz w:val="24"/>
          <w:szCs w:val="24"/>
          <w:shd w:val="clear" w:color="auto" w:fill="FFFFFF"/>
        </w:rPr>
        <w:t xml:space="preserve"> Definitions of fuel poverty: Implications for policy. </w:t>
      </w:r>
      <w:r w:rsidRPr="001E35F9">
        <w:rPr>
          <w:rFonts w:cs="Times New Roman"/>
          <w:i/>
          <w:iCs/>
          <w:sz w:val="24"/>
          <w:szCs w:val="24"/>
          <w:shd w:val="clear" w:color="auto" w:fill="FFFFFF"/>
        </w:rPr>
        <w:t>Energy Policy</w:t>
      </w:r>
      <w:r w:rsidRPr="001E35F9">
        <w:rPr>
          <w:rFonts w:cs="Times New Roman"/>
          <w:sz w:val="24"/>
          <w:szCs w:val="24"/>
          <w:shd w:val="clear" w:color="auto" w:fill="FFFFFF"/>
        </w:rPr>
        <w:t> </w:t>
      </w:r>
      <w:r w:rsidRPr="001E35F9">
        <w:rPr>
          <w:rFonts w:cs="Times New Roman"/>
          <w:iCs/>
          <w:sz w:val="24"/>
          <w:szCs w:val="24"/>
          <w:shd w:val="clear" w:color="auto" w:fill="FFFFFF"/>
        </w:rPr>
        <w:t>49</w:t>
      </w:r>
      <w:r w:rsidR="001E35F9" w:rsidRPr="001E35F9">
        <w:rPr>
          <w:rFonts w:cs="Times New Roman"/>
          <w:sz w:val="24"/>
          <w:szCs w:val="24"/>
          <w:shd w:val="clear" w:color="auto" w:fill="FFFFFF"/>
        </w:rPr>
        <w:t>:</w:t>
      </w:r>
      <w:r w:rsidRPr="001E35F9">
        <w:rPr>
          <w:rFonts w:cs="Times New Roman"/>
          <w:sz w:val="24"/>
          <w:szCs w:val="24"/>
          <w:shd w:val="clear" w:color="auto" w:fill="FFFFFF"/>
        </w:rPr>
        <w:t xml:space="preserve"> 19-26.</w:t>
      </w:r>
    </w:p>
    <w:p w:rsidR="002F7BA1" w:rsidRPr="001E35F9" w:rsidRDefault="002F7BA1" w:rsidP="002F7BA1">
      <w:pPr>
        <w:rPr>
          <w:rFonts w:eastAsia="Times New Roman" w:cs="Times New Roman"/>
          <w:sz w:val="24"/>
          <w:szCs w:val="24"/>
          <w:shd w:val="clear" w:color="auto" w:fill="FFFFFF"/>
        </w:rPr>
      </w:pPr>
      <w:r w:rsidRPr="001E35F9">
        <w:rPr>
          <w:rFonts w:eastAsia="Times New Roman" w:cs="Times New Roman"/>
          <w:sz w:val="24"/>
          <w:szCs w:val="24"/>
          <w:shd w:val="clear" w:color="auto" w:fill="FFFFFF"/>
        </w:rPr>
        <w:t>Office for National Statistics (ONS) (2011a.) Digitised Boundary Data (England and Wales). Available at: http://geoportal.statistics.gov.uk/ (accessed 24</w:t>
      </w:r>
      <w:r w:rsidRPr="001E35F9">
        <w:rPr>
          <w:rFonts w:eastAsia="Times New Roman" w:cs="Times New Roman"/>
          <w:sz w:val="24"/>
          <w:szCs w:val="24"/>
          <w:shd w:val="clear" w:color="auto" w:fill="FFFFFF"/>
          <w:vertAlign w:val="superscript"/>
        </w:rPr>
        <w:t>th</w:t>
      </w:r>
      <w:r w:rsidRPr="001E35F9">
        <w:rPr>
          <w:rFonts w:eastAsia="Times New Roman" w:cs="Times New Roman"/>
          <w:sz w:val="24"/>
          <w:szCs w:val="24"/>
          <w:shd w:val="clear" w:color="auto" w:fill="FFFFFF"/>
        </w:rPr>
        <w:t xml:space="preserve"> May 2017)</w:t>
      </w:r>
    </w:p>
    <w:p w:rsidR="008B3788" w:rsidRPr="001E35F9" w:rsidRDefault="008B3788" w:rsidP="00FB11C5">
      <w:pPr>
        <w:rPr>
          <w:rFonts w:eastAsia="Times New Roman" w:cs="Times New Roman"/>
          <w:sz w:val="24"/>
          <w:szCs w:val="24"/>
          <w:shd w:val="clear" w:color="auto" w:fill="FFFFFF"/>
        </w:rPr>
      </w:pPr>
      <w:r w:rsidRPr="001E35F9">
        <w:rPr>
          <w:rFonts w:eastAsia="Times New Roman" w:cs="Times New Roman"/>
          <w:sz w:val="24"/>
          <w:szCs w:val="24"/>
          <w:shd w:val="clear" w:color="auto" w:fill="FFFFFF"/>
        </w:rPr>
        <w:t>Office for Nat</w:t>
      </w:r>
      <w:r w:rsidR="001E35F9" w:rsidRPr="001E35F9">
        <w:rPr>
          <w:rFonts w:eastAsia="Times New Roman" w:cs="Times New Roman"/>
          <w:sz w:val="24"/>
          <w:szCs w:val="24"/>
          <w:shd w:val="clear" w:color="auto" w:fill="FFFFFF"/>
        </w:rPr>
        <w:t>ional Statistics (ONS) (2011b.)</w:t>
      </w:r>
      <w:r w:rsidRPr="001E35F9">
        <w:rPr>
          <w:rFonts w:eastAsia="Times New Roman" w:cs="Times New Roman"/>
          <w:sz w:val="24"/>
          <w:szCs w:val="24"/>
          <w:shd w:val="clear" w:color="auto" w:fill="FFFFFF"/>
        </w:rPr>
        <w:t xml:space="preserve"> Neighbo</w:t>
      </w:r>
      <w:r w:rsidR="001E35F9" w:rsidRPr="001E35F9">
        <w:rPr>
          <w:rFonts w:eastAsia="Times New Roman" w:cs="Times New Roman"/>
          <w:sz w:val="24"/>
          <w:szCs w:val="24"/>
          <w:shd w:val="clear" w:color="auto" w:fill="FFFFFF"/>
        </w:rPr>
        <w:t>urhood Statistics: Census 2011. Available at: https://www.neighbourhood.statistics.gov.uk/dissemination/ (accessed 24</w:t>
      </w:r>
      <w:r w:rsidR="001E35F9" w:rsidRPr="001E35F9">
        <w:rPr>
          <w:rFonts w:eastAsia="Times New Roman" w:cs="Times New Roman"/>
          <w:sz w:val="24"/>
          <w:szCs w:val="24"/>
          <w:shd w:val="clear" w:color="auto" w:fill="FFFFFF"/>
          <w:vertAlign w:val="superscript"/>
        </w:rPr>
        <w:t>th</w:t>
      </w:r>
      <w:r w:rsidR="001E35F9" w:rsidRPr="001E35F9">
        <w:rPr>
          <w:rFonts w:eastAsia="Times New Roman" w:cs="Times New Roman"/>
          <w:sz w:val="24"/>
          <w:szCs w:val="24"/>
          <w:shd w:val="clear" w:color="auto" w:fill="FFFFFF"/>
        </w:rPr>
        <w:t xml:space="preserve"> May </w:t>
      </w:r>
      <w:r w:rsidRPr="001E35F9">
        <w:rPr>
          <w:rFonts w:eastAsia="Times New Roman" w:cs="Times New Roman"/>
          <w:sz w:val="24"/>
          <w:szCs w:val="24"/>
          <w:shd w:val="clear" w:color="auto" w:fill="FFFFFF"/>
        </w:rPr>
        <w:t>2017</w:t>
      </w:r>
      <w:r w:rsidR="001E35F9" w:rsidRPr="001E35F9">
        <w:rPr>
          <w:rFonts w:eastAsia="Times New Roman" w:cs="Times New Roman"/>
          <w:sz w:val="24"/>
          <w:szCs w:val="24"/>
          <w:shd w:val="clear" w:color="auto" w:fill="FFFFFF"/>
        </w:rPr>
        <w:t>)</w:t>
      </w:r>
    </w:p>
    <w:p w:rsidR="008B3788" w:rsidRPr="001E35F9" w:rsidRDefault="001E35F9" w:rsidP="00FB11C5">
      <w:pPr>
        <w:rPr>
          <w:rFonts w:cs="Times New Roman"/>
          <w:sz w:val="24"/>
          <w:szCs w:val="24"/>
          <w:shd w:val="clear" w:color="auto" w:fill="FFFFFF"/>
        </w:rPr>
      </w:pPr>
      <w:r w:rsidRPr="001E35F9">
        <w:rPr>
          <w:rFonts w:cs="Times New Roman"/>
          <w:sz w:val="24"/>
          <w:szCs w:val="24"/>
          <w:shd w:val="clear" w:color="auto" w:fill="FFFFFF"/>
        </w:rPr>
        <w:t>Rae A (2012)</w:t>
      </w:r>
      <w:r w:rsidR="008B3788" w:rsidRPr="001E35F9">
        <w:rPr>
          <w:rFonts w:cs="Times New Roman"/>
          <w:sz w:val="24"/>
          <w:szCs w:val="24"/>
          <w:shd w:val="clear" w:color="auto" w:fill="FFFFFF"/>
        </w:rPr>
        <w:t xml:space="preserve"> Spatially concentrated deprivation in England: An empirical assessment. </w:t>
      </w:r>
      <w:r w:rsidR="008B3788" w:rsidRPr="001E35F9">
        <w:rPr>
          <w:rFonts w:cs="Times New Roman"/>
          <w:i/>
          <w:iCs/>
          <w:sz w:val="24"/>
          <w:szCs w:val="24"/>
          <w:shd w:val="clear" w:color="auto" w:fill="FFFFFF"/>
        </w:rPr>
        <w:t>Regional Studies</w:t>
      </w:r>
      <w:r w:rsidR="008B3788" w:rsidRPr="001E35F9">
        <w:rPr>
          <w:rFonts w:cs="Times New Roman"/>
          <w:sz w:val="24"/>
          <w:szCs w:val="24"/>
          <w:shd w:val="clear" w:color="auto" w:fill="FFFFFF"/>
        </w:rPr>
        <w:t> </w:t>
      </w:r>
      <w:r w:rsidR="008B3788" w:rsidRPr="001E35F9">
        <w:rPr>
          <w:rFonts w:cs="Times New Roman"/>
          <w:iCs/>
          <w:sz w:val="24"/>
          <w:szCs w:val="24"/>
          <w:shd w:val="clear" w:color="auto" w:fill="FFFFFF"/>
        </w:rPr>
        <w:t>46</w:t>
      </w:r>
      <w:r w:rsidRPr="001E35F9">
        <w:rPr>
          <w:rFonts w:cs="Times New Roman"/>
          <w:sz w:val="24"/>
          <w:szCs w:val="24"/>
          <w:shd w:val="clear" w:color="auto" w:fill="FFFFFF"/>
        </w:rPr>
        <w:t>(9):</w:t>
      </w:r>
      <w:r w:rsidR="008B3788" w:rsidRPr="001E35F9">
        <w:rPr>
          <w:rFonts w:cs="Times New Roman"/>
          <w:sz w:val="24"/>
          <w:szCs w:val="24"/>
          <w:shd w:val="clear" w:color="auto" w:fill="FFFFFF"/>
        </w:rPr>
        <w:t xml:space="preserve"> 1183-1199.</w:t>
      </w:r>
    </w:p>
    <w:p w:rsidR="008B3788" w:rsidRPr="001E35F9" w:rsidRDefault="001E35F9" w:rsidP="00FB11C5">
      <w:pPr>
        <w:rPr>
          <w:rFonts w:cs="Times New Roman"/>
          <w:sz w:val="24"/>
          <w:szCs w:val="24"/>
          <w:shd w:val="clear" w:color="auto" w:fill="FFFFFF"/>
        </w:rPr>
      </w:pPr>
      <w:r w:rsidRPr="001E35F9">
        <w:rPr>
          <w:rFonts w:cs="Times New Roman"/>
          <w:sz w:val="24"/>
          <w:szCs w:val="24"/>
          <w:shd w:val="clear" w:color="auto" w:fill="FFFFFF"/>
        </w:rPr>
        <w:t>Roberts S (2008)</w:t>
      </w:r>
      <w:r w:rsidR="008B3788" w:rsidRPr="001E35F9">
        <w:rPr>
          <w:rFonts w:cs="Times New Roman"/>
          <w:sz w:val="24"/>
          <w:szCs w:val="24"/>
          <w:shd w:val="clear" w:color="auto" w:fill="FFFFFF"/>
        </w:rPr>
        <w:t xml:space="preserve"> Energy, equity and the future of the fuel poor. </w:t>
      </w:r>
      <w:r w:rsidR="008B3788" w:rsidRPr="001E35F9">
        <w:rPr>
          <w:rFonts w:cs="Times New Roman"/>
          <w:i/>
          <w:iCs/>
          <w:sz w:val="24"/>
          <w:szCs w:val="24"/>
          <w:shd w:val="clear" w:color="auto" w:fill="FFFFFF"/>
        </w:rPr>
        <w:t>Energy Policy</w:t>
      </w:r>
      <w:r w:rsidRPr="001E35F9">
        <w:rPr>
          <w:rFonts w:cs="Times New Roman"/>
          <w:sz w:val="24"/>
          <w:szCs w:val="24"/>
          <w:shd w:val="clear" w:color="auto" w:fill="FFFFFF"/>
        </w:rPr>
        <w:t xml:space="preserve"> </w:t>
      </w:r>
      <w:r w:rsidR="008B3788" w:rsidRPr="001E35F9">
        <w:rPr>
          <w:rFonts w:cs="Times New Roman"/>
          <w:iCs/>
          <w:sz w:val="24"/>
          <w:szCs w:val="24"/>
          <w:shd w:val="clear" w:color="auto" w:fill="FFFFFF"/>
        </w:rPr>
        <w:t>36</w:t>
      </w:r>
      <w:r w:rsidRPr="001E35F9">
        <w:rPr>
          <w:rFonts w:cs="Times New Roman"/>
          <w:sz w:val="24"/>
          <w:szCs w:val="24"/>
          <w:shd w:val="clear" w:color="auto" w:fill="FFFFFF"/>
        </w:rPr>
        <w:t xml:space="preserve">(12): </w:t>
      </w:r>
      <w:r w:rsidR="008B3788" w:rsidRPr="001E35F9">
        <w:rPr>
          <w:rFonts w:cs="Times New Roman"/>
          <w:sz w:val="24"/>
          <w:szCs w:val="24"/>
          <w:shd w:val="clear" w:color="auto" w:fill="FFFFFF"/>
        </w:rPr>
        <w:t>4471-4474.</w:t>
      </w:r>
    </w:p>
    <w:p w:rsidR="00135C86" w:rsidRPr="00135C86" w:rsidRDefault="00135C86" w:rsidP="00FB11C5">
      <w:pPr>
        <w:rPr>
          <w:rFonts w:cs="Times New Roman"/>
          <w:sz w:val="32"/>
          <w:szCs w:val="24"/>
          <w:shd w:val="clear" w:color="auto" w:fill="FFFFFF"/>
        </w:rPr>
      </w:pPr>
      <w:r w:rsidRPr="00135C86">
        <w:rPr>
          <w:rFonts w:cs="Times New Roman"/>
          <w:color w:val="222222"/>
          <w:sz w:val="24"/>
          <w:szCs w:val="20"/>
          <w:shd w:val="clear" w:color="auto" w:fill="FFFFFF"/>
        </w:rPr>
        <w:t>Robinson, C., Bouzarovski, S., &amp; Lindley, S. (2017</w:t>
      </w:r>
      <w:r>
        <w:rPr>
          <w:rFonts w:cs="Times New Roman"/>
          <w:color w:val="222222"/>
          <w:sz w:val="24"/>
          <w:szCs w:val="20"/>
          <w:shd w:val="clear" w:color="auto" w:fill="FFFFFF"/>
        </w:rPr>
        <w:t>a.</w:t>
      </w:r>
      <w:r w:rsidRPr="00135C86">
        <w:rPr>
          <w:rFonts w:cs="Times New Roman"/>
          <w:color w:val="222222"/>
          <w:sz w:val="24"/>
          <w:szCs w:val="20"/>
          <w:shd w:val="clear" w:color="auto" w:fill="FFFFFF"/>
        </w:rPr>
        <w:t>). ‘Getting the measure of fuel poverty’: The geography of fuel poverty indicators in England.</w:t>
      </w:r>
      <w:r w:rsidRPr="00135C86">
        <w:rPr>
          <w:rStyle w:val="apple-converted-space"/>
          <w:rFonts w:cs="Times New Roman"/>
          <w:color w:val="222222"/>
          <w:sz w:val="24"/>
          <w:szCs w:val="20"/>
          <w:shd w:val="clear" w:color="auto" w:fill="FFFFFF"/>
        </w:rPr>
        <w:t> </w:t>
      </w:r>
      <w:r w:rsidRPr="00135C86">
        <w:rPr>
          <w:rFonts w:cs="Times New Roman"/>
          <w:i/>
          <w:iCs/>
          <w:color w:val="222222"/>
          <w:sz w:val="24"/>
          <w:szCs w:val="20"/>
          <w:shd w:val="clear" w:color="auto" w:fill="FFFFFF"/>
        </w:rPr>
        <w:t>Energy Research &amp; Social Science</w:t>
      </w:r>
      <w:r w:rsidRPr="00135C86">
        <w:rPr>
          <w:rFonts w:cs="Times New Roman"/>
          <w:color w:val="222222"/>
          <w:sz w:val="24"/>
          <w:szCs w:val="20"/>
          <w:shd w:val="clear" w:color="auto" w:fill="FFFFFF"/>
        </w:rPr>
        <w:t>.</w:t>
      </w:r>
    </w:p>
    <w:p w:rsidR="008B3788" w:rsidRPr="00A41E03" w:rsidRDefault="001E35F9" w:rsidP="00FB11C5">
      <w:pPr>
        <w:rPr>
          <w:rFonts w:cs="Times New Roman"/>
          <w:sz w:val="24"/>
          <w:szCs w:val="24"/>
          <w:shd w:val="clear" w:color="auto" w:fill="FFFFFF"/>
        </w:rPr>
      </w:pPr>
      <w:r w:rsidRPr="001E35F9">
        <w:rPr>
          <w:rFonts w:cs="Times New Roman"/>
          <w:sz w:val="24"/>
          <w:szCs w:val="24"/>
          <w:shd w:val="clear" w:color="auto" w:fill="FFFFFF"/>
        </w:rPr>
        <w:t>Robinson C, B</w:t>
      </w:r>
      <w:r w:rsidR="000613C1">
        <w:rPr>
          <w:rFonts w:cs="Times New Roman"/>
          <w:sz w:val="24"/>
          <w:szCs w:val="24"/>
          <w:shd w:val="clear" w:color="auto" w:fill="FFFFFF"/>
        </w:rPr>
        <w:t>ouzarovski S and Lindley S (2017</w:t>
      </w:r>
      <w:r w:rsidR="00135C86">
        <w:rPr>
          <w:rFonts w:cs="Times New Roman"/>
          <w:sz w:val="24"/>
          <w:szCs w:val="24"/>
          <w:shd w:val="clear" w:color="auto" w:fill="FFFFFF"/>
        </w:rPr>
        <w:t>b.</w:t>
      </w:r>
      <w:r w:rsidRPr="001E35F9">
        <w:rPr>
          <w:rFonts w:cs="Times New Roman"/>
          <w:sz w:val="24"/>
          <w:szCs w:val="24"/>
          <w:shd w:val="clear" w:color="auto" w:fill="FFFFFF"/>
        </w:rPr>
        <w:t>)</w:t>
      </w:r>
      <w:r w:rsidR="008B3788" w:rsidRPr="001E35F9">
        <w:rPr>
          <w:rFonts w:cs="Times New Roman"/>
          <w:sz w:val="24"/>
          <w:szCs w:val="24"/>
          <w:shd w:val="clear" w:color="auto" w:fill="FFFFFF"/>
        </w:rPr>
        <w:t xml:space="preserve"> Multiple vulnerabilities? Interrogating the spatial distribution of energy poverty measures in England. In:</w:t>
      </w:r>
      <w:r w:rsidRPr="001E35F9">
        <w:rPr>
          <w:rFonts w:cs="Times New Roman"/>
          <w:sz w:val="24"/>
          <w:szCs w:val="24"/>
          <w:shd w:val="clear" w:color="auto" w:fill="FFFFFF"/>
        </w:rPr>
        <w:t xml:space="preserve"> </w:t>
      </w:r>
      <w:r w:rsidR="00A41E03">
        <w:rPr>
          <w:rFonts w:cs="Times New Roman"/>
          <w:sz w:val="24"/>
          <w:szCs w:val="24"/>
          <w:shd w:val="clear" w:color="auto" w:fill="FFFFFF"/>
        </w:rPr>
        <w:t>Simcock N, Thomson H, Petrova S</w:t>
      </w:r>
      <w:r w:rsidR="005171DF">
        <w:rPr>
          <w:rFonts w:cs="Times New Roman"/>
          <w:sz w:val="24"/>
          <w:szCs w:val="24"/>
          <w:shd w:val="clear" w:color="auto" w:fill="FFFFFF"/>
        </w:rPr>
        <w:t xml:space="preserve"> and Bouzarovski S</w:t>
      </w:r>
      <w:r w:rsidR="00A41E03">
        <w:rPr>
          <w:rFonts w:cs="Times New Roman"/>
          <w:sz w:val="24"/>
          <w:szCs w:val="24"/>
          <w:shd w:val="clear" w:color="auto" w:fill="FFFFFF"/>
        </w:rPr>
        <w:t xml:space="preserve"> </w:t>
      </w:r>
      <w:r w:rsidRPr="001E35F9">
        <w:rPr>
          <w:rFonts w:cs="Times New Roman"/>
          <w:sz w:val="24"/>
          <w:szCs w:val="24"/>
          <w:shd w:val="clear" w:color="auto" w:fill="FFFFFF"/>
        </w:rPr>
        <w:t xml:space="preserve">(eds) </w:t>
      </w:r>
      <w:r w:rsidR="005171DF">
        <w:rPr>
          <w:rFonts w:cs="Times New Roman"/>
          <w:i/>
          <w:sz w:val="24"/>
          <w:szCs w:val="24"/>
          <w:shd w:val="clear" w:color="auto" w:fill="FFFFFF"/>
        </w:rPr>
        <w:t>Energy Poverty and Vulnerability: A Global P</w:t>
      </w:r>
      <w:r w:rsidR="00A41E03" w:rsidRPr="00A41E03">
        <w:rPr>
          <w:rFonts w:cs="Times New Roman"/>
          <w:i/>
          <w:sz w:val="24"/>
          <w:szCs w:val="24"/>
          <w:shd w:val="clear" w:color="auto" w:fill="FFFFFF"/>
        </w:rPr>
        <w:t>erspective.</w:t>
      </w:r>
      <w:r w:rsidR="00A41E03">
        <w:rPr>
          <w:rFonts w:cs="Times New Roman"/>
          <w:sz w:val="24"/>
          <w:szCs w:val="24"/>
          <w:shd w:val="clear" w:color="auto" w:fill="FFFFFF"/>
        </w:rPr>
        <w:t xml:space="preserve"> Routledge: London.</w:t>
      </w:r>
    </w:p>
    <w:p w:rsidR="008B3788" w:rsidRPr="001E35F9" w:rsidRDefault="008B3788" w:rsidP="00FB11C5">
      <w:pPr>
        <w:rPr>
          <w:rFonts w:cs="Times New Roman"/>
          <w:i/>
          <w:sz w:val="24"/>
          <w:szCs w:val="24"/>
          <w:shd w:val="clear" w:color="auto" w:fill="FFFFFF"/>
        </w:rPr>
      </w:pPr>
      <w:r w:rsidRPr="001E35F9">
        <w:rPr>
          <w:rFonts w:cs="Times New Roman"/>
          <w:sz w:val="24"/>
          <w:szCs w:val="24"/>
          <w:shd w:val="clear" w:color="auto" w:fill="FFFFFF"/>
        </w:rPr>
        <w:t>Royal Town P</w:t>
      </w:r>
      <w:r w:rsidR="001E35F9" w:rsidRPr="001E35F9">
        <w:rPr>
          <w:rFonts w:cs="Times New Roman"/>
          <w:sz w:val="24"/>
          <w:szCs w:val="24"/>
          <w:shd w:val="clear" w:color="auto" w:fill="FFFFFF"/>
        </w:rPr>
        <w:t>lanning Institute (RTPI) (2016)</w:t>
      </w:r>
      <w:r w:rsidRPr="001E35F9">
        <w:rPr>
          <w:rFonts w:cs="Times New Roman"/>
          <w:sz w:val="24"/>
          <w:szCs w:val="24"/>
          <w:shd w:val="clear" w:color="auto" w:fill="FFFFFF"/>
        </w:rPr>
        <w:t xml:space="preserve"> Poverty, place and inequality. </w:t>
      </w:r>
      <w:r w:rsidR="001E35F9" w:rsidRPr="001E35F9">
        <w:rPr>
          <w:rFonts w:cs="Times New Roman"/>
          <w:sz w:val="24"/>
          <w:szCs w:val="24"/>
          <w:shd w:val="clear" w:color="auto" w:fill="FFFFFF"/>
        </w:rPr>
        <w:t xml:space="preserve">Report, Royal Town Planning Institute, UK, </w:t>
      </w:r>
      <w:r w:rsidR="001E35F9" w:rsidRPr="001E35F9">
        <w:rPr>
          <w:rFonts w:cs="Times New Roman"/>
          <w:color w:val="FF0000"/>
          <w:sz w:val="24"/>
          <w:szCs w:val="24"/>
          <w:shd w:val="clear" w:color="auto" w:fill="FFFFFF"/>
        </w:rPr>
        <w:t xml:space="preserve">. </w:t>
      </w:r>
      <w:r w:rsidRPr="001E35F9">
        <w:rPr>
          <w:rFonts w:cs="Times New Roman"/>
          <w:i/>
          <w:sz w:val="24"/>
          <w:szCs w:val="24"/>
          <w:shd w:val="clear" w:color="auto" w:fill="FFFFFF"/>
        </w:rPr>
        <w:t xml:space="preserve"> </w:t>
      </w:r>
    </w:p>
    <w:p w:rsidR="008B3788" w:rsidRPr="001E35F9" w:rsidRDefault="001E35F9" w:rsidP="00FB11C5">
      <w:pPr>
        <w:rPr>
          <w:rFonts w:cs="Times New Roman"/>
          <w:sz w:val="24"/>
          <w:szCs w:val="24"/>
          <w:shd w:val="clear" w:color="auto" w:fill="FFFFFF"/>
        </w:rPr>
      </w:pPr>
      <w:r w:rsidRPr="001E35F9">
        <w:rPr>
          <w:rFonts w:cs="Times New Roman"/>
          <w:sz w:val="24"/>
          <w:szCs w:val="24"/>
          <w:shd w:val="clear" w:color="auto" w:fill="FFFFFF"/>
        </w:rPr>
        <w:t>Rudge J (2012)</w:t>
      </w:r>
      <w:r w:rsidR="008B3788" w:rsidRPr="001E35F9">
        <w:rPr>
          <w:rFonts w:cs="Times New Roman"/>
          <w:sz w:val="24"/>
          <w:szCs w:val="24"/>
          <w:shd w:val="clear" w:color="auto" w:fill="FFFFFF"/>
        </w:rPr>
        <w:t xml:space="preserve"> Coal fires, fresh air and the hardy British: A historical view of domestic energy efficiency and thermal comfort in Britain. </w:t>
      </w:r>
      <w:r w:rsidR="008B3788" w:rsidRPr="001E35F9">
        <w:rPr>
          <w:rFonts w:cs="Times New Roman"/>
          <w:i/>
          <w:iCs/>
          <w:sz w:val="24"/>
          <w:szCs w:val="24"/>
          <w:shd w:val="clear" w:color="auto" w:fill="FFFFFF"/>
        </w:rPr>
        <w:t>Energy Policy</w:t>
      </w:r>
      <w:r w:rsidR="008B3788" w:rsidRPr="001E35F9">
        <w:rPr>
          <w:rFonts w:cs="Times New Roman"/>
          <w:sz w:val="24"/>
          <w:szCs w:val="24"/>
          <w:shd w:val="clear" w:color="auto" w:fill="FFFFFF"/>
        </w:rPr>
        <w:t> </w:t>
      </w:r>
      <w:r w:rsidR="008B3788" w:rsidRPr="001E35F9">
        <w:rPr>
          <w:rFonts w:cs="Times New Roman"/>
          <w:iCs/>
          <w:sz w:val="24"/>
          <w:szCs w:val="24"/>
          <w:shd w:val="clear" w:color="auto" w:fill="FFFFFF"/>
        </w:rPr>
        <w:t>49</w:t>
      </w:r>
      <w:r w:rsidRPr="001E35F9">
        <w:rPr>
          <w:rFonts w:cs="Times New Roman"/>
          <w:sz w:val="24"/>
          <w:szCs w:val="24"/>
          <w:shd w:val="clear" w:color="auto" w:fill="FFFFFF"/>
        </w:rPr>
        <w:t>:</w:t>
      </w:r>
      <w:r w:rsidR="008B3788" w:rsidRPr="001E35F9">
        <w:rPr>
          <w:rFonts w:cs="Times New Roman"/>
          <w:sz w:val="24"/>
          <w:szCs w:val="24"/>
          <w:shd w:val="clear" w:color="auto" w:fill="FFFFFF"/>
        </w:rPr>
        <w:t xml:space="preserve"> 6-11.</w:t>
      </w:r>
    </w:p>
    <w:p w:rsidR="008B3788" w:rsidRPr="001E35F9" w:rsidRDefault="001E35F9" w:rsidP="00FB11C5">
      <w:pPr>
        <w:rPr>
          <w:rFonts w:cs="Times New Roman"/>
          <w:sz w:val="24"/>
          <w:szCs w:val="24"/>
          <w:shd w:val="clear" w:color="auto" w:fill="FFFFFF"/>
        </w:rPr>
      </w:pPr>
      <w:r w:rsidRPr="001E35F9">
        <w:rPr>
          <w:rFonts w:cs="Times New Roman"/>
          <w:sz w:val="24"/>
          <w:szCs w:val="24"/>
          <w:shd w:val="clear" w:color="auto" w:fill="FFFFFF"/>
        </w:rPr>
        <w:t>Snell C, Bevan M and Thomson H (2015)</w:t>
      </w:r>
      <w:r w:rsidR="008B3788" w:rsidRPr="001E35F9">
        <w:rPr>
          <w:rFonts w:cs="Times New Roman"/>
          <w:sz w:val="24"/>
          <w:szCs w:val="24"/>
          <w:shd w:val="clear" w:color="auto" w:fill="FFFFFF"/>
        </w:rPr>
        <w:t xml:space="preserve"> Justice, fuel poverty and disabled people in England. </w:t>
      </w:r>
      <w:r w:rsidR="008B3788" w:rsidRPr="001E35F9">
        <w:rPr>
          <w:rFonts w:cs="Times New Roman"/>
          <w:i/>
          <w:iCs/>
          <w:sz w:val="24"/>
          <w:szCs w:val="24"/>
          <w:shd w:val="clear" w:color="auto" w:fill="FFFFFF"/>
        </w:rPr>
        <w:t>Energy Research &amp; Social Science</w:t>
      </w:r>
      <w:r w:rsidR="008B3788" w:rsidRPr="001E35F9">
        <w:rPr>
          <w:rFonts w:cs="Times New Roman"/>
          <w:sz w:val="24"/>
          <w:szCs w:val="24"/>
          <w:shd w:val="clear" w:color="auto" w:fill="FFFFFF"/>
        </w:rPr>
        <w:t> </w:t>
      </w:r>
      <w:r w:rsidR="008B3788" w:rsidRPr="001E35F9">
        <w:rPr>
          <w:rFonts w:cs="Times New Roman"/>
          <w:iCs/>
          <w:sz w:val="24"/>
          <w:szCs w:val="24"/>
          <w:shd w:val="clear" w:color="auto" w:fill="FFFFFF"/>
        </w:rPr>
        <w:t>10</w:t>
      </w:r>
      <w:r w:rsidRPr="001E35F9">
        <w:rPr>
          <w:rFonts w:cs="Times New Roman"/>
          <w:sz w:val="24"/>
          <w:szCs w:val="24"/>
          <w:shd w:val="clear" w:color="auto" w:fill="FFFFFF"/>
        </w:rPr>
        <w:t>:</w:t>
      </w:r>
      <w:r w:rsidR="008B3788" w:rsidRPr="001E35F9">
        <w:rPr>
          <w:rFonts w:cs="Times New Roman"/>
          <w:sz w:val="24"/>
          <w:szCs w:val="24"/>
          <w:shd w:val="clear" w:color="auto" w:fill="FFFFFF"/>
        </w:rPr>
        <w:t xml:space="preserve"> 123-132.</w:t>
      </w:r>
    </w:p>
    <w:p w:rsidR="008B3788" w:rsidRPr="001E35F9" w:rsidRDefault="001E35F9" w:rsidP="00FB11C5">
      <w:pPr>
        <w:rPr>
          <w:rFonts w:cs="Times New Roman"/>
          <w:sz w:val="24"/>
          <w:szCs w:val="24"/>
          <w:shd w:val="clear" w:color="auto" w:fill="FFFFFF"/>
        </w:rPr>
      </w:pPr>
      <w:r w:rsidRPr="001E35F9">
        <w:rPr>
          <w:rFonts w:cs="Times New Roman"/>
          <w:sz w:val="24"/>
          <w:szCs w:val="24"/>
          <w:shd w:val="clear" w:color="auto" w:fill="FFFFFF"/>
        </w:rPr>
        <w:lastRenderedPageBreak/>
        <w:t xml:space="preserve">Sovacool BK, Cooper C, Bazilian M, et al. (2012) </w:t>
      </w:r>
      <w:r w:rsidR="008B3788" w:rsidRPr="001E35F9">
        <w:rPr>
          <w:rFonts w:cs="Times New Roman"/>
          <w:sz w:val="24"/>
          <w:szCs w:val="24"/>
          <w:shd w:val="clear" w:color="auto" w:fill="FFFFFF"/>
        </w:rPr>
        <w:t>What moves and works: Broadening the consideration of energy poverty. </w:t>
      </w:r>
      <w:r w:rsidR="008B3788" w:rsidRPr="001E35F9">
        <w:rPr>
          <w:rFonts w:cs="Times New Roman"/>
          <w:i/>
          <w:iCs/>
          <w:sz w:val="24"/>
          <w:szCs w:val="24"/>
          <w:shd w:val="clear" w:color="auto" w:fill="FFFFFF"/>
        </w:rPr>
        <w:t>Energy Policy</w:t>
      </w:r>
      <w:r w:rsidR="008B3788" w:rsidRPr="001E35F9">
        <w:rPr>
          <w:rFonts w:cs="Times New Roman"/>
          <w:sz w:val="24"/>
          <w:szCs w:val="24"/>
          <w:shd w:val="clear" w:color="auto" w:fill="FFFFFF"/>
        </w:rPr>
        <w:t> </w:t>
      </w:r>
      <w:r w:rsidR="008B3788" w:rsidRPr="001E35F9">
        <w:rPr>
          <w:rFonts w:cs="Times New Roman"/>
          <w:iCs/>
          <w:sz w:val="24"/>
          <w:szCs w:val="24"/>
          <w:shd w:val="clear" w:color="auto" w:fill="FFFFFF"/>
        </w:rPr>
        <w:t>42</w:t>
      </w:r>
      <w:r w:rsidRPr="001E35F9">
        <w:rPr>
          <w:rFonts w:cs="Times New Roman"/>
          <w:sz w:val="24"/>
          <w:szCs w:val="24"/>
          <w:shd w:val="clear" w:color="auto" w:fill="FFFFFF"/>
        </w:rPr>
        <w:t>:</w:t>
      </w:r>
      <w:r w:rsidR="008B3788" w:rsidRPr="001E35F9">
        <w:rPr>
          <w:rFonts w:cs="Times New Roman"/>
          <w:sz w:val="24"/>
          <w:szCs w:val="24"/>
          <w:shd w:val="clear" w:color="auto" w:fill="FFFFFF"/>
        </w:rPr>
        <w:t xml:space="preserve"> 715-719.</w:t>
      </w:r>
    </w:p>
    <w:p w:rsidR="008B3788" w:rsidRPr="001E35F9" w:rsidRDefault="008B3788" w:rsidP="00FB11C5">
      <w:pPr>
        <w:rPr>
          <w:rFonts w:cs="Times New Roman"/>
          <w:sz w:val="24"/>
          <w:szCs w:val="24"/>
          <w:shd w:val="clear" w:color="auto" w:fill="FFFFFF"/>
        </w:rPr>
      </w:pPr>
      <w:r w:rsidRPr="001E35F9">
        <w:rPr>
          <w:rFonts w:cs="Times New Roman"/>
          <w:sz w:val="24"/>
          <w:szCs w:val="24"/>
          <w:shd w:val="clear" w:color="auto" w:fill="FFFFFF"/>
        </w:rPr>
        <w:t>Thomson</w:t>
      </w:r>
      <w:r w:rsidR="001E35F9" w:rsidRPr="001E35F9">
        <w:rPr>
          <w:rFonts w:cs="Times New Roman"/>
          <w:sz w:val="24"/>
          <w:szCs w:val="24"/>
          <w:shd w:val="clear" w:color="auto" w:fill="FFFFFF"/>
        </w:rPr>
        <w:t xml:space="preserve"> H and Snell C (2013)</w:t>
      </w:r>
      <w:r w:rsidRPr="001E35F9">
        <w:rPr>
          <w:rFonts w:cs="Times New Roman"/>
          <w:sz w:val="24"/>
          <w:szCs w:val="24"/>
          <w:shd w:val="clear" w:color="auto" w:fill="FFFFFF"/>
        </w:rPr>
        <w:t xml:space="preserve"> Quantifying the prevalence of fuel poverty across the European Union. </w:t>
      </w:r>
      <w:r w:rsidRPr="001E35F9">
        <w:rPr>
          <w:rFonts w:cs="Times New Roman"/>
          <w:i/>
          <w:iCs/>
          <w:sz w:val="24"/>
          <w:szCs w:val="24"/>
          <w:shd w:val="clear" w:color="auto" w:fill="FFFFFF"/>
        </w:rPr>
        <w:t>Energy Policy</w:t>
      </w:r>
      <w:r w:rsidRPr="001E35F9">
        <w:rPr>
          <w:rFonts w:cs="Times New Roman"/>
          <w:sz w:val="24"/>
          <w:szCs w:val="24"/>
          <w:shd w:val="clear" w:color="auto" w:fill="FFFFFF"/>
        </w:rPr>
        <w:t> </w:t>
      </w:r>
      <w:r w:rsidRPr="001E35F9">
        <w:rPr>
          <w:rFonts w:cs="Times New Roman"/>
          <w:iCs/>
          <w:sz w:val="24"/>
          <w:szCs w:val="24"/>
          <w:shd w:val="clear" w:color="auto" w:fill="FFFFFF"/>
        </w:rPr>
        <w:t>52</w:t>
      </w:r>
      <w:r w:rsidR="001E35F9" w:rsidRPr="001E35F9">
        <w:rPr>
          <w:rFonts w:cs="Times New Roman"/>
          <w:sz w:val="24"/>
          <w:szCs w:val="24"/>
          <w:shd w:val="clear" w:color="auto" w:fill="FFFFFF"/>
        </w:rPr>
        <w:t>:</w:t>
      </w:r>
      <w:r w:rsidRPr="001E35F9">
        <w:rPr>
          <w:rFonts w:cs="Times New Roman"/>
          <w:sz w:val="24"/>
          <w:szCs w:val="24"/>
          <w:shd w:val="clear" w:color="auto" w:fill="FFFFFF"/>
        </w:rPr>
        <w:t xml:space="preserve"> 563-572.</w:t>
      </w:r>
    </w:p>
    <w:p w:rsidR="008B3788" w:rsidRPr="001E35F9" w:rsidRDefault="001E35F9" w:rsidP="00FB11C5">
      <w:pPr>
        <w:rPr>
          <w:rFonts w:cs="Times New Roman"/>
          <w:sz w:val="24"/>
          <w:szCs w:val="24"/>
          <w:shd w:val="clear" w:color="auto" w:fill="FFFFFF"/>
        </w:rPr>
      </w:pPr>
      <w:r w:rsidRPr="001E35F9">
        <w:rPr>
          <w:rFonts w:cs="Times New Roman"/>
          <w:sz w:val="24"/>
          <w:szCs w:val="24"/>
          <w:shd w:val="clear" w:color="auto" w:fill="FFFFFF"/>
        </w:rPr>
        <w:t>Tirado</w:t>
      </w:r>
      <w:r w:rsidR="008B3788" w:rsidRPr="001E35F9">
        <w:rPr>
          <w:rFonts w:cs="Times New Roman"/>
          <w:sz w:val="24"/>
          <w:szCs w:val="24"/>
          <w:shd w:val="clear" w:color="auto" w:fill="FFFFFF"/>
        </w:rPr>
        <w:t>-Herrero</w:t>
      </w:r>
      <w:r w:rsidRPr="001E35F9">
        <w:rPr>
          <w:rFonts w:cs="Times New Roman"/>
          <w:sz w:val="24"/>
          <w:szCs w:val="24"/>
          <w:shd w:val="clear" w:color="auto" w:fill="FFFFFF"/>
        </w:rPr>
        <w:t xml:space="preserve"> S</w:t>
      </w:r>
      <w:r w:rsidR="008B3788" w:rsidRPr="001E35F9">
        <w:rPr>
          <w:rFonts w:cs="Times New Roman"/>
          <w:sz w:val="24"/>
          <w:szCs w:val="24"/>
          <w:shd w:val="clear" w:color="auto" w:fill="FFFFFF"/>
        </w:rPr>
        <w:t xml:space="preserve"> and Ür</w:t>
      </w:r>
      <w:r w:rsidRPr="001E35F9">
        <w:rPr>
          <w:rFonts w:cs="Times New Roman"/>
          <w:sz w:val="24"/>
          <w:szCs w:val="24"/>
          <w:shd w:val="clear" w:color="auto" w:fill="FFFFFF"/>
        </w:rPr>
        <w:t>ge-Vorsatz D (2012)</w:t>
      </w:r>
      <w:r w:rsidR="008B3788" w:rsidRPr="001E35F9">
        <w:rPr>
          <w:rFonts w:cs="Times New Roman"/>
          <w:sz w:val="24"/>
          <w:szCs w:val="24"/>
          <w:shd w:val="clear" w:color="auto" w:fill="FFFFFF"/>
        </w:rPr>
        <w:t xml:space="preserve"> Trapped in the heat: A post-communist type of fuel poverty. </w:t>
      </w:r>
      <w:r w:rsidR="008B3788" w:rsidRPr="001E35F9">
        <w:rPr>
          <w:rFonts w:cs="Times New Roman"/>
          <w:i/>
          <w:iCs/>
          <w:sz w:val="24"/>
          <w:szCs w:val="24"/>
          <w:shd w:val="clear" w:color="auto" w:fill="FFFFFF"/>
        </w:rPr>
        <w:t>Energy Policy</w:t>
      </w:r>
      <w:r w:rsidR="008B3788" w:rsidRPr="001E35F9">
        <w:rPr>
          <w:rFonts w:cs="Times New Roman"/>
          <w:sz w:val="24"/>
          <w:szCs w:val="24"/>
          <w:shd w:val="clear" w:color="auto" w:fill="FFFFFF"/>
        </w:rPr>
        <w:t> </w:t>
      </w:r>
      <w:r w:rsidR="008B3788" w:rsidRPr="001E35F9">
        <w:rPr>
          <w:rFonts w:cs="Times New Roman"/>
          <w:iCs/>
          <w:sz w:val="24"/>
          <w:szCs w:val="24"/>
          <w:shd w:val="clear" w:color="auto" w:fill="FFFFFF"/>
        </w:rPr>
        <w:t>49</w:t>
      </w:r>
      <w:r w:rsidRPr="001E35F9">
        <w:rPr>
          <w:rFonts w:cs="Times New Roman"/>
          <w:sz w:val="24"/>
          <w:szCs w:val="24"/>
          <w:shd w:val="clear" w:color="auto" w:fill="FFFFFF"/>
        </w:rPr>
        <w:t>:</w:t>
      </w:r>
      <w:r w:rsidR="008B3788" w:rsidRPr="001E35F9">
        <w:rPr>
          <w:rFonts w:cs="Times New Roman"/>
          <w:sz w:val="24"/>
          <w:szCs w:val="24"/>
          <w:shd w:val="clear" w:color="auto" w:fill="FFFFFF"/>
        </w:rPr>
        <w:t xml:space="preserve"> 60-68.</w:t>
      </w:r>
    </w:p>
    <w:p w:rsidR="008B3788" w:rsidRPr="001E35F9" w:rsidRDefault="001E35F9" w:rsidP="00FB11C5">
      <w:pPr>
        <w:rPr>
          <w:rFonts w:cs="Times New Roman"/>
          <w:i/>
          <w:sz w:val="24"/>
          <w:szCs w:val="24"/>
          <w:shd w:val="clear" w:color="auto" w:fill="FFFFFF"/>
        </w:rPr>
      </w:pPr>
      <w:r w:rsidRPr="001E35F9">
        <w:rPr>
          <w:rFonts w:cs="Times New Roman"/>
          <w:sz w:val="24"/>
          <w:szCs w:val="24"/>
          <w:shd w:val="clear" w:color="auto" w:fill="FFFFFF"/>
        </w:rPr>
        <w:t>Walker G and Day R (2012)</w:t>
      </w:r>
      <w:r w:rsidR="008B3788" w:rsidRPr="001E35F9">
        <w:rPr>
          <w:rFonts w:cs="Times New Roman"/>
          <w:sz w:val="24"/>
          <w:szCs w:val="24"/>
          <w:shd w:val="clear" w:color="auto" w:fill="FFFFFF"/>
        </w:rPr>
        <w:t xml:space="preserve"> Fuel poverty as injustice: Integrating distribution, recognition and procedure in the struggle for affordable warmth. </w:t>
      </w:r>
      <w:r w:rsidR="008B3788" w:rsidRPr="001E35F9">
        <w:rPr>
          <w:rFonts w:cs="Times New Roman"/>
          <w:i/>
          <w:iCs/>
          <w:sz w:val="24"/>
          <w:szCs w:val="24"/>
          <w:shd w:val="clear" w:color="auto" w:fill="FFFFFF"/>
        </w:rPr>
        <w:t>Energy policy</w:t>
      </w:r>
      <w:r w:rsidR="008B3788" w:rsidRPr="001E35F9">
        <w:rPr>
          <w:rFonts w:cs="Times New Roman"/>
          <w:sz w:val="24"/>
          <w:szCs w:val="24"/>
          <w:shd w:val="clear" w:color="auto" w:fill="FFFFFF"/>
        </w:rPr>
        <w:t> </w:t>
      </w:r>
      <w:r w:rsidR="008B3788" w:rsidRPr="001E35F9">
        <w:rPr>
          <w:rFonts w:cs="Times New Roman"/>
          <w:i/>
          <w:iCs/>
          <w:sz w:val="24"/>
          <w:szCs w:val="24"/>
          <w:shd w:val="clear" w:color="auto" w:fill="FFFFFF"/>
        </w:rPr>
        <w:t>49</w:t>
      </w:r>
      <w:r w:rsidRPr="001E35F9">
        <w:rPr>
          <w:rFonts w:cs="Times New Roman"/>
          <w:i/>
          <w:sz w:val="24"/>
          <w:szCs w:val="24"/>
          <w:shd w:val="clear" w:color="auto" w:fill="FFFFFF"/>
        </w:rPr>
        <w:t xml:space="preserve">: </w:t>
      </w:r>
      <w:r w:rsidR="008B3788" w:rsidRPr="001E35F9">
        <w:rPr>
          <w:rFonts w:cs="Times New Roman"/>
          <w:i/>
          <w:sz w:val="24"/>
          <w:szCs w:val="24"/>
          <w:shd w:val="clear" w:color="auto" w:fill="FFFFFF"/>
        </w:rPr>
        <w:t>69-75.</w:t>
      </w:r>
    </w:p>
    <w:p w:rsidR="008B3788" w:rsidRPr="00894D3A" w:rsidRDefault="001E35F9" w:rsidP="00FB11C5">
      <w:pPr>
        <w:rPr>
          <w:rFonts w:cs="Times New Roman"/>
          <w:sz w:val="24"/>
          <w:szCs w:val="24"/>
          <w:shd w:val="clear" w:color="auto" w:fill="FFFFFF"/>
        </w:rPr>
      </w:pPr>
      <w:r w:rsidRPr="001E35F9">
        <w:rPr>
          <w:rFonts w:cs="Times New Roman"/>
          <w:sz w:val="24"/>
          <w:szCs w:val="24"/>
          <w:shd w:val="clear" w:color="auto" w:fill="FFFFFF"/>
        </w:rPr>
        <w:t>Walker R, McKenzie P, Liddell C and Morris C (2012)</w:t>
      </w:r>
      <w:r w:rsidR="008B3788" w:rsidRPr="001E35F9">
        <w:rPr>
          <w:rFonts w:cs="Times New Roman"/>
          <w:sz w:val="24"/>
          <w:szCs w:val="24"/>
          <w:shd w:val="clear" w:color="auto" w:fill="FFFFFF"/>
        </w:rPr>
        <w:t xml:space="preserve"> Area-based targeting of fuel poverty in Northern Ireland: An evidenced-based approach. </w:t>
      </w:r>
      <w:r w:rsidR="008B3788" w:rsidRPr="001E35F9">
        <w:rPr>
          <w:rFonts w:cs="Times New Roman"/>
          <w:i/>
          <w:iCs/>
          <w:sz w:val="24"/>
          <w:szCs w:val="24"/>
          <w:shd w:val="clear" w:color="auto" w:fill="FFFFFF"/>
        </w:rPr>
        <w:t>Applied Geography</w:t>
      </w:r>
      <w:r w:rsidRPr="001E35F9">
        <w:rPr>
          <w:rFonts w:cs="Times New Roman"/>
          <w:i/>
          <w:iCs/>
          <w:sz w:val="24"/>
          <w:szCs w:val="24"/>
          <w:shd w:val="clear" w:color="auto" w:fill="FFFFFF"/>
        </w:rPr>
        <w:t xml:space="preserve"> </w:t>
      </w:r>
      <w:r w:rsidR="008B3788" w:rsidRPr="001E35F9">
        <w:rPr>
          <w:rFonts w:cs="Times New Roman"/>
          <w:iCs/>
          <w:sz w:val="24"/>
          <w:szCs w:val="24"/>
          <w:shd w:val="clear" w:color="auto" w:fill="FFFFFF"/>
        </w:rPr>
        <w:t>34</w:t>
      </w:r>
      <w:r w:rsidRPr="001E35F9">
        <w:rPr>
          <w:rFonts w:cs="Times New Roman"/>
          <w:iCs/>
          <w:sz w:val="24"/>
          <w:szCs w:val="24"/>
          <w:shd w:val="clear" w:color="auto" w:fill="FFFFFF"/>
        </w:rPr>
        <w:t>:</w:t>
      </w:r>
      <w:r w:rsidR="00894D3A">
        <w:rPr>
          <w:rFonts w:cs="Times New Roman"/>
          <w:sz w:val="24"/>
          <w:szCs w:val="24"/>
          <w:shd w:val="clear" w:color="auto" w:fill="FFFFFF"/>
        </w:rPr>
        <w:t xml:space="preserve"> 639-649.</w:t>
      </w:r>
    </w:p>
    <w:p w:rsidR="008B3788" w:rsidRPr="004722A3" w:rsidRDefault="008B3788" w:rsidP="00DE191F">
      <w:pPr>
        <w:spacing w:line="480" w:lineRule="auto"/>
        <w:jc w:val="both"/>
        <w:rPr>
          <w:rFonts w:cs="Times New Roman"/>
          <w:b/>
          <w:sz w:val="24"/>
          <w:szCs w:val="24"/>
        </w:rPr>
      </w:pPr>
    </w:p>
    <w:sectPr w:rsidR="008B3788" w:rsidRPr="004722A3" w:rsidSect="00F02B6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7DDD" w:rsidRDefault="000E7DDD" w:rsidP="00BF66FF">
      <w:pPr>
        <w:spacing w:after="0" w:line="240" w:lineRule="auto"/>
      </w:pPr>
      <w:r>
        <w:separator/>
      </w:r>
    </w:p>
  </w:endnote>
  <w:endnote w:type="continuationSeparator" w:id="0">
    <w:p w:rsidR="000E7DDD" w:rsidRDefault="000E7DDD" w:rsidP="00BF66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020432"/>
      <w:docPartObj>
        <w:docPartGallery w:val="Page Numbers (Bottom of Page)"/>
        <w:docPartUnique/>
      </w:docPartObj>
    </w:sdtPr>
    <w:sdtEndPr>
      <w:rPr>
        <w:noProof/>
      </w:rPr>
    </w:sdtEndPr>
    <w:sdtContent>
      <w:p w:rsidR="004956C2" w:rsidRDefault="004956C2">
        <w:pPr>
          <w:pStyle w:val="Footer"/>
          <w:jc w:val="right"/>
        </w:pPr>
        <w:r>
          <w:fldChar w:fldCharType="begin"/>
        </w:r>
        <w:r>
          <w:instrText xml:space="preserve"> PAGE   \* MERGEFORMAT </w:instrText>
        </w:r>
        <w:r>
          <w:fldChar w:fldCharType="separate"/>
        </w:r>
        <w:r w:rsidR="00336CCF">
          <w:rPr>
            <w:noProof/>
          </w:rPr>
          <w:t>10</w:t>
        </w:r>
        <w:r>
          <w:rPr>
            <w:noProof/>
          </w:rPr>
          <w:fldChar w:fldCharType="end"/>
        </w:r>
      </w:p>
    </w:sdtContent>
  </w:sdt>
  <w:p w:rsidR="004956C2" w:rsidRDefault="004956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7DDD" w:rsidRDefault="000E7DDD" w:rsidP="00BF66FF">
      <w:pPr>
        <w:spacing w:after="0" w:line="240" w:lineRule="auto"/>
      </w:pPr>
      <w:r>
        <w:separator/>
      </w:r>
    </w:p>
  </w:footnote>
  <w:footnote w:type="continuationSeparator" w:id="0">
    <w:p w:rsidR="000E7DDD" w:rsidRDefault="000E7DDD" w:rsidP="00BF66FF">
      <w:pPr>
        <w:spacing w:after="0" w:line="240" w:lineRule="auto"/>
      </w:pPr>
      <w:r>
        <w:continuationSeparator/>
      </w:r>
    </w:p>
  </w:footnote>
  <w:footnote w:id="1">
    <w:p w:rsidR="004956C2" w:rsidRDefault="004956C2" w:rsidP="007D34F1">
      <w:pPr>
        <w:pStyle w:val="FootnoteText"/>
        <w:jc w:val="both"/>
      </w:pPr>
      <w:r>
        <w:rPr>
          <w:rStyle w:val="FootnoteReference"/>
        </w:rPr>
        <w:footnoteRef/>
      </w:r>
      <w:r>
        <w:t xml:space="preserve"> Although these variables were excluded due to the results of the OLS models, it is recognised that this does not preclude them from having an effect on the GWR models. Although outside the scope of this analysis, readers should bear this in mind when interpreting the results of the GWR models.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A529C"/>
    <w:multiLevelType w:val="hybridMultilevel"/>
    <w:tmpl w:val="5186F9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8765640"/>
    <w:multiLevelType w:val="hybridMultilevel"/>
    <w:tmpl w:val="41E2F2B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083500"/>
    <w:multiLevelType w:val="hybridMultilevel"/>
    <w:tmpl w:val="AC7817A8"/>
    <w:lvl w:ilvl="0" w:tplc="40821FD6">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EF1ED9"/>
    <w:multiLevelType w:val="hybridMultilevel"/>
    <w:tmpl w:val="A928CD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3334413"/>
    <w:multiLevelType w:val="hybridMultilevel"/>
    <w:tmpl w:val="2EC826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5021D8E"/>
    <w:multiLevelType w:val="hybridMultilevel"/>
    <w:tmpl w:val="59FA63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5C01937"/>
    <w:multiLevelType w:val="hybridMultilevel"/>
    <w:tmpl w:val="7B5A89EA"/>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7890AD4"/>
    <w:multiLevelType w:val="hybridMultilevel"/>
    <w:tmpl w:val="BF629692"/>
    <w:lvl w:ilvl="0" w:tplc="EA8EC72E">
      <w:start w:val="10"/>
      <w:numFmt w:val="bullet"/>
      <w:lvlText w:val="-"/>
      <w:lvlJc w:val="left"/>
      <w:pPr>
        <w:ind w:left="720" w:hanging="360"/>
      </w:pPr>
      <w:rPr>
        <w:rFonts w:ascii="Cambria" w:eastAsia="Calibri" w:hAnsi="Cambria"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200A68E3"/>
    <w:multiLevelType w:val="hybridMultilevel"/>
    <w:tmpl w:val="EAA68942"/>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73F453D"/>
    <w:multiLevelType w:val="hybridMultilevel"/>
    <w:tmpl w:val="0C1E3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6EE7E04"/>
    <w:multiLevelType w:val="hybridMultilevel"/>
    <w:tmpl w:val="3E942938"/>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E9768E2"/>
    <w:multiLevelType w:val="hybridMultilevel"/>
    <w:tmpl w:val="9496DBCA"/>
    <w:lvl w:ilvl="0" w:tplc="76F4C91A">
      <w:start w:val="8"/>
      <w:numFmt w:val="bullet"/>
      <w:lvlText w:val="-"/>
      <w:lvlJc w:val="left"/>
      <w:pPr>
        <w:ind w:left="720" w:hanging="360"/>
      </w:pPr>
      <w:rPr>
        <w:rFonts w:ascii="Times New Roman" w:eastAsiaTheme="minorHAnsi" w:hAnsi="Times New Roman" w:cs="Times New Roman"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D8D6587"/>
    <w:multiLevelType w:val="multilevel"/>
    <w:tmpl w:val="AA8E93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4F716FB1"/>
    <w:multiLevelType w:val="hybridMultilevel"/>
    <w:tmpl w:val="81DC5642"/>
    <w:lvl w:ilvl="0" w:tplc="BCBACC34">
      <w:start w:val="1"/>
      <w:numFmt w:val="decimal"/>
      <w:lvlText w:val="%1."/>
      <w:lvlJc w:val="left"/>
      <w:pPr>
        <w:ind w:left="720" w:hanging="360"/>
      </w:pPr>
      <w:rPr>
        <w:rFonts w:ascii="Times New Roman" w:hAnsi="Times New Roman" w:cs="Times New Roman" w:hint="default"/>
        <w:sz w:val="24"/>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5387C2F"/>
    <w:multiLevelType w:val="hybridMultilevel"/>
    <w:tmpl w:val="392804B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64860ED"/>
    <w:multiLevelType w:val="hybridMultilevel"/>
    <w:tmpl w:val="2216F8A0"/>
    <w:lvl w:ilvl="0" w:tplc="F27E7182">
      <w:start w:val="5"/>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C740994"/>
    <w:multiLevelType w:val="hybridMultilevel"/>
    <w:tmpl w:val="430A6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E9368A5"/>
    <w:multiLevelType w:val="hybridMultilevel"/>
    <w:tmpl w:val="1716F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EB101F0"/>
    <w:multiLevelType w:val="hybridMultilevel"/>
    <w:tmpl w:val="16ECA1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ECB52CC"/>
    <w:multiLevelType w:val="hybridMultilevel"/>
    <w:tmpl w:val="977603D2"/>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1F254A4"/>
    <w:multiLevelType w:val="hybridMultilevel"/>
    <w:tmpl w:val="EA5C7288"/>
    <w:lvl w:ilvl="0" w:tplc="7A4E7E12">
      <w:start w:val="5"/>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82D4F5C"/>
    <w:multiLevelType w:val="hybridMultilevel"/>
    <w:tmpl w:val="E95889FE"/>
    <w:lvl w:ilvl="0" w:tplc="64405CE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8BC4AFB"/>
    <w:multiLevelType w:val="hybridMultilevel"/>
    <w:tmpl w:val="8F2637E0"/>
    <w:lvl w:ilvl="0" w:tplc="5AF6F71C">
      <w:start w:val="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B1023E5"/>
    <w:multiLevelType w:val="hybridMultilevel"/>
    <w:tmpl w:val="EAB4C326"/>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6BD93116"/>
    <w:multiLevelType w:val="hybridMultilevel"/>
    <w:tmpl w:val="90B05770"/>
    <w:lvl w:ilvl="0" w:tplc="902A0A6E">
      <w:start w:val="3"/>
      <w:numFmt w:val="bullet"/>
      <w:lvlText w:val="-"/>
      <w:lvlJc w:val="left"/>
      <w:pPr>
        <w:ind w:left="720" w:hanging="360"/>
      </w:pPr>
      <w:rPr>
        <w:rFonts w:ascii="Times New Roman" w:eastAsiaTheme="maj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5075698"/>
    <w:multiLevelType w:val="hybridMultilevel"/>
    <w:tmpl w:val="97E221C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781929D7"/>
    <w:multiLevelType w:val="hybridMultilevel"/>
    <w:tmpl w:val="F57E7588"/>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2"/>
  </w:num>
  <w:num w:numId="2">
    <w:abstractNumId w:val="7"/>
  </w:num>
  <w:num w:numId="3">
    <w:abstractNumId w:val="4"/>
  </w:num>
  <w:num w:numId="4">
    <w:abstractNumId w:val="17"/>
  </w:num>
  <w:num w:numId="5">
    <w:abstractNumId w:val="16"/>
  </w:num>
  <w:num w:numId="6">
    <w:abstractNumId w:val="9"/>
  </w:num>
  <w:num w:numId="7">
    <w:abstractNumId w:val="13"/>
  </w:num>
  <w:num w:numId="8">
    <w:abstractNumId w:val="22"/>
  </w:num>
  <w:num w:numId="9">
    <w:abstractNumId w:val="20"/>
  </w:num>
  <w:num w:numId="10">
    <w:abstractNumId w:val="11"/>
  </w:num>
  <w:num w:numId="11">
    <w:abstractNumId w:val="5"/>
  </w:num>
  <w:num w:numId="12">
    <w:abstractNumId w:val="6"/>
  </w:num>
  <w:num w:numId="13">
    <w:abstractNumId w:val="1"/>
  </w:num>
  <w:num w:numId="14">
    <w:abstractNumId w:val="18"/>
  </w:num>
  <w:num w:numId="15">
    <w:abstractNumId w:val="26"/>
  </w:num>
  <w:num w:numId="16">
    <w:abstractNumId w:val="0"/>
  </w:num>
  <w:num w:numId="17">
    <w:abstractNumId w:val="10"/>
  </w:num>
  <w:num w:numId="18">
    <w:abstractNumId w:val="3"/>
  </w:num>
  <w:num w:numId="19">
    <w:abstractNumId w:val="25"/>
  </w:num>
  <w:num w:numId="20">
    <w:abstractNumId w:val="2"/>
  </w:num>
  <w:num w:numId="21">
    <w:abstractNumId w:val="21"/>
  </w:num>
  <w:num w:numId="22">
    <w:abstractNumId w:val="19"/>
  </w:num>
  <w:num w:numId="23">
    <w:abstractNumId w:val="24"/>
  </w:num>
  <w:num w:numId="24">
    <w:abstractNumId w:val="8"/>
  </w:num>
  <w:num w:numId="25">
    <w:abstractNumId w:val="14"/>
  </w:num>
  <w:num w:numId="26">
    <w:abstractNumId w:val="23"/>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B27"/>
    <w:rsid w:val="00034BF0"/>
    <w:rsid w:val="00053C27"/>
    <w:rsid w:val="000613C1"/>
    <w:rsid w:val="00075E6C"/>
    <w:rsid w:val="0008666D"/>
    <w:rsid w:val="000A0230"/>
    <w:rsid w:val="000A026F"/>
    <w:rsid w:val="000A1B88"/>
    <w:rsid w:val="000B7439"/>
    <w:rsid w:val="000C2024"/>
    <w:rsid w:val="000E3471"/>
    <w:rsid w:val="000E7DDD"/>
    <w:rsid w:val="00103819"/>
    <w:rsid w:val="00132254"/>
    <w:rsid w:val="001326AE"/>
    <w:rsid w:val="00135C86"/>
    <w:rsid w:val="001458DD"/>
    <w:rsid w:val="00177EC5"/>
    <w:rsid w:val="00191C0B"/>
    <w:rsid w:val="001A5644"/>
    <w:rsid w:val="001A5FFB"/>
    <w:rsid w:val="001B1C9E"/>
    <w:rsid w:val="001C3D29"/>
    <w:rsid w:val="001E35F9"/>
    <w:rsid w:val="001E39B5"/>
    <w:rsid w:val="001E6C71"/>
    <w:rsid w:val="0020040D"/>
    <w:rsid w:val="00205779"/>
    <w:rsid w:val="00215B27"/>
    <w:rsid w:val="00227828"/>
    <w:rsid w:val="00236767"/>
    <w:rsid w:val="002428B3"/>
    <w:rsid w:val="00297FF4"/>
    <w:rsid w:val="002A2876"/>
    <w:rsid w:val="002D051E"/>
    <w:rsid w:val="002D3AF5"/>
    <w:rsid w:val="002E70D9"/>
    <w:rsid w:val="002E7F6F"/>
    <w:rsid w:val="002F7BA1"/>
    <w:rsid w:val="00302DB2"/>
    <w:rsid w:val="00305A59"/>
    <w:rsid w:val="00306EEF"/>
    <w:rsid w:val="00315123"/>
    <w:rsid w:val="003249BB"/>
    <w:rsid w:val="00332021"/>
    <w:rsid w:val="00336CCF"/>
    <w:rsid w:val="00366231"/>
    <w:rsid w:val="00373224"/>
    <w:rsid w:val="0037783E"/>
    <w:rsid w:val="00385464"/>
    <w:rsid w:val="003A703F"/>
    <w:rsid w:val="003B3EFD"/>
    <w:rsid w:val="003C7296"/>
    <w:rsid w:val="003D1BA3"/>
    <w:rsid w:val="003D5540"/>
    <w:rsid w:val="003F53AE"/>
    <w:rsid w:val="00436DF0"/>
    <w:rsid w:val="004506F6"/>
    <w:rsid w:val="0045388D"/>
    <w:rsid w:val="004557F3"/>
    <w:rsid w:val="00467EED"/>
    <w:rsid w:val="004722A3"/>
    <w:rsid w:val="004820FF"/>
    <w:rsid w:val="00485455"/>
    <w:rsid w:val="0049096B"/>
    <w:rsid w:val="004956C2"/>
    <w:rsid w:val="004A47AA"/>
    <w:rsid w:val="004B2810"/>
    <w:rsid w:val="004B6488"/>
    <w:rsid w:val="004D7822"/>
    <w:rsid w:val="004F2625"/>
    <w:rsid w:val="004F5D3E"/>
    <w:rsid w:val="00513E15"/>
    <w:rsid w:val="005171DF"/>
    <w:rsid w:val="00556167"/>
    <w:rsid w:val="005609C1"/>
    <w:rsid w:val="00562695"/>
    <w:rsid w:val="00565E64"/>
    <w:rsid w:val="00567F6F"/>
    <w:rsid w:val="0058650E"/>
    <w:rsid w:val="00595A9C"/>
    <w:rsid w:val="005A7378"/>
    <w:rsid w:val="005D4A51"/>
    <w:rsid w:val="005D5928"/>
    <w:rsid w:val="005E0924"/>
    <w:rsid w:val="005F1F02"/>
    <w:rsid w:val="005F6025"/>
    <w:rsid w:val="00611830"/>
    <w:rsid w:val="0062067F"/>
    <w:rsid w:val="00657DE5"/>
    <w:rsid w:val="00680D8E"/>
    <w:rsid w:val="006A5E8B"/>
    <w:rsid w:val="006A6B1F"/>
    <w:rsid w:val="006C4F8A"/>
    <w:rsid w:val="006D3C26"/>
    <w:rsid w:val="0071252E"/>
    <w:rsid w:val="00731F49"/>
    <w:rsid w:val="007952EF"/>
    <w:rsid w:val="007A5902"/>
    <w:rsid w:val="007C3F08"/>
    <w:rsid w:val="007D34F1"/>
    <w:rsid w:val="007D6BCE"/>
    <w:rsid w:val="00813185"/>
    <w:rsid w:val="00837E49"/>
    <w:rsid w:val="0085234D"/>
    <w:rsid w:val="00853AFC"/>
    <w:rsid w:val="008602A1"/>
    <w:rsid w:val="008644C6"/>
    <w:rsid w:val="0088205D"/>
    <w:rsid w:val="00894D3A"/>
    <w:rsid w:val="008B3788"/>
    <w:rsid w:val="008B72CA"/>
    <w:rsid w:val="008E78F2"/>
    <w:rsid w:val="008F4F00"/>
    <w:rsid w:val="00980CD2"/>
    <w:rsid w:val="00984366"/>
    <w:rsid w:val="0098490C"/>
    <w:rsid w:val="00986F49"/>
    <w:rsid w:val="009A26CF"/>
    <w:rsid w:val="009C222D"/>
    <w:rsid w:val="009C6F8E"/>
    <w:rsid w:val="009D36B9"/>
    <w:rsid w:val="009E375A"/>
    <w:rsid w:val="00A1438C"/>
    <w:rsid w:val="00A34F60"/>
    <w:rsid w:val="00A41E03"/>
    <w:rsid w:val="00A44046"/>
    <w:rsid w:val="00A761E4"/>
    <w:rsid w:val="00A800BD"/>
    <w:rsid w:val="00A809DB"/>
    <w:rsid w:val="00A83D73"/>
    <w:rsid w:val="00A84441"/>
    <w:rsid w:val="00A84FF2"/>
    <w:rsid w:val="00A85CC3"/>
    <w:rsid w:val="00A979AD"/>
    <w:rsid w:val="00AB439E"/>
    <w:rsid w:val="00B13E6D"/>
    <w:rsid w:val="00B16569"/>
    <w:rsid w:val="00B41758"/>
    <w:rsid w:val="00B5315F"/>
    <w:rsid w:val="00B5585E"/>
    <w:rsid w:val="00B8599C"/>
    <w:rsid w:val="00B860A5"/>
    <w:rsid w:val="00BA4A4D"/>
    <w:rsid w:val="00BB5931"/>
    <w:rsid w:val="00BD6D78"/>
    <w:rsid w:val="00BF04F1"/>
    <w:rsid w:val="00BF4E8A"/>
    <w:rsid w:val="00BF66FF"/>
    <w:rsid w:val="00C1772A"/>
    <w:rsid w:val="00C302DD"/>
    <w:rsid w:val="00C33B7F"/>
    <w:rsid w:val="00C35102"/>
    <w:rsid w:val="00C50B23"/>
    <w:rsid w:val="00C77580"/>
    <w:rsid w:val="00CB2EBB"/>
    <w:rsid w:val="00CD443B"/>
    <w:rsid w:val="00CD46F9"/>
    <w:rsid w:val="00D16E3C"/>
    <w:rsid w:val="00D207F4"/>
    <w:rsid w:val="00D209C7"/>
    <w:rsid w:val="00D42CCC"/>
    <w:rsid w:val="00DB36F1"/>
    <w:rsid w:val="00DD2BF4"/>
    <w:rsid w:val="00DE191F"/>
    <w:rsid w:val="00DE59F4"/>
    <w:rsid w:val="00DE7AAA"/>
    <w:rsid w:val="00E048EF"/>
    <w:rsid w:val="00E1034B"/>
    <w:rsid w:val="00E4023B"/>
    <w:rsid w:val="00E45326"/>
    <w:rsid w:val="00E556ED"/>
    <w:rsid w:val="00E74A4F"/>
    <w:rsid w:val="00ED6E8B"/>
    <w:rsid w:val="00EF15A5"/>
    <w:rsid w:val="00F02B68"/>
    <w:rsid w:val="00F22963"/>
    <w:rsid w:val="00F246CB"/>
    <w:rsid w:val="00F37B6A"/>
    <w:rsid w:val="00F56202"/>
    <w:rsid w:val="00F85751"/>
    <w:rsid w:val="00FB11C5"/>
    <w:rsid w:val="00FB36DB"/>
    <w:rsid w:val="00FC21F4"/>
    <w:rsid w:val="00FD6D8C"/>
    <w:rsid w:val="00FE65E7"/>
    <w:rsid w:val="00FF2496"/>
    <w:rsid w:val="00FF6FC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695"/>
    <w:rPr>
      <w:rFonts w:ascii="Times New Roman" w:hAnsi="Times New Roman"/>
    </w:rPr>
  </w:style>
  <w:style w:type="paragraph" w:styleId="Heading1">
    <w:name w:val="heading 1"/>
    <w:basedOn w:val="Normal"/>
    <w:next w:val="Normal"/>
    <w:link w:val="Heading1Char"/>
    <w:uiPriority w:val="9"/>
    <w:qFormat/>
    <w:rsid w:val="00485455"/>
    <w:pPr>
      <w:keepNext/>
      <w:keepLines/>
      <w:spacing w:before="480" w:after="0"/>
      <w:outlineLvl w:val="0"/>
    </w:pPr>
    <w:rPr>
      <w:rFonts w:eastAsiaTheme="majorEastAsia" w:cstheme="majorBidi"/>
      <w:b/>
      <w:bCs/>
      <w:color w:val="548DD4" w:themeColor="text2" w:themeTint="99"/>
      <w:sz w:val="32"/>
      <w:szCs w:val="28"/>
    </w:rPr>
  </w:style>
  <w:style w:type="paragraph" w:styleId="Heading2">
    <w:name w:val="heading 2"/>
    <w:basedOn w:val="Normal"/>
    <w:next w:val="Normal"/>
    <w:link w:val="Heading2Char"/>
    <w:uiPriority w:val="9"/>
    <w:unhideWhenUsed/>
    <w:qFormat/>
    <w:rsid w:val="001458DD"/>
    <w:pPr>
      <w:keepNext/>
      <w:keepLines/>
      <w:spacing w:before="200" w:after="0"/>
      <w:outlineLvl w:val="1"/>
    </w:pPr>
    <w:rPr>
      <w:rFonts w:eastAsiaTheme="majorEastAsia" w:cstheme="majorBidi"/>
      <w:bCs/>
      <w:sz w:val="28"/>
      <w:szCs w:val="26"/>
    </w:rPr>
  </w:style>
  <w:style w:type="paragraph" w:styleId="Heading3">
    <w:name w:val="heading 3"/>
    <w:basedOn w:val="Normal"/>
    <w:next w:val="Normal"/>
    <w:link w:val="Heading3Char"/>
    <w:uiPriority w:val="9"/>
    <w:unhideWhenUsed/>
    <w:qFormat/>
    <w:rsid w:val="00562695"/>
    <w:pPr>
      <w:keepNext/>
      <w:keepLines/>
      <w:spacing w:before="200" w:after="0"/>
      <w:outlineLvl w:val="2"/>
    </w:pPr>
    <w:rPr>
      <w:rFonts w:asciiTheme="majorHAnsi" w:eastAsiaTheme="majorEastAsia" w:hAnsiTheme="majorHAnsi" w:cstheme="majorBidi"/>
      <w:bCs/>
      <w:color w:val="4F81BD" w:themeColor="accent1"/>
    </w:rPr>
  </w:style>
  <w:style w:type="paragraph" w:styleId="Heading4">
    <w:name w:val="heading 4"/>
    <w:basedOn w:val="Normal"/>
    <w:next w:val="Normal"/>
    <w:link w:val="Heading4Char"/>
    <w:uiPriority w:val="9"/>
    <w:unhideWhenUsed/>
    <w:qFormat/>
    <w:rsid w:val="0056269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66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66FF"/>
  </w:style>
  <w:style w:type="paragraph" w:styleId="Footer">
    <w:name w:val="footer"/>
    <w:basedOn w:val="Normal"/>
    <w:link w:val="FooterChar"/>
    <w:uiPriority w:val="99"/>
    <w:unhideWhenUsed/>
    <w:rsid w:val="00BF66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66FF"/>
  </w:style>
  <w:style w:type="paragraph" w:styleId="ListParagraph">
    <w:name w:val="List Paragraph"/>
    <w:basedOn w:val="Normal"/>
    <w:uiPriority w:val="34"/>
    <w:qFormat/>
    <w:rsid w:val="001B1C9E"/>
    <w:pPr>
      <w:ind w:left="720"/>
      <w:contextualSpacing/>
    </w:pPr>
  </w:style>
  <w:style w:type="table" w:styleId="TableGrid">
    <w:name w:val="Table Grid"/>
    <w:basedOn w:val="TableNormal"/>
    <w:uiPriority w:val="59"/>
    <w:rsid w:val="001B1C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85455"/>
    <w:rPr>
      <w:rFonts w:ascii="Times New Roman" w:eastAsiaTheme="majorEastAsia" w:hAnsi="Times New Roman" w:cstheme="majorBidi"/>
      <w:b/>
      <w:bCs/>
      <w:color w:val="548DD4" w:themeColor="text2" w:themeTint="99"/>
      <w:sz w:val="32"/>
      <w:szCs w:val="28"/>
    </w:rPr>
  </w:style>
  <w:style w:type="character" w:customStyle="1" w:styleId="Heading2Char">
    <w:name w:val="Heading 2 Char"/>
    <w:basedOn w:val="DefaultParagraphFont"/>
    <w:link w:val="Heading2"/>
    <w:uiPriority w:val="9"/>
    <w:rsid w:val="001458DD"/>
    <w:rPr>
      <w:rFonts w:ascii="Times New Roman" w:eastAsiaTheme="majorEastAsia" w:hAnsi="Times New Roman" w:cstheme="majorBidi"/>
      <w:bCs/>
      <w:sz w:val="28"/>
      <w:szCs w:val="26"/>
    </w:rPr>
  </w:style>
  <w:style w:type="character" w:customStyle="1" w:styleId="Heading3Char">
    <w:name w:val="Heading 3 Char"/>
    <w:basedOn w:val="DefaultParagraphFont"/>
    <w:link w:val="Heading3"/>
    <w:uiPriority w:val="9"/>
    <w:rsid w:val="00562695"/>
    <w:rPr>
      <w:rFonts w:asciiTheme="majorHAnsi" w:eastAsiaTheme="majorEastAsia" w:hAnsiTheme="majorHAnsi" w:cstheme="majorBidi"/>
      <w:bCs/>
      <w:color w:val="4F81BD" w:themeColor="accent1"/>
    </w:rPr>
  </w:style>
  <w:style w:type="character" w:customStyle="1" w:styleId="Heading4Char">
    <w:name w:val="Heading 4 Char"/>
    <w:basedOn w:val="DefaultParagraphFont"/>
    <w:link w:val="Heading4"/>
    <w:uiPriority w:val="9"/>
    <w:rsid w:val="00562695"/>
    <w:rPr>
      <w:rFonts w:asciiTheme="majorHAnsi" w:eastAsiaTheme="majorEastAsia" w:hAnsiTheme="majorHAnsi" w:cstheme="majorBidi"/>
      <w:b/>
      <w:bCs/>
      <w:i/>
      <w:iCs/>
      <w:color w:val="4F81BD" w:themeColor="accent1"/>
    </w:rPr>
  </w:style>
  <w:style w:type="paragraph" w:styleId="Subtitle">
    <w:name w:val="Subtitle"/>
    <w:basedOn w:val="Normal"/>
    <w:next w:val="Normal"/>
    <w:link w:val="SubtitleChar"/>
    <w:uiPriority w:val="11"/>
    <w:qFormat/>
    <w:rsid w:val="0056269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62695"/>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5626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2695"/>
    <w:rPr>
      <w:rFonts w:ascii="Tahoma" w:hAnsi="Tahoma" w:cs="Tahoma"/>
      <w:sz w:val="16"/>
      <w:szCs w:val="16"/>
    </w:rPr>
  </w:style>
  <w:style w:type="paragraph" w:customStyle="1" w:styleId="paragraph">
    <w:name w:val="paragraph"/>
    <w:basedOn w:val="Normal"/>
    <w:rsid w:val="00562695"/>
    <w:pPr>
      <w:spacing w:before="100" w:beforeAutospacing="1" w:after="100" w:afterAutospacing="1" w:line="240" w:lineRule="auto"/>
    </w:pPr>
    <w:rPr>
      <w:rFonts w:eastAsia="Times New Roman" w:cs="Times New Roman"/>
      <w:sz w:val="24"/>
      <w:szCs w:val="24"/>
      <w:lang w:eastAsia="en-GB"/>
    </w:rPr>
  </w:style>
  <w:style w:type="character" w:customStyle="1" w:styleId="normaltextrun">
    <w:name w:val="normaltextrun"/>
    <w:basedOn w:val="DefaultParagraphFont"/>
    <w:rsid w:val="00562695"/>
  </w:style>
  <w:style w:type="character" w:customStyle="1" w:styleId="apple-converted-space">
    <w:name w:val="apple-converted-space"/>
    <w:basedOn w:val="DefaultParagraphFont"/>
    <w:rsid w:val="00562695"/>
  </w:style>
  <w:style w:type="table" w:customStyle="1" w:styleId="TableGrid11">
    <w:name w:val="Table Grid11"/>
    <w:basedOn w:val="TableNormal"/>
    <w:next w:val="TableGrid"/>
    <w:uiPriority w:val="59"/>
    <w:rsid w:val="005626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626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62695"/>
    <w:rPr>
      <w:color w:val="0000FF" w:themeColor="hyperlink"/>
      <w:u w:val="single"/>
    </w:rPr>
  </w:style>
  <w:style w:type="paragraph" w:styleId="NoSpacing">
    <w:name w:val="No Spacing"/>
    <w:uiPriority w:val="1"/>
    <w:qFormat/>
    <w:rsid w:val="00562695"/>
    <w:pPr>
      <w:spacing w:after="0" w:line="240" w:lineRule="auto"/>
    </w:pPr>
    <w:rPr>
      <w:rFonts w:ascii="Times New Roman" w:hAnsi="Times New Roman"/>
    </w:rPr>
  </w:style>
  <w:style w:type="paragraph" w:styleId="NormalWeb">
    <w:name w:val="Normal (Web)"/>
    <w:basedOn w:val="Normal"/>
    <w:uiPriority w:val="99"/>
    <w:semiHidden/>
    <w:unhideWhenUsed/>
    <w:rsid w:val="005D4A51"/>
    <w:rPr>
      <w:rFonts w:cs="Times New Roman"/>
      <w:sz w:val="24"/>
      <w:szCs w:val="24"/>
    </w:rPr>
  </w:style>
  <w:style w:type="character" w:styleId="CommentReference">
    <w:name w:val="annotation reference"/>
    <w:basedOn w:val="DefaultParagraphFont"/>
    <w:uiPriority w:val="99"/>
    <w:semiHidden/>
    <w:unhideWhenUsed/>
    <w:rsid w:val="0049096B"/>
    <w:rPr>
      <w:sz w:val="18"/>
      <w:szCs w:val="18"/>
    </w:rPr>
  </w:style>
  <w:style w:type="paragraph" w:styleId="CommentText">
    <w:name w:val="annotation text"/>
    <w:basedOn w:val="Normal"/>
    <w:link w:val="CommentTextChar"/>
    <w:uiPriority w:val="99"/>
    <w:semiHidden/>
    <w:unhideWhenUsed/>
    <w:rsid w:val="0049096B"/>
    <w:pPr>
      <w:spacing w:line="240" w:lineRule="auto"/>
    </w:pPr>
    <w:rPr>
      <w:sz w:val="24"/>
      <w:szCs w:val="24"/>
    </w:rPr>
  </w:style>
  <w:style w:type="character" w:customStyle="1" w:styleId="CommentTextChar">
    <w:name w:val="Comment Text Char"/>
    <w:basedOn w:val="DefaultParagraphFont"/>
    <w:link w:val="CommentText"/>
    <w:uiPriority w:val="99"/>
    <w:semiHidden/>
    <w:rsid w:val="0049096B"/>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49096B"/>
    <w:rPr>
      <w:b/>
      <w:bCs/>
      <w:sz w:val="20"/>
      <w:szCs w:val="20"/>
    </w:rPr>
  </w:style>
  <w:style w:type="character" w:customStyle="1" w:styleId="CommentSubjectChar">
    <w:name w:val="Comment Subject Char"/>
    <w:basedOn w:val="CommentTextChar"/>
    <w:link w:val="CommentSubject"/>
    <w:uiPriority w:val="99"/>
    <w:semiHidden/>
    <w:rsid w:val="0049096B"/>
    <w:rPr>
      <w:rFonts w:ascii="Times New Roman" w:hAnsi="Times New Roman"/>
      <w:b/>
      <w:bCs/>
      <w:sz w:val="20"/>
      <w:szCs w:val="20"/>
    </w:rPr>
  </w:style>
  <w:style w:type="character" w:styleId="PlaceholderText">
    <w:name w:val="Placeholder Text"/>
    <w:basedOn w:val="DefaultParagraphFont"/>
    <w:uiPriority w:val="99"/>
    <w:semiHidden/>
    <w:rsid w:val="00305A59"/>
    <w:rPr>
      <w:color w:val="808080"/>
    </w:rPr>
  </w:style>
  <w:style w:type="paragraph" w:styleId="FootnoteText">
    <w:name w:val="footnote text"/>
    <w:basedOn w:val="Normal"/>
    <w:link w:val="FootnoteTextChar"/>
    <w:uiPriority w:val="99"/>
    <w:semiHidden/>
    <w:unhideWhenUsed/>
    <w:rsid w:val="004506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06F6"/>
    <w:rPr>
      <w:rFonts w:ascii="Times New Roman" w:hAnsi="Times New Roman"/>
      <w:sz w:val="20"/>
      <w:szCs w:val="20"/>
    </w:rPr>
  </w:style>
  <w:style w:type="character" w:styleId="FootnoteReference">
    <w:name w:val="footnote reference"/>
    <w:basedOn w:val="DefaultParagraphFont"/>
    <w:uiPriority w:val="99"/>
    <w:semiHidden/>
    <w:unhideWhenUsed/>
    <w:rsid w:val="004506F6"/>
    <w:rPr>
      <w:vertAlign w:val="superscript"/>
    </w:rPr>
  </w:style>
  <w:style w:type="character" w:styleId="LineNumber">
    <w:name w:val="line number"/>
    <w:basedOn w:val="DefaultParagraphFont"/>
    <w:uiPriority w:val="99"/>
    <w:semiHidden/>
    <w:unhideWhenUsed/>
    <w:rsid w:val="004557F3"/>
  </w:style>
  <w:style w:type="paragraph" w:styleId="EndnoteText">
    <w:name w:val="endnote text"/>
    <w:basedOn w:val="Normal"/>
    <w:link w:val="EndnoteTextChar"/>
    <w:uiPriority w:val="99"/>
    <w:semiHidden/>
    <w:unhideWhenUsed/>
    <w:rsid w:val="007D34F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D34F1"/>
    <w:rPr>
      <w:rFonts w:ascii="Times New Roman" w:hAnsi="Times New Roman"/>
      <w:sz w:val="20"/>
      <w:szCs w:val="20"/>
    </w:rPr>
  </w:style>
  <w:style w:type="character" w:styleId="EndnoteReference">
    <w:name w:val="endnote reference"/>
    <w:basedOn w:val="DefaultParagraphFont"/>
    <w:uiPriority w:val="99"/>
    <w:semiHidden/>
    <w:unhideWhenUsed/>
    <w:rsid w:val="007D34F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695"/>
    <w:rPr>
      <w:rFonts w:ascii="Times New Roman" w:hAnsi="Times New Roman"/>
    </w:rPr>
  </w:style>
  <w:style w:type="paragraph" w:styleId="Heading1">
    <w:name w:val="heading 1"/>
    <w:basedOn w:val="Normal"/>
    <w:next w:val="Normal"/>
    <w:link w:val="Heading1Char"/>
    <w:uiPriority w:val="9"/>
    <w:qFormat/>
    <w:rsid w:val="00485455"/>
    <w:pPr>
      <w:keepNext/>
      <w:keepLines/>
      <w:spacing w:before="480" w:after="0"/>
      <w:outlineLvl w:val="0"/>
    </w:pPr>
    <w:rPr>
      <w:rFonts w:eastAsiaTheme="majorEastAsia" w:cstheme="majorBidi"/>
      <w:b/>
      <w:bCs/>
      <w:color w:val="548DD4" w:themeColor="text2" w:themeTint="99"/>
      <w:sz w:val="32"/>
      <w:szCs w:val="28"/>
    </w:rPr>
  </w:style>
  <w:style w:type="paragraph" w:styleId="Heading2">
    <w:name w:val="heading 2"/>
    <w:basedOn w:val="Normal"/>
    <w:next w:val="Normal"/>
    <w:link w:val="Heading2Char"/>
    <w:uiPriority w:val="9"/>
    <w:unhideWhenUsed/>
    <w:qFormat/>
    <w:rsid w:val="001458DD"/>
    <w:pPr>
      <w:keepNext/>
      <w:keepLines/>
      <w:spacing w:before="200" w:after="0"/>
      <w:outlineLvl w:val="1"/>
    </w:pPr>
    <w:rPr>
      <w:rFonts w:eastAsiaTheme="majorEastAsia" w:cstheme="majorBidi"/>
      <w:bCs/>
      <w:sz w:val="28"/>
      <w:szCs w:val="26"/>
    </w:rPr>
  </w:style>
  <w:style w:type="paragraph" w:styleId="Heading3">
    <w:name w:val="heading 3"/>
    <w:basedOn w:val="Normal"/>
    <w:next w:val="Normal"/>
    <w:link w:val="Heading3Char"/>
    <w:uiPriority w:val="9"/>
    <w:unhideWhenUsed/>
    <w:qFormat/>
    <w:rsid w:val="00562695"/>
    <w:pPr>
      <w:keepNext/>
      <w:keepLines/>
      <w:spacing w:before="200" w:after="0"/>
      <w:outlineLvl w:val="2"/>
    </w:pPr>
    <w:rPr>
      <w:rFonts w:asciiTheme="majorHAnsi" w:eastAsiaTheme="majorEastAsia" w:hAnsiTheme="majorHAnsi" w:cstheme="majorBidi"/>
      <w:bCs/>
      <w:color w:val="4F81BD" w:themeColor="accent1"/>
    </w:rPr>
  </w:style>
  <w:style w:type="paragraph" w:styleId="Heading4">
    <w:name w:val="heading 4"/>
    <w:basedOn w:val="Normal"/>
    <w:next w:val="Normal"/>
    <w:link w:val="Heading4Char"/>
    <w:uiPriority w:val="9"/>
    <w:unhideWhenUsed/>
    <w:qFormat/>
    <w:rsid w:val="0056269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66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66FF"/>
  </w:style>
  <w:style w:type="paragraph" w:styleId="Footer">
    <w:name w:val="footer"/>
    <w:basedOn w:val="Normal"/>
    <w:link w:val="FooterChar"/>
    <w:uiPriority w:val="99"/>
    <w:unhideWhenUsed/>
    <w:rsid w:val="00BF66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66FF"/>
  </w:style>
  <w:style w:type="paragraph" w:styleId="ListParagraph">
    <w:name w:val="List Paragraph"/>
    <w:basedOn w:val="Normal"/>
    <w:uiPriority w:val="34"/>
    <w:qFormat/>
    <w:rsid w:val="001B1C9E"/>
    <w:pPr>
      <w:ind w:left="720"/>
      <w:contextualSpacing/>
    </w:pPr>
  </w:style>
  <w:style w:type="table" w:styleId="TableGrid">
    <w:name w:val="Table Grid"/>
    <w:basedOn w:val="TableNormal"/>
    <w:uiPriority w:val="59"/>
    <w:rsid w:val="001B1C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85455"/>
    <w:rPr>
      <w:rFonts w:ascii="Times New Roman" w:eastAsiaTheme="majorEastAsia" w:hAnsi="Times New Roman" w:cstheme="majorBidi"/>
      <w:b/>
      <w:bCs/>
      <w:color w:val="548DD4" w:themeColor="text2" w:themeTint="99"/>
      <w:sz w:val="32"/>
      <w:szCs w:val="28"/>
    </w:rPr>
  </w:style>
  <w:style w:type="character" w:customStyle="1" w:styleId="Heading2Char">
    <w:name w:val="Heading 2 Char"/>
    <w:basedOn w:val="DefaultParagraphFont"/>
    <w:link w:val="Heading2"/>
    <w:uiPriority w:val="9"/>
    <w:rsid w:val="001458DD"/>
    <w:rPr>
      <w:rFonts w:ascii="Times New Roman" w:eastAsiaTheme="majorEastAsia" w:hAnsi="Times New Roman" w:cstheme="majorBidi"/>
      <w:bCs/>
      <w:sz w:val="28"/>
      <w:szCs w:val="26"/>
    </w:rPr>
  </w:style>
  <w:style w:type="character" w:customStyle="1" w:styleId="Heading3Char">
    <w:name w:val="Heading 3 Char"/>
    <w:basedOn w:val="DefaultParagraphFont"/>
    <w:link w:val="Heading3"/>
    <w:uiPriority w:val="9"/>
    <w:rsid w:val="00562695"/>
    <w:rPr>
      <w:rFonts w:asciiTheme="majorHAnsi" w:eastAsiaTheme="majorEastAsia" w:hAnsiTheme="majorHAnsi" w:cstheme="majorBidi"/>
      <w:bCs/>
      <w:color w:val="4F81BD" w:themeColor="accent1"/>
    </w:rPr>
  </w:style>
  <w:style w:type="character" w:customStyle="1" w:styleId="Heading4Char">
    <w:name w:val="Heading 4 Char"/>
    <w:basedOn w:val="DefaultParagraphFont"/>
    <w:link w:val="Heading4"/>
    <w:uiPriority w:val="9"/>
    <w:rsid w:val="00562695"/>
    <w:rPr>
      <w:rFonts w:asciiTheme="majorHAnsi" w:eastAsiaTheme="majorEastAsia" w:hAnsiTheme="majorHAnsi" w:cstheme="majorBidi"/>
      <w:b/>
      <w:bCs/>
      <w:i/>
      <w:iCs/>
      <w:color w:val="4F81BD" w:themeColor="accent1"/>
    </w:rPr>
  </w:style>
  <w:style w:type="paragraph" w:styleId="Subtitle">
    <w:name w:val="Subtitle"/>
    <w:basedOn w:val="Normal"/>
    <w:next w:val="Normal"/>
    <w:link w:val="SubtitleChar"/>
    <w:uiPriority w:val="11"/>
    <w:qFormat/>
    <w:rsid w:val="0056269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62695"/>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5626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2695"/>
    <w:rPr>
      <w:rFonts w:ascii="Tahoma" w:hAnsi="Tahoma" w:cs="Tahoma"/>
      <w:sz w:val="16"/>
      <w:szCs w:val="16"/>
    </w:rPr>
  </w:style>
  <w:style w:type="paragraph" w:customStyle="1" w:styleId="paragraph">
    <w:name w:val="paragraph"/>
    <w:basedOn w:val="Normal"/>
    <w:rsid w:val="00562695"/>
    <w:pPr>
      <w:spacing w:before="100" w:beforeAutospacing="1" w:after="100" w:afterAutospacing="1" w:line="240" w:lineRule="auto"/>
    </w:pPr>
    <w:rPr>
      <w:rFonts w:eastAsia="Times New Roman" w:cs="Times New Roman"/>
      <w:sz w:val="24"/>
      <w:szCs w:val="24"/>
      <w:lang w:eastAsia="en-GB"/>
    </w:rPr>
  </w:style>
  <w:style w:type="character" w:customStyle="1" w:styleId="normaltextrun">
    <w:name w:val="normaltextrun"/>
    <w:basedOn w:val="DefaultParagraphFont"/>
    <w:rsid w:val="00562695"/>
  </w:style>
  <w:style w:type="character" w:customStyle="1" w:styleId="apple-converted-space">
    <w:name w:val="apple-converted-space"/>
    <w:basedOn w:val="DefaultParagraphFont"/>
    <w:rsid w:val="00562695"/>
  </w:style>
  <w:style w:type="table" w:customStyle="1" w:styleId="TableGrid11">
    <w:name w:val="Table Grid11"/>
    <w:basedOn w:val="TableNormal"/>
    <w:next w:val="TableGrid"/>
    <w:uiPriority w:val="59"/>
    <w:rsid w:val="005626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626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62695"/>
    <w:rPr>
      <w:color w:val="0000FF" w:themeColor="hyperlink"/>
      <w:u w:val="single"/>
    </w:rPr>
  </w:style>
  <w:style w:type="paragraph" w:styleId="NoSpacing">
    <w:name w:val="No Spacing"/>
    <w:uiPriority w:val="1"/>
    <w:qFormat/>
    <w:rsid w:val="00562695"/>
    <w:pPr>
      <w:spacing w:after="0" w:line="240" w:lineRule="auto"/>
    </w:pPr>
    <w:rPr>
      <w:rFonts w:ascii="Times New Roman" w:hAnsi="Times New Roman"/>
    </w:rPr>
  </w:style>
  <w:style w:type="paragraph" w:styleId="NormalWeb">
    <w:name w:val="Normal (Web)"/>
    <w:basedOn w:val="Normal"/>
    <w:uiPriority w:val="99"/>
    <w:semiHidden/>
    <w:unhideWhenUsed/>
    <w:rsid w:val="005D4A51"/>
    <w:rPr>
      <w:rFonts w:cs="Times New Roman"/>
      <w:sz w:val="24"/>
      <w:szCs w:val="24"/>
    </w:rPr>
  </w:style>
  <w:style w:type="character" w:styleId="CommentReference">
    <w:name w:val="annotation reference"/>
    <w:basedOn w:val="DefaultParagraphFont"/>
    <w:uiPriority w:val="99"/>
    <w:semiHidden/>
    <w:unhideWhenUsed/>
    <w:rsid w:val="0049096B"/>
    <w:rPr>
      <w:sz w:val="18"/>
      <w:szCs w:val="18"/>
    </w:rPr>
  </w:style>
  <w:style w:type="paragraph" w:styleId="CommentText">
    <w:name w:val="annotation text"/>
    <w:basedOn w:val="Normal"/>
    <w:link w:val="CommentTextChar"/>
    <w:uiPriority w:val="99"/>
    <w:semiHidden/>
    <w:unhideWhenUsed/>
    <w:rsid w:val="0049096B"/>
    <w:pPr>
      <w:spacing w:line="240" w:lineRule="auto"/>
    </w:pPr>
    <w:rPr>
      <w:sz w:val="24"/>
      <w:szCs w:val="24"/>
    </w:rPr>
  </w:style>
  <w:style w:type="character" w:customStyle="1" w:styleId="CommentTextChar">
    <w:name w:val="Comment Text Char"/>
    <w:basedOn w:val="DefaultParagraphFont"/>
    <w:link w:val="CommentText"/>
    <w:uiPriority w:val="99"/>
    <w:semiHidden/>
    <w:rsid w:val="0049096B"/>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49096B"/>
    <w:rPr>
      <w:b/>
      <w:bCs/>
      <w:sz w:val="20"/>
      <w:szCs w:val="20"/>
    </w:rPr>
  </w:style>
  <w:style w:type="character" w:customStyle="1" w:styleId="CommentSubjectChar">
    <w:name w:val="Comment Subject Char"/>
    <w:basedOn w:val="CommentTextChar"/>
    <w:link w:val="CommentSubject"/>
    <w:uiPriority w:val="99"/>
    <w:semiHidden/>
    <w:rsid w:val="0049096B"/>
    <w:rPr>
      <w:rFonts w:ascii="Times New Roman" w:hAnsi="Times New Roman"/>
      <w:b/>
      <w:bCs/>
      <w:sz w:val="20"/>
      <w:szCs w:val="20"/>
    </w:rPr>
  </w:style>
  <w:style w:type="character" w:styleId="PlaceholderText">
    <w:name w:val="Placeholder Text"/>
    <w:basedOn w:val="DefaultParagraphFont"/>
    <w:uiPriority w:val="99"/>
    <w:semiHidden/>
    <w:rsid w:val="00305A59"/>
    <w:rPr>
      <w:color w:val="808080"/>
    </w:rPr>
  </w:style>
  <w:style w:type="paragraph" w:styleId="FootnoteText">
    <w:name w:val="footnote text"/>
    <w:basedOn w:val="Normal"/>
    <w:link w:val="FootnoteTextChar"/>
    <w:uiPriority w:val="99"/>
    <w:semiHidden/>
    <w:unhideWhenUsed/>
    <w:rsid w:val="004506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06F6"/>
    <w:rPr>
      <w:rFonts w:ascii="Times New Roman" w:hAnsi="Times New Roman"/>
      <w:sz w:val="20"/>
      <w:szCs w:val="20"/>
    </w:rPr>
  </w:style>
  <w:style w:type="character" w:styleId="FootnoteReference">
    <w:name w:val="footnote reference"/>
    <w:basedOn w:val="DefaultParagraphFont"/>
    <w:uiPriority w:val="99"/>
    <w:semiHidden/>
    <w:unhideWhenUsed/>
    <w:rsid w:val="004506F6"/>
    <w:rPr>
      <w:vertAlign w:val="superscript"/>
    </w:rPr>
  </w:style>
  <w:style w:type="character" w:styleId="LineNumber">
    <w:name w:val="line number"/>
    <w:basedOn w:val="DefaultParagraphFont"/>
    <w:uiPriority w:val="99"/>
    <w:semiHidden/>
    <w:unhideWhenUsed/>
    <w:rsid w:val="004557F3"/>
  </w:style>
  <w:style w:type="paragraph" w:styleId="EndnoteText">
    <w:name w:val="endnote text"/>
    <w:basedOn w:val="Normal"/>
    <w:link w:val="EndnoteTextChar"/>
    <w:uiPriority w:val="99"/>
    <w:semiHidden/>
    <w:unhideWhenUsed/>
    <w:rsid w:val="007D34F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D34F1"/>
    <w:rPr>
      <w:rFonts w:ascii="Times New Roman" w:hAnsi="Times New Roman"/>
      <w:sz w:val="20"/>
      <w:szCs w:val="20"/>
    </w:rPr>
  </w:style>
  <w:style w:type="character" w:styleId="EndnoteReference">
    <w:name w:val="endnote reference"/>
    <w:basedOn w:val="DefaultParagraphFont"/>
    <w:uiPriority w:val="99"/>
    <w:semiHidden/>
    <w:unhideWhenUsed/>
    <w:rsid w:val="007D34F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386934">
      <w:bodyDiv w:val="1"/>
      <w:marLeft w:val="0"/>
      <w:marRight w:val="0"/>
      <w:marTop w:val="0"/>
      <w:marBottom w:val="0"/>
      <w:divBdr>
        <w:top w:val="none" w:sz="0" w:space="0" w:color="auto"/>
        <w:left w:val="none" w:sz="0" w:space="0" w:color="auto"/>
        <w:bottom w:val="none" w:sz="0" w:space="0" w:color="auto"/>
        <w:right w:val="none" w:sz="0" w:space="0" w:color="auto"/>
      </w:divBdr>
    </w:div>
    <w:div w:id="426998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ti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0605FA3E-7F4A-4659-84BB-3803AC1F0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8997</Words>
  <Characters>51289</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The University of Manchester</Company>
  <LinksUpToDate>false</LinksUpToDate>
  <CharactersWithSpaces>60166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Caitlin Robinson</dc:creator>
  <cp:lastModifiedBy>Caitlin Robinson</cp:lastModifiedBy>
  <cp:revision>3</cp:revision>
  <cp:lastPrinted>2018-02-15T10:55:00Z</cp:lastPrinted>
  <dcterms:created xsi:type="dcterms:W3CDTF">2018-08-20T11:52:00Z</dcterms:created>
  <dcterms:modified xsi:type="dcterms:W3CDTF">2018-08-20T11:54:00Z</dcterms:modified>
</cp:coreProperties>
</file>