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DFF74" w14:textId="77777777" w:rsidR="00652D52" w:rsidRPr="00116C4A" w:rsidRDefault="00652D52" w:rsidP="00116C4A">
      <w:pPr>
        <w:keepNext/>
        <w:widowControl w:val="0"/>
        <w:suppressAutoHyphens/>
        <w:spacing w:before="100" w:beforeAutospacing="1" w:after="100" w:afterAutospacing="1" w:line="480" w:lineRule="auto"/>
        <w:outlineLvl w:val="1"/>
        <w:rPr>
          <w:rFonts w:ascii="Arial" w:eastAsia="Bitstream Vera Sans;MS Mincho" w:hAnsi="Arial" w:cs="Arial"/>
          <w:b/>
          <w:bCs/>
          <w:sz w:val="44"/>
          <w:szCs w:val="44"/>
          <w:lang w:eastAsia="zh-CN" w:bidi="hi-IN"/>
        </w:rPr>
      </w:pPr>
      <w:bookmarkStart w:id="0" w:name="_Toc10551726"/>
      <w:bookmarkStart w:id="1" w:name="_Hlk1836434"/>
      <w:bookmarkStart w:id="2" w:name="_Hlk12536444"/>
      <w:bookmarkStart w:id="3" w:name="_GoBack"/>
      <w:bookmarkEnd w:id="3"/>
      <w:r w:rsidRPr="00116C4A">
        <w:rPr>
          <w:rFonts w:ascii="Arial" w:eastAsia="Bitstream Vera Sans;MS Mincho" w:hAnsi="Arial" w:cs="Arial"/>
          <w:b/>
          <w:bCs/>
          <w:sz w:val="44"/>
          <w:szCs w:val="44"/>
          <w:lang w:eastAsia="zh-CN" w:bidi="hi-IN"/>
        </w:rPr>
        <w:t>Optimisation of Synovial Fluid Collection and Processing for NMR Metabolomics and LC-MS/MS Proteomics</w:t>
      </w:r>
      <w:bookmarkEnd w:id="0"/>
    </w:p>
    <w:bookmarkEnd w:id="1"/>
    <w:p w14:paraId="3D3DD4DD" w14:textId="7A615415" w:rsidR="00652D52" w:rsidRPr="00116C4A" w:rsidRDefault="00652D52" w:rsidP="00116C4A">
      <w:pPr>
        <w:spacing w:after="0" w:line="480" w:lineRule="auto"/>
        <w:rPr>
          <w:rFonts w:ascii="Arial" w:eastAsia="Calibri" w:hAnsi="Arial" w:cs="Arial"/>
          <w:sz w:val="24"/>
          <w:szCs w:val="24"/>
        </w:rPr>
      </w:pPr>
      <w:r w:rsidRPr="00116C4A">
        <w:rPr>
          <w:rFonts w:ascii="Arial" w:eastAsia="Calibri" w:hAnsi="Arial" w:cs="Arial"/>
          <w:sz w:val="24"/>
          <w:szCs w:val="24"/>
        </w:rPr>
        <w:t>James R Anderson</w:t>
      </w:r>
      <w:r w:rsidRPr="00116C4A">
        <w:rPr>
          <w:rFonts w:ascii="Arial" w:eastAsia="Calibri" w:hAnsi="Arial" w:cs="Arial"/>
          <w:sz w:val="24"/>
          <w:szCs w:val="24"/>
          <w:vertAlign w:val="superscript"/>
        </w:rPr>
        <w:t>1</w:t>
      </w:r>
      <w:r w:rsidRPr="00116C4A">
        <w:rPr>
          <w:rFonts w:ascii="Arial" w:eastAsia="Calibri" w:hAnsi="Arial" w:cs="Arial"/>
          <w:sz w:val="24"/>
          <w:szCs w:val="24"/>
        </w:rPr>
        <w:t>, Marie M Phelan</w:t>
      </w:r>
      <w:r w:rsidRPr="00116C4A">
        <w:rPr>
          <w:rFonts w:ascii="Arial" w:eastAsia="Calibri" w:hAnsi="Arial" w:cs="Arial"/>
          <w:sz w:val="24"/>
          <w:szCs w:val="24"/>
          <w:vertAlign w:val="superscript"/>
        </w:rPr>
        <w:t>2,3</w:t>
      </w:r>
      <w:r w:rsidRPr="00116C4A">
        <w:rPr>
          <w:rFonts w:ascii="Arial" w:eastAsia="Calibri" w:hAnsi="Arial" w:cs="Arial"/>
          <w:sz w:val="24"/>
          <w:szCs w:val="24"/>
        </w:rPr>
        <w:t>, Luis M Rubio-Martinez</w:t>
      </w:r>
      <w:r w:rsidRPr="00116C4A">
        <w:rPr>
          <w:rFonts w:ascii="Arial" w:eastAsia="Calibri" w:hAnsi="Arial" w:cs="Arial"/>
          <w:sz w:val="24"/>
          <w:szCs w:val="24"/>
          <w:vertAlign w:val="superscript"/>
        </w:rPr>
        <w:t>1,4</w:t>
      </w:r>
      <w:r w:rsidRPr="00116C4A">
        <w:rPr>
          <w:rFonts w:ascii="Arial" w:eastAsia="Calibri" w:hAnsi="Arial" w:cs="Arial"/>
          <w:sz w:val="24"/>
          <w:szCs w:val="24"/>
        </w:rPr>
        <w:t xml:space="preserve">, </w:t>
      </w:r>
      <w:r w:rsidR="00FB57F7">
        <w:rPr>
          <w:rFonts w:ascii="Arial" w:eastAsia="Calibri" w:hAnsi="Arial" w:cs="Arial"/>
          <w:sz w:val="24"/>
          <w:szCs w:val="24"/>
        </w:rPr>
        <w:t>Matthew M Fitzgerald</w:t>
      </w:r>
      <w:r w:rsidR="002E483C">
        <w:rPr>
          <w:rFonts w:ascii="Arial" w:eastAsia="Calibri" w:hAnsi="Arial" w:cs="Arial"/>
          <w:sz w:val="24"/>
          <w:szCs w:val="24"/>
          <w:vertAlign w:val="superscript"/>
        </w:rPr>
        <w:t>4</w:t>
      </w:r>
      <w:r w:rsidR="00FB57F7">
        <w:rPr>
          <w:rFonts w:ascii="Arial" w:eastAsia="Calibri" w:hAnsi="Arial" w:cs="Arial"/>
          <w:sz w:val="24"/>
          <w:szCs w:val="24"/>
        </w:rPr>
        <w:t xml:space="preserve">, </w:t>
      </w:r>
      <w:r w:rsidR="0069643B">
        <w:rPr>
          <w:rFonts w:ascii="Arial" w:eastAsia="Calibri" w:hAnsi="Arial" w:cs="Arial"/>
          <w:sz w:val="24"/>
          <w:szCs w:val="24"/>
        </w:rPr>
        <w:t>Simon W Jones</w:t>
      </w:r>
      <w:r w:rsidR="0069643B" w:rsidRPr="00492A1F">
        <w:rPr>
          <w:rFonts w:ascii="Arial" w:eastAsia="Calibri" w:hAnsi="Arial" w:cs="Arial"/>
          <w:sz w:val="24"/>
          <w:szCs w:val="24"/>
          <w:vertAlign w:val="superscript"/>
        </w:rPr>
        <w:t>5</w:t>
      </w:r>
      <w:r w:rsidR="0069643B">
        <w:rPr>
          <w:rFonts w:ascii="Arial" w:eastAsia="Calibri" w:hAnsi="Arial" w:cs="Arial"/>
          <w:sz w:val="24"/>
          <w:szCs w:val="24"/>
        </w:rPr>
        <w:t xml:space="preserve">, </w:t>
      </w:r>
      <w:r w:rsidRPr="00116C4A">
        <w:rPr>
          <w:rFonts w:ascii="Arial" w:eastAsia="Calibri" w:hAnsi="Arial" w:cs="Arial"/>
          <w:sz w:val="24"/>
          <w:szCs w:val="24"/>
        </w:rPr>
        <w:t>Peter D Clegg</w:t>
      </w:r>
      <w:r w:rsidRPr="00116C4A">
        <w:rPr>
          <w:rFonts w:ascii="Arial" w:eastAsia="Calibri" w:hAnsi="Arial" w:cs="Arial"/>
          <w:sz w:val="24"/>
          <w:szCs w:val="24"/>
          <w:vertAlign w:val="superscript"/>
        </w:rPr>
        <w:t>1</w:t>
      </w:r>
      <w:r w:rsidRPr="00116C4A">
        <w:rPr>
          <w:rFonts w:ascii="Arial" w:eastAsia="Calibri" w:hAnsi="Arial" w:cs="Arial"/>
          <w:sz w:val="24"/>
          <w:szCs w:val="24"/>
        </w:rPr>
        <w:t xml:space="preserve"> and Mandy J Peffers</w:t>
      </w:r>
      <w:r w:rsidRPr="00116C4A">
        <w:rPr>
          <w:rFonts w:ascii="Arial" w:eastAsia="Calibri" w:hAnsi="Arial" w:cs="Arial"/>
          <w:sz w:val="24"/>
          <w:szCs w:val="24"/>
          <w:vertAlign w:val="superscript"/>
        </w:rPr>
        <w:t>1</w:t>
      </w:r>
      <w:r w:rsidR="00D53524" w:rsidRPr="00DC5747">
        <w:rPr>
          <w:rFonts w:ascii="Arial" w:eastAsia="Calibri" w:hAnsi="Arial" w:cs="Arial"/>
          <w:sz w:val="24"/>
          <w:szCs w:val="24"/>
        </w:rPr>
        <w:t>*</w:t>
      </w:r>
    </w:p>
    <w:p w14:paraId="081C0651" w14:textId="77777777" w:rsidR="00652D52" w:rsidRPr="00116C4A" w:rsidRDefault="00652D52" w:rsidP="00116C4A">
      <w:pPr>
        <w:spacing w:after="0" w:line="480" w:lineRule="auto"/>
        <w:rPr>
          <w:rFonts w:ascii="Arial" w:eastAsia="Calibri" w:hAnsi="Arial" w:cs="Arial"/>
          <w:sz w:val="24"/>
          <w:szCs w:val="24"/>
        </w:rPr>
      </w:pPr>
    </w:p>
    <w:p w14:paraId="362B17B6" w14:textId="77777777" w:rsidR="00652D52" w:rsidRPr="00116C4A" w:rsidRDefault="00652D52" w:rsidP="00116C4A">
      <w:pPr>
        <w:spacing w:after="0" w:line="480" w:lineRule="auto"/>
        <w:rPr>
          <w:rFonts w:ascii="Arial" w:eastAsia="Calibri" w:hAnsi="Arial" w:cs="Arial"/>
          <w:sz w:val="24"/>
          <w:szCs w:val="24"/>
        </w:rPr>
      </w:pPr>
      <w:r w:rsidRPr="00116C4A">
        <w:rPr>
          <w:rFonts w:ascii="Arial" w:eastAsia="Calibri" w:hAnsi="Arial" w:cs="Arial"/>
          <w:sz w:val="24"/>
          <w:szCs w:val="24"/>
          <w:vertAlign w:val="superscript"/>
        </w:rPr>
        <w:t>1</w:t>
      </w:r>
      <w:r w:rsidRPr="00116C4A">
        <w:rPr>
          <w:rFonts w:ascii="Arial" w:eastAsia="Calibri" w:hAnsi="Arial" w:cs="Arial"/>
          <w:sz w:val="24"/>
          <w:szCs w:val="24"/>
        </w:rPr>
        <w:t>Institute of Ageing and Chronic Disease, University of Liverpool, Liverpool, UK</w:t>
      </w:r>
    </w:p>
    <w:p w14:paraId="2E396321" w14:textId="77777777" w:rsidR="00652D52" w:rsidRPr="00116C4A" w:rsidRDefault="00652D52" w:rsidP="00116C4A">
      <w:pPr>
        <w:spacing w:after="0" w:line="480" w:lineRule="auto"/>
        <w:rPr>
          <w:rFonts w:ascii="Arial" w:eastAsia="Calibri" w:hAnsi="Arial" w:cs="Arial"/>
          <w:sz w:val="24"/>
          <w:szCs w:val="24"/>
          <w:vertAlign w:val="superscript"/>
        </w:rPr>
      </w:pPr>
      <w:r w:rsidRPr="00116C4A">
        <w:rPr>
          <w:rFonts w:ascii="Arial" w:eastAsia="Calibri" w:hAnsi="Arial" w:cs="Arial"/>
          <w:sz w:val="24"/>
          <w:szCs w:val="24"/>
          <w:vertAlign w:val="superscript"/>
        </w:rPr>
        <w:t>2</w:t>
      </w:r>
      <w:r w:rsidRPr="00116C4A">
        <w:rPr>
          <w:rFonts w:ascii="Arial" w:eastAsia="Calibri" w:hAnsi="Arial" w:cs="Arial"/>
          <w:sz w:val="24"/>
          <w:szCs w:val="24"/>
        </w:rPr>
        <w:t>Institute of Integrative Biology, University of Liverpool, Liverpool, UK</w:t>
      </w:r>
    </w:p>
    <w:p w14:paraId="6A9CC3CD" w14:textId="77777777" w:rsidR="00652D52" w:rsidRPr="00116C4A" w:rsidRDefault="00652D52" w:rsidP="00116C4A">
      <w:pPr>
        <w:spacing w:after="0" w:line="480" w:lineRule="auto"/>
        <w:rPr>
          <w:rFonts w:ascii="Arial" w:eastAsia="Calibri" w:hAnsi="Arial" w:cs="Arial"/>
          <w:sz w:val="24"/>
          <w:szCs w:val="24"/>
        </w:rPr>
      </w:pPr>
      <w:r w:rsidRPr="00116C4A">
        <w:rPr>
          <w:rFonts w:ascii="Arial" w:eastAsia="Calibri" w:hAnsi="Arial" w:cs="Arial"/>
          <w:sz w:val="24"/>
          <w:szCs w:val="24"/>
          <w:vertAlign w:val="superscript"/>
        </w:rPr>
        <w:t>3</w:t>
      </w:r>
      <w:r w:rsidRPr="00116C4A">
        <w:rPr>
          <w:rFonts w:ascii="Arial" w:eastAsia="Calibri" w:hAnsi="Arial" w:cs="Arial"/>
          <w:sz w:val="24"/>
          <w:szCs w:val="24"/>
        </w:rPr>
        <w:t>HLS Technology Directorate, University of Liverpool, Liverpool, UK</w:t>
      </w:r>
    </w:p>
    <w:p w14:paraId="1B106F02" w14:textId="77777777" w:rsidR="00652D52" w:rsidRPr="00116C4A" w:rsidRDefault="00652D52" w:rsidP="00116C4A">
      <w:pPr>
        <w:spacing w:after="0" w:line="480" w:lineRule="auto"/>
        <w:rPr>
          <w:rFonts w:ascii="Arial" w:eastAsia="Calibri" w:hAnsi="Arial" w:cs="Arial"/>
          <w:sz w:val="24"/>
          <w:szCs w:val="24"/>
        </w:rPr>
      </w:pPr>
      <w:r w:rsidRPr="00116C4A">
        <w:rPr>
          <w:rFonts w:ascii="Arial" w:eastAsia="Calibri" w:hAnsi="Arial" w:cs="Arial"/>
          <w:sz w:val="24"/>
          <w:szCs w:val="24"/>
          <w:vertAlign w:val="superscript"/>
        </w:rPr>
        <w:t>4</w:t>
      </w:r>
      <w:r w:rsidRPr="00116C4A">
        <w:rPr>
          <w:rFonts w:ascii="Arial" w:eastAsia="Calibri" w:hAnsi="Arial" w:cs="Arial"/>
          <w:sz w:val="24"/>
          <w:szCs w:val="24"/>
        </w:rPr>
        <w:t xml:space="preserve">Institute of Veterinary Science, University of Liverpool, </w:t>
      </w:r>
      <w:proofErr w:type="spellStart"/>
      <w:r w:rsidRPr="00116C4A">
        <w:rPr>
          <w:rFonts w:ascii="Arial" w:eastAsia="Calibri" w:hAnsi="Arial" w:cs="Arial"/>
          <w:sz w:val="24"/>
          <w:szCs w:val="24"/>
        </w:rPr>
        <w:t>Leahurst</w:t>
      </w:r>
      <w:proofErr w:type="spellEnd"/>
      <w:r w:rsidRPr="00116C4A">
        <w:rPr>
          <w:rFonts w:ascii="Arial" w:eastAsia="Calibri" w:hAnsi="Arial" w:cs="Arial"/>
          <w:sz w:val="24"/>
          <w:szCs w:val="24"/>
        </w:rPr>
        <w:t xml:space="preserve"> Campus, Neston, UK</w:t>
      </w:r>
    </w:p>
    <w:p w14:paraId="4A312D1A" w14:textId="3B10678F" w:rsidR="0069643B" w:rsidRDefault="0069643B" w:rsidP="0069643B">
      <w:pPr>
        <w:spacing w:after="0" w:line="480" w:lineRule="auto"/>
        <w:rPr>
          <w:rFonts w:ascii="Arial" w:eastAsia="Calibri" w:hAnsi="Arial" w:cs="Arial"/>
          <w:sz w:val="24"/>
          <w:szCs w:val="24"/>
        </w:rPr>
      </w:pPr>
      <w:r w:rsidRPr="0069643B">
        <w:rPr>
          <w:rFonts w:ascii="Arial" w:eastAsia="Calibri" w:hAnsi="Arial" w:cs="Arial"/>
          <w:sz w:val="24"/>
          <w:szCs w:val="24"/>
          <w:vertAlign w:val="superscript"/>
        </w:rPr>
        <w:t>5</w:t>
      </w:r>
      <w:r>
        <w:rPr>
          <w:rFonts w:ascii="Arial" w:eastAsia="Calibri" w:hAnsi="Arial" w:cs="Arial"/>
          <w:sz w:val="24"/>
          <w:szCs w:val="24"/>
        </w:rPr>
        <w:t>Institute of Inflammation and Ageing, University of Birmingham, Birmingham, UK</w:t>
      </w:r>
    </w:p>
    <w:p w14:paraId="7F61B2A3" w14:textId="6B3222E5" w:rsidR="00D53524" w:rsidRDefault="00D53524" w:rsidP="0069643B">
      <w:pPr>
        <w:spacing w:after="0" w:line="480" w:lineRule="auto"/>
        <w:rPr>
          <w:rFonts w:ascii="Arial" w:eastAsia="Calibri" w:hAnsi="Arial" w:cs="Arial"/>
          <w:sz w:val="24"/>
          <w:szCs w:val="24"/>
        </w:rPr>
      </w:pPr>
    </w:p>
    <w:p w14:paraId="3D8041A9" w14:textId="26B81C0A" w:rsidR="00D53524" w:rsidRPr="00D53524" w:rsidRDefault="00D53524" w:rsidP="00D53524">
      <w:pPr>
        <w:widowControl w:val="0"/>
        <w:suppressAutoHyphens/>
        <w:spacing w:after="0" w:line="480" w:lineRule="auto"/>
        <w:rPr>
          <w:rFonts w:ascii="Arial" w:eastAsia="Bitstream Vera Sans;MS Mincho" w:hAnsi="Arial" w:cs="Arial"/>
          <w:sz w:val="24"/>
          <w:szCs w:val="24"/>
          <w:lang w:eastAsia="zh-CN" w:bidi="hi-IN"/>
        </w:rPr>
      </w:pPr>
      <w:r>
        <w:rPr>
          <w:rFonts w:ascii="Arial" w:eastAsia="Bitstream Vera Sans;MS Mincho" w:hAnsi="Arial" w:cs="Arial"/>
          <w:sz w:val="24"/>
          <w:szCs w:val="24"/>
          <w:lang w:eastAsia="zh-CN" w:bidi="hi-IN"/>
        </w:rPr>
        <w:t>*corresponding author</w:t>
      </w:r>
    </w:p>
    <w:p w14:paraId="607F69E7" w14:textId="77777777" w:rsidR="00652D52" w:rsidRPr="00116C4A" w:rsidRDefault="00652D52" w:rsidP="00116C4A">
      <w:pPr>
        <w:spacing w:after="0" w:line="480" w:lineRule="auto"/>
        <w:rPr>
          <w:rFonts w:ascii="Arial" w:eastAsia="Calibri" w:hAnsi="Arial" w:cs="Arial"/>
          <w:sz w:val="24"/>
          <w:szCs w:val="24"/>
        </w:rPr>
      </w:pPr>
    </w:p>
    <w:p w14:paraId="130EBC61" w14:textId="77777777" w:rsidR="00116C4A" w:rsidRPr="00661767" w:rsidRDefault="00116C4A" w:rsidP="00116C4A">
      <w:pPr>
        <w:spacing w:after="0" w:line="480" w:lineRule="auto"/>
        <w:rPr>
          <w:rFonts w:ascii="Arial" w:eastAsia="Calibri" w:hAnsi="Arial" w:cs="Arial"/>
          <w:b/>
          <w:bCs/>
          <w:sz w:val="24"/>
          <w:szCs w:val="24"/>
        </w:rPr>
      </w:pPr>
      <w:r w:rsidRPr="00661767">
        <w:rPr>
          <w:rFonts w:ascii="Arial" w:eastAsia="Calibri" w:hAnsi="Arial" w:cs="Arial"/>
          <w:b/>
          <w:bCs/>
          <w:sz w:val="24"/>
          <w:szCs w:val="24"/>
        </w:rPr>
        <w:t>Corre</w:t>
      </w:r>
      <w:r>
        <w:rPr>
          <w:rFonts w:ascii="Arial" w:eastAsia="Calibri" w:hAnsi="Arial" w:cs="Arial"/>
          <w:b/>
          <w:bCs/>
          <w:sz w:val="24"/>
          <w:szCs w:val="24"/>
        </w:rPr>
        <w:t>sponding author email address</w:t>
      </w:r>
    </w:p>
    <w:p w14:paraId="375D9993" w14:textId="77777777" w:rsidR="00116C4A" w:rsidRPr="00661767" w:rsidRDefault="00116C4A" w:rsidP="00116C4A">
      <w:pPr>
        <w:spacing w:after="0" w:line="480" w:lineRule="auto"/>
        <w:rPr>
          <w:rFonts w:ascii="Arial" w:eastAsia="Calibri" w:hAnsi="Arial" w:cs="Arial"/>
          <w:bCs/>
          <w:sz w:val="24"/>
          <w:szCs w:val="24"/>
        </w:rPr>
      </w:pPr>
    </w:p>
    <w:p w14:paraId="1CD9690E" w14:textId="36515430" w:rsidR="00116C4A" w:rsidRPr="00661767" w:rsidRDefault="00116C4A" w:rsidP="00116C4A">
      <w:pPr>
        <w:spacing w:after="0" w:line="480" w:lineRule="auto"/>
        <w:rPr>
          <w:rFonts w:ascii="Arial" w:eastAsia="Calibri" w:hAnsi="Arial" w:cs="Arial"/>
          <w:bCs/>
          <w:sz w:val="24"/>
          <w:szCs w:val="24"/>
        </w:rPr>
      </w:pPr>
      <w:r>
        <w:rPr>
          <w:rFonts w:ascii="Arial" w:eastAsia="Calibri" w:hAnsi="Arial" w:cs="Arial"/>
          <w:bCs/>
          <w:sz w:val="24"/>
          <w:szCs w:val="24"/>
        </w:rPr>
        <w:t>Mandy J Peffers</w:t>
      </w:r>
      <w:r>
        <w:rPr>
          <w:rFonts w:ascii="Arial" w:eastAsia="Calibri" w:hAnsi="Arial" w:cs="Arial"/>
          <w:bCs/>
          <w:sz w:val="24"/>
          <w:szCs w:val="24"/>
        </w:rPr>
        <w:tab/>
      </w:r>
      <w:hyperlink r:id="rId8" w:history="1">
        <w:r w:rsidR="00564564" w:rsidRPr="00170E71">
          <w:rPr>
            <w:rStyle w:val="Hyperlink"/>
            <w:rFonts w:ascii="Arial" w:eastAsia="Calibri" w:hAnsi="Arial" w:cs="Arial"/>
            <w:bCs/>
            <w:sz w:val="24"/>
            <w:szCs w:val="24"/>
          </w:rPr>
          <w:t>peffs@liverpool.ac.uk</w:t>
        </w:r>
      </w:hyperlink>
      <w:r>
        <w:rPr>
          <w:rFonts w:ascii="Arial" w:eastAsia="Calibri" w:hAnsi="Arial" w:cs="Arial"/>
          <w:bCs/>
          <w:sz w:val="24"/>
          <w:szCs w:val="24"/>
        </w:rPr>
        <w:tab/>
      </w:r>
      <w:r w:rsidRPr="00661767">
        <w:rPr>
          <w:rFonts w:ascii="Arial" w:eastAsia="Calibri" w:hAnsi="Arial" w:cs="Arial"/>
          <w:bCs/>
          <w:sz w:val="24"/>
          <w:szCs w:val="24"/>
        </w:rPr>
        <w:t>Tel: 07872692102</w:t>
      </w:r>
    </w:p>
    <w:p w14:paraId="7C7116E7" w14:textId="77777777" w:rsidR="00516D9B" w:rsidRPr="00116C4A" w:rsidRDefault="00516D9B" w:rsidP="00116C4A">
      <w:pPr>
        <w:autoSpaceDE w:val="0"/>
        <w:autoSpaceDN w:val="0"/>
        <w:adjustRightInd w:val="0"/>
        <w:spacing w:after="0" w:line="480" w:lineRule="auto"/>
        <w:rPr>
          <w:rFonts w:ascii="Arial" w:eastAsia="Calibri" w:hAnsi="Arial" w:cs="Arial"/>
          <w:b/>
          <w:sz w:val="24"/>
          <w:szCs w:val="24"/>
        </w:rPr>
      </w:pPr>
    </w:p>
    <w:p w14:paraId="636FD71F" w14:textId="77777777" w:rsidR="00652D52" w:rsidRPr="00116C4A" w:rsidRDefault="00652D52" w:rsidP="00116C4A">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4" w:name="_Toc10551727"/>
      <w:bookmarkEnd w:id="2"/>
      <w:r w:rsidRPr="00116C4A">
        <w:rPr>
          <w:rFonts w:ascii="Arial" w:eastAsia="Bitstream Vera Sans;MS Mincho" w:hAnsi="Arial" w:cs="Arial"/>
          <w:b/>
          <w:bCs/>
          <w:color w:val="000000"/>
          <w:sz w:val="24"/>
          <w:szCs w:val="24"/>
          <w:lang w:eastAsia="zh-CN" w:bidi="hi-IN"/>
        </w:rPr>
        <w:lastRenderedPageBreak/>
        <w:t>Abstract</w:t>
      </w:r>
      <w:bookmarkEnd w:id="4"/>
    </w:p>
    <w:p w14:paraId="5684A8C6" w14:textId="77777777" w:rsidR="00557EE0" w:rsidRPr="00557EE0" w:rsidRDefault="00557EE0" w:rsidP="00557EE0">
      <w:pPr>
        <w:suppressAutoHyphens/>
        <w:spacing w:after="0" w:line="480" w:lineRule="auto"/>
        <w:textAlignment w:val="baseline"/>
        <w:rPr>
          <w:rFonts w:ascii="Times New Roman" w:eastAsia="Times New Roman" w:hAnsi="Times New Roman" w:cs="Times New Roman"/>
          <w:sz w:val="20"/>
          <w:szCs w:val="20"/>
        </w:rPr>
      </w:pPr>
      <w:r w:rsidRPr="00557EE0">
        <w:rPr>
          <w:rFonts w:ascii="Arial" w:eastAsia="Calibri" w:hAnsi="Arial" w:cs="Arial"/>
          <w:sz w:val="24"/>
          <w:szCs w:val="24"/>
        </w:rPr>
        <w:t>Synovial fluid (SF) is of great interest for the investigation of orthopaedic pathologies as it is in close proximity to various tissues which are primarily altered during these disease processes and can be collected using minimally invasive protocols. Multi ‘</w:t>
      </w:r>
      <w:proofErr w:type="spellStart"/>
      <w:r w:rsidRPr="00557EE0">
        <w:rPr>
          <w:rFonts w:ascii="Arial" w:eastAsia="Calibri" w:hAnsi="Arial" w:cs="Arial"/>
          <w:sz w:val="24"/>
          <w:szCs w:val="24"/>
        </w:rPr>
        <w:t>omic</w:t>
      </w:r>
      <w:proofErr w:type="spellEnd"/>
      <w:r w:rsidRPr="00557EE0">
        <w:rPr>
          <w:rFonts w:ascii="Arial" w:eastAsia="Calibri" w:hAnsi="Arial" w:cs="Arial"/>
          <w:sz w:val="24"/>
          <w:szCs w:val="24"/>
        </w:rPr>
        <w:t xml:space="preserve">’ approaches are commonplace although little consideration is often given for multiple analysis techniques at sample collection. Nuclear magnetic resonance (NMR) metabolomics and liquid chromatography tandem mass spectrometry (LC-MS/MS) proteomics are two complementary techniques particularly suited to the study of SF. However, currently there are no agreed standard protocols which are published for SF collection and processing for use with NMR </w:t>
      </w:r>
      <w:proofErr w:type="spellStart"/>
      <w:r w:rsidRPr="00557EE0">
        <w:rPr>
          <w:rFonts w:ascii="Arial" w:eastAsia="Calibri" w:hAnsi="Arial" w:cs="Arial"/>
          <w:sz w:val="24"/>
          <w:szCs w:val="24"/>
        </w:rPr>
        <w:t>metabolomic</w:t>
      </w:r>
      <w:proofErr w:type="spellEnd"/>
      <w:r w:rsidRPr="00557EE0">
        <w:rPr>
          <w:rFonts w:ascii="Arial" w:eastAsia="Calibri" w:hAnsi="Arial" w:cs="Arial"/>
          <w:sz w:val="24"/>
          <w:szCs w:val="24"/>
        </w:rPr>
        <w:t xml:space="preserve"> analysis. Furthermore, the large protein concentration dynamic range present within SF can mask the detection of lower abundance proteins in proteomics. Whilst combinational ligand libraries (</w:t>
      </w:r>
      <w:proofErr w:type="spellStart"/>
      <w:r w:rsidRPr="00557EE0">
        <w:rPr>
          <w:rFonts w:ascii="Arial" w:eastAsia="Calibri" w:hAnsi="Arial" w:cs="Arial"/>
          <w:sz w:val="24"/>
          <w:szCs w:val="24"/>
        </w:rPr>
        <w:t>ProteoMiner</w:t>
      </w:r>
      <w:r w:rsidRPr="00557EE0">
        <w:rPr>
          <w:rFonts w:ascii="Arial" w:eastAsia="Calibri" w:hAnsi="Arial" w:cs="Arial"/>
          <w:sz w:val="24"/>
          <w:szCs w:val="24"/>
          <w:vertAlign w:val="superscript"/>
        </w:rPr>
        <w:t>TM</w:t>
      </w:r>
      <w:proofErr w:type="spellEnd"/>
      <w:r w:rsidRPr="00557EE0">
        <w:rPr>
          <w:rFonts w:ascii="Arial" w:eastAsia="Calibri" w:hAnsi="Arial" w:cs="Arial"/>
          <w:sz w:val="24"/>
          <w:szCs w:val="24"/>
        </w:rPr>
        <w:t xml:space="preserve"> columns) have been developed to reduce this dynamic range, their reproducibility when used in conjunction with SF, or on-bead protein digestion protocols, have yet to be investigated. Here we employ optimised protocols for the collection, processing and storage of SF for NMR metabolite analysis and LC-MS/MS proteome analysis, including a Lys-C endopeptidase digestion step prior to tryptic digestion which increased the number of protein identifications and improved reproducibility for on-bead </w:t>
      </w:r>
      <w:proofErr w:type="spellStart"/>
      <w:r w:rsidRPr="00557EE0">
        <w:rPr>
          <w:rFonts w:ascii="Arial" w:eastAsia="Calibri" w:hAnsi="Arial" w:cs="Arial"/>
          <w:sz w:val="24"/>
          <w:szCs w:val="24"/>
        </w:rPr>
        <w:t>ProteoMiner</w:t>
      </w:r>
      <w:r w:rsidRPr="00557EE0">
        <w:rPr>
          <w:rFonts w:ascii="Arial" w:eastAsia="Calibri" w:hAnsi="Arial" w:cs="Arial"/>
          <w:sz w:val="24"/>
          <w:szCs w:val="24"/>
          <w:vertAlign w:val="superscript"/>
        </w:rPr>
        <w:t>TM</w:t>
      </w:r>
      <w:proofErr w:type="spellEnd"/>
      <w:r w:rsidRPr="00557EE0">
        <w:rPr>
          <w:rFonts w:ascii="Arial" w:eastAsia="Calibri" w:hAnsi="Arial" w:cs="Arial"/>
          <w:sz w:val="24"/>
          <w:szCs w:val="24"/>
        </w:rPr>
        <w:t xml:space="preserve"> digestion.</w:t>
      </w:r>
    </w:p>
    <w:p w14:paraId="6E2E6984" w14:textId="5EE1309A" w:rsidR="003433A1" w:rsidRDefault="003433A1" w:rsidP="00116C4A">
      <w:pPr>
        <w:spacing w:after="0" w:line="480" w:lineRule="auto"/>
        <w:rPr>
          <w:rFonts w:ascii="Arial" w:eastAsia="Calibri" w:hAnsi="Arial" w:cs="Arial"/>
          <w:b/>
          <w:sz w:val="24"/>
          <w:szCs w:val="24"/>
        </w:rPr>
      </w:pPr>
    </w:p>
    <w:p w14:paraId="00126A60" w14:textId="60C48436" w:rsidR="000E798D" w:rsidRPr="00DC5747" w:rsidRDefault="000E798D" w:rsidP="000E798D">
      <w:pPr>
        <w:spacing w:after="0" w:line="480" w:lineRule="auto"/>
        <w:rPr>
          <w:rFonts w:ascii="Arial" w:eastAsia="Calibri" w:hAnsi="Arial" w:cs="Arial"/>
          <w:sz w:val="24"/>
          <w:szCs w:val="24"/>
        </w:rPr>
      </w:pPr>
      <w:r w:rsidRPr="00DC5747">
        <w:rPr>
          <w:rFonts w:ascii="Arial" w:eastAsia="Calibri" w:hAnsi="Arial" w:cs="Arial"/>
          <w:b/>
          <w:sz w:val="24"/>
          <w:szCs w:val="24"/>
        </w:rPr>
        <w:t>PRIDE Archive</w:t>
      </w:r>
      <w:r>
        <w:rPr>
          <w:rFonts w:ascii="Arial" w:eastAsia="Calibri" w:hAnsi="Arial" w:cs="Arial"/>
          <w:sz w:val="24"/>
          <w:szCs w:val="24"/>
        </w:rPr>
        <w:t xml:space="preserve">; </w:t>
      </w:r>
      <w:r w:rsidRPr="00DC5747">
        <w:rPr>
          <w:rFonts w:ascii="Arial" w:eastAsia="Calibri" w:hAnsi="Arial" w:cs="Arial"/>
          <w:sz w:val="24"/>
          <w:szCs w:val="24"/>
        </w:rPr>
        <w:t>Us</w:t>
      </w:r>
      <w:r>
        <w:rPr>
          <w:rFonts w:ascii="Arial" w:eastAsia="Calibri" w:hAnsi="Arial" w:cs="Arial"/>
          <w:sz w:val="24"/>
          <w:szCs w:val="24"/>
        </w:rPr>
        <w:t xml:space="preserve">ername: </w:t>
      </w:r>
      <w:hyperlink r:id="rId9" w:history="1">
        <w:r w:rsidRPr="008F2CDC">
          <w:rPr>
            <w:rStyle w:val="Hyperlink"/>
            <w:rFonts w:ascii="Arial" w:eastAsia="Calibri" w:hAnsi="Arial" w:cs="Arial"/>
            <w:sz w:val="24"/>
            <w:szCs w:val="24"/>
          </w:rPr>
          <w:t>reviewer88516@ebi.ac.uk</w:t>
        </w:r>
      </w:hyperlink>
      <w:r>
        <w:rPr>
          <w:rFonts w:ascii="Arial" w:eastAsia="Calibri" w:hAnsi="Arial" w:cs="Arial"/>
          <w:sz w:val="24"/>
          <w:szCs w:val="24"/>
        </w:rPr>
        <w:t xml:space="preserve">; </w:t>
      </w:r>
      <w:r w:rsidRPr="00DC5747">
        <w:rPr>
          <w:rFonts w:ascii="Arial" w:eastAsia="Calibri" w:hAnsi="Arial" w:cs="Arial"/>
          <w:sz w:val="24"/>
          <w:szCs w:val="24"/>
        </w:rPr>
        <w:t>Password: wdQwP0cu</w:t>
      </w:r>
    </w:p>
    <w:p w14:paraId="1BCC3BB0" w14:textId="77777777" w:rsidR="000E798D" w:rsidRDefault="000E798D" w:rsidP="00116C4A">
      <w:pPr>
        <w:spacing w:after="0" w:line="480" w:lineRule="auto"/>
        <w:rPr>
          <w:rFonts w:ascii="Arial" w:eastAsia="Calibri" w:hAnsi="Arial" w:cs="Arial"/>
          <w:b/>
          <w:sz w:val="24"/>
          <w:szCs w:val="24"/>
        </w:rPr>
      </w:pPr>
    </w:p>
    <w:p w14:paraId="1B9B166A" w14:textId="7395DC24" w:rsidR="00DF30E8" w:rsidRPr="00116C4A" w:rsidRDefault="00DC38DB" w:rsidP="00116C4A">
      <w:pPr>
        <w:spacing w:after="0" w:line="480" w:lineRule="auto"/>
        <w:rPr>
          <w:rFonts w:ascii="Arial" w:eastAsia="Calibri" w:hAnsi="Arial" w:cs="Arial"/>
          <w:b/>
          <w:sz w:val="24"/>
          <w:szCs w:val="24"/>
        </w:rPr>
      </w:pPr>
      <w:r w:rsidRPr="00116C4A">
        <w:rPr>
          <w:rFonts w:ascii="Arial" w:eastAsia="Calibri" w:hAnsi="Arial" w:cs="Arial"/>
          <w:b/>
          <w:sz w:val="24"/>
          <w:szCs w:val="24"/>
        </w:rPr>
        <w:t xml:space="preserve">Keywords: </w:t>
      </w:r>
      <w:r w:rsidRPr="00116C4A">
        <w:rPr>
          <w:rFonts w:ascii="Arial" w:eastAsia="Calibri" w:hAnsi="Arial" w:cs="Arial"/>
          <w:sz w:val="24"/>
          <w:szCs w:val="24"/>
        </w:rPr>
        <w:t>Synovial Fluid, Metabolomics, Nuclear Magnetic Resonance, Proteomics, Mass Spectrometry, Lys-C Endopeptidase</w:t>
      </w:r>
    </w:p>
    <w:p w14:paraId="6513D91D" w14:textId="77777777" w:rsidR="00652D52" w:rsidRPr="00116C4A" w:rsidRDefault="00652D52" w:rsidP="00116C4A">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5" w:name="_Toc10551728"/>
      <w:r w:rsidRPr="00116C4A">
        <w:rPr>
          <w:rFonts w:ascii="Arial" w:eastAsia="Bitstream Vera Sans;MS Mincho" w:hAnsi="Arial" w:cs="Arial"/>
          <w:b/>
          <w:bCs/>
          <w:color w:val="000000"/>
          <w:sz w:val="24"/>
          <w:szCs w:val="24"/>
          <w:lang w:eastAsia="zh-CN" w:bidi="hi-IN"/>
        </w:rPr>
        <w:lastRenderedPageBreak/>
        <w:t>Introduction</w:t>
      </w:r>
      <w:bookmarkEnd w:id="5"/>
    </w:p>
    <w:p w14:paraId="457D2007" w14:textId="74574EE1" w:rsidR="00652D52" w:rsidRDefault="00652D52" w:rsidP="00DC5747">
      <w:pPr>
        <w:autoSpaceDE w:val="0"/>
        <w:autoSpaceDN w:val="0"/>
        <w:adjustRightInd w:val="0"/>
        <w:spacing w:before="100" w:beforeAutospacing="1" w:after="100" w:afterAutospacing="1" w:line="480" w:lineRule="auto"/>
        <w:rPr>
          <w:rFonts w:ascii="Arial" w:eastAsia="Calibri" w:hAnsi="Arial" w:cs="Arial"/>
          <w:sz w:val="24"/>
          <w:szCs w:val="24"/>
        </w:rPr>
      </w:pPr>
      <w:r w:rsidRPr="00116C4A">
        <w:rPr>
          <w:rFonts w:ascii="Arial" w:eastAsia="Calibri" w:hAnsi="Arial" w:cs="Arial"/>
          <w:sz w:val="24"/>
          <w:szCs w:val="24"/>
        </w:rPr>
        <w:t xml:space="preserve">Synovial fluid (SF) primarily acts as a biological lubricant, reducing friction between synovial joint articular cartilage surfaces, but also functions as a pool of nutrients for surrounding tissues and allows movement of regulatory cytokines </w:t>
      </w:r>
      <w:r w:rsidRPr="00116C4A">
        <w:rPr>
          <w:rFonts w:ascii="Arial" w:eastAsia="Calibri" w:hAnsi="Arial" w:cs="Arial"/>
          <w:sz w:val="24"/>
          <w:szCs w:val="24"/>
        </w:rPr>
        <w:fldChar w:fldCharType="begin" w:fldLock="1"/>
      </w:r>
      <w:r w:rsidR="00C46054">
        <w:rPr>
          <w:rFonts w:ascii="Arial" w:eastAsia="Calibri" w:hAnsi="Arial" w:cs="Arial"/>
          <w:sz w:val="24"/>
          <w:szCs w:val="24"/>
        </w:rPr>
        <w:instrText>ADDIN CSL_CITATION {"citationItems":[{"id":"ITEM-1","itemData":{"DOI":"10.2478/intox-2013-0019","ISSN":"1337-6853","PMID":"24678248","abstract":"Synovial fluid is a viscous solution found in the cavities of synovial joints. The principal role of synovial fluid is to reduce friction between the articular cartilages of synovial joints during movement. The presence of high molar mass hyaluronan (HA) in this fluid gives it the required viscosity for its function as lubricant solution. Inflammation oxidation stress enhances normal degradation of hyaluronan causing several diseases related to joints. This review describes hyaluronan properties and distribution, applications and its function in synovial joints, with short review for using thiol compounds as antioxidants preventing HA degradations under inflammation conditions.","author":[{"dropping-particle":"","family":"Tamer","given":"Tamer Mahmoud","non-dropping-particle":"","parse-names":false,"suffix":""}],"container-title":"Interdisciplinary toxicology","id":"ITEM-1","issue":"3","issued":{"date-parts":[["2013","9"]]},"page":"111-25","publisher":"Slovak Toxicology Society","title":"Hyaluronan and synovial joint: function, distribution and healing.","type":"article-journal","volume":"6"},"uris":["http://www.mendeley.com/documents/?uuid=ea08947b-c0d1-3d90-a059-3a2a6a730c2c"]},{"id":"ITEM-2","itemData":{"ISBN":"1473-2262 (Electronic)\r1473-2262 (Linking)","PMID":"17340555","abstract":"The synovial fluid (SF) of joints normally functions as a biological lubricant, providing low-friction and low-wear properties to articulating cartilage surfaces through the putative contributions of proteoglycan 4 (PRG4), hyaluronic acid (HA), and surface active phospholipids (SAPL). These lubricants are secreted by chondrocytes in articular cartilage and synoviocytes in synovium, and concentrated in the synovial space by the semi-permeable synovial lining. A deficiency in this lubricating system may contribute to the erosion of articulating cartilage surfaces in conditions of arthritis. A quantitative intercompartmental model was developed to predict in vivo SF lubricant concentration in the human knee joint. The model consists of a SF compartment that (a) is lined by cells of appropriate types, (b) is bound by a semi-permeable membrane, and (c) contains factors that regulate lubricant secretion. Lubricant concentration was predicted with different chemical regulators of chondrocyte and synoviocyte secretion, and also with therapeutic interventions of joint lavage and HA injection. The model predicted steady-state lubricant concentrations that were within physiologically observed ranges, and which were markedly altered with chemical regulation. The model also predicted that when starting from a zero lubricant concentration after joint lavage, PRG4 reaches steady-state concentration approximately 10-40 times faster than HA. Additionally, analysis of the clearance rate of HA after therapeutic injection into SF predicted that the majority of HA leaves the joint after approximately 1-2 days. This quantitative intercompartmental model allows integration of biophysical processes to identify both environmental factors and clinical therapies that affect SF lubricant composition in whole joints.","author":[{"dropping-particle":"","family":"Blewis","given":"M E","non-dropping-particle":"","parse-names":false,"suffix":""},{"dropping-particle":"","family":"Nugent-Derfus","given":"G E","non-dropping-particle":"","parse-names":false,"suffix":""},{"dropping-particle":"","family":"Schmidt","given":"T A","non-dropping-particle":"","parse-names":false,"suffix":""},{"dropping-particle":"","family":"Schumacher","given":"B L","non-dropping-particle":"","parse-names":false,"suffix":""},{"dropping-particle":"","family":"Sah","given":"R L","non-dropping-particle":"","parse-names":false,"suffix":""}],"container-title":"Eur Cell Mater","id":"ITEM-2","issued":{"date-parts":[["2007"]]},"note":"Blewis, M E\nNugent-Derfus, G E\nSchmidt, T A\nSchumacher, B L\nSah, R L\neng\nResearch Support, N.I.H., Extramural\nResearch Support, Non-U.S. Gov't\nResearch Support, U.S. Gov't, Non-P.H.S.\nScotland\n2007/03/07 09:00\nEur Cell Mater. 2007 Mar 6;13:26-39.","page":"26-39","title":"A model of synovial fluid lubricant composition in normal and injured joints","type":"article-journal","volume":"13"},"uris":["http://www.mendeley.com/documents/?uuid=a9f59761-acdc-4d5f-992f-0f2a6ac6de7d"]}],"mendeley":{"formattedCitation":"&lt;sup&gt;1,2&lt;/sup&gt;","plainTextFormattedCitation":"1,2","previouslyFormattedCitation":"&lt;sup&gt;1,2&lt;/sup&gt;"},"properties":{"noteIndex":0},"schema":"https://github.com/citation-style-language/schema/raw/master/csl-citation.json"}</w:instrText>
      </w:r>
      <w:r w:rsidRPr="00116C4A">
        <w:rPr>
          <w:rFonts w:ascii="Arial" w:eastAsia="Calibri" w:hAnsi="Arial" w:cs="Arial"/>
          <w:sz w:val="24"/>
          <w:szCs w:val="24"/>
        </w:rPr>
        <w:fldChar w:fldCharType="separate"/>
      </w:r>
      <w:r w:rsidR="00414788" w:rsidRPr="00414788">
        <w:rPr>
          <w:rFonts w:ascii="Arial" w:eastAsia="Calibri" w:hAnsi="Arial" w:cs="Arial"/>
          <w:noProof/>
          <w:sz w:val="24"/>
          <w:szCs w:val="24"/>
          <w:vertAlign w:val="superscript"/>
        </w:rPr>
        <w:t>1,2</w:t>
      </w:r>
      <w:r w:rsidRPr="00116C4A">
        <w:rPr>
          <w:rFonts w:ascii="Arial" w:eastAsia="Calibri" w:hAnsi="Arial" w:cs="Arial"/>
          <w:sz w:val="24"/>
          <w:szCs w:val="24"/>
        </w:rPr>
        <w:fldChar w:fldCharType="end"/>
      </w:r>
      <w:r w:rsidRPr="00116C4A">
        <w:rPr>
          <w:rFonts w:ascii="Arial" w:eastAsia="Calibri" w:hAnsi="Arial" w:cs="Arial"/>
          <w:sz w:val="24"/>
          <w:szCs w:val="24"/>
        </w:rPr>
        <w:t xml:space="preserve">. </w:t>
      </w:r>
      <w:bookmarkStart w:id="6" w:name="_Hlk526705420"/>
      <w:r w:rsidRPr="00116C4A">
        <w:rPr>
          <w:rFonts w:ascii="Arial" w:eastAsia="Calibri" w:hAnsi="Arial" w:cs="Arial"/>
          <w:sz w:val="24"/>
          <w:szCs w:val="24"/>
        </w:rPr>
        <w:t xml:space="preserve">SF is of great interest for the investigation of orthopaedic pathologies, including osteoarthritis (OA), </w:t>
      </w:r>
      <w:proofErr w:type="spellStart"/>
      <w:r w:rsidRPr="00116C4A">
        <w:rPr>
          <w:rFonts w:ascii="Arial" w:eastAsia="Calibri" w:hAnsi="Arial" w:cs="Arial"/>
          <w:sz w:val="24"/>
          <w:szCs w:val="24"/>
        </w:rPr>
        <w:t>osteochondrosis</w:t>
      </w:r>
      <w:proofErr w:type="spellEnd"/>
      <w:r w:rsidRPr="00116C4A">
        <w:rPr>
          <w:rFonts w:ascii="Arial" w:eastAsia="Calibri" w:hAnsi="Arial" w:cs="Arial"/>
          <w:sz w:val="24"/>
          <w:szCs w:val="24"/>
        </w:rPr>
        <w:t xml:space="preserve">, rheumatoid arthritis and synovial sepsis, as it is in close proximity to various tissues which are primarily altered during these disease processes, with minimally invasive collection protocols </w:t>
      </w:r>
      <w:r w:rsidRPr="00116C4A">
        <w:rPr>
          <w:rFonts w:ascii="Arial" w:eastAsia="Calibri" w:hAnsi="Arial" w:cs="Arial"/>
          <w:sz w:val="24"/>
          <w:szCs w:val="24"/>
        </w:rPr>
        <w:fldChar w:fldCharType="begin" w:fldLock="1"/>
      </w:r>
      <w:r w:rsidR="00C46054">
        <w:rPr>
          <w:rFonts w:ascii="Arial" w:eastAsia="Calibri" w:hAnsi="Arial" w:cs="Arial"/>
          <w:sz w:val="24"/>
          <w:szCs w:val="24"/>
        </w:rPr>
        <w:instrText>ADDIN CSL_CITATION {"citationItems":[{"id":"ITEM-1","itemData":{"DOI":"10.1021/acs.jproteome.8b00190","ISSN":"1535-3893","abstract":"Osteoarthritis (OA), osteochondrosis (OC), and synovial sepsis in horses cause loss of function and pain. Reliable biomarkers are required to achieve accurate and rapid diagnosis, with synovial fluid (SF) holding a unique source of biochemical information. Nuclear magnetic resonance (NMR) spectroscopy allows global metabolite analysis of a small volume of SF, with minimal sample preprocessing using a noninvasive and nondestructive method. Equine SF metabolic profiles from both nonseptic joints (OA and OC) and septic joints were analyzed using 1D 1H NMR spectroscopy. Univariate and multivariate statistical analyses were used to identify differential metabolite abundance between groups. Metabolites were annotated via 1H NMR using 1D NMR identification software Chenomx, with identities confirmed using 1D 1H and 2D 1H 13C NMR. Multivariate analysis identified separation between septic and nonseptic groups. Acetate, alanine, citrate, creatine phosphate, creatinine, glucose, glutamate, glutamine, glycine, pheny...","author":[{"dropping-particle":"","family":"Anderson","given":"James R.","non-dropping-particle":"","parse-names":false,"suffix":""},{"dropping-particle":"","family":"Phelan","given":"Marie M.","non-dropping-particle":"","parse-names":false,"suffix":""},{"dropping-particle":"","family":"Clegg","given":"Peter D.","non-dropping-particle":"","parse-names":false,"suffix":""},{"dropping-particle":"","family":"Peffers","given":"Mandy J.","non-dropping-particle":"","parse-names":false,"suffix":""},{"dropping-particle":"","family":"Rubio-Martinez","given":"Luis M.","non-dropping-particle":"","parse-names":false,"suffix":""}],"container-title":"Journal of Proteome Research","id":"ITEM-1","issue":"8","issued":{"date-parts":[["2018","8","3"]]},"page":"2735-2743","publisher":"American Chemical Society","title":"Synovial Fluid Metabolites Differentiate between Septic and Nonseptic Joint Pathologies","type":"article-journal","volume":"17"},"uris":["http://www.mendeley.com/documents/?uuid=dca4f401-57bd-3c7c-86b5-ccfd0d2f479d"]},{"id":"ITEM-2","itemData":{"DOI":"10.1016/j.jprot.2011.12.042","PMID":"22245418","abstract":"The purpose of this study was to identify those proteins relatively more abundant in the synovial fluid (SF) of patients suffering from rheumatoid arthritis (RA) and osteoarthritis (OA) using high performance liquid chromatography coupled to mass spectrometry. 20 individual SF samples from each disease were pooled into two groups (RA and OA) to reduce the contribution of extreme individual values. Prior to the proteomic analysis, samples were immunodepleted from the top 20 most abundant plasma proteins, to enrich the lower-abundance protein fractions. Then, they were subjected to protein size fractioning and in-gel digestion, followed by reversed-phase peptide separation in a nano-LC system and subsequent peptide identification by MALDI-TOF/TOF. This strategy led to the identification of 136 different proteins in SF, which is the largest number of SF proteins described up to date by proteomics. A relative quantification of the proteins between RA and OA was carried out by spectral counting analysis. In RA, our results show a greater relative abundance of proteins related to complement activation, inflammation and the immune response, such as the major matrix metalloproteinases and several neutrophil-related proteins. In OA, we detected an increase in proteins involved in the formation and remodeling of the extracellular matrix (ECM), such as fibronectin, kininogen-1, cartilage acidic protein 1 and cartilage oligomeric matrix protein. The results obtained for MMP-1, BGH3, fibronectin and gelsolin were verified by immunoblotting analyses. Some of the novel proteins identified in this work might be relevant not only for increasing knowledge on the etiopathogenesis of RA and OA processes, but also as putative disease biomarkers, as their presence in SF is a prior step to their dilution in serum. This article is part of a Special Issue entitled: Proteomics: The clinical link.","author":[{"dropping-particle":"","family":"Mateos","given":"J","non-dropping-particle":"","parse-names":false,"suffix":""},{"dropping-particle":"","family":"Lourido","given":"L","non-dropping-particle":"","parse-names":false,"suffix":""},{"dropping-particle":"","family":"Fernandez-Puente","given":"P","non-dropping-particle":"","parse-names":false,"suffix":""},{"dropping-particle":"","family":"Calamia","given":"V","non-dropping-particle":"","parse-names":false,"suffix":""},{"dropping-particle":"","family":"Fernandez-Lopez","given":"C","non-dropping-particle":"","parse-names":false,"suffix":""},{"dropping-particle":"","family":"Oreiro","given":"N","non-dropping-particle":"","parse-names":false,"suffix":""},{"dropping-particle":"","family":"Ruiz-Romero","given":"C","non-dropping-particle":"","parse-names":false,"suffix":""},{"dropping-particle":"","family":"Blanco","given":"F J","non-dropping-particle":"","parse-names":false,"suffix":""}],"container-title":"J Proteomics","edition":"2012/01/17","id":"ITEM-2","issue":"10","issued":{"date-parts":[["2012"]]},"language":"eng","note":"1876-7737\nMateos, Jesus\nLourido, Lucia\nFernandez-Puente, Patricia\nCalamia, Valentina\nFernandez-Lopez, Carlos\nOreiro, Natividad\nRuiz-Romero, Cristina\nBlanco, Francisco J\nEvaluation Studies\nJournal Article\nResearch Support, Non-U.S. Gov't\nValidation Studies\nNetherlands\nJ Proteomics. 2012 Jun 6;75(10):2869-78. doi: 10.1016/j.jprot.2011.12.042. Epub 2012 Jan 8.","page":"2869-2878","title":"Differential protein profiling of synovial fluid from rheumatoid arthritis and osteoarthritis patients using LC-MALDI TOF/TOF","type":"article-journal","volume":"75"},"uris":["http://www.mendeley.com/documents/?uuid=0aeb8fbf-dac9-4096-aca4-772d997c48fb"]}],"mendeley":{"formattedCitation":"&lt;sup&gt;3,4&lt;/sup&gt;","plainTextFormattedCitation":"3,4","previouslyFormattedCitation":"&lt;sup&gt;3,4&lt;/sup&gt;"},"properties":{"noteIndex":0},"schema":"https://github.com/citation-style-language/schema/raw/master/csl-citation.json"}</w:instrText>
      </w:r>
      <w:r w:rsidRPr="00116C4A">
        <w:rPr>
          <w:rFonts w:ascii="Arial" w:eastAsia="Calibri" w:hAnsi="Arial" w:cs="Arial"/>
          <w:sz w:val="24"/>
          <w:szCs w:val="24"/>
        </w:rPr>
        <w:fldChar w:fldCharType="separate"/>
      </w:r>
      <w:r w:rsidR="00414788" w:rsidRPr="00414788">
        <w:rPr>
          <w:rFonts w:ascii="Arial" w:eastAsia="Calibri" w:hAnsi="Arial" w:cs="Arial"/>
          <w:noProof/>
          <w:sz w:val="24"/>
          <w:szCs w:val="24"/>
          <w:vertAlign w:val="superscript"/>
        </w:rPr>
        <w:t>3,4</w:t>
      </w:r>
      <w:r w:rsidRPr="00116C4A">
        <w:rPr>
          <w:rFonts w:ascii="Arial" w:eastAsia="Calibri" w:hAnsi="Arial" w:cs="Arial"/>
          <w:sz w:val="24"/>
          <w:szCs w:val="24"/>
        </w:rPr>
        <w:fldChar w:fldCharType="end"/>
      </w:r>
      <w:r w:rsidRPr="00116C4A">
        <w:rPr>
          <w:rFonts w:ascii="Arial" w:eastAsia="Calibri" w:hAnsi="Arial" w:cs="Arial"/>
          <w:sz w:val="24"/>
          <w:szCs w:val="24"/>
        </w:rPr>
        <w:t>. Therefore, SF has the potential for improved understanding of underlying disease pathogenesis and biomarker discovery</w:t>
      </w:r>
      <w:r w:rsidR="0073277B">
        <w:rPr>
          <w:rFonts w:ascii="Arial" w:eastAsia="Calibri" w:hAnsi="Arial" w:cs="Arial"/>
          <w:sz w:val="24"/>
          <w:szCs w:val="24"/>
        </w:rPr>
        <w:t xml:space="preserve"> </w:t>
      </w:r>
      <w:r w:rsidR="0073277B">
        <w:rPr>
          <w:rFonts w:ascii="Arial" w:eastAsia="Calibri" w:hAnsi="Arial" w:cs="Arial"/>
          <w:sz w:val="24"/>
          <w:szCs w:val="24"/>
        </w:rPr>
        <w:fldChar w:fldCharType="begin" w:fldLock="1"/>
      </w:r>
      <w:r w:rsidR="00990555">
        <w:rPr>
          <w:rFonts w:ascii="Arial" w:eastAsia="Calibri" w:hAnsi="Arial" w:cs="Arial"/>
          <w:sz w:val="24"/>
          <w:szCs w:val="24"/>
        </w:rPr>
        <w:instrText>ADDIN CSL_CITATION {"citationItems":[{"id":"ITEM-1","itemData":{"DOI":"10.1080/14789450.2019.1578214","ISSN":"1478-9450","abstract":"ABSTRACTIntroduction: Synovial fluid (SF) is in close proximity to tissues which are primarily altered during articular disease and has significant potential to better understand the underlying disease pathogeneses of articular pathologies and biomarker discovery. Although development of mass spectrometry-based methods has allowed faster and higher sensitivity techniques, interrogation of the SF proteome has been hindered by its large protein concentration dynamic range, impeding quantification of lower abundant proteins.Areas covered: Recent advances have developed methodologies to reduce the large protein concentration dynamic range of SF and subsequently allow deeper exploration of the SF proteome. This review concentrates on methods to overcome biofluid complexity, mass spectrometry proteomics methodologies, extracellular vesicles proteomics and the application of advances within the field in clinical disease, including osteoarthritis, rheumatoid arthritis, spondyloarthritis and juvenile arthritis. A ...","author":[{"dropping-particle":"","family":"Peffers","given":"Mandy Jayne","non-dropping-particle":"","parse-names":false,"suffix":""},{"dropping-particle":"","family":"Smagul","given":"Aibek","non-dropping-particle":"","parse-names":false,"suffix":""},{"dropping-particle":"","family":"Anderson","given":"James Ross","non-dropping-particle":"","parse-names":false,"suffix":""}],"container-title":"Expert Review of Proteomics","id":"ITEM-1","issue":"4","issued":{"date-parts":[["2019","4","3"]]},"page":"287-302","publisher":"Taylor &amp; Francis","title":"Proteomic analysis of synovial fluid: current and potential uses to improve clinical outcomes","type":"article-journal","volume":"16"},"uris":["http://www.mendeley.com/documents/?uuid=5fdf316e-8b85-384e-bb03-51b3f3205e5a"]}],"mendeley":{"formattedCitation":"&lt;sup&gt;5&lt;/sup&gt;","plainTextFormattedCitation":"5","previouslyFormattedCitation":"&lt;sup&gt;5&lt;/sup&gt;"},"properties":{"noteIndex":0},"schema":"https://github.com/citation-style-language/schema/raw/master/csl-citation.json"}</w:instrText>
      </w:r>
      <w:r w:rsidR="0073277B">
        <w:rPr>
          <w:rFonts w:ascii="Arial" w:eastAsia="Calibri" w:hAnsi="Arial" w:cs="Arial"/>
          <w:sz w:val="24"/>
          <w:szCs w:val="24"/>
        </w:rPr>
        <w:fldChar w:fldCharType="separate"/>
      </w:r>
      <w:r w:rsidR="0073277B" w:rsidRPr="0073277B">
        <w:rPr>
          <w:rFonts w:ascii="Arial" w:eastAsia="Calibri" w:hAnsi="Arial" w:cs="Arial"/>
          <w:noProof/>
          <w:sz w:val="24"/>
          <w:szCs w:val="24"/>
          <w:vertAlign w:val="superscript"/>
        </w:rPr>
        <w:t>5</w:t>
      </w:r>
      <w:r w:rsidR="0073277B">
        <w:rPr>
          <w:rFonts w:ascii="Arial" w:eastAsia="Calibri" w:hAnsi="Arial" w:cs="Arial"/>
          <w:sz w:val="24"/>
          <w:szCs w:val="24"/>
        </w:rPr>
        <w:fldChar w:fldCharType="end"/>
      </w:r>
      <w:r w:rsidRPr="00116C4A">
        <w:rPr>
          <w:rFonts w:ascii="Arial" w:eastAsia="Calibri" w:hAnsi="Arial" w:cs="Arial"/>
          <w:sz w:val="24"/>
          <w:szCs w:val="24"/>
        </w:rPr>
        <w:t>.</w:t>
      </w:r>
    </w:p>
    <w:p w14:paraId="2004AF0F" w14:textId="572B37A7" w:rsidR="00F41690" w:rsidRPr="00DC5747" w:rsidRDefault="00F41690" w:rsidP="00DC5747">
      <w:pPr>
        <w:suppressAutoHyphens/>
        <w:spacing w:before="100" w:beforeAutospacing="1" w:after="100" w:afterAutospacing="1" w:line="480" w:lineRule="auto"/>
        <w:textAlignment w:val="baseline"/>
        <w:rPr>
          <w:rFonts w:ascii="Times New Roman" w:eastAsia="Times New Roman" w:hAnsi="Times New Roman" w:cs="Times New Roman"/>
          <w:color w:val="00B050"/>
          <w:sz w:val="20"/>
          <w:szCs w:val="20"/>
        </w:rPr>
      </w:pPr>
      <w:r w:rsidRPr="00117854">
        <w:rPr>
          <w:rFonts w:ascii="Arial" w:eastAsia="Calibri" w:hAnsi="Arial" w:cs="Arial"/>
          <w:sz w:val="24"/>
          <w:szCs w:val="24"/>
        </w:rPr>
        <w:t>Multi ‘</w:t>
      </w:r>
      <w:proofErr w:type="spellStart"/>
      <w:r w:rsidRPr="00117854">
        <w:rPr>
          <w:rFonts w:ascii="Arial" w:eastAsia="Calibri" w:hAnsi="Arial" w:cs="Arial"/>
          <w:sz w:val="24"/>
          <w:szCs w:val="24"/>
        </w:rPr>
        <w:t>omic</w:t>
      </w:r>
      <w:proofErr w:type="spellEnd"/>
      <w:r w:rsidRPr="00117854">
        <w:rPr>
          <w:rFonts w:ascii="Arial" w:eastAsia="Calibri" w:hAnsi="Arial" w:cs="Arial"/>
          <w:sz w:val="24"/>
          <w:szCs w:val="24"/>
        </w:rPr>
        <w:t>’ approaches are commonplace although little consideration is often given for multiple analysis techniques at sample collection</w:t>
      </w:r>
      <w:r w:rsidR="00117854">
        <w:rPr>
          <w:rFonts w:ascii="Arial" w:eastAsia="Calibri" w:hAnsi="Arial" w:cs="Arial"/>
          <w:sz w:val="24"/>
          <w:szCs w:val="24"/>
        </w:rPr>
        <w:t xml:space="preserve"> </w:t>
      </w:r>
      <w:r w:rsidR="00117854">
        <w:rPr>
          <w:rFonts w:ascii="Arial" w:eastAsia="Calibri" w:hAnsi="Arial" w:cs="Arial"/>
          <w:sz w:val="24"/>
          <w:szCs w:val="24"/>
        </w:rPr>
        <w:fldChar w:fldCharType="begin" w:fldLock="1"/>
      </w:r>
      <w:r w:rsidR="005578C4">
        <w:rPr>
          <w:rFonts w:ascii="Arial" w:eastAsia="Calibri" w:hAnsi="Arial" w:cs="Arial"/>
          <w:sz w:val="24"/>
          <w:szCs w:val="24"/>
        </w:rPr>
        <w:instrText>ADDIN CSL_CITATION {"citationItems":[{"id":"ITEM-1","itemData":{"DOI":"10.1093/bib/bbv090","ISSN":"1467-5463","author":[{"dropping-particle":"","family":"Cavill","given":"Rachel","non-dropping-particle":"","parse-names":false,"suffix":""},{"dropping-particle":"","family":"Jennen","given":"Danyel","non-dropping-particle":"","parse-names":false,"suffix":""},{"dropping-particle":"","family":"Kleinjans","given":"Jos","non-dropping-particle":"","parse-names":false,"suffix":""},{"dropping-particle":"","family":"Briedé","given":"Jacob Jan","non-dropping-particle":"","parse-names":false,"suffix":""}],"container-title":"Briefings in Bioinformatics","id":"ITEM-1","issue":"5","issued":{"date-parts":[["2016","9","1"]]},"page":"891-901","publisher":"Oxford University Press","title":"Transcriptomic and metabolomic data integration","type":"article-journal","volume":"17"},"uris":["http://www.mendeley.com/documents/?uuid=461186bf-75f4-3d66-a5db-64ba417e6076"]}],"mendeley":{"formattedCitation":"&lt;sup&gt;6&lt;/sup&gt;","plainTextFormattedCitation":"6","previouslyFormattedCitation":"&lt;sup&gt;6&lt;/sup&gt;"},"properties":{"noteIndex":0},"schema":"https://github.com/citation-style-language/schema/raw/master/csl-citation.json"}</w:instrText>
      </w:r>
      <w:r w:rsidR="00117854">
        <w:rPr>
          <w:rFonts w:ascii="Arial" w:eastAsia="Calibri" w:hAnsi="Arial" w:cs="Arial"/>
          <w:sz w:val="24"/>
          <w:szCs w:val="24"/>
        </w:rPr>
        <w:fldChar w:fldCharType="separate"/>
      </w:r>
      <w:r w:rsidR="00117854" w:rsidRPr="00117854">
        <w:rPr>
          <w:rFonts w:ascii="Arial" w:eastAsia="Calibri" w:hAnsi="Arial" w:cs="Arial"/>
          <w:noProof/>
          <w:sz w:val="24"/>
          <w:szCs w:val="24"/>
          <w:vertAlign w:val="superscript"/>
        </w:rPr>
        <w:t>6</w:t>
      </w:r>
      <w:r w:rsidR="00117854">
        <w:rPr>
          <w:rFonts w:ascii="Arial" w:eastAsia="Calibri" w:hAnsi="Arial" w:cs="Arial"/>
          <w:sz w:val="24"/>
          <w:szCs w:val="24"/>
        </w:rPr>
        <w:fldChar w:fldCharType="end"/>
      </w:r>
      <w:r w:rsidRPr="00117854">
        <w:rPr>
          <w:rFonts w:ascii="Arial" w:eastAsia="Calibri" w:hAnsi="Arial" w:cs="Arial"/>
          <w:sz w:val="24"/>
          <w:szCs w:val="24"/>
        </w:rPr>
        <w:t xml:space="preserve">. Nuclear magnetic resonance (NMR) metabolomics and liquid chromatography tandem mass spectrometry (LC-MS/MS) proteomics are two complementary techniques particularly suited to the study of SF. </w:t>
      </w:r>
      <w:r w:rsidRPr="00512E1F">
        <w:rPr>
          <w:rFonts w:ascii="Arial" w:eastAsia="Calibri" w:hAnsi="Arial" w:cs="Arial"/>
          <w:sz w:val="24"/>
          <w:szCs w:val="24"/>
        </w:rPr>
        <w:t xml:space="preserve">NMR spectroscopy involves very little sample pre-processing and is particularly useful for high-viscosity samples that would require metabolome altering extraction techniques prior to analysis by </w:t>
      </w:r>
      <w:r w:rsidR="00533679" w:rsidRPr="00DC5747">
        <w:rPr>
          <w:rFonts w:ascii="Arial" w:eastAsia="Calibri" w:hAnsi="Arial" w:cs="Arial"/>
          <w:sz w:val="24"/>
          <w:szCs w:val="24"/>
        </w:rPr>
        <w:t>high performance liquid chromatography (</w:t>
      </w:r>
      <w:r w:rsidRPr="00512E1F">
        <w:rPr>
          <w:rFonts w:ascii="Arial" w:eastAsia="Calibri" w:hAnsi="Arial" w:cs="Arial"/>
          <w:sz w:val="24"/>
          <w:szCs w:val="24"/>
        </w:rPr>
        <w:t>HPLC</w:t>
      </w:r>
      <w:r w:rsidR="00533679" w:rsidRPr="00DC5747">
        <w:rPr>
          <w:rFonts w:ascii="Arial" w:eastAsia="Calibri" w:hAnsi="Arial" w:cs="Arial"/>
          <w:sz w:val="24"/>
          <w:szCs w:val="24"/>
        </w:rPr>
        <w:t>)</w:t>
      </w:r>
      <w:r w:rsidR="003E1EDC">
        <w:rPr>
          <w:rFonts w:ascii="Arial" w:eastAsia="Calibri" w:hAnsi="Arial" w:cs="Arial"/>
          <w:sz w:val="24"/>
          <w:szCs w:val="24"/>
        </w:rPr>
        <w:t xml:space="preserve"> </w:t>
      </w:r>
      <w:r w:rsidR="003E1EDC">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{"citationItems":[{"id":"ITEM-1","itemData":{"DOI":"10.1007/978-1-61737-985-7_19","ISBN":"1064-3745","PMID":"21207299","abstract":"Biofluids are by far the most commonly studied sample type in metabolic profiling studies, encompassing blood, urine, cerebrospinal fluid, cell culture media and many others. A number of these fluids can be obtained at a high sampling frequency with minimal invasion, permitting detailed characterisation of dynamic metabolic events. One of the attractive properties of solution-state metabolomics is the ability to generate profiles from these fluids following simple preparation, allowing the analyst to gain a naturalistic, largely unbiased view of their composition that is highly representative of the in vivo situation. Solution-state samples can also be generated from the extraction of tissue or cellular samples that can be tailored to target metabolites with particular properties. Nuclear magnetic resonance (NMR) provides an excellent technique for profiling these fluids and is especially adept at characterising complex solutions. Profiling biofluid samples by NMR requires appropriate preparation and experimental conditions to overcome the demands of varied sample matrices, including those with high protein, lipid or saline content, as well as the presence of water in aqueous samples.","author":[{"dropping-particle":"","family":"Keun","given":"H C","non-dropping-particle":"","parse-names":false,"suffix":""},{"dropping-particle":"","family":"Athersuch","given":"T J","non-dropping-particle":"","parse-names":false,"suffix":""}],"container-title":"Methods Mol Biol","edition":"2011/01/06","id":"ITEM-1","issued":{"date-parts":[["2011"]]},"language":"eng","note":"1940-6029\nKeun, Hector C\nAthersuch, Toby J\nG0801056/Medical Research Council/United Kingdom\nJournal Article\nResearch Support, Non-U.S. Gov't\nUnited States\nMethods Mol Biol. 2011;708:321-34. doi: 10.1007/978-1-61737-985-7_19.","page":"321-334","title":"Nuclear magnetic resonance (NMR)-based metabolomics","type":"article-journal","volume":"708"},"uris":["http://www.mendeley.com/documents/?uuid=99c309cf-70f2-451b-95a5-97f3f0a933cc"]},{"id":"ITEM-2","itemData":{"DOI":"10.1038/s41598-019-42007-1","ISSN":"20452322","abstract":"Acute ruminal acidosis (ARA) is the result of increased intake of highly fermentable carbohydrates, which frequently occurs in dairy cattle and is associated with aseptic polysynovitis. To characterise the metabolic changes in the joints of animals with ARA, we performed an untargeted gas chromatography–mass spectrometry (GC-MS)-based metabolomic analysis of synovial fluid. Seven heifers were challenged with an intraruminal oligofructose overload (13 g/kg of body weight [BW]) dissolved in water. Synovial fluid samples were collected at 0, 9 and 24 h post-overload. Metabolome analysis revealed the presence of 67 metabolites. At 9 h post-overload, glyceric acid, cellobiose, fructose and lactic acid were all increased, whereas at 24 h, sorbitol, lactic acid and fructose levels were all increased &gt;10-fold. At 24 h, citric acid and threonine levels were significantly reduced. We detected increased L- and D-lactate, and the presence of interleukin-6 (IL-6) in synovial fluid. Furthermore, using bovine fibroblast-like synoviocytes, we observed that D-lactate induces IL-6 synthesis. Our results suggest that ARA produces severe metabolomic changes in synovial fluid, including disturbances in starch and sucrose metabolism, and increased lactate levels. These changes were observed prior to the appearance of synovitis, suggesting a potential role in the onset of polysynovitis.","author":[{"dropping-particle":"","family":"Alarcon","given":"Pablo","non-dropping-particle":"","parse-names":false,"suffix":""},{"dropping-particle":"","family":"Hidalgo","given":"Alejandra I.","non-dropping-particle":"","parse-names":false,"suffix":""},{"dropping-particle":"","family":"Manosalva","given":"Carolina","non-dropping-particle":"","parse-names":false,"suffix":""},{"dropping-particle":"","family":"Cristi","given":"Raul","non-dropping-particle":"","parse-names":false,"suffix":""},{"dropping-particle":"","family":"Teuber","given":"Stefanie","non-dropping-particle":"","parse-names":false,"suffix":""},{"dropping-particle":"","family":"Hidalgo","given":"Maria A.","non-dropping-particle":"","parse-names":false,"suffix":""},{"dropping-particle":"","family":"Burgos","given":"Rafael A.","non-dropping-particle":"","parse-names":false,"suffix":""}],"container-title":"Scientific Reports","id":"ITEM-2","issue":"1","issued":{"date-parts":[["2019","12","1"]]},"page":"1-12","publisher":"Nature Publishing Group","title":"Metabolic disturbances in synovial fluid are involved in the onset of synovitis in heifers with acute ruminal acidosis","type":"article-journal","volume":"9"},"uris":["http://www.mendeley.com/documents/?uuid=356f1308-ae0a-32e0-b9af-e2dc756ded5c"]}],"mendeley":{"formattedCitation":"&lt;sup&gt;7,8&lt;/sup&gt;","plainTextFormattedCitation":"7,8"},"properties":{"noteIndex":0},"schema":"https://github.com/citation-style-language/schema/raw/master/csl-citation.json"}</w:instrText>
      </w:r>
      <w:r w:rsidR="003E1EDC">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7,8</w:t>
      </w:r>
      <w:r w:rsidR="003E1EDC">
        <w:rPr>
          <w:rFonts w:ascii="Arial" w:eastAsia="Calibri" w:hAnsi="Arial" w:cs="Arial"/>
          <w:sz w:val="24"/>
          <w:szCs w:val="24"/>
        </w:rPr>
        <w:fldChar w:fldCharType="end"/>
      </w:r>
      <w:r w:rsidR="00117854" w:rsidRPr="00DC5747">
        <w:rPr>
          <w:rFonts w:ascii="Arial" w:eastAsia="Calibri" w:hAnsi="Arial" w:cs="Arial"/>
          <w:sz w:val="24"/>
          <w:szCs w:val="24"/>
        </w:rPr>
        <w:t>.</w:t>
      </w:r>
      <w:r w:rsidRPr="00512E1F">
        <w:rPr>
          <w:rFonts w:ascii="Arial" w:eastAsia="Calibri" w:hAnsi="Arial" w:cs="Arial"/>
          <w:sz w:val="24"/>
          <w:szCs w:val="24"/>
        </w:rPr>
        <w:t xml:space="preserve"> LC-MS/MS proteomics provides complementary ph</w:t>
      </w:r>
      <w:r w:rsidR="005578C4" w:rsidRPr="00DC5747">
        <w:rPr>
          <w:rFonts w:ascii="Arial" w:eastAsia="Calibri" w:hAnsi="Arial" w:cs="Arial"/>
          <w:sz w:val="24"/>
          <w:szCs w:val="24"/>
        </w:rPr>
        <w:t xml:space="preserve">enotypic information </w:t>
      </w:r>
      <w:r w:rsidRPr="00512E1F">
        <w:rPr>
          <w:rFonts w:ascii="Arial" w:eastAsia="Calibri" w:hAnsi="Arial" w:cs="Arial"/>
          <w:sz w:val="24"/>
          <w:szCs w:val="24"/>
        </w:rPr>
        <w:t>and is suited to SF</w:t>
      </w:r>
      <w:r w:rsidR="006D5FE4" w:rsidRPr="00DC5747">
        <w:rPr>
          <w:rFonts w:ascii="Arial" w:eastAsia="Calibri" w:hAnsi="Arial" w:cs="Arial"/>
          <w:sz w:val="24"/>
          <w:szCs w:val="24"/>
        </w:rPr>
        <w:t xml:space="preserve"> analysis due to the wide cover</w:t>
      </w:r>
      <w:r w:rsidRPr="00512E1F">
        <w:rPr>
          <w:rFonts w:ascii="Arial" w:eastAsia="Calibri" w:hAnsi="Arial" w:cs="Arial"/>
          <w:sz w:val="24"/>
          <w:szCs w:val="24"/>
        </w:rPr>
        <w:t>age of proteins in typical LC-MS/MS databases</w:t>
      </w:r>
      <w:r w:rsidR="005578C4" w:rsidRPr="00DC5747">
        <w:rPr>
          <w:rFonts w:ascii="Arial" w:eastAsia="Calibri" w:hAnsi="Arial" w:cs="Arial"/>
          <w:sz w:val="24"/>
          <w:szCs w:val="24"/>
        </w:rPr>
        <w:t xml:space="preserve"> </w:t>
      </w:r>
      <w:r w:rsidR="005578C4" w:rsidRPr="00DC5747">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{"citationItems":[{"id":"ITEM-1","itemData":{"DOI":"10.1214/10-AOAS341","abstract":"Mass spectrometry-based proteomics has become the tool of choice for identifying and quantifying the proteome of an organism. Though recent years have seen a tremendous improvement in instrument performance and the computational tools used, significant challenges remain, and there are many opportunities for statisticians to make important contributions. In the most widely used \"bottom-up\" approach to proteomics, complex mixtures of proteins are first subjected to enzymatic cleavage, the resulting peptide products are separated based on chemical or physical properties and analyzed using a mass spectrometer. The two fundamental challenges in the analysis of bottom-up MS-based proteomics are: (1) Identifying the proteins that are present in a sample, and (2) Quantifying the abundance levels of the identified proteins. Both of these challenges require knowledge of the biological and technological context that gives rise to observed data, as well as the application of sound statistical principles for estimation and inference. We present an overview of bottom-up proteomics and outline the key statistical issues that arise in protein identification and quantification.","author":[{"dropping-particle":"V","family":"Karpievitch","given":"Yuliya","non-dropping-particle":"","parse-names":false,"suffix":""},{"dropping-particle":"","family":"Polpitiya","given":"Ashoka D","non-dropping-particle":"","parse-names":false,"suffix":""},{"dropping-particle":"","family":"Anderson","given":"Gordon A","non-dropping-particle":"","parse-names":false,"suffix":""},{"dropping-particle":"","family":"Smith","given":"Richard D","non-dropping-particle":"","parse-names":false,"suffix":""},{"dropping-particle":"","family":"Dabney","given":"Alan R","non-dropping-particle":"","parse-names":false,"suffix":""}],"container-title":"Annals of Applied Statistics","id":"ITEM-1","issue":"4","issued":{"date-parts":[["2010"]]},"page":"1797-1823","title":"Liquid Chromatography Mass Spectrometry-Based Proteomics: Biological and Technological Aspects","type":"article-journal","volume":"4"},"uris":["http://www.mendeley.com/documents/?uuid=619881bb-43a0-3483-8696-a317f64a1975"]},{"id":"ITEM-2","itemData":{"DOI":"10.1093/bib/bbv090","ISSN":"1467-5463","author":[{"dropping-particle":"","family":"Cavill","given":"Rachel","non-dropping-particle":"","parse-names":false,"suffix":""},{"dropping-particle":"","family":"Jennen","given":"Danyel","non-dropping-particle":"","parse-names":false,"suffix":""},{"dropping-particle":"","family":"Kleinjans","given":"Jos","non-dropping-particle":"","parse-names":false,"suffix":""},{"dropping-particle":"","family":"Briedé","given":"Jacob Jan","non-dropping-particle":"","parse-names":false,"suffix":""}],"container-title":"Briefings in Bioinformatics","id":"ITEM-2","issue":"5","issued":{"date-parts":[["2016","9","1"]]},"page":"891-901","publisher":"Oxford University Press","title":"Transcriptomic and metabolomic data integration","type":"article-journal","volume":"17"},"uris":["http://www.mendeley.com/documents/?uuid=461186bf-75f4-3d66-a5db-64ba417e6076"]}],"mendeley":{"formattedCitation":"&lt;sup&gt;6,9&lt;/sup&gt;","plainTextFormattedCitation":"6,9","previouslyFormattedCitation":"&lt;sup&gt;6,8&lt;/sup&gt;"},"properties":{"noteIndex":0},"schema":"https://github.com/citation-style-language/schema/raw/master/csl-citation.json"}</w:instrText>
      </w:r>
      <w:r w:rsidR="005578C4" w:rsidRPr="00DC5747">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6,9</w:t>
      </w:r>
      <w:r w:rsidR="005578C4" w:rsidRPr="00DC5747">
        <w:rPr>
          <w:rFonts w:ascii="Arial" w:eastAsia="Calibri" w:hAnsi="Arial" w:cs="Arial"/>
          <w:sz w:val="24"/>
          <w:szCs w:val="24"/>
        </w:rPr>
        <w:fldChar w:fldCharType="end"/>
      </w:r>
      <w:r w:rsidRPr="00512E1F">
        <w:rPr>
          <w:rFonts w:ascii="Arial" w:eastAsia="Calibri" w:hAnsi="Arial" w:cs="Arial"/>
          <w:sz w:val="24"/>
          <w:szCs w:val="24"/>
        </w:rPr>
        <w:t xml:space="preserve">. There is a growing need to establish sample collection and </w:t>
      </w:r>
      <w:r w:rsidR="0092254D" w:rsidRPr="00DC5747">
        <w:rPr>
          <w:rFonts w:ascii="Arial" w:eastAsia="Calibri" w:hAnsi="Arial" w:cs="Arial"/>
          <w:sz w:val="24"/>
          <w:szCs w:val="24"/>
        </w:rPr>
        <w:t>pre-processing</w:t>
      </w:r>
      <w:r w:rsidR="005578C4" w:rsidRPr="00DC5747">
        <w:rPr>
          <w:rFonts w:ascii="Arial" w:eastAsia="Calibri" w:hAnsi="Arial" w:cs="Arial"/>
          <w:sz w:val="24"/>
          <w:szCs w:val="24"/>
        </w:rPr>
        <w:t xml:space="preserve"> techniques compatible with </w:t>
      </w:r>
      <w:r w:rsidRPr="00512E1F">
        <w:rPr>
          <w:rFonts w:ascii="Arial" w:eastAsia="Calibri" w:hAnsi="Arial" w:cs="Arial"/>
          <w:sz w:val="24"/>
          <w:szCs w:val="24"/>
        </w:rPr>
        <w:t>multi</w:t>
      </w:r>
      <w:r w:rsidR="002F55DC" w:rsidRPr="00DC5747">
        <w:rPr>
          <w:rFonts w:ascii="Arial" w:eastAsia="Calibri" w:hAnsi="Arial" w:cs="Arial"/>
          <w:sz w:val="24"/>
          <w:szCs w:val="24"/>
        </w:rPr>
        <w:t xml:space="preserve"> ‘</w:t>
      </w:r>
      <w:proofErr w:type="spellStart"/>
      <w:r w:rsidRPr="00512E1F">
        <w:rPr>
          <w:rFonts w:ascii="Arial" w:eastAsia="Calibri" w:hAnsi="Arial" w:cs="Arial"/>
          <w:sz w:val="24"/>
          <w:szCs w:val="24"/>
        </w:rPr>
        <w:t>omic</w:t>
      </w:r>
      <w:proofErr w:type="spellEnd"/>
      <w:r w:rsidR="002F55DC" w:rsidRPr="00DC5747">
        <w:rPr>
          <w:rFonts w:ascii="Arial" w:eastAsia="Calibri" w:hAnsi="Arial" w:cs="Arial"/>
          <w:sz w:val="24"/>
          <w:szCs w:val="24"/>
        </w:rPr>
        <w:t>’</w:t>
      </w:r>
      <w:r w:rsidR="005578C4" w:rsidRPr="00DC5747">
        <w:rPr>
          <w:rFonts w:ascii="Arial" w:eastAsia="Calibri" w:hAnsi="Arial" w:cs="Arial"/>
          <w:sz w:val="24"/>
          <w:szCs w:val="24"/>
        </w:rPr>
        <w:t xml:space="preserve"> analyses </w:t>
      </w:r>
      <w:r w:rsidRPr="00512E1F">
        <w:rPr>
          <w:rFonts w:ascii="Arial" w:eastAsia="Calibri" w:hAnsi="Arial" w:cs="Arial"/>
          <w:sz w:val="24"/>
          <w:szCs w:val="24"/>
        </w:rPr>
        <w:t>and as such we endeavour to employ both techniques to study the metabolome and proteome of clinical SF samples.</w:t>
      </w:r>
    </w:p>
    <w:bookmarkEnd w:id="6"/>
    <w:p w14:paraId="6C4274FF" w14:textId="6DD23A8F" w:rsidR="00652D52" w:rsidRPr="00116C4A" w:rsidRDefault="00652D52" w:rsidP="005578C4">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lastRenderedPageBreak/>
        <w:t xml:space="preserve">NMR metabolomics is a rapidly expanding field, providing comprehensive metabolite profiling of complex biological samples with high levels of technical reproducibility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{"citationItems":[{"id":"ITEM-1","itemData":{"DOI":"10.1038/nprot.2007.376","ISSN":"1754-2189","abstract":"Metabolic profiling, metabolomic and metabonomic procedures for NMR spectroscopy of urine, plasma, serum and tissue extracts","author":[{"dropping-particle":"","family":"Beckonert","given":"Olaf","non-dropping-particle":"","parse-names":false,"suffix":""},{"dropping-particle":"","family":"Keun","given":"Hector C","non-dropping-particle":"","parse-names":false,"suffix":""},{"dropping-particle":"","family":"Ebbels","given":"Timothy M D","non-dropping-particle":"","parse-names":false,"suffix":""},{"dropping-particle":"","family":"Bundy","given":"Jacob","non-dropping-particle":"","parse-names":false,"suffix":""},{"dropping-particle":"","family":"Holmes","given":"Elaine","non-dropping-particle":"","parse-names":false,"suffix":""},{"dropping-particle":"","family":"Lindon","given":"John C","non-dropping-particle":"","parse-names":false,"suffix":""},{"dropping-particle":"","family":"Nicholson","given":"Jeremy K","non-dropping-particle":"","parse-names":false,"suffix":""}],"container-title":"Nature Protocols","id":"ITEM-1","issue":"11","issued":{"date-parts":[["2007","11","1"]]},"page":"2692-2703","publisher":"Nature Publishing Group","title":"Metabolic profiling, metabolomic and metabonomic procedures for NMR spectroscopy of urine, plasma, serum and tissue extracts","type":"article-journal","volume":"2"},"uris":["http://www.mendeley.com/documents/?uuid=657bbe0b-b4c3-3201-9872-782746fa5ef0"]},{"id":"ITEM-2","itemData":{"DOI":"10.1021/ac3005567","ISSN":"0003-2700","abstract":"Because of the wide range of chemically and structurally diverse metabolites, efforts to survey the complete metabolome rely on the implementation of multiplatform approaches based on nuclear magnetic resonance (NMR) and mass spectrometry (MS). Sample preparation disparities between NMR and MS, however, may limit the analysis of the same samples by both platforms. Specifically, deuterated solvents used in NMR strategies can complicate LC/MS analysis as a result of potential mass shifts, whereas acidic solutions typically used in LC/MS methods to enhance ionization of metabolites can severely affect reproducibility of NMR measurements. These intrinsically different sample preparation requirements result in the application of different procedures for metabolite extraction, which involve additional sample and unwanted variability. To address this issue, we investigated 12 extraction protocols in liver tissue involving different aqueous/organic solvents and temperatures that may satisfy the requirements for b...","author":[{"dropping-particle":"","family":"Beltran","given":"Antoni","non-dropping-particle":"","parse-names":false,"suffix":""},{"dropping-particle":"","family":"Suarez","given":"Manuel","non-dropping-particle":"","parse-names":false,"suffix":""},{"dropping-particle":"","family":"Rodríguez","given":"Miguel A.","non-dropping-particle":"","parse-names":false,"suffix":""},{"dropping-particle":"","family":"Vinaixa","given":"Maria","non-dropping-particle":"","parse-names":false,"suffix":""},{"dropping-particle":"","family":"Samino","given":"Sara","non-dropping-particle":"","parse-names":false,"suffix":""},{"dropping-particle":"","family":"Arola","given":"Lluís","non-dropping-particle":"","parse-names":false,"suffix":""},{"dropping-particle":"","family":"Correig","given":"Xavier","non-dropping-particle":"","parse-names":false,"suffix":""},{"dropping-particle":"","family":"Yanes","given":"Oscar","non-dropping-particle":"","parse-names":false,"suffix":""}],"container-title":"Analytical Chemistry","id":"ITEM-2","issue":"14","issued":{"date-parts":[["2012","7","17"]]},"page":"5838-5844","publisher":"American Chemical Society","title":"Assessment of Compatibility between Extraction Methods for NMR- and LC/MS-Based Metabolomics","type":"article-journal","volume":"84"},"uris":["http://www.mendeley.com/documents/?uuid=a1c8d27d-d4df-3b3d-bd46-51b960a8cb81"]}],"mendeley":{"formattedCitation":"&lt;sup&gt;10,11&lt;/sup&gt;","plainTextFormattedCitation":"10,11","previouslyFormattedCitation":"&lt;sup&gt;9,10&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10,11</w:t>
      </w:r>
      <w:r w:rsidRPr="00116C4A">
        <w:rPr>
          <w:rFonts w:ascii="Arial" w:eastAsia="Calibri" w:hAnsi="Arial" w:cs="Arial"/>
          <w:sz w:val="24"/>
          <w:szCs w:val="24"/>
        </w:rPr>
        <w:fldChar w:fldCharType="end"/>
      </w:r>
      <w:r w:rsidRPr="00116C4A">
        <w:rPr>
          <w:rFonts w:ascii="Arial" w:eastAsia="Calibri" w:hAnsi="Arial" w:cs="Arial"/>
          <w:sz w:val="24"/>
          <w:szCs w:val="24"/>
        </w:rPr>
        <w:t xml:space="preserve">. </w:t>
      </w:r>
      <w:r w:rsidR="00961555">
        <w:rPr>
          <w:rFonts w:ascii="Arial" w:eastAsia="Calibri" w:hAnsi="Arial" w:cs="Arial"/>
          <w:sz w:val="24"/>
          <w:szCs w:val="24"/>
        </w:rPr>
        <w:t>Several</w:t>
      </w:r>
      <w:r w:rsidRPr="00116C4A">
        <w:rPr>
          <w:rFonts w:ascii="Arial" w:eastAsia="Calibri" w:hAnsi="Arial" w:cs="Arial"/>
          <w:sz w:val="24"/>
          <w:szCs w:val="24"/>
        </w:rPr>
        <w:t xml:space="preserve"> studies have utilised NMR to investigate the SF metabolome of orthopaedic diseases in various species, including humans, dogs, pigs and horses</w:t>
      </w:r>
      <w:r w:rsidR="00961555">
        <w:rPr>
          <w:rFonts w:ascii="Arial" w:eastAsia="Calibri" w:hAnsi="Arial" w:cs="Arial"/>
          <w:sz w:val="24"/>
          <w:szCs w:val="24"/>
        </w:rPr>
        <w:t>, albeit only few with statistical rigor associated with an ‘omics’ analysis</w:t>
      </w:r>
      <w:r w:rsidRPr="00116C4A">
        <w:rPr>
          <w:rFonts w:ascii="Arial" w:eastAsia="Calibri" w:hAnsi="Arial" w:cs="Arial"/>
          <w:sz w:val="24"/>
          <w:szCs w:val="24"/>
        </w:rPr>
        <w:t xml:space="preserve">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{"citationItems":[{"id":"ITEM-1","itemData":{"DOI":"10.1002/jor.22949","ISBN":"1554-527X (Electronic) 0736-0266 (Linking)","PMID":"26010167","abstract":"Osteoarthritis (OA) is a leading cause of chronic joint pain in the older human population. Diagnosis of OA at an earlier stage may enable the development of new treatments to one day effectively modify the progression and prognosis of the disease. In this work, we explore whether an integrated metabolomics approach could be utilized for the diagnosis of OA. Synovial fluid (SF) samples were collected from symptomatic chronic knee OA patients and normal human cadaveric knee joints. The samples were analyzed using (1)H nuclear magnetic resonance (NMR) spectroscopy and gas chromatography-mass spectrometry (GC-MS) followed by multivariate statistical analysis. Based on the metabolic profiles, we were able to distinguish OA patients from the controls and validate the statistical models. Moreover, we have integrated the (1)H NMR and GC-MS results and we found that 11 metabolites were statistically important for the separation between OA and normal SF. Additionally, statistical analysis showed an excellent predictive ability of the constructed metabolomics model (area under the receiver operating characteristic curve = 1.0). Our findings indicate that metabolomics might serve as a promising approach for the diagnosis and prognosis of degenerative changes in the knee joint and should be further validated in clinical settings.","author":[{"dropping-particle":"","family":"Mickiewicz","given":"B","non-dropping-particle":"","parse-names":false,"suffix":""},{"dropping-particle":"","family":"Kelly","given":"J J","non-dropping-particle":"","parse-names":false,"suffix":""},{"dropping-particle":"","family":"Ludwig","given":"T E","non-dropping-particle":"","parse-names":false,"suffix":""},{"dropping-particle":"","family":"Weljie","given":"A M","non-dropping-particle":"","parse-names":false,"suffix":""},{"dropping-particle":"","family":"Wiley","given":"J P","non-dropping-particle":"","parse-names":false,"suffix":""},{"dropping-particle":"","family":"Schmidt","given":"T A","non-dropping-particle":"","parse-names":false,"suffix":""},{"dropping-particle":"","family":"Vogel","given":"H J","non-dropping-particle":"","parse-names":false,"suffix":""}],"container-title":"J Orthop Res","edition":"2015/05/27","id":"ITEM-1","issue":"11","issued":{"date-parts":[["2015"]]},"note":"Mickiewicz, Beata\nKelly, Jordan J\nLudwig, Taryn E\nWeljie, Aalim M\nWiley, J Preston\nSchmidt, Tannin A\nVogel, Hans J\neng\nJ Orthop Res. 2015 Nov;33(11):1631-8. doi: 10.1002/jor.22949. Epub 2015 Jun 12.","page":"1631-1638","title":"Metabolic analysis of knee synovial fluid as a potential diagnostic approach for osteoarthritis","type":"article-journal","volume":"33"},"uris":["http://www.mendeley.com/documents/?uuid=dcb5815e-2597-4782-994f-e0adb83432b8"]},{"id":"ITEM-2","itemData":{"DOI":"10.1002/jor.22743","ISSN":"07360266","PMID":"25283885","abstract":"Joint injuries and subsequent osteoarthritis (OA) are the leading causes of chronic joint disease. In this work, we explore the possibility of applying magnetic resonance spectroscopy-based metabolomics to detect host responses to an anterior cruciate ligament (ACL) reconstruction injury in synovial fluid in an ovine model. Using multivariate statistical analysis, we were able to distinguish post-injury joint samples (ACL and sham surgery) from the uninjured control samples, and as well the ACL surgical samples from sham surgery. In all samples there were 65 metabolites quantified, of which six could be suggested as biomarkers for early post-injury degenerative changes in the knee joints: isobutyrate, glucose, hydroxyproline, asparagine, serine, and uridine. Our results raise a cautionary note indicating that surgical interventions into the knee can result in metabolic alterations that need to be distinguished from those caused by the early onset of OA. Our findings illustrate the potential application of metabolomics as a diagnostic and prognostic tool for detection of injuries to the knee joint. The ability to detect a unique pattern of metabolic changes in the synovial fluid of sheep offers the possibility of extending the approach to precision medicine protocols in patient populations in the future.","author":[{"dropping-particle":"","family":"Mickiewicz","given":"Beata","non-dropping-particle":"","parse-names":false,"suffix":""},{"dropping-particle":"","family":"Heard","given":"Bryan J.","non-dropping-particle":"","parse-names":false,"suffix":""},{"dropping-particle":"","family":"Chau","given":"Johnny K.","non-dropping-particle":"","parse-names":false,"suffix":""},{"dropping-particle":"","family":"Chung","given":"May","non-dropping-particle":"","parse-names":false,"suffix":""},{"dropping-particle":"","family":"Hart","given":"David A.","non-dropping-particle":"","parse-names":false,"suffix":""},{"dropping-particle":"","family":"Shrive","given":"Nigel G.","non-dropping-particle":"","parse-names":false,"suffix":""},{"dropping-particle":"","family":"Frank","given":"Cyril B.","non-dropping-particle":"","parse-names":false,"suffix":""},{"dropping-particle":"","family":"Vogel","given":"Hans J.","non-dropping-particle":"","parse-names":false,"suffix":""}],"container-title":"Journal of Orthopaedic Research","id":"ITEM-2","issue":"1","issued":{"date-parts":[["2015","1"]]},"page":"71-77","title":"Metabolic profiling of synovial fluid in a unilateral ovine model of anterior cruciate ligament reconstruction of the knee suggests biomarkers for early osteoarthritis","type":"article-journal","volume":"33"},"uris":["http://www.mendeley.com/documents/?uuid=e4d543df-bc99-3302-b0b1-db31d2bd34da"]},{"id":"ITEM-3","itemData":{"DOI":"10.1042/CS0850343","ISSN":"0143-5221","PMID":"8403807","abstract":"1. A 1H-n.m.r. method was used to measure concentrations of valine, alanine, lactate, acetate, hyaluronan and lipids in synovial fluid obtained, during the normal course of examination from the knee joints of patients attending rheumatology and orthopaedic clinics. Fluid was available from 16 patients with osteoarthritis, 18 patients with rheumatoid arthritis, four patients with meniscal tear and one patient each with systemic lupus erythematosis, mono-arthritis, synovitis and loose bodies. Four normal specimens were obtained for comparison. 2. Valine, alanine and acetate levels all showed a normal Gaussian distribution, reflecting the distributions within the serum of the sample population. 3. Lactate concentrations divided into two distinct patterns. At concentrations below 2.5 mmol/l the lactate levels showed a Gaussian distribution, reflecting the distribution in normal serum. The normal synovial fluid specimens belong to this distribution. Above 2.5-3.0 mmol/l, lactate levels were asymmetric in distribution with a long tail at higher concentrations. These high levels of lactate can be explained by the generation of lactate through anaerobic metabolism within the synovial cavity. This metabolic process is triggered by a general inflammatory condition such as in rheumatoid arthritis. 4. The distribution of n.m.r.-observable lipid concentrations in rheumatoid arthritis and osteoarthritis each shows a normal distribution and the mean concentration is significantly higher in rheumatoid arthritis. 5. An increased n.m.r.-observable hyaluronan concentration is associated with an inflammatory situation. 6. It is concluded that raised levels of lactate and n.m.r.-observable hyaluronan and lipids are useful markers to aid the clinical distinction between rheumatoid arthritis and osteoarthritis.(ABSTRACT TRUNCATED AT 250 WORDS)","author":[{"dropping-particle":"","family":"Duffy","given":"J M","non-dropping-particle":"","parse-names":false,"suffix":""},{"dropping-particle":"","family":"Grimshaw","given":"J","non-dropping-particle":"","parse-names":false,"suffix":""},{"dropping-particle":"","family":"Guthrie","given":"D J","non-dropping-particle":"","parse-names":false,"suffix":""},{"dropping-particle":"","family":"McNally","given":"G M","non-dropping-particle":"","parse-names":false,"suffix":""},{"dropping-particle":"","family":"Mollan","given":"R A","non-dropping-particle":"","parse-names":false,"suffix":""},{"dropping-particle":"","family":"Spedding","given":"P L","non-dropping-particle":"","parse-names":false,"suffix":""},{"dropping-particle":"","family":"Trocha-Grimshaw","given":"J","non-dropping-particle":"","parse-names":false,"suffix":""},{"dropping-particle":"","family":"Walker","given":"B","non-dropping-particle":"","parse-names":false,"suffix":""},{"dropping-particle":"","family":"Walsh","given":"E","non-dropping-particle":"","parse-names":false,"suffix":""}],"container-title":"Clinical science (London, England : 1979)","id":"ITEM-3","issue":"3","issued":{"date-parts":[["1993","9","1"]]},"page":"343-51","publisher":"Portland Press Limited","title":"1H-nuclear magnetic resonance studies of human synovial fluid in arthritic disease states as an aid to confirming metabolic activity in the synovial cavity.","type":"article-journal","volume":"85"},"uris":["http://www.mendeley.com/documents/?uuid=b333d693-d33a-3471-a5b2-f0378a68bd00"]},{"id":"ITEM-4","itemData":{"DOI":"10.1016/S0009-8981(98)00200-9","ISSN":"0009-8981","author":[{"dropping-particle":"","family":"Meshitsuka","given":"S","non-dropping-particle":"","parse-names":false,"suffix":""},{"dropping-particle":"","family":"Yamazaki","given":"E","non-dropping-particle":"","parse-names":false,"suffix":""},{"dropping-particle":"","family":"Inoue","given":"M","non-dropping-particle":"","parse-names":false,"suffix":""},{"dropping-particle":"","family":"Hagino","given":"H","non-dropping-particle":"","parse-names":false,"suffix":""},{"dropping-particle":"","family":"Teshima","given":"R","non-dropping-particle":"","parse-names":false,"suffix":""},{"dropping-particle":"","family":"Yamamoto","given":"K","non-dropping-particle":"","parse-names":false,"suffix":""}],"container-title":"Clinica Chimica Acta","id":"ITEM-4","issue":"1-2","issued":{"date-parts":[["1999","3","1"]]},"page":"163-167","publisher":"Elsevier","title":"Nuclear magnetic resonance studies of synovial fluids from patients with rheumatoid arthritis and osteoarthritis","type":"article-journal","volume":"281"},"uris":["http://www.mendeley.com/documents/?uuid=133369d4-bf86-3277-8c15-46495f5d5403"]},{"id":"ITEM-5","itemData":{"DOI":"10.3415/VCOT-06-12-0101","ISSN":"0932-0814","abstract":"Proton magnetic resonance spectroscopy (1H NMR) has been successfully used in the study of many biological fluids. The data presented here report on the metabolic profiles of normal equine synovial fluids compared with osteoarthritic (OA) fluids. Twenty-five OA synovial fluid samples and eight normal ones were collected from the forelimb fetlock joint in 22 horses, aged between five and 24 years. 1H NMR spectroscopy was carried out with a Bruker Avance DRX 500 equiped with a cryomagnet working at 11 Tesla, and ‘Mestre-C 4.9.9.6’ software was used to analyze the spectra. The study assessed the increase of lactate, alanine, acetate, N-acetylglucosamine, pyruvate, citrate, creatine/creatinine, glycerol, HDL choline, and α-glucose in OA synovial fluid. The variations observed in samples from horses with OA compared to those in the control group, and similar data found in other studies, confirm that this technique may be useful in the study of joint metabolism. Its practical application may be in the evaluation of the treatment of OA in athletic horses.","author":[{"dropping-particle":"","family":"Lacitignola","given":"Luca","non-dropping-particle":"","parse-names":false,"suffix":""},{"dropping-particle":"","family":"Fanizzi","given":"Francesco Paolo","non-dropping-particle":"","parse-names":false,"suffix":""},{"dropping-particle":"","family":"Francioso","given":"Edda","non-dropping-particle":"","parse-names":false,"suffix":""},{"dropping-particle":"","family":"Crovace","given":"Antonio","non-dropping-particle":"","parse-names":false,"suffix":""}],"container-title":"Veterinary and Comparative Orthopaedics and Traumatology","id":"ITEM-5","issue":"1","issued":{"date-parts":[["2008"]]},"page":"85-88","publisher":"Schattauer Publishers","title":"1H NMR investigation of normal and osteo-arthritic synovial fluid in the horse","type":"article-journal","volume":"21"},"uris":["http://www.mendeley.com/documents/?uuid=5706c9a8-0581-36fa-a54c-255532bdff0b"]},{"id":"ITEM-6","itemData":{"ISBN":"0392-856X (Print) 0392-856X (Linking)","PMID":"22410098","abstract":"OBJECTIVES: Currently there are no reliable biomarkers in the synovial fluid available to differentiate between septic and non-septic arthritis or to predict the prognosis of osteoarthritis, respectively. Nuclear magnetic resonance (NMR) spectroscopy is an analytical technique that allows a rapid, high throughput metabolic profiling of biological fluids or tissues. METHODS: Proton (1H)-nuclear magnetic resonance (NMR) spectroscopy was performed in synovial fluid samples from patients with septic arthritis, crystal arthropathy, different forms of inflammatory arthritis or osteoarthritis (OA). The metabolic environment based on the low molecular weight components was compared in disease subsets and principal component analysis (PCA) was performed. RESULTS: Fifty-nine samples from patients with OA, gout, calcium pyrophosphate disease, spondylarthritis, septic arthritis and rheumatoid arthritis (RA) were analysed. NMR yielded stable and reproducible metabolites over time. Thirty-five different metabolites as well as paracetamol and ibuprofen were identified in synovial fluid. The metabolic profile of septic arthritis assessed by PCA was distinguishable from the other samples whereas no differences were seen in OA compared to crystal-associated arthritis, RA or spondylarthritis. CONCLUSIONS: 1H-NMR is a fast analytic tool with possible implications in synovial fluid diagnostics. A distinctive metabolism is observed in septic arthritis whereas metabolites in OA are similar to those in inflammatory arthritis.","author":[{"dropping-particle":"","family":"Hugle","given":"T","non-dropping-particle":"","parse-names":false,"suffix":""},{"dropping-particle":"","family":"Kovacs","given":"H","non-dropping-particle":"","parse-names":false,"suffix":""},{"dropping-particle":"","family":"Heijnen","given":"I A","non-dropping-particle":"","parse-names":false,"suffix":""},{"dropping-particle":"","family":"Daikeler","given":"T","non-dropping-particle":"","parse-names":false,"suffix":""},{"dropping-particle":"","family":"Baisch","given":"U","non-dropping-particle":"","parse-names":false,"suffix":""},{"dropping-particle":"","family":"Hicks","given":"J M","non-dropping-particle":"","parse-names":false,"suffix":""},{"dropping-particle":"","family":"Valderrabano","given":"V","non-dropping-particle":"","parse-names":false,"suffix":""}],"container-title":"Clin Exp Rheumatol","id":"ITEM-6","issue":"2","issued":{"date-parts":[["2012"]]},"note":"Hugle, Thomas\nKovacs, Helena\nHeijnen, Ingmar A F M\nDaikeler, Thomas\nBaisch, Ulrich\nHicks, Joshua M\nValderrabano, Victor\neng\nItaly\n2012/03/14 06:00\nClin Exp Rheumatol. 2012 Mar-Apr;30(2):240-5. Epub 2012 Apr 13.","page":"240-245","title":"Synovial fluid metabolomics in different forms of arthritis assessed by nuclear magnetic resonance spectroscopy","type":"article-journal","volume":"30"},"uris":["http://www.mendeley.com/documents/?uuid=991e9710-4865-4b79-aaad-39984ccba968"]},{"id":"ITEM-7","itemData":{"DOI":"10.1002/jor.1100170211","ISBN":"0736-0266 (Print)\r0736-0266","PMID":"10221839","abstract":"High resolution 1H nuclear magnetic resonance spectroscopy has been used to investigate and compare the metabolic profiles of normal and osteoarthritic synovial fluids in a canine model of osteoarthritis. The spectra of osteoarthritic synovial fluid showed (a) increased concentrations of lactate, pyruvate, lipoprotein-associated fatty acids, and glycerol as well as the ketones hydroxybutyrate and hydroxyisobutyrate, (b) reduced levels of glucose, and (c) elevated levels of N-acetylglycoproteins, acetate, and acetamide compared with healthy normal canine synovial fluid. An increase was also observed in the concentrations of the amino acids alanine and isoleucine. These results suggest that (a) the intraarticular environment in canine osteoarthritis is more hypoxic and acidotic than in a normal joint, (b) lipolysis may play an increasingly important role as a source of energy in osteoarthritis, and (c) the N-acetylglycoprotein polymer component of synovial fluid (mostly hyaluronan) seems to be increasingly fragmented and degraded into acetate by way of an acetamide intermediate with progressive osteoarthritis. The observed changes in the biochemical profile of canine osteoarthritic synovial fluid may be useful in understanding alterations in joint metabolism consequent to arthritic diseases and helpful in identifying potential markers of osteoarthritis.","author":[{"dropping-particle":"","family":"Damyanovich","given":"A Z","non-dropping-particle":"","parse-names":false,"suffix":""},{"dropping-particle":"","family":"Staples","given":"J R","non-dropping-particle":"","parse-names":false,"suffix":""},{"dropping-particle":"","family":"Chan","given":"A D","non-dropping-particle":"","parse-names":false,"suffix":""},{"dropping-particle":"","family":"Marshall","given":"K W","non-dropping-particle":"","parse-names":false,"suffix":""}],"container-title":"J Orthop Res","edition":"1999/04/30","id":"ITEM-7","issue":"2","issued":{"date-parts":[["1999"]]},"language":"eng","note":"Damyanovich, A Z\nStaples, J R\nChan, A D\nMarshall, K W\nComparative Study\nJournal Article\nResearch Support, Non-U.S. Gov't\nUnited states\nJ Orthop Res. 1999 Mar;17(2):223-31.","page":"223-231","title":"Comparative study of normal and osteoarthritic canine synovial fluid using 500 MHz 1H magnetic resonance spectroscopy","type":"article-journal","volume":"17"},"uris":["http://www.mendeley.com/documents/?uuid=a7b1bc5f-570d-4d61-a086-6fb2eb8b12c8"]},{"id":"ITEM-8","itemData":{"DOI":"10.1021/acs.jproteome.8b00190","ISSN":"1535-3893","abstract":"Osteoarthritis (OA), osteochondrosis (OC), and synovial sepsis in horses cause loss of function and pain. Reliable biomarkers are required to achieve accurate and rapid diagnosis, with synovial fluid (SF) holding a unique source of biochemical information. Nuclear magnetic resonance (NMR) spectroscopy allows global metabolite analysis of a small volume of SF, with minimal sample preprocessing using a noninvasive and nondestructive method. Equine SF metabolic profiles from both nonseptic joints (OA and OC) and septic joints were analyzed using 1D 1H NMR spectroscopy. Univariate and multivariate statistical analyses were used to identify differential metabolite abundance between groups. Metabolites were annotated via 1H NMR using 1D NMR identification software Chenomx, with identities confirmed using 1D 1H and 2D 1H 13C NMR. Multivariate analysis identified separation between septic and nonseptic groups. Acetate, alanine, citrate, creatine phosphate, creatinine, glucose, glutamate, glutamine, glycine, pheny...","author":[{"dropping-particle":"","family":"Anderson","given":"James R.","non-dropping-particle":"","parse-names":false,"suffix":""},{"dropping-particle":"","family":"Phelan","given":"Marie M.","non-dropping-particle":"","parse-names":false,"suffix":""},{"dropping-particle":"","family":"Clegg","given":"Peter D.","non-dropping-particle":"","parse-names":false,"suffix":""},{"dropping-particle":"","family":"Peffers","given":"Mandy J.","non-dropping-particle":"","parse-names":false,"suffix":""},{"dropping-particle":"","family":"Rubio-Martinez","given":"Luis M.","non-dropping-particle":"","parse-names":false,"suffix":""}],"container-title":"Journal of Proteome Research","id":"ITEM-8","issue":"8","issued":{"date-parts":[["2018","8","3"]]},"page":"2735-2743","publisher":"American Chemical Society","title":"Synovial Fluid Metabolites Differentiate between Septic and Nonseptic Joint Pathologies","type":"article-journal","volume":"17"},"uris":["http://www.mendeley.com/documents/?uuid=dca4f401-57bd-3c7c-86b5-ccfd0d2f479d"]},{"id":"ITEM-9","itemData":{"DOI":"10.1021/acs.jproteome.8b00455","ISSN":"1535-3907","PMID":"30229649","abstract":"Despite osteoarthritis (OA) and rheumatoid arthritis (RA) being typically age-related, their underlying etiologies are markedly different. We used 1H nuclear magnetic resonance (NMR) spectroscopy to identify differences in metabolite profiles in low volumes of OA and RA synovial fluid (SF). SF was aspirated from knee joints of 10 OA and 14 RA patients. 100 μL SF was analyzed using a 700 MHz Avance IIIHD Bruker NMR spectrometer with a TCI cryoprobe. Spectra were analyzed by Chenomx, Bruker TopSpin and AMIX software. Statistical analysis was undertaken using Metaboanalyst. 50 metabolites were annotated, including amino acids, saccharides, nucleotides and soluble lipids. Discriminant analysis identified group separation between OA and RA cohorts, with 32 metabolites significantly different between OA and RA SF (false discovery rate (FDR) &lt; 0.05). Metabolites of glycolysis and the tricarboxylic acid cycle were lower in RA compared to OA; these results concur with higher levels of inflammation, synovial proliferation and hypoxia found in RA compared to OA. Elevated taurine in OA may indicate increased subchondral bone sclerosis. We demonstrate that quantifiable differences in metabolite abundance can be measured in low volumes of SF by 1H NMR spectroscopy, which may be clinically useful to aid diagnosis and improve understanding of disease pathogenesis.","author":[{"dropping-particle":"","family":"Anderson","given":"James R","non-dropping-particle":"","parse-names":false,"suffix":""},{"dropping-particle":"","family":"Chokesuwattanaskul","given":"Susama","non-dropping-particle":"","parse-names":false,"suffix":""},{"dropping-particle":"","family":"Phelan","given":"Marie M","non-dropping-particle":"","parse-names":false,"suffix":""},{"dropping-particle":"","family":"Welting","given":"Tim J M","non-dropping-particle":"","parse-names":false,"suffix":""},{"dropping-particle":"","family":"Lian","given":"Lu-Yun","non-dropping-particle":"","parse-names":false,"suffix":""},{"dropping-particle":"","family":"Peffers","given":"Mandy J","non-dropping-particle":"","parse-names":false,"suffix":""},{"dropping-particle":"","family":"Wright","given":"Helen L","non-dropping-particle":"","parse-names":false,"suffix":""}],"container-title":"Journal of Proteome Research","id":"ITEM-9","issue":"11","issued":{"date-parts":[["2018","11","2"]]},"page":"3780-3790","publisher":"American Chemical Society","title":"1 H NMR Metabolomics Identifies Underlying Inflammatory Pathology in Osteoarthritis and Rheumatoid Arthritis Synovial Joints","type":"article-journal","volume":"17"},"uris":["http://www.mendeley.com/documents/?uuid=17bd8300-4586-377f-981e-2e656d85e01b"]},{"id":"ITEM-10","itemData":{"DOI":"10.1111/evj.13199","ISSN":"0425-1644","author":[{"dropping-particle":"","family":"Graham","given":"R.J.T.Y.","non-dropping-particle":"","parse-names":false,"suffix":""},{"dropping-particle":"","family":"Anderson","given":"J.R.","non-dropping-particle":"","parse-names":false,"suffix":""},{"dropping-particle":"","family":"Phelan","given":"M.M.","non-dropping-particle":"","parse-names":false,"suffix":""},{"dropping-particle":"","family":"Cillan</w:instrText>
      </w:r>
      <w:r w:rsidR="003E1EDC">
        <w:rPr>
          <w:rFonts w:ascii="Cambria Math" w:eastAsia="Calibri" w:hAnsi="Cambria Math" w:cs="Cambria Math"/>
          <w:sz w:val="24"/>
          <w:szCs w:val="24"/>
        </w:rPr>
        <w:instrText>‐</w:instrText>
      </w:r>
      <w:r w:rsidR="003E1EDC">
        <w:rPr>
          <w:rFonts w:ascii="Arial" w:eastAsia="Calibri" w:hAnsi="Arial" w:cs="Arial"/>
          <w:sz w:val="24"/>
          <w:szCs w:val="24"/>
        </w:rPr>
        <w:instrText>Garcia","given":"E.","non-dropping-particle":"","parse-names":false,"suffix":""},{"dropping-particle":"","family":"Bladon","given":"B.M.","non-dropping-particle":"","parse-names":false,"suffix":""},{"dropping-particle":"","family":"Taylor","given":"S.E.","non-dropping-particle":"","parse-names":false,"suffix":""}],"container-title":"Equine Veterinary Journal","id":"ITEM-10","issued":{"date-parts":[["2019","10","28"]]},"page":"evj.13199","title":"Metabolomic analysis of synovial fluid from Thoroughbred racehorses diagnosed with palmar osteochondral disease using magnetic resonance imaging","type":"article-journal"},"uris":["http://www.mendeley.com/documents/?uuid=3b9176e2-6ba3-3022-90ed-514078412491"]},{"id":"ITEM-11","itemData":{"DOI":"10.1053/joca.1998.0205","ISSN":"10634584","abstract":"Objective: High resolution 1H-nuclear magnetic resonance (NMR) techniques have been used to compare the effects of unilateral knee-joint denervation on the biochemical profiles of synovial fluid in a bilateral canine model of osteoarthritis. Method: Paired synovial fluid samples were obtained from seven dogs all of which had previously undergone bilateral anterior cruciate ligament transection, unilateral knee denervation and contralateral sham nerve exposure. All synovial fluid samples were then analyzed using 500 MHz 1H-CPMG spin-echo NMR Spectroscopy to assess differences in endogenous metabolite levels between the paired fluids. Results: The results indicate statistically significant increases in glycerol, hydroxybutyrate, glutamine/glutamate, creatinine/creatine, acetate and N-acetyl-glycoprotein concentrations in synovial fluids from denervated with respect to control knees. Furthermore, significant trends towards elevated lactate, alanine and pyruvate levels in the denervated knee fluids are consistent with our previous findings comparing NMR spectroscopy metabolic profiles of normal and osteoarthritic canine synovial fluids. Conclusion: This study lends support to the principle of neurogenic acceleration of OA in that the observed differences in metabolite concentrations found in the denervated knee fluids seem to correlate with metabolic changes resulting from aggravation of the OA process caused by joint denervation.","author":[{"dropping-particle":"","family":"Damyanovich","given":"A. Z.","non-dropping-particle":"","parse-names":false,"suffix":""},{"dropping-particle":"","family":"Staples","given":"J. R.","non-dropping-particle":"","parse-names":false,"suffix":""},{"dropping-particle":"","family":"Marshall","given":"K. W.","non-dropping-particle":"","parse-names":false,"suffix":""}],"container-title":"Osteoarthritis and Cartilage","id":"ITEM-11","issue":"2","issued":{"date-parts":[["1999","3"]]},"page":"165-172","publisher":"W.B. Saunders Ltd","title":"1H NMR investigation of changes in the metabolic profile of synovial fluid in bilateral canine osteoarthritis with unilateral joint denervation","type":"article-journal","volume":"7"},"uris":["http://www.mendeley.com/documents/?uuid=c000abd5-5e8a-36bc-ba39-8b597684db0e"]}],"mendeley":{"formattedCitation":"&lt;sup&gt;3,12,21,13–20&lt;/sup&gt;","plainTextFormattedCitation":"3,12,21,13–20","previouslyFormattedCitation":"&lt;sup&gt;3,11–20&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3,12,21,13–20</w:t>
      </w:r>
      <w:r w:rsidRPr="00116C4A">
        <w:rPr>
          <w:rFonts w:ascii="Arial" w:eastAsia="Calibri" w:hAnsi="Arial" w:cs="Arial"/>
          <w:sz w:val="24"/>
          <w:szCs w:val="24"/>
        </w:rPr>
        <w:fldChar w:fldCharType="end"/>
      </w:r>
      <w:r w:rsidRPr="00116C4A">
        <w:rPr>
          <w:rFonts w:ascii="Arial" w:eastAsia="Calibri" w:hAnsi="Arial" w:cs="Arial"/>
          <w:sz w:val="24"/>
          <w:szCs w:val="24"/>
        </w:rPr>
        <w:t xml:space="preserve">. Although the effect of freeze thaw cycles and long term low temperature storage have been investigated, no studies to date have investigated the impact of different freezing methods on NMR metabolite analysis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{"citationItems":[{"id":"ITEM-1","itemData":{"ISSN":"0315-162X","PMID":"10743820","abstract":"OBJECTIVE To investigate the effect of freeze/thaw and low temperature storage on the biomolecular profile of human synovial fluid (SF) using high resolution (500 MHz 1H) magnetic resonance spectroscopy (MRS). METHODS SF was collected from 12 patients undergoing arthroscopic debridement for treatment of moderate osteoarthritis (OA). Six of the larger samples were divided into 5 parts and treated as follows: the first was analyzed with spin-echo MRS soon after arthroscopy (&lt; 24 h); the 2nd, 3rd, and 4th parts were frozen (-75 degrees C) and thawed for a total of one, 5, and 10 freeze/thaw cycles, respectively, followed by MRS analysis; the 5th part was kept in -75 degrees C storage for &gt; or = 1 year before MRS processing. The 6 smaller samples were divided into 2 parts, the first analyzed shortly after extraction (&lt; or = 24 h), while the 2nd was processed after storage at -75 degrees C for &gt; or = 1 year. Changes in measured metabolite levels were tested for significance using paired t tests. RESULTS Freeze-thaw cycling had no statistically significant effect on the relative concentrations of endogenous metabolites measured by MRS, though it did alter individual sample results. Prolonged low temperature storage resulted in a significant drop (p &lt; 0.05) in the signal intensities of glucose (45%), N-acetyl glycoproteins (39%), CH2-chain and CH3-terminal and resonances of lipoproteins (46 and 37%, respectively), valine (43%), leucine (35%), and isoleucine (43%). CONCLUSION This study raises questions about routine procedures that may inadvertently affect the outcomes of quantitative SF analyses. Extended low temperature storage should be avoided as it permanently alters the biochemical profile of SF, possibly leading to erroneous conclusions about the nature of OA related changes in metabolite levels with disease progression.","author":[{"dropping-particle":"","family":"Damyanovich","given":"A Z","non-dropping-particle":"","parse-names":false,"suffix":""},{"dropping-particle":"","family":"Staples","given":"J R","non-dropping-particle":"","parse-names":false,"suffix":""},{"dropping-particle":"","family":"Marshall","given":"K W","non-dropping-particle":"","parse-names":false,"suffix":""}],"container-title":"The Journal of rheumatology","id":"ITEM-1","issue":"3","issued":{"date-parts":[["2000","3"]]},"page":"746-52","title":"The effects of freeze/thawing on human synovial fluid observed by 500 MHz 1H magnetic resonance spectroscopy.","type":"article-journal","volume":"27"},"uris":["http://www.mendeley.com/documents/?uuid=5e560d1c-abd6-36cd-8b4e-611e8b3a20eb"]}],"mendeley":{"formattedCitation":"&lt;sup&gt;22&lt;/sup&gt;","plainTextFormattedCitation":"22","previouslyFormattedCitation":"&lt;sup&gt;21&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22</w:t>
      </w:r>
      <w:r w:rsidRPr="00116C4A">
        <w:rPr>
          <w:rFonts w:ascii="Arial" w:eastAsia="Calibri" w:hAnsi="Arial" w:cs="Arial"/>
          <w:sz w:val="24"/>
          <w:szCs w:val="24"/>
        </w:rPr>
        <w:fldChar w:fldCharType="end"/>
      </w:r>
      <w:r w:rsidRPr="00116C4A">
        <w:rPr>
          <w:rFonts w:ascii="Arial" w:eastAsia="Calibri" w:hAnsi="Arial" w:cs="Arial"/>
          <w:sz w:val="24"/>
          <w:szCs w:val="24"/>
        </w:rPr>
        <w:t xml:space="preserve">. Currently, there are no agreed standard protocols which are published for SF collection and processing for use with NMR </w:t>
      </w:r>
      <w:proofErr w:type="spellStart"/>
      <w:r w:rsidRPr="00116C4A">
        <w:rPr>
          <w:rFonts w:ascii="Arial" w:eastAsia="Calibri" w:hAnsi="Arial" w:cs="Arial"/>
          <w:sz w:val="24"/>
          <w:szCs w:val="24"/>
        </w:rPr>
        <w:t>metabolomic</w:t>
      </w:r>
      <w:proofErr w:type="spellEnd"/>
      <w:r w:rsidRPr="00116C4A">
        <w:rPr>
          <w:rFonts w:ascii="Arial" w:eastAsia="Calibri" w:hAnsi="Arial" w:cs="Arial"/>
          <w:sz w:val="24"/>
          <w:szCs w:val="24"/>
        </w:rPr>
        <w:t xml:space="preserve"> analysis.</w:t>
      </w:r>
    </w:p>
    <w:p w14:paraId="4C8F4D47" w14:textId="4208DCB6"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color w:val="000000"/>
          <w:sz w:val="24"/>
          <w:szCs w:val="24"/>
        </w:rPr>
        <w:t xml:space="preserve">Various studies have used mass spectrometry (MS) based proteomics approaches to analyse SF, with the development of LC-MS/MS providing a fast and sensitive methodology to identify and quantify proteins within complex biological samples </w:t>
      </w:r>
      <w:r w:rsidRPr="00116C4A">
        <w:rPr>
          <w:rFonts w:ascii="Arial" w:eastAsia="Calibri" w:hAnsi="Arial" w:cs="Arial"/>
          <w:color w:val="000000"/>
          <w:sz w:val="24"/>
          <w:szCs w:val="24"/>
        </w:rPr>
        <w:fldChar w:fldCharType="begin" w:fldLock="1"/>
      </w:r>
      <w:r w:rsidR="003E1EDC">
        <w:rPr>
          <w:rFonts w:ascii="Arial" w:eastAsia="Calibri" w:hAnsi="Arial" w:cs="Arial"/>
          <w:color w:val="000000"/>
          <w:sz w:val="24"/>
          <w:szCs w:val="24"/>
        </w:rPr>
        <w:instrText>ADDIN CSL_CITATION {"citationItems":[{"id":"ITEM-1","itemData":{"DOI":"10.1080/10408363.2017.1408561","ISSN":"1040-8363","abstract":"AbstractSynovial fluid (SF) is a protein-rich fluid produced into the joint cavity by cells of the synovial membrane. Due to its direct contact with articular cartilage, surfaces of the bone, and the synoviocytes of the inner membrane, it provides a promising reflection of the biochemical state of the joint under varying physiological and pathophysiological conditions. This property of SF has been exploited within numerous studies in search of unique biomarkers of joint pathologies with the ultimate goal of developing minimally invasive clinical assays to detect and/or monitor disease states. Several proteomic methodologies have been employed to mine the SF proteome. From elementary immunoassays to high-throughput analyses using mass spectrometry-based techniques, each has demonstrated distinct advantages and disadvantages in the identification and quantification of SF proteins. This review will explore the role of SF in the elucidation of the arthritis proteome and the extent to which high-throughput tec...","author":[{"dropping-particle":"","family":"Mahendran","given":"Shalini M.","non-dropping-particle":"","parse-names":false,"suffix":""},{"dropping-particle":"","family":"Oikonomopoulou","given":"Katerina","non-dropping-particle":"","parse-names":false,"suffix":""},{"dropping-particle":"","family":"Diamandis","given":"Eleftherios P.","non-dropping-particle":"","parse-names":false,"suffix":""},{"dropping-particle":"","family":"Chandran","given":"Vinod","non-dropping-particle":"","parse-names":false,"suffix":""}],"container-title":"Critical Reviews in Clinical Laboratory Sciences","id":"ITEM-1","issue":"7-8","issued":{"date-parts":[["2017","11","17"]]},"page":"495-505","publisher":"Taylor &amp; Francis","title":"Synovial fluid proteomics in the pursuit of arthritis mediators: An evolving field of novel biomarker discovery","type":"article-journal","volume":"54"},"uris":["http://www.mendeley.com/documents/?uuid=da5a3a7a-cf42-3fe4-a081-4dfcc2856738"]},{"id":"ITEM-2","itemData":{"DOI":"10.1016/J.MATBIO.2014.08.012","ISSN":"0945-053X","abstract":"Our friend and colleague, Dr. Dick Heinegård, contributed greatly to the understanding of joint tissue biochemistry, the discovery and validation of arthritis-related biomarkers and the establishment of methodology for proteomic studies in osteoarthritis (OA). To date, discovery of OA-related biomarkers has focused on cartilage, synovial fluid and serum. Methods, such as affinity depletion and hyaluronidase treatment have facilitated proteomics discovery research from these sources. Osteoarthritis usually involves multiple joints; this characteristic makes it easier to detect OA with a systemic biomarker but makes it hard to delineate abnormalities of individual affected joints. Although the abundance of cartilage proteins in urine may generally be lower than other tissue/sample sources, the protein composition of urine is much less complex and its collection is non-invasive thereby facilitating the development of patient friendly biomarkers. To date however, relatively few proteomics studies have been conducted in OA urine. Proteomics strategies have identified many proteins that may relate to pathological mechanisms of OA. Further targeted approaches to validate the role of these proteins in OA are needed. Herein we summarize recent proteomic studies related to joint tissues and the cohorts used; a clear understanding of the cohorts is important for this work as we expect that the decisive discoveries of OA-related biomarkers rely on comprehensive phenotyping of healthy non-OA and OA subjects. Besides the common phenotyping criteria that include, gender, age, and body mass index (BMI), it is essential to collect data on symptoms and signs of OA outside the index joints and to bolster this with objective imaging data whenever possible to gain the most precise appreciation of the total burden of disease. Proteomic studies on systemic biospecimens, such as serum and urine, rely on comprehensive phenotyping data to unravel the true meaning of the proteomic results.","author":[{"dropping-particle":"","family":"Hsueh","given":"Ming-Feng","non-dropping-particle":"","parse-names":false,"suffix":""},{"dropping-particle":"","family":"Önnerfjord","given":"Patrik","non-dropping-particle":"","parse-names":false,"suffix":""},{"dropping-particle":"","family":"Kraus","given":"Virginia Byers","non-dropping-particle":"","parse-names":false,"suffix":""}],"container-title":"Matrix Biology","id":"ITEM-2","issued":{"date-parts":[["2014","10","1"]]},"page":"56-66","publisher":"Elsevier","title":"Biomarkers and proteomic analysis of osteoarthritis","type":"article-journal","volume":"39"},"uris":["http://www.mendeley.com/documents/?uuid=81131819-8205-31cf-8a74-1f128e372b7d"]}],"mendeley":{"formattedCitation":"&lt;sup&gt;23,24&lt;/sup&gt;","plainTextFormattedCitation":"23,24","previouslyFormattedCitation":"&lt;sup&gt;22,23&lt;/sup&gt;"},"properties":{"noteIndex":0},"schema":"https://github.com/citation-style-language/schema/raw/master/csl-citation.json"}</w:instrText>
      </w:r>
      <w:r w:rsidRPr="00116C4A">
        <w:rPr>
          <w:rFonts w:ascii="Arial" w:eastAsia="Calibri" w:hAnsi="Arial" w:cs="Arial"/>
          <w:color w:val="000000"/>
          <w:sz w:val="24"/>
          <w:szCs w:val="24"/>
        </w:rPr>
        <w:fldChar w:fldCharType="separate"/>
      </w:r>
      <w:r w:rsidR="003E1EDC" w:rsidRPr="003E1EDC">
        <w:rPr>
          <w:rFonts w:ascii="Arial" w:eastAsia="Calibri" w:hAnsi="Arial" w:cs="Arial"/>
          <w:noProof/>
          <w:color w:val="000000"/>
          <w:sz w:val="24"/>
          <w:szCs w:val="24"/>
          <w:vertAlign w:val="superscript"/>
        </w:rPr>
        <w:t>23,24</w:t>
      </w:r>
      <w:r w:rsidRPr="00116C4A">
        <w:rPr>
          <w:rFonts w:ascii="Arial" w:eastAsia="Calibri" w:hAnsi="Arial" w:cs="Arial"/>
          <w:color w:val="000000"/>
          <w:sz w:val="24"/>
          <w:szCs w:val="24"/>
        </w:rPr>
        <w:fldChar w:fldCharType="end"/>
      </w:r>
      <w:r w:rsidRPr="00116C4A">
        <w:rPr>
          <w:rFonts w:ascii="Arial" w:eastAsia="Calibri" w:hAnsi="Arial" w:cs="Arial"/>
          <w:color w:val="000000"/>
          <w:sz w:val="24"/>
          <w:szCs w:val="24"/>
        </w:rPr>
        <w:t xml:space="preserve">. However, due to the multivariate nature of sample analysis, a large number of biological replicates are required </w:t>
      </w:r>
      <w:r w:rsidRPr="00116C4A">
        <w:rPr>
          <w:rFonts w:ascii="Arial" w:eastAsia="Calibri" w:hAnsi="Arial" w:cs="Arial"/>
          <w:sz w:val="24"/>
          <w:szCs w:val="24"/>
        </w:rPr>
        <w:t xml:space="preserve">in order to achieve an adequately powered study, which for LC-MS/MS, may be cost prohibitive. Additionally, the large protein concentration dynamic range present within SF leads to various challenges associated with proteome analysis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{"citationItems":[{"id":"ITEM-1","itemData":{"DOI":"10.1002/elps.201400434","ISBN":"0173-0835","PMID":"25287967","abstract":"This review article expands on the previous one (S. Selvaraju and Z. El Rassi, Electrophoresis 2012, 33, 74-88) by reviewing pertinent literature in the period extending from early 2011 to present. As the previous review article, the present one is concerned with proteomic sample preparation (e.g., depletion of high-abundance proteins, reduction of the protein dynamic concentration range, enrichment of a particular subproteome), and the subsequent chromatographic and/or electrophoretic prefractionation prior to peptide separation and identification by LC-MS/MS. This review article, however, is distinguished from its earlier version by expanding on capturing/enriching subphosphoproteomes by immobilized metal affinity chromatography and metal oxide affinity chromatography. Seventy-seven papers published in the period extending from mid-2011 to the present have been reviewed. By no means this review article is exhaustive, given the fact that its aim is to give a concise treatment of the latest developments in the field.","author":[{"dropping-particle":"","family":"Puangpila","given":"C","non-dropping-particle":"","parse-names":false,"suffix":""},{"dropping-particle":"","family":"Mayadunne","given":"E","non-dropping-particle":"","parse-names":false,"suffix":""},{"dropping-particle":"","family":"Rassi","given":"Z","non-dropping-particle":"El","parse-names":false,"suffix":""}],"container-title":"Electrophoresis","edition":"2014/10/08","id":"ITEM-1","issue":"1","issued":{"date-parts":[["2015"]]},"language":"eng","note":"1522-2683\nPuangpila, Chanida\nMayadunne, Erandi\nEl Rassi, Ziad\n1R15GM096286-01/GM/NIGMS NIH HHS/United States\nR15 GM096286/GM/NIGMS NIH HHS/United States\nJournal Article\nResearch Support, N.I.H., Extramural\nReview\nGermany\nElectrophoresis. 2015 Jan;36(1):238-52. doi: 10.1002/elps.201400434. Epub 2014 Nov 24.","page":"238-252","title":"Liquid phase based separation systems for depletion, prefractionation, and enrichment of proteins in biological fluids and matrices for in-depth proteomics analysis-An update covering the period 2011-2014","type":"article-journal","volume":"36"},"uris":["http://www.mendeley.com/documents/?uuid=52b62929-c98c-456f-a5e2-ca6a01fbff70"]}],"mendeley":{"formattedCitation":"&lt;sup&gt;25&lt;/sup&gt;","plainTextFormattedCitation":"25","previouslyFormattedCitation":"&lt;sup&gt;24&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25</w:t>
      </w:r>
      <w:r w:rsidRPr="00116C4A">
        <w:rPr>
          <w:rFonts w:ascii="Arial" w:eastAsia="Calibri" w:hAnsi="Arial" w:cs="Arial"/>
          <w:sz w:val="24"/>
          <w:szCs w:val="24"/>
        </w:rPr>
        <w:fldChar w:fldCharType="end"/>
      </w:r>
      <w:r w:rsidRPr="00116C4A">
        <w:rPr>
          <w:rFonts w:ascii="Arial" w:eastAsia="Calibri" w:hAnsi="Arial" w:cs="Arial"/>
          <w:sz w:val="24"/>
          <w:szCs w:val="24"/>
        </w:rPr>
        <w:t xml:space="preserve">. A small number of highly abundant proteins, including albumin, can mask the detection of low abundant proteins, thus compromising potential biomarker discovery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{"citationItems":[{"id":"ITEM-1","itemData":{"DOI":"10.1186/1477-5956-4-20","ISBN":"1477-5956 (Electronic)\r1477-5956 (Linking)","PMID":"17022823","abstract":"BACKGROUND: Surface-Enhanced Laser Desorption/Ionization - Time Of Flight (SELDI-TOF) has been proposed as new approach for blood biomarker discovery. However, results obtained so far have been often disappointing as this technique still has difficulties to detect low-abundant plasma and serum proteins. RESULTS: We used a serum depletion scheme using chicken antibodies against various abundant proteins to realized a pre-fractionation of serum prior to SELDI-TOF profiling. Depletion of major serum proteins by immunocapture was confirmed by 1D and 2D gel electrophoresis. SELDI-TOF analysis of bound and unbound (depleted) serum fractions revealed that this approach allows the detection of new low abundant protein peaks with satisfactory reproducibility. CONCLUSION: The combination of immunocapture and SELDI-TOF analysis opens new avenues into proteomic profiling for the discovery of blood biomarkers.","author":[{"dropping-particle":"","family":"Roche","given":"S","non-dropping-particle":"","parse-names":false,"suffix":""},{"dropping-particle":"","family":"Tiers","given":"L","non-dropping-particle":"","parse-names":false,"suffix":""},{"dropping-particle":"","family":"Provansal","given":"M","non-dropping-particle":"","parse-names":false,"suffix":""},{"dropping-particle":"","family":"Piva","given":"M T","non-dropping-particle":"","parse-names":false,"suffix":""},{"dropping-particle":"","family":"Lehmann","given":"S","non-dropping-particle":"","parse-names":false,"suffix":""}],"container-title":"Proteome Sci","id":"ITEM-1","issued":{"date-parts":[["2006"]]},"note":"Roche, Stephane\nTiers, Laurent\nProvansal, Monique\nPiva, Marie-Therese\nLehmann, Sylvain\neng\nEngland\n2006/10/07 09:00\nProteome Sci. 2006 Oct 5;4:20.","page":"20","title":"Interest of major serum protein removal for Surface-Enhanced Laser Desorption/Ionization - Time Of Flight (SELDI-TOF) proteomic blood profiling","type":"article-journal","volume":"4"},"uris":["http://www.mendeley.com/documents/?uuid=b54ece07-8b59-49f8-9100-66ea5b7ef574"]}],"mendeley":{"formattedCitation":"&lt;sup&gt;26&lt;/sup&gt;","plainTextFormattedCitation":"26","previouslyFormattedCitation":"&lt;sup&gt;25&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26</w:t>
      </w:r>
      <w:r w:rsidRPr="00116C4A">
        <w:rPr>
          <w:rFonts w:ascii="Arial" w:eastAsia="Calibri" w:hAnsi="Arial" w:cs="Arial"/>
          <w:sz w:val="24"/>
          <w:szCs w:val="24"/>
        </w:rPr>
        <w:fldChar w:fldCharType="end"/>
      </w:r>
      <w:r w:rsidRPr="00116C4A">
        <w:rPr>
          <w:rFonts w:ascii="Arial" w:eastAsia="Calibri" w:hAnsi="Arial" w:cs="Arial"/>
          <w:sz w:val="24"/>
          <w:szCs w:val="24"/>
        </w:rPr>
        <w:t xml:space="preserve">. Combinational ligand libraries have been developed to reduce this dynamic range, achieving peptide-based depletion whilst allowing preservation of the whole proteome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{"citationItems":[{"id":"ITEM-1","itemData":{"ISBN":"0367-8377 (Print)\r0367-8377 (Linking)","PMID":"1917305","abstract":"A method is suggested for the synthesis of multicomponent peptide mixtures. The method is a solid phase synthesis modified in order to give a closely equimolar mixture of peptides with predetermined sequences. The main point of modification is that before every coupling cycle the resin is divided into equal parts and each portion is coupled with a different amino acid. Then the portion are mixed and before the next coupling cycle the resin is again distributed into equal portions. The method is illustrated by the synthesis of a mixture of 27 tetrapeptides and that of 180 pentapeptides.","author":[{"dropping-particle":"","family":"Furka","given":"A","non-dropping-particle":"","parse-names":false,"suffix":""},{"dropping-particle":"","family":"Sebestyen","given":"F","non-dropping-particle":"","parse-names":false,"suffix":""},{"dropping-particle":"","family":"Asgedom","given":"M","non-dropping-particle":"","parse-names":false,"suffix":""},{"dropping-particle":"","family":"Dibo","given":"G","non-dropping-particle":"","parse-names":false,"suffix":""}],"container-title":"Int J Pept Protein Res","id":"ITEM-1","issue":"6","issued":{"date-parts":[["1991"]]},"note":"Furka, A\nSebestyen, F\nAsgedom, M\nDibo, G\neng\nDENMARK\n1991/06/01\nInt J Pept Protein Res. 1991 Jun;37(6):487-93.","page":"487-493","title":"General method for rapid synthesis of multicomponent peptide mixtures","type":"article-journal","volume":"37"},"uris":["http://www.mendeley.com/documents/?uuid=ac3fdc24-2eae-400e-8c45-894bcf756e16"]},{"id":"ITEM-2","itemData":{"DOI":"10.1038/354082a0","ISBN":"0028-0836 (Print)\r0028-0836 (Linking)","PMID":"1944576","abstract":"Our aim was to improve techniques for drug development by facilitating the identification of small molecules that bind with high affinity to acceptor molecules (for example, cell-surface receptors, enzymes, antibodies) and so to mimic or block their interaction with the natural ligand. Previously such small molecules have been characterized individually on a serial basis. The systematic synthesis and screening of peptide libraries of defined structure represents a new approach. For relatively small libraries, predetermined sequence variations on solid-phase supports have been used, and large libraries have been produced using a bacteriophage vector into which random oligodeoxynucleotide sequences have been introduced, but these techniques have severe limitations. Here we investigate an alternative approach to synthesis and screening of peptide libraries. Our simple methodology greatly enhances the production and rapid evaluation of random libraries of millions of peptides so that acceptor-binding ligands of high affinity can be rapidly identified and sequenced, on the basis of a 'one-bead, one-peptide' approach.","author":[{"dropping-particle":"","family":"Lam","given":"K S","non-dropping-particle":"","parse-names":false,"suffix":""},{"dropping-particle":"","family":"Salmon","given":"S E","non-dropping-particle":"","parse-names":false,"suffix":""},{"dropping-particle":"","family":"Hersh","given":"E M","non-dropping-particle":"","parse-names":false,"suffix":""},{"dropping-particle":"","family":"Hruby","given":"V J","non-dropping-particle":"","parse-names":false,"suffix":""},{"dropping-particle":"","family":"Kazmierski","given":"W M","non-dropping-particle":"","parse-names":false,"suffix":""},{"dropping-particle":"","family":"Knapp","given":"R J","non-dropping-particle":"","parse-names":false,"suffix":""}],"container-title":"Nature","id":"ITEM-2","issue":"6348","issued":{"date-parts":[["1991"]]},"note":"Lam, K S\nSalmon, S E\nHersh, E M\nHruby, V J\nKazmierski, W M\nKnapp, R J\neng\nResearch Support, Non-U.S. Gov't\nResearch Support, U.S. Gov't, P.H.S.\nENGLAND\n1991/11/07\nNature. 1991 Nov 7;354(6348):82-4.","page":"82-84","title":"A new type of synthetic peptide library for identifying ligand-binding activity","type":"article-journal","volume":"354"},"uris":["http://www.mendeley.com/documents/?uuid=a8dba0d0-31ac-4508-8211-d3c6d871ba23"]}],"mendeley":{"formattedCitation":"&lt;sup&gt;27,28&lt;/sup&gt;","plainTextFormattedCitation":"27,28","previouslyFormattedCitation":"&lt;sup&gt;26,27&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27,28</w:t>
      </w:r>
      <w:r w:rsidRPr="00116C4A">
        <w:rPr>
          <w:rFonts w:ascii="Arial" w:eastAsia="Calibri" w:hAnsi="Arial" w:cs="Arial"/>
          <w:sz w:val="24"/>
          <w:szCs w:val="24"/>
        </w:rPr>
        <w:fldChar w:fldCharType="end"/>
      </w:r>
      <w:r w:rsidRPr="00116C4A">
        <w:rPr>
          <w:rFonts w:ascii="Arial" w:eastAsia="Calibri" w:hAnsi="Arial" w:cs="Arial"/>
          <w:sz w:val="24"/>
          <w:szCs w:val="24"/>
        </w:rPr>
        <w:t xml:space="preserve">. This methodology has recently been used in the development of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protein enrichment columns (Bio-Rad Laboratories Ltd., Hemel Hempstead, UK), depleting highly abundant proteins and enriching those less abundant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{"citationItems":[{"id":"ITEM-1","itemData":{"DOI":"10.1021/pr200304u","ISBN":"1535-3893","author":[{"dropping-particle":"","family":"Fonslow","given":"Bryan R","non-dropping-particle":"","parse-names":false,"suffix":""},{"dropping-particle":"","family":"Carvalho","given":"Paulo C","non-dropping-particle":"","parse-names":false,"suffix":""},{"dropping-particle":"","family":"Academia","given":"Katrina","non-dropping-particle":"","parse-names":false,"suffix":""},{"dropping-particle":"","family":"Freeby","given":"Steve","non-dropping-particle":"","parse-names":false,"suffix":""},{"dropping-particle":"","family":"Xu","given":"Tao","non-dropping-particle":"","parse-names":false,"suffix":""},{"dropping-particle":"","family":"Nakorchevsky","given":"Aleksey","non-dropping-particle":"","parse-names":false,"suffix":""},{"dropping-particle":"","family":"Paulus","given":"Aran","non-dropping-particle":"","parse-names":false,"suffix":""},{"dropping-particle":"","family":"Yates","given":"John R","non-dropping-particle":"","parse-names":false,"suffix":""}],"container-title":"Journal of Proteome Research","id":"ITEM-1","issue":"8","issued":{"date-parts":[["2011"]]},"page":"3690-3700","publisher":"American Chemical Society","title":"Improvements in Proteomic Metrics of Low Abundance Proteins through Proteome Equalization Using ProteoMiner Prior to MudPIT","type":"article-journal","volume":"10"},"uris":["http://www.mendeley.com/documents/?uuid=f1e55c47-c5da-4f6b-815e-d1bb8e0ebc62"]}],"mendeley":{"formattedCitation":"&lt;sup&gt;29&lt;/sup&gt;","plainTextFormattedCitation":"29","previouslyFormattedCitation":"&lt;sup&gt;28&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29</w:t>
      </w:r>
      <w:r w:rsidRPr="00116C4A">
        <w:rPr>
          <w:rFonts w:ascii="Arial" w:eastAsia="Calibri" w:hAnsi="Arial" w:cs="Arial"/>
          <w:sz w:val="24"/>
          <w:szCs w:val="24"/>
        </w:rPr>
        <w:fldChar w:fldCharType="end"/>
      </w:r>
      <w:r w:rsidRPr="00116C4A">
        <w:rPr>
          <w:rFonts w:ascii="Arial" w:eastAsia="Calibri" w:hAnsi="Arial" w:cs="Arial"/>
          <w:sz w:val="24"/>
          <w:szCs w:val="24"/>
        </w:rPr>
        <w:t xml:space="preserve">. This technique was found to generate </w:t>
      </w:r>
      <w:r w:rsidRPr="00116C4A">
        <w:rPr>
          <w:rFonts w:ascii="Arial" w:eastAsia="Calibri" w:hAnsi="Arial" w:cs="Arial"/>
          <w:sz w:val="24"/>
          <w:szCs w:val="24"/>
        </w:rPr>
        <w:lastRenderedPageBreak/>
        <w:t xml:space="preserve">the largest increase in protein identifications compared to other protein depletion methods when applied to serum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{"citationItems":[{"id":"ITEM-1","itemData":{"DOI":"10.1016/J.TALANTA.2018.03.086","ISSN":"0039-9140","abstract":"Seven commercial products for human serum depletion/enrichment were tested and compared by shotgun proteomics. Methods were based on four different capturing agents: antibodies (Qproteome Albumin/IgG Depletion kit, ProteoPrep Immunoaffinity Albumin and IgG Depletion Kit, Top 2 Abundant Protein Depletion Spin Columns, and Top 12 Abundant Protein Depletion Spin Columns), specific ligands (Albumin/IgG Removal), mixture of antibodies and ligands (Albumin and IgG Depletion SpinTrap), and combinatorial peptide ligand libraries (ProteoMiner beads), respectively. All procedures, to a greater or lesser extent, allowed an increase of identified proteins. ProteoMiner beads provided the highest number of proteins; Albumin and IgG Depletion SpinTrap and ProteoPrep Immunoaffinity Albumin and IgG Depletion Kit resulted the most efficient in albumin removal; Top 2 and Top 12 Abundant Protein Depletion Spin Columns decreased the overall immunoglobulin levels more than other procedures, whereas specifically gamma immunoglobulins were mostly removed by Albumin and IgG Depletion SpinTrap, ProteoPrep Immunoaffinity Albumin and IgG Depletion Kit, and Top 2 Abundant Protein Depletion Spin Columns. Albumin/IgG Removal, a resin bound to a mixture of protein A and Cibacron Blue, behaved less efficiently than the other products.","author":[{"dropping-particle":"","family":"Pisanu","given":"Salvatore","non-dropping-particle":"","parse-names":false,"suffix":""},{"dropping-particle":"","family":"Biosa","given":"Grazia","non-dropping-particle":"","parse-names":false,"suffix":""},{"dropping-particle":"","family":"Carcangiu","given":"Laura","non-dropping-particle":"","parse-names":false,"suffix":""},{"dropping-particle":"","family":"Uzzau","given":"Sergio","non-dropping-particle":"","parse-names":false,"suffix":""},{"dropping-particle":"","family":"Pagnozzi","given":"Daniela","non-dropping-particle":"","parse-names":false,"suffix":""}],"container-title":"Talanta","id":"ITEM-1","issued":{"date-parts":[["2018","8","1"]]},"page":"213-220","publisher":"Elsevier","title":"Comparative evaluation of seven commercial products for human serum enrichment/depletion by shotgun proteomics","type":"article-journal","volume":"185"},"uris":["http://www.mendeley.com/documents/?uuid=3bf34c92-b0d4-33ce-9472-9c83b97af734"]}],"mendeley":{"formattedCitation":"&lt;sup&gt;30&lt;/sup&gt;","plainTextFormattedCitation":"30","previouslyFormattedCitation":"&lt;sup&gt;29&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30</w:t>
      </w:r>
      <w:r w:rsidRPr="00116C4A">
        <w:rPr>
          <w:rFonts w:ascii="Arial" w:eastAsia="Calibri" w:hAnsi="Arial" w:cs="Arial"/>
          <w:sz w:val="24"/>
          <w:szCs w:val="24"/>
        </w:rPr>
        <w:fldChar w:fldCharType="end"/>
      </w:r>
      <w:r w:rsidRPr="00116C4A">
        <w:rPr>
          <w:rFonts w:ascii="Arial" w:eastAsia="Calibri" w:hAnsi="Arial" w:cs="Arial"/>
          <w:sz w:val="24"/>
          <w:szCs w:val="24"/>
        </w:rPr>
        <w:t xml:space="preserve">. However, the elution solution present within the kit is not compatible with LC-MS/MS analysis, due to the presence of 3-((3-cholamidopropyl) </w:t>
      </w:r>
      <w:proofErr w:type="spellStart"/>
      <w:r w:rsidRPr="00116C4A">
        <w:rPr>
          <w:rFonts w:ascii="Arial" w:eastAsia="Calibri" w:hAnsi="Arial" w:cs="Arial"/>
          <w:sz w:val="24"/>
          <w:szCs w:val="24"/>
        </w:rPr>
        <w:t>dimethylammonio</w:t>
      </w:r>
      <w:proofErr w:type="spellEnd"/>
      <w:r w:rsidRPr="00116C4A">
        <w:rPr>
          <w:rFonts w:ascii="Arial" w:eastAsia="Calibri" w:hAnsi="Arial" w:cs="Arial"/>
          <w:sz w:val="24"/>
          <w:szCs w:val="24"/>
        </w:rPr>
        <w:t xml:space="preserve">)-1-propanesulfonate (CHAPS)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{"citationItems":[{"id":"ITEM-1","itemData":{"abstract":"Osteoarthritis (OA) is characterised by cartilage degradation, inflammation and pain within synovial joints. OA is a major cause of morbidity in the elderly human population and in companion animals such as horses. Changes in expression and activity of pro-inflammatory cytokines, chemokines and catabolic mediators contribute towards OA progression, which can be studied using in vitro culture models and proteomic approaches. This project studied the secretome from an in vitro model of equine articular cartilage, aiming to develop understanding of cartilage biology and degradative processes. These studies also aimed to identify protein markers relevant to this explant model for screening anti-inflammatory properties of novel therapeutics. To evaluate responses to OA associated pro-inflammatory IL-1β and the nonsteroidal anti-inflammatory drug (NSAID), carprofen, time courses of protein release were established in the explant model. The cartilage secretome contained cartilage extracellular matrix (ECM), non-ECM and intracellular proteins, all of which were identified by high-throughput mass spectrometry (MS). Semi-quantitative differences in protein release were reported between untreated control and IL-1β stimulated cartilage by MS. The release of glycosaminoglycans (GAGs) initiated by IL-1β was delayed when carprofen was present. The proteomic sample preparation method was adapted to deplete high abundance proteins that can hinder the detection of low level proteins in highthroughput MS analysis. Three depletion approaches were applied: CPC precipitation, concanavalin A lectin chromatography and Proteominer™ technology. These approaches provided additional identifications of the non-ECM secreted proteins MMP-10 and IL-9, and of additional intracellular proteins. Further optimization of these methods could further enhance the detection of low level proteins. Proteins identified by MS analysis of the cartilage secretome were assessed using quantitative western blotting analysis. Carprofen significantly reduced IL-1β stimulated release of MMP-1, MMP-3, MMP-13 and a fibronectin degradation product. Levels of clusterin were reduced by IL-1β and carprofen treatments. These specific proteins were shown to be markers of IL-1β stimulated inflammation and degradative processes, which can be significantly reduced by an anti-inflammatory such as carprofen. This thesis describes the use of proteomics with other approaches to study the effects of IL-1β and carprofen o…","author":[{"dropping-particle":"","family":"Williams","given":"Adam","non-dropping-particle":"","parse-names":false,"suffix":""}],"id":"ITEM-1","issued":{"date-parts":[["2014"]]},"number-of-pages":"1-237","publisher":"University of Nottingham","title":"Proteomic studies of an explant model of equine articular cartilage in response to proinflammatory and anti-inflammatory stimuli","type":"thesis"},"uris":["http://www.mendeley.com/documents/?uuid=23180906-02c9-40a4-81ad-a07977adcdfe"]}],"mendeley":{"formattedCitation":"&lt;sup&gt;31&lt;/sup&gt;","plainTextFormattedCitation":"31","previouslyFormattedCitation":"&lt;sup&gt;30&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31</w:t>
      </w:r>
      <w:r w:rsidRPr="00116C4A">
        <w:rPr>
          <w:rFonts w:ascii="Arial" w:eastAsia="Calibri" w:hAnsi="Arial" w:cs="Arial"/>
          <w:sz w:val="24"/>
          <w:szCs w:val="24"/>
        </w:rPr>
        <w:fldChar w:fldCharType="end"/>
      </w:r>
      <w:r w:rsidRPr="00116C4A">
        <w:rPr>
          <w:rFonts w:ascii="Arial" w:eastAsia="Calibri" w:hAnsi="Arial" w:cs="Arial"/>
          <w:sz w:val="24"/>
          <w:szCs w:val="24"/>
        </w:rPr>
        <w:t xml:space="preserve">. Although ‘clean-up’ and alternative elution protocols are available, these introduce a further process in sample preparation and subsequently a source of variation. Peffers </w:t>
      </w:r>
      <w:r w:rsidR="000F7FBC" w:rsidRPr="000F7FBC">
        <w:rPr>
          <w:rFonts w:ascii="Arial" w:eastAsia="Calibri" w:hAnsi="Arial" w:cs="Arial"/>
          <w:i/>
          <w:sz w:val="24"/>
          <w:szCs w:val="24"/>
        </w:rPr>
        <w:t>et al.</w:t>
      </w:r>
      <w:r w:rsidRPr="00116C4A">
        <w:rPr>
          <w:rFonts w:ascii="Arial" w:eastAsia="Calibri" w:hAnsi="Arial" w:cs="Arial"/>
          <w:sz w:val="24"/>
          <w:szCs w:val="24"/>
        </w:rPr>
        <w:t xml:space="preserve"> have previously developed an on-bead trypsin digestion protocol for analysis of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{"citationItems":[{"id":"ITEM-1","itemData":{"DOI":"10.1016/j.joca.2015.03.019","ISBN":"1522-9653 (Electronic)\r1063-4584 (Linking)","PMID":"25819577","abstract":"OBJECTIVE: The aim of the study was to characterise the protein complement of synovial fluid (SF) in health and osteoarthritis (OA) using liquid chromatography mass spectrometry (LC-MS/MS) following peptide-based depletion of high abundance proteins. DESIGN: SF was used from nine normal and nine OA Thoroughbred horses. Samples were analysed with LC-MS/MS using a NanoAcquity LC coupled to an LTQ Orbitrap Velos. In order to enrich the lower-abundance protein fractions protein equalisation was first undertaken using ProteoMiner. Progenesis-QI LC-MS software was used for label-free quantification. In addition immunohistochemistry, western blotting and mRNA expression analysis was undertaken on selected joint tissues. RESULTS: The number of protein identifications was increased by 33% in the ProteoMiner treated SF compared to undepleted SF. A total of 764 proteins (462 with&gt;/=2 significant peptides) were identified in SF. A subset of 10 proteins were identified which were differentially expressed in OA SF. S100-A10, a calcium binding protein was upregulated in OA and validated with western blotting and immunohistochemistry. Several new OA specific peptide fragments (neopeptides) were identified. CONCLUSION: The protein equalisation method compressed the dynamic range of the synovial proteins identifying the most comprehensive SF proteome to date. A number of proteins were identified for the first time in SF which may be involved in the pathogenesis of OA. We identified a distinct set of proteins and neopeptides that may act as potential biomarkers to distinguish between normal and OA joints.","author":[{"dropping-particle":"","family":"Peffers","given":"M J","non-dropping-particle":"","parse-names":false,"suffix":""},{"dropping-particle":"","family":"McDermott","given":"B","non-dropping-particle":"","parse-names":false,"suffix":""},{"dropping-particle":"","family":"Clegg","given":"P D","non-dropping-particle":"","parse-names":false,"suffix":""},{"dropping-particle":"","family":"Riggs","given":"C M","non-dropping-particle":"","parse-names":false,"suffix":""}],"container-title":"Osteoarthritis Cartilage","edition":"2015/03/31","id":"ITEM-1","issue":"7","issued":{"date-parts":[["2015"]]},"note":"Peffers, M J\nMcDermott, B\nClegg, P D\nRiggs, C M\neng\nMR/K006312/1/Medical Research Council/United Kingdom\nEngland\nOsteoarthritis Cartilage. 2015 Jul;23(7):1204-13. doi: 10.1016/j.joca.2015.03.019. Epub 2015 Mar 26.","page":"1204-1213","title":"Comprehensive protein profiling of synovial fluid in osteoarthritis following protein equalization","type":"article-journal","volume":"23"},"uris":["http://www.mendeley.com/documents/?uuid=ed75eb3a-b27d-4d14-80fa-304ad52ab1c1"]},{"id":"ITEM-2","itemData":{"DOI":"10.1038/s41598-017-03629-5","ISSN":"2045-2322","PMID":"28611391","abstract":"Osteoarthritis is a major cause of disability and there is no current pharmaceutical treatment which can prevent the disease or slow its progression. Dietary advice or supplementation is clearly an attractive option since it has low toxicity and ease of implementation on a population level. We have previously demonstrated that sulforaphane, a dietary isothiocyanate derived from its glucosinolate precursor which is found in broccoli, can prevent cartilage destruction in cells, in in vitro and in vivo models of osteoarthritis. As the next phase of this research, we enrolled 40 patients with knee osteoarthritis undergoing total knee replacement into a proof-of-principle trial. Patients were randomised to either a low or high glucosinolate diet for 14 days prior to surgery. We detected ITCs in the synovial fluid of the high glucosinolate group, but not the low glucosinolate group. This was mirrored by an increase in ITCs and specifically sulforaphane in the plasma. Proteomic analysis of synovial fluid showed significantly distinct profiles between groups with 125 differentially expressed proteins. The functional consequence of this diet will now be tested in a clinical trial.","author":[{"dropping-particle":"","family":"Davidson","given":"Rose","non-dropping-particle":"","parse-names":false,"suffix":""},{"dropping-particle":"","family":"Gardner","given":"Sarah","non-dropping-particle":"","parse-names":false,"suffix":""},{"dropping-particle":"","family":"Jupp","given":"Orla","non-dropping-particle":"","parse-names":false,"suffix":""},{"dropping-particle":"","family":"Bullough","given":"Angela","non-dropping-particle":"","parse-names":false,"suffix":""},{"dropping-particle":"","family":"Butters","given":"Sue","non-dropping-particle":"","parse-names":false,"suffix":""},{"dropping-particle":"","family":"Watts","given":"Laura","non-dropping-particle":"","parse-names":false,"suffix":""},{"dropping-particle":"","family":"Donell","given":"Simon","non-dropping-particle":"","parse-names":false,"suffix":""},{"dropping-particle":"","family":"Traka","given":"Maria","non-dropping-particle":"","parse-names":false,"suffix":""},{"dropping-particle":"","family":"Saha","given":"Shikha","non-dropping-particle":"","parse-names":false,"suffix":""},{"dropping-particle":"","family":"Mithen","given":"Richard","non-dropping-particle":"","parse-names":false,"suffix":""},{"dropping-particle":"","family":"Peffers","given":"Mandy","non-dropping-particle":"","parse-names":false,"suffix":""},{"dropping-particle":"","family":"Clegg","given":"Peter","non-dropping-particle":"","parse-names":false,"suffix":""},{"dropping-particle":"","family":"Bao","given":"Yongping","non-dropping-particle":"","parse-names":false,"suffix":""},{"dropping-particle":"","family":"Cassidy","given":"Aedin","non-dropping-particle":"","parse-names":false,"suffix":""},{"dropping-particle":"","family":"Clark","given":"Ian","non-dropping-particle":"","parse-names":false,"suffix":""}],"container-title":"Scientific reports","id":"ITEM-2","issue":"1","issued":{"date-parts":[["2017","6","13"]]},"page":"3398","publisher":"Nature Publishing Group","title":"Isothiocyanates are detected in human synovial fluid following broccoli consumption and can affect the tissues of the knee joint.","type":"article-journal","volume":"7"},"uris":["http://www.mendeley.com/documents/?uuid=79a4ab7a-87da-3f08-92b0-5bba8e22120d"]},{"id":"ITEM-3","itemData":{"DOI":"10.1186/s13075-017-1336-7","ISSN":"1478-6362","PMID":"28666451","abstract":"BACKGROUND Autologous chondrocyte implantation (ACI) can be used in the treatment of focal cartilage injuries to prevent the onset of osteoarthritis (OA). However, we are yet to understand fully why some individuals do not respond well to this intervention. Identification of a reliable and accurate biomarker panel that can predict which patients are likely to respond well to ACI is needed in order to assign the patient to the most appropriate therapy. This study aimed to compare the baseline and mid-treatment proteomic profiles of synovial fluids (SFs) obtained from responders and non-responders to ACI. METHODS SFs were derived from 14 ACI responders (mean Lysholm improvement of 33 (17-54)) and 13 non-responders (mean Lysholm decrease of 14 (4-46)) at the two stages of surgery (cartilage harvest and chondrocyte implantation). Label-free proteome profiling of dynamically compressed SFs was used to identify predictive markers of ACI success or failure and to investigate the biological pathways involved in the clinical response to ACI. RESULTS Only 1 protein displayed a ≥2.0-fold differential abundance in the preclinical SF of ACI responders versus non-responders. However, there is a marked difference between these two groups with regard to their proteome shift in response to cartilage harvest, with 24 and 92 proteins showing ≥2.0-fold differential abundance between Stages I and II in responders and non-responders, respectively. Proteomic data has been uploaded to ProteomeXchange (identifier: PXD005220). We have validated two biologically relevant protein changes associated with this response, demonstrating that matrix metalloproteinase 1 was prominently elevated and S100 calcium binding protein A13 was reduced in response to cartilage harvest in non-responders. CONCLUSIONS The differential proteomic response to cartilage harvest noted in responders versus non-responders is completely novel. Our analyses suggest several pathways which appear to be altered in non-responders that are worthy of further investigation to elucidate the mechanisms of ACI failure. These protein changes highlight many putative biomarkers that may have potential for prediction of ACI treatment success.","author":[{"dropping-particle":"","family":"Hulme","given":"Charlotte H","non-dropping-particle":"","parse-names":false,"suffix":""},{"dropping-particle":"","family":"Wilson","given":"Emma L","non-dropping-particle":"","parse-names":false,"suffix":""},{"dropping-particle":"","family":"Peffers","given":"Mandy J","non-dropping-particle":"","parse-names":false,"suffix":""},{"dropping-particle":"","family":"Roberts","given":"Sally","non-dropping-particle":"","parse-names":false,"suffix":""},{"dropping-particle":"","family":"Simpson","given":"Deborah M","non-dropping-particle":"","parse-names":false,"suffix":""},{"dropping-particle":"","family":"Richardson","given":"James B","non-dropping-particle":"","parse-names":false,"suffix":""},{"dropping-particle":"","family":"Gallacher","given":"Pete","non-dropping-particle":"","parse-names":false,"suffix":""},{"dropping-particle":"","family":"Wright","given":"Karina T","non-dropping-particle":"","parse-names":false,"suffix":""}],"container-title":"Arthritis research &amp; therapy","id":"ITEM-3","issue":"1","issued":{"date-parts":[["2017"]]},"page":"150","publisher":"BioMed Central","title":"Autologous chondrocyte implantation-derived synovial fluids display distinct responder and non-responder proteomic profiles.","type":"article-journal","volume":"19"},"uris":["http://www.mendeley.com/documents/?uuid=d06dc88b-5cb9-3229-898b-19d7f979b42d"]},{"id":"ITEM-4","itemData":{"DOI":"10.1016/J.JPROT.2019.04.020","ISSN":"1874-3919","abstract":"Articular conditions are common in horses and can result in loss of function, chronic pain and/or inability to work. Common conditions include osteoarthritis, osteochondrosis and synovial sepsis, which can be life-threatening, but despite the high clinical prevalence of these conditions, rapid and specific diagnosis, monitoring and prognostication remains a challenge for practicing veterinarians. Synovial fluid from a range of arthropathies was enriched for low abundance proteins using combinatorial peptide ligand ProteoMiner™ beads and analysed via liquid chromatography-tandem mass spectrometry. Changes in protein abundances were analysed using label-free quantification. Principle component analysis of differentially expressed proteins identified groupings associated with joint pathology. Findings were validated using ELISA. Lactotransferrin (LTF) abundance was increased in sepsis compared to all other groups and insulin-like growth factor-binding protein 6 (IGFBP6) abundance decreased in sepsis compared to other disease groups. Pathway analysis identified upregulation of the complement system in synovial joint sepsis and the downregulation of eukaryotic translation initiation factors and mTOR signalling pathways in both OA and OC compared to the healthy group. Overall, we have identified a catalogue of proteins which we propose to be involved in osteoarthritis, osteochondrosis and synovial sepsis pathogenesis. SIGNIFICANCE Osteoarthritis, osteochondrosis and synovial sepsis, which can be life-threatening, are common articular conditions in which rapid and specific diagnosis, monitoring and prognostication remains a challenge for practicing veterinarians. This study has identified that the equine synovial fluid proteome exhibits distinctive profile changes between osteoarthritis, osteochondrosis, synovial sepsis and healthy joints. Elevated synovial abundance of lactotransferrin and decreased insulin-like growth factor-binding protein 6 were both found to distinguish synovial sepsis from all other study groups. Thus, these protein markers may have a future role in clinical practice to enable an earlier and reliable diagnosis of synovial sepsis.","author":[{"dropping-particle":"","family":"Anderson","given":"James R.","non-dropping-particle":"","parse-names":false,"suffix":""},{"dropping-particle":"","family":"Smagul","given":"Aibek","non-dropping-particle":"","parse-names":false,"suffix":""},{"dropping-particle":"","family":"Simpson","given":"Deborah","non-dropping-particle":"","parse-names":false,"suffix":""},{"dropping-particle":"","family":"Clegg","given":"Peter D.","non-dropping-particle":"","parse-names":false,"suffix":""},{"dropping-particle":"","family":"Rubio-Martinez","given":"Luis M.","non-dropping-particle":"","parse-names":false,"suffix":""},{"dropping-particle":"","family":"Peffers","given":"Mandy J.","non-dropping-particle":"","parse-names":false,"suffix":""}],"container-title":"Journal of Proteomics","id":"ITEM-4","issued":{"date-parts":[["2019","6","30"]]},"page":"103370","publisher":"Elsevier","title":"The synovial fluid proteome differentiates between septic and nonseptic articular pathologies","type":"article-journal","volume":"202"},"uris":["http://www.mendeley.com/documents/?uuid=b90cb705-7454-3aec-8de3-d94d46f0e3a5"]}],"mendeley":{"formattedCitation":"&lt;sup&gt;32–35&lt;/sup&gt;","plainTextFormattedCitation":"32–35","previouslyFormattedCitation":"&lt;sup&gt;31–34&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32–35</w:t>
      </w:r>
      <w:r w:rsidRPr="00116C4A">
        <w:rPr>
          <w:rFonts w:ascii="Arial" w:eastAsia="Calibri" w:hAnsi="Arial" w:cs="Arial"/>
          <w:sz w:val="24"/>
          <w:szCs w:val="24"/>
        </w:rPr>
        <w:fldChar w:fldCharType="end"/>
      </w:r>
      <w:r w:rsidRPr="00116C4A">
        <w:rPr>
          <w:rFonts w:ascii="Arial" w:eastAsia="Calibri" w:hAnsi="Arial" w:cs="Arial"/>
          <w:sz w:val="24"/>
          <w:szCs w:val="24"/>
        </w:rPr>
        <w:t xml:space="preserve">. However, although the reproducibility of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beads when used in conjunction with serum has been examined, reproducibility with SF or on-bead digestions have yet to be investigated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{"citationItems":[{"id":"ITEM-1","itemData":{"abstract":"Low-abundance protein detection in biological samples is one of the main challenges in proteomics investigations. One approach that makes the detection of rare species possible is the treatment of biological samples with solidphase combinatorial peptide ligand libraries. However, the use of combinations of ligands opens an uncertainty in that, since the diversity of the library is very large, aliquots of beads sampled from the library might not have fully comparable bead species each time. Reproducibility of experimental data with highly diverse libraries is therefore a main concern to address. This paper reports reproducibility data when aliquots of similar and different volumes of libraries are used at a certain sample to library ratio. Eluates from ligand libraries and other fractions are analyzed using various complementary methods such as two-dimensional gel electrophoresis, immunoassay and mass spectrometry. The collected data show a high level of consistency from sample to sample when processed with similar and variable bead volumes. Analytical determinations are all convergent with each other in considering the similarity of results. It is anticipated that this demonstration reinforces the possibility that differential proteomics studies, in particular for the discovery of protein targets of interest, can effectively be accomplished with combinatorial peptide libraries.","author":[{"dropping-particle":"","family":"Li","given":"Lei","non-dropping-particle":"","parse-names":false,"suffix":""},{"dropping-particle":"","family":"Sun","given":"ChengJun","non-dropping-particle":"","parse-names":false,"suffix":""},{"dropping-particle":"","family":"Freeby","given":"Steve","non-dropping-particle":"","parse-names":false,"suffix":""},{"dropping-particle":"","family":"Yee","given":"Dennis","non-dropping-particle":"","parse-names":false,"suffix":""},{"dropping-particle":"","family":"Kieffer-Jaquinod","given":"Sylvie","non-dropping-particle":"","parse-names":false,"suffix":""},{"dropping-particle":"","family":"Guerrier","given":"Luc","non-dropping-particle":"","parse-names":false,"suffix":""},{"dropping-particle":"","family":"Boschetti","given":"Egisto","non-dropping-particle":"","parse-names":false,"suffix":""},{"dropping-particle":"","family":"Lomas","given":"Lee","non-dropping-particle":"","parse-names":false,"suffix":""}],"container-title":"Journal of Proteomics &amp; Bioinformatice","id":"ITEM-1","issue":"12","issued":{"date-parts":[["2009"]]},"page":"485-494","title":"Protein sample treatment with peptide ligand library: coverage and consistency","type":"article-journal","volume":"2"},"uris":["http://www.mendeley.com/documents/?uuid=9268f3f8-07d2-45ec-bbef-750aa992321e"]}],"mendeley":{"formattedCitation":"&lt;sup&gt;36&lt;/sup&gt;","plainTextFormattedCitation":"36","previouslyFormattedCitation":"&lt;sup&gt;35&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36</w:t>
      </w:r>
      <w:r w:rsidRPr="00116C4A">
        <w:rPr>
          <w:rFonts w:ascii="Arial" w:eastAsia="Calibri" w:hAnsi="Arial" w:cs="Arial"/>
          <w:sz w:val="24"/>
          <w:szCs w:val="24"/>
        </w:rPr>
        <w:fldChar w:fldCharType="end"/>
      </w:r>
      <w:r w:rsidRPr="00116C4A">
        <w:rPr>
          <w:rFonts w:ascii="Arial" w:eastAsia="Calibri" w:hAnsi="Arial" w:cs="Arial"/>
          <w:sz w:val="24"/>
          <w:szCs w:val="24"/>
        </w:rPr>
        <w:t>.</w:t>
      </w:r>
    </w:p>
    <w:p w14:paraId="30947356" w14:textId="0DB92AA9"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Lys-C serine endopeptidase is the second most common enzyme used within bottom-up proteomics studies following trypsin, efficiently hydrolysing the peptide bond of lysine residues on the carboxyl side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{"citationItems":[{"id":"ITEM-1","itemData":{"DOI":"10.1016/0003-2697(83)90308-1","ISSN":"0003-2697","abstract":"Endoproteinase Lys-C from Lysobacter enzymogenes, which is commercially available, proved to be useful in the determination of primary structures of proteins. The enzyme preferentially cleaves at the carboxyl side of lysine residues.","author":[{"dropping-particle":"","family":"Jekel","given":"Peter A.","non-dropping-particle":"","parse-names":false,"suffix":""},{"dropping-particle":"","family":"Weijer","given":"Wicher J.","non-dropping-particle":"","parse-names":false,"suffix":""},{"dropping-particle":"","family":"Beintema","given":"Jaap J.","non-dropping-particle":"","parse-names":false,"suffix":""}],"container-title":"Analytical Biochemistry","id":"ITEM-1","issue":"2","issued":{"date-parts":[["1983","10","15"]]},"page":"347-354","publisher":"Academic Press","title":"Use of endoproteinase Lys-C from Lysobacter enzymogenes in protein sequence analysis","type":"article-journal","volume":"134"},"uris":["http://www.mendeley.com/documents/?uuid=cdb0cbbd-c648-3e02-a8c9-e05c83e8e497"]},{"id":"ITEM-2","itemData":{"DOI":"10.1021/acs.analchem.8b02448","ISSN":"0003-2700","abstract":"Nowadays, bottom-up approaches are predominantly adopted in proteomics studies, which necessitate a proteolysis step prior to MS analysis. Trypsin is often the best protease in choice due to its high specificity and MS-favored proteolytic products. A lot of efforts have been made to develop a superior digestion approach but hardly succeed, especially in large-scale proteomics studies. Herein, we report a new tandem digestion using Lys-C and Arg-C, termed Lys-C/Arg-C, which has been proven to be more specific and efficient than trypsin digestion. Reanalysis of our previous data (Anal. Chem. 2018, 90 (3), 1554–1559) revealed that both Lys-C and Arg-C are trypsin-like proteases and perform better when considered as trypsin. In particular, for Arg-C, the identification capacity is increased to 2.6 times and even comparable with trypsin. The good complementarity, high digestion efficiency, and high specificity of Lys-C and Arg-C prompt the Lys-C/Arg-C digestion. We systematically evaluated Lys-C/Arg-C digestio...","author":[{"dropping-particle":"","family":"Wu","given":"Zhen","non-dropping-particle":"","parse-names":false,"suffix":""},{"dropping-particle":"","family":"Huang","given":"Jichang","non-dropping-particle":"","parse-names":false,"suffix":""},{"dropping-particle":"","family":"Huang","given":"Jingnan","non-dropping-particle":"","parse-names":false,"suffix":""},{"dropping-particle":"","family":"Li","given":"Qingqing","non-dropping-particle":"","parse-names":false,"suffix":""},{"dropping-particle":"","family":"Zhang","given":"Xumin","non-dropping-particle":"","parse-names":false,"suffix":""}],"container-title":"Analytical Chemistry","id":"ITEM-2","issue":"16","issued":{"date-parts":[["2018","8","21"]]},"page":"9700-9707","publisher":"American Chemical Society","title":"Lys-C/Arg-C, a More Specific and Efficient Digestion Approach for Proteomics Studies","type":"article-journal","volume":"90"},"uris":["http://www.mendeley.com/documents/?uuid=cea974cb-9fdb-3515-8bc2-fbc7600e89a0"]}],"mendeley":{"formattedCitation":"&lt;sup&gt;37,38&lt;/sup&gt;","plainTextFormattedCitation":"37,38","previouslyFormattedCitation":"&lt;sup&gt;36,37&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37,38</w:t>
      </w:r>
      <w:r w:rsidRPr="00116C4A">
        <w:rPr>
          <w:rFonts w:ascii="Arial" w:eastAsia="Calibri" w:hAnsi="Arial" w:cs="Arial"/>
          <w:sz w:val="24"/>
          <w:szCs w:val="24"/>
        </w:rPr>
        <w:fldChar w:fldCharType="end"/>
      </w:r>
      <w:r w:rsidRPr="00116C4A">
        <w:rPr>
          <w:rFonts w:ascii="Arial" w:eastAsia="Calibri" w:hAnsi="Arial" w:cs="Arial"/>
          <w:sz w:val="24"/>
          <w:szCs w:val="24"/>
        </w:rPr>
        <w:t xml:space="preserve">. Whilst trypsin digests peptides at </w:t>
      </w:r>
      <w:proofErr w:type="spellStart"/>
      <w:r w:rsidRPr="00116C4A">
        <w:rPr>
          <w:rFonts w:ascii="Arial" w:eastAsia="Calibri" w:hAnsi="Arial" w:cs="Arial"/>
          <w:sz w:val="24"/>
          <w:szCs w:val="24"/>
        </w:rPr>
        <w:t>Arg</w:t>
      </w:r>
      <w:proofErr w:type="spellEnd"/>
      <w:r w:rsidRPr="00116C4A">
        <w:rPr>
          <w:rFonts w:ascii="Arial" w:eastAsia="Calibri" w:hAnsi="Arial" w:cs="Arial"/>
          <w:sz w:val="24"/>
          <w:szCs w:val="24"/>
        </w:rPr>
        <w:t xml:space="preserve">-C or Lys-C residues, unless followed directly by </w:t>
      </w:r>
      <w:proofErr w:type="spellStart"/>
      <w:r w:rsidRPr="00116C4A">
        <w:rPr>
          <w:rFonts w:ascii="Arial" w:eastAsia="Calibri" w:hAnsi="Arial" w:cs="Arial"/>
          <w:sz w:val="24"/>
          <w:szCs w:val="24"/>
        </w:rPr>
        <w:t>proline</w:t>
      </w:r>
      <w:proofErr w:type="spellEnd"/>
      <w:r w:rsidRPr="00116C4A">
        <w:rPr>
          <w:rFonts w:ascii="Arial" w:eastAsia="Calibri" w:hAnsi="Arial" w:cs="Arial"/>
          <w:sz w:val="24"/>
          <w:szCs w:val="24"/>
        </w:rPr>
        <w:t xml:space="preserve">, cleavage at the Lys-C site is comparatively poor when compared to Lys-C endopeptidase activity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{"citationItems":[{"id":"ITEM-1","itemData":{"DOI":"10.1021/pr060507u","ISSN":"1535-3893","PMID":"17203985","abstract":"Protein identification via peptide mass fingerprinting (PMF) remains a key component of high-throughput proteomics experiments in post-genomic science. Candidate protein identifications are made using bioinformatic tools from peptide peak lists obtained via mass spectrometry (MS). These algorithms rely on several search parameters, including the number of potential uncut peptide bonds matching the primary specificity of the hydrolytic enzyme used in the experiment. Typically, up to one of these \"missed cleavages\" are considered by the bioinformatics search tools, usually after digestion of the in silico proteome by trypsin. Using two distinct, nonredundant datasets of peptides identified via PMF and tandem MS, a simple predictive method based on information theory is presented which is able to identify experimentally defined missed cleavages with up to 90% accuracy from amino acid sequence alone. Using this simple protocol, we are able to \"mask\" candidate protein databases so that confident missed cleavage sites need not be considered for in silico digestion. We show that that this leads to an improvement in database searching, with two different search engines, using the PMF dataset as a test set. In addition, the improved approach is also demonstrated on an independent PMF data set of known proteins that also has corresponding high-quality tandem MS data, validating the protein identifications. This approach has wider applicability for proteomics database searching, and the program for predicting missed cleavages and masking Fasta-formatted protein sequence databases has been made available via http:// ispider.smith.man.ac uk/MissedCleave.","author":[{"dropping-particle":"","family":"Siepen","given":"Jennifer A","non-dropping-particle":"","parse-names":false,"suffix":""},{"dropping-particle":"","family":"Keevil","given":"Emma-Jayne","non-dropping-particle":"","parse-names":false,"suffix":""},{"dropping-particle":"","family":"Knight","given":"David","non-dropping-particle":"","parse-names":false,"suffix":""},{"dropping-particle":"","family":"Hubbard","given":"Simon J","non-dropping-particle":"","parse-names":false,"suffix":""}],"container-title":"Journal of proteome research","id":"ITEM-1","issue":"1","issued":{"date-parts":[["2007","1"]]},"page":"399-408","publisher":"Europe PMC Funders","title":"Prediction of missed cleavage sites in tryptic peptides aids protein identification in proteomics.","type":"article-journal","volume":"6"},"uris":["http://www.mendeley.com/documents/?uuid=4bed57d5-9fe1-353c-802e-bf6a131bca3c"]},{"id":"ITEM-2","itemData":{"DOI":"10.1021/acs.analchem.8b02448","ISSN":"0003-2700","abstract":"Nowadays, bottom-up approaches are predominantly adopted in proteomics studies, which necessitate a proteolysis step prior to MS analysis. Trypsin is often the best protease in choice due to its high specificity and MS-favored proteolytic products. A lot of efforts have been made to develop a superior digestion approach but hardly succeed, especially in large-scale proteomics studies. Herein, we report a new tandem digestion using Lys-C and Arg-C, termed Lys-C/Arg-C, which has been proven to be more specific and efficient than trypsin digestion. Reanalysis of our previous data (Anal. Chem. 2018, 90 (3), 1554–1559) revealed that both Lys-C and Arg-C are trypsin-like proteases and perform better when considered as trypsin. In particular, for Arg-C, the identification capacity is increased to 2.6 times and even comparable with trypsin. The good complementarity, high digestion efficiency, and high specificity of Lys-C and Arg-C prompt the Lys-C/Arg-C digestion. We systematically evaluated Lys-C/Arg-C digestio...","author":[{"dropping-particle":"","family":"Wu","given":"Zhen","non-dropping-particle":"","parse-names":false,"suffix":""},{"dropping-particle":"","family":"Huang","given":"Jichang","non-dropping-particle":"","parse-names":false,"suffix":""},{"dropping-particle":"","family":"Huang","given":"Jingnan","non-dropping-particle":"","parse-names":false,"suffix":""},{"dropping-particle":"","family":"Li","given":"Qingqing","non-dropping-particle":"","parse-names":false,"suffix":""},{"dropping-particle":"","family":"Zhang","given":"Xumin","non-dropping-particle":"","parse-names":false,"suffix":""}],"container-title":"Analytical Chemistry","id":"ITEM-2","issue":"16","issued":{"date-parts":[["2018","8","21"]]},"page":"9700-9707","publisher":"American Chemical Society","title":"Lys-C/Arg-C, a More Specific and Efficient Digestion Approach for Proteomics Studies","type":"article-journal","volume":"90"},"uris":["http://www.mendeley.com/documents/?uuid=cea974cb-9fdb-3515-8bc2-fbc7600e89a0"]}],"mendeley":{"formattedCitation":"&lt;sup&gt;38,39&lt;/sup&gt;","plainTextFormattedCitation":"38,39","previouslyFormattedCitation":"&lt;sup&gt;37,38&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38,39</w:t>
      </w:r>
      <w:r w:rsidRPr="00116C4A">
        <w:rPr>
          <w:rFonts w:ascii="Arial" w:eastAsia="Calibri" w:hAnsi="Arial" w:cs="Arial"/>
          <w:sz w:val="24"/>
          <w:szCs w:val="24"/>
        </w:rPr>
        <w:fldChar w:fldCharType="end"/>
      </w:r>
      <w:r w:rsidRPr="00116C4A">
        <w:rPr>
          <w:rFonts w:ascii="Arial" w:eastAsia="Calibri" w:hAnsi="Arial" w:cs="Arial"/>
          <w:sz w:val="24"/>
          <w:szCs w:val="24"/>
        </w:rPr>
        <w:t xml:space="preserve">. Thus, a combined digestion protocol can produce an overall improved digestion efficiency. When used within an in-solution protein digestion protocol, a Lys-C/trypsin protocol was found to produce significantly less missed cleavages and a more efficient digestion than a tryptic digestion alone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{"citationItems":[{"id":"ITEM-1","itemData":{"DOI":"10.1021/pr300273g","ISSN":"1535-3893","abstract":"The complete and specific proteolytic cleavage of protein samples into peptides is crucial for the success of every shotgun LC–MS/MS experiment. In particular, popular peptide-based label-free and targeted mass spectrometry approaches rely on efficient generation of fully cleaved peptides to ensure accurate and sensitive protein quantification. In contrast to previous studies, we globally and quantitatively assessed the efficiency of different digestion strategies using a yeast cell lysate, label-free quantification, and statistical analysis. Digestion conditions include double tryptic, surfactant-assisted, and tandem-combinatorial Lys-C/trypsin digestion. In comparison to tryptic digests, Lys-C/trypsin digests were found most efficient to yield fully cleaved peptides while reducing the abundance of miscleaved peptides. Subsequent sequence context analysis revealed improved digestion performances of Lys-C/trypsin for miscleaved sequence stretches flanked by charged basic and particulary acidic residues. F...","author":[{"dropping-particle":"","family":"Glatter","given":"Timo","non-dropping-particle":"","parse-names":false,"suffix":""},{"dropping-particle":"","family":"Ludwig","given":"Christina","non-dropping-particle":"","parse-names":false,"suffix":""},{"dropping-particle":"","family":"Ahrné","given":"Erik","non-dropping-particle":"","parse-names":false,"suffix":""},{"dropping-particle":"","family":"Aebersold","given":"Ruedi","non-dropping-particle":"","parse-names":false,"suffix":""},{"dropping-particle":"","family":"Heck","given":"Albert J. R.","non-dropping-particle":"","parse-names":false,"suffix":""},{"dropping-particle":"","family":"Schmidt","given":"Alexander","non-dropping-particle":"","parse-names":false,"suffix":""}],"container-title":"Journal of Proteome Research","id":"ITEM-1","issue":"11","issued":{"date-parts":[["2012","11","2"]]},"page":"5145-5156","publisher":"American Chemical Society","title":"Large-Scale Quantitative Assessment of Different In-Solution Protein Digestion Protocols Reveals Superior Cleavage Efficiency of Tandem Lys-C/Trypsin Proteolysis over Trypsin Digestion","type":"article-journal","volume":"11"},"uris":["http://www.mendeley.com/documents/?uuid=9c58f219-f75c-3cfe-9a54-1a0d0f972cac"]}],"mendeley":{"formattedCitation":"&lt;sup&gt;40&lt;/sup&gt;","plainTextFormattedCitation":"40","previouslyFormattedCitation":"&lt;sup&gt;39&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40</w:t>
      </w:r>
      <w:r w:rsidRPr="00116C4A">
        <w:rPr>
          <w:rFonts w:ascii="Arial" w:eastAsia="Calibri" w:hAnsi="Arial" w:cs="Arial"/>
          <w:sz w:val="24"/>
          <w:szCs w:val="24"/>
        </w:rPr>
        <w:fldChar w:fldCharType="end"/>
      </w:r>
      <w:r w:rsidRPr="00116C4A">
        <w:rPr>
          <w:rFonts w:ascii="Arial" w:eastAsia="Calibri" w:hAnsi="Arial" w:cs="Arial"/>
          <w:sz w:val="24"/>
          <w:szCs w:val="24"/>
        </w:rPr>
        <w:t xml:space="preserve">. However, on-bead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digestion protocols to date have used trypsin alone, with the potential improved digestion of the addition of Lys-C endopeptidase into this protocol yet to be investigated.</w:t>
      </w:r>
    </w:p>
    <w:p w14:paraId="4A197C37" w14:textId="4DC0A5D0"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Cartilage breakdown products are generated during orthopaedic pathology, i.e. OA, due to elevations in enzymatic activity within synovial joints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{"citationItems":[{"id":"ITEM-1","itemData":{"DOI":"10.1002/jor.22963","ISSN":"07360266","author":[{"dropping-particle":"","family":"Peffers","given":"Mandy Jayne","non-dropping-particle":"","parse-names":false,"suffix":""},{"dropping-particle":"","family":"Thornton","given":"David James","non-dropping-particle":"","parse-names":false,"suffix":""},{"dropping-particle":"","family":"Clegg","given":"Peter David","non-dropping-particle":"","parse-names":false,"suffix":""}],"container-title":"Journal of Orthopaedic Research","id":"ITEM-1","issue":"1","issued":{"date-parts":[["2016","1","1"]]},"page":"106-120","publisher":"Wiley-Blackwell","title":"Characterization of neopeptides in equine articular cartilage degradation","type":"article-journal","volume":"34"},"uris":["http://www.mendeley.com/documents/?uuid=c9de9406-6f6e-3d31-bd5c-070a16bb414a"]}],"mendeley":{"formattedCitation":"&lt;sup&gt;41&lt;/sup&gt;","plainTextFormattedCitation":"41","previouslyFormattedCitation":"&lt;sup&gt;40&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41</w:t>
      </w:r>
      <w:r w:rsidRPr="00116C4A">
        <w:rPr>
          <w:rFonts w:ascii="Arial" w:eastAsia="Calibri" w:hAnsi="Arial" w:cs="Arial"/>
          <w:sz w:val="24"/>
          <w:szCs w:val="24"/>
        </w:rPr>
        <w:fldChar w:fldCharType="end"/>
      </w:r>
      <w:r w:rsidRPr="00116C4A">
        <w:rPr>
          <w:rFonts w:ascii="Arial" w:eastAsia="Calibri" w:hAnsi="Arial" w:cs="Arial"/>
          <w:sz w:val="24"/>
          <w:szCs w:val="24"/>
        </w:rPr>
        <w:t xml:space="preserve">. These products may be recognised via MS as semi-tryptic peptides. Identification and quantification of </w:t>
      </w:r>
      <w:r w:rsidRPr="00116C4A">
        <w:rPr>
          <w:rFonts w:ascii="Arial" w:eastAsia="Calibri" w:hAnsi="Arial" w:cs="Arial"/>
          <w:sz w:val="24"/>
          <w:szCs w:val="24"/>
        </w:rPr>
        <w:lastRenderedPageBreak/>
        <w:t>these semi-tryptic peptides within pathological groups has potential as a</w:t>
      </w:r>
      <w:r w:rsidR="004436B4">
        <w:rPr>
          <w:rFonts w:ascii="Arial" w:eastAsia="Calibri" w:hAnsi="Arial" w:cs="Arial"/>
          <w:sz w:val="24"/>
          <w:szCs w:val="24"/>
        </w:rPr>
        <w:t xml:space="preserve"> method for </w:t>
      </w:r>
      <w:r w:rsidRPr="00116C4A">
        <w:rPr>
          <w:rFonts w:ascii="Arial" w:eastAsia="Calibri" w:hAnsi="Arial" w:cs="Arial"/>
          <w:sz w:val="24"/>
          <w:szCs w:val="24"/>
        </w:rPr>
        <w:t>early OA biomarker</w:t>
      </w:r>
      <w:r w:rsidR="004436B4">
        <w:rPr>
          <w:rFonts w:ascii="Arial" w:eastAsia="Calibri" w:hAnsi="Arial" w:cs="Arial"/>
          <w:sz w:val="24"/>
          <w:szCs w:val="24"/>
        </w:rPr>
        <w:t xml:space="preserve"> discovery</w:t>
      </w:r>
      <w:r w:rsidRPr="00116C4A">
        <w:rPr>
          <w:rFonts w:ascii="Arial" w:eastAsia="Calibri" w:hAnsi="Arial" w:cs="Arial"/>
          <w:sz w:val="24"/>
          <w:szCs w:val="24"/>
        </w:rPr>
        <w:t xml:space="preserve"> enabling disease stratification. However, the reproducibility of semi-tryptic peptide quantification is yet to be investigated following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processing.</w:t>
      </w:r>
    </w:p>
    <w:p w14:paraId="4EBF18E1"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We hypothesise that refining SF collection and processing protocols for NMR </w:t>
      </w:r>
      <w:proofErr w:type="spellStart"/>
      <w:r w:rsidRPr="00116C4A">
        <w:rPr>
          <w:rFonts w:ascii="Arial" w:eastAsia="Calibri" w:hAnsi="Arial" w:cs="Arial"/>
          <w:sz w:val="24"/>
          <w:szCs w:val="24"/>
        </w:rPr>
        <w:t>metabolomic</w:t>
      </w:r>
      <w:proofErr w:type="spellEnd"/>
      <w:r w:rsidRPr="00116C4A">
        <w:rPr>
          <w:rFonts w:ascii="Arial" w:eastAsia="Calibri" w:hAnsi="Arial" w:cs="Arial"/>
          <w:sz w:val="24"/>
          <w:szCs w:val="24"/>
        </w:rPr>
        <w:t xml:space="preserve"> and LC-MS/MS proteomic analysis will maximise the number of molecule identifications as well as optimise technical reproducibility.</w:t>
      </w:r>
    </w:p>
    <w:p w14:paraId="142A53D8" w14:textId="2B1D2461" w:rsidR="00652D52" w:rsidRPr="00116C4A" w:rsidRDefault="00652D52" w:rsidP="00116C4A">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7" w:name="_Toc10551729"/>
      <w:r w:rsidRPr="00116C4A">
        <w:rPr>
          <w:rFonts w:ascii="Arial" w:eastAsia="Bitstream Vera Sans;MS Mincho" w:hAnsi="Arial" w:cs="Arial"/>
          <w:b/>
          <w:bCs/>
          <w:color w:val="000000"/>
          <w:sz w:val="24"/>
          <w:szCs w:val="24"/>
          <w:lang w:eastAsia="zh-CN" w:bidi="hi-IN"/>
        </w:rPr>
        <w:t>Methods</w:t>
      </w:r>
      <w:bookmarkEnd w:id="7"/>
    </w:p>
    <w:p w14:paraId="36DF52B9" w14:textId="04B42AFA"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Cs/>
          <w:sz w:val="24"/>
          <w:szCs w:val="24"/>
        </w:rPr>
      </w:pPr>
      <w:r w:rsidRPr="00116C4A">
        <w:rPr>
          <w:rFonts w:ascii="Arial" w:eastAsia="Calibri" w:hAnsi="Arial" w:cs="Arial"/>
          <w:b/>
          <w:iCs/>
          <w:sz w:val="24"/>
          <w:szCs w:val="24"/>
        </w:rPr>
        <w:t>Study Overview</w:t>
      </w:r>
    </w:p>
    <w:p w14:paraId="1D4F3746" w14:textId="43E84CA3" w:rsidR="00652D52" w:rsidRPr="00116C4A" w:rsidRDefault="006E7225" w:rsidP="00DC5747">
      <w:pPr>
        <w:widowControl w:val="0"/>
        <w:suppressAutoHyphens/>
        <w:spacing w:after="0" w:line="480" w:lineRule="auto"/>
        <w:rPr>
          <w:rFonts w:ascii="Arial" w:eastAsia="Calibri" w:hAnsi="Arial" w:cs="Arial"/>
          <w:sz w:val="24"/>
          <w:szCs w:val="24"/>
        </w:rPr>
      </w:pPr>
      <w:r>
        <w:rPr>
          <w:rFonts w:ascii="Arial" w:eastAsia="Calibri" w:hAnsi="Arial" w:cs="Arial"/>
          <w:sz w:val="24"/>
          <w:szCs w:val="24"/>
        </w:rPr>
        <w:t>A</w:t>
      </w:r>
      <w:r w:rsidR="00652D52" w:rsidRPr="00116C4A">
        <w:rPr>
          <w:rFonts w:ascii="Arial" w:eastAsia="Calibri" w:hAnsi="Arial" w:cs="Arial"/>
          <w:sz w:val="24"/>
          <w:szCs w:val="24"/>
        </w:rPr>
        <w:t xml:space="preserve"> summar</w:t>
      </w:r>
      <w:r>
        <w:rPr>
          <w:rFonts w:ascii="Arial" w:eastAsia="Calibri" w:hAnsi="Arial" w:cs="Arial"/>
          <w:sz w:val="24"/>
          <w:szCs w:val="24"/>
        </w:rPr>
        <w:t>y of</w:t>
      </w:r>
      <w:r w:rsidR="00652D52" w:rsidRPr="00116C4A">
        <w:rPr>
          <w:rFonts w:ascii="Arial" w:eastAsia="Calibri" w:hAnsi="Arial" w:cs="Arial"/>
          <w:sz w:val="24"/>
          <w:szCs w:val="24"/>
        </w:rPr>
        <w:t xml:space="preserve"> the main NMR and LC-MS/MS protocols investigated during this study for metabolite, protein and peptide identification and quantification</w:t>
      </w:r>
      <w:r>
        <w:rPr>
          <w:rFonts w:ascii="Arial" w:eastAsia="Calibri" w:hAnsi="Arial" w:cs="Arial"/>
          <w:sz w:val="24"/>
          <w:szCs w:val="24"/>
        </w:rPr>
        <w:t xml:space="preserve"> can be found in Table S1</w:t>
      </w:r>
      <w:r w:rsidR="00652D52" w:rsidRPr="00116C4A">
        <w:rPr>
          <w:rFonts w:ascii="Arial" w:eastAsia="Calibri" w:hAnsi="Arial" w:cs="Arial"/>
          <w:sz w:val="24"/>
          <w:szCs w:val="24"/>
        </w:rPr>
        <w:t>.</w:t>
      </w:r>
    </w:p>
    <w:p w14:paraId="1F002A98" w14:textId="77777777"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Cs/>
          <w:sz w:val="24"/>
          <w:szCs w:val="24"/>
        </w:rPr>
      </w:pPr>
      <w:r w:rsidRPr="00116C4A">
        <w:rPr>
          <w:rFonts w:ascii="Arial" w:eastAsia="Calibri" w:hAnsi="Arial" w:cs="Arial"/>
          <w:b/>
          <w:iCs/>
          <w:sz w:val="24"/>
          <w:szCs w:val="24"/>
        </w:rPr>
        <w:t>Equine Synovial Fluid Collection</w:t>
      </w:r>
    </w:p>
    <w:p w14:paraId="646EC742" w14:textId="40E76EBC"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All equine SF was collected post mortem from an abattoir within 8 hrs of euthanasia</w:t>
      </w:r>
      <w:r w:rsidR="00DA2AA9" w:rsidRPr="00DA2AA9">
        <w:rPr>
          <w:rFonts w:ascii="Arial" w:eastAsia="Calibri" w:hAnsi="Arial" w:cs="Arial"/>
          <w:sz w:val="24"/>
          <w:szCs w:val="24"/>
        </w:rPr>
        <w:t xml:space="preserve"> </w:t>
      </w:r>
      <w:r w:rsidR="00DA2AA9">
        <w:rPr>
          <w:rFonts w:ascii="Arial" w:eastAsia="Calibri" w:hAnsi="Arial" w:cs="Arial"/>
          <w:sz w:val="24"/>
          <w:szCs w:val="24"/>
        </w:rPr>
        <w:t xml:space="preserve">in order to ensure a consistent metabolome for all post mortem samples </w:t>
      </w:r>
      <w:r w:rsidR="00DA2AA9">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{"citationItems":[{"id":"ITEM-1","itemData":{"DOI":"10.1007/s11306-014-0691-5","ISSN":"15733890","abstract":"Death results in changes in some metabolites in body tissues due to lack of circulating oxygen, altered enzymatic reactions, cellular degradation, and cessation of anabolic production of metabolites and macromolecules. Metabolic changes may provide chemical markers to better determine the time since death (post-mortem interval), something that is challenging to establish with current observation-based methodologies. The aim of this research was to carry out a metabolic analysis of blood plasma post-mortem, in order to gain a more complete understanding of the biochemical changes that occur following death. Gas chromatography was used to conduct a survey of post-mortem rat blood. Sixty six metabolites were detected post-mortem. Twenty six of these [18 amino acids, glutathione (GSH), 4-Amino-n-butyric acid (GABA), glyoxylate, oxalate, hydroxyproline, creatinine, α-ketoglutarate and succinate] had increased concentrations post-mortem. The remaining 40 metabolites had concentrations that were not dependant on time. This study demonstrates the range of metabolic changes that occur post-mortem as well as identifying potential markers for estimating post-mortem interval.","author":[{"dropping-particle":"","family":"Donaldson","given":"A. E.","non-dropping-particle":"","parse-names":false,"suffix":""},{"dropping-particle":"","family":"Lamont","given":"I. L.","non-dropping-particle":"","parse-names":false,"suffix":""}],"container-title":"Metabolomics","id":"ITEM-1","issue":"1","issued":{"date-parts":[["2014","7","19"]]},"page":"237-245","publisher":"Springer New York LLC","title":"Metabolomics of post-mortem blood: identifying potential markers of post-mortem interval","type":"article-journal","volume":"11"},"uris":["http://www.mendeley.com/documents/?uuid=1462ba40-3f01-361a-a386-64c12821fab3"]}],"mendeley":{"formattedCitation":"&lt;sup&gt;42&lt;/sup&gt;","plainTextFormattedCitation":"42","previouslyFormattedCitation":"&lt;sup&gt;41&lt;/sup&gt;"},"properties":{"noteIndex":0},"schema":"https://github.com/citation-style-language/schema/raw/master/csl-citation.json"}</w:instrText>
      </w:r>
      <w:r w:rsidR="00DA2AA9">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42</w:t>
      </w:r>
      <w:r w:rsidR="00DA2AA9">
        <w:rPr>
          <w:rFonts w:ascii="Arial" w:eastAsia="Calibri" w:hAnsi="Arial" w:cs="Arial"/>
          <w:sz w:val="24"/>
          <w:szCs w:val="24"/>
        </w:rPr>
        <w:fldChar w:fldCharType="end"/>
      </w:r>
      <w:r w:rsidRPr="00116C4A">
        <w:rPr>
          <w:rFonts w:ascii="Arial" w:eastAsia="Calibri" w:hAnsi="Arial" w:cs="Arial"/>
          <w:sz w:val="24"/>
          <w:szCs w:val="24"/>
        </w:rPr>
        <w:t>.</w:t>
      </w:r>
      <w:r w:rsidR="00DA2AA9">
        <w:rPr>
          <w:rFonts w:ascii="Arial" w:eastAsia="Calibri" w:hAnsi="Arial" w:cs="Arial"/>
          <w:sz w:val="24"/>
          <w:szCs w:val="24"/>
        </w:rPr>
        <w:t xml:space="preserve"> </w:t>
      </w:r>
      <w:r w:rsidRPr="00116C4A">
        <w:rPr>
          <w:rFonts w:ascii="Arial" w:eastAsia="Calibri" w:hAnsi="Arial" w:cs="Arial"/>
          <w:sz w:val="24"/>
          <w:szCs w:val="24"/>
        </w:rPr>
        <w:t xml:space="preserve">Metacarpophalangeal (MCP) joints were opened aseptically and SF collected on ice using a 10 ml syringe. For NMR metabolomics analysis, SF was pooled from four MCP joints from four separate donors and vortexed for 1 min. SF was also collected from an additional three equine MCP joints from three donors and processed separately. For proteomic analysis SF was pooled from five MCP joints from five separate donors, pooled and vortexed for 1 min. All joints used for this study were </w:t>
      </w:r>
      <w:r w:rsidRPr="00116C4A">
        <w:rPr>
          <w:rFonts w:ascii="Arial" w:eastAsia="Calibri" w:hAnsi="Arial" w:cs="Arial"/>
          <w:sz w:val="24"/>
          <w:szCs w:val="24"/>
        </w:rPr>
        <w:lastRenderedPageBreak/>
        <w:t xml:space="preserve">considered to be macroscopically normal and were assigned a score of 0 according to the equine OARSI histopathology initiative scoring system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{"citationItems":[{"id":"ITEM-1","itemData":{"DOI":"10.1016/J.JOCA.2010.05.031","ISSN":"1063-4584","abstract":"OBJECTIVE\nEquine models of osteoarthritis (OA) have been used to investigate pathogenic pathways of OA and evaluate therapeutic candidates for naturally occurring equine OA which is a significant clinical disease in the horse. This review focuses on the macroscopic and microscopic criteria for assessing naturally occurring OA in the equine metacarpophalangeal joint as well as the osteochondral fragment-exercise model of OA in the equine middle carpal joint. \n\nMETHODS\nA review was conducted of all published OA studies using horses and the most common macroscopic and microscopic scoring systems were summarized. Recommendations regarding methods of OA assessment in the horse have been made based on published studies. \n\nRESULTS\nA modified Mankin scoring system is recommended for semi-quantitative histological assessment of OA in horses due to its already widespread use and similarity to other scoring systems. Recommendations are also provided for histological scoring of synovitis and macroscopic lesions of OA as well as changes in the calcified cartilage and subchondral bone of naturally occurring OA. \n\nCONCLUSIONS\nThe proposed system for assessment of equine articular tissues provides a useful method to quantify OA change. It is believed that addition of quantitative tracing onto plastic and macroscopic measurement as recently described would be an improvement for overall assessment of articular cartilage change.","author":[{"dropping-particle":"","family":"McIlwraith","given":"C.W.","non-dropping-particle":"","parse-names":false,"suffix":""},{"dropping-particle":"","family":"Frisbie","given":"D.D.","non-dropping-particle":"","parse-names":false,"suffix":""},{"dropping-particle":"","family":"Kawcak","given":"C.E.","non-dropping-particle":"","parse-names":false,"suffix":""},{"dropping-particle":"","family":"Fuller","given":"C.J.","non-dropping-particle":"","parse-names":false,"suffix":""},{"dropping-particle":"","family":"Hurtig","given":"M.","non-dropping-particle":"","parse-names":false,"suffix":""},{"dropping-particle":"","family":"Cruz","given":"A.","non-dropping-particle":"","parse-names":false,"suffix":""}],"container-title":"Osteoarthritis and Cartilage","id":"ITEM-1","issued":{"date-parts":[["2010","10","1"]]},"page":"S93-S105","publisher":"W.B. Saunders","title":"The OARSI histopathology initiative – recommendations for histological assessments of osteoarthritis in the horse","type":"article-journal","volume":"18"},"uris":["http://www.mendeley.com/documents/?uuid=aefd53c2-6c0f-3ce0-a674-1fc6273da188"]}],"mendeley":{"formattedCitation":"&lt;sup&gt;43&lt;/sup&gt;","plainTextFormattedCitation":"43","previouslyFormattedCitation":"&lt;sup&gt;42&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43</w:t>
      </w:r>
      <w:r w:rsidRPr="00116C4A">
        <w:rPr>
          <w:rFonts w:ascii="Arial" w:eastAsia="Calibri" w:hAnsi="Arial" w:cs="Arial"/>
          <w:sz w:val="24"/>
          <w:szCs w:val="24"/>
        </w:rPr>
        <w:fldChar w:fldCharType="end"/>
      </w:r>
      <w:r w:rsidRPr="00116C4A">
        <w:rPr>
          <w:rFonts w:ascii="Arial" w:eastAsia="Calibri" w:hAnsi="Arial" w:cs="Arial"/>
          <w:sz w:val="24"/>
          <w:szCs w:val="24"/>
        </w:rPr>
        <w:t>.</w:t>
      </w:r>
    </w:p>
    <w:p w14:paraId="08DF181B" w14:textId="77777777"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Cs/>
          <w:sz w:val="24"/>
          <w:szCs w:val="24"/>
        </w:rPr>
      </w:pPr>
      <w:r w:rsidRPr="00116C4A">
        <w:rPr>
          <w:rFonts w:ascii="Arial" w:eastAsia="Calibri" w:hAnsi="Arial" w:cs="Arial"/>
          <w:b/>
          <w:iCs/>
          <w:sz w:val="24"/>
          <w:szCs w:val="24"/>
        </w:rPr>
        <w:t>Human Synovial Fluid Collection</w:t>
      </w:r>
    </w:p>
    <w:p w14:paraId="000CD122" w14:textId="1D856A5A" w:rsidR="0069643B" w:rsidRPr="00116C4A" w:rsidRDefault="0069643B" w:rsidP="0069643B">
      <w:pPr>
        <w:autoSpaceDE w:val="0"/>
        <w:autoSpaceDN w:val="0"/>
        <w:adjustRightInd w:val="0"/>
        <w:spacing w:line="480" w:lineRule="auto"/>
        <w:rPr>
          <w:rFonts w:ascii="Arial" w:eastAsia="Calibri" w:hAnsi="Arial" w:cs="Arial"/>
          <w:sz w:val="24"/>
          <w:szCs w:val="24"/>
        </w:rPr>
      </w:pPr>
      <w:bookmarkStart w:id="8" w:name="_Hlk521778406"/>
      <w:r>
        <w:rPr>
          <w:rFonts w:ascii="Arial" w:eastAsia="Calibri" w:hAnsi="Arial" w:cs="Arial"/>
          <w:sz w:val="24"/>
          <w:szCs w:val="24"/>
        </w:rPr>
        <w:t xml:space="preserve">Following ethical approval (REC 16/SS/0172), </w:t>
      </w:r>
      <w:r w:rsidRPr="00116C4A">
        <w:rPr>
          <w:rFonts w:ascii="Arial" w:eastAsia="Calibri" w:hAnsi="Arial" w:cs="Arial"/>
          <w:sz w:val="24"/>
          <w:szCs w:val="24"/>
        </w:rPr>
        <w:t>SF was collected</w:t>
      </w:r>
      <w:r>
        <w:rPr>
          <w:rFonts w:ascii="Arial" w:eastAsia="Calibri" w:hAnsi="Arial" w:cs="Arial"/>
          <w:sz w:val="24"/>
          <w:szCs w:val="24"/>
        </w:rPr>
        <w:t xml:space="preserve"> </w:t>
      </w:r>
      <w:proofErr w:type="spellStart"/>
      <w:r>
        <w:rPr>
          <w:rFonts w:ascii="Arial" w:eastAsia="Calibri" w:hAnsi="Arial" w:cs="Arial"/>
          <w:sz w:val="24"/>
          <w:szCs w:val="24"/>
        </w:rPr>
        <w:t>peri</w:t>
      </w:r>
      <w:proofErr w:type="spellEnd"/>
      <w:r>
        <w:rPr>
          <w:rFonts w:ascii="Arial" w:eastAsia="Calibri" w:hAnsi="Arial" w:cs="Arial"/>
          <w:sz w:val="24"/>
          <w:szCs w:val="24"/>
        </w:rPr>
        <w:t>-operatively f</w:t>
      </w:r>
      <w:r w:rsidRPr="00116C4A">
        <w:rPr>
          <w:rFonts w:ascii="Arial" w:eastAsia="Calibri" w:hAnsi="Arial" w:cs="Arial"/>
          <w:sz w:val="24"/>
          <w:szCs w:val="24"/>
        </w:rPr>
        <w:t xml:space="preserve">rom the </w:t>
      </w:r>
      <w:proofErr w:type="spellStart"/>
      <w:r w:rsidRPr="00116C4A">
        <w:rPr>
          <w:rFonts w:ascii="Arial" w:eastAsia="Calibri" w:hAnsi="Arial" w:cs="Arial"/>
          <w:sz w:val="24"/>
          <w:szCs w:val="24"/>
        </w:rPr>
        <w:t>acetabulofemoral</w:t>
      </w:r>
      <w:proofErr w:type="spellEnd"/>
      <w:r w:rsidRPr="00116C4A">
        <w:rPr>
          <w:rFonts w:ascii="Arial" w:eastAsia="Calibri" w:hAnsi="Arial" w:cs="Arial"/>
          <w:sz w:val="24"/>
          <w:szCs w:val="24"/>
        </w:rPr>
        <w:t xml:space="preserve"> joint of nine patients diagnosed with </w:t>
      </w:r>
      <w:r>
        <w:rPr>
          <w:rFonts w:ascii="Arial" w:eastAsia="Calibri" w:hAnsi="Arial" w:cs="Arial"/>
          <w:sz w:val="24"/>
          <w:szCs w:val="24"/>
        </w:rPr>
        <w:t xml:space="preserve">end-stage hip </w:t>
      </w:r>
      <w:r w:rsidRPr="00116C4A">
        <w:rPr>
          <w:rFonts w:ascii="Arial" w:eastAsia="Calibri" w:hAnsi="Arial" w:cs="Arial"/>
          <w:sz w:val="24"/>
          <w:szCs w:val="24"/>
        </w:rPr>
        <w:t xml:space="preserve">OA undergoing </w:t>
      </w:r>
      <w:r>
        <w:rPr>
          <w:rFonts w:ascii="Arial" w:eastAsia="Calibri" w:hAnsi="Arial" w:cs="Arial"/>
          <w:sz w:val="24"/>
          <w:szCs w:val="24"/>
        </w:rPr>
        <w:t xml:space="preserve">elective </w:t>
      </w:r>
      <w:r w:rsidRPr="00116C4A">
        <w:rPr>
          <w:rFonts w:ascii="Arial" w:eastAsia="Calibri" w:hAnsi="Arial" w:cs="Arial"/>
          <w:sz w:val="24"/>
          <w:szCs w:val="24"/>
        </w:rPr>
        <w:t xml:space="preserve">total </w:t>
      </w:r>
      <w:r>
        <w:rPr>
          <w:rFonts w:ascii="Arial" w:eastAsia="Calibri" w:hAnsi="Arial" w:cs="Arial"/>
          <w:sz w:val="24"/>
          <w:szCs w:val="24"/>
        </w:rPr>
        <w:t>joint</w:t>
      </w:r>
      <w:r w:rsidRPr="00116C4A">
        <w:rPr>
          <w:rFonts w:ascii="Arial" w:eastAsia="Calibri" w:hAnsi="Arial" w:cs="Arial"/>
          <w:sz w:val="24"/>
          <w:szCs w:val="24"/>
        </w:rPr>
        <w:t xml:space="preserve"> replacement surgery at The </w:t>
      </w:r>
      <w:r>
        <w:rPr>
          <w:rFonts w:ascii="Arial" w:eastAsia="Calibri" w:hAnsi="Arial" w:cs="Arial"/>
          <w:sz w:val="24"/>
          <w:szCs w:val="24"/>
        </w:rPr>
        <w:t>Royal Orthopaedic Hospital (</w:t>
      </w:r>
      <w:r w:rsidRPr="00116C4A">
        <w:rPr>
          <w:rFonts w:ascii="Arial" w:eastAsia="Calibri" w:hAnsi="Arial" w:cs="Arial"/>
          <w:sz w:val="24"/>
          <w:szCs w:val="24"/>
        </w:rPr>
        <w:t>Birmingham</w:t>
      </w:r>
      <w:r>
        <w:rPr>
          <w:rFonts w:ascii="Arial" w:eastAsia="Calibri" w:hAnsi="Arial" w:cs="Arial"/>
          <w:sz w:val="24"/>
          <w:szCs w:val="24"/>
        </w:rPr>
        <w:t xml:space="preserve">). SF was </w:t>
      </w:r>
      <w:r w:rsidR="00527E2C">
        <w:rPr>
          <w:rFonts w:ascii="Arial" w:eastAsia="Calibri" w:hAnsi="Arial" w:cs="Arial"/>
          <w:sz w:val="24"/>
          <w:szCs w:val="24"/>
        </w:rPr>
        <w:t xml:space="preserve">treated with hyaluronidase and </w:t>
      </w:r>
      <w:r w:rsidRPr="00116C4A">
        <w:rPr>
          <w:rFonts w:ascii="Arial" w:eastAsia="Calibri" w:hAnsi="Arial" w:cs="Arial"/>
          <w:sz w:val="24"/>
          <w:szCs w:val="24"/>
        </w:rPr>
        <w:t>stored at -80°C.</w:t>
      </w:r>
      <w:r>
        <w:rPr>
          <w:rFonts w:ascii="Arial" w:eastAsia="Calibri" w:hAnsi="Arial" w:cs="Arial"/>
          <w:sz w:val="24"/>
          <w:szCs w:val="24"/>
        </w:rPr>
        <w:t xml:space="preserve"> Consent was obtained from all patients.</w:t>
      </w:r>
      <w:r w:rsidR="00DA2AA9" w:rsidRPr="00DA2AA9">
        <w:t xml:space="preserve"> </w:t>
      </w:r>
      <w:r w:rsidR="00DA2AA9" w:rsidRPr="00DA2AA9">
        <w:rPr>
          <w:rFonts w:ascii="Arial" w:eastAsia="Calibri" w:hAnsi="Arial" w:cs="Arial"/>
          <w:sz w:val="24"/>
          <w:szCs w:val="24"/>
        </w:rPr>
        <w:t>No comparisons were made between living and post mortem samples to ensure all variance was due to</w:t>
      </w:r>
      <w:r w:rsidR="00DA2AA9">
        <w:rPr>
          <w:rFonts w:ascii="Arial" w:eastAsia="Calibri" w:hAnsi="Arial" w:cs="Arial"/>
          <w:sz w:val="24"/>
          <w:szCs w:val="24"/>
        </w:rPr>
        <w:t xml:space="preserve"> sample processing and not post </w:t>
      </w:r>
      <w:r w:rsidR="00DA2AA9" w:rsidRPr="00DA2AA9">
        <w:rPr>
          <w:rFonts w:ascii="Arial" w:eastAsia="Calibri" w:hAnsi="Arial" w:cs="Arial"/>
          <w:sz w:val="24"/>
          <w:szCs w:val="24"/>
        </w:rPr>
        <w:t>mortem degrada</w:t>
      </w:r>
      <w:r w:rsidR="00DA2AA9">
        <w:rPr>
          <w:rFonts w:ascii="Arial" w:eastAsia="Calibri" w:hAnsi="Arial" w:cs="Arial"/>
          <w:sz w:val="24"/>
          <w:szCs w:val="24"/>
        </w:rPr>
        <w:t xml:space="preserve">tion </w:t>
      </w:r>
      <w:r w:rsidR="00DA2AA9">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{"citationItems":[{"id":"ITEM-1","itemData":{"DOI":"10.1007/s11306-014-0691-5","ISSN":"15733890","abstract":"Death results in changes in some metabolites in body tissues due to lack of circulating oxygen, altered enzymatic reactions, cellular degradation, and cessation of anabolic production of metabolites and macromolecules. Metabolic changes may provide chemical markers to better determine the time since death (post-mortem interval), something that is challenging to establish with current observation-based methodologies. The aim of this research was to carry out a metabolic analysis of blood plasma post-mortem, in order to gain a more complete understanding of the biochemical changes that occur following death. Gas chromatography was used to conduct a survey of post-mortem rat blood. Sixty six metabolites were detected post-mortem. Twenty six of these [18 amino acids, glutathione (GSH), 4-Amino-n-butyric acid (GABA), glyoxylate, oxalate, hydroxyproline, creatinine, α-ketoglutarate and succinate] had increased concentrations post-mortem. The remaining 40 metabolites had concentrations that were not dependant on time. This study demonstrates the range of metabolic changes that occur post-mortem as well as identifying potential markers for estimating post-mortem interval.","author":[{"dropping-particle":"","family":"Donaldson","given":"A. E.","non-dropping-particle":"","parse-names":false,"suffix":""},{"dropping-particle":"","family":"Lamont","given":"I. L.","non-dropping-particle":"","parse-names":false,"suffix":""}],"container-title":"Metabolomics","id":"ITEM-1","issue":"1","issued":{"date-parts":[["2014","7","19"]]},"page":"237-245","publisher":"Springer New York LLC","title":"Metabolomics of post-mortem blood: identifying potential markers of post-mortem interval","type":"article-journal","volume":"11"},"uris":["http://www.mendeley.com/documents/?uuid=1462ba40-3f01-361a-a386-64c12821fab3"]}],"mendeley":{"formattedCitation":"&lt;sup&gt;42&lt;/sup&gt;","plainTextFormattedCitation":"42","previouslyFormattedCitation":"&lt;sup&gt;41&lt;/sup&gt;"},"properties":{"noteIndex":0},"schema":"https://github.com/citation-style-language/schema/raw/master/csl-citation.json"}</w:instrText>
      </w:r>
      <w:r w:rsidR="00DA2AA9">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42</w:t>
      </w:r>
      <w:r w:rsidR="00DA2AA9">
        <w:rPr>
          <w:rFonts w:ascii="Arial" w:eastAsia="Calibri" w:hAnsi="Arial" w:cs="Arial"/>
          <w:sz w:val="24"/>
          <w:szCs w:val="24"/>
        </w:rPr>
        <w:fldChar w:fldCharType="end"/>
      </w:r>
      <w:r w:rsidR="00DA2AA9">
        <w:rPr>
          <w:rFonts w:ascii="Arial" w:eastAsia="Calibri" w:hAnsi="Arial" w:cs="Arial"/>
          <w:sz w:val="24"/>
          <w:szCs w:val="24"/>
        </w:rPr>
        <w:t>.</w:t>
      </w:r>
    </w:p>
    <w:p w14:paraId="7F8027AA" w14:textId="3A988FC3"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Cs/>
          <w:sz w:val="24"/>
          <w:szCs w:val="24"/>
        </w:rPr>
      </w:pPr>
      <w:r w:rsidRPr="00116C4A">
        <w:rPr>
          <w:rFonts w:ascii="Arial" w:eastAsia="Calibri" w:hAnsi="Arial" w:cs="Arial"/>
          <w:b/>
          <w:iCs/>
          <w:sz w:val="24"/>
          <w:szCs w:val="24"/>
        </w:rPr>
        <w:t>NMR Metabolomics</w:t>
      </w:r>
    </w:p>
    <w:bookmarkEnd w:id="8"/>
    <w:p w14:paraId="727E991E"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Sample Preparation - Spun vs Unspun</w:t>
      </w:r>
    </w:p>
    <w:p w14:paraId="7DC5178B" w14:textId="531ACC12"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150 </w:t>
      </w:r>
      <w:proofErr w:type="spellStart"/>
      <w:r w:rsidRPr="00116C4A">
        <w:rPr>
          <w:rFonts w:ascii="Arial" w:eastAsia="Calibri" w:hAnsi="Arial" w:cs="Arial"/>
          <w:sz w:val="24"/>
          <w:szCs w:val="24"/>
        </w:rPr>
        <w:t>μl</w:t>
      </w:r>
      <w:proofErr w:type="spellEnd"/>
      <w:r w:rsidRPr="00116C4A">
        <w:rPr>
          <w:rFonts w:ascii="Arial" w:eastAsia="Calibri" w:hAnsi="Arial" w:cs="Arial"/>
          <w:sz w:val="24"/>
          <w:szCs w:val="24"/>
        </w:rPr>
        <w:t xml:space="preserve"> of </w:t>
      </w:r>
      <w:r w:rsidR="00553748">
        <w:rPr>
          <w:rFonts w:ascii="Arial" w:eastAsia="Calibri" w:hAnsi="Arial" w:cs="Arial"/>
          <w:sz w:val="24"/>
          <w:szCs w:val="24"/>
        </w:rPr>
        <w:t xml:space="preserve">pooled </w:t>
      </w:r>
      <w:r w:rsidRPr="00116C4A">
        <w:rPr>
          <w:rFonts w:ascii="Arial" w:eastAsia="Calibri" w:hAnsi="Arial" w:cs="Arial"/>
          <w:sz w:val="24"/>
          <w:szCs w:val="24"/>
        </w:rPr>
        <w:t xml:space="preserve">equine SF was </w:t>
      </w:r>
      <w:proofErr w:type="spellStart"/>
      <w:r w:rsidRPr="00116C4A">
        <w:rPr>
          <w:rFonts w:ascii="Arial" w:eastAsia="Calibri" w:hAnsi="Arial" w:cs="Arial"/>
          <w:sz w:val="24"/>
          <w:szCs w:val="24"/>
        </w:rPr>
        <w:t>aliquoted</w:t>
      </w:r>
      <w:proofErr w:type="spellEnd"/>
      <w:r w:rsidRPr="00116C4A">
        <w:rPr>
          <w:rFonts w:ascii="Arial" w:eastAsia="Calibri" w:hAnsi="Arial" w:cs="Arial"/>
          <w:sz w:val="24"/>
          <w:szCs w:val="24"/>
        </w:rPr>
        <w:t xml:space="preserve"> into nine </w:t>
      </w:r>
      <w:proofErr w:type="spellStart"/>
      <w:r w:rsidRPr="00116C4A">
        <w:rPr>
          <w:rFonts w:ascii="Arial" w:eastAsia="Calibri" w:hAnsi="Arial" w:cs="Arial"/>
          <w:sz w:val="24"/>
          <w:szCs w:val="24"/>
        </w:rPr>
        <w:t>eppendorfs</w:t>
      </w:r>
      <w:proofErr w:type="spellEnd"/>
      <w:r w:rsidRPr="00116C4A">
        <w:rPr>
          <w:rFonts w:ascii="Arial" w:eastAsia="Calibri" w:hAnsi="Arial" w:cs="Arial"/>
          <w:sz w:val="24"/>
          <w:szCs w:val="24"/>
        </w:rPr>
        <w:t xml:space="preserve"> which did not undergo centrifugation prior to freezing (unspun) and nine </w:t>
      </w:r>
      <w:proofErr w:type="spellStart"/>
      <w:r w:rsidRPr="00116C4A">
        <w:rPr>
          <w:rFonts w:ascii="Arial" w:eastAsia="Calibri" w:hAnsi="Arial" w:cs="Arial"/>
          <w:sz w:val="24"/>
          <w:szCs w:val="24"/>
        </w:rPr>
        <w:t>eppendorfs</w:t>
      </w:r>
      <w:proofErr w:type="spellEnd"/>
      <w:r w:rsidRPr="00116C4A">
        <w:rPr>
          <w:rFonts w:ascii="Arial" w:eastAsia="Calibri" w:hAnsi="Arial" w:cs="Arial"/>
          <w:sz w:val="24"/>
          <w:szCs w:val="24"/>
        </w:rPr>
        <w:t xml:space="preserve"> which were centrifuged (spun). In the spun group, SF was centrifuged at 2,540</w:t>
      </w:r>
      <w:r w:rsidRPr="00116C4A">
        <w:rPr>
          <w:rFonts w:ascii="Arial" w:eastAsia="Calibri" w:hAnsi="Arial" w:cs="Arial"/>
          <w:i/>
          <w:sz w:val="24"/>
          <w:szCs w:val="24"/>
        </w:rPr>
        <w:t>g</w:t>
      </w:r>
      <w:r w:rsidRPr="00116C4A">
        <w:rPr>
          <w:rFonts w:ascii="Arial" w:eastAsia="Calibri" w:hAnsi="Arial" w:cs="Arial"/>
          <w:sz w:val="24"/>
          <w:szCs w:val="24"/>
        </w:rPr>
        <w:t xml:space="preserve"> and 4°C for 5 min and the supernatant transferred to a new </w:t>
      </w:r>
      <w:proofErr w:type="spellStart"/>
      <w:r w:rsidRPr="00116C4A">
        <w:rPr>
          <w:rFonts w:ascii="Arial" w:eastAsia="Calibri" w:hAnsi="Arial" w:cs="Arial"/>
          <w:sz w:val="24"/>
          <w:szCs w:val="24"/>
        </w:rPr>
        <w:t>eppendorf</w:t>
      </w:r>
      <w:proofErr w:type="spellEnd"/>
      <w:r w:rsidRPr="00116C4A">
        <w:rPr>
          <w:rFonts w:ascii="Arial" w:eastAsia="Calibri" w:hAnsi="Arial" w:cs="Arial"/>
          <w:sz w:val="24"/>
          <w:szCs w:val="24"/>
        </w:rPr>
        <w:t xml:space="preserve">. All samples were subsequently snap frozen in liquid nitrogen and stored at -80°C. </w:t>
      </w:r>
    </w:p>
    <w:p w14:paraId="0D25353F"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Sample Preparation - Different Freezing Protocols</w:t>
      </w:r>
    </w:p>
    <w:p w14:paraId="67786E34" w14:textId="07B90F6A"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150 </w:t>
      </w:r>
      <w:proofErr w:type="spellStart"/>
      <w:r w:rsidRPr="00116C4A">
        <w:rPr>
          <w:rFonts w:ascii="Arial" w:eastAsia="Calibri" w:hAnsi="Arial" w:cs="Arial"/>
          <w:sz w:val="24"/>
          <w:szCs w:val="24"/>
        </w:rPr>
        <w:t>μl</w:t>
      </w:r>
      <w:proofErr w:type="spellEnd"/>
      <w:r w:rsidRPr="00116C4A">
        <w:rPr>
          <w:rFonts w:ascii="Arial" w:eastAsia="Calibri" w:hAnsi="Arial" w:cs="Arial"/>
          <w:sz w:val="24"/>
          <w:szCs w:val="24"/>
        </w:rPr>
        <w:t xml:space="preserve"> of </w:t>
      </w:r>
      <w:r w:rsidR="00553748">
        <w:rPr>
          <w:rFonts w:ascii="Arial" w:eastAsia="Calibri" w:hAnsi="Arial" w:cs="Arial"/>
          <w:sz w:val="24"/>
          <w:szCs w:val="24"/>
        </w:rPr>
        <w:t xml:space="preserve">pooled </w:t>
      </w:r>
      <w:r w:rsidRPr="00116C4A">
        <w:rPr>
          <w:rFonts w:ascii="Arial" w:eastAsia="Calibri" w:hAnsi="Arial" w:cs="Arial"/>
          <w:sz w:val="24"/>
          <w:szCs w:val="24"/>
        </w:rPr>
        <w:t xml:space="preserve">equine SF was </w:t>
      </w:r>
      <w:proofErr w:type="spellStart"/>
      <w:r w:rsidRPr="00116C4A">
        <w:rPr>
          <w:rFonts w:ascii="Arial" w:eastAsia="Calibri" w:hAnsi="Arial" w:cs="Arial"/>
          <w:sz w:val="24"/>
          <w:szCs w:val="24"/>
        </w:rPr>
        <w:t>aliquoted</w:t>
      </w:r>
      <w:proofErr w:type="spellEnd"/>
      <w:r w:rsidRPr="00116C4A">
        <w:rPr>
          <w:rFonts w:ascii="Arial" w:eastAsia="Calibri" w:hAnsi="Arial" w:cs="Arial"/>
          <w:sz w:val="24"/>
          <w:szCs w:val="24"/>
        </w:rPr>
        <w:t xml:space="preserve"> into 32 </w:t>
      </w:r>
      <w:proofErr w:type="spellStart"/>
      <w:r w:rsidRPr="00116C4A">
        <w:rPr>
          <w:rFonts w:ascii="Arial" w:eastAsia="Calibri" w:hAnsi="Arial" w:cs="Arial"/>
          <w:sz w:val="24"/>
          <w:szCs w:val="24"/>
        </w:rPr>
        <w:t>eppendorfs</w:t>
      </w:r>
      <w:proofErr w:type="spellEnd"/>
      <w:r w:rsidRPr="00116C4A">
        <w:rPr>
          <w:rFonts w:ascii="Arial" w:eastAsia="Calibri" w:hAnsi="Arial" w:cs="Arial"/>
          <w:sz w:val="24"/>
          <w:szCs w:val="24"/>
        </w:rPr>
        <w:t xml:space="preserve"> which were subsequently centrifuged at 2,540</w:t>
      </w:r>
      <w:r w:rsidRPr="00116C4A">
        <w:rPr>
          <w:rFonts w:ascii="Arial" w:eastAsia="Calibri" w:hAnsi="Arial" w:cs="Arial"/>
          <w:i/>
          <w:sz w:val="24"/>
          <w:szCs w:val="24"/>
        </w:rPr>
        <w:t>g</w:t>
      </w:r>
      <w:r w:rsidRPr="00116C4A">
        <w:rPr>
          <w:rFonts w:ascii="Arial" w:eastAsia="Calibri" w:hAnsi="Arial" w:cs="Arial"/>
          <w:sz w:val="24"/>
          <w:szCs w:val="24"/>
        </w:rPr>
        <w:t xml:space="preserve"> and 4°C for 5 min and the supernatant removed. The samples were then divided into four separate groups (eight in each) and frozen </w:t>
      </w:r>
      <w:r w:rsidRPr="00116C4A">
        <w:rPr>
          <w:rFonts w:ascii="Arial" w:eastAsia="Calibri" w:hAnsi="Arial" w:cs="Arial"/>
          <w:sz w:val="24"/>
          <w:szCs w:val="24"/>
        </w:rPr>
        <w:lastRenderedPageBreak/>
        <w:t>either at -20°C, -80°C, placed onto dry ice or snap frozen in liquid nitrogen. Following freezing, all samples were stored at -80°C.</w:t>
      </w:r>
    </w:p>
    <w:p w14:paraId="1228A333"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Sample Preparation - Reproducibility of Separate Synovial Fluid Donors</w:t>
      </w:r>
    </w:p>
    <w:p w14:paraId="3C099AFE"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Following collection, equine SF was separated into three separate 150 </w:t>
      </w:r>
      <w:proofErr w:type="spellStart"/>
      <w:r w:rsidRPr="00116C4A">
        <w:rPr>
          <w:rFonts w:ascii="Arial" w:eastAsia="Calibri" w:hAnsi="Arial" w:cs="Arial"/>
          <w:sz w:val="24"/>
          <w:szCs w:val="24"/>
        </w:rPr>
        <w:t>μl</w:t>
      </w:r>
      <w:proofErr w:type="spellEnd"/>
      <w:r w:rsidRPr="00116C4A">
        <w:rPr>
          <w:rFonts w:ascii="Arial" w:eastAsia="Calibri" w:hAnsi="Arial" w:cs="Arial"/>
          <w:sz w:val="24"/>
          <w:szCs w:val="24"/>
        </w:rPr>
        <w:t xml:space="preserve"> aliquots for each of the three separate donors, nine aliquots in total. SF was then centrifuged at 2,540</w:t>
      </w:r>
      <w:r w:rsidRPr="00116C4A">
        <w:rPr>
          <w:rFonts w:ascii="Arial" w:eastAsia="Calibri" w:hAnsi="Arial" w:cs="Arial"/>
          <w:i/>
          <w:sz w:val="24"/>
          <w:szCs w:val="24"/>
        </w:rPr>
        <w:t>g</w:t>
      </w:r>
      <w:r w:rsidRPr="00116C4A">
        <w:rPr>
          <w:rFonts w:ascii="Arial" w:eastAsia="Calibri" w:hAnsi="Arial" w:cs="Arial"/>
          <w:sz w:val="24"/>
          <w:szCs w:val="24"/>
        </w:rPr>
        <w:t xml:space="preserve"> and 4°C for 5 min, supernatant removed, snap frozen in liquid nitrogen and stored at -80°C.</w:t>
      </w:r>
    </w:p>
    <w:p w14:paraId="578BD658"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Sample Preparation for NMR Spectrometry</w:t>
      </w:r>
    </w:p>
    <w:p w14:paraId="2AAAC02B" w14:textId="52649856" w:rsidR="00652D52" w:rsidRPr="00116C4A" w:rsidRDefault="00652D52" w:rsidP="00116C4A">
      <w:pPr>
        <w:spacing w:after="200" w:line="480" w:lineRule="auto"/>
        <w:rPr>
          <w:rFonts w:ascii="Arial" w:eastAsia="Calibri" w:hAnsi="Arial" w:cs="Arial"/>
          <w:i/>
          <w:iCs/>
          <w:color w:val="000000"/>
          <w:sz w:val="24"/>
          <w:szCs w:val="24"/>
          <w:lang w:eastAsia="ar-SA"/>
        </w:rPr>
      </w:pPr>
      <w:r w:rsidRPr="00116C4A">
        <w:rPr>
          <w:rFonts w:ascii="Arial" w:eastAsia="Calibri" w:hAnsi="Arial" w:cs="Arial"/>
          <w:color w:val="000000"/>
          <w:sz w:val="24"/>
          <w:szCs w:val="24"/>
          <w:lang w:eastAsia="ar-SA"/>
        </w:rPr>
        <w:t xml:space="preserve">150 µl of each thawed SF sample was diluted to a final volume containing 50% (v/v) SF, 40% (v/v) </w:t>
      </w:r>
      <w:proofErr w:type="spellStart"/>
      <w:r w:rsidRPr="00116C4A">
        <w:rPr>
          <w:rFonts w:ascii="Arial" w:eastAsia="Calibri" w:hAnsi="Arial" w:cs="Arial"/>
          <w:color w:val="000000"/>
          <w:sz w:val="24"/>
          <w:szCs w:val="24"/>
          <w:lang w:eastAsia="ar-SA"/>
        </w:rPr>
        <w:t>dd</w:t>
      </w:r>
      <w:proofErr w:type="spellEnd"/>
      <w:r w:rsidRPr="00116C4A">
        <w:rPr>
          <w:rFonts w:ascii="Arial" w:eastAsia="Calibri" w:hAnsi="Arial" w:cs="Arial"/>
          <w:color w:val="000000"/>
          <w:sz w:val="24"/>
          <w:szCs w:val="24"/>
          <w:lang w:eastAsia="ar-SA"/>
        </w:rPr>
        <w:t xml:space="preserve"> </w:t>
      </w:r>
      <w:r w:rsidRPr="00116C4A">
        <w:rPr>
          <w:rFonts w:ascii="Arial" w:eastAsia="Calibri" w:hAnsi="Arial" w:cs="Arial"/>
          <w:color w:val="000000"/>
          <w:sz w:val="24"/>
          <w:szCs w:val="24"/>
          <w:vertAlign w:val="superscript"/>
          <w:lang w:eastAsia="ar-SA"/>
        </w:rPr>
        <w:t>1</w:t>
      </w:r>
      <w:r w:rsidRPr="00116C4A">
        <w:rPr>
          <w:rFonts w:ascii="Arial" w:eastAsia="Calibri" w:hAnsi="Arial" w:cs="Arial"/>
          <w:color w:val="000000"/>
          <w:sz w:val="24"/>
          <w:szCs w:val="24"/>
          <w:lang w:eastAsia="ar-SA"/>
        </w:rPr>
        <w:t>H</w:t>
      </w:r>
      <w:r w:rsidRPr="00116C4A">
        <w:rPr>
          <w:rFonts w:ascii="Arial" w:eastAsia="Calibri" w:hAnsi="Arial" w:cs="Arial"/>
          <w:color w:val="000000"/>
          <w:sz w:val="24"/>
          <w:szCs w:val="24"/>
          <w:vertAlign w:val="subscript"/>
          <w:lang w:eastAsia="ar-SA"/>
        </w:rPr>
        <w:t>2</w:t>
      </w:r>
      <w:r w:rsidRPr="00116C4A">
        <w:rPr>
          <w:rFonts w:ascii="Arial" w:eastAsia="Calibri" w:hAnsi="Arial" w:cs="Arial"/>
          <w:color w:val="000000"/>
          <w:sz w:val="24"/>
          <w:szCs w:val="24"/>
          <w:lang w:eastAsia="ar-SA"/>
        </w:rPr>
        <w:t>O (18.2 MΩ)</w:t>
      </w:r>
      <w:r w:rsidR="0042516B">
        <w:rPr>
          <w:rFonts w:ascii="Arial" w:eastAsia="Calibri" w:hAnsi="Arial" w:cs="Arial"/>
          <w:color w:val="000000"/>
          <w:sz w:val="24"/>
          <w:szCs w:val="24"/>
          <w:lang w:eastAsia="ar-SA"/>
        </w:rPr>
        <w:t xml:space="preserve">, 100 </w:t>
      </w:r>
      <w:proofErr w:type="spellStart"/>
      <w:r w:rsidR="0042516B">
        <w:rPr>
          <w:rFonts w:ascii="Arial" w:eastAsia="Calibri" w:hAnsi="Arial" w:cs="Arial"/>
          <w:color w:val="000000"/>
          <w:sz w:val="24"/>
          <w:szCs w:val="24"/>
          <w:lang w:eastAsia="ar-SA"/>
        </w:rPr>
        <w:t>mM</w:t>
      </w:r>
      <w:proofErr w:type="spellEnd"/>
      <w:r w:rsidR="0042516B">
        <w:rPr>
          <w:rFonts w:ascii="Arial" w:eastAsia="Calibri" w:hAnsi="Arial" w:cs="Arial"/>
          <w:color w:val="000000"/>
          <w:sz w:val="24"/>
          <w:szCs w:val="24"/>
          <w:lang w:eastAsia="ar-SA"/>
        </w:rPr>
        <w:t xml:space="preserve"> PO</w:t>
      </w:r>
      <w:r w:rsidR="0042516B">
        <w:rPr>
          <w:rFonts w:ascii="Arial" w:eastAsia="Calibri" w:hAnsi="Arial" w:cs="Arial"/>
          <w:color w:val="000000"/>
          <w:sz w:val="24"/>
          <w:szCs w:val="24"/>
          <w:vertAlign w:val="subscript"/>
          <w:lang w:eastAsia="ar-SA"/>
        </w:rPr>
        <w:t>4</w:t>
      </w:r>
      <w:r w:rsidR="0042516B">
        <w:rPr>
          <w:rFonts w:ascii="Arial" w:eastAsia="Calibri" w:hAnsi="Arial" w:cs="Arial"/>
          <w:color w:val="000000"/>
          <w:sz w:val="24"/>
          <w:szCs w:val="24"/>
          <w:vertAlign w:val="superscript"/>
          <w:lang w:eastAsia="ar-SA"/>
        </w:rPr>
        <w:t>3-</w:t>
      </w:r>
      <w:r w:rsidR="0042516B">
        <w:rPr>
          <w:rFonts w:ascii="Arial" w:eastAsia="Calibri" w:hAnsi="Arial" w:cs="Arial"/>
          <w:color w:val="000000"/>
          <w:sz w:val="24"/>
          <w:szCs w:val="24"/>
          <w:lang w:eastAsia="ar-SA"/>
        </w:rPr>
        <w:t xml:space="preserve"> </w:t>
      </w:r>
      <w:r w:rsidRPr="00116C4A">
        <w:rPr>
          <w:rFonts w:ascii="Arial" w:eastAsia="Calibri" w:hAnsi="Arial" w:cs="Arial"/>
          <w:color w:val="000000"/>
          <w:sz w:val="24"/>
          <w:szCs w:val="24"/>
          <w:lang w:eastAsia="ar-SA"/>
        </w:rPr>
        <w:t>pH 7.4 buffer (Na</w:t>
      </w:r>
      <w:r w:rsidRPr="00116C4A">
        <w:rPr>
          <w:rFonts w:ascii="Arial" w:eastAsia="Calibri" w:hAnsi="Arial" w:cs="Arial"/>
          <w:color w:val="000000"/>
          <w:sz w:val="24"/>
          <w:szCs w:val="24"/>
          <w:vertAlign w:val="subscript"/>
          <w:lang w:eastAsia="ar-SA"/>
        </w:rPr>
        <w:t>2</w:t>
      </w:r>
      <w:r w:rsidRPr="00116C4A">
        <w:rPr>
          <w:rFonts w:ascii="Arial" w:eastAsia="Calibri" w:hAnsi="Arial" w:cs="Arial"/>
          <w:color w:val="000000"/>
          <w:sz w:val="24"/>
          <w:szCs w:val="24"/>
          <w:lang w:eastAsia="ar-SA"/>
        </w:rPr>
        <w:t>HPO</w:t>
      </w:r>
      <w:r w:rsidRPr="00116C4A">
        <w:rPr>
          <w:rFonts w:ascii="Arial" w:eastAsia="Calibri" w:hAnsi="Arial" w:cs="Arial"/>
          <w:color w:val="000000"/>
          <w:sz w:val="24"/>
          <w:szCs w:val="24"/>
          <w:vertAlign w:val="subscript"/>
          <w:lang w:eastAsia="ar-SA"/>
        </w:rPr>
        <w:t>4</w:t>
      </w:r>
      <w:r w:rsidRPr="00116C4A">
        <w:rPr>
          <w:rFonts w:ascii="Arial" w:eastAsia="Calibri" w:hAnsi="Arial" w:cs="Arial"/>
          <w:color w:val="000000"/>
          <w:sz w:val="24"/>
          <w:szCs w:val="24"/>
          <w:lang w:eastAsia="ar-SA"/>
        </w:rPr>
        <w:t>, VWR International Ltd., Radnor, Pennsylvania, USA and NaH</w:t>
      </w:r>
      <w:r w:rsidRPr="00116C4A">
        <w:rPr>
          <w:rFonts w:ascii="Arial" w:eastAsia="Calibri" w:hAnsi="Arial" w:cs="Arial"/>
          <w:color w:val="000000"/>
          <w:sz w:val="24"/>
          <w:szCs w:val="24"/>
          <w:vertAlign w:val="subscript"/>
          <w:lang w:eastAsia="ar-SA"/>
        </w:rPr>
        <w:t>2</w:t>
      </w:r>
      <w:r w:rsidRPr="00116C4A">
        <w:rPr>
          <w:rFonts w:ascii="Arial" w:eastAsia="Calibri" w:hAnsi="Arial" w:cs="Arial"/>
          <w:color w:val="000000"/>
          <w:sz w:val="24"/>
          <w:szCs w:val="24"/>
          <w:lang w:eastAsia="ar-SA"/>
        </w:rPr>
        <w:t>PO</w:t>
      </w:r>
      <w:r w:rsidRPr="00116C4A">
        <w:rPr>
          <w:rFonts w:ascii="Arial" w:eastAsia="Calibri" w:hAnsi="Arial" w:cs="Arial"/>
          <w:color w:val="000000"/>
          <w:sz w:val="24"/>
          <w:szCs w:val="24"/>
          <w:vertAlign w:val="subscript"/>
          <w:lang w:eastAsia="ar-SA"/>
        </w:rPr>
        <w:t>4</w:t>
      </w:r>
      <w:r w:rsidRPr="00116C4A">
        <w:rPr>
          <w:rFonts w:ascii="Arial" w:eastAsia="Calibri" w:hAnsi="Arial" w:cs="Arial"/>
          <w:color w:val="000000"/>
          <w:sz w:val="24"/>
          <w:szCs w:val="24"/>
          <w:lang w:eastAsia="ar-SA"/>
        </w:rPr>
        <w:t>, Sigma-Aldrich, Gillingham, UK) in deuterium oxide (</w:t>
      </w:r>
      <w:r w:rsidRPr="00116C4A">
        <w:rPr>
          <w:rFonts w:ascii="Arial" w:eastAsia="Calibri" w:hAnsi="Arial" w:cs="Arial"/>
          <w:color w:val="000000"/>
          <w:sz w:val="24"/>
          <w:szCs w:val="24"/>
          <w:vertAlign w:val="superscript"/>
          <w:lang w:eastAsia="ar-SA"/>
        </w:rPr>
        <w:t>2</w:t>
      </w:r>
      <w:r w:rsidRPr="00116C4A">
        <w:rPr>
          <w:rFonts w:ascii="Arial" w:eastAsia="Calibri" w:hAnsi="Arial" w:cs="Arial"/>
          <w:color w:val="000000"/>
          <w:sz w:val="24"/>
          <w:szCs w:val="24"/>
          <w:lang w:eastAsia="ar-SA"/>
        </w:rPr>
        <w:t>H</w:t>
      </w:r>
      <w:r w:rsidRPr="00116C4A">
        <w:rPr>
          <w:rFonts w:ascii="Arial" w:eastAsia="Calibri" w:hAnsi="Arial" w:cs="Arial"/>
          <w:color w:val="000000"/>
          <w:sz w:val="24"/>
          <w:szCs w:val="24"/>
          <w:vertAlign w:val="subscript"/>
          <w:lang w:eastAsia="ar-SA"/>
        </w:rPr>
        <w:t>2</w:t>
      </w:r>
      <w:r w:rsidRPr="00116C4A">
        <w:rPr>
          <w:rFonts w:ascii="Arial" w:eastAsia="Calibri" w:hAnsi="Arial" w:cs="Arial"/>
          <w:color w:val="000000"/>
          <w:sz w:val="24"/>
          <w:szCs w:val="24"/>
          <w:lang w:eastAsia="ar-SA"/>
        </w:rPr>
        <w:t>O,</w:t>
      </w:r>
      <w:r w:rsidRPr="00116C4A">
        <w:rPr>
          <w:rFonts w:ascii="Arial" w:eastAsia="Calibri" w:hAnsi="Arial" w:cs="Arial"/>
          <w:color w:val="000000"/>
          <w:sz w:val="24"/>
          <w:szCs w:val="24"/>
        </w:rPr>
        <w:t xml:space="preserve"> </w:t>
      </w:r>
      <w:r w:rsidRPr="00116C4A">
        <w:rPr>
          <w:rFonts w:ascii="Arial" w:eastAsia="Calibri" w:hAnsi="Arial" w:cs="Arial"/>
          <w:color w:val="000000"/>
          <w:sz w:val="24"/>
          <w:szCs w:val="24"/>
          <w:lang w:eastAsia="ar-SA"/>
        </w:rPr>
        <w:t xml:space="preserve">Sigma-Aldrich) and 0.0025% (v/v) sodium </w:t>
      </w:r>
      <w:proofErr w:type="spellStart"/>
      <w:r w:rsidRPr="00116C4A">
        <w:rPr>
          <w:rFonts w:ascii="Arial" w:eastAsia="Calibri" w:hAnsi="Arial" w:cs="Arial"/>
          <w:color w:val="000000"/>
          <w:sz w:val="24"/>
          <w:szCs w:val="24"/>
          <w:lang w:eastAsia="ar-SA"/>
        </w:rPr>
        <w:t>azide</w:t>
      </w:r>
      <w:proofErr w:type="spellEnd"/>
      <w:r w:rsidRPr="00116C4A">
        <w:rPr>
          <w:rFonts w:ascii="Arial" w:eastAsia="Calibri" w:hAnsi="Arial" w:cs="Arial"/>
          <w:color w:val="000000"/>
          <w:sz w:val="24"/>
          <w:szCs w:val="24"/>
          <w:lang w:eastAsia="ar-SA"/>
        </w:rPr>
        <w:t xml:space="preserve"> (NaN</w:t>
      </w:r>
      <w:r w:rsidRPr="00116C4A">
        <w:rPr>
          <w:rFonts w:ascii="Arial" w:eastAsia="Calibri" w:hAnsi="Arial" w:cs="Arial"/>
          <w:color w:val="000000"/>
          <w:sz w:val="24"/>
          <w:szCs w:val="24"/>
          <w:vertAlign w:val="subscript"/>
          <w:lang w:eastAsia="ar-SA"/>
        </w:rPr>
        <w:t>3</w:t>
      </w:r>
      <w:r w:rsidRPr="00116C4A">
        <w:rPr>
          <w:rFonts w:ascii="Arial" w:eastAsia="Calibri" w:hAnsi="Arial" w:cs="Arial"/>
          <w:color w:val="000000"/>
          <w:sz w:val="24"/>
          <w:szCs w:val="24"/>
          <w:lang w:eastAsia="ar-SA"/>
        </w:rPr>
        <w:t>, Sigma-Aldrich). Samples were vortexed for 1 min, centrifuged at 13,000</w:t>
      </w:r>
      <w:r w:rsidRPr="00116C4A">
        <w:rPr>
          <w:rFonts w:ascii="Arial" w:eastAsia="Calibri" w:hAnsi="Arial" w:cs="Arial"/>
          <w:i/>
          <w:color w:val="000000"/>
          <w:sz w:val="24"/>
          <w:szCs w:val="24"/>
          <w:lang w:eastAsia="ar-SA"/>
        </w:rPr>
        <w:t>g</w:t>
      </w:r>
      <w:r w:rsidRPr="00116C4A">
        <w:rPr>
          <w:rFonts w:ascii="Arial" w:eastAsia="Calibri" w:hAnsi="Arial" w:cs="Arial"/>
          <w:color w:val="000000"/>
          <w:sz w:val="24"/>
          <w:szCs w:val="24"/>
          <w:lang w:eastAsia="ar-SA"/>
        </w:rPr>
        <w:t xml:space="preserve"> and 4˚C for 2 min and 200 µl transferred (taking care not to disturb any pelleted material) into 3 mm outer diameter NMR tubes using a glass pipette.</w:t>
      </w:r>
    </w:p>
    <w:p w14:paraId="739AEF0F"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NMR Spectral Acquisition</w:t>
      </w:r>
    </w:p>
    <w:p w14:paraId="19D2108E" w14:textId="599993E6"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All SF samples were individually analysed. 1D </w:t>
      </w:r>
      <w:r w:rsidRPr="00116C4A">
        <w:rPr>
          <w:rFonts w:ascii="Arial" w:eastAsia="Calibri" w:hAnsi="Arial" w:cs="Arial"/>
          <w:sz w:val="24"/>
          <w:szCs w:val="24"/>
          <w:vertAlign w:val="superscript"/>
        </w:rPr>
        <w:t>1</w:t>
      </w:r>
      <w:r w:rsidRPr="00116C4A">
        <w:rPr>
          <w:rFonts w:ascii="Arial" w:eastAsia="Calibri" w:hAnsi="Arial" w:cs="Arial"/>
          <w:sz w:val="24"/>
          <w:szCs w:val="24"/>
        </w:rPr>
        <w:t xml:space="preserve">H NMR spectra were acquired using a 700 MHz NMR Bruker </w:t>
      </w:r>
      <w:proofErr w:type="spellStart"/>
      <w:r w:rsidRPr="00116C4A">
        <w:rPr>
          <w:rFonts w:ascii="Arial" w:eastAsia="Calibri" w:hAnsi="Arial" w:cs="Arial"/>
          <w:sz w:val="24"/>
          <w:szCs w:val="24"/>
        </w:rPr>
        <w:t>Avance</w:t>
      </w:r>
      <w:proofErr w:type="spellEnd"/>
      <w:r w:rsidRPr="00116C4A">
        <w:rPr>
          <w:rFonts w:ascii="Arial" w:eastAsia="Calibri" w:hAnsi="Arial" w:cs="Arial"/>
          <w:sz w:val="24"/>
          <w:szCs w:val="24"/>
        </w:rPr>
        <w:t xml:space="preserve"> III HD spectrometer with associated TCI </w:t>
      </w:r>
      <w:proofErr w:type="spellStart"/>
      <w:r w:rsidRPr="00116C4A">
        <w:rPr>
          <w:rFonts w:ascii="Arial" w:eastAsia="Calibri" w:hAnsi="Arial" w:cs="Arial"/>
          <w:sz w:val="24"/>
          <w:szCs w:val="24"/>
        </w:rPr>
        <w:t>cryoprobe</w:t>
      </w:r>
      <w:proofErr w:type="spellEnd"/>
      <w:r w:rsidRPr="00116C4A">
        <w:rPr>
          <w:rFonts w:ascii="Arial" w:eastAsia="Calibri" w:hAnsi="Arial" w:cs="Arial"/>
          <w:sz w:val="24"/>
          <w:szCs w:val="24"/>
        </w:rPr>
        <w:t xml:space="preserve"> and chilled Sample-Jet </w:t>
      </w:r>
      <w:proofErr w:type="spellStart"/>
      <w:r w:rsidRPr="00116C4A">
        <w:rPr>
          <w:rFonts w:ascii="Arial" w:eastAsia="Calibri" w:hAnsi="Arial" w:cs="Arial"/>
          <w:sz w:val="24"/>
          <w:szCs w:val="24"/>
        </w:rPr>
        <w:t>autosampler</w:t>
      </w:r>
      <w:proofErr w:type="spellEnd"/>
      <w:r w:rsidRPr="00116C4A">
        <w:rPr>
          <w:rFonts w:ascii="Arial" w:eastAsia="Calibri" w:hAnsi="Arial" w:cs="Arial"/>
          <w:sz w:val="24"/>
          <w:szCs w:val="24"/>
        </w:rPr>
        <w:t xml:space="preserve">. A </w:t>
      </w:r>
      <w:proofErr w:type="spellStart"/>
      <w:r w:rsidRPr="00116C4A">
        <w:rPr>
          <w:rFonts w:ascii="Arial" w:eastAsia="Calibri" w:hAnsi="Arial" w:cs="Arial"/>
          <w:sz w:val="24"/>
          <w:szCs w:val="24"/>
        </w:rPr>
        <w:t>Carr</w:t>
      </w:r>
      <w:proofErr w:type="spellEnd"/>
      <w:r w:rsidRPr="00116C4A">
        <w:rPr>
          <w:rFonts w:ascii="Arial" w:eastAsia="Calibri" w:hAnsi="Arial" w:cs="Arial"/>
          <w:sz w:val="24"/>
          <w:szCs w:val="24"/>
        </w:rPr>
        <w:t>-Purcell-</w:t>
      </w:r>
      <w:proofErr w:type="spellStart"/>
      <w:r w:rsidRPr="00116C4A">
        <w:rPr>
          <w:rFonts w:ascii="Arial" w:eastAsia="Calibri" w:hAnsi="Arial" w:cs="Arial"/>
          <w:sz w:val="24"/>
          <w:szCs w:val="24"/>
        </w:rPr>
        <w:t>Meiboom</w:t>
      </w:r>
      <w:proofErr w:type="spellEnd"/>
      <w:r w:rsidRPr="00116C4A">
        <w:rPr>
          <w:rFonts w:ascii="Arial" w:eastAsia="Calibri" w:hAnsi="Arial" w:cs="Arial"/>
          <w:sz w:val="24"/>
          <w:szCs w:val="24"/>
        </w:rPr>
        <w:t xml:space="preserve">-Gill (CPMG) </w:t>
      </w:r>
      <w:r w:rsidR="00BB1B9D">
        <w:rPr>
          <w:rFonts w:ascii="Arial" w:eastAsia="Calibri" w:hAnsi="Arial" w:cs="Arial"/>
          <w:sz w:val="24"/>
          <w:szCs w:val="24"/>
        </w:rPr>
        <w:t>pulse sequence</w:t>
      </w:r>
      <w:r w:rsidRPr="00116C4A">
        <w:rPr>
          <w:rFonts w:ascii="Arial" w:eastAsia="Calibri" w:hAnsi="Arial" w:cs="Arial"/>
          <w:sz w:val="24"/>
          <w:szCs w:val="24"/>
        </w:rPr>
        <w:t xml:space="preserve"> was used to attenuate macromolecule signals using a standard cpmgpr1d vendor pulse sequence. All CPMG spectra were acquired at 37˚C with a 15 ppm spectral width, a 4 s </w:t>
      </w:r>
      <w:proofErr w:type="spellStart"/>
      <w:r w:rsidRPr="00116C4A">
        <w:rPr>
          <w:rFonts w:ascii="Arial" w:eastAsia="Calibri" w:hAnsi="Arial" w:cs="Arial"/>
          <w:sz w:val="24"/>
          <w:szCs w:val="24"/>
        </w:rPr>
        <w:t>interscan</w:t>
      </w:r>
      <w:proofErr w:type="spellEnd"/>
      <w:r w:rsidRPr="00116C4A">
        <w:rPr>
          <w:rFonts w:ascii="Arial" w:eastAsia="Calibri" w:hAnsi="Arial" w:cs="Arial"/>
          <w:sz w:val="24"/>
          <w:szCs w:val="24"/>
        </w:rPr>
        <w:t xml:space="preserve"> delay and 32 transients. Spectral acquisition and </w:t>
      </w:r>
      <w:r w:rsidRPr="00116C4A">
        <w:rPr>
          <w:rFonts w:ascii="Arial" w:eastAsia="Calibri" w:hAnsi="Arial" w:cs="Arial"/>
          <w:sz w:val="24"/>
          <w:szCs w:val="24"/>
        </w:rPr>
        <w:lastRenderedPageBreak/>
        <w:t xml:space="preserve">processing was carried out using </w:t>
      </w:r>
      <w:proofErr w:type="spellStart"/>
      <w:r w:rsidRPr="00116C4A">
        <w:rPr>
          <w:rFonts w:ascii="Arial" w:eastAsia="Calibri" w:hAnsi="Arial" w:cs="Arial"/>
          <w:sz w:val="24"/>
          <w:szCs w:val="24"/>
        </w:rPr>
        <w:t>Topsin</w:t>
      </w:r>
      <w:proofErr w:type="spellEnd"/>
      <w:r w:rsidRPr="00116C4A">
        <w:rPr>
          <w:rFonts w:ascii="Arial" w:eastAsia="Calibri" w:hAnsi="Arial" w:cs="Arial"/>
          <w:sz w:val="24"/>
          <w:szCs w:val="24"/>
        </w:rPr>
        <w:t xml:space="preserve"> 3.1 (Bruker Corporation, Billerica, Massachusetts, USA) and </w:t>
      </w:r>
      <w:proofErr w:type="spellStart"/>
      <w:r w:rsidRPr="00116C4A">
        <w:rPr>
          <w:rFonts w:ascii="Arial" w:eastAsia="Calibri" w:hAnsi="Arial" w:cs="Arial"/>
          <w:sz w:val="24"/>
          <w:szCs w:val="24"/>
        </w:rPr>
        <w:t>IconNMR</w:t>
      </w:r>
      <w:proofErr w:type="spellEnd"/>
      <w:r w:rsidRPr="00116C4A">
        <w:rPr>
          <w:rFonts w:ascii="Arial" w:eastAsia="Calibri" w:hAnsi="Arial" w:cs="Arial"/>
          <w:sz w:val="24"/>
          <w:szCs w:val="24"/>
        </w:rPr>
        <w:t xml:space="preserve"> 4.6.7 (Bruker).</w:t>
      </w:r>
    </w:p>
    <w:p w14:paraId="2AD1E60A" w14:textId="290A81A9"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 xml:space="preserve">Spectral </w:t>
      </w:r>
      <w:r w:rsidR="0077343D">
        <w:rPr>
          <w:rFonts w:ascii="Arial" w:eastAsia="MS Gothic" w:hAnsi="Arial" w:cs="Arial"/>
          <w:b/>
          <w:i/>
          <w:sz w:val="24"/>
          <w:szCs w:val="24"/>
        </w:rPr>
        <w:t xml:space="preserve">Quality Control and </w:t>
      </w:r>
      <w:r w:rsidRPr="00116C4A">
        <w:rPr>
          <w:rFonts w:ascii="Arial" w:eastAsia="MS Gothic" w:hAnsi="Arial" w:cs="Arial"/>
          <w:b/>
          <w:i/>
          <w:sz w:val="24"/>
          <w:szCs w:val="24"/>
        </w:rPr>
        <w:t>Bucketing</w:t>
      </w:r>
    </w:p>
    <w:p w14:paraId="5172C7ED" w14:textId="47C475DF" w:rsidR="00652D52" w:rsidRDefault="000F4FA9" w:rsidP="00116C4A">
      <w:pPr>
        <w:autoSpaceDE w:val="0"/>
        <w:autoSpaceDN w:val="0"/>
        <w:adjustRightInd w:val="0"/>
        <w:spacing w:line="480" w:lineRule="auto"/>
        <w:rPr>
          <w:rFonts w:ascii="Arial" w:eastAsia="Calibri" w:hAnsi="Arial" w:cs="Arial"/>
          <w:color w:val="000000"/>
          <w:sz w:val="24"/>
          <w:szCs w:val="24"/>
        </w:rPr>
      </w:pPr>
      <w:r w:rsidRPr="000F4FA9">
        <w:rPr>
          <w:rFonts w:ascii="Arial" w:eastAsia="Calibri" w:hAnsi="Arial" w:cs="Arial"/>
          <w:color w:val="000000"/>
          <w:sz w:val="24"/>
          <w:szCs w:val="24"/>
        </w:rPr>
        <w:t>Following acquisition, all spectra were analysed to ensure they conformed to community recommended m</w:t>
      </w:r>
      <w:r>
        <w:rPr>
          <w:rFonts w:ascii="Arial" w:eastAsia="Calibri" w:hAnsi="Arial" w:cs="Arial"/>
          <w:color w:val="000000"/>
          <w:sz w:val="24"/>
          <w:szCs w:val="24"/>
        </w:rPr>
        <w:t xml:space="preserve">inimum reporting standards </w:t>
      </w:r>
      <w:r>
        <w:rPr>
          <w:rFonts w:ascii="Arial" w:eastAsia="Calibri" w:hAnsi="Arial" w:cs="Arial"/>
          <w:color w:val="000000"/>
          <w:sz w:val="24"/>
          <w:szCs w:val="24"/>
        </w:rPr>
        <w:fldChar w:fldCharType="begin" w:fldLock="1"/>
      </w:r>
      <w:r w:rsidR="003E1EDC">
        <w:rPr>
          <w:rFonts w:ascii="Arial" w:eastAsia="Calibri" w:hAnsi="Arial" w:cs="Arial"/>
          <w:color w:val="000000"/>
          <w:sz w:val="24"/>
          <w:szCs w:val="24"/>
        </w:rPr>
        <w:instrText>ADDIN CSL_CITATION {"citationItems":[{"id":"ITEM-1","itemData":{"DOI":"10.1007/s11306-007-0082-2","ISSN":"1573-3882","PMID":"24039616","abstract":"There is a general consensus that supports the need for standardized reporting of metadata or information describing large-scale metabolomics and other functional genomics data sets. Reporting of standard metadata provides a biological and empirical context for the data, facilitates experimental replication, and enables the re-interrogation and comparison of data by others. Accordingly, the Metabolomics Standards Initiative is building a general consensus concerning the minimum reporting standards for metabolomics experiments of which the Chemical Analysis Working Group (CAWG) is a member of this community effort. This article proposes the minimum reporting standards related to the chemical analysis aspects of metabolomics experiments including: sample preparation, experimental analysis, quality control, metabolite identification, and data pre-processing. These minimum standards currently focus mostly upon mass spectrometry and nuclear magnetic resonance spectroscopy due to the popularity of these techniques in metabolomics. However, additional input concerning other techniques is welcomed and can be provided via the CAWG on-line discussion forum at http://msi-workgroups.sourceforge.net/ or http://Msi-workgroups-feedback@lists.sourceforge.net. Further, community input related to this document can also be provided via this electronic forum.","author":[{"dropping-particle":"","family":"Sumner","given":"Lloyd W","non-dropping-particle":"","parse-names":false,"suffix":""},{"dropping-particle":"","family":"Amberg","given":"Alexander","non-dropping-particle":"","parse-names":false,"suffix":""},{"dropping-particle":"","family":"Barrett","given":"Dave","non-dropping-particle":"","parse-names":false,"suffix":""},{"dropping-particle":"","family":"Beale","given":"Michael H","non-dropping-particle":"","parse-names":false,"suffix":""},{"dropping-particle":"","family":"Beger","given":"Richard","non-dropping-particle":"","parse-names":false,"suffix":""},{"dropping-particle":"","family":"Daykin","given":"Clare A","non-dropping-particle":"","parse-names":false,"suffix":""},{"dropping-particle":"","family":"Fan","given":"Teresa W-M","non-dropping-particle":"","parse-names":false,"suffix":""},{"dropping-particle":"","family":"Fiehn","given":"Oliver","non-dropping-particle":"","parse-names":false,"suffix":""},{"dropping-particle":"","family":"Goodacre","given":"Royston","non-dropping-particle":"","parse-names":false,"suffix":""},{"dropping-particle":"","family":"Griffin","given":"Julian L","non-dropping-particle":"","parse-names":false,"suffix":""},{"dropping-particle":"","family":"Hankemeier","given":"Thomas","non-dropping-particle":"","parse-names":false,"suffix":""},{"dropping-particle":"","family":"Hardy","given":"Nigel","non-dropping-particle":"","parse-names":false,"suffix":""},{"dropping-particle":"","family":"Harnly","given":"James","non-dropping-particle":"","parse-names":false,"suffix":""},{"dropping-particle":"","family":"Higashi","given":"Richard","non-dropping-particle":"","parse-names":false,"suffix":""},{"dropping-particle":"","family":"Kopka","given":"Joachim","non-dropping-particle":"","parse-names":false,"suffix":""},{"dropping-particle":"","family":"Lane","given":"Andrew N","non-dropping-particle":"","parse-names":false,"suffix":""},{"dropping-particle":"","family":"Lindon","given":"John C","non-dropping-particle":"","parse-names":false,"suffix":""},{"dropping-particle":"","family":"Marriott","given":"Philip","non-dropping-particle":"","parse-names":false,"suffix":""},{"dropping-particle":"","family":"Nicholls","given":"Andrew W","non-dropping-particle":"","parse-names":false,"suffix":""},{"dropping-particle":"","family":"Reily","given":"Michael D","non-dropping-particle":"","parse-names":false,"suffix":""},{"dropping-particle":"","family":"Thaden","given":"John J","non-dropping-particle":"","parse-names":false,"suffix":""},{"dropping-particle":"","family":"Viant","given":"Mark R","non-dropping-particle":"","parse-names":false,"suffix":""}],"container-title":"Metabolomics : Official journal of the Metabolomic Society","id":"ITEM-1","issue":"3","issued":{"date-parts":[["2007","9"]]},"page":"211-221","publisher":"NIH Public Access","title":"Proposed minimum reporting standards for chemical analysis Chemical Analysis Working Group (CAWG) Metabolomics Standards Initiative (MSI).","type":"article-journal","volume":"3"},"uris":["http://www.mendeley.com/documents/?uuid=37ddec47-a333-385a-99db-885b411e127c"]}],"mendeley":{"formattedCitation":"&lt;sup&gt;44&lt;/sup&gt;","plainTextFormattedCitation":"44","previouslyFormattedCitation":"&lt;sup&gt;43&lt;/sup&gt;"},"properties":{"noteIndex":0},"schema":"https://github.com/citation-style-language/schema/raw/master/csl-citation.json"}</w:instrText>
      </w:r>
      <w:r>
        <w:rPr>
          <w:rFonts w:ascii="Arial" w:eastAsia="Calibri" w:hAnsi="Arial" w:cs="Arial"/>
          <w:color w:val="000000"/>
          <w:sz w:val="24"/>
          <w:szCs w:val="24"/>
        </w:rPr>
        <w:fldChar w:fldCharType="separate"/>
      </w:r>
      <w:r w:rsidR="003E1EDC" w:rsidRPr="003E1EDC">
        <w:rPr>
          <w:rFonts w:ascii="Arial" w:eastAsia="Calibri" w:hAnsi="Arial" w:cs="Arial"/>
          <w:noProof/>
          <w:color w:val="000000"/>
          <w:sz w:val="24"/>
          <w:szCs w:val="24"/>
          <w:vertAlign w:val="superscript"/>
        </w:rPr>
        <w:t>44</w:t>
      </w:r>
      <w:r>
        <w:rPr>
          <w:rFonts w:ascii="Arial" w:eastAsia="Calibri" w:hAnsi="Arial" w:cs="Arial"/>
          <w:color w:val="000000"/>
          <w:sz w:val="24"/>
          <w:szCs w:val="24"/>
        </w:rPr>
        <w:fldChar w:fldCharType="end"/>
      </w:r>
      <w:r w:rsidRPr="000F4FA9">
        <w:rPr>
          <w:rFonts w:ascii="Arial" w:eastAsia="Calibri" w:hAnsi="Arial" w:cs="Arial"/>
          <w:color w:val="000000"/>
          <w:sz w:val="24"/>
          <w:szCs w:val="24"/>
        </w:rPr>
        <w:t>. These included flat baseline correction, water suppression and consistent line widths.</w:t>
      </w:r>
      <w:r>
        <w:rPr>
          <w:rFonts w:ascii="Arial" w:eastAsia="Calibri" w:hAnsi="Arial" w:cs="Arial"/>
          <w:color w:val="000000"/>
          <w:sz w:val="24"/>
          <w:szCs w:val="24"/>
        </w:rPr>
        <w:t xml:space="preserve"> </w:t>
      </w:r>
      <w:r w:rsidR="00541A11">
        <w:rPr>
          <w:rFonts w:ascii="Arial" w:eastAsia="Calibri" w:hAnsi="Arial" w:cs="Arial"/>
          <w:color w:val="000000"/>
          <w:sz w:val="24"/>
          <w:szCs w:val="24"/>
        </w:rPr>
        <w:t>Spectra which did not meet these standards were removed from all subsequent analyses. Admissible s</w:t>
      </w:r>
      <w:r w:rsidR="00652D52" w:rsidRPr="00116C4A">
        <w:rPr>
          <w:rFonts w:ascii="Arial" w:eastAsia="Calibri" w:hAnsi="Arial" w:cs="Arial"/>
          <w:color w:val="000000"/>
          <w:sz w:val="24"/>
          <w:szCs w:val="24"/>
        </w:rPr>
        <w:t xml:space="preserve">pectra were aligned to a single </w:t>
      </w:r>
      <w:proofErr w:type="spellStart"/>
      <w:r w:rsidR="00652D52" w:rsidRPr="00116C4A">
        <w:rPr>
          <w:rFonts w:ascii="Arial" w:eastAsia="Calibri" w:hAnsi="Arial" w:cs="Arial"/>
          <w:sz w:val="24"/>
          <w:szCs w:val="24"/>
        </w:rPr>
        <w:t>format</w:t>
      </w:r>
      <w:r w:rsidR="003C0394">
        <w:rPr>
          <w:rFonts w:ascii="Arial" w:eastAsia="Calibri" w:hAnsi="Arial" w:cs="Arial"/>
          <w:sz w:val="24"/>
          <w:szCs w:val="24"/>
        </w:rPr>
        <w:t>e</w:t>
      </w:r>
      <w:proofErr w:type="spellEnd"/>
      <w:r w:rsidR="00652D52" w:rsidRPr="00116C4A">
        <w:rPr>
          <w:rFonts w:ascii="Arial" w:eastAsia="Calibri" w:hAnsi="Arial" w:cs="Arial"/>
          <w:sz w:val="24"/>
          <w:szCs w:val="24"/>
        </w:rPr>
        <w:t xml:space="preserve"> peak at 8.46 ppm.</w:t>
      </w:r>
      <w:r w:rsidR="002F464E">
        <w:rPr>
          <w:rFonts w:ascii="Arial" w:eastAsia="Calibri" w:hAnsi="Arial" w:cs="Arial"/>
          <w:sz w:val="24"/>
          <w:szCs w:val="24"/>
        </w:rPr>
        <w:t xml:space="preserve"> </w:t>
      </w:r>
      <w:r w:rsidR="002F464E" w:rsidRPr="002F464E">
        <w:rPr>
          <w:rFonts w:ascii="Arial" w:eastAsia="Calibri" w:hAnsi="Arial" w:cs="Arial"/>
          <w:sz w:val="24"/>
          <w:szCs w:val="24"/>
        </w:rPr>
        <w:t>It is important to note that</w:t>
      </w:r>
      <w:r w:rsidR="002F464E" w:rsidRPr="002F464E">
        <w:t xml:space="preserve"> </w:t>
      </w:r>
      <w:proofErr w:type="spellStart"/>
      <w:r w:rsidR="002F464E" w:rsidRPr="002F464E">
        <w:rPr>
          <w:rFonts w:ascii="Arial" w:eastAsia="Calibri" w:hAnsi="Arial" w:cs="Arial"/>
          <w:sz w:val="24"/>
          <w:szCs w:val="24"/>
        </w:rPr>
        <w:t>trimethylsilylpropanoic</w:t>
      </w:r>
      <w:proofErr w:type="spellEnd"/>
      <w:r w:rsidR="002F464E" w:rsidRPr="002F464E">
        <w:rPr>
          <w:rFonts w:ascii="Arial" w:eastAsia="Calibri" w:hAnsi="Arial" w:cs="Arial"/>
          <w:sz w:val="24"/>
          <w:szCs w:val="24"/>
        </w:rPr>
        <w:t xml:space="preserve"> acid </w:t>
      </w:r>
      <w:r w:rsidR="002F464E">
        <w:rPr>
          <w:rFonts w:ascii="Arial" w:eastAsia="Calibri" w:hAnsi="Arial" w:cs="Arial"/>
          <w:sz w:val="24"/>
          <w:szCs w:val="24"/>
        </w:rPr>
        <w:t>(</w:t>
      </w:r>
      <w:r w:rsidR="002F464E" w:rsidRPr="002F464E">
        <w:rPr>
          <w:rFonts w:ascii="Arial" w:eastAsia="Calibri" w:hAnsi="Arial" w:cs="Arial"/>
          <w:sz w:val="24"/>
          <w:szCs w:val="24"/>
        </w:rPr>
        <w:t>TSP</w:t>
      </w:r>
      <w:r w:rsidR="002F464E">
        <w:rPr>
          <w:rFonts w:ascii="Arial" w:eastAsia="Calibri" w:hAnsi="Arial" w:cs="Arial"/>
          <w:sz w:val="24"/>
          <w:szCs w:val="24"/>
        </w:rPr>
        <w:t>)</w:t>
      </w:r>
      <w:r w:rsidR="002F464E" w:rsidRPr="002F464E">
        <w:rPr>
          <w:rFonts w:ascii="Arial" w:eastAsia="Calibri" w:hAnsi="Arial" w:cs="Arial"/>
          <w:sz w:val="24"/>
          <w:szCs w:val="24"/>
        </w:rPr>
        <w:t xml:space="preserve"> and other silica-based reference materials are unsuitable for NMR metabolomics studies of </w:t>
      </w:r>
      <w:proofErr w:type="spellStart"/>
      <w:r w:rsidR="002F464E" w:rsidRPr="002F464E">
        <w:rPr>
          <w:rFonts w:ascii="Arial" w:eastAsia="Calibri" w:hAnsi="Arial" w:cs="Arial"/>
          <w:sz w:val="24"/>
          <w:szCs w:val="24"/>
        </w:rPr>
        <w:t>proteinous</w:t>
      </w:r>
      <w:proofErr w:type="spellEnd"/>
      <w:r w:rsidR="002F464E" w:rsidRPr="002F464E">
        <w:rPr>
          <w:rFonts w:ascii="Arial" w:eastAsia="Calibri" w:hAnsi="Arial" w:cs="Arial"/>
          <w:sz w:val="24"/>
          <w:szCs w:val="24"/>
        </w:rPr>
        <w:t xml:space="preserve"> </w:t>
      </w:r>
      <w:proofErr w:type="spellStart"/>
      <w:r w:rsidR="002F464E" w:rsidRPr="002F464E">
        <w:rPr>
          <w:rFonts w:ascii="Arial" w:eastAsia="Calibri" w:hAnsi="Arial" w:cs="Arial"/>
          <w:sz w:val="24"/>
          <w:szCs w:val="24"/>
        </w:rPr>
        <w:t>biofluids</w:t>
      </w:r>
      <w:proofErr w:type="spellEnd"/>
      <w:r w:rsidR="002F464E" w:rsidRPr="002F464E">
        <w:rPr>
          <w:rFonts w:ascii="Arial" w:eastAsia="Calibri" w:hAnsi="Arial" w:cs="Arial"/>
          <w:sz w:val="24"/>
          <w:szCs w:val="24"/>
        </w:rPr>
        <w:t xml:space="preserve"> due to the propensity to bind to proteins such as albumins and therefore change in chemica</w:t>
      </w:r>
      <w:r w:rsidR="002F464E">
        <w:rPr>
          <w:rFonts w:ascii="Arial" w:eastAsia="Calibri" w:hAnsi="Arial" w:cs="Arial"/>
          <w:sz w:val="24"/>
          <w:szCs w:val="24"/>
        </w:rPr>
        <w:t xml:space="preserve">l shift or attenuate completely </w:t>
      </w:r>
      <w:r w:rsidR="002F464E">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{"citationItems":[{"id":"ITEM-1","itemData":{"DOI":"10.1038/nprot.2007.376","ISSN":"1754-2189","abstract":"Metabolic profiling, metabolomic and metabonomic procedures for NMR spectroscopy of urine, plasma, serum and tissue extracts","author":[{"dropping-particle":"","family":"Beckonert","given":"Olaf","non-dropping-particle":"","parse-names":false,"suffix":""},{"dropping-particle":"","family":"Keun","given":"Hector C","non-dropping-particle":"","parse-names":false,"suffix":""},{"dropping-particle":"","family":"Ebbels","given":"Timothy M D","non-dropping-particle":"","parse-names":false,"suffix":""},{"dropping-particle":"","family":"Bundy","given":"Jacob","non-dropping-particle":"","parse-names":false,"suffix":""},{"dropping-particle":"","family":"Holmes","given":"Elaine","non-dropping-particle":"","parse-names":false,"suffix":""},{"dropping-particle":"","family":"Lindon","given":"John C","non-dropping-particle":"","parse-names":false,"suffix":""},{"dropping-particle":"","family":"Nicholson","given":"Jeremy K","non-dropping-particle":"","parse-names":false,"suffix":""}],"container-title":"Nature Protocols","id":"ITEM-1","issue":"11","issued":{"date-parts":[["2007","11","1"]]},"page":"2692-2703","publisher":"Nature Publishing Group","title":"Metabolic profiling, metabolomic and metabonomic procedures for NMR spectroscopy of urine, plasma, serum and tissue extracts","type":"article-journal","volume":"2"},"uris":["http://www.mendeley.com/documents/?uuid=657bbe0b-b4c3-3201-9872-782746fa5ef0"]}],"mendeley":{"formattedCitation":"&lt;sup&gt;10&lt;/sup&gt;","plainTextFormattedCitation":"10","previouslyFormattedCitation":"&lt;sup&gt;9&lt;/sup&gt;"},"properties":{"noteIndex":0},"schema":"https://github.com/citation-style-language/schema/raw/master/csl-citation.json"}</w:instrText>
      </w:r>
      <w:r w:rsidR="002F464E">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10</w:t>
      </w:r>
      <w:r w:rsidR="002F464E">
        <w:rPr>
          <w:rFonts w:ascii="Arial" w:eastAsia="Calibri" w:hAnsi="Arial" w:cs="Arial"/>
          <w:sz w:val="24"/>
          <w:szCs w:val="24"/>
        </w:rPr>
        <w:fldChar w:fldCharType="end"/>
      </w:r>
      <w:r w:rsidR="002F464E">
        <w:rPr>
          <w:rFonts w:ascii="Arial" w:eastAsia="Calibri" w:hAnsi="Arial" w:cs="Arial"/>
          <w:sz w:val="24"/>
          <w:szCs w:val="24"/>
        </w:rPr>
        <w:t xml:space="preserve">. </w:t>
      </w:r>
      <w:r w:rsidR="00652D52" w:rsidRPr="00116C4A">
        <w:rPr>
          <w:rFonts w:ascii="Arial" w:eastAsia="Calibri" w:hAnsi="Arial" w:cs="Arial"/>
          <w:sz w:val="24"/>
          <w:szCs w:val="24"/>
        </w:rPr>
        <w:t xml:space="preserve">All peaks </w:t>
      </w:r>
      <w:r w:rsidR="00652D52" w:rsidRPr="00116C4A">
        <w:rPr>
          <w:rFonts w:ascii="Arial" w:eastAsia="Calibri" w:hAnsi="Arial" w:cs="Arial"/>
          <w:color w:val="000000"/>
          <w:sz w:val="24"/>
          <w:szCs w:val="24"/>
        </w:rPr>
        <w:t xml:space="preserve">within each spectrum were then placed into ‘buckets’, excluding the peak generated by water, with each bucket intensity divided by the width in order to negate intensity variance. </w:t>
      </w:r>
      <w:r w:rsidR="00E03CE7">
        <w:rPr>
          <w:rFonts w:ascii="Arial" w:eastAsia="Calibri" w:hAnsi="Arial" w:cs="Arial"/>
          <w:color w:val="000000"/>
          <w:sz w:val="24"/>
          <w:szCs w:val="24"/>
        </w:rPr>
        <w:t>Spectra for different freezing protocols and spun vs unspun experiments were divided into 144 buckets and spectra for reproducibility of separate synovial fluid d</w:t>
      </w:r>
      <w:r w:rsidR="00E03CE7" w:rsidRPr="00E03CE7">
        <w:rPr>
          <w:rFonts w:ascii="Arial" w:eastAsia="Calibri" w:hAnsi="Arial" w:cs="Arial"/>
          <w:color w:val="000000"/>
          <w:sz w:val="24"/>
          <w:szCs w:val="24"/>
        </w:rPr>
        <w:t xml:space="preserve">onors </w:t>
      </w:r>
      <w:r w:rsidR="00E03CE7">
        <w:rPr>
          <w:rFonts w:ascii="Arial" w:eastAsia="Calibri" w:hAnsi="Arial" w:cs="Arial"/>
          <w:color w:val="000000"/>
          <w:sz w:val="24"/>
          <w:szCs w:val="24"/>
        </w:rPr>
        <w:t xml:space="preserve">divided into </w:t>
      </w:r>
      <w:r w:rsidR="004E2EF1">
        <w:rPr>
          <w:rFonts w:ascii="Arial" w:eastAsia="Calibri" w:hAnsi="Arial" w:cs="Arial"/>
          <w:color w:val="000000"/>
          <w:sz w:val="24"/>
          <w:szCs w:val="24"/>
        </w:rPr>
        <w:t xml:space="preserve">139 buckets. </w:t>
      </w:r>
      <w:r w:rsidR="00472B50">
        <w:rPr>
          <w:rFonts w:ascii="Arial" w:eastAsia="Calibri" w:hAnsi="Arial" w:cs="Arial"/>
          <w:color w:val="000000"/>
          <w:sz w:val="24"/>
          <w:szCs w:val="24"/>
        </w:rPr>
        <w:t>Buckets were subsequently normalised to the median.</w:t>
      </w:r>
    </w:p>
    <w:p w14:paraId="671DFDD8" w14:textId="6F811AF4" w:rsidR="00D80CBE" w:rsidRPr="00116C4A" w:rsidRDefault="00D80CBE" w:rsidP="00D80CBE">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Pr>
          <w:rFonts w:ascii="Arial" w:eastAsia="MS Gothic" w:hAnsi="Arial" w:cs="Arial"/>
          <w:b/>
          <w:i/>
          <w:sz w:val="24"/>
          <w:szCs w:val="24"/>
        </w:rPr>
        <w:t>Metabolite Annotation and Identification</w:t>
      </w:r>
    </w:p>
    <w:p w14:paraId="260FF12E" w14:textId="4EBE5AD2" w:rsidR="00D80CBE" w:rsidRDefault="00D16680" w:rsidP="00116C4A">
      <w:pPr>
        <w:autoSpaceDE w:val="0"/>
        <w:autoSpaceDN w:val="0"/>
        <w:adjustRightInd w:val="0"/>
        <w:spacing w:line="480" w:lineRule="auto"/>
        <w:rPr>
          <w:rFonts w:ascii="Arial" w:eastAsia="Calibri" w:hAnsi="Arial" w:cs="Arial"/>
          <w:color w:val="000000"/>
          <w:sz w:val="24"/>
          <w:szCs w:val="24"/>
        </w:rPr>
      </w:pPr>
      <w:r w:rsidRPr="00D16680">
        <w:rPr>
          <w:rFonts w:ascii="Arial" w:eastAsia="Calibri" w:hAnsi="Arial" w:cs="Arial"/>
          <w:color w:val="000000"/>
          <w:sz w:val="24"/>
          <w:szCs w:val="24"/>
        </w:rPr>
        <w:t xml:space="preserve">Buckets were assigned metabolite identifications using </w:t>
      </w:r>
      <w:proofErr w:type="spellStart"/>
      <w:r w:rsidRPr="00D16680">
        <w:rPr>
          <w:rFonts w:ascii="Arial" w:eastAsia="Calibri" w:hAnsi="Arial" w:cs="Arial"/>
          <w:color w:val="000000"/>
          <w:sz w:val="24"/>
          <w:szCs w:val="24"/>
        </w:rPr>
        <w:t>Chenomx</w:t>
      </w:r>
      <w:proofErr w:type="spellEnd"/>
      <w:r w:rsidRPr="00D16680">
        <w:rPr>
          <w:rFonts w:ascii="Arial" w:eastAsia="Calibri" w:hAnsi="Arial" w:cs="Arial"/>
          <w:color w:val="000000"/>
          <w:sz w:val="24"/>
          <w:szCs w:val="24"/>
        </w:rPr>
        <w:t xml:space="preserve"> NMR Suite 8.2 (330-mammalian metabolite library). Where possible, metabolite identities w</w:t>
      </w:r>
      <w:r>
        <w:rPr>
          <w:rFonts w:ascii="Arial" w:eastAsia="Calibri" w:hAnsi="Arial" w:cs="Arial"/>
          <w:color w:val="000000"/>
          <w:sz w:val="24"/>
          <w:szCs w:val="24"/>
        </w:rPr>
        <w:t xml:space="preserve">ere confirmed using in-house </w:t>
      </w:r>
      <w:r w:rsidRPr="00D16680">
        <w:rPr>
          <w:rFonts w:ascii="Arial" w:eastAsia="Calibri" w:hAnsi="Arial" w:cs="Arial"/>
          <w:color w:val="000000"/>
          <w:sz w:val="24"/>
          <w:szCs w:val="24"/>
        </w:rPr>
        <w:t xml:space="preserve">1D </w:t>
      </w:r>
      <w:r w:rsidRPr="00DC5747">
        <w:rPr>
          <w:rFonts w:ascii="Arial" w:eastAsia="Calibri" w:hAnsi="Arial" w:cs="Arial"/>
          <w:color w:val="000000"/>
          <w:sz w:val="24"/>
          <w:szCs w:val="24"/>
          <w:vertAlign w:val="superscript"/>
        </w:rPr>
        <w:t>1</w:t>
      </w:r>
      <w:r>
        <w:rPr>
          <w:rFonts w:ascii="Arial" w:eastAsia="Calibri" w:hAnsi="Arial" w:cs="Arial"/>
          <w:color w:val="000000"/>
          <w:sz w:val="24"/>
          <w:szCs w:val="24"/>
        </w:rPr>
        <w:t xml:space="preserve">H </w:t>
      </w:r>
      <w:r w:rsidRPr="00D16680">
        <w:rPr>
          <w:rFonts w:ascii="Arial" w:eastAsia="Calibri" w:hAnsi="Arial" w:cs="Arial"/>
          <w:color w:val="000000"/>
          <w:sz w:val="24"/>
          <w:szCs w:val="24"/>
        </w:rPr>
        <w:t xml:space="preserve">NMR and 2D </w:t>
      </w:r>
      <w:r w:rsidRPr="00DC5747">
        <w:rPr>
          <w:rFonts w:ascii="Arial" w:eastAsia="Calibri" w:hAnsi="Arial" w:cs="Arial"/>
          <w:color w:val="000000"/>
          <w:sz w:val="24"/>
          <w:szCs w:val="24"/>
          <w:vertAlign w:val="superscript"/>
        </w:rPr>
        <w:t>1</w:t>
      </w:r>
      <w:r w:rsidRPr="00D16680">
        <w:rPr>
          <w:rFonts w:ascii="Arial" w:eastAsia="Calibri" w:hAnsi="Arial" w:cs="Arial"/>
          <w:color w:val="000000"/>
          <w:sz w:val="24"/>
          <w:szCs w:val="24"/>
        </w:rPr>
        <w:t xml:space="preserve">H </w:t>
      </w:r>
      <w:r w:rsidRPr="00DC5747">
        <w:rPr>
          <w:rFonts w:ascii="Arial" w:eastAsia="Calibri" w:hAnsi="Arial" w:cs="Arial"/>
          <w:color w:val="000000"/>
          <w:sz w:val="24"/>
          <w:szCs w:val="24"/>
          <w:vertAlign w:val="superscript"/>
        </w:rPr>
        <w:t>13</w:t>
      </w:r>
      <w:r w:rsidRPr="00D16680">
        <w:rPr>
          <w:rFonts w:ascii="Arial" w:eastAsia="Calibri" w:hAnsi="Arial" w:cs="Arial"/>
          <w:color w:val="000000"/>
          <w:sz w:val="24"/>
          <w:szCs w:val="24"/>
        </w:rPr>
        <w:t xml:space="preserve">C </w:t>
      </w:r>
      <w:proofErr w:type="spellStart"/>
      <w:r w:rsidRPr="00D16680">
        <w:rPr>
          <w:rFonts w:ascii="Arial" w:eastAsia="Calibri" w:hAnsi="Arial" w:cs="Arial"/>
          <w:color w:val="000000"/>
          <w:sz w:val="24"/>
          <w:szCs w:val="24"/>
        </w:rPr>
        <w:t>Heteronuclear</w:t>
      </w:r>
      <w:proofErr w:type="spellEnd"/>
      <w:r w:rsidRPr="00D16680">
        <w:rPr>
          <w:rFonts w:ascii="Arial" w:eastAsia="Calibri" w:hAnsi="Arial" w:cs="Arial"/>
          <w:color w:val="000000"/>
          <w:sz w:val="24"/>
          <w:szCs w:val="24"/>
        </w:rPr>
        <w:t xml:space="preserve"> Single Quantum Coherence NMR standards. Metabolite assignments, including both Human </w:t>
      </w:r>
      <w:r w:rsidRPr="00D16680">
        <w:rPr>
          <w:rFonts w:ascii="Arial" w:eastAsia="Calibri" w:hAnsi="Arial" w:cs="Arial"/>
          <w:color w:val="000000"/>
          <w:sz w:val="24"/>
          <w:szCs w:val="24"/>
        </w:rPr>
        <w:lastRenderedPageBreak/>
        <w:t xml:space="preserve">Metabolome Database identifications and annotation levels, are available within the </w:t>
      </w:r>
      <w:proofErr w:type="spellStart"/>
      <w:r w:rsidRPr="00D16680">
        <w:rPr>
          <w:rFonts w:ascii="Arial" w:eastAsia="Calibri" w:hAnsi="Arial" w:cs="Arial"/>
          <w:color w:val="000000"/>
          <w:sz w:val="24"/>
          <w:szCs w:val="24"/>
        </w:rPr>
        <w:t>MetaboLights</w:t>
      </w:r>
      <w:proofErr w:type="spellEnd"/>
      <w:r w:rsidRPr="00D16680">
        <w:rPr>
          <w:rFonts w:ascii="Arial" w:eastAsia="Calibri" w:hAnsi="Arial" w:cs="Arial"/>
          <w:color w:val="000000"/>
          <w:sz w:val="24"/>
          <w:szCs w:val="24"/>
        </w:rPr>
        <w:t xml:space="preserve"> repository at www.ebi.ac.uk/metabolights/MTBLS1450.</w:t>
      </w:r>
    </w:p>
    <w:p w14:paraId="3B6CB513" w14:textId="77777777"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Cs/>
          <w:sz w:val="24"/>
          <w:szCs w:val="24"/>
        </w:rPr>
      </w:pPr>
      <w:r w:rsidRPr="00116C4A">
        <w:rPr>
          <w:rFonts w:ascii="Arial" w:eastAsia="Calibri" w:hAnsi="Arial" w:cs="Arial"/>
          <w:b/>
          <w:iCs/>
          <w:sz w:val="24"/>
          <w:szCs w:val="24"/>
        </w:rPr>
        <w:t>LC-MS/MS Proteomics</w:t>
      </w:r>
    </w:p>
    <w:p w14:paraId="546B7BE8"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Hyaluronidase Treatment Protocol Optimisation</w:t>
      </w:r>
    </w:p>
    <w:p w14:paraId="3A7D6399" w14:textId="3DC09ABD" w:rsidR="00652D52" w:rsidRPr="00116C4A" w:rsidRDefault="00652D52" w:rsidP="00116C4A">
      <w:pPr>
        <w:autoSpaceDE w:val="0"/>
        <w:autoSpaceDN w:val="0"/>
        <w:adjustRightInd w:val="0"/>
        <w:spacing w:line="480" w:lineRule="auto"/>
        <w:rPr>
          <w:rFonts w:ascii="Arial" w:eastAsia="Calibri" w:hAnsi="Arial" w:cs="Arial"/>
          <w:color w:val="000000"/>
          <w:sz w:val="24"/>
          <w:szCs w:val="24"/>
        </w:rPr>
      </w:pPr>
      <w:r w:rsidRPr="00116C4A">
        <w:rPr>
          <w:rFonts w:ascii="Arial" w:eastAsia="Calibri" w:hAnsi="Arial" w:cs="Arial"/>
          <w:color w:val="000000"/>
          <w:sz w:val="24"/>
          <w:szCs w:val="24"/>
        </w:rPr>
        <w:t xml:space="preserve">750 µl aliquots of </w:t>
      </w:r>
      <w:r w:rsidR="00A31679">
        <w:rPr>
          <w:rFonts w:ascii="Arial" w:eastAsia="Calibri" w:hAnsi="Arial" w:cs="Arial"/>
          <w:color w:val="000000"/>
          <w:sz w:val="24"/>
          <w:szCs w:val="24"/>
        </w:rPr>
        <w:t xml:space="preserve">thawed </w:t>
      </w:r>
      <w:r w:rsidRPr="00116C4A">
        <w:rPr>
          <w:rFonts w:ascii="Arial" w:eastAsia="Calibri" w:hAnsi="Arial" w:cs="Arial"/>
          <w:color w:val="000000"/>
          <w:sz w:val="24"/>
          <w:szCs w:val="24"/>
        </w:rPr>
        <w:t xml:space="preserve">equine SF were supplemented with hyaluronidase (from bovine testes, Sigma-Aldrich) at a final concentration of 0, 0.05, 0.10, 0.25, 0.50, 0.75, 1.00, 1.50 or 2.00 </w:t>
      </w:r>
      <w:bookmarkStart w:id="9" w:name="_Hlk521783110"/>
      <w:r w:rsidRPr="00116C4A">
        <w:rPr>
          <w:rFonts w:ascii="Arial" w:eastAsia="Calibri" w:hAnsi="Arial" w:cs="Arial"/>
          <w:color w:val="000000"/>
          <w:sz w:val="24"/>
          <w:szCs w:val="24"/>
        </w:rPr>
        <w:t>µg/ml</w:t>
      </w:r>
      <w:bookmarkEnd w:id="9"/>
      <w:r w:rsidRPr="00116C4A">
        <w:rPr>
          <w:rFonts w:ascii="Arial" w:eastAsia="Calibri" w:hAnsi="Arial" w:cs="Arial"/>
          <w:color w:val="000000"/>
          <w:sz w:val="24"/>
          <w:szCs w:val="24"/>
        </w:rPr>
        <w:t xml:space="preserve"> and vortexed for 30 s. All samples (bar </w:t>
      </w:r>
      <w:bookmarkStart w:id="10" w:name="_Hlk521779829"/>
      <w:r w:rsidRPr="00116C4A">
        <w:rPr>
          <w:rFonts w:ascii="Arial" w:eastAsia="Calibri" w:hAnsi="Arial" w:cs="Arial"/>
          <w:color w:val="000000"/>
          <w:sz w:val="24"/>
          <w:szCs w:val="24"/>
        </w:rPr>
        <w:t>two 0</w:t>
      </w:r>
      <w:r w:rsidRPr="00116C4A">
        <w:rPr>
          <w:rFonts w:ascii="Arial" w:eastAsia="Calibri" w:hAnsi="Arial" w:cs="Arial"/>
          <w:sz w:val="24"/>
          <w:szCs w:val="24"/>
        </w:rPr>
        <w:t xml:space="preserve"> </w:t>
      </w:r>
      <w:r w:rsidRPr="00116C4A">
        <w:rPr>
          <w:rFonts w:ascii="Arial" w:eastAsia="Calibri" w:hAnsi="Arial" w:cs="Arial"/>
          <w:color w:val="000000"/>
          <w:sz w:val="24"/>
          <w:szCs w:val="24"/>
        </w:rPr>
        <w:t xml:space="preserve">µg/ml </w:t>
      </w:r>
      <w:bookmarkEnd w:id="10"/>
      <w:r w:rsidRPr="00116C4A">
        <w:rPr>
          <w:rFonts w:ascii="Arial" w:eastAsia="Calibri" w:hAnsi="Arial" w:cs="Arial"/>
          <w:color w:val="000000"/>
          <w:sz w:val="24"/>
          <w:szCs w:val="24"/>
        </w:rPr>
        <w:t>treated samples) were then incubated at 37°C for 1 hr and rotated. All samples (bar two 0 µg/ml and one 1.00 µg/ml</w:t>
      </w:r>
      <w:r w:rsidRPr="00116C4A">
        <w:rPr>
          <w:rFonts w:ascii="Arial" w:eastAsia="Calibri" w:hAnsi="Arial" w:cs="Arial"/>
          <w:sz w:val="24"/>
          <w:szCs w:val="24"/>
        </w:rPr>
        <w:t xml:space="preserve"> </w:t>
      </w:r>
      <w:r w:rsidRPr="00116C4A">
        <w:rPr>
          <w:rFonts w:ascii="Arial" w:eastAsia="Calibri" w:hAnsi="Arial" w:cs="Arial"/>
          <w:color w:val="000000"/>
          <w:sz w:val="24"/>
          <w:szCs w:val="24"/>
        </w:rPr>
        <w:t xml:space="preserve">treated samples) were then passed through </w:t>
      </w:r>
      <w:r w:rsidRPr="00116C4A">
        <w:rPr>
          <w:rFonts w:ascii="Arial" w:eastAsia="Calibri" w:hAnsi="Arial" w:cs="Arial"/>
          <w:sz w:val="24"/>
          <w:szCs w:val="24"/>
        </w:rPr>
        <w:t xml:space="preserve">polypropylene </w:t>
      </w:r>
      <w:proofErr w:type="spellStart"/>
      <w:r w:rsidRPr="00116C4A">
        <w:rPr>
          <w:rFonts w:ascii="Arial" w:eastAsia="Calibri" w:hAnsi="Arial" w:cs="Arial"/>
          <w:sz w:val="24"/>
          <w:szCs w:val="24"/>
        </w:rPr>
        <w:t>microcentrifuge</w:t>
      </w:r>
      <w:proofErr w:type="spellEnd"/>
      <w:r w:rsidRPr="00116C4A">
        <w:rPr>
          <w:rFonts w:ascii="Arial" w:eastAsia="Calibri" w:hAnsi="Arial" w:cs="Arial"/>
          <w:sz w:val="24"/>
          <w:szCs w:val="24"/>
        </w:rPr>
        <w:t xml:space="preserve"> tube filters with 0.22 µm pore cellulose acetate membranes (</w:t>
      </w:r>
      <w:proofErr w:type="spellStart"/>
      <w:r w:rsidRPr="00116C4A">
        <w:rPr>
          <w:rFonts w:ascii="Arial" w:eastAsia="Calibri" w:hAnsi="Arial" w:cs="Arial"/>
          <w:sz w:val="24"/>
          <w:szCs w:val="24"/>
        </w:rPr>
        <w:t>Costar</w:t>
      </w:r>
      <w:proofErr w:type="spellEnd"/>
      <w:r w:rsidRPr="00116C4A">
        <w:rPr>
          <w:rFonts w:ascii="Arial" w:eastAsia="Calibri" w:hAnsi="Arial" w:cs="Arial"/>
          <w:sz w:val="24"/>
          <w:szCs w:val="24"/>
        </w:rPr>
        <w:t xml:space="preserve"> Spin-X, Corning, Tokyo, Japan) for 15 min at 5,000</w:t>
      </w:r>
      <w:r w:rsidRPr="00116C4A">
        <w:rPr>
          <w:rFonts w:ascii="Arial" w:eastAsia="Calibri" w:hAnsi="Arial" w:cs="Arial"/>
          <w:i/>
          <w:sz w:val="24"/>
          <w:szCs w:val="24"/>
        </w:rPr>
        <w:t>g</w:t>
      </w:r>
      <w:r w:rsidRPr="00116C4A">
        <w:rPr>
          <w:rFonts w:ascii="Arial" w:eastAsia="Calibri" w:hAnsi="Arial" w:cs="Arial"/>
          <w:sz w:val="24"/>
          <w:szCs w:val="24"/>
        </w:rPr>
        <w:t xml:space="preserve">. 1 µl of each sample was analysed by </w:t>
      </w:r>
      <w:bookmarkStart w:id="11" w:name="_Hlk10110373"/>
      <w:r w:rsidRPr="00116C4A">
        <w:rPr>
          <w:rFonts w:ascii="Arial" w:eastAsia="Calibri" w:hAnsi="Arial" w:cs="Arial"/>
          <w:sz w:val="24"/>
          <w:szCs w:val="24"/>
        </w:rPr>
        <w:t xml:space="preserve">one dimensional sodium dodecyl sulphate polyacrylamide gel electrophoresis (1D SDS PAGE) </w:t>
      </w:r>
      <w:bookmarkEnd w:id="11"/>
      <w:r w:rsidRPr="00116C4A">
        <w:rPr>
          <w:rFonts w:ascii="Arial" w:eastAsia="Calibri" w:hAnsi="Arial" w:cs="Arial"/>
          <w:sz w:val="24"/>
          <w:szCs w:val="24"/>
        </w:rPr>
        <w:t xml:space="preserve">and stained with </w:t>
      </w:r>
      <w:proofErr w:type="spellStart"/>
      <w:r w:rsidRPr="00116C4A">
        <w:rPr>
          <w:rFonts w:ascii="Arial" w:eastAsia="Calibri" w:hAnsi="Arial" w:cs="Arial"/>
          <w:sz w:val="24"/>
          <w:szCs w:val="24"/>
        </w:rPr>
        <w:t>Coomassie</w:t>
      </w:r>
      <w:proofErr w:type="spellEnd"/>
      <w:r w:rsidRPr="00116C4A">
        <w:rPr>
          <w:rFonts w:ascii="Arial" w:eastAsia="Calibri" w:hAnsi="Arial" w:cs="Arial"/>
          <w:sz w:val="24"/>
          <w:szCs w:val="24"/>
        </w:rPr>
        <w:t xml:space="preserve"> Blue (Bio-Rad).</w:t>
      </w:r>
    </w:p>
    <w:p w14:paraId="7762C922"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bookmarkStart w:id="12" w:name="_Hlk521868416"/>
      <w:r w:rsidRPr="00116C4A">
        <w:rPr>
          <w:rFonts w:ascii="Arial" w:eastAsia="MS Gothic" w:hAnsi="Arial" w:cs="Arial"/>
          <w:b/>
          <w:i/>
          <w:sz w:val="24"/>
          <w:szCs w:val="24"/>
        </w:rPr>
        <w:t>Standard Trypsin Protein Digestion Protocol</w:t>
      </w:r>
    </w:p>
    <w:p w14:paraId="7CB68072" w14:textId="3628B015" w:rsidR="00652D52" w:rsidRPr="00116C4A" w:rsidRDefault="00652D52" w:rsidP="00DC5747">
      <w:pPr>
        <w:autoSpaceDE w:val="0"/>
        <w:autoSpaceDN w:val="0"/>
        <w:adjustRightInd w:val="0"/>
        <w:spacing w:line="480" w:lineRule="auto"/>
        <w:rPr>
          <w:rFonts w:ascii="Arial" w:eastAsia="Calibri" w:hAnsi="Arial" w:cs="Arial"/>
          <w:b/>
          <w:i/>
          <w:color w:val="000000"/>
          <w:sz w:val="24"/>
          <w:szCs w:val="24"/>
        </w:rPr>
      </w:pPr>
      <w:r w:rsidRPr="00116C4A">
        <w:rPr>
          <w:rFonts w:ascii="Arial" w:eastAsia="Calibri" w:hAnsi="Arial" w:cs="Arial"/>
          <w:sz w:val="24"/>
          <w:szCs w:val="24"/>
        </w:rPr>
        <w:t xml:space="preserve">During this study, previously developed standard trypsin digestion protocols were used for native SF protein digestion and on-bead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protein digestion, or a variation of this protocol as stated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{"citationItems":[{"id":"ITEM-1","itemData":{"DOI":"10.1016/j.joca.2015.03.019","ISBN":"1522-9653 (Electronic)\r1063-4584 (Linking)","PMID":"25819577","abstract":"OBJECTIVE: The aim of the study was to characterise the protein complement of synovial fluid (SF) in health and osteoarthritis (OA) using liquid chromatography mass spectrometry (LC-MS/MS) following peptide-based depletion of high abundance proteins. DESIGN: SF was used from nine normal and nine OA Thoroughbred horses. Samples were analysed with LC-MS/MS using a NanoAcquity LC coupled to an LTQ Orbitrap Velos. In order to enrich the lower-abundance protein fractions protein equalisation was first undertaken using ProteoMiner. Progenesis-QI LC-MS software was used for label-free quantification. In addition immunohistochemistry, western blotting and mRNA expression analysis was undertaken on selected joint tissues. RESULTS: The number of protein identifications was increased by 33% in the ProteoMiner treated SF compared to undepleted SF. A total of 764 proteins (462 with&gt;/=2 significant peptides) were identified in SF. A subset of 10 proteins were identified which were differentially expressed in OA SF. S100-A10, a calcium binding protein was upregulated in OA and validated with western blotting and immunohistochemistry. Several new OA specific peptide fragments (neopeptides) were identified. CONCLUSION: The protein equalisation method compressed the dynamic range of the synovial proteins identifying the most comprehensive SF proteome to date. A number of proteins were identified for the first time in SF which may be involved in the pathogenesis of OA. We identified a distinct set of proteins and neopeptides that may act as potential biomarkers to distinguish between normal and OA joints.","author":[{"dropping-particle":"","family":"Peffers","given":"M J","non-dropping-particle":"","parse-names":false,"suffix":""},{"dropping-particle":"","family":"McDermott","given":"B","non-dropping-particle":"","parse-names":false,"suffix":""},{"dropping-particle":"","family":"Clegg","given":"P D","non-dropping-particle":"","parse-names":false,"suffix":""},{"dropping-particle":"","family":"Riggs","given":"C M","non-dropping-particle":"","parse-names":false,"suffix":""}],"container-title":"Osteoarthritis Cartilage","edition":"2015/03/31","id":"ITEM-1","issue":"7","issued":{"date-parts":[["2015"]]},"note":"Peffers, M J\nMcDermott, B\nClegg, P D\nRiggs, C M\neng\nMR/K006312/1/Medical Research Council/United Kingdom\nEngland\nOsteoarthritis Cartilage. 2015 Jul;23(7):1204-13. doi: 10.1016/j.joca.2015.03.019. Epub 2015 Mar 26.","page":"1204-1213","title":"Comprehensive protein profiling of synovial fluid in osteoarthritis following protein equalization","type":"article-journal","volume":"23"},"uris":["http://www.mendeley.com/documents/?uuid=ed75eb3a-b27d-4d14-80fa-304ad52ab1c1"]}],"mendeley":{"formattedCitation":"&lt;sup&gt;32&lt;/sup&gt;","plainTextFormattedCitation":"32","previouslyFormattedCitation":"&lt;sup&gt;31&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32</w:t>
      </w:r>
      <w:r w:rsidRPr="00116C4A">
        <w:rPr>
          <w:rFonts w:ascii="Arial" w:eastAsia="Calibri" w:hAnsi="Arial" w:cs="Arial"/>
          <w:sz w:val="24"/>
          <w:szCs w:val="24"/>
        </w:rPr>
        <w:fldChar w:fldCharType="end"/>
      </w:r>
      <w:r w:rsidRPr="00116C4A">
        <w:rPr>
          <w:rFonts w:ascii="Arial" w:eastAsia="Calibri" w:hAnsi="Arial" w:cs="Arial"/>
          <w:sz w:val="24"/>
          <w:szCs w:val="24"/>
        </w:rPr>
        <w:t xml:space="preserve"> (Figure </w:t>
      </w:r>
      <w:r w:rsidR="004909F6">
        <w:rPr>
          <w:rFonts w:ascii="Arial" w:eastAsia="Calibri" w:hAnsi="Arial" w:cs="Arial"/>
          <w:sz w:val="24"/>
          <w:szCs w:val="24"/>
        </w:rPr>
        <w:t>S</w:t>
      </w:r>
      <w:r w:rsidRPr="00116C4A">
        <w:rPr>
          <w:rFonts w:ascii="Arial" w:eastAsia="Calibri" w:hAnsi="Arial" w:cs="Arial"/>
          <w:sz w:val="24"/>
          <w:szCs w:val="24"/>
        </w:rPr>
        <w:t xml:space="preserve">1). 160 µl of 25 </w:t>
      </w:r>
      <w:proofErr w:type="spellStart"/>
      <w:r w:rsidRPr="00116C4A">
        <w:rPr>
          <w:rFonts w:ascii="Arial" w:eastAsia="Calibri" w:hAnsi="Arial" w:cs="Arial"/>
          <w:sz w:val="24"/>
          <w:szCs w:val="24"/>
        </w:rPr>
        <w:t>mM</w:t>
      </w:r>
      <w:proofErr w:type="spellEnd"/>
      <w:r w:rsidRPr="00116C4A">
        <w:rPr>
          <w:rFonts w:ascii="Arial" w:eastAsia="Calibri" w:hAnsi="Arial" w:cs="Arial"/>
          <w:sz w:val="24"/>
          <w:szCs w:val="24"/>
        </w:rPr>
        <w:t xml:space="preserve"> ammonium bicarbonate (</w:t>
      </w:r>
      <w:proofErr w:type="spellStart"/>
      <w:r w:rsidRPr="00116C4A">
        <w:rPr>
          <w:rFonts w:ascii="Arial" w:eastAsia="Calibri" w:hAnsi="Arial" w:cs="Arial"/>
          <w:sz w:val="24"/>
          <w:szCs w:val="24"/>
        </w:rPr>
        <w:t>Fluka</w:t>
      </w:r>
      <w:proofErr w:type="spellEnd"/>
      <w:r w:rsidRPr="00116C4A">
        <w:rPr>
          <w:rFonts w:ascii="Arial" w:eastAsia="Calibri" w:hAnsi="Arial" w:cs="Arial"/>
          <w:sz w:val="24"/>
          <w:szCs w:val="24"/>
        </w:rPr>
        <w:t xml:space="preserve"> Chemicals Ltd., Gillingham, UK) containing 0.05% (w/v) </w:t>
      </w:r>
      <w:proofErr w:type="spellStart"/>
      <w:r w:rsidRPr="00116C4A">
        <w:rPr>
          <w:rFonts w:ascii="Arial" w:eastAsia="Calibri" w:hAnsi="Arial" w:cs="Arial"/>
          <w:sz w:val="24"/>
          <w:szCs w:val="24"/>
        </w:rPr>
        <w:t>RapiGest</w:t>
      </w:r>
      <w:proofErr w:type="spellEnd"/>
      <w:r w:rsidRPr="00116C4A">
        <w:rPr>
          <w:rFonts w:ascii="Arial" w:eastAsia="Calibri" w:hAnsi="Arial" w:cs="Arial"/>
          <w:sz w:val="24"/>
          <w:szCs w:val="24"/>
        </w:rPr>
        <w:t xml:space="preserve"> (Waters, Elstree, Hertfordshire, UK) was added to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For native SF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flow-through, the appropriate volume containing 100 µg of protein was diluted to a final volume of 160 µl 25 </w:t>
      </w:r>
      <w:proofErr w:type="spellStart"/>
      <w:r w:rsidRPr="00116C4A">
        <w:rPr>
          <w:rFonts w:ascii="Arial" w:eastAsia="Calibri" w:hAnsi="Arial" w:cs="Arial"/>
          <w:sz w:val="24"/>
          <w:szCs w:val="24"/>
        </w:rPr>
        <w:t>mM</w:t>
      </w:r>
      <w:proofErr w:type="spellEnd"/>
      <w:r w:rsidRPr="00116C4A">
        <w:rPr>
          <w:rFonts w:ascii="Arial" w:eastAsia="Calibri" w:hAnsi="Arial" w:cs="Arial"/>
          <w:sz w:val="24"/>
          <w:szCs w:val="24"/>
        </w:rPr>
        <w:t xml:space="preserve"> ammonium bicarbonate (</w:t>
      </w:r>
      <w:proofErr w:type="spellStart"/>
      <w:r w:rsidRPr="00116C4A">
        <w:rPr>
          <w:rFonts w:ascii="Arial" w:eastAsia="Calibri" w:hAnsi="Arial" w:cs="Arial"/>
          <w:sz w:val="24"/>
          <w:szCs w:val="24"/>
        </w:rPr>
        <w:t>Fluka</w:t>
      </w:r>
      <w:proofErr w:type="spellEnd"/>
      <w:r w:rsidRPr="00116C4A">
        <w:rPr>
          <w:rFonts w:ascii="Arial" w:eastAsia="Calibri" w:hAnsi="Arial" w:cs="Arial"/>
          <w:sz w:val="24"/>
          <w:szCs w:val="24"/>
        </w:rPr>
        <w:t xml:space="preserve">) containing 0.05% (w/v) </w:t>
      </w:r>
      <w:proofErr w:type="spellStart"/>
      <w:r w:rsidRPr="00116C4A">
        <w:rPr>
          <w:rFonts w:ascii="Arial" w:eastAsia="Calibri" w:hAnsi="Arial" w:cs="Arial"/>
          <w:sz w:val="24"/>
          <w:szCs w:val="24"/>
        </w:rPr>
        <w:t>RapiGest</w:t>
      </w:r>
      <w:proofErr w:type="spellEnd"/>
      <w:r w:rsidRPr="00116C4A">
        <w:rPr>
          <w:rFonts w:ascii="Arial" w:eastAsia="Calibri" w:hAnsi="Arial" w:cs="Arial"/>
          <w:sz w:val="24"/>
          <w:szCs w:val="24"/>
        </w:rPr>
        <w:t xml:space="preserve">. Samples were </w:t>
      </w:r>
      <w:r w:rsidRPr="00116C4A">
        <w:rPr>
          <w:rFonts w:ascii="Arial" w:eastAsia="Calibri" w:hAnsi="Arial" w:cs="Arial"/>
          <w:sz w:val="24"/>
          <w:szCs w:val="24"/>
        </w:rPr>
        <w:lastRenderedPageBreak/>
        <w:t xml:space="preserve">heated for 10 min at 80°C, 3 </w:t>
      </w:r>
      <w:proofErr w:type="spellStart"/>
      <w:r w:rsidRPr="00116C4A">
        <w:rPr>
          <w:rFonts w:ascii="Arial" w:eastAsia="Calibri" w:hAnsi="Arial" w:cs="Arial"/>
          <w:sz w:val="24"/>
          <w:szCs w:val="24"/>
        </w:rPr>
        <w:t>mM</w:t>
      </w:r>
      <w:proofErr w:type="spellEnd"/>
      <w:r w:rsidRPr="00116C4A">
        <w:rPr>
          <w:rFonts w:ascii="Arial" w:eastAsia="Calibri" w:hAnsi="Arial" w:cs="Arial"/>
          <w:sz w:val="24"/>
          <w:szCs w:val="24"/>
        </w:rPr>
        <w:t xml:space="preserve"> final concentration DL-</w:t>
      </w:r>
      <w:proofErr w:type="spellStart"/>
      <w:r w:rsidRPr="00116C4A">
        <w:rPr>
          <w:rFonts w:ascii="Arial" w:eastAsia="Calibri" w:hAnsi="Arial" w:cs="Arial"/>
          <w:sz w:val="24"/>
          <w:szCs w:val="24"/>
        </w:rPr>
        <w:t>Dithiothreitol</w:t>
      </w:r>
      <w:proofErr w:type="spellEnd"/>
      <w:r w:rsidRPr="00116C4A">
        <w:rPr>
          <w:rFonts w:ascii="Arial" w:eastAsia="Calibri" w:hAnsi="Arial" w:cs="Arial"/>
          <w:sz w:val="24"/>
          <w:szCs w:val="24"/>
        </w:rPr>
        <w:t xml:space="preserve"> (Sigma-Aldrich) added, heated at 60°C for 10 min and 9 </w:t>
      </w:r>
      <w:proofErr w:type="spellStart"/>
      <w:r w:rsidRPr="00116C4A">
        <w:rPr>
          <w:rFonts w:ascii="Arial" w:eastAsia="Calibri" w:hAnsi="Arial" w:cs="Arial"/>
          <w:sz w:val="24"/>
          <w:szCs w:val="24"/>
        </w:rPr>
        <w:t>mM</w:t>
      </w:r>
      <w:proofErr w:type="spellEnd"/>
      <w:r w:rsidRPr="00116C4A">
        <w:rPr>
          <w:rFonts w:ascii="Arial" w:eastAsia="Calibri" w:hAnsi="Arial" w:cs="Arial"/>
          <w:sz w:val="24"/>
          <w:szCs w:val="24"/>
        </w:rPr>
        <w:t xml:space="preserve"> final concentration </w:t>
      </w:r>
      <w:proofErr w:type="spellStart"/>
      <w:r w:rsidRPr="00116C4A">
        <w:rPr>
          <w:rFonts w:ascii="Arial" w:eastAsia="Calibri" w:hAnsi="Arial" w:cs="Arial"/>
          <w:sz w:val="24"/>
          <w:szCs w:val="24"/>
        </w:rPr>
        <w:t>iodoacetamide</w:t>
      </w:r>
      <w:proofErr w:type="spellEnd"/>
      <w:r w:rsidRPr="00116C4A">
        <w:rPr>
          <w:rFonts w:ascii="Arial" w:eastAsia="Calibri" w:hAnsi="Arial" w:cs="Arial"/>
          <w:sz w:val="24"/>
          <w:szCs w:val="24"/>
        </w:rPr>
        <w:t xml:space="preserve"> (Sigma-Aldrich) added and incubated at room temperature for 30 min in the dark. Protein digestion was carried out through the addition of 2 µg of proteomics grade trypsin (Sigma-Aldrich), rotation at 37°C for 16 hrs with repeated trypsin supplementation for 2 hrs, again rotating at 37°C. Columns were centrifuged at 1,000</w:t>
      </w:r>
      <w:r w:rsidRPr="00116C4A">
        <w:rPr>
          <w:rFonts w:ascii="Arial" w:eastAsia="Calibri" w:hAnsi="Arial" w:cs="Arial"/>
          <w:i/>
          <w:sz w:val="24"/>
          <w:szCs w:val="24"/>
        </w:rPr>
        <w:t>g</w:t>
      </w:r>
      <w:r w:rsidRPr="00116C4A">
        <w:rPr>
          <w:rFonts w:ascii="Arial" w:eastAsia="Calibri" w:hAnsi="Arial" w:cs="Arial"/>
          <w:sz w:val="24"/>
          <w:szCs w:val="24"/>
        </w:rPr>
        <w:t xml:space="preserve"> for 1 min, 0.5% (v/v) final concentration </w:t>
      </w:r>
      <w:proofErr w:type="spellStart"/>
      <w:r w:rsidRPr="00116C4A">
        <w:rPr>
          <w:rFonts w:ascii="Arial" w:eastAsia="Calibri" w:hAnsi="Arial" w:cs="Arial"/>
          <w:sz w:val="24"/>
          <w:szCs w:val="24"/>
        </w:rPr>
        <w:t>trifluoroacetic</w:t>
      </w:r>
      <w:proofErr w:type="spellEnd"/>
      <w:r w:rsidRPr="00116C4A">
        <w:rPr>
          <w:rFonts w:ascii="Arial" w:eastAsia="Calibri" w:hAnsi="Arial" w:cs="Arial"/>
          <w:sz w:val="24"/>
          <w:szCs w:val="24"/>
        </w:rPr>
        <w:t xml:space="preserve"> acid (TFA, Sigma-Aldrich) added, rotated at 37°C for 30 min, centrifuged at 13,000</w:t>
      </w:r>
      <w:r w:rsidRPr="00116C4A">
        <w:rPr>
          <w:rFonts w:ascii="Arial" w:eastAsia="Calibri" w:hAnsi="Arial" w:cs="Arial"/>
          <w:i/>
          <w:sz w:val="24"/>
          <w:szCs w:val="24"/>
        </w:rPr>
        <w:t>g</w:t>
      </w:r>
      <w:r w:rsidRPr="00116C4A">
        <w:rPr>
          <w:rFonts w:ascii="Arial" w:eastAsia="Calibri" w:hAnsi="Arial" w:cs="Arial"/>
          <w:sz w:val="24"/>
          <w:szCs w:val="24"/>
        </w:rPr>
        <w:t xml:space="preserve"> and 4°C for 15 min and the supernatant removed. </w:t>
      </w:r>
    </w:p>
    <w:p w14:paraId="006A8A28"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proofErr w:type="spellStart"/>
      <w:r w:rsidRPr="00116C4A">
        <w:rPr>
          <w:rFonts w:ascii="Arial" w:eastAsia="MS Gothic" w:hAnsi="Arial" w:cs="Arial"/>
          <w:b/>
          <w:i/>
          <w:sz w:val="24"/>
          <w:szCs w:val="24"/>
        </w:rPr>
        <w:t>ProteoMiner</w:t>
      </w:r>
      <w:r w:rsidRPr="00116C4A">
        <w:rPr>
          <w:rFonts w:ascii="Arial" w:eastAsia="MS Gothic" w:hAnsi="Arial" w:cs="Arial"/>
          <w:b/>
          <w:i/>
          <w:sz w:val="24"/>
          <w:szCs w:val="24"/>
          <w:vertAlign w:val="superscript"/>
        </w:rPr>
        <w:t>TM</w:t>
      </w:r>
      <w:proofErr w:type="spellEnd"/>
      <w:r w:rsidRPr="00116C4A">
        <w:rPr>
          <w:rFonts w:ascii="Arial" w:eastAsia="MS Gothic" w:hAnsi="Arial" w:cs="Arial"/>
          <w:b/>
          <w:i/>
          <w:sz w:val="24"/>
          <w:szCs w:val="24"/>
        </w:rPr>
        <w:t xml:space="preserve"> Bead Protein Fractions</w:t>
      </w:r>
    </w:p>
    <w:bookmarkEnd w:id="12"/>
    <w:p w14:paraId="1242D403" w14:textId="48158BBF" w:rsidR="00652D52" w:rsidRPr="00116C4A" w:rsidRDefault="00652D52" w:rsidP="00116C4A">
      <w:pPr>
        <w:autoSpaceDE w:val="0"/>
        <w:autoSpaceDN w:val="0"/>
        <w:adjustRightInd w:val="0"/>
        <w:spacing w:line="480" w:lineRule="auto"/>
        <w:rPr>
          <w:rFonts w:ascii="Arial" w:eastAsia="Calibri" w:hAnsi="Arial" w:cs="Arial"/>
          <w:color w:val="000000"/>
          <w:sz w:val="24"/>
          <w:szCs w:val="24"/>
        </w:rPr>
      </w:pPr>
      <w:r w:rsidRPr="00116C4A">
        <w:rPr>
          <w:rFonts w:ascii="Arial" w:eastAsia="Calibri" w:hAnsi="Arial" w:cs="Arial"/>
          <w:color w:val="000000"/>
          <w:sz w:val="24"/>
          <w:szCs w:val="24"/>
        </w:rPr>
        <w:t>Pooled equine SF was treated using the standard protocol of adding 1 µg/ml hyaluronidase, heating at 37°C for 1 hr, centrifuging at 1,000</w:t>
      </w:r>
      <w:r w:rsidRPr="00116C4A">
        <w:rPr>
          <w:rFonts w:ascii="Arial" w:eastAsia="Calibri" w:hAnsi="Arial" w:cs="Arial"/>
          <w:i/>
          <w:color w:val="000000"/>
          <w:sz w:val="24"/>
          <w:szCs w:val="24"/>
        </w:rPr>
        <w:t>g</w:t>
      </w:r>
      <w:r w:rsidRPr="00116C4A">
        <w:rPr>
          <w:rFonts w:ascii="Arial" w:eastAsia="Calibri" w:hAnsi="Arial" w:cs="Arial"/>
          <w:color w:val="000000"/>
          <w:sz w:val="24"/>
          <w:szCs w:val="24"/>
        </w:rPr>
        <w:t xml:space="preserve"> for 5 min, removing the supernatant and passing through a 0.22 µm cellulose acetate filter at 5,000</w:t>
      </w:r>
      <w:r w:rsidRPr="00116C4A">
        <w:rPr>
          <w:rFonts w:ascii="Arial" w:eastAsia="Calibri" w:hAnsi="Arial" w:cs="Arial"/>
          <w:i/>
          <w:color w:val="000000"/>
          <w:sz w:val="24"/>
          <w:szCs w:val="24"/>
        </w:rPr>
        <w:t>g</w:t>
      </w:r>
      <w:r w:rsidRPr="00116C4A">
        <w:rPr>
          <w:rFonts w:ascii="Arial" w:eastAsia="Calibri" w:hAnsi="Arial" w:cs="Arial"/>
          <w:color w:val="000000"/>
          <w:sz w:val="24"/>
          <w:szCs w:val="24"/>
        </w:rPr>
        <w:t xml:space="preserve"> for 15 min. A </w:t>
      </w:r>
      <w:proofErr w:type="spellStart"/>
      <w:r w:rsidRPr="00116C4A">
        <w:rPr>
          <w:rFonts w:ascii="Arial" w:eastAsia="Calibri" w:hAnsi="Arial" w:cs="Arial"/>
          <w:color w:val="000000"/>
          <w:sz w:val="24"/>
          <w:szCs w:val="24"/>
        </w:rPr>
        <w:t>ProteoMiner</w:t>
      </w:r>
      <w:proofErr w:type="spellEnd"/>
      <w:r w:rsidRPr="00116C4A">
        <w:rPr>
          <w:rFonts w:ascii="Arial" w:eastAsia="Calibri" w:hAnsi="Arial" w:cs="Arial"/>
          <w:color w:val="000000"/>
          <w:sz w:val="24"/>
          <w:szCs w:val="24"/>
        </w:rPr>
        <w:t>™ Small Capacity bead column (Bio-Rad) was loaded with 3.5 mg of protein and processed according to manufacturer instructions. The sample was rotated at room temperature for 2 hr, centrifuged at 1,000</w:t>
      </w:r>
      <w:r w:rsidRPr="00116C4A">
        <w:rPr>
          <w:rFonts w:ascii="Arial" w:eastAsia="Calibri" w:hAnsi="Arial" w:cs="Arial"/>
          <w:i/>
          <w:color w:val="000000"/>
          <w:sz w:val="24"/>
          <w:szCs w:val="24"/>
        </w:rPr>
        <w:t>g</w:t>
      </w:r>
      <w:r w:rsidRPr="00116C4A">
        <w:rPr>
          <w:rFonts w:ascii="Arial" w:eastAsia="Calibri" w:hAnsi="Arial" w:cs="Arial"/>
          <w:color w:val="000000"/>
          <w:sz w:val="24"/>
          <w:szCs w:val="24"/>
        </w:rPr>
        <w:t xml:space="preserve"> for 1 min (flow-through also collected), the beads washed in 200 µl phosphate buffered saline (PBS), rotated for 5 min and centrifuged for 1 min at 1,000</w:t>
      </w:r>
      <w:r w:rsidRPr="00116C4A">
        <w:rPr>
          <w:rFonts w:ascii="Arial" w:eastAsia="Calibri" w:hAnsi="Arial" w:cs="Arial"/>
          <w:i/>
          <w:color w:val="000000"/>
          <w:sz w:val="24"/>
          <w:szCs w:val="24"/>
        </w:rPr>
        <w:t>g</w:t>
      </w:r>
      <w:r w:rsidRPr="00116C4A">
        <w:rPr>
          <w:rFonts w:ascii="Arial" w:eastAsia="Calibri" w:hAnsi="Arial" w:cs="Arial"/>
          <w:color w:val="000000"/>
          <w:sz w:val="24"/>
          <w:szCs w:val="24"/>
        </w:rPr>
        <w:t xml:space="preserve"> with the wash flow-through collected. The wash step was completed three further times with the final being completed using deionised water. 20 µl of elution buffer (8 M urea, 5% acetic acid and 2% CHAPS) was added to the column, vortexed several times over 15 min, centrifuged at 1,000</w:t>
      </w:r>
      <w:r w:rsidRPr="00116C4A">
        <w:rPr>
          <w:rFonts w:ascii="Arial" w:eastAsia="Calibri" w:hAnsi="Arial" w:cs="Arial"/>
          <w:i/>
          <w:color w:val="000000"/>
          <w:sz w:val="24"/>
          <w:szCs w:val="24"/>
        </w:rPr>
        <w:t>g</w:t>
      </w:r>
      <w:r w:rsidRPr="00116C4A">
        <w:rPr>
          <w:rFonts w:ascii="Arial" w:eastAsia="Calibri" w:hAnsi="Arial" w:cs="Arial"/>
          <w:color w:val="000000"/>
          <w:sz w:val="24"/>
          <w:szCs w:val="24"/>
        </w:rPr>
        <w:t xml:space="preserve"> for 15 min and the elution collected. The elution step was repeated two further times. All fractions collected during the protocol were analysed to assess the protein profiles/abundant protein depletion and protein content via 1D </w:t>
      </w:r>
      <w:r w:rsidRPr="00116C4A">
        <w:rPr>
          <w:rFonts w:ascii="Arial" w:eastAsia="Calibri" w:hAnsi="Arial" w:cs="Arial"/>
          <w:color w:val="000000"/>
          <w:sz w:val="24"/>
          <w:szCs w:val="24"/>
        </w:rPr>
        <w:lastRenderedPageBreak/>
        <w:t xml:space="preserve">SDS PAGE and stained with </w:t>
      </w:r>
      <w:proofErr w:type="spellStart"/>
      <w:r w:rsidRPr="00116C4A">
        <w:rPr>
          <w:rFonts w:ascii="Arial" w:eastAsia="Calibri" w:hAnsi="Arial" w:cs="Arial"/>
          <w:color w:val="000000"/>
          <w:sz w:val="24"/>
          <w:szCs w:val="24"/>
        </w:rPr>
        <w:t>Coomassie</w:t>
      </w:r>
      <w:proofErr w:type="spellEnd"/>
      <w:r w:rsidRPr="00116C4A">
        <w:rPr>
          <w:rFonts w:ascii="Arial" w:eastAsia="Calibri" w:hAnsi="Arial" w:cs="Arial"/>
          <w:color w:val="000000"/>
          <w:sz w:val="24"/>
          <w:szCs w:val="24"/>
        </w:rPr>
        <w:t xml:space="preserve"> Blue and a Pierce® 660 nm protein assay (</w:t>
      </w:r>
      <w:proofErr w:type="spellStart"/>
      <w:r w:rsidRPr="00116C4A">
        <w:rPr>
          <w:rFonts w:ascii="Arial" w:eastAsia="Calibri" w:hAnsi="Arial" w:cs="Arial"/>
          <w:color w:val="000000"/>
          <w:sz w:val="24"/>
          <w:szCs w:val="24"/>
        </w:rPr>
        <w:t>Thermo</w:t>
      </w:r>
      <w:proofErr w:type="spellEnd"/>
      <w:r w:rsidRPr="00116C4A">
        <w:rPr>
          <w:rFonts w:ascii="Arial" w:eastAsia="Calibri" w:hAnsi="Arial" w:cs="Arial"/>
          <w:color w:val="000000"/>
          <w:sz w:val="24"/>
          <w:szCs w:val="24"/>
        </w:rPr>
        <w:t xml:space="preserve"> Scientific, Waltham, Massachusetts, USA) respectively.</w:t>
      </w:r>
    </w:p>
    <w:p w14:paraId="28CC2267"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bookmarkStart w:id="13" w:name="_Hlk521872179"/>
      <w:proofErr w:type="spellStart"/>
      <w:r w:rsidRPr="00116C4A">
        <w:rPr>
          <w:rFonts w:ascii="Arial" w:eastAsia="MS Gothic" w:hAnsi="Arial" w:cs="Arial"/>
          <w:b/>
          <w:i/>
          <w:sz w:val="24"/>
          <w:szCs w:val="24"/>
        </w:rPr>
        <w:t>ProteoMiner</w:t>
      </w:r>
      <w:r w:rsidRPr="00116C4A">
        <w:rPr>
          <w:rFonts w:ascii="Arial" w:eastAsia="MS Gothic" w:hAnsi="Arial" w:cs="Arial"/>
          <w:b/>
          <w:i/>
          <w:sz w:val="24"/>
          <w:szCs w:val="24"/>
          <w:vertAlign w:val="superscript"/>
        </w:rPr>
        <w:t>TM</w:t>
      </w:r>
      <w:proofErr w:type="spellEnd"/>
      <w:r w:rsidRPr="00116C4A">
        <w:rPr>
          <w:rFonts w:ascii="Arial" w:eastAsia="MS Gothic" w:hAnsi="Arial" w:cs="Arial"/>
          <w:b/>
          <w:i/>
          <w:sz w:val="24"/>
          <w:szCs w:val="24"/>
        </w:rPr>
        <w:t xml:space="preserve"> Bead Protein Loading</w:t>
      </w:r>
    </w:p>
    <w:bookmarkEnd w:id="13"/>
    <w:p w14:paraId="3A5087F2"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Following the standard hyaluronidase treatment protocol, 1.0 mg, 2.5 mg and 5.0 mg of a pooled SF sample and 5.0 mg and 10.0 mg of a separate pooled SF sample were loaded onto separate </w:t>
      </w:r>
      <w:bookmarkStart w:id="14" w:name="_Hlk522368783"/>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bookmarkEnd w:id="14"/>
      <w:proofErr w:type="spellEnd"/>
      <w:r w:rsidRPr="00116C4A">
        <w:rPr>
          <w:rFonts w:ascii="Arial" w:eastAsia="Calibri" w:hAnsi="Arial" w:cs="Arial"/>
          <w:sz w:val="24"/>
          <w:szCs w:val="24"/>
        </w:rPr>
        <w:t xml:space="preserve"> columns. Sample incubation and wash steps were completed according to manufacturer instructions. However, instead of protein elution, a standard on-bead digestion protocol was undertaken as previously stated. 100 µg of native SF protein and 100 µg of protein column flow-through were also digested using the same reduction, alkylation and digestion steps. Protein profiles were assessed using 1D SDS PAGE and stained with </w:t>
      </w:r>
      <w:proofErr w:type="spellStart"/>
      <w:r w:rsidRPr="00116C4A">
        <w:rPr>
          <w:rFonts w:ascii="Arial" w:eastAsia="Calibri" w:hAnsi="Arial" w:cs="Arial"/>
          <w:sz w:val="24"/>
          <w:szCs w:val="24"/>
        </w:rPr>
        <w:t>Coomassie</w:t>
      </w:r>
      <w:proofErr w:type="spellEnd"/>
      <w:r w:rsidRPr="00116C4A">
        <w:rPr>
          <w:rFonts w:ascii="Arial" w:eastAsia="Calibri" w:hAnsi="Arial" w:cs="Arial"/>
          <w:sz w:val="24"/>
          <w:szCs w:val="24"/>
        </w:rPr>
        <w:t xml:space="preserve"> Blue. Digests were individually analysed via LC-MS/MS with 120</w:t>
      </w:r>
      <w:r w:rsidRPr="00116C4A">
        <w:rPr>
          <w:rFonts w:ascii="Arial" w:eastAsia="Calibri" w:hAnsi="Arial" w:cs="Arial"/>
          <w:color w:val="FF0000"/>
          <w:sz w:val="24"/>
          <w:szCs w:val="24"/>
        </w:rPr>
        <w:t xml:space="preserve"> </w:t>
      </w:r>
      <w:r w:rsidRPr="00116C4A">
        <w:rPr>
          <w:rFonts w:ascii="Arial" w:eastAsia="Calibri" w:hAnsi="Arial" w:cs="Arial"/>
          <w:sz w:val="24"/>
          <w:szCs w:val="24"/>
        </w:rPr>
        <w:t>min LC gradients.</w:t>
      </w:r>
    </w:p>
    <w:p w14:paraId="3E7C2BCA"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Gradient Length and Blank Acquisition</w:t>
      </w:r>
    </w:p>
    <w:p w14:paraId="3CA8B083" w14:textId="6D46D4DF"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SF protein digests used to assess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 protein loading (100 µg native SF and 2.5 mg column loading) were both analysed using LC-MS/MS with 60, 90 and 120 min LC gradients and the number of proteins and peptides identified for each protocol recorded. To assess peptide carry-over between successive samples, after each sample a ‘blank’ sample (</w:t>
      </w:r>
      <w:bookmarkStart w:id="15" w:name="_Hlk10109683"/>
      <w:r w:rsidRPr="00116C4A">
        <w:rPr>
          <w:rFonts w:ascii="Arial" w:eastAsia="Calibri" w:hAnsi="Arial" w:cs="Arial"/>
          <w:sz w:val="24"/>
          <w:szCs w:val="24"/>
        </w:rPr>
        <w:t>containing only sample buffer (97% (v/v) HPLC</w:t>
      </w:r>
      <w:r w:rsidR="00533679">
        <w:rPr>
          <w:rFonts w:ascii="Arial" w:eastAsia="Calibri" w:hAnsi="Arial" w:cs="Arial"/>
          <w:sz w:val="24"/>
          <w:szCs w:val="24"/>
        </w:rPr>
        <w:t xml:space="preserve"> </w:t>
      </w:r>
      <w:r w:rsidRPr="00116C4A">
        <w:rPr>
          <w:rFonts w:ascii="Arial" w:eastAsia="Calibri" w:hAnsi="Arial" w:cs="Arial"/>
          <w:sz w:val="24"/>
          <w:szCs w:val="24"/>
        </w:rPr>
        <w:t>grade H</w:t>
      </w:r>
      <w:r w:rsidRPr="00116C4A">
        <w:rPr>
          <w:rFonts w:ascii="Arial" w:eastAsia="Calibri" w:hAnsi="Arial" w:cs="Arial"/>
          <w:sz w:val="24"/>
          <w:szCs w:val="24"/>
          <w:vertAlign w:val="subscript"/>
        </w:rPr>
        <w:t>2</w:t>
      </w:r>
      <w:r w:rsidRPr="00116C4A">
        <w:rPr>
          <w:rFonts w:ascii="Arial" w:eastAsia="Calibri" w:hAnsi="Arial" w:cs="Arial"/>
          <w:sz w:val="24"/>
          <w:szCs w:val="24"/>
        </w:rPr>
        <w:t>0 (VWR International), 2.9% acetonitrile (</w:t>
      </w:r>
      <w:proofErr w:type="spellStart"/>
      <w:r w:rsidRPr="00116C4A">
        <w:rPr>
          <w:rFonts w:ascii="Arial" w:eastAsia="Calibri" w:hAnsi="Arial" w:cs="Arial"/>
          <w:sz w:val="24"/>
          <w:szCs w:val="24"/>
        </w:rPr>
        <w:t>Thermo</w:t>
      </w:r>
      <w:proofErr w:type="spellEnd"/>
      <w:r w:rsidRPr="00116C4A">
        <w:rPr>
          <w:rFonts w:ascii="Arial" w:eastAsia="Calibri" w:hAnsi="Arial" w:cs="Arial"/>
          <w:sz w:val="24"/>
          <w:szCs w:val="24"/>
        </w:rPr>
        <w:t xml:space="preserve"> Scientific) and 0.1% TFA </w:t>
      </w:r>
      <w:bookmarkEnd w:id="15"/>
      <w:r w:rsidRPr="00116C4A">
        <w:rPr>
          <w:rFonts w:ascii="Arial" w:eastAsia="Calibri" w:hAnsi="Arial" w:cs="Arial"/>
          <w:sz w:val="24"/>
          <w:szCs w:val="24"/>
        </w:rPr>
        <w:t xml:space="preserve">was run on a 30 min LC gradient and the spectra acquired. Following one SF sample a series of five successive blank samples were also run and again the spectra acquired. The abundance of each peptide identified within the blank sample was </w:t>
      </w:r>
      <w:r w:rsidRPr="00116C4A">
        <w:rPr>
          <w:rFonts w:ascii="Arial" w:eastAsia="Calibri" w:hAnsi="Arial" w:cs="Arial"/>
          <w:sz w:val="24"/>
          <w:szCs w:val="24"/>
        </w:rPr>
        <w:lastRenderedPageBreak/>
        <w:t>calculated as a percentage of the abundance within the previous SF sample and the median of peptide percentage carry-overs recorded.</w:t>
      </w:r>
    </w:p>
    <w:p w14:paraId="2E885A0C"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 xml:space="preserve">Synovial Fluid Protein Digestion Profiles: </w:t>
      </w:r>
      <w:proofErr w:type="spellStart"/>
      <w:r w:rsidRPr="00116C4A">
        <w:rPr>
          <w:rFonts w:ascii="Arial" w:eastAsia="MS Gothic" w:hAnsi="Arial" w:cs="Arial"/>
          <w:b/>
          <w:i/>
          <w:sz w:val="24"/>
          <w:szCs w:val="24"/>
        </w:rPr>
        <w:t>Coomassie</w:t>
      </w:r>
      <w:proofErr w:type="spellEnd"/>
      <w:r w:rsidRPr="00116C4A">
        <w:rPr>
          <w:rFonts w:ascii="Arial" w:eastAsia="MS Gothic" w:hAnsi="Arial" w:cs="Arial"/>
          <w:b/>
          <w:i/>
          <w:sz w:val="24"/>
          <w:szCs w:val="24"/>
        </w:rPr>
        <w:t xml:space="preserve"> Brilliant Blue vs Silver Stain</w:t>
      </w:r>
    </w:p>
    <w:p w14:paraId="3FF34AA3"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100 </w:t>
      </w:r>
      <w:proofErr w:type="spellStart"/>
      <w:r w:rsidRPr="00116C4A">
        <w:rPr>
          <w:rFonts w:ascii="Arial" w:eastAsia="Calibri" w:hAnsi="Arial" w:cs="Arial"/>
          <w:sz w:val="24"/>
          <w:szCs w:val="24"/>
        </w:rPr>
        <w:t>μg</w:t>
      </w:r>
      <w:proofErr w:type="spellEnd"/>
      <w:r w:rsidRPr="00116C4A">
        <w:rPr>
          <w:rFonts w:ascii="Arial" w:eastAsia="Calibri" w:hAnsi="Arial" w:cs="Arial"/>
          <w:sz w:val="24"/>
          <w:szCs w:val="24"/>
        </w:rPr>
        <w:t xml:space="preserve"> of protein of native human SF and 3 mg loaded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for the same nine separate human donors underwent a standard 16hr + 2hr trypsin digestion protocol. Digestion profiles were then analysed via 1D SDS PAGE and stained using both </w:t>
      </w:r>
      <w:proofErr w:type="spellStart"/>
      <w:r w:rsidRPr="00116C4A">
        <w:rPr>
          <w:rFonts w:ascii="Arial" w:eastAsia="Calibri" w:hAnsi="Arial" w:cs="Arial"/>
          <w:sz w:val="24"/>
          <w:szCs w:val="24"/>
        </w:rPr>
        <w:t>Coomassie</w:t>
      </w:r>
      <w:proofErr w:type="spellEnd"/>
      <w:r w:rsidRPr="00116C4A">
        <w:rPr>
          <w:rFonts w:ascii="Arial" w:eastAsia="Calibri" w:hAnsi="Arial" w:cs="Arial"/>
          <w:sz w:val="24"/>
          <w:szCs w:val="24"/>
        </w:rPr>
        <w:t xml:space="preserve"> Brilliant Blue and silver staining.</w:t>
      </w:r>
    </w:p>
    <w:p w14:paraId="7383259B"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bookmarkStart w:id="16" w:name="_Hlk522371306"/>
      <w:r w:rsidRPr="00116C4A">
        <w:rPr>
          <w:rFonts w:ascii="Arial" w:eastAsia="MS Gothic" w:hAnsi="Arial" w:cs="Arial"/>
          <w:b/>
          <w:i/>
          <w:sz w:val="24"/>
          <w:szCs w:val="24"/>
        </w:rPr>
        <w:t>Protein Digestion Optimisation</w:t>
      </w:r>
    </w:p>
    <w:bookmarkEnd w:id="16"/>
    <w:p w14:paraId="094695B6" w14:textId="77BC5F9A" w:rsidR="00652D52"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Variations of the previously stated standard digestion protocols were used for 100 µg and 2.5 mg loaded </w:t>
      </w:r>
      <w:bookmarkStart w:id="17" w:name="_Hlk522372177"/>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w:t>
      </w:r>
      <w:bookmarkEnd w:id="17"/>
      <w:r w:rsidRPr="00116C4A">
        <w:rPr>
          <w:rFonts w:ascii="Arial" w:eastAsia="Calibri" w:hAnsi="Arial" w:cs="Arial"/>
          <w:sz w:val="24"/>
          <w:szCs w:val="24"/>
        </w:rPr>
        <w:t xml:space="preserve">columns using the 16hr + 2hr trypsin digestion method (Table </w:t>
      </w:r>
      <w:r w:rsidR="008C24E2">
        <w:rPr>
          <w:rFonts w:ascii="Arial" w:eastAsia="Calibri" w:hAnsi="Arial" w:cs="Arial"/>
          <w:sz w:val="24"/>
          <w:szCs w:val="24"/>
        </w:rPr>
        <w:t>S</w:t>
      </w:r>
      <w:r w:rsidRPr="00116C4A">
        <w:rPr>
          <w:rFonts w:ascii="Arial" w:eastAsia="Calibri" w:hAnsi="Arial" w:cs="Arial"/>
          <w:sz w:val="24"/>
          <w:szCs w:val="24"/>
        </w:rPr>
        <w:t xml:space="preserve">2). Native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was digested using 4hr, 16hr and 16hr + 2hr trypsin protocols. Additionally, for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a 16hr + 16hr trypsin on-bead digestion protocol was also investigated as well as 16hr trypsin digests centrifuged at 1,000</w:t>
      </w:r>
      <w:r w:rsidRPr="00116C4A">
        <w:rPr>
          <w:rFonts w:ascii="Arial" w:eastAsia="Calibri" w:hAnsi="Arial" w:cs="Arial"/>
          <w:i/>
          <w:sz w:val="24"/>
          <w:szCs w:val="24"/>
        </w:rPr>
        <w:t>g</w:t>
      </w:r>
      <w:r w:rsidRPr="00116C4A">
        <w:rPr>
          <w:rFonts w:ascii="Arial" w:eastAsia="Calibri" w:hAnsi="Arial" w:cs="Arial"/>
          <w:sz w:val="24"/>
          <w:szCs w:val="24"/>
        </w:rPr>
        <w:t xml:space="preserve"> for 1 min and the second stage protein digestion (2</w:t>
      </w:r>
      <w:r w:rsidR="005E2329">
        <w:rPr>
          <w:rFonts w:ascii="Arial" w:eastAsia="Calibri" w:hAnsi="Arial" w:cs="Arial"/>
          <w:sz w:val="24"/>
          <w:szCs w:val="24"/>
        </w:rPr>
        <w:t xml:space="preserve"> </w:t>
      </w:r>
      <w:r w:rsidRPr="00116C4A">
        <w:rPr>
          <w:rFonts w:ascii="Arial" w:eastAsia="Calibri" w:hAnsi="Arial" w:cs="Arial"/>
          <w:sz w:val="24"/>
          <w:szCs w:val="24"/>
        </w:rPr>
        <w:t>hr or 16</w:t>
      </w:r>
      <w:r w:rsidR="005E2329">
        <w:rPr>
          <w:rFonts w:ascii="Arial" w:eastAsia="Calibri" w:hAnsi="Arial" w:cs="Arial"/>
          <w:sz w:val="24"/>
          <w:szCs w:val="24"/>
        </w:rPr>
        <w:t xml:space="preserve"> </w:t>
      </w:r>
      <w:r w:rsidRPr="00116C4A">
        <w:rPr>
          <w:rFonts w:ascii="Arial" w:eastAsia="Calibri" w:hAnsi="Arial" w:cs="Arial"/>
          <w:sz w:val="24"/>
          <w:szCs w:val="24"/>
        </w:rPr>
        <w:t xml:space="preserve">hr trypsin digestion) carried out on the resulting supernatant. Each of these </w:t>
      </w:r>
      <w:bookmarkStart w:id="18" w:name="_Hlk522370357"/>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w:t>
      </w:r>
      <w:bookmarkEnd w:id="18"/>
      <w:r w:rsidRPr="00116C4A">
        <w:rPr>
          <w:rFonts w:ascii="Arial" w:eastAsia="Calibri" w:hAnsi="Arial" w:cs="Arial"/>
          <w:sz w:val="24"/>
          <w:szCs w:val="24"/>
        </w:rPr>
        <w:t xml:space="preserve">protocols was also analysed using a pre-digest step of Lys-C endopeptidase (FUJIFILM Wako Pure Chemical, Osaka, Japan). Prior to trypsin digestion, 2 µg of Lys-C (10 µg/ml final digest concentration) was added to the column and incubated at 37˚C for 4 hr. A longer 16hr Lys-C pre-digest was also investigated for the standard 16hr + 2hr trypsin digestion protocol. Different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loading methods were also investigated. After an initial 2hr on-bead sample incubation and centrifugation, a second SF load of equal protein </w:t>
      </w:r>
      <w:r w:rsidRPr="00116C4A">
        <w:rPr>
          <w:rFonts w:ascii="Arial" w:eastAsia="Calibri" w:hAnsi="Arial" w:cs="Arial"/>
          <w:sz w:val="24"/>
          <w:szCs w:val="24"/>
        </w:rPr>
        <w:lastRenderedPageBreak/>
        <w:t xml:space="preserve">was added to the column and a second 2 hr incubation undertaken. Additionally to this, following a 2 hr on-bead sample incubation and centrifugation, the resultant flow-through was reloaded onto the column and a second 2 hr incubation carried out. As well as on-bead digestion protocols, one column did not undergo protein digestion with the intact proteins eluted using the manufacturer’s instructions and elution buffer, as previously described, to compare the protein bound protein profile to that of the digested protein profiles. Following processing, samples,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beads, were analysed by 1D SDS PAGE and silver staining. LC-MS/MS was undertaken with a 1</w:t>
      </w:r>
      <w:r w:rsidR="005E2329">
        <w:rPr>
          <w:rFonts w:ascii="Arial" w:eastAsia="Calibri" w:hAnsi="Arial" w:cs="Arial"/>
          <w:sz w:val="24"/>
          <w:szCs w:val="24"/>
        </w:rPr>
        <w:t xml:space="preserve"> </w:t>
      </w:r>
      <w:r w:rsidRPr="00116C4A">
        <w:rPr>
          <w:rFonts w:ascii="Arial" w:eastAsia="Calibri" w:hAnsi="Arial" w:cs="Arial"/>
          <w:sz w:val="24"/>
          <w:szCs w:val="24"/>
        </w:rPr>
        <w:t>hr LC gradient.</w:t>
      </w:r>
    </w:p>
    <w:p w14:paraId="7BC6C24D" w14:textId="247D4D59"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Tryptic Peptide Reproducibility</w:t>
      </w:r>
    </w:p>
    <w:p w14:paraId="1318F917"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Using the same pooled equine SF, following hyaluronidase treatment and </w:t>
      </w:r>
      <w:proofErr w:type="spellStart"/>
      <w:r w:rsidRPr="00116C4A">
        <w:rPr>
          <w:rFonts w:ascii="Arial" w:eastAsia="Calibri" w:hAnsi="Arial" w:cs="Arial"/>
          <w:sz w:val="24"/>
          <w:szCs w:val="24"/>
        </w:rPr>
        <w:t>CoStar</w:t>
      </w:r>
      <w:proofErr w:type="spellEnd"/>
      <w:r w:rsidRPr="00116C4A">
        <w:rPr>
          <w:rFonts w:ascii="Arial" w:eastAsia="Calibri" w:hAnsi="Arial" w:cs="Arial"/>
          <w:sz w:val="24"/>
          <w:szCs w:val="24"/>
        </w:rPr>
        <w:t xml:space="preserve"> processing, 100 </w:t>
      </w:r>
      <w:proofErr w:type="spellStart"/>
      <w:r w:rsidRPr="00116C4A">
        <w:rPr>
          <w:rFonts w:ascii="Arial" w:eastAsia="Calibri" w:hAnsi="Arial" w:cs="Arial"/>
          <w:sz w:val="24"/>
          <w:szCs w:val="24"/>
        </w:rPr>
        <w:t>μg</w:t>
      </w:r>
      <w:proofErr w:type="spellEnd"/>
      <w:r w:rsidRPr="00116C4A">
        <w:rPr>
          <w:rFonts w:ascii="Arial" w:eastAsia="Calibri" w:hAnsi="Arial" w:cs="Arial"/>
          <w:sz w:val="24"/>
          <w:szCs w:val="24"/>
        </w:rPr>
        <w:t xml:space="preserve"> of protein and 2.5 mg loaded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(including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flow-</w:t>
      </w:r>
      <w:proofErr w:type="spellStart"/>
      <w:r w:rsidRPr="00116C4A">
        <w:rPr>
          <w:rFonts w:ascii="Arial" w:eastAsia="Calibri" w:hAnsi="Arial" w:cs="Arial"/>
          <w:sz w:val="24"/>
          <w:szCs w:val="24"/>
        </w:rPr>
        <w:t>throughs</w:t>
      </w:r>
      <w:proofErr w:type="spellEnd"/>
      <w:r w:rsidRPr="00116C4A">
        <w:rPr>
          <w:rFonts w:ascii="Arial" w:eastAsia="Calibri" w:hAnsi="Arial" w:cs="Arial"/>
          <w:sz w:val="24"/>
          <w:szCs w:val="24"/>
        </w:rPr>
        <w:t xml:space="preserve">) underwent a standard 16hr + 2hr trypsin digestion protocol with three technical replicates of each. All samples were analysed using LC-MS/MS with a 2 hr LC gradient. Additionally, for each sample type, the same vial was also analysed three times to investigate the reproducibility of LC-MS/MS alone.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loaded with 2.5 mg of pooled SF which underwent a 4hr Lys-C + 16hr + 2hr trypsin protocol were also analysed, although flow-through and repeated vial analysis was not undertaken.</w:t>
      </w:r>
    </w:p>
    <w:p w14:paraId="4018973C"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Semi-Tryptic Peptide Reproducibility</w:t>
      </w:r>
    </w:p>
    <w:p w14:paraId="0A6EB543"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100 </w:t>
      </w:r>
      <w:proofErr w:type="spellStart"/>
      <w:r w:rsidRPr="00116C4A">
        <w:rPr>
          <w:rFonts w:ascii="Arial" w:eastAsia="Calibri" w:hAnsi="Arial" w:cs="Arial"/>
          <w:sz w:val="24"/>
          <w:szCs w:val="24"/>
        </w:rPr>
        <w:t>μg</w:t>
      </w:r>
      <w:proofErr w:type="spellEnd"/>
      <w:r w:rsidRPr="00116C4A">
        <w:rPr>
          <w:rFonts w:ascii="Arial" w:eastAsia="Calibri" w:hAnsi="Arial" w:cs="Arial"/>
          <w:sz w:val="24"/>
          <w:szCs w:val="24"/>
        </w:rPr>
        <w:t xml:space="preserve"> protein of native SF underwent 4hr trypsin and 16hr + 2hr trypsin protocols in technical triplicates. 2.5 mg loaded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underwent 4hr trypsin, 16hr + 2hr trypsin, 4hr Lys-C + 4hr trypsin and 4hr Lys-C + 16hr + 2hr trypsin </w:t>
      </w:r>
      <w:r w:rsidRPr="00116C4A">
        <w:rPr>
          <w:rFonts w:ascii="Arial" w:eastAsia="Calibri" w:hAnsi="Arial" w:cs="Arial"/>
          <w:sz w:val="24"/>
          <w:szCs w:val="24"/>
        </w:rPr>
        <w:lastRenderedPageBreak/>
        <w:t>digestion protocols, also in technical triplicate. All digests were analysed by LC-MS/MS with using 1hr and 2hr LC gradients.</w:t>
      </w:r>
    </w:p>
    <w:p w14:paraId="542C845C"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1D SDS PAGE</w:t>
      </w:r>
    </w:p>
    <w:p w14:paraId="4ADEA007" w14:textId="77777777" w:rsidR="00652D52" w:rsidRPr="00116C4A" w:rsidRDefault="00652D52" w:rsidP="00116C4A">
      <w:pPr>
        <w:spacing w:line="480" w:lineRule="auto"/>
        <w:rPr>
          <w:rFonts w:ascii="Arial" w:eastAsia="Calibri" w:hAnsi="Arial" w:cs="Arial"/>
          <w:sz w:val="24"/>
          <w:szCs w:val="24"/>
        </w:rPr>
      </w:pPr>
      <w:r w:rsidRPr="00116C4A">
        <w:rPr>
          <w:rFonts w:ascii="Arial" w:eastAsia="Calibri" w:hAnsi="Arial" w:cs="Arial"/>
          <w:sz w:val="24"/>
          <w:szCs w:val="24"/>
        </w:rPr>
        <w:t>1</w:t>
      </w:r>
      <w:bookmarkStart w:id="19" w:name="_Hlk522372222"/>
      <w:r w:rsidRPr="00116C4A">
        <w:rPr>
          <w:rFonts w:ascii="Arial" w:eastAsia="Calibri" w:hAnsi="Arial" w:cs="Arial"/>
          <w:sz w:val="24"/>
          <w:szCs w:val="24"/>
        </w:rPr>
        <w:t xml:space="preserve"> </w:t>
      </w:r>
      <w:proofErr w:type="spellStart"/>
      <w:r w:rsidRPr="00116C4A">
        <w:rPr>
          <w:rFonts w:ascii="Arial" w:eastAsia="Calibri" w:hAnsi="Arial" w:cs="Arial"/>
          <w:sz w:val="24"/>
          <w:szCs w:val="24"/>
        </w:rPr>
        <w:t>μl</w:t>
      </w:r>
      <w:bookmarkEnd w:id="19"/>
      <w:proofErr w:type="spellEnd"/>
      <w:r w:rsidRPr="00116C4A">
        <w:rPr>
          <w:rFonts w:ascii="Arial" w:eastAsia="Calibri" w:hAnsi="Arial" w:cs="Arial"/>
          <w:sz w:val="24"/>
          <w:szCs w:val="24"/>
        </w:rPr>
        <w:t xml:space="preserve"> of native SF, 5 </w:t>
      </w:r>
      <w:proofErr w:type="spellStart"/>
      <w:r w:rsidRPr="00116C4A">
        <w:rPr>
          <w:rFonts w:ascii="Arial" w:eastAsia="Calibri" w:hAnsi="Arial" w:cs="Arial"/>
          <w:sz w:val="24"/>
          <w:szCs w:val="24"/>
        </w:rPr>
        <w:t>μl</w:t>
      </w:r>
      <w:proofErr w:type="spellEnd"/>
      <w:r w:rsidRPr="00116C4A">
        <w:rPr>
          <w:rFonts w:ascii="Arial" w:eastAsia="Calibri" w:hAnsi="Arial" w:cs="Arial"/>
          <w:sz w:val="24"/>
          <w:szCs w:val="24"/>
        </w:rPr>
        <w:t xml:space="preserve"> of digested SF or 8 </w:t>
      </w:r>
      <w:proofErr w:type="spellStart"/>
      <w:r w:rsidRPr="00116C4A">
        <w:rPr>
          <w:rFonts w:ascii="Arial" w:eastAsia="Calibri" w:hAnsi="Arial" w:cs="Arial"/>
          <w:sz w:val="24"/>
          <w:szCs w:val="24"/>
        </w:rPr>
        <w:t>μl</w:t>
      </w:r>
      <w:proofErr w:type="spellEnd"/>
      <w:r w:rsidRPr="00116C4A">
        <w:rPr>
          <w:rFonts w:ascii="Arial" w:eastAsia="Calibri" w:hAnsi="Arial" w:cs="Arial"/>
          <w:sz w:val="24"/>
          <w:szCs w:val="24"/>
        </w:rPr>
        <w:t xml:space="preserve"> of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beads were used for 1D SDS PAGE for optimal optimisation of protein bands. Samples were added to </w:t>
      </w:r>
      <w:proofErr w:type="spellStart"/>
      <w:r w:rsidRPr="00116C4A">
        <w:rPr>
          <w:rFonts w:ascii="Arial" w:eastAsia="Calibri" w:hAnsi="Arial" w:cs="Arial"/>
          <w:sz w:val="24"/>
          <w:szCs w:val="24"/>
        </w:rPr>
        <w:t>Laemmli</w:t>
      </w:r>
      <w:proofErr w:type="spellEnd"/>
      <w:r w:rsidRPr="00116C4A">
        <w:rPr>
          <w:rFonts w:ascii="Arial" w:eastAsia="Calibri" w:hAnsi="Arial" w:cs="Arial"/>
          <w:sz w:val="24"/>
          <w:szCs w:val="24"/>
        </w:rPr>
        <w:t xml:space="preserve"> loading buffer </w:t>
      </w:r>
      <w:proofErr w:type="spellStart"/>
      <w:r w:rsidRPr="00116C4A">
        <w:rPr>
          <w:rFonts w:ascii="Arial" w:eastAsia="Calibri" w:hAnsi="Arial" w:cs="Arial"/>
          <w:sz w:val="24"/>
          <w:szCs w:val="24"/>
        </w:rPr>
        <w:t>Novex</w:t>
      </w:r>
      <w:proofErr w:type="spellEnd"/>
      <w:r w:rsidRPr="00116C4A">
        <w:rPr>
          <w:rFonts w:ascii="Arial" w:eastAsia="Calibri" w:hAnsi="Arial" w:cs="Arial"/>
          <w:sz w:val="24"/>
          <w:szCs w:val="24"/>
        </w:rPr>
        <w:t>™ (</w:t>
      </w:r>
      <w:proofErr w:type="spellStart"/>
      <w:r w:rsidRPr="00116C4A">
        <w:rPr>
          <w:rFonts w:ascii="Arial" w:eastAsia="Calibri" w:hAnsi="Arial" w:cs="Arial"/>
          <w:sz w:val="24"/>
          <w:szCs w:val="24"/>
        </w:rPr>
        <w:t>Thermo</w:t>
      </w:r>
      <w:proofErr w:type="spellEnd"/>
      <w:r w:rsidRPr="00116C4A">
        <w:rPr>
          <w:rFonts w:ascii="Arial" w:eastAsia="Calibri" w:hAnsi="Arial" w:cs="Arial"/>
          <w:sz w:val="24"/>
          <w:szCs w:val="24"/>
        </w:rPr>
        <w:t xml:space="preserve"> Scientific) with a final concentration of 15% glycerine, 2.5% SDS, 2.5% </w:t>
      </w:r>
      <w:proofErr w:type="spellStart"/>
      <w:r w:rsidRPr="00116C4A">
        <w:rPr>
          <w:rFonts w:ascii="Arial" w:eastAsia="Calibri" w:hAnsi="Arial" w:cs="Arial"/>
          <w:sz w:val="24"/>
          <w:szCs w:val="24"/>
        </w:rPr>
        <w:t>Tris</w:t>
      </w:r>
      <w:proofErr w:type="spellEnd"/>
      <w:r w:rsidRPr="00116C4A">
        <w:rPr>
          <w:rFonts w:ascii="Arial" w:eastAsia="Calibri" w:hAnsi="Arial" w:cs="Arial"/>
          <w:sz w:val="24"/>
          <w:szCs w:val="24"/>
        </w:rPr>
        <w:t xml:space="preserve"> (</w:t>
      </w:r>
      <w:proofErr w:type="spellStart"/>
      <w:r w:rsidRPr="00116C4A">
        <w:rPr>
          <w:rFonts w:ascii="Arial" w:eastAsia="Calibri" w:hAnsi="Arial" w:cs="Arial"/>
          <w:sz w:val="24"/>
          <w:szCs w:val="24"/>
        </w:rPr>
        <w:t>hydroxymethyl</w:t>
      </w:r>
      <w:proofErr w:type="spellEnd"/>
      <w:r w:rsidRPr="00116C4A">
        <w:rPr>
          <w:rFonts w:ascii="Arial" w:eastAsia="Calibri" w:hAnsi="Arial" w:cs="Arial"/>
          <w:sz w:val="24"/>
          <w:szCs w:val="24"/>
        </w:rPr>
        <w:t xml:space="preserve">) </w:t>
      </w:r>
      <w:proofErr w:type="spellStart"/>
      <w:r w:rsidRPr="00116C4A">
        <w:rPr>
          <w:rFonts w:ascii="Arial" w:eastAsia="Calibri" w:hAnsi="Arial" w:cs="Arial"/>
          <w:sz w:val="24"/>
          <w:szCs w:val="24"/>
        </w:rPr>
        <w:t>aminomethane</w:t>
      </w:r>
      <w:proofErr w:type="spellEnd"/>
      <w:r w:rsidRPr="00116C4A">
        <w:rPr>
          <w:rFonts w:ascii="Arial" w:eastAsia="Calibri" w:hAnsi="Arial" w:cs="Arial"/>
          <w:sz w:val="24"/>
          <w:szCs w:val="24"/>
        </w:rPr>
        <w:t>, 2.5% HCL and 4% β-</w:t>
      </w:r>
      <w:proofErr w:type="spellStart"/>
      <w:r w:rsidRPr="00116C4A">
        <w:rPr>
          <w:rFonts w:ascii="Arial" w:eastAsia="Calibri" w:hAnsi="Arial" w:cs="Arial"/>
          <w:sz w:val="24"/>
          <w:szCs w:val="24"/>
        </w:rPr>
        <w:t>mercaptoethanol</w:t>
      </w:r>
      <w:proofErr w:type="spellEnd"/>
      <w:r w:rsidRPr="00116C4A">
        <w:rPr>
          <w:rFonts w:ascii="Arial" w:eastAsia="Calibri" w:hAnsi="Arial" w:cs="Arial"/>
          <w:sz w:val="24"/>
          <w:szCs w:val="24"/>
        </w:rPr>
        <w:t xml:space="preserve"> at pH 6.8 and heated for 5 min at 95˚C. Samples were loaded onto a 4-12% </w:t>
      </w:r>
      <w:proofErr w:type="spellStart"/>
      <w:r w:rsidRPr="00116C4A">
        <w:rPr>
          <w:rFonts w:ascii="Arial" w:eastAsia="Calibri" w:hAnsi="Arial" w:cs="Arial"/>
          <w:sz w:val="24"/>
          <w:szCs w:val="24"/>
        </w:rPr>
        <w:t>Bis-Tris</w:t>
      </w:r>
      <w:proofErr w:type="spellEnd"/>
      <w:r w:rsidRPr="00116C4A">
        <w:rPr>
          <w:rFonts w:ascii="Arial" w:eastAsia="Calibri" w:hAnsi="Arial" w:cs="Arial"/>
          <w:sz w:val="24"/>
          <w:szCs w:val="24"/>
        </w:rPr>
        <w:t xml:space="preserve"> polyacrylamide electrophoresis gel (</w:t>
      </w:r>
      <w:proofErr w:type="spellStart"/>
      <w:r w:rsidRPr="00116C4A">
        <w:rPr>
          <w:rFonts w:ascii="Arial" w:eastAsia="Calibri" w:hAnsi="Arial" w:cs="Arial"/>
          <w:sz w:val="24"/>
          <w:szCs w:val="24"/>
        </w:rPr>
        <w:t>NuPAGE</w:t>
      </w:r>
      <w:proofErr w:type="spellEnd"/>
      <w:r w:rsidRPr="00116C4A">
        <w:rPr>
          <w:rFonts w:ascii="Arial" w:eastAsia="Calibri" w:hAnsi="Arial" w:cs="Arial"/>
          <w:sz w:val="24"/>
          <w:szCs w:val="24"/>
        </w:rPr>
        <w:t xml:space="preserve">™ </w:t>
      </w:r>
      <w:proofErr w:type="spellStart"/>
      <w:r w:rsidRPr="00116C4A">
        <w:rPr>
          <w:rFonts w:ascii="Arial" w:eastAsia="Calibri" w:hAnsi="Arial" w:cs="Arial"/>
          <w:sz w:val="24"/>
          <w:szCs w:val="24"/>
        </w:rPr>
        <w:t>Novex</w:t>
      </w:r>
      <w:proofErr w:type="spellEnd"/>
      <w:r w:rsidRPr="00116C4A">
        <w:rPr>
          <w:rFonts w:ascii="Arial" w:eastAsia="Calibri" w:hAnsi="Arial" w:cs="Arial"/>
          <w:sz w:val="24"/>
          <w:szCs w:val="24"/>
        </w:rPr>
        <w:t xml:space="preserve">™, </w:t>
      </w:r>
      <w:proofErr w:type="spellStart"/>
      <w:r w:rsidRPr="00116C4A">
        <w:rPr>
          <w:rFonts w:ascii="Arial" w:eastAsia="Calibri" w:hAnsi="Arial" w:cs="Arial"/>
          <w:sz w:val="24"/>
          <w:szCs w:val="24"/>
        </w:rPr>
        <w:t>Thermo</w:t>
      </w:r>
      <w:proofErr w:type="spellEnd"/>
      <w:r w:rsidRPr="00116C4A">
        <w:rPr>
          <w:rFonts w:ascii="Arial" w:eastAsia="Calibri" w:hAnsi="Arial" w:cs="Arial"/>
          <w:sz w:val="24"/>
          <w:szCs w:val="24"/>
        </w:rPr>
        <w:t xml:space="preserve"> Scientific) with protein separation undertaken at 200V for 30 min at room temperature. </w:t>
      </w:r>
    </w:p>
    <w:p w14:paraId="59AE07E1"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proofErr w:type="spellStart"/>
      <w:r w:rsidRPr="00116C4A">
        <w:rPr>
          <w:rFonts w:ascii="Arial" w:eastAsia="MS Gothic" w:hAnsi="Arial" w:cs="Arial"/>
          <w:b/>
          <w:i/>
          <w:sz w:val="24"/>
          <w:szCs w:val="24"/>
        </w:rPr>
        <w:t>Coomassie</w:t>
      </w:r>
      <w:proofErr w:type="spellEnd"/>
      <w:r w:rsidRPr="00116C4A">
        <w:rPr>
          <w:rFonts w:ascii="Arial" w:eastAsia="MS Gothic" w:hAnsi="Arial" w:cs="Arial"/>
          <w:b/>
          <w:i/>
          <w:sz w:val="24"/>
          <w:szCs w:val="24"/>
        </w:rPr>
        <w:t xml:space="preserve"> Brilliant Blue Staining (Sensitivity = 100 ng of Protein)</w:t>
      </w:r>
    </w:p>
    <w:p w14:paraId="04712CB1" w14:textId="77777777" w:rsidR="00652D52" w:rsidRPr="00116C4A" w:rsidRDefault="00652D52" w:rsidP="00116C4A">
      <w:pPr>
        <w:spacing w:after="0" w:line="480" w:lineRule="auto"/>
        <w:rPr>
          <w:rFonts w:ascii="Arial" w:eastAsia="Times New Roman" w:hAnsi="Arial" w:cs="Arial"/>
          <w:sz w:val="24"/>
          <w:szCs w:val="24"/>
          <w:lang w:eastAsia="en-GB"/>
        </w:rPr>
      </w:pPr>
      <w:r w:rsidRPr="00116C4A">
        <w:rPr>
          <w:rFonts w:ascii="Arial" w:eastAsia="Times New Roman" w:hAnsi="Arial" w:cs="Arial"/>
          <w:sz w:val="24"/>
          <w:szCs w:val="24"/>
          <w:lang w:eastAsia="en-GB"/>
        </w:rPr>
        <w:t>Following 1D SDS PAGE, gels were washed three times in ddH</w:t>
      </w:r>
      <w:r w:rsidRPr="00116C4A">
        <w:rPr>
          <w:rFonts w:ascii="Arial" w:eastAsia="Times New Roman" w:hAnsi="Arial" w:cs="Arial"/>
          <w:sz w:val="24"/>
          <w:szCs w:val="24"/>
          <w:vertAlign w:val="subscript"/>
          <w:lang w:eastAsia="en-GB"/>
        </w:rPr>
        <w:t>2</w:t>
      </w:r>
      <w:r w:rsidRPr="00116C4A">
        <w:rPr>
          <w:rFonts w:ascii="Arial" w:eastAsia="Times New Roman" w:hAnsi="Arial" w:cs="Arial"/>
          <w:sz w:val="24"/>
          <w:szCs w:val="24"/>
          <w:lang w:eastAsia="en-GB"/>
        </w:rPr>
        <w:t xml:space="preserve">O for 5 min, stained with </w:t>
      </w:r>
      <w:proofErr w:type="spellStart"/>
      <w:r w:rsidRPr="00116C4A">
        <w:rPr>
          <w:rFonts w:ascii="Arial" w:eastAsia="Times New Roman" w:hAnsi="Arial" w:cs="Arial"/>
          <w:sz w:val="24"/>
          <w:szCs w:val="24"/>
          <w:lang w:eastAsia="en-GB"/>
        </w:rPr>
        <w:t>Coomassie</w:t>
      </w:r>
      <w:proofErr w:type="spellEnd"/>
      <w:r w:rsidRPr="00116C4A">
        <w:rPr>
          <w:rFonts w:ascii="Arial" w:eastAsia="Times New Roman" w:hAnsi="Arial" w:cs="Arial"/>
          <w:sz w:val="24"/>
          <w:szCs w:val="24"/>
          <w:lang w:eastAsia="en-GB"/>
        </w:rPr>
        <w:t xml:space="preserve"> Brilliant Blue stain (R-250, Bio-Rad) for 1 hr, </w:t>
      </w:r>
      <w:proofErr w:type="spellStart"/>
      <w:r w:rsidRPr="00116C4A">
        <w:rPr>
          <w:rFonts w:ascii="Arial" w:eastAsia="Times New Roman" w:hAnsi="Arial" w:cs="Arial"/>
          <w:sz w:val="24"/>
          <w:szCs w:val="24"/>
          <w:lang w:eastAsia="en-GB"/>
        </w:rPr>
        <w:t>Coomassie</w:t>
      </w:r>
      <w:proofErr w:type="spellEnd"/>
      <w:r w:rsidRPr="00116C4A">
        <w:rPr>
          <w:rFonts w:ascii="Arial" w:eastAsia="Times New Roman" w:hAnsi="Arial" w:cs="Arial"/>
          <w:sz w:val="24"/>
          <w:szCs w:val="24"/>
          <w:lang w:eastAsia="en-GB"/>
        </w:rPr>
        <w:t xml:space="preserve"> stain removed and de-stained with </w:t>
      </w:r>
      <w:proofErr w:type="spellStart"/>
      <w:r w:rsidRPr="00116C4A">
        <w:rPr>
          <w:rFonts w:ascii="Arial" w:eastAsia="Times New Roman" w:hAnsi="Arial" w:cs="Arial"/>
          <w:sz w:val="24"/>
          <w:szCs w:val="24"/>
          <w:lang w:eastAsia="en-GB"/>
        </w:rPr>
        <w:t>Coomassie</w:t>
      </w:r>
      <w:proofErr w:type="spellEnd"/>
      <w:r w:rsidRPr="00116C4A">
        <w:rPr>
          <w:rFonts w:ascii="Arial" w:eastAsia="Times New Roman" w:hAnsi="Arial" w:cs="Arial"/>
          <w:sz w:val="24"/>
          <w:szCs w:val="24"/>
          <w:lang w:eastAsia="en-GB"/>
        </w:rPr>
        <w:t xml:space="preserve"> Brilliant Blue de-staining solution (R-250, Bio-Rad) for 16 hr.</w:t>
      </w:r>
    </w:p>
    <w:p w14:paraId="04CC2FA3"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BA00AA">
        <w:rPr>
          <w:rFonts w:ascii="Arial" w:eastAsia="MS Gothic" w:hAnsi="Arial" w:cs="Arial"/>
          <w:b/>
          <w:i/>
          <w:sz w:val="24"/>
          <w:szCs w:val="24"/>
        </w:rPr>
        <w:t>Silver Staining (Sensitivity = 1 ng of Protein)</w:t>
      </w:r>
    </w:p>
    <w:p w14:paraId="284C2F92"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Following 1D SDS PAGE, gels were silver stained according to manufacturer instructions (</w:t>
      </w:r>
      <w:proofErr w:type="spellStart"/>
      <w:r w:rsidRPr="00116C4A">
        <w:rPr>
          <w:rFonts w:ascii="Arial" w:eastAsia="Calibri" w:hAnsi="Arial" w:cs="Arial"/>
          <w:sz w:val="24"/>
          <w:szCs w:val="24"/>
        </w:rPr>
        <w:t>Thermo</w:t>
      </w:r>
      <w:proofErr w:type="spellEnd"/>
      <w:r w:rsidRPr="00116C4A">
        <w:rPr>
          <w:rFonts w:ascii="Arial" w:eastAsia="Calibri" w:hAnsi="Arial" w:cs="Arial"/>
          <w:sz w:val="24"/>
          <w:szCs w:val="24"/>
        </w:rPr>
        <w:t xml:space="preserve"> Scientific). Gels were washed twice in ddH</w:t>
      </w:r>
      <w:r w:rsidRPr="00116C4A">
        <w:rPr>
          <w:rFonts w:ascii="Arial" w:eastAsia="Calibri" w:hAnsi="Arial" w:cs="Arial"/>
          <w:sz w:val="24"/>
          <w:szCs w:val="24"/>
          <w:vertAlign w:val="subscript"/>
        </w:rPr>
        <w:t>2</w:t>
      </w:r>
      <w:r w:rsidRPr="00116C4A">
        <w:rPr>
          <w:rFonts w:ascii="Arial" w:eastAsia="Calibri" w:hAnsi="Arial" w:cs="Arial"/>
          <w:sz w:val="24"/>
          <w:szCs w:val="24"/>
        </w:rPr>
        <w:t>O for 5 min, fixed in 30% (v/v) ethanol (Sigma-Aldrich): 10% (v/v) acetic acid (Sigma-Aldrich): 60% (v/v) ddH</w:t>
      </w:r>
      <w:r w:rsidRPr="00116C4A">
        <w:rPr>
          <w:rFonts w:ascii="Arial" w:eastAsia="Calibri" w:hAnsi="Arial" w:cs="Arial"/>
          <w:sz w:val="24"/>
          <w:szCs w:val="24"/>
          <w:vertAlign w:val="subscript"/>
        </w:rPr>
        <w:t>2</w:t>
      </w:r>
      <w:r w:rsidRPr="00116C4A">
        <w:rPr>
          <w:rFonts w:ascii="Arial" w:eastAsia="Calibri" w:hAnsi="Arial" w:cs="Arial"/>
          <w:sz w:val="24"/>
          <w:szCs w:val="24"/>
        </w:rPr>
        <w:t>0 for 15 min and the fixing step repeated. Gels were washed twice in 10% (v/v) ethanol: 90% (v/v) ddH</w:t>
      </w:r>
      <w:r w:rsidRPr="00116C4A">
        <w:rPr>
          <w:rFonts w:ascii="Arial" w:eastAsia="Calibri" w:hAnsi="Arial" w:cs="Arial"/>
          <w:sz w:val="24"/>
          <w:szCs w:val="24"/>
          <w:vertAlign w:val="subscript"/>
        </w:rPr>
        <w:t>2</w:t>
      </w:r>
      <w:r w:rsidRPr="00116C4A">
        <w:rPr>
          <w:rFonts w:ascii="Arial" w:eastAsia="Calibri" w:hAnsi="Arial" w:cs="Arial"/>
          <w:sz w:val="24"/>
          <w:szCs w:val="24"/>
        </w:rPr>
        <w:t>0 for 5 min, twice in 100% ddH</w:t>
      </w:r>
      <w:r w:rsidRPr="00116C4A">
        <w:rPr>
          <w:rFonts w:ascii="Arial" w:eastAsia="Calibri" w:hAnsi="Arial" w:cs="Arial"/>
          <w:sz w:val="24"/>
          <w:szCs w:val="24"/>
          <w:vertAlign w:val="subscript"/>
        </w:rPr>
        <w:t>2</w:t>
      </w:r>
      <w:r w:rsidRPr="00116C4A">
        <w:rPr>
          <w:rFonts w:ascii="Arial" w:eastAsia="Calibri" w:hAnsi="Arial" w:cs="Arial"/>
          <w:sz w:val="24"/>
          <w:szCs w:val="24"/>
        </w:rPr>
        <w:t xml:space="preserve">O for 5 min, incubated in a </w:t>
      </w:r>
      <w:r w:rsidRPr="00116C4A">
        <w:rPr>
          <w:rFonts w:ascii="Arial" w:eastAsia="Calibri" w:hAnsi="Arial" w:cs="Arial"/>
          <w:sz w:val="24"/>
          <w:szCs w:val="24"/>
        </w:rPr>
        <w:lastRenderedPageBreak/>
        <w:t>sensitizer working solution for 1 min and washed twice in 100% ddH</w:t>
      </w:r>
      <w:r w:rsidRPr="00116C4A">
        <w:rPr>
          <w:rFonts w:ascii="Arial" w:eastAsia="Calibri" w:hAnsi="Arial" w:cs="Arial"/>
          <w:sz w:val="24"/>
          <w:szCs w:val="24"/>
          <w:vertAlign w:val="subscript"/>
        </w:rPr>
        <w:t>2</w:t>
      </w:r>
      <w:r w:rsidRPr="00116C4A">
        <w:rPr>
          <w:rFonts w:ascii="Arial" w:eastAsia="Calibri" w:hAnsi="Arial" w:cs="Arial"/>
          <w:sz w:val="24"/>
          <w:szCs w:val="24"/>
        </w:rPr>
        <w:t>O for 1 min. The gel was then incubated in a stain working solution for 30 min, washed twice in ddH</w:t>
      </w:r>
      <w:r w:rsidRPr="00116C4A">
        <w:rPr>
          <w:rFonts w:ascii="Arial" w:eastAsia="Calibri" w:hAnsi="Arial" w:cs="Arial"/>
          <w:sz w:val="24"/>
          <w:szCs w:val="24"/>
          <w:vertAlign w:val="subscript"/>
        </w:rPr>
        <w:t>2</w:t>
      </w:r>
      <w:r w:rsidRPr="00116C4A">
        <w:rPr>
          <w:rFonts w:ascii="Arial" w:eastAsia="Calibri" w:hAnsi="Arial" w:cs="Arial"/>
          <w:sz w:val="24"/>
          <w:szCs w:val="24"/>
        </w:rPr>
        <w:t>O for 20 s, incubated in developer working solution for 2-3 min until bands appeared and finally 5% (v/v) acetic acid: 95% (v/v) ddH</w:t>
      </w:r>
      <w:r w:rsidRPr="00116C4A">
        <w:rPr>
          <w:rFonts w:ascii="Arial" w:eastAsia="Calibri" w:hAnsi="Arial" w:cs="Arial"/>
          <w:sz w:val="24"/>
          <w:szCs w:val="24"/>
          <w:vertAlign w:val="subscript"/>
        </w:rPr>
        <w:t>2</w:t>
      </w:r>
      <w:r w:rsidRPr="00116C4A">
        <w:rPr>
          <w:rFonts w:ascii="Arial" w:eastAsia="Calibri" w:hAnsi="Arial" w:cs="Arial"/>
          <w:sz w:val="24"/>
          <w:szCs w:val="24"/>
        </w:rPr>
        <w:t>O added and incubated for 10 min.</w:t>
      </w:r>
    </w:p>
    <w:p w14:paraId="0DC9C617"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LC-MS/MS Spectral Acquisition</w:t>
      </w:r>
    </w:p>
    <w:p w14:paraId="10C10FDD" w14:textId="2CBDF13B"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All digests were individually analysed via LC-MS/MS on an </w:t>
      </w:r>
      <w:proofErr w:type="spellStart"/>
      <w:r w:rsidRPr="00116C4A">
        <w:rPr>
          <w:rFonts w:ascii="Arial" w:eastAsia="Calibri" w:hAnsi="Arial" w:cs="Arial"/>
          <w:sz w:val="24"/>
          <w:szCs w:val="24"/>
        </w:rPr>
        <w:t>UltiMate</w:t>
      </w:r>
      <w:proofErr w:type="spellEnd"/>
      <w:r w:rsidRPr="00116C4A">
        <w:rPr>
          <w:rFonts w:ascii="Arial" w:eastAsia="Calibri" w:hAnsi="Arial" w:cs="Arial"/>
          <w:sz w:val="24"/>
          <w:szCs w:val="24"/>
        </w:rPr>
        <w:t xml:space="preserve"> 3000 Nano LC System (</w:t>
      </w:r>
      <w:proofErr w:type="spellStart"/>
      <w:r w:rsidRPr="00116C4A">
        <w:rPr>
          <w:rFonts w:ascii="Arial" w:eastAsia="Calibri" w:hAnsi="Arial" w:cs="Arial"/>
          <w:sz w:val="24"/>
          <w:szCs w:val="24"/>
        </w:rPr>
        <w:t>Dionex</w:t>
      </w:r>
      <w:proofErr w:type="spellEnd"/>
      <w:r w:rsidRPr="00116C4A">
        <w:rPr>
          <w:rFonts w:ascii="Arial" w:eastAsia="Calibri" w:hAnsi="Arial" w:cs="Arial"/>
          <w:sz w:val="24"/>
          <w:szCs w:val="24"/>
        </w:rPr>
        <w:t>/</w:t>
      </w:r>
      <w:proofErr w:type="spellStart"/>
      <w:r w:rsidRPr="00116C4A">
        <w:rPr>
          <w:rFonts w:ascii="Arial" w:eastAsia="Calibri" w:hAnsi="Arial" w:cs="Arial"/>
          <w:sz w:val="24"/>
          <w:szCs w:val="24"/>
        </w:rPr>
        <w:t>Thermo</w:t>
      </w:r>
      <w:proofErr w:type="spellEnd"/>
      <w:r w:rsidRPr="00116C4A">
        <w:rPr>
          <w:rFonts w:ascii="Arial" w:eastAsia="Calibri" w:hAnsi="Arial" w:cs="Arial"/>
          <w:sz w:val="24"/>
          <w:szCs w:val="24"/>
        </w:rPr>
        <w:t xml:space="preserve"> Scientific) coupled to a Q </w:t>
      </w:r>
      <w:proofErr w:type="spellStart"/>
      <w:r w:rsidRPr="00116C4A">
        <w:rPr>
          <w:rFonts w:ascii="Arial" w:eastAsia="Calibri" w:hAnsi="Arial" w:cs="Arial"/>
          <w:sz w:val="24"/>
          <w:szCs w:val="24"/>
        </w:rPr>
        <w:t>Exactive</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Quadrupole-</w:t>
      </w:r>
      <w:proofErr w:type="spellStart"/>
      <w:r w:rsidRPr="00116C4A">
        <w:rPr>
          <w:rFonts w:ascii="Arial" w:eastAsia="Calibri" w:hAnsi="Arial" w:cs="Arial"/>
          <w:sz w:val="24"/>
          <w:szCs w:val="24"/>
        </w:rPr>
        <w:t>Orbitrap</w:t>
      </w:r>
      <w:proofErr w:type="spellEnd"/>
      <w:r w:rsidRPr="00116C4A">
        <w:rPr>
          <w:rFonts w:ascii="Arial" w:eastAsia="Calibri" w:hAnsi="Arial" w:cs="Arial"/>
          <w:sz w:val="24"/>
          <w:szCs w:val="24"/>
        </w:rPr>
        <w:t xml:space="preserve"> instrument (</w:t>
      </w:r>
      <w:proofErr w:type="spellStart"/>
      <w:r w:rsidRPr="00116C4A">
        <w:rPr>
          <w:rFonts w:ascii="Arial" w:eastAsia="Calibri" w:hAnsi="Arial" w:cs="Arial"/>
          <w:sz w:val="24"/>
          <w:szCs w:val="24"/>
        </w:rPr>
        <w:t>Thermo</w:t>
      </w:r>
      <w:proofErr w:type="spellEnd"/>
      <w:r w:rsidRPr="00116C4A">
        <w:rPr>
          <w:rFonts w:ascii="Arial" w:eastAsia="Calibri" w:hAnsi="Arial" w:cs="Arial"/>
          <w:sz w:val="24"/>
          <w:szCs w:val="24"/>
        </w:rPr>
        <w:t xml:space="preserve"> Scientific). Full LC-MS/MS instrument methods are described i</w:t>
      </w:r>
      <w:r w:rsidR="00932C47">
        <w:rPr>
          <w:rFonts w:ascii="Arial" w:eastAsia="Calibri" w:hAnsi="Arial" w:cs="Arial"/>
          <w:sz w:val="24"/>
          <w:szCs w:val="24"/>
        </w:rPr>
        <w:t>n the supporting information.</w:t>
      </w:r>
      <w:r w:rsidRPr="00116C4A">
        <w:rPr>
          <w:rFonts w:ascii="Arial" w:eastAsia="Calibri" w:hAnsi="Arial" w:cs="Arial"/>
          <w:sz w:val="24"/>
          <w:szCs w:val="24"/>
        </w:rPr>
        <w:t xml:space="preserve"> Tryptic peptides (equivalent to 200 ng of protein) were loaded onto the column and run over a 30 min, 60 min, 90 min or 120 min LC gradient as stated.</w:t>
      </w:r>
    </w:p>
    <w:p w14:paraId="598A4AE7"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PEAKS</w:t>
      </w:r>
      <w:r w:rsidRPr="001A018A">
        <w:rPr>
          <w:rFonts w:ascii="Arial" w:eastAsia="MS Gothic" w:hAnsi="Arial" w:cs="Arial"/>
          <w:b/>
          <w:i/>
          <w:sz w:val="24"/>
          <w:szCs w:val="24"/>
          <w:vertAlign w:val="superscript"/>
        </w:rPr>
        <w:t>®</w:t>
      </w:r>
      <w:r w:rsidRPr="00116C4A">
        <w:rPr>
          <w:rFonts w:ascii="Arial" w:eastAsia="MS Gothic" w:hAnsi="Arial" w:cs="Arial"/>
          <w:b/>
          <w:i/>
          <w:sz w:val="24"/>
          <w:szCs w:val="24"/>
        </w:rPr>
        <w:t xml:space="preserve"> Search Parameters</w:t>
      </w:r>
    </w:p>
    <w:p w14:paraId="296873E9"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For peptide/protein database searches using PEAKS</w:t>
      </w:r>
      <w:r w:rsidRPr="001A018A">
        <w:rPr>
          <w:rFonts w:ascii="Arial" w:eastAsia="Calibri" w:hAnsi="Arial" w:cs="Arial"/>
          <w:sz w:val="24"/>
          <w:szCs w:val="24"/>
          <w:vertAlign w:val="superscript"/>
        </w:rPr>
        <w:t>®</w:t>
      </w:r>
      <w:r w:rsidRPr="00116C4A">
        <w:rPr>
          <w:rFonts w:ascii="Arial" w:eastAsia="Calibri" w:hAnsi="Arial" w:cs="Arial"/>
          <w:sz w:val="24"/>
          <w:szCs w:val="24"/>
        </w:rPr>
        <w:t xml:space="preserve"> Studio 8.5 (Bioinformatics Solutions Inc., Waterloo, Canada) the </w:t>
      </w:r>
      <w:proofErr w:type="spellStart"/>
      <w:r w:rsidRPr="00116C4A">
        <w:rPr>
          <w:rFonts w:ascii="Arial" w:eastAsia="Calibri" w:hAnsi="Arial" w:cs="Arial"/>
          <w:i/>
          <w:sz w:val="24"/>
          <w:szCs w:val="24"/>
        </w:rPr>
        <w:t>Equus</w:t>
      </w:r>
      <w:proofErr w:type="spellEnd"/>
      <w:r w:rsidRPr="00116C4A">
        <w:rPr>
          <w:rFonts w:ascii="Arial" w:eastAsia="Calibri" w:hAnsi="Arial" w:cs="Arial"/>
          <w:i/>
          <w:sz w:val="24"/>
          <w:szCs w:val="24"/>
        </w:rPr>
        <w:t xml:space="preserve"> </w:t>
      </w:r>
      <w:proofErr w:type="spellStart"/>
      <w:r w:rsidRPr="00116C4A">
        <w:rPr>
          <w:rFonts w:ascii="Arial" w:eastAsia="Calibri" w:hAnsi="Arial" w:cs="Arial"/>
          <w:i/>
          <w:sz w:val="24"/>
          <w:szCs w:val="24"/>
        </w:rPr>
        <w:t>caballus</w:t>
      </w:r>
      <w:proofErr w:type="spellEnd"/>
      <w:r w:rsidRPr="00116C4A">
        <w:rPr>
          <w:rFonts w:ascii="Arial" w:eastAsia="Calibri" w:hAnsi="Arial" w:cs="Arial"/>
          <w:sz w:val="24"/>
          <w:szCs w:val="24"/>
        </w:rPr>
        <w:t xml:space="preserve"> database was used with search parameters including: precursor mass error tolerance, 10.0 ppm; fragment mass error tolerance, 0.01 Da; precursor mass search type, monoisotopic; enzyme, trypsin; maximum missed cleavages, 1; non-specific cleavage, none; fixed modifications, </w:t>
      </w:r>
      <w:proofErr w:type="spellStart"/>
      <w:r w:rsidRPr="00116C4A">
        <w:rPr>
          <w:rFonts w:ascii="Arial" w:eastAsia="Calibri" w:hAnsi="Arial" w:cs="Arial"/>
          <w:sz w:val="24"/>
          <w:szCs w:val="24"/>
        </w:rPr>
        <w:t>carbamidomethylation</w:t>
      </w:r>
      <w:proofErr w:type="spellEnd"/>
      <w:r w:rsidRPr="00116C4A">
        <w:rPr>
          <w:rFonts w:ascii="Arial" w:eastAsia="Calibri" w:hAnsi="Arial" w:cs="Arial"/>
          <w:sz w:val="24"/>
          <w:szCs w:val="24"/>
        </w:rPr>
        <w:t>; variable modifications, oxidation or hydroxylation and oxidation (methionine). A 1% false discovery rate (FDR) was set and a minimum of 2 unique peptides required for protein identification. No normalisation was undertaken. PEAKS</w:t>
      </w:r>
      <w:r w:rsidRPr="001A018A">
        <w:rPr>
          <w:rFonts w:ascii="Arial" w:eastAsia="Calibri" w:hAnsi="Arial" w:cs="Arial"/>
          <w:sz w:val="24"/>
          <w:szCs w:val="24"/>
          <w:vertAlign w:val="superscript"/>
        </w:rPr>
        <w:t>®</w:t>
      </w:r>
      <w:r w:rsidRPr="00116C4A">
        <w:rPr>
          <w:rFonts w:ascii="Arial" w:eastAsia="Calibri" w:hAnsi="Arial" w:cs="Arial"/>
          <w:sz w:val="24"/>
          <w:szCs w:val="24"/>
        </w:rPr>
        <w:t xml:space="preserve"> searches were used for all peptide and </w:t>
      </w:r>
      <w:r w:rsidRPr="00116C4A">
        <w:rPr>
          <w:rFonts w:ascii="Arial" w:eastAsia="Calibri" w:hAnsi="Arial" w:cs="Arial"/>
          <w:sz w:val="24"/>
          <w:szCs w:val="24"/>
        </w:rPr>
        <w:lastRenderedPageBreak/>
        <w:t>protein identifications except for protein digestion optimisation and semi-tryptic peptide analysis.</w:t>
      </w:r>
    </w:p>
    <w:p w14:paraId="27336C04"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Mascot Search Parameters</w:t>
      </w:r>
    </w:p>
    <w:p w14:paraId="7AC39C08" w14:textId="25843BA4" w:rsidR="00652D52" w:rsidRPr="00116C4A" w:rsidRDefault="00652D52" w:rsidP="00116C4A">
      <w:pPr>
        <w:autoSpaceDE w:val="0"/>
        <w:autoSpaceDN w:val="0"/>
        <w:adjustRightInd w:val="0"/>
        <w:spacing w:line="480" w:lineRule="auto"/>
        <w:rPr>
          <w:rFonts w:ascii="Arial" w:eastAsia="Calibri" w:hAnsi="Arial" w:cs="Arial"/>
          <w:color w:val="00B050"/>
          <w:sz w:val="24"/>
          <w:szCs w:val="24"/>
        </w:rPr>
      </w:pPr>
      <w:r w:rsidRPr="00116C4A">
        <w:rPr>
          <w:rFonts w:ascii="Arial" w:eastAsia="Calibri" w:hAnsi="Arial" w:cs="Arial"/>
          <w:sz w:val="24"/>
          <w:szCs w:val="24"/>
        </w:rPr>
        <w:t xml:space="preserve">For peptide/protein database searches using an in-house Mascot server Version 2.6.2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{"citationItems":[{"id":"ITEM-1","itemData":{"DOI":"10.1002/(SICI)1522-2683(19991201)20:18&lt;3551::AID-ELPS3551&gt;3.0.CO;2-2","ISSN":"0173-0835","PMID":"10612281","abstract":"Several algorithms have been described in the literature for protein identification by searching a sequence database using mass spectrometry data. In some approaches, the experimental data are peptide molecular weights from the digestion of a protein by an enzyme. Other approaches use tandem mass spectrometry (MS/MS) data from one or more peptides. Still others combine mass data with amino acid sequence data. We present results from a new computer program, Mascot, which integrates all three types of search. The scoring algorithm is probability based, which has a number of advantages: (i) A simple rule can be used to judge whether a result is significant or not. This is particularly useful in guarding against false positives. (ii) Scores can be compared with those from other types of search, such as sequence homology. (iii) Search parameters can be readily optimised by iteration. The strengths and limitations of probability-based scoring are discussed, particularly in the context of high throughput, fully automated protein identification.","author":[{"dropping-particle":"","family":"Perkins","given":"D N","non-dropping-particle":"","parse-names":false,"suffix":""},{"dropping-particle":"","family":"Pappin","given":"D J","non-dropping-particle":"","parse-names":false,"suffix":""},{"dropping-particle":"","family":"Creasy","given":"D M","non-dropping-particle":"","parse-names":false,"suffix":""},{"dropping-particle":"","family":"Cottrell","given":"J S","non-dropping-particle":"","parse-names":false,"suffix":""}],"container-title":"Electrophoresis","id":"ITEM-1","issue":"18","issued":{"date-parts":[["1999","12","1"]]},"page":"3551-67","title":"Probability-based protein identification by searching sequence databases using mass spectrometry data.","type":"article-journal","volume":"20"},"uris":["http://www.mendeley.com/documents/?uuid=654dd8fa-7b81-35f4-9f24-7b5534049a7e"]}],"mendeley":{"formattedCitation":"&lt;sup&gt;45&lt;/sup&gt;","plainTextFormattedCitation":"45","previouslyFormattedCitation":"&lt;sup&gt;44&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45</w:t>
      </w:r>
      <w:r w:rsidRPr="00116C4A">
        <w:rPr>
          <w:rFonts w:ascii="Arial" w:eastAsia="Calibri" w:hAnsi="Arial" w:cs="Arial"/>
          <w:sz w:val="24"/>
          <w:szCs w:val="24"/>
        </w:rPr>
        <w:fldChar w:fldCharType="end"/>
      </w:r>
      <w:r w:rsidRPr="00116C4A">
        <w:rPr>
          <w:rFonts w:ascii="Arial" w:eastAsia="Calibri" w:hAnsi="Arial" w:cs="Arial"/>
          <w:color w:val="FF0000"/>
          <w:sz w:val="24"/>
          <w:szCs w:val="24"/>
        </w:rPr>
        <w:t xml:space="preserve"> </w:t>
      </w:r>
      <w:r w:rsidRPr="00116C4A">
        <w:rPr>
          <w:rFonts w:ascii="Arial" w:eastAsia="Calibri" w:hAnsi="Arial" w:cs="Arial"/>
          <w:sz w:val="24"/>
          <w:szCs w:val="24"/>
        </w:rPr>
        <w:t xml:space="preserve">the </w:t>
      </w:r>
      <w:proofErr w:type="spellStart"/>
      <w:r w:rsidRPr="00116C4A">
        <w:rPr>
          <w:rFonts w:ascii="Arial" w:eastAsia="Calibri" w:hAnsi="Arial" w:cs="Arial"/>
          <w:i/>
          <w:sz w:val="24"/>
          <w:szCs w:val="24"/>
        </w:rPr>
        <w:t>Equus</w:t>
      </w:r>
      <w:proofErr w:type="spellEnd"/>
      <w:r w:rsidRPr="00116C4A">
        <w:rPr>
          <w:rFonts w:ascii="Arial" w:eastAsia="Calibri" w:hAnsi="Arial" w:cs="Arial"/>
          <w:i/>
          <w:sz w:val="24"/>
          <w:szCs w:val="24"/>
        </w:rPr>
        <w:t xml:space="preserve"> </w:t>
      </w:r>
      <w:proofErr w:type="spellStart"/>
      <w:r w:rsidRPr="00116C4A">
        <w:rPr>
          <w:rFonts w:ascii="Arial" w:eastAsia="Calibri" w:hAnsi="Arial" w:cs="Arial"/>
          <w:i/>
          <w:sz w:val="24"/>
          <w:szCs w:val="24"/>
        </w:rPr>
        <w:t>caballus</w:t>
      </w:r>
      <w:proofErr w:type="spellEnd"/>
      <w:r w:rsidRPr="00116C4A">
        <w:rPr>
          <w:rFonts w:ascii="Arial" w:eastAsia="Calibri" w:hAnsi="Arial" w:cs="Arial"/>
          <w:sz w:val="24"/>
          <w:szCs w:val="24"/>
        </w:rPr>
        <w:t xml:space="preserve"> database was used with search parameters including: peptide mass tolerance, 10.0 ppm; fragment mass tolerance, 0.01 Da; enzyme, trypsin; missed cleavages allowed, one; fixed modifications, </w:t>
      </w:r>
      <w:proofErr w:type="spellStart"/>
      <w:r w:rsidRPr="00116C4A">
        <w:rPr>
          <w:rFonts w:ascii="Arial" w:eastAsia="Calibri" w:hAnsi="Arial" w:cs="Arial"/>
          <w:sz w:val="24"/>
          <w:szCs w:val="24"/>
        </w:rPr>
        <w:t>carbamidomethylation</w:t>
      </w:r>
      <w:proofErr w:type="spellEnd"/>
      <w:r w:rsidRPr="00116C4A">
        <w:rPr>
          <w:rFonts w:ascii="Arial" w:eastAsia="Calibri" w:hAnsi="Arial" w:cs="Arial"/>
          <w:sz w:val="24"/>
          <w:szCs w:val="24"/>
        </w:rPr>
        <w:t xml:space="preserve"> (cysteine) and variable modifications; oxidation (methionine), oxidation (</w:t>
      </w:r>
      <w:proofErr w:type="spellStart"/>
      <w:r w:rsidRPr="00116C4A">
        <w:rPr>
          <w:rFonts w:ascii="Arial" w:eastAsia="Calibri" w:hAnsi="Arial" w:cs="Arial"/>
          <w:sz w:val="24"/>
          <w:szCs w:val="24"/>
        </w:rPr>
        <w:t>proline</w:t>
      </w:r>
      <w:proofErr w:type="spellEnd"/>
      <w:r w:rsidRPr="00116C4A">
        <w:rPr>
          <w:rFonts w:ascii="Arial" w:eastAsia="Calibri" w:hAnsi="Arial" w:cs="Arial"/>
          <w:sz w:val="24"/>
          <w:szCs w:val="24"/>
        </w:rPr>
        <w:t>) and oxidation (lysine). Mascot database searches were used for protein digestion optimisation and semi-tryptic peptide analysis.</w:t>
      </w:r>
    </w:p>
    <w:p w14:paraId="3D45E328" w14:textId="77777777" w:rsidR="00652D52" w:rsidRPr="00116C4A" w:rsidRDefault="00652D52" w:rsidP="00116C4A">
      <w:pPr>
        <w:keepNext/>
        <w:keepLines/>
        <w:widowControl w:val="0"/>
        <w:suppressAutoHyphens/>
        <w:spacing w:before="100" w:beforeAutospacing="1" w:after="100" w:afterAutospacing="1" w:line="480" w:lineRule="auto"/>
        <w:outlineLvl w:val="4"/>
        <w:rPr>
          <w:rFonts w:ascii="Arial" w:eastAsia="MS Gothic" w:hAnsi="Arial" w:cs="Arial"/>
          <w:b/>
          <w:i/>
          <w:sz w:val="24"/>
          <w:szCs w:val="24"/>
        </w:rPr>
      </w:pPr>
      <w:r w:rsidRPr="00116C4A">
        <w:rPr>
          <w:rFonts w:ascii="Arial" w:eastAsia="MS Gothic" w:hAnsi="Arial" w:cs="Arial"/>
          <w:b/>
          <w:i/>
          <w:sz w:val="24"/>
          <w:szCs w:val="24"/>
        </w:rPr>
        <w:t>Semi-Tryptic Peptide Identification and Quantification</w:t>
      </w:r>
    </w:p>
    <w:p w14:paraId="3D283FEF" w14:textId="5DED9ADB" w:rsidR="00652D52" w:rsidRPr="005A7033" w:rsidRDefault="00652D52" w:rsidP="005A7033">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Raw spectral files underwent spectral alignment, peak picking and peptide quantification in </w:t>
      </w:r>
      <w:proofErr w:type="spellStart"/>
      <w:r w:rsidRPr="00116C4A">
        <w:rPr>
          <w:rFonts w:ascii="Arial" w:eastAsia="Calibri" w:hAnsi="Arial" w:cs="Arial"/>
          <w:sz w:val="24"/>
          <w:szCs w:val="24"/>
        </w:rPr>
        <w:t>Progenesis</w:t>
      </w:r>
      <w:proofErr w:type="spellEnd"/>
      <w:r w:rsidRPr="00116C4A">
        <w:rPr>
          <w:rFonts w:ascii="Arial" w:eastAsia="Calibri" w:hAnsi="Arial" w:cs="Arial"/>
          <w:sz w:val="24"/>
          <w:szCs w:val="24"/>
        </w:rPr>
        <w:t xml:space="preserve">™ QI 2.0 (Nonlinear Dynamics, Waters). No normalisation was undertaken. Peptide identifications were carried out for the top ten spectra of each feature with Mascot, using the same </w:t>
      </w:r>
      <w:proofErr w:type="spellStart"/>
      <w:r w:rsidRPr="00116C4A">
        <w:rPr>
          <w:rFonts w:ascii="Arial" w:eastAsia="Calibri" w:hAnsi="Arial" w:cs="Arial"/>
          <w:i/>
          <w:sz w:val="24"/>
          <w:szCs w:val="24"/>
        </w:rPr>
        <w:t>Equus</w:t>
      </w:r>
      <w:proofErr w:type="spellEnd"/>
      <w:r w:rsidRPr="00116C4A">
        <w:rPr>
          <w:rFonts w:ascii="Arial" w:eastAsia="Calibri" w:hAnsi="Arial" w:cs="Arial"/>
          <w:i/>
          <w:sz w:val="24"/>
          <w:szCs w:val="24"/>
        </w:rPr>
        <w:t xml:space="preserve"> </w:t>
      </w:r>
      <w:proofErr w:type="spellStart"/>
      <w:r w:rsidRPr="00116C4A">
        <w:rPr>
          <w:rFonts w:ascii="Arial" w:eastAsia="Calibri" w:hAnsi="Arial" w:cs="Arial"/>
          <w:i/>
          <w:sz w:val="24"/>
          <w:szCs w:val="24"/>
        </w:rPr>
        <w:t>caballus</w:t>
      </w:r>
      <w:proofErr w:type="spellEnd"/>
      <w:r w:rsidRPr="00116C4A">
        <w:rPr>
          <w:rFonts w:ascii="Arial" w:eastAsia="Calibri" w:hAnsi="Arial" w:cs="Arial"/>
          <w:sz w:val="24"/>
          <w:szCs w:val="24"/>
        </w:rPr>
        <w:t xml:space="preserve"> search parameters as for tryptic peptides, except a ‘semi-tryptic’ search was conducted opposed to ‘tryptic’. Peptides, with a 1% FDR correction, were </w:t>
      </w:r>
      <w:r w:rsidRPr="005A7033">
        <w:rPr>
          <w:rFonts w:ascii="Arial" w:eastAsia="Calibri" w:hAnsi="Arial" w:cs="Arial"/>
          <w:sz w:val="24"/>
          <w:szCs w:val="24"/>
        </w:rPr>
        <w:t xml:space="preserve">exported from </w:t>
      </w:r>
      <w:proofErr w:type="spellStart"/>
      <w:r w:rsidRPr="005A7033">
        <w:rPr>
          <w:rFonts w:ascii="Arial" w:eastAsia="Calibri" w:hAnsi="Arial" w:cs="Arial"/>
          <w:sz w:val="24"/>
          <w:szCs w:val="24"/>
        </w:rPr>
        <w:t>Progenesis</w:t>
      </w:r>
      <w:proofErr w:type="spellEnd"/>
      <w:r w:rsidRPr="005A7033">
        <w:rPr>
          <w:rFonts w:ascii="Arial" w:eastAsia="Calibri" w:hAnsi="Arial" w:cs="Arial"/>
          <w:sz w:val="24"/>
          <w:szCs w:val="24"/>
        </w:rPr>
        <w:t xml:space="preserve">™ and technical replicates of semi-tryptic peptide abundances compared using the online </w:t>
      </w:r>
      <w:proofErr w:type="spellStart"/>
      <w:r w:rsidRPr="005A7033">
        <w:rPr>
          <w:rFonts w:ascii="Arial" w:eastAsia="Calibri" w:hAnsi="Arial" w:cs="Arial"/>
          <w:sz w:val="24"/>
          <w:szCs w:val="24"/>
        </w:rPr>
        <w:t>neopeptide</w:t>
      </w:r>
      <w:proofErr w:type="spellEnd"/>
      <w:r w:rsidRPr="005A7033">
        <w:rPr>
          <w:rFonts w:ascii="Arial" w:eastAsia="Calibri" w:hAnsi="Arial" w:cs="Arial"/>
          <w:sz w:val="24"/>
          <w:szCs w:val="24"/>
        </w:rPr>
        <w:t xml:space="preserve"> tool </w:t>
      </w:r>
      <w:r w:rsidRPr="005A7033">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10.12688/wellcomeopenres.11275.1","ISSN":"2398-502X","author":[{"dropping-particle":"","family":"Peffers","given":"Mandy","non-dropping-particle":"","parse-names":false,"suffix":""},{"dropping-particle":"","family":"Jones","given":"Andrew R.","non-dropping-particle":"","parse-names":false,"suffix":""},{"dropping-particle":"","family":"McCabe","given":"Antony","non-dropping-particle":"","parse-names":false,"suffix":""},{"dropping-particle":"","family":"Anderson","given":"James","non-dropping-particle":"","parse-names":false,"suffix":""}],"container-title":"Wellcome Open Research","id":"ITEM-1","issued":{"date-parts":[["2017","4","7"]]},"page":"24","title":"Neopeptide Analyser: A software tool for neopeptide discovery in proteomics data","type":"article-journal","volume":"2"},"uris":["http://www.mendeley.com/documents/?uuid=7b413fff-58ab-3a0f-a8f4-f8b012424164"]}],"mendeley":{"formattedCitation":"&lt;sup&gt;46&lt;/sup&gt;","plainTextFormattedCitation":"46","previouslyFormattedCitation":"&lt;sup&gt;45&lt;/sup&gt;"},"properties":{"noteIndex":0},"schema":"https://github.com/citation-style-language/schema/raw/master/csl-citation.json"}</w:instrText>
      </w:r>
      <w:r w:rsidRPr="005A7033">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46</w:t>
      </w:r>
      <w:r w:rsidRPr="005A7033">
        <w:rPr>
          <w:rFonts w:ascii="Arial" w:eastAsia="Calibri" w:hAnsi="Arial" w:cs="Arial"/>
          <w:sz w:val="24"/>
          <w:szCs w:val="24"/>
        </w:rPr>
        <w:fldChar w:fldCharType="end"/>
      </w:r>
      <w:r w:rsidRPr="005A7033">
        <w:rPr>
          <w:rFonts w:ascii="Arial" w:eastAsia="Calibri" w:hAnsi="Arial" w:cs="Arial"/>
          <w:sz w:val="24"/>
          <w:szCs w:val="24"/>
        </w:rPr>
        <w:t>.</w:t>
      </w:r>
    </w:p>
    <w:p w14:paraId="4C299BD3" w14:textId="77777777" w:rsidR="00652D52" w:rsidRPr="005A7033" w:rsidRDefault="00652D52" w:rsidP="005A7033">
      <w:pPr>
        <w:keepNext/>
        <w:keepLines/>
        <w:widowControl w:val="0"/>
        <w:suppressAutoHyphens/>
        <w:spacing w:before="100" w:beforeAutospacing="1" w:after="100" w:afterAutospacing="1" w:line="480" w:lineRule="auto"/>
        <w:outlineLvl w:val="3"/>
        <w:rPr>
          <w:rFonts w:ascii="Arial" w:eastAsia="Calibri" w:hAnsi="Arial" w:cs="Arial"/>
          <w:b/>
          <w:iCs/>
          <w:sz w:val="24"/>
          <w:szCs w:val="24"/>
        </w:rPr>
      </w:pPr>
      <w:r w:rsidRPr="005A7033">
        <w:rPr>
          <w:rFonts w:ascii="Arial" w:eastAsia="Calibri" w:hAnsi="Arial" w:cs="Arial"/>
          <w:b/>
          <w:iCs/>
          <w:sz w:val="24"/>
          <w:szCs w:val="24"/>
        </w:rPr>
        <w:t>Statistical Analysis</w:t>
      </w:r>
    </w:p>
    <w:p w14:paraId="734BCBFC" w14:textId="15591A41" w:rsidR="00652D52" w:rsidRPr="005A7033" w:rsidRDefault="008D2705" w:rsidP="005A7033">
      <w:pPr>
        <w:autoSpaceDE w:val="0"/>
        <w:autoSpaceDN w:val="0"/>
        <w:adjustRightInd w:val="0"/>
        <w:spacing w:line="480" w:lineRule="auto"/>
        <w:rPr>
          <w:rFonts w:ascii="Arial" w:eastAsia="Calibri" w:hAnsi="Arial" w:cs="Arial"/>
          <w:sz w:val="24"/>
          <w:szCs w:val="24"/>
        </w:rPr>
      </w:pPr>
      <w:r>
        <w:rPr>
          <w:rFonts w:ascii="Arial" w:eastAsia="Calibri" w:hAnsi="Arial" w:cs="Arial"/>
          <w:sz w:val="24"/>
          <w:szCs w:val="24"/>
        </w:rPr>
        <w:t>Prior to multivariate analysis, datasets were Pareto scaled and p</w:t>
      </w:r>
      <w:r w:rsidR="00652D52" w:rsidRPr="005A7033">
        <w:rPr>
          <w:rFonts w:ascii="Arial" w:eastAsia="Calibri" w:hAnsi="Arial" w:cs="Arial"/>
          <w:sz w:val="24"/>
          <w:szCs w:val="24"/>
        </w:rPr>
        <w:t xml:space="preserve">rincipal component analysis (PCA) plots conducted using </w:t>
      </w:r>
      <w:proofErr w:type="spellStart"/>
      <w:r w:rsidR="00652D52" w:rsidRPr="005A7033">
        <w:rPr>
          <w:rFonts w:ascii="Arial" w:eastAsia="Calibri" w:hAnsi="Arial" w:cs="Arial"/>
          <w:sz w:val="24"/>
          <w:szCs w:val="24"/>
        </w:rPr>
        <w:t>MetaboAnalyst</w:t>
      </w:r>
      <w:proofErr w:type="spellEnd"/>
      <w:r w:rsidR="00652D52" w:rsidRPr="005A7033">
        <w:rPr>
          <w:rFonts w:ascii="Arial" w:eastAsia="Calibri" w:hAnsi="Arial" w:cs="Arial"/>
          <w:sz w:val="24"/>
          <w:szCs w:val="24"/>
        </w:rPr>
        <w:t xml:space="preserve"> 4.0 </w:t>
      </w:r>
      <w:r w:rsidR="00652D52" w:rsidRPr="005A7033">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10.1093/nar/gky310","ISSN":"0305-1048","author":[{"dropping-particle":"","family":"Chong","given":"Jasmine","non-dropping-particle":"","parse-names":false,"suffix":""},{"dropping-particle":"","family":"Soufan","given":"Othman","non-dropping-particle":"","parse-names":false,"suffix":""},{"dropping-particle":"","family":"Li","given":"Carin","non-dropping-particle":"","parse-names":false,"suffix":""},{"dropping-particle":"","family":"Caraus","given":"Iurie","non-dropping-particle":"","parse-names":false,"suffix":""},{"dropping-particle":"","family":"Li","given":"Shuzhao","non-dropping-particle":"","parse-names":false,"suffix":""},{"dropping-particle":"","family":"Bourque","given":"Guillaume","non-dropping-particle":"","parse-names":false,"suffix":""},{"dropping-particle":"","family":"Wishart","given":"David S","non-dropping-particle":"","parse-names":false,"suffix":""},{"dropping-particle":"","family":"Xia","given":"Jianguo","non-dropping-particle":"","parse-names":false,"suffix":""}],"container-title":"Nucleic Acids Research","id":"ITEM-1","issue":"W1","issued":{"date-parts":[["2018","7","2"]]},"page":"W486-W494","publisher":"Oxford University Press","title":"MetaboAnalyst 4.0: towards more transparent and integrative metabolomics analysis","type":"article-journal","volume":"46"},"uris":["http://www.mendeley.com/documents/?uuid=4c5f8f36-9803-3a4a-a00b-cdea94187e88"]}],"mendeley":{"formattedCitation":"&lt;sup&gt;47&lt;/sup&gt;","plainTextFormattedCitation":"47","previouslyFormattedCitation":"&lt;sup&gt;46&lt;/sup&gt;"},"properties":{"noteIndex":0},"schema":"https://github.com/citation-style-language/schema/raw/master/csl-citation.json"}</w:instrText>
      </w:r>
      <w:r w:rsidR="00652D52" w:rsidRPr="005A7033">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47</w:t>
      </w:r>
      <w:r w:rsidR="00652D52" w:rsidRPr="005A7033">
        <w:rPr>
          <w:rFonts w:ascii="Arial" w:eastAsia="Calibri" w:hAnsi="Arial" w:cs="Arial"/>
          <w:sz w:val="24"/>
          <w:szCs w:val="24"/>
        </w:rPr>
        <w:fldChar w:fldCharType="end"/>
      </w:r>
      <w:r w:rsidR="00652D52" w:rsidRPr="005A7033">
        <w:rPr>
          <w:rFonts w:ascii="Arial" w:eastAsia="Calibri" w:hAnsi="Arial" w:cs="Arial"/>
          <w:sz w:val="24"/>
          <w:szCs w:val="24"/>
        </w:rPr>
        <w:t xml:space="preserve">. </w:t>
      </w:r>
      <w:proofErr w:type="gramStart"/>
      <w:r w:rsidR="00513651">
        <w:rPr>
          <w:rFonts w:ascii="Arial" w:eastAsia="Calibri" w:hAnsi="Arial" w:cs="Arial"/>
          <w:sz w:val="24"/>
          <w:szCs w:val="24"/>
        </w:rPr>
        <w:t>t-</w:t>
      </w:r>
      <w:r w:rsidR="00652D52" w:rsidRPr="005A7033">
        <w:rPr>
          <w:rFonts w:ascii="Arial" w:eastAsia="Calibri" w:hAnsi="Arial" w:cs="Arial"/>
          <w:sz w:val="24"/>
          <w:szCs w:val="24"/>
        </w:rPr>
        <w:t>tests</w:t>
      </w:r>
      <w:proofErr w:type="gramEnd"/>
      <w:r w:rsidR="00652D52" w:rsidRPr="005A7033">
        <w:rPr>
          <w:rFonts w:ascii="Arial" w:eastAsia="Calibri" w:hAnsi="Arial" w:cs="Arial"/>
          <w:sz w:val="24"/>
          <w:szCs w:val="24"/>
        </w:rPr>
        <w:t xml:space="preserve"> were conducted </w:t>
      </w:r>
      <w:r w:rsidR="00652D52" w:rsidRPr="005A7033">
        <w:rPr>
          <w:rFonts w:ascii="Arial" w:eastAsia="Calibri" w:hAnsi="Arial" w:cs="Arial"/>
          <w:sz w:val="24"/>
          <w:szCs w:val="24"/>
        </w:rPr>
        <w:lastRenderedPageBreak/>
        <w:t>in the software package R (https://cran.r-project.org/), box plots constructed using SPSS 24 and histograms drawn using Excel 2013. Peptide reproducibility was analysed using the coefficient of variation (CV) statistic on raw, non-normalised abundance values.</w:t>
      </w:r>
    </w:p>
    <w:p w14:paraId="5816F6A7" w14:textId="25A7D4EA" w:rsidR="004A7C3F" w:rsidRPr="004A7C3F" w:rsidRDefault="004A7C3F" w:rsidP="005A7033">
      <w:pPr>
        <w:autoSpaceDE w:val="0"/>
        <w:autoSpaceDN w:val="0"/>
        <w:adjustRightInd w:val="0"/>
        <w:spacing w:line="480" w:lineRule="auto"/>
        <w:rPr>
          <w:rFonts w:ascii="Arial" w:eastAsia="Calibri" w:hAnsi="Arial" w:cs="Arial"/>
          <w:b/>
          <w:iCs/>
          <w:sz w:val="24"/>
          <w:szCs w:val="24"/>
        </w:rPr>
      </w:pPr>
      <w:r w:rsidRPr="004A7C3F">
        <w:rPr>
          <w:rFonts w:ascii="Arial" w:eastAsia="Calibri" w:hAnsi="Arial" w:cs="Arial"/>
          <w:b/>
          <w:iCs/>
          <w:sz w:val="24"/>
          <w:szCs w:val="24"/>
        </w:rPr>
        <w:t>Raw Spectra</w:t>
      </w:r>
    </w:p>
    <w:p w14:paraId="3B4E6C8E" w14:textId="7134533E" w:rsidR="00621FF5" w:rsidRDefault="004A7C3F" w:rsidP="005A7033">
      <w:pPr>
        <w:autoSpaceDE w:val="0"/>
        <w:autoSpaceDN w:val="0"/>
        <w:adjustRightInd w:val="0"/>
        <w:spacing w:line="480" w:lineRule="auto"/>
        <w:rPr>
          <w:rFonts w:ascii="Arial" w:eastAsia="Calibri" w:hAnsi="Arial" w:cs="Arial"/>
          <w:sz w:val="24"/>
          <w:szCs w:val="24"/>
        </w:rPr>
      </w:pPr>
      <w:r w:rsidRPr="004A7C3F">
        <w:rPr>
          <w:rFonts w:ascii="Arial" w:eastAsia="Calibri" w:hAnsi="Arial" w:cs="Arial"/>
          <w:sz w:val="24"/>
          <w:szCs w:val="24"/>
        </w:rPr>
        <w:t xml:space="preserve">All raw </w:t>
      </w:r>
      <w:proofErr w:type="spellStart"/>
      <w:r w:rsidRPr="004A7C3F">
        <w:rPr>
          <w:rFonts w:ascii="Arial" w:eastAsia="Calibri" w:hAnsi="Arial" w:cs="Arial"/>
          <w:sz w:val="24"/>
          <w:szCs w:val="24"/>
        </w:rPr>
        <w:t>metabolomic</w:t>
      </w:r>
      <w:proofErr w:type="spellEnd"/>
      <w:r w:rsidRPr="004A7C3F">
        <w:rPr>
          <w:rFonts w:ascii="Arial" w:eastAsia="Calibri" w:hAnsi="Arial" w:cs="Arial"/>
          <w:sz w:val="24"/>
          <w:szCs w:val="24"/>
        </w:rPr>
        <w:t xml:space="preserve"> NMR spectra are available at </w:t>
      </w:r>
      <w:hyperlink r:id="rId10" w:history="1">
        <w:r w:rsidR="00C015C8" w:rsidRPr="00BF658F">
          <w:rPr>
            <w:rStyle w:val="Hyperlink"/>
            <w:rFonts w:ascii="Arial" w:eastAsia="Calibri" w:hAnsi="Arial" w:cs="Arial"/>
            <w:sz w:val="24"/>
            <w:szCs w:val="24"/>
          </w:rPr>
          <w:t>www.ebi.ac.uk/metabolights/</w:t>
        </w:r>
        <w:r w:rsidR="000A0451" w:rsidRPr="00BF658F">
          <w:rPr>
            <w:rStyle w:val="Hyperlink"/>
            <w:rFonts w:ascii="Arial" w:eastAsia="Calibri" w:hAnsi="Arial" w:cs="Arial"/>
            <w:sz w:val="24"/>
            <w:szCs w:val="24"/>
          </w:rPr>
          <w:t>MTBLS1450</w:t>
        </w:r>
      </w:hyperlink>
      <w:r w:rsidR="00205ED2" w:rsidRPr="00BF658F">
        <w:rPr>
          <w:rFonts w:ascii="Arial" w:eastAsia="Calibri" w:hAnsi="Arial" w:cs="Arial"/>
          <w:sz w:val="24"/>
          <w:szCs w:val="24"/>
        </w:rPr>
        <w:t xml:space="preserve"> </w:t>
      </w:r>
      <w:r w:rsidR="00205ED2" w:rsidRPr="00BF658F">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{"citationItems":[{"id":"ITEM-1","itemData":{"DOI":"10.1093/nar/gkz1019","ISSN":"0305-1048","abstract":"MetaboLights is a database for metabolomics studies, their raw experimental data and associated metadata. The database is cross-species and cross-technique and it covers metabolite structures and their reference spectra as well as their biological roles and locations. MetaboLights is the recommended metabolomics repository for a number of leading journals and ELIXIR, the European infrastructure for life science information. In this article, we describe the significant updates that we have made over the last two years to the resource to respond to the increasing amount and diversity of data being submitted by the metabolomics community. We refreshed the website and most importantly, our submission process was completely overhauled to enable us to deliver a far more user-friendly submission process and to facilitate the growing demand for reproducibility and integration with other ‘omics. Metabolomics resources and data are available under the EMBL-EBI’s Terms of Use via the web at https://www.ebi.ac.uk/metabolights and under Apache 2.0 at Github (https://github.com/EBI-Metabolights/).","author":[{"dropping-particle":"","family":"Haug","given":"Kenneth","non-dropping-particle":"","parse-names":false,"suffix":""},{"dropping-particle":"","family":"Cochrane","given":"Keeva","non-dropping-particle":"","parse-names":false,"suffix":""},{"dropping-particle":"","family":"Nainala","given":"Venkata Chandrasekhar","non-dropping-particle":"","parse-names":false,"suffix":""},{"dropping-particle":"","family":"Williams","given":"Mark","non-dropping-particle":"","parse-names":false,"suffix":""},{"dropping-particle":"","family":"Chang","given":"Jiakang","non-dropping-particle":"","parse-names":false,"suffix":""},{"dropping-particle":"","family":"Jayaseelan","given":"Kalai Vanii","non-dropping-particle":"","parse-names":false,"suffix":""},{"dropping-particle":"","family":"O’Donovan","given":"Claire","non-dropping-particle":"","parse-names":false,"suffix":""}],"container-title":"Nucleic Acids Research","id":"ITEM-1","issued":{"date-parts":[["2019","11","6"]]},"title":"MetaboLights: a resource evolving in response to the needs of its scientific community","type":"article-journal","volume":"48"},"uris":["http://www.mendeley.com/documents/?uuid=566717e8-a8b5-3cf7-90b4-76224ed78f01"]}],"mendeley":{"formattedCitation":"&lt;sup&gt;48&lt;/sup&gt;","plainTextFormattedCitation":"48","previouslyFormattedCitation":"&lt;sup&gt;47&lt;/sup&gt;"},"properties":{"noteIndex":0},"schema":"https://github.com/citation-style-language/schema/raw/master/csl-citation.json"}</w:instrText>
      </w:r>
      <w:r w:rsidR="00205ED2" w:rsidRPr="00BF658F">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48</w:t>
      </w:r>
      <w:r w:rsidR="00205ED2" w:rsidRPr="00BF658F">
        <w:rPr>
          <w:rFonts w:ascii="Arial" w:eastAsia="Calibri" w:hAnsi="Arial" w:cs="Arial"/>
          <w:sz w:val="24"/>
          <w:szCs w:val="24"/>
        </w:rPr>
        <w:fldChar w:fldCharType="end"/>
      </w:r>
      <w:r w:rsidR="00C015C8" w:rsidRPr="00BF658F">
        <w:rPr>
          <w:rFonts w:ascii="Arial" w:eastAsia="Calibri" w:hAnsi="Arial" w:cs="Arial"/>
          <w:sz w:val="24"/>
          <w:szCs w:val="24"/>
        </w:rPr>
        <w:t>. The m</w:t>
      </w:r>
      <w:r w:rsidR="00C015C8" w:rsidRPr="00205ED2">
        <w:rPr>
          <w:rFonts w:ascii="Arial" w:eastAsia="Calibri" w:hAnsi="Arial" w:cs="Arial"/>
          <w:sz w:val="24"/>
          <w:szCs w:val="24"/>
        </w:rPr>
        <w:t xml:space="preserve">ass spectrometry </w:t>
      </w:r>
      <w:r w:rsidR="00C015C8" w:rsidRPr="00C015C8">
        <w:rPr>
          <w:rFonts w:ascii="Arial" w:eastAsia="Calibri" w:hAnsi="Arial" w:cs="Arial"/>
          <w:sz w:val="24"/>
          <w:szCs w:val="24"/>
        </w:rPr>
        <w:t xml:space="preserve">proteomics data have been deposited to the </w:t>
      </w:r>
      <w:proofErr w:type="spellStart"/>
      <w:r w:rsidR="00C015C8" w:rsidRPr="00C015C8">
        <w:rPr>
          <w:rFonts w:ascii="Arial" w:eastAsia="Calibri" w:hAnsi="Arial" w:cs="Arial"/>
          <w:sz w:val="24"/>
          <w:szCs w:val="24"/>
        </w:rPr>
        <w:t>ProteomeXchan</w:t>
      </w:r>
      <w:r w:rsidR="00C46054">
        <w:rPr>
          <w:rFonts w:ascii="Arial" w:eastAsia="Calibri" w:hAnsi="Arial" w:cs="Arial"/>
          <w:sz w:val="24"/>
          <w:szCs w:val="24"/>
        </w:rPr>
        <w:t>ge</w:t>
      </w:r>
      <w:proofErr w:type="spellEnd"/>
      <w:r w:rsidR="00C46054">
        <w:rPr>
          <w:rFonts w:ascii="Arial" w:eastAsia="Calibri" w:hAnsi="Arial" w:cs="Arial"/>
          <w:sz w:val="24"/>
          <w:szCs w:val="24"/>
        </w:rPr>
        <w:t xml:space="preserve"> Consortium via the PRIDE </w:t>
      </w:r>
      <w:r w:rsidR="00C015C8" w:rsidRPr="00C015C8">
        <w:rPr>
          <w:rFonts w:ascii="Arial" w:eastAsia="Calibri" w:hAnsi="Arial" w:cs="Arial"/>
          <w:sz w:val="24"/>
          <w:szCs w:val="24"/>
        </w:rPr>
        <w:t>partner repository with the dataset identifier PXD017069 and 10.6019/PXD017069</w:t>
      </w:r>
      <w:r w:rsidR="00C46054">
        <w:rPr>
          <w:rFonts w:ascii="Arial" w:eastAsia="Calibri" w:hAnsi="Arial" w:cs="Arial"/>
          <w:sz w:val="24"/>
          <w:szCs w:val="24"/>
        </w:rPr>
        <w:t xml:space="preserve"> </w:t>
      </w:r>
      <w:r w:rsidR="00C46054">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{"citationItems":[{"id":"ITEM-1","itemData":{"DOI":"10.1093/nar/gky1106","ISSN":"13624962","abstract":"The PRoteomics IDEntifications (PRIDE) database (https://www.ebi.ac.uk/pride/) is the world's largest data repository of mass spectrometry-based proteomics data, and is one of the founding members of the global ProteomeXchange (PX) consortium. In this manuscript, we summarize the developments in PRIDE resources and related tools since the previous update manuscript was published in Nucleic Acids Research in 2016. In the last 3 years, public data sharing through PRIDE (as part of PX) has definitely become the norm in the field. In parallel, data re-use of public proteomics data has increased enormously, with multiple applications. We first describe the new architecture of PRIDE Archive, the archival component of PRIDE. PRIDE Archive and the related data submission framework have been further developed to support the increase in submitted data volumes and additional data types. A new scalable and fault tolerant storage backend, Application Programming Interface and web interface have been implemented, as a part of an ongoing process. Additionally, we emphasize the improved support for quantitative proteomics data through the mzTab format. At last, we outline key statistics on the current data contents and volume of downloads, and how PRIDE data are starting to be disseminated to added-value resources including Ensembl, UniProt and Expression Atlas.","author":[{"dropping-particle":"","family":"Perez-Riverol","given":"Yasset","non-dropping-particle":"","parse-names":false,"suffix":""},{"dropping-particle":"","family":"Csordas","given":"Attila","non-dropping-particle":"","parse-names":false,"suffix":""},{"dropping-particle":"","family":"Bai","given":"Jingwen","non-dropping-particle":"","parse-names":false,"suffix":""},{"dropping-particle":"","family":"Bernal-Llinares","given":"Manuel","non-dropping-particle":"","parse-names":false,"suffix":""},{"dropping-particle":"","family":"Hewapathirana","given":"Suresh","non-dropping-particle":"","parse-names":false,"suffix":""},{"dropping-particle":"","family":"Kundu","given":"Deepti J.","non-dropping-particle":"","parse-names":false,"suffix":""},{"dropping-particle":"","family":"Inuganti","given":"Avinash","non-dropping-particle":"","parse-names":false,"suffix":""},{"dropping-particle":"","family":"Griss","given":"Johannes","non-dropping-particle":"","parse-names":false,"suffix":""},{"dropping-particle":"","family":"Mayer","given":"Gerhard","non-dropping-particle":"","parse-names":false,"suffix":""},{"dropping-particle":"","family":"Eisenacher","given":"Martin","non-dropping-particle":"","parse-names":false,"suffix":""},{"dropping-particle":"","family":"Pérez","given":"Enrique","non-dropping-particle":"","parse-names":false,"suffix":""},{"dropping-particle":"","family":"Uszkoreit","given":"Julian","non-dropping-particle":"","parse-names":false,"suffix":""},{"dropping-particle":"","family":"Pfeuffer","given":"Julianus","non-dropping-particle":"","parse-names":false,"suffix":""},{"dropping-particle":"","family":"Sachsenberg","given":"Timo","non-dropping-particle":"","parse-names":false,"suffix":""},{"dropping-particle":"","family":"Yilmaz","given":"Şule","non-dropping-particle":"","parse-names":false,"suffix":""},{"dropping-particle":"","family":"Tiwary","given":"Shivani","non-dropping-particle":"","parse-names":false,"suffix":""},{"dropping-particle":"","family":"Cox","given":"Jürgen","non-dropping-particle":"","parse-names":false,"suffix":""},{"dropping-particle":"","family":"Audain","given":"Enrique","non-dropping-particle":"","parse-names":false,"suffix":""},{"dropping-particle":"","family":"Walzer","given":"Mathias","non-dropping-particle":"","parse-names":false,"suffix":""},{"dropping-particle":"","family":"Jarnuczak","given":"Andrew F.","non-dropping-particle":"","parse-names":false,"suffix":""},{"dropping-particle":"","family":"Ternent","given":"Tobias","non-dropping-particle":"","parse-names":false,"suffix":""},{"dropping-particle":"","family":"Brazma","given":"Alvis","non-dropping-particle":"","parse-names":false,"suffix":""},{"dropping-particle":"","family":"Vizcaíno","given":"Juan Antonio","non-dropping-particle":"","parse-names":false,"suffix":""}],"container-title":"Nucleic Acids Research","id":"ITEM-1","issue":"D1","issued":{"date-parts":[["2019","1","8"]]},"page":"D442-D450","publisher":"Oxford University Press","title":"The PRIDE database and related tools and resources in 2019: Improving support for quantification data","type":"article-journal","volume":"47"},"uris":["http://www.mendeley.com/documents/?uuid=7345196f-b5e1-3a11-aac2-1a8e3e827ceb"]}],"mendeley":{"formattedCitation":"&lt;sup&gt;49&lt;/sup&gt;","plainTextFormattedCitation":"49","previouslyFormattedCitation":"&lt;sup&gt;48&lt;/sup&gt;"},"properties":{"noteIndex":0},"schema":"https://github.com/citation-style-language/schema/raw/master/csl-citation.json"}</w:instrText>
      </w:r>
      <w:r w:rsidR="00C46054">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49</w:t>
      </w:r>
      <w:r w:rsidR="00C46054">
        <w:rPr>
          <w:rFonts w:ascii="Arial" w:eastAsia="Calibri" w:hAnsi="Arial" w:cs="Arial"/>
          <w:sz w:val="24"/>
          <w:szCs w:val="24"/>
        </w:rPr>
        <w:fldChar w:fldCharType="end"/>
      </w:r>
      <w:r w:rsidR="00C015C8" w:rsidRPr="00C015C8">
        <w:rPr>
          <w:rFonts w:ascii="Arial" w:eastAsia="Calibri" w:hAnsi="Arial" w:cs="Arial"/>
          <w:sz w:val="24"/>
          <w:szCs w:val="24"/>
        </w:rPr>
        <w:t>.</w:t>
      </w:r>
      <w:r w:rsidR="009D71C7">
        <w:rPr>
          <w:rFonts w:ascii="Arial" w:eastAsia="Calibri" w:hAnsi="Arial" w:cs="Arial"/>
          <w:sz w:val="24"/>
          <w:szCs w:val="24"/>
        </w:rPr>
        <w:t xml:space="preserve"> </w:t>
      </w:r>
    </w:p>
    <w:p w14:paraId="3B60C9A6" w14:textId="77777777" w:rsidR="00621FF5" w:rsidRDefault="009D71C7" w:rsidP="005A7033">
      <w:pPr>
        <w:autoSpaceDE w:val="0"/>
        <w:autoSpaceDN w:val="0"/>
        <w:adjustRightInd w:val="0"/>
        <w:spacing w:line="480" w:lineRule="auto"/>
        <w:rPr>
          <w:rFonts w:ascii="Arial" w:eastAsia="Calibri" w:hAnsi="Arial" w:cs="Arial"/>
          <w:sz w:val="24"/>
          <w:szCs w:val="24"/>
        </w:rPr>
      </w:pPr>
      <w:r w:rsidRPr="00BE4051">
        <w:rPr>
          <w:rFonts w:ascii="Arial" w:eastAsia="Calibri" w:hAnsi="Arial" w:cs="Arial"/>
          <w:sz w:val="24"/>
          <w:szCs w:val="24"/>
        </w:rPr>
        <w:t xml:space="preserve">Username: </w:t>
      </w:r>
      <w:hyperlink r:id="rId11" w:history="1">
        <w:r w:rsidRPr="00BE4051">
          <w:rPr>
            <w:rStyle w:val="Hyperlink"/>
            <w:rFonts w:ascii="Arial" w:eastAsia="Calibri" w:hAnsi="Arial" w:cs="Arial"/>
            <w:sz w:val="24"/>
            <w:szCs w:val="24"/>
          </w:rPr>
          <w:t>reviewer88516@ebi.ac.uk</w:t>
        </w:r>
      </w:hyperlink>
    </w:p>
    <w:p w14:paraId="49E0342C" w14:textId="783D8519" w:rsidR="00C015C8" w:rsidRDefault="009D71C7" w:rsidP="005A7033">
      <w:pPr>
        <w:autoSpaceDE w:val="0"/>
        <w:autoSpaceDN w:val="0"/>
        <w:adjustRightInd w:val="0"/>
        <w:spacing w:line="480" w:lineRule="auto"/>
        <w:rPr>
          <w:rFonts w:ascii="Arial" w:eastAsia="Calibri" w:hAnsi="Arial" w:cs="Arial"/>
          <w:color w:val="FF0000"/>
          <w:sz w:val="24"/>
          <w:szCs w:val="24"/>
        </w:rPr>
      </w:pPr>
      <w:r w:rsidRPr="00BE4051">
        <w:rPr>
          <w:rFonts w:ascii="Arial" w:eastAsia="Calibri" w:hAnsi="Arial" w:cs="Arial"/>
          <w:sz w:val="24"/>
          <w:szCs w:val="24"/>
        </w:rPr>
        <w:t>Password: wdQwP0cu</w:t>
      </w:r>
    </w:p>
    <w:p w14:paraId="3DDD76B0" w14:textId="5AA7A9C9" w:rsidR="00652D52" w:rsidRPr="005A7033" w:rsidRDefault="00652D52" w:rsidP="005A7033">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20" w:name="_Toc10551730"/>
      <w:r w:rsidRPr="005A7033">
        <w:rPr>
          <w:rFonts w:ascii="Arial" w:eastAsia="Bitstream Vera Sans;MS Mincho" w:hAnsi="Arial" w:cs="Arial"/>
          <w:b/>
          <w:bCs/>
          <w:color w:val="000000"/>
          <w:sz w:val="24"/>
          <w:szCs w:val="24"/>
          <w:lang w:eastAsia="zh-CN" w:bidi="hi-IN"/>
        </w:rPr>
        <w:t>Results</w:t>
      </w:r>
      <w:bookmarkEnd w:id="20"/>
    </w:p>
    <w:p w14:paraId="741F0664" w14:textId="77777777"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Cs/>
          <w:sz w:val="24"/>
          <w:szCs w:val="24"/>
        </w:rPr>
      </w:pPr>
      <w:r w:rsidRPr="00116C4A">
        <w:rPr>
          <w:rFonts w:ascii="Arial" w:eastAsia="Calibri" w:hAnsi="Arial" w:cs="Arial"/>
          <w:b/>
          <w:iCs/>
          <w:sz w:val="24"/>
          <w:szCs w:val="24"/>
        </w:rPr>
        <w:t>NMR Metabolomics</w:t>
      </w:r>
    </w:p>
    <w:p w14:paraId="65451CF7"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t>Spun vs Unspun</w:t>
      </w:r>
    </w:p>
    <w:p w14:paraId="27752CA3" w14:textId="1650FE71" w:rsidR="00652D52" w:rsidRPr="00794907" w:rsidRDefault="006A55D2" w:rsidP="00116C4A">
      <w:pPr>
        <w:autoSpaceDE w:val="0"/>
        <w:autoSpaceDN w:val="0"/>
        <w:adjustRightInd w:val="0"/>
        <w:spacing w:line="480" w:lineRule="auto"/>
        <w:rPr>
          <w:rFonts w:ascii="Arial" w:eastAsia="Calibri" w:hAnsi="Arial" w:cs="Arial"/>
          <w:b/>
          <w:sz w:val="24"/>
          <w:szCs w:val="24"/>
        </w:rPr>
      </w:pPr>
      <w:r w:rsidRPr="006A55D2">
        <w:rPr>
          <w:rFonts w:ascii="Arial" w:eastAsia="Calibri" w:hAnsi="Arial" w:cs="Arial"/>
          <w:sz w:val="24"/>
          <w:szCs w:val="24"/>
        </w:rPr>
        <w:t>Four spectra did not</w:t>
      </w:r>
      <w:r w:rsidRPr="00DC5747">
        <w:rPr>
          <w:rFonts w:ascii="Arial" w:hAnsi="Arial" w:cs="Arial"/>
          <w:sz w:val="24"/>
          <w:szCs w:val="24"/>
        </w:rPr>
        <w:t xml:space="preserve"> meet </w:t>
      </w:r>
      <w:r w:rsidRPr="006A55D2">
        <w:rPr>
          <w:rFonts w:ascii="Arial" w:eastAsia="Calibri" w:hAnsi="Arial" w:cs="Arial"/>
          <w:sz w:val="24"/>
          <w:szCs w:val="24"/>
        </w:rPr>
        <w:t xml:space="preserve">recommended minimum reporting standards and were removed from subsequent analyses. </w:t>
      </w:r>
      <w:r w:rsidR="00652D52" w:rsidRPr="006A55D2">
        <w:rPr>
          <w:rFonts w:ascii="Arial" w:eastAsia="Calibri" w:hAnsi="Arial" w:cs="Arial"/>
          <w:sz w:val="24"/>
          <w:szCs w:val="24"/>
        </w:rPr>
        <w:t xml:space="preserve">Including a centrifugation step prior to freezing identified clear separation on a PCA plot (Figure </w:t>
      </w:r>
      <w:r w:rsidR="005328BA" w:rsidRPr="006A55D2">
        <w:rPr>
          <w:rFonts w:ascii="Arial" w:eastAsia="Calibri" w:hAnsi="Arial" w:cs="Arial"/>
          <w:sz w:val="24"/>
          <w:szCs w:val="24"/>
        </w:rPr>
        <w:t>1</w:t>
      </w:r>
      <w:r w:rsidR="00652D52" w:rsidRPr="006A55D2">
        <w:rPr>
          <w:rFonts w:ascii="Arial" w:eastAsia="Calibri" w:hAnsi="Arial" w:cs="Arial"/>
          <w:sz w:val="24"/>
          <w:szCs w:val="24"/>
        </w:rPr>
        <w:t>a). Two distinct metabolomes can be discerned with separation determined by PC2.</w:t>
      </w:r>
      <w:r w:rsidR="00794907" w:rsidRPr="00794907">
        <w:t xml:space="preserve"> </w:t>
      </w:r>
      <w:r w:rsidR="00DA2AA9" w:rsidRPr="00DC5747">
        <w:rPr>
          <w:rFonts w:ascii="Arial" w:hAnsi="Arial" w:cs="Arial"/>
          <w:sz w:val="24"/>
          <w:szCs w:val="24"/>
        </w:rPr>
        <w:t>T</w:t>
      </w:r>
      <w:r w:rsidR="00A84456" w:rsidRPr="00080EC2">
        <w:rPr>
          <w:rFonts w:ascii="Arial" w:eastAsia="Calibri" w:hAnsi="Arial" w:cs="Arial"/>
          <w:sz w:val="24"/>
          <w:szCs w:val="24"/>
        </w:rPr>
        <w:t xml:space="preserve">he PCA loadings for PC2 identified metabolite peaks associated with branched chain amino acid biosynthesis (leucine, valine and 2-hydroxybutyrate) as higher in concentration in unspun SF vs </w:t>
      </w:r>
      <w:r w:rsidR="00A84456" w:rsidRPr="00080EC2">
        <w:rPr>
          <w:rFonts w:ascii="Arial" w:eastAsia="Calibri" w:hAnsi="Arial" w:cs="Arial"/>
          <w:sz w:val="24"/>
          <w:szCs w:val="24"/>
        </w:rPr>
        <w:lastRenderedPageBreak/>
        <w:t xml:space="preserve">spun </w:t>
      </w:r>
      <w:r w:rsidR="00080EC2" w:rsidRPr="00080EC2">
        <w:rPr>
          <w:rFonts w:ascii="Arial" w:eastAsia="Calibri" w:hAnsi="Arial" w:cs="Arial"/>
          <w:sz w:val="24"/>
          <w:szCs w:val="24"/>
        </w:rPr>
        <w:t xml:space="preserve">SF </w:t>
      </w:r>
      <w:r w:rsidR="00A84456" w:rsidRPr="00080EC2">
        <w:rPr>
          <w:rFonts w:ascii="Arial" w:eastAsia="Calibri" w:hAnsi="Arial" w:cs="Arial"/>
          <w:sz w:val="24"/>
          <w:szCs w:val="24"/>
        </w:rPr>
        <w:t>(Figure S2).</w:t>
      </w:r>
      <w:r w:rsidR="00080EC2" w:rsidRPr="00DC5747">
        <w:rPr>
          <w:rFonts w:ascii="Arial" w:hAnsi="Arial" w:cs="Arial"/>
          <w:sz w:val="24"/>
          <w:szCs w:val="24"/>
        </w:rPr>
        <w:t xml:space="preserve"> This </w:t>
      </w:r>
      <w:r w:rsidR="00080EC2" w:rsidRPr="00080EC2">
        <w:rPr>
          <w:rFonts w:ascii="Arial" w:eastAsia="Calibri" w:hAnsi="Arial" w:cs="Arial"/>
          <w:sz w:val="24"/>
          <w:szCs w:val="24"/>
        </w:rPr>
        <w:t>is likely due to contamination from intracellular material present within the unspun samples.</w:t>
      </w:r>
    </w:p>
    <w:p w14:paraId="553E3B2F"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t>Different Freezing Protocols</w:t>
      </w:r>
    </w:p>
    <w:p w14:paraId="4F716F56" w14:textId="3C3DEBD3" w:rsidR="00652D52" w:rsidRPr="00116C4A" w:rsidRDefault="006A55D2" w:rsidP="00116C4A">
      <w:pPr>
        <w:autoSpaceDE w:val="0"/>
        <w:autoSpaceDN w:val="0"/>
        <w:adjustRightInd w:val="0"/>
        <w:spacing w:line="480" w:lineRule="auto"/>
        <w:rPr>
          <w:rFonts w:ascii="Arial" w:eastAsia="Calibri" w:hAnsi="Arial" w:cs="Arial"/>
          <w:sz w:val="24"/>
          <w:szCs w:val="24"/>
        </w:rPr>
      </w:pPr>
      <w:r>
        <w:rPr>
          <w:rFonts w:ascii="Arial" w:eastAsia="Calibri" w:hAnsi="Arial" w:cs="Arial"/>
          <w:sz w:val="24"/>
          <w:szCs w:val="24"/>
        </w:rPr>
        <w:t>Seven</w:t>
      </w:r>
      <w:r w:rsidRPr="006A55D2">
        <w:rPr>
          <w:rFonts w:ascii="Arial" w:eastAsia="Calibri" w:hAnsi="Arial" w:cs="Arial"/>
          <w:sz w:val="24"/>
          <w:szCs w:val="24"/>
        </w:rPr>
        <w:t xml:space="preserve"> spectra did not meet recommended minimum reporting standards and were removed from subsequent analyses. </w:t>
      </w:r>
      <w:r w:rsidR="00652D52" w:rsidRPr="00116C4A">
        <w:rPr>
          <w:rFonts w:ascii="Arial" w:eastAsia="Calibri" w:hAnsi="Arial" w:cs="Arial"/>
          <w:sz w:val="24"/>
          <w:szCs w:val="24"/>
        </w:rPr>
        <w:t xml:space="preserve">Unlike the centrifugation protocols, PCA of different SF freezing protocols did not generate separate </w:t>
      </w:r>
      <w:proofErr w:type="spellStart"/>
      <w:r w:rsidR="00652D52" w:rsidRPr="00116C4A">
        <w:rPr>
          <w:rFonts w:ascii="Arial" w:eastAsia="Calibri" w:hAnsi="Arial" w:cs="Arial"/>
          <w:sz w:val="24"/>
          <w:szCs w:val="24"/>
        </w:rPr>
        <w:t>metabolomic</w:t>
      </w:r>
      <w:proofErr w:type="spellEnd"/>
      <w:r w:rsidR="00652D52" w:rsidRPr="00116C4A">
        <w:rPr>
          <w:rFonts w:ascii="Arial" w:eastAsia="Calibri" w:hAnsi="Arial" w:cs="Arial"/>
          <w:sz w:val="24"/>
          <w:szCs w:val="24"/>
        </w:rPr>
        <w:t xml:space="preserve"> profiles with no distinct groupings identified according to the freezing method used (Figure </w:t>
      </w:r>
      <w:r w:rsidR="005328BA">
        <w:rPr>
          <w:rFonts w:ascii="Arial" w:eastAsia="Calibri" w:hAnsi="Arial" w:cs="Arial"/>
          <w:sz w:val="24"/>
          <w:szCs w:val="24"/>
        </w:rPr>
        <w:t>1</w:t>
      </w:r>
      <w:r w:rsidR="00652D52" w:rsidRPr="00116C4A">
        <w:rPr>
          <w:rFonts w:ascii="Arial" w:eastAsia="Calibri" w:hAnsi="Arial" w:cs="Arial"/>
          <w:sz w:val="24"/>
          <w:szCs w:val="24"/>
        </w:rPr>
        <w:t>b). However, the SF samples frozen by snap freezing in liquid nitrogen displayed the least variance between technical replicates and this protocol was therefore the most reproducible of those studied.</w:t>
      </w:r>
    </w:p>
    <w:p w14:paraId="4DC91A59"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t>Reproducibility of Separate Synovial Fluid Donors</w:t>
      </w:r>
    </w:p>
    <w:p w14:paraId="3D618D0E" w14:textId="6D6F0728" w:rsidR="00A84456" w:rsidRDefault="00652D52" w:rsidP="00A84CAD">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The collection and processing protocol was identified </w:t>
      </w:r>
      <w:r w:rsidR="00A22318">
        <w:rPr>
          <w:rFonts w:ascii="Arial" w:eastAsia="Calibri" w:hAnsi="Arial" w:cs="Arial"/>
          <w:sz w:val="24"/>
          <w:szCs w:val="24"/>
        </w:rPr>
        <w:t>as</w:t>
      </w:r>
      <w:r w:rsidRPr="00116C4A">
        <w:rPr>
          <w:rFonts w:ascii="Arial" w:eastAsia="Calibri" w:hAnsi="Arial" w:cs="Arial"/>
          <w:sz w:val="24"/>
          <w:szCs w:val="24"/>
        </w:rPr>
        <w:t xml:space="preserve"> be</w:t>
      </w:r>
      <w:r w:rsidR="00A22318">
        <w:rPr>
          <w:rFonts w:ascii="Arial" w:eastAsia="Calibri" w:hAnsi="Arial" w:cs="Arial"/>
          <w:sz w:val="24"/>
          <w:szCs w:val="24"/>
        </w:rPr>
        <w:t>ing</w:t>
      </w:r>
      <w:r w:rsidRPr="00116C4A">
        <w:rPr>
          <w:rFonts w:ascii="Arial" w:eastAsia="Calibri" w:hAnsi="Arial" w:cs="Arial"/>
          <w:sz w:val="24"/>
          <w:szCs w:val="24"/>
        </w:rPr>
        <w:t xml:space="preserve"> reproducible with three technical replicates of </w:t>
      </w:r>
      <w:r w:rsidR="00A22318">
        <w:rPr>
          <w:rFonts w:ascii="Arial" w:eastAsia="Calibri" w:hAnsi="Arial" w:cs="Arial"/>
          <w:sz w:val="24"/>
          <w:szCs w:val="24"/>
        </w:rPr>
        <w:t xml:space="preserve">SF from </w:t>
      </w:r>
      <w:r w:rsidRPr="00116C4A">
        <w:rPr>
          <w:rFonts w:ascii="Arial" w:eastAsia="Calibri" w:hAnsi="Arial" w:cs="Arial"/>
          <w:sz w:val="24"/>
          <w:szCs w:val="24"/>
        </w:rPr>
        <w:t xml:space="preserve">three macroscopically normal MCP joints from three horses clustering separately on a PCA plot (Figure </w:t>
      </w:r>
      <w:r w:rsidR="005328BA">
        <w:rPr>
          <w:rFonts w:ascii="Arial" w:eastAsia="Calibri" w:hAnsi="Arial" w:cs="Arial"/>
          <w:sz w:val="24"/>
          <w:szCs w:val="24"/>
        </w:rPr>
        <w:t>1</w:t>
      </w:r>
      <w:r w:rsidRPr="00116C4A">
        <w:rPr>
          <w:rFonts w:ascii="Arial" w:eastAsia="Calibri" w:hAnsi="Arial" w:cs="Arial"/>
          <w:sz w:val="24"/>
          <w:szCs w:val="24"/>
        </w:rPr>
        <w:t>c).</w:t>
      </w:r>
    </w:p>
    <w:p w14:paraId="6987A41D" w14:textId="43FC07F3" w:rsidR="00A84456" w:rsidRDefault="00A84456" w:rsidP="00A84CAD">
      <w:pPr>
        <w:autoSpaceDE w:val="0"/>
        <w:autoSpaceDN w:val="0"/>
        <w:adjustRightInd w:val="0"/>
        <w:spacing w:line="480" w:lineRule="auto"/>
        <w:rPr>
          <w:rFonts w:ascii="Arial" w:eastAsia="Calibri" w:hAnsi="Arial" w:cs="Arial"/>
          <w:sz w:val="24"/>
          <w:szCs w:val="24"/>
        </w:rPr>
      </w:pPr>
    </w:p>
    <w:p w14:paraId="36C9C1EE" w14:textId="006472D0" w:rsidR="00487BE2" w:rsidRDefault="00487BE2" w:rsidP="00A84CAD">
      <w:pPr>
        <w:autoSpaceDE w:val="0"/>
        <w:autoSpaceDN w:val="0"/>
        <w:adjustRightInd w:val="0"/>
        <w:spacing w:line="480" w:lineRule="auto"/>
        <w:rPr>
          <w:rFonts w:ascii="Arial" w:eastAsia="Calibri" w:hAnsi="Arial" w:cs="Arial"/>
          <w:sz w:val="24"/>
          <w:szCs w:val="24"/>
        </w:rPr>
      </w:pPr>
    </w:p>
    <w:p w14:paraId="289533FC" w14:textId="77777777" w:rsidR="00487BE2" w:rsidRDefault="00487BE2" w:rsidP="00A84CAD">
      <w:pPr>
        <w:autoSpaceDE w:val="0"/>
        <w:autoSpaceDN w:val="0"/>
        <w:adjustRightInd w:val="0"/>
        <w:spacing w:line="480" w:lineRule="auto"/>
        <w:rPr>
          <w:rFonts w:ascii="Arial" w:eastAsia="Calibri" w:hAnsi="Arial" w:cs="Arial"/>
          <w:sz w:val="24"/>
          <w:szCs w:val="24"/>
        </w:rPr>
      </w:pPr>
    </w:p>
    <w:p w14:paraId="1B18076A" w14:textId="594C6050" w:rsidR="00A84456" w:rsidRDefault="00A84456" w:rsidP="00A84CAD">
      <w:pPr>
        <w:autoSpaceDE w:val="0"/>
        <w:autoSpaceDN w:val="0"/>
        <w:adjustRightInd w:val="0"/>
        <w:spacing w:line="480" w:lineRule="auto"/>
        <w:rPr>
          <w:rFonts w:ascii="Arial" w:eastAsia="Calibri" w:hAnsi="Arial" w:cs="Arial"/>
          <w:sz w:val="24"/>
          <w:szCs w:val="24"/>
        </w:rPr>
      </w:pPr>
    </w:p>
    <w:p w14:paraId="7ADB9E4A" w14:textId="66997992" w:rsidR="00A84456" w:rsidRDefault="00A84456" w:rsidP="00A84CAD">
      <w:pPr>
        <w:autoSpaceDE w:val="0"/>
        <w:autoSpaceDN w:val="0"/>
        <w:adjustRightInd w:val="0"/>
        <w:spacing w:line="480" w:lineRule="auto"/>
        <w:rPr>
          <w:rFonts w:ascii="Arial" w:eastAsia="Calibri" w:hAnsi="Arial" w:cs="Arial"/>
          <w:sz w:val="24"/>
          <w:szCs w:val="24"/>
        </w:rPr>
      </w:pPr>
    </w:p>
    <w:p w14:paraId="28D9CBC1" w14:textId="77777777" w:rsidR="00A84456" w:rsidRDefault="00A84456" w:rsidP="00A84CAD">
      <w:pPr>
        <w:autoSpaceDE w:val="0"/>
        <w:autoSpaceDN w:val="0"/>
        <w:adjustRightInd w:val="0"/>
        <w:spacing w:line="480" w:lineRule="auto"/>
        <w:rPr>
          <w:rFonts w:ascii="Arial" w:eastAsia="Calibri" w:hAnsi="Arial" w:cs="Arial"/>
          <w:sz w:val="24"/>
          <w:szCs w:val="24"/>
        </w:rPr>
      </w:pPr>
    </w:p>
    <w:p w14:paraId="7B3645DA" w14:textId="7F171158" w:rsidR="00414788" w:rsidRDefault="00414788" w:rsidP="00652D52">
      <w:pPr>
        <w:autoSpaceDE w:val="0"/>
        <w:autoSpaceDN w:val="0"/>
        <w:adjustRightInd w:val="0"/>
        <w:spacing w:line="360" w:lineRule="auto"/>
        <w:rPr>
          <w:rFonts w:ascii="Arial" w:eastAsia="Calibri" w:hAnsi="Arial" w:cs="Arial"/>
          <w:sz w:val="24"/>
          <w:szCs w:val="24"/>
        </w:rPr>
      </w:pPr>
    </w:p>
    <w:p w14:paraId="7531A709" w14:textId="21AB2740" w:rsidR="00414788" w:rsidRDefault="00A84CAD" w:rsidP="00652D52">
      <w:pPr>
        <w:autoSpaceDE w:val="0"/>
        <w:autoSpaceDN w:val="0"/>
        <w:adjustRightInd w:val="0"/>
        <w:spacing w:line="360" w:lineRule="auto"/>
        <w:rPr>
          <w:rFonts w:ascii="Arial" w:eastAsia="Calibri" w:hAnsi="Arial" w:cs="Arial"/>
          <w:sz w:val="24"/>
          <w:szCs w:val="24"/>
        </w:rPr>
      </w:pPr>
      <w:r w:rsidRPr="00116C4A">
        <w:rPr>
          <w:rFonts w:ascii="Arial" w:eastAsia="Calibri" w:hAnsi="Arial"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140BB388" wp14:editId="70B28A33">
                <wp:simplePos x="0" y="0"/>
                <wp:positionH relativeFrom="margin">
                  <wp:align>center</wp:align>
                </wp:positionH>
                <wp:positionV relativeFrom="paragraph">
                  <wp:posOffset>8890</wp:posOffset>
                </wp:positionV>
                <wp:extent cx="5224200" cy="328549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200" cy="3285490"/>
                        </a:xfrm>
                        <a:prstGeom prst="rect">
                          <a:avLst/>
                        </a:prstGeom>
                        <a:solidFill>
                          <a:srgbClr val="FFFFFF"/>
                        </a:solidFill>
                        <a:ln w="9525">
                          <a:noFill/>
                          <a:miter lim="800000"/>
                          <a:headEnd/>
                          <a:tailEnd/>
                        </a:ln>
                      </wps:spPr>
                      <wps:txbx>
                        <w:txbxContent>
                          <w:p w14:paraId="6A866A74" w14:textId="77777777" w:rsidR="00891812" w:rsidRDefault="00891812" w:rsidP="00652D52">
                            <w:r>
                              <w:rPr>
                                <w:noProof/>
                                <w:lang w:eastAsia="en-GB"/>
                              </w:rPr>
                              <w:drawing>
                                <wp:inline distT="0" distB="0" distL="0" distR="0" wp14:anchorId="173A8727" wp14:editId="3B5F99DE">
                                  <wp:extent cx="5120067" cy="2989690"/>
                                  <wp:effectExtent l="0" t="0" r="4445" b="1270"/>
                                  <wp:docPr id="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l="22284" t="19530" r="11552" b="11784"/>
                                          <a:stretch>
                                            <a:fillRect/>
                                          </a:stretch>
                                        </pic:blipFill>
                                        <pic:spPr bwMode="auto">
                                          <a:xfrm>
                                            <a:off x="0" y="0"/>
                                            <a:ext cx="5130067" cy="29955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0BB388" id="_x0000_s1028" type="#_x0000_t202" style="position:absolute;margin-left:0;margin-top:.7pt;width:411.35pt;height:258.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" stroked="f">
                <v:textbox>
                  <w:txbxContent>
                    <w:p w14:paraId="6A866A74" w14:textId="77777777" w:rsidR="00891812" w:rsidRDefault="00891812" w:rsidP="00652D52">
                      <w:r>
                        <w:rPr>
                          <w:noProof/>
                          <w:lang w:eastAsia="en-GB"/>
                        </w:rPr>
                        <w:drawing>
                          <wp:inline distT="0" distB="0" distL="0" distR="0" wp14:anchorId="173A8727" wp14:editId="3B5F99DE">
                            <wp:extent cx="5120067" cy="2989690"/>
                            <wp:effectExtent l="0" t="0" r="4445" b="1270"/>
                            <wp:docPr id="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22284" t="19530" r="11552" b="11784"/>
                                    <a:stretch>
                                      <a:fillRect/>
                                    </a:stretch>
                                  </pic:blipFill>
                                  <pic:spPr bwMode="auto">
                                    <a:xfrm>
                                      <a:off x="0" y="0"/>
                                      <a:ext cx="5130067" cy="2995529"/>
                                    </a:xfrm>
                                    <a:prstGeom prst="rect">
                                      <a:avLst/>
                                    </a:prstGeom>
                                    <a:noFill/>
                                    <a:ln>
                                      <a:noFill/>
                                    </a:ln>
                                  </pic:spPr>
                                </pic:pic>
                              </a:graphicData>
                            </a:graphic>
                          </wp:inline>
                        </w:drawing>
                      </w:r>
                    </w:p>
                  </w:txbxContent>
                </v:textbox>
                <w10:wrap anchorx="margin"/>
              </v:shape>
            </w:pict>
          </mc:Fallback>
        </mc:AlternateContent>
      </w:r>
    </w:p>
    <w:p w14:paraId="2FFE8024" w14:textId="26695C05" w:rsidR="00414788" w:rsidRDefault="00414788" w:rsidP="00652D52">
      <w:pPr>
        <w:autoSpaceDE w:val="0"/>
        <w:autoSpaceDN w:val="0"/>
        <w:adjustRightInd w:val="0"/>
        <w:spacing w:line="360" w:lineRule="auto"/>
        <w:rPr>
          <w:rFonts w:ascii="Arial" w:eastAsia="Calibri" w:hAnsi="Arial" w:cs="Arial"/>
          <w:sz w:val="24"/>
          <w:szCs w:val="24"/>
        </w:rPr>
      </w:pPr>
    </w:p>
    <w:p w14:paraId="3CA4A848" w14:textId="1C69038A" w:rsidR="00414788" w:rsidRPr="00116C4A" w:rsidRDefault="00414788" w:rsidP="00652D52">
      <w:pPr>
        <w:autoSpaceDE w:val="0"/>
        <w:autoSpaceDN w:val="0"/>
        <w:adjustRightInd w:val="0"/>
        <w:spacing w:line="360" w:lineRule="auto"/>
        <w:rPr>
          <w:rFonts w:ascii="Arial" w:eastAsia="Calibri" w:hAnsi="Arial" w:cs="Arial"/>
          <w:sz w:val="24"/>
          <w:szCs w:val="24"/>
        </w:rPr>
      </w:pPr>
    </w:p>
    <w:p w14:paraId="0A4F12A2" w14:textId="41CF80CC" w:rsidR="00652D52" w:rsidRPr="00116C4A" w:rsidRDefault="00652D52" w:rsidP="00652D52">
      <w:pPr>
        <w:autoSpaceDE w:val="0"/>
        <w:autoSpaceDN w:val="0"/>
        <w:adjustRightInd w:val="0"/>
        <w:spacing w:line="360" w:lineRule="auto"/>
        <w:rPr>
          <w:rFonts w:ascii="Arial" w:eastAsia="Calibri" w:hAnsi="Arial" w:cs="Arial"/>
          <w:sz w:val="24"/>
          <w:szCs w:val="24"/>
        </w:rPr>
      </w:pPr>
    </w:p>
    <w:p w14:paraId="168A7F76" w14:textId="7142906A" w:rsidR="00652D52" w:rsidRPr="00116C4A" w:rsidRDefault="00652D52" w:rsidP="00652D52">
      <w:pPr>
        <w:autoSpaceDE w:val="0"/>
        <w:autoSpaceDN w:val="0"/>
        <w:adjustRightInd w:val="0"/>
        <w:spacing w:line="360" w:lineRule="auto"/>
        <w:rPr>
          <w:rFonts w:ascii="Arial" w:eastAsia="Calibri" w:hAnsi="Arial" w:cs="Arial"/>
          <w:b/>
          <w:color w:val="FF0000"/>
          <w:sz w:val="24"/>
          <w:szCs w:val="24"/>
        </w:rPr>
      </w:pPr>
    </w:p>
    <w:p w14:paraId="5A488498"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2B1393EF"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291F1410"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2851744B"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57E729DA" w14:textId="59738581" w:rsidR="00652D52" w:rsidRPr="00116C4A" w:rsidRDefault="00A84CAD" w:rsidP="00652D52">
      <w:pPr>
        <w:autoSpaceDE w:val="0"/>
        <w:autoSpaceDN w:val="0"/>
        <w:adjustRightInd w:val="0"/>
        <w:spacing w:line="256" w:lineRule="auto"/>
        <w:rPr>
          <w:rFonts w:ascii="Arial" w:eastAsia="Calibri" w:hAnsi="Arial" w:cs="Arial"/>
          <w:b/>
          <w:color w:val="FF0000"/>
          <w:sz w:val="24"/>
          <w:szCs w:val="24"/>
        </w:rPr>
      </w:pPr>
      <w:r w:rsidRPr="00116C4A">
        <w:rPr>
          <w:rFonts w:ascii="Arial" w:eastAsia="Calibri" w:hAnsi="Arial" w:cs="Arial"/>
          <w:noProof/>
          <w:sz w:val="24"/>
          <w:szCs w:val="24"/>
          <w:lang w:eastAsia="en-GB"/>
        </w:rPr>
        <mc:AlternateContent>
          <mc:Choice Requires="wps">
            <w:drawing>
              <wp:anchor distT="0" distB="0" distL="114300" distR="114300" simplePos="0" relativeHeight="251660288" behindDoc="0" locked="0" layoutInCell="1" allowOverlap="1" wp14:anchorId="505E5249" wp14:editId="3FD582A0">
                <wp:simplePos x="0" y="0"/>
                <wp:positionH relativeFrom="margin">
                  <wp:align>center</wp:align>
                </wp:positionH>
                <wp:positionV relativeFrom="paragraph">
                  <wp:posOffset>6985</wp:posOffset>
                </wp:positionV>
                <wp:extent cx="5239910" cy="3065069"/>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910" cy="3065069"/>
                        </a:xfrm>
                        <a:prstGeom prst="rect">
                          <a:avLst/>
                        </a:prstGeom>
                        <a:solidFill>
                          <a:srgbClr val="FFFFFF"/>
                        </a:solidFill>
                        <a:ln w="9525">
                          <a:noFill/>
                          <a:miter lim="800000"/>
                          <a:headEnd/>
                          <a:tailEnd/>
                        </a:ln>
                      </wps:spPr>
                      <wps:txbx>
                        <w:txbxContent>
                          <w:p w14:paraId="69C36072" w14:textId="77777777" w:rsidR="00891812" w:rsidRDefault="00891812" w:rsidP="00652D52">
                            <w:r>
                              <w:rPr>
                                <w:noProof/>
                                <w:lang w:eastAsia="en-GB"/>
                              </w:rPr>
                              <w:drawing>
                                <wp:inline distT="0" distB="0" distL="0" distR="0" wp14:anchorId="5D9EA40D" wp14:editId="2A086EBA">
                                  <wp:extent cx="5033175" cy="2918542"/>
                                  <wp:effectExtent l="0" t="0" r="0" b="0"/>
                                  <wp:docPr id="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22221" t="20094" r="11877" b="12132"/>
                                          <a:stretch>
                                            <a:fillRect/>
                                          </a:stretch>
                                        </pic:blipFill>
                                        <pic:spPr bwMode="auto">
                                          <a:xfrm>
                                            <a:off x="0" y="0"/>
                                            <a:ext cx="5049116" cy="2927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E5249" id="_x0000_s1029" type="#_x0000_t202" style="position:absolute;margin-left:0;margin-top:.55pt;width:412.6pt;height:241.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ACJQIAACQ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" stroked="f">
                <v:textbox>
                  <w:txbxContent>
                    <w:p w14:paraId="69C36072" w14:textId="77777777" w:rsidR="00891812" w:rsidRDefault="00891812" w:rsidP="00652D52">
                      <w:r>
                        <w:rPr>
                          <w:noProof/>
                          <w:lang w:eastAsia="en-GB"/>
                        </w:rPr>
                        <w:drawing>
                          <wp:inline distT="0" distB="0" distL="0" distR="0" wp14:anchorId="5D9EA40D" wp14:editId="2A086EBA">
                            <wp:extent cx="5033175" cy="2918542"/>
                            <wp:effectExtent l="0" t="0" r="0" b="0"/>
                            <wp:docPr id="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l="22221" t="20094" r="11877" b="12132"/>
                                    <a:stretch>
                                      <a:fillRect/>
                                    </a:stretch>
                                  </pic:blipFill>
                                  <pic:spPr bwMode="auto">
                                    <a:xfrm>
                                      <a:off x="0" y="0"/>
                                      <a:ext cx="5049116" cy="2927785"/>
                                    </a:xfrm>
                                    <a:prstGeom prst="rect">
                                      <a:avLst/>
                                    </a:prstGeom>
                                    <a:noFill/>
                                    <a:ln>
                                      <a:noFill/>
                                    </a:ln>
                                  </pic:spPr>
                                </pic:pic>
                              </a:graphicData>
                            </a:graphic>
                          </wp:inline>
                        </w:drawing>
                      </w:r>
                    </w:p>
                  </w:txbxContent>
                </v:textbox>
                <w10:wrap anchorx="margin"/>
              </v:shape>
            </w:pict>
          </mc:Fallback>
        </mc:AlternateContent>
      </w:r>
    </w:p>
    <w:p w14:paraId="5A3D6A68"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01280C4D" w14:textId="03D7AA78"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786C8464"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761FE6CA" w14:textId="22687A84"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40E5BF81" w14:textId="2D1D55DB"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48F095E6"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50B370D2"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0EFC0115"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74C23F78"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5B09CB50"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62BE87BD" w14:textId="77777777" w:rsidR="00A84CAD" w:rsidRDefault="00A84CAD" w:rsidP="00652D52">
      <w:pPr>
        <w:autoSpaceDE w:val="0"/>
        <w:autoSpaceDN w:val="0"/>
        <w:adjustRightInd w:val="0"/>
        <w:spacing w:line="256" w:lineRule="auto"/>
        <w:rPr>
          <w:rFonts w:ascii="Arial" w:eastAsia="Calibri" w:hAnsi="Arial" w:cs="Arial"/>
          <w:b/>
          <w:color w:val="FF0000"/>
          <w:sz w:val="24"/>
          <w:szCs w:val="24"/>
        </w:rPr>
      </w:pPr>
    </w:p>
    <w:p w14:paraId="2C1EA4EB" w14:textId="57727A26" w:rsidR="00652D52" w:rsidRPr="00116C4A" w:rsidRDefault="00652D52" w:rsidP="00652D52">
      <w:pPr>
        <w:autoSpaceDE w:val="0"/>
        <w:autoSpaceDN w:val="0"/>
        <w:adjustRightInd w:val="0"/>
        <w:spacing w:line="256" w:lineRule="auto"/>
        <w:rPr>
          <w:rFonts w:ascii="Arial" w:eastAsia="Calibri" w:hAnsi="Arial" w:cs="Arial"/>
          <w:noProof/>
          <w:sz w:val="24"/>
          <w:szCs w:val="24"/>
          <w:lang w:eastAsia="en-GB"/>
        </w:rPr>
      </w:pPr>
      <w:r w:rsidRPr="00116C4A">
        <w:rPr>
          <w:rFonts w:ascii="Arial" w:eastAsia="Calibri" w:hAnsi="Arial" w:cs="Arial"/>
          <w:b/>
          <w:sz w:val="24"/>
          <w:szCs w:val="24"/>
        </w:rPr>
        <w:t xml:space="preserve">Figure </w:t>
      </w:r>
      <w:r w:rsidR="005328BA">
        <w:rPr>
          <w:rFonts w:ascii="Arial" w:eastAsia="Calibri" w:hAnsi="Arial" w:cs="Arial"/>
          <w:b/>
          <w:sz w:val="24"/>
          <w:szCs w:val="24"/>
        </w:rPr>
        <w:t>1</w:t>
      </w:r>
      <w:r w:rsidRPr="00116C4A">
        <w:rPr>
          <w:rFonts w:ascii="Arial" w:eastAsia="Calibri" w:hAnsi="Arial" w:cs="Arial"/>
          <w:b/>
          <w:sz w:val="24"/>
          <w:szCs w:val="24"/>
        </w:rPr>
        <w:t xml:space="preserve">. Optimisation of equine synovial fluid processing for 1D </w:t>
      </w:r>
      <w:r w:rsidRPr="00116C4A">
        <w:rPr>
          <w:rFonts w:ascii="Arial" w:eastAsia="Calibri" w:hAnsi="Arial" w:cs="Arial"/>
          <w:b/>
          <w:sz w:val="24"/>
          <w:szCs w:val="24"/>
          <w:vertAlign w:val="superscript"/>
        </w:rPr>
        <w:t>1</w:t>
      </w:r>
      <w:r w:rsidRPr="00116C4A">
        <w:rPr>
          <w:rFonts w:ascii="Arial" w:eastAsia="Calibri" w:hAnsi="Arial" w:cs="Arial"/>
          <w:b/>
          <w:sz w:val="24"/>
          <w:szCs w:val="24"/>
        </w:rPr>
        <w:t xml:space="preserve">H NMR metabolome analysis. </w:t>
      </w:r>
      <w:r w:rsidRPr="00116C4A">
        <w:rPr>
          <w:rFonts w:ascii="Arial" w:eastAsia="Calibri" w:hAnsi="Arial" w:cs="Arial"/>
          <w:sz w:val="24"/>
          <w:szCs w:val="24"/>
        </w:rPr>
        <w:t>The reproducibility of the metabolome for different processing protocols for equine synovial fluid (SF) was assessed using principal component analysis (PCA).</w:t>
      </w:r>
      <w:r w:rsidRPr="00116C4A">
        <w:rPr>
          <w:rFonts w:ascii="Arial" w:eastAsia="Calibri" w:hAnsi="Arial" w:cs="Arial"/>
          <w:b/>
          <w:sz w:val="24"/>
          <w:szCs w:val="24"/>
        </w:rPr>
        <w:t xml:space="preserve"> </w:t>
      </w:r>
      <w:r w:rsidRPr="00116C4A">
        <w:rPr>
          <w:rFonts w:ascii="Arial" w:eastAsia="Calibri" w:hAnsi="Arial" w:cs="Arial"/>
          <w:sz w:val="24"/>
          <w:szCs w:val="24"/>
        </w:rPr>
        <w:t xml:space="preserve">These protocols included (A) </w:t>
      </w:r>
      <w:r w:rsidRPr="00116C4A">
        <w:rPr>
          <w:rFonts w:ascii="Arial" w:eastAsia="Times New Roman" w:hAnsi="Arial" w:cs="Arial"/>
          <w:color w:val="222222"/>
          <w:sz w:val="24"/>
          <w:szCs w:val="24"/>
          <w:shd w:val="clear" w:color="auto" w:fill="FFFFFF"/>
        </w:rPr>
        <w:t xml:space="preserve">with (n=6) and without (n=8) a </w:t>
      </w:r>
      <w:r w:rsidRPr="00116C4A">
        <w:rPr>
          <w:rFonts w:ascii="Arial" w:eastAsia="Calibri" w:hAnsi="Arial" w:cs="Arial"/>
          <w:sz w:val="24"/>
          <w:szCs w:val="24"/>
        </w:rPr>
        <w:t>centrifugation step (2,540</w:t>
      </w:r>
      <w:r w:rsidRPr="00116C4A">
        <w:rPr>
          <w:rFonts w:ascii="Arial" w:eastAsia="Calibri" w:hAnsi="Arial" w:cs="Arial"/>
          <w:i/>
          <w:sz w:val="24"/>
          <w:szCs w:val="24"/>
        </w:rPr>
        <w:t>g</w:t>
      </w:r>
      <w:r w:rsidRPr="00116C4A">
        <w:rPr>
          <w:rFonts w:ascii="Arial" w:eastAsia="Calibri" w:hAnsi="Arial" w:cs="Arial"/>
          <w:sz w:val="24"/>
          <w:szCs w:val="24"/>
        </w:rPr>
        <w:t xml:space="preserve"> and 4°C for 5 min) prior to freezing and (B) the use of different freezing methods (-20˚C (n=7), -80˚C (n=6), dry ice (n=5) and liquid nitrogen (n=7)). (C) PCA showing reproducibility of the finalised SF processing method (including centrifugation and liquid nitrogen snap freezing) using three separate equine donors with three </w:t>
      </w:r>
      <w:r w:rsidRPr="00116C4A">
        <w:rPr>
          <w:rFonts w:ascii="Arial" w:eastAsia="Calibri" w:hAnsi="Arial" w:cs="Arial"/>
          <w:noProof/>
          <w:sz w:val="24"/>
          <w:szCs w:val="24"/>
          <w:lang w:eastAsia="en-GB"/>
        </w:rPr>
        <w:t>technical replicates for each donor</w:t>
      </w:r>
      <w:r w:rsidRPr="00116C4A">
        <w:rPr>
          <w:rFonts w:ascii="Arial" w:eastAsia="Calibri" w:hAnsi="Arial" w:cs="Arial"/>
          <w:sz w:val="24"/>
          <w:szCs w:val="24"/>
        </w:rPr>
        <w:t>.</w:t>
      </w:r>
      <w:r w:rsidRPr="00116C4A">
        <w:rPr>
          <w:rFonts w:ascii="Arial" w:eastAsia="Calibri" w:hAnsi="Arial" w:cs="Arial"/>
          <w:noProof/>
          <w:sz w:val="24"/>
          <w:szCs w:val="24"/>
          <w:lang w:eastAsia="en-GB"/>
        </w:rPr>
        <w:t xml:space="preserve"> PCA shaded regions depict 95% confidence regions.</w:t>
      </w:r>
    </w:p>
    <w:p w14:paraId="2EA9884A" w14:textId="77777777" w:rsidR="00652D52" w:rsidRPr="00116C4A" w:rsidRDefault="00652D52" w:rsidP="00652D52">
      <w:pPr>
        <w:autoSpaceDE w:val="0"/>
        <w:autoSpaceDN w:val="0"/>
        <w:adjustRightInd w:val="0"/>
        <w:spacing w:line="256" w:lineRule="auto"/>
        <w:rPr>
          <w:rFonts w:ascii="Arial" w:eastAsia="Calibri" w:hAnsi="Arial" w:cs="Arial"/>
          <w:noProof/>
          <w:sz w:val="24"/>
          <w:szCs w:val="24"/>
          <w:lang w:eastAsia="en-GB"/>
        </w:rPr>
      </w:pPr>
    </w:p>
    <w:p w14:paraId="38DE4C36" w14:textId="77777777"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Cs/>
          <w:noProof/>
          <w:sz w:val="24"/>
          <w:szCs w:val="24"/>
          <w:lang w:eastAsia="en-GB"/>
        </w:rPr>
      </w:pPr>
      <w:r w:rsidRPr="00116C4A">
        <w:rPr>
          <w:rFonts w:ascii="Arial" w:eastAsia="Calibri" w:hAnsi="Arial" w:cs="Arial"/>
          <w:b/>
          <w:iCs/>
          <w:noProof/>
          <w:sz w:val="24"/>
          <w:szCs w:val="24"/>
          <w:lang w:eastAsia="en-GB"/>
        </w:rPr>
        <w:lastRenderedPageBreak/>
        <w:t>LC-MS/MS Proteomics</w:t>
      </w:r>
    </w:p>
    <w:p w14:paraId="431E787A"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t>Hyaluronidase Treatment Protocol Optimisation</w:t>
      </w:r>
    </w:p>
    <w:p w14:paraId="3BD1C500" w14:textId="516BB635" w:rsidR="00A84CAD" w:rsidRDefault="00652D52" w:rsidP="00DC5747">
      <w:pPr>
        <w:autoSpaceDE w:val="0"/>
        <w:autoSpaceDN w:val="0"/>
        <w:adjustRightInd w:val="0"/>
        <w:spacing w:line="480" w:lineRule="auto"/>
        <w:rPr>
          <w:rFonts w:ascii="Arial" w:eastAsia="Calibri" w:hAnsi="Arial" w:cs="Arial"/>
          <w:b/>
          <w:sz w:val="24"/>
          <w:szCs w:val="24"/>
        </w:rPr>
      </w:pPr>
      <w:r w:rsidRPr="00116C4A">
        <w:rPr>
          <w:rFonts w:ascii="Arial" w:eastAsia="Calibri" w:hAnsi="Arial" w:cs="Arial"/>
          <w:noProof/>
          <w:sz w:val="24"/>
          <w:szCs w:val="24"/>
          <w:lang w:eastAsia="en-GB"/>
        </w:rPr>
        <w:t xml:space="preserve">SF treated with hyaluraonidase at final concentrations of 0 - 0.50 µg/ml did not fully pass through cellulose acetate membrane filters due to incomplete hyaluraonidase degradation of hyaluronic acid, producing &lt; 200 µl of flow-through (Figure </w:t>
      </w:r>
      <w:r w:rsidR="00F36D03">
        <w:rPr>
          <w:rFonts w:ascii="Arial" w:eastAsia="Calibri" w:hAnsi="Arial" w:cs="Arial"/>
          <w:noProof/>
          <w:sz w:val="24"/>
          <w:szCs w:val="24"/>
          <w:lang w:eastAsia="en-GB"/>
        </w:rPr>
        <w:t>S</w:t>
      </w:r>
      <w:r w:rsidRPr="00116C4A">
        <w:rPr>
          <w:rFonts w:ascii="Arial" w:eastAsia="Calibri" w:hAnsi="Arial" w:cs="Arial"/>
          <w:noProof/>
          <w:sz w:val="24"/>
          <w:szCs w:val="24"/>
          <w:lang w:eastAsia="en-GB"/>
        </w:rPr>
        <w:t>3a). Concentrations of 0.75 - 2.00</w:t>
      </w:r>
      <w:r w:rsidRPr="00116C4A">
        <w:rPr>
          <w:rFonts w:ascii="Arial" w:eastAsia="Calibri" w:hAnsi="Arial" w:cs="Arial"/>
          <w:sz w:val="24"/>
          <w:szCs w:val="24"/>
        </w:rPr>
        <w:t xml:space="preserve"> </w:t>
      </w:r>
      <w:r w:rsidRPr="00116C4A">
        <w:rPr>
          <w:rFonts w:ascii="Arial" w:eastAsia="Calibri" w:hAnsi="Arial" w:cs="Arial"/>
          <w:noProof/>
          <w:sz w:val="24"/>
          <w:szCs w:val="24"/>
          <w:lang w:eastAsia="en-GB"/>
        </w:rPr>
        <w:t xml:space="preserve">µg/ml however all yielded the same greater volume of flow-through (&gt; 550 µl). No differences were identified between the global proteome profiles between the different hyaluraonidase treatment protocols (Figure </w:t>
      </w:r>
      <w:r w:rsidR="00F36D03">
        <w:rPr>
          <w:rFonts w:ascii="Arial" w:eastAsia="Calibri" w:hAnsi="Arial" w:cs="Arial"/>
          <w:noProof/>
          <w:sz w:val="24"/>
          <w:szCs w:val="24"/>
          <w:lang w:eastAsia="en-GB"/>
        </w:rPr>
        <w:t>S</w:t>
      </w:r>
      <w:r w:rsidRPr="00116C4A">
        <w:rPr>
          <w:rFonts w:ascii="Arial" w:eastAsia="Calibri" w:hAnsi="Arial" w:cs="Arial"/>
          <w:noProof/>
          <w:sz w:val="24"/>
          <w:szCs w:val="24"/>
          <w:lang w:eastAsia="en-GB"/>
        </w:rPr>
        <w:t>3b).</w:t>
      </w:r>
      <w:r w:rsidR="00237ECD" w:rsidRPr="00116C4A" w:rsidDel="00237ECD">
        <w:rPr>
          <w:rFonts w:ascii="Arial" w:eastAsia="Calibri" w:hAnsi="Arial" w:cs="Arial"/>
          <w:noProof/>
          <w:sz w:val="24"/>
          <w:szCs w:val="24"/>
          <w:lang w:eastAsia="en-GB"/>
        </w:rPr>
        <w:t xml:space="preserve"> </w:t>
      </w:r>
    </w:p>
    <w:p w14:paraId="586465E7" w14:textId="02F4DEB8" w:rsidR="00652D52" w:rsidRPr="00116C4A" w:rsidRDefault="00652D52" w:rsidP="005200C1">
      <w:pPr>
        <w:keepNext/>
        <w:keepLines/>
        <w:spacing w:before="100" w:beforeAutospacing="1" w:after="100" w:afterAutospacing="1" w:line="480" w:lineRule="auto"/>
        <w:outlineLvl w:val="3"/>
        <w:rPr>
          <w:rFonts w:ascii="Arial" w:eastAsia="Calibri" w:hAnsi="Arial" w:cs="Arial"/>
          <w:b/>
          <w:i/>
          <w:iCs/>
          <w:sz w:val="24"/>
          <w:szCs w:val="24"/>
        </w:rPr>
      </w:pPr>
      <w:bookmarkStart w:id="21" w:name="_Hlk521868443"/>
      <w:proofErr w:type="spellStart"/>
      <w:r w:rsidRPr="00116C4A">
        <w:rPr>
          <w:rFonts w:ascii="Arial" w:eastAsia="Calibri" w:hAnsi="Arial" w:cs="Arial"/>
          <w:b/>
          <w:i/>
          <w:iCs/>
          <w:sz w:val="24"/>
          <w:szCs w:val="24"/>
        </w:rPr>
        <w:t>ProteoMiner</w:t>
      </w:r>
      <w:r w:rsidRPr="00116C4A">
        <w:rPr>
          <w:rFonts w:ascii="Arial" w:eastAsia="Calibri" w:hAnsi="Arial" w:cs="Arial"/>
          <w:b/>
          <w:i/>
          <w:iCs/>
          <w:sz w:val="24"/>
          <w:szCs w:val="24"/>
          <w:vertAlign w:val="superscript"/>
        </w:rPr>
        <w:t>TM</w:t>
      </w:r>
      <w:bookmarkEnd w:id="21"/>
      <w:proofErr w:type="spellEnd"/>
      <w:r w:rsidRPr="00116C4A">
        <w:rPr>
          <w:rFonts w:ascii="Arial" w:eastAsia="Calibri" w:hAnsi="Arial" w:cs="Arial"/>
          <w:b/>
          <w:i/>
          <w:iCs/>
          <w:sz w:val="24"/>
          <w:szCs w:val="24"/>
        </w:rPr>
        <w:t xml:space="preserve"> Bead Protein Fractions</w:t>
      </w:r>
    </w:p>
    <w:p w14:paraId="1829024E" w14:textId="1A51A511" w:rsidR="00652D52" w:rsidRPr="00116C4A" w:rsidRDefault="00652D52" w:rsidP="00DC5747">
      <w:pPr>
        <w:autoSpaceDE w:val="0"/>
        <w:autoSpaceDN w:val="0"/>
        <w:adjustRightInd w:val="0"/>
        <w:spacing w:line="480" w:lineRule="auto"/>
        <w:rPr>
          <w:rFonts w:ascii="Arial" w:eastAsia="Calibri" w:hAnsi="Arial" w:cs="Arial"/>
          <w:b/>
          <w:sz w:val="24"/>
          <w:szCs w:val="24"/>
        </w:rPr>
      </w:pP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were found to be effective in equalling the protein concentration dynamic range (Figure </w:t>
      </w:r>
      <w:r w:rsidR="004A56F2">
        <w:rPr>
          <w:rFonts w:ascii="Arial" w:eastAsia="Calibri" w:hAnsi="Arial" w:cs="Arial"/>
          <w:sz w:val="24"/>
          <w:szCs w:val="24"/>
        </w:rPr>
        <w:t>S</w:t>
      </w:r>
      <w:r w:rsidRPr="00116C4A">
        <w:rPr>
          <w:rFonts w:ascii="Arial" w:eastAsia="Calibri" w:hAnsi="Arial" w:cs="Arial"/>
          <w:sz w:val="24"/>
          <w:szCs w:val="24"/>
        </w:rPr>
        <w:t xml:space="preserve">4a). Most of the protein was removed within the initial flow-through with 0.9% attaching to the beads for further analysis of low abundant proteins (Figure </w:t>
      </w:r>
      <w:r w:rsidR="004A56F2">
        <w:rPr>
          <w:rFonts w:ascii="Arial" w:eastAsia="Calibri" w:hAnsi="Arial" w:cs="Arial"/>
          <w:sz w:val="24"/>
          <w:szCs w:val="24"/>
        </w:rPr>
        <w:t>S</w:t>
      </w:r>
      <w:r w:rsidRPr="00116C4A">
        <w:rPr>
          <w:rFonts w:ascii="Arial" w:eastAsia="Calibri" w:hAnsi="Arial" w:cs="Arial"/>
          <w:sz w:val="24"/>
          <w:szCs w:val="24"/>
        </w:rPr>
        <w:t>4b).</w:t>
      </w:r>
    </w:p>
    <w:p w14:paraId="784A24B4"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proofErr w:type="spellStart"/>
      <w:r w:rsidRPr="00116C4A">
        <w:rPr>
          <w:rFonts w:ascii="Arial" w:eastAsia="Calibri" w:hAnsi="Arial" w:cs="Arial"/>
          <w:b/>
          <w:i/>
          <w:iCs/>
          <w:sz w:val="24"/>
          <w:szCs w:val="24"/>
        </w:rPr>
        <w:t>ProteoMiner</w:t>
      </w:r>
      <w:r w:rsidRPr="00116C4A">
        <w:rPr>
          <w:rFonts w:ascii="Arial" w:eastAsia="Calibri" w:hAnsi="Arial" w:cs="Arial"/>
          <w:b/>
          <w:i/>
          <w:iCs/>
          <w:sz w:val="24"/>
          <w:szCs w:val="24"/>
          <w:vertAlign w:val="superscript"/>
        </w:rPr>
        <w:t>TM</w:t>
      </w:r>
      <w:proofErr w:type="spellEnd"/>
      <w:r w:rsidRPr="00116C4A">
        <w:rPr>
          <w:rFonts w:ascii="Arial" w:eastAsia="Calibri" w:hAnsi="Arial" w:cs="Arial"/>
          <w:b/>
          <w:i/>
          <w:iCs/>
          <w:sz w:val="24"/>
          <w:szCs w:val="24"/>
        </w:rPr>
        <w:t xml:space="preserve"> Bead Protein Loading</w:t>
      </w:r>
    </w:p>
    <w:p w14:paraId="0EA347A3" w14:textId="5CBCFB55" w:rsidR="0019314F" w:rsidRDefault="00652D52" w:rsidP="00116C4A">
      <w:pPr>
        <w:autoSpaceDE w:val="0"/>
        <w:autoSpaceDN w:val="0"/>
        <w:adjustRightInd w:val="0"/>
        <w:spacing w:line="480" w:lineRule="auto"/>
        <w:rPr>
          <w:rFonts w:ascii="Arial" w:eastAsia="Calibri" w:hAnsi="Arial" w:cs="Arial"/>
          <w:noProof/>
          <w:sz w:val="24"/>
          <w:szCs w:val="24"/>
          <w:lang w:eastAsia="en-GB"/>
        </w:rPr>
      </w:pPr>
      <w:r w:rsidRPr="00116C4A">
        <w:rPr>
          <w:rFonts w:ascii="Arial" w:eastAsia="Calibri" w:hAnsi="Arial" w:cs="Arial"/>
          <w:noProof/>
          <w:sz w:val="24"/>
          <w:szCs w:val="24"/>
          <w:lang w:eastAsia="en-GB"/>
        </w:rPr>
        <w:t>ProteoMiner</w:t>
      </w:r>
      <w:r w:rsidRPr="00116C4A">
        <w:rPr>
          <w:rFonts w:ascii="Arial" w:eastAsia="Calibri" w:hAnsi="Arial" w:cs="Arial"/>
          <w:noProof/>
          <w:sz w:val="24"/>
          <w:szCs w:val="24"/>
          <w:vertAlign w:val="superscript"/>
          <w:lang w:eastAsia="en-GB"/>
        </w:rPr>
        <w:t>TM</w:t>
      </w:r>
      <w:r w:rsidRPr="00116C4A">
        <w:rPr>
          <w:rFonts w:ascii="Arial" w:eastAsia="Calibri" w:hAnsi="Arial" w:cs="Arial"/>
          <w:noProof/>
          <w:sz w:val="24"/>
          <w:szCs w:val="24"/>
          <w:lang w:eastAsia="en-GB"/>
        </w:rPr>
        <w:t xml:space="preserve"> columns were found to increase the number of identified proteins within equine SF compared to native SF analysis, with 1 mg, 2.5 mg and 5 mg column loadings increasing protein identifications by 112%, 161% and 201% respectively (Figure </w:t>
      </w:r>
      <w:r w:rsidR="000410E0">
        <w:rPr>
          <w:rFonts w:ascii="Arial" w:eastAsia="Calibri" w:hAnsi="Arial" w:cs="Arial"/>
          <w:noProof/>
          <w:sz w:val="24"/>
          <w:szCs w:val="24"/>
          <w:lang w:eastAsia="en-GB"/>
        </w:rPr>
        <w:t>2</w:t>
      </w:r>
      <w:r w:rsidRPr="00116C4A">
        <w:rPr>
          <w:rFonts w:ascii="Arial" w:eastAsia="Calibri" w:hAnsi="Arial" w:cs="Arial"/>
          <w:noProof/>
          <w:sz w:val="24"/>
          <w:szCs w:val="24"/>
          <w:lang w:eastAsia="en-GB"/>
        </w:rPr>
        <w:t xml:space="preserve">b). Proteomic analysis of flow-through following 5 mg protein loading identified a similar number of proteins compared to native SF. For a separate pooled equine SF sample set, increasing the protein loading from 5 mg to 10 mg only resulted in a small increase in protein identifications (21 proteins, 6%) (Figure </w:t>
      </w:r>
      <w:r w:rsidR="000410E0">
        <w:rPr>
          <w:rFonts w:ascii="Arial" w:eastAsia="Calibri" w:hAnsi="Arial" w:cs="Arial"/>
          <w:noProof/>
          <w:sz w:val="24"/>
          <w:szCs w:val="24"/>
          <w:lang w:eastAsia="en-GB"/>
        </w:rPr>
        <w:t>2</w:t>
      </w:r>
      <w:r w:rsidRPr="00116C4A">
        <w:rPr>
          <w:rFonts w:ascii="Arial" w:eastAsia="Calibri" w:hAnsi="Arial" w:cs="Arial"/>
          <w:noProof/>
          <w:sz w:val="24"/>
          <w:szCs w:val="24"/>
          <w:lang w:eastAsia="en-GB"/>
        </w:rPr>
        <w:t xml:space="preserve">c). At the level of Coomassie staining, tryptic digestion was sufficient for LC-MS/MS </w:t>
      </w:r>
      <w:r w:rsidRPr="00116C4A">
        <w:rPr>
          <w:rFonts w:ascii="Arial" w:eastAsia="Calibri" w:hAnsi="Arial" w:cs="Arial"/>
          <w:noProof/>
          <w:sz w:val="24"/>
          <w:szCs w:val="24"/>
          <w:lang w:eastAsia="en-GB"/>
        </w:rPr>
        <w:lastRenderedPageBreak/>
        <w:t xml:space="preserve">analysis for all protein loadings analysed (1-5 mg) (Figure </w:t>
      </w:r>
      <w:r w:rsidR="000410E0">
        <w:rPr>
          <w:rFonts w:ascii="Arial" w:eastAsia="Calibri" w:hAnsi="Arial" w:cs="Arial"/>
          <w:noProof/>
          <w:sz w:val="24"/>
          <w:szCs w:val="24"/>
          <w:lang w:eastAsia="en-GB"/>
        </w:rPr>
        <w:t>2</w:t>
      </w:r>
      <w:r w:rsidRPr="00116C4A">
        <w:rPr>
          <w:rFonts w:ascii="Arial" w:eastAsia="Calibri" w:hAnsi="Arial" w:cs="Arial"/>
          <w:noProof/>
          <w:sz w:val="24"/>
          <w:szCs w:val="24"/>
          <w:lang w:eastAsia="en-GB"/>
        </w:rPr>
        <w:t>a). Intensity of the highly abundant protein bands, 40-80 kDa, increased with increased protein load. SF was loaded at equal concentration, thus indicating a higher proportion of these proteins within the flow-through with increasing protein load.</w:t>
      </w:r>
    </w:p>
    <w:p w14:paraId="55967DA4" w14:textId="77777777" w:rsidR="007333AC" w:rsidRDefault="007333AC" w:rsidP="00116C4A">
      <w:pPr>
        <w:autoSpaceDE w:val="0"/>
        <w:autoSpaceDN w:val="0"/>
        <w:adjustRightInd w:val="0"/>
        <w:spacing w:line="480" w:lineRule="auto"/>
        <w:rPr>
          <w:rFonts w:ascii="Arial" w:eastAsia="Calibri" w:hAnsi="Arial" w:cs="Arial"/>
          <w:noProof/>
          <w:sz w:val="24"/>
          <w:szCs w:val="24"/>
          <w:lang w:eastAsia="en-GB"/>
        </w:rPr>
      </w:pPr>
    </w:p>
    <w:p w14:paraId="56B6DE29" w14:textId="0BAEDA59" w:rsidR="00A84CAD" w:rsidRDefault="005200C1" w:rsidP="00652D52">
      <w:pPr>
        <w:autoSpaceDE w:val="0"/>
        <w:autoSpaceDN w:val="0"/>
        <w:adjustRightInd w:val="0"/>
        <w:spacing w:line="256" w:lineRule="auto"/>
        <w:rPr>
          <w:rFonts w:ascii="Arial" w:eastAsia="Calibri" w:hAnsi="Arial" w:cs="Arial"/>
          <w:b/>
          <w:sz w:val="24"/>
          <w:szCs w:val="24"/>
        </w:rPr>
      </w:pPr>
      <w:r w:rsidRPr="00116C4A">
        <w:rPr>
          <w:rFonts w:ascii="Arial" w:eastAsia="Calibri" w:hAnsi="Arial" w:cs="Arial"/>
          <w:noProof/>
          <w:sz w:val="24"/>
          <w:szCs w:val="24"/>
          <w:lang w:eastAsia="en-GB"/>
        </w:rPr>
        <mc:AlternateContent>
          <mc:Choice Requires="wps">
            <w:drawing>
              <wp:anchor distT="45720" distB="45720" distL="114300" distR="114300" simplePos="0" relativeHeight="251665408" behindDoc="0" locked="0" layoutInCell="1" allowOverlap="1" wp14:anchorId="3DF1E5A5" wp14:editId="64A7AF5D">
                <wp:simplePos x="0" y="0"/>
                <wp:positionH relativeFrom="margin">
                  <wp:posOffset>393700</wp:posOffset>
                </wp:positionH>
                <wp:positionV relativeFrom="paragraph">
                  <wp:posOffset>2287270</wp:posOffset>
                </wp:positionV>
                <wp:extent cx="5220335" cy="177165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1771650"/>
                        </a:xfrm>
                        <a:prstGeom prst="rect">
                          <a:avLst/>
                        </a:prstGeom>
                        <a:solidFill>
                          <a:srgbClr val="FFFFFF"/>
                        </a:solidFill>
                        <a:ln w="9525">
                          <a:noFill/>
                          <a:miter lim="800000"/>
                          <a:headEnd/>
                          <a:tailEnd/>
                        </a:ln>
                      </wps:spPr>
                      <wps:txbx>
                        <w:txbxContent>
                          <w:p w14:paraId="1555CD9B" w14:textId="77777777" w:rsidR="00891812" w:rsidRDefault="00891812" w:rsidP="00652D52">
                            <w:r>
                              <w:rPr>
                                <w:noProof/>
                                <w:lang w:eastAsia="en-GB"/>
                              </w:rPr>
                              <w:drawing>
                                <wp:inline distT="0" distB="0" distL="0" distR="0" wp14:anchorId="24FF33B0" wp14:editId="38917821">
                                  <wp:extent cx="4932175" cy="1566407"/>
                                  <wp:effectExtent l="0" t="0" r="1905"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l="6168" t="21037" r="5748" b="28976"/>
                                          <a:stretch>
                                            <a:fillRect/>
                                          </a:stretch>
                                        </pic:blipFill>
                                        <pic:spPr bwMode="auto">
                                          <a:xfrm>
                                            <a:off x="0" y="0"/>
                                            <a:ext cx="4995998" cy="15866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F1E5A5" id="_x0000_s1033" type="#_x0000_t202" style="position:absolute;margin-left:31pt;margin-top:180.1pt;width:411.05pt;height:13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" stroked="f">
                <v:textbox>
                  <w:txbxContent>
                    <w:p w14:paraId="1555CD9B" w14:textId="77777777" w:rsidR="00891812" w:rsidRDefault="00891812" w:rsidP="00652D52">
                      <w:r>
                        <w:rPr>
                          <w:noProof/>
                          <w:lang w:eastAsia="en-GB"/>
                        </w:rPr>
                        <w:drawing>
                          <wp:inline distT="0" distB="0" distL="0" distR="0" wp14:anchorId="24FF33B0" wp14:editId="38917821">
                            <wp:extent cx="4932175" cy="1566407"/>
                            <wp:effectExtent l="0" t="0" r="1905"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l="6168" t="21037" r="5748" b="28976"/>
                                    <a:stretch>
                                      <a:fillRect/>
                                    </a:stretch>
                                  </pic:blipFill>
                                  <pic:spPr bwMode="auto">
                                    <a:xfrm>
                                      <a:off x="0" y="0"/>
                                      <a:ext cx="4995998" cy="1586676"/>
                                    </a:xfrm>
                                    <a:prstGeom prst="rect">
                                      <a:avLst/>
                                    </a:prstGeom>
                                    <a:noFill/>
                                    <a:ln>
                                      <a:noFill/>
                                    </a:ln>
                                  </pic:spPr>
                                </pic:pic>
                              </a:graphicData>
                            </a:graphic>
                          </wp:inline>
                        </w:drawing>
                      </w:r>
                    </w:p>
                  </w:txbxContent>
                </v:textbox>
                <w10:wrap type="square" anchorx="margin"/>
              </v:shape>
            </w:pict>
          </mc:Fallback>
        </mc:AlternateContent>
      </w:r>
      <w:r w:rsidR="0019314F" w:rsidRPr="00116C4A">
        <w:rPr>
          <w:rFonts w:ascii="Arial" w:eastAsia="Calibri" w:hAnsi="Arial" w:cs="Arial"/>
          <w:noProof/>
          <w:sz w:val="24"/>
          <w:szCs w:val="24"/>
          <w:lang w:eastAsia="en-GB"/>
        </w:rPr>
        <mc:AlternateContent>
          <mc:Choice Requires="wps">
            <w:drawing>
              <wp:anchor distT="45720" distB="45720" distL="114300" distR="114300" simplePos="0" relativeHeight="251664384" behindDoc="0" locked="0" layoutInCell="1" allowOverlap="1" wp14:anchorId="1E1A0FEB" wp14:editId="6EDB1FB8">
                <wp:simplePos x="0" y="0"/>
                <wp:positionH relativeFrom="margin">
                  <wp:align>center</wp:align>
                </wp:positionH>
                <wp:positionV relativeFrom="paragraph">
                  <wp:posOffset>1436</wp:posOffset>
                </wp:positionV>
                <wp:extent cx="5220335" cy="2244090"/>
                <wp:effectExtent l="0" t="0" r="0" b="38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2244090"/>
                        </a:xfrm>
                        <a:prstGeom prst="rect">
                          <a:avLst/>
                        </a:prstGeom>
                        <a:solidFill>
                          <a:srgbClr val="FFFFFF"/>
                        </a:solidFill>
                        <a:ln w="9525">
                          <a:noFill/>
                          <a:miter lim="800000"/>
                          <a:headEnd/>
                          <a:tailEnd/>
                        </a:ln>
                      </wps:spPr>
                      <wps:txbx>
                        <w:txbxContent>
                          <w:p w14:paraId="5C3BEF3A" w14:textId="5A15346D" w:rsidR="00891812" w:rsidRDefault="00891812" w:rsidP="00652D52">
                            <w:r>
                              <w:rPr>
                                <w:noProof/>
                                <w:lang w:eastAsia="en-GB"/>
                              </w:rPr>
                              <w:drawing>
                                <wp:inline distT="0" distB="0" distL="0" distR="0" wp14:anchorId="7A892AA9" wp14:editId="31C0BDA2">
                                  <wp:extent cx="5058719" cy="1929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858" t="20497" r="4926" b="19676"/>
                                          <a:stretch/>
                                        </pic:blipFill>
                                        <pic:spPr bwMode="auto">
                                          <a:xfrm>
                                            <a:off x="0" y="0"/>
                                            <a:ext cx="5099002" cy="19451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1A0FEB" id="_x0000_s1034" type="#_x0000_t202" style="position:absolute;margin-left:0;margin-top:.1pt;width:411.05pt;height:176.7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" stroked="f">
                <v:textbox>
                  <w:txbxContent>
                    <w:p w14:paraId="5C3BEF3A" w14:textId="5A15346D" w:rsidR="00891812" w:rsidRDefault="00891812" w:rsidP="00652D52">
                      <w:r>
                        <w:rPr>
                          <w:noProof/>
                          <w:lang w:eastAsia="en-GB"/>
                        </w:rPr>
                        <w:drawing>
                          <wp:inline distT="0" distB="0" distL="0" distR="0" wp14:anchorId="7A892AA9" wp14:editId="31C0BDA2">
                            <wp:extent cx="5058719" cy="1929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858" t="20497" r="4926" b="19676"/>
                                    <a:stretch/>
                                  </pic:blipFill>
                                  <pic:spPr bwMode="auto">
                                    <a:xfrm>
                                      <a:off x="0" y="0"/>
                                      <a:ext cx="5099002" cy="194510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877E997" w14:textId="3DE3708C" w:rsidR="00A74615" w:rsidRDefault="00A74615" w:rsidP="00652D52">
      <w:pPr>
        <w:autoSpaceDE w:val="0"/>
        <w:autoSpaceDN w:val="0"/>
        <w:adjustRightInd w:val="0"/>
        <w:spacing w:line="256" w:lineRule="auto"/>
        <w:rPr>
          <w:rFonts w:ascii="Arial" w:eastAsia="Calibri" w:hAnsi="Arial" w:cs="Arial"/>
          <w:b/>
          <w:sz w:val="24"/>
          <w:szCs w:val="24"/>
        </w:rPr>
      </w:pPr>
    </w:p>
    <w:p w14:paraId="1712A087" w14:textId="3AE22B65" w:rsidR="00A74615" w:rsidRDefault="00A74615" w:rsidP="00652D52">
      <w:pPr>
        <w:autoSpaceDE w:val="0"/>
        <w:autoSpaceDN w:val="0"/>
        <w:adjustRightInd w:val="0"/>
        <w:spacing w:line="256" w:lineRule="auto"/>
        <w:rPr>
          <w:rFonts w:ascii="Arial" w:eastAsia="Calibri" w:hAnsi="Arial" w:cs="Arial"/>
          <w:b/>
          <w:sz w:val="24"/>
          <w:szCs w:val="24"/>
        </w:rPr>
      </w:pPr>
    </w:p>
    <w:p w14:paraId="003C7F4A" w14:textId="32B21EE9" w:rsidR="0019314F" w:rsidRDefault="0019314F" w:rsidP="00652D52">
      <w:pPr>
        <w:autoSpaceDE w:val="0"/>
        <w:autoSpaceDN w:val="0"/>
        <w:adjustRightInd w:val="0"/>
        <w:spacing w:line="256" w:lineRule="auto"/>
        <w:rPr>
          <w:rFonts w:ascii="Arial" w:eastAsia="Calibri" w:hAnsi="Arial" w:cs="Arial"/>
          <w:b/>
          <w:sz w:val="24"/>
          <w:szCs w:val="24"/>
        </w:rPr>
      </w:pPr>
    </w:p>
    <w:p w14:paraId="39B664E1" w14:textId="3E17920A" w:rsidR="0019314F" w:rsidRDefault="0019314F" w:rsidP="00652D52">
      <w:pPr>
        <w:autoSpaceDE w:val="0"/>
        <w:autoSpaceDN w:val="0"/>
        <w:adjustRightInd w:val="0"/>
        <w:spacing w:line="256" w:lineRule="auto"/>
        <w:rPr>
          <w:rFonts w:ascii="Arial" w:eastAsia="Calibri" w:hAnsi="Arial" w:cs="Arial"/>
          <w:b/>
          <w:sz w:val="24"/>
          <w:szCs w:val="24"/>
        </w:rPr>
      </w:pPr>
    </w:p>
    <w:p w14:paraId="31C2B281" w14:textId="6C3635C8" w:rsidR="0019314F" w:rsidRDefault="0019314F" w:rsidP="00652D52">
      <w:pPr>
        <w:autoSpaceDE w:val="0"/>
        <w:autoSpaceDN w:val="0"/>
        <w:adjustRightInd w:val="0"/>
        <w:spacing w:line="256" w:lineRule="auto"/>
        <w:rPr>
          <w:rFonts w:ascii="Arial" w:eastAsia="Calibri" w:hAnsi="Arial" w:cs="Arial"/>
          <w:b/>
          <w:sz w:val="24"/>
          <w:szCs w:val="24"/>
        </w:rPr>
      </w:pPr>
    </w:p>
    <w:p w14:paraId="654B3446" w14:textId="64A5B757" w:rsidR="0019314F" w:rsidRDefault="0019314F" w:rsidP="00652D52">
      <w:pPr>
        <w:autoSpaceDE w:val="0"/>
        <w:autoSpaceDN w:val="0"/>
        <w:adjustRightInd w:val="0"/>
        <w:spacing w:line="256" w:lineRule="auto"/>
        <w:rPr>
          <w:rFonts w:ascii="Arial" w:eastAsia="Calibri" w:hAnsi="Arial" w:cs="Arial"/>
          <w:b/>
          <w:sz w:val="24"/>
          <w:szCs w:val="24"/>
        </w:rPr>
      </w:pPr>
    </w:p>
    <w:p w14:paraId="072F8F65" w14:textId="4DFB434D" w:rsidR="00652D52" w:rsidRPr="00116C4A" w:rsidRDefault="00652D52" w:rsidP="00652D52">
      <w:pPr>
        <w:autoSpaceDE w:val="0"/>
        <w:autoSpaceDN w:val="0"/>
        <w:adjustRightInd w:val="0"/>
        <w:spacing w:line="256" w:lineRule="auto"/>
        <w:rPr>
          <w:rFonts w:ascii="Arial" w:eastAsia="Calibri" w:hAnsi="Arial" w:cs="Arial"/>
          <w:sz w:val="24"/>
          <w:szCs w:val="24"/>
        </w:rPr>
      </w:pPr>
      <w:r w:rsidRPr="00116C4A">
        <w:rPr>
          <w:rFonts w:ascii="Arial" w:eastAsia="Calibri" w:hAnsi="Arial" w:cs="Arial"/>
          <w:b/>
          <w:sz w:val="24"/>
          <w:szCs w:val="24"/>
        </w:rPr>
        <w:t xml:space="preserve">Figure </w:t>
      </w:r>
      <w:r w:rsidR="000410E0">
        <w:rPr>
          <w:rFonts w:ascii="Arial" w:eastAsia="Calibri" w:hAnsi="Arial" w:cs="Arial"/>
          <w:b/>
          <w:sz w:val="24"/>
          <w:szCs w:val="24"/>
        </w:rPr>
        <w:t>2</w:t>
      </w:r>
      <w:r w:rsidRPr="00116C4A">
        <w:rPr>
          <w:rFonts w:ascii="Arial" w:eastAsia="Calibri" w:hAnsi="Arial" w:cs="Arial"/>
          <w:b/>
          <w:sz w:val="24"/>
          <w:szCs w:val="24"/>
        </w:rPr>
        <w:t xml:space="preserve">.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Loading of Synovial Fluid. (A) Protein profiles of on-bead digests and flow-through (FT) following 1 mg, 2.5 mg and 5 mg protein loading. (B) Number of proteins identified via LC-MS/MS following bead enrichment of depleted proteins and column flow-through for 1 mg, 2.5 mg and 5 mg protein loadings and (C) 5 mg and 10 mg protein loadings for another set of pooled synovial fluid.</w:t>
      </w:r>
      <w:r w:rsidR="00773FB2">
        <w:rPr>
          <w:rFonts w:ascii="Arial" w:eastAsia="Calibri" w:hAnsi="Arial" w:cs="Arial"/>
          <w:sz w:val="24"/>
          <w:szCs w:val="24"/>
        </w:rPr>
        <w:t xml:space="preserve"> A full protein gel image can be found in Figure S5.</w:t>
      </w:r>
    </w:p>
    <w:p w14:paraId="469CBA1B" w14:textId="77777777" w:rsidR="00652D52" w:rsidRPr="00116C4A" w:rsidRDefault="00652D52" w:rsidP="00652D52">
      <w:pPr>
        <w:autoSpaceDE w:val="0"/>
        <w:autoSpaceDN w:val="0"/>
        <w:adjustRightInd w:val="0"/>
        <w:spacing w:line="256" w:lineRule="auto"/>
        <w:rPr>
          <w:rFonts w:ascii="Arial" w:eastAsia="Calibri" w:hAnsi="Arial" w:cs="Arial"/>
          <w:b/>
          <w:sz w:val="24"/>
          <w:szCs w:val="24"/>
        </w:rPr>
      </w:pPr>
    </w:p>
    <w:p w14:paraId="059C824B"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noProof/>
          <w:sz w:val="24"/>
          <w:szCs w:val="24"/>
          <w:lang w:eastAsia="en-GB"/>
        </w:rPr>
      </w:pPr>
      <w:r w:rsidRPr="00116C4A">
        <w:rPr>
          <w:rFonts w:ascii="Arial" w:eastAsia="Calibri" w:hAnsi="Arial" w:cs="Arial"/>
          <w:b/>
          <w:i/>
          <w:iCs/>
          <w:noProof/>
          <w:sz w:val="24"/>
          <w:szCs w:val="24"/>
          <w:lang w:eastAsia="en-GB"/>
        </w:rPr>
        <w:lastRenderedPageBreak/>
        <w:t>Gradient Length and Blank Acquisition</w:t>
      </w:r>
    </w:p>
    <w:p w14:paraId="5FCCCACC" w14:textId="4930B278" w:rsidR="005200C1" w:rsidRPr="00116C4A" w:rsidRDefault="00652D52" w:rsidP="00116C4A">
      <w:pPr>
        <w:autoSpaceDE w:val="0"/>
        <w:autoSpaceDN w:val="0"/>
        <w:adjustRightInd w:val="0"/>
        <w:spacing w:line="480" w:lineRule="auto"/>
        <w:rPr>
          <w:rFonts w:ascii="Arial" w:eastAsia="Calibri" w:hAnsi="Arial" w:cs="Arial"/>
          <w:b/>
          <w:color w:val="FF0000"/>
          <w:sz w:val="24"/>
          <w:szCs w:val="24"/>
        </w:rPr>
      </w:pPr>
      <w:r w:rsidRPr="00116C4A">
        <w:rPr>
          <w:rFonts w:ascii="Arial" w:eastAsia="Calibri" w:hAnsi="Arial" w:cs="Arial"/>
          <w:noProof/>
          <w:sz w:val="24"/>
          <w:szCs w:val="24"/>
          <w:lang w:eastAsia="en-GB"/>
        </w:rPr>
        <w:t>For both native and ProteoMiner</w:t>
      </w:r>
      <w:r w:rsidRPr="00116C4A">
        <w:rPr>
          <w:rFonts w:ascii="Arial" w:eastAsia="Calibri" w:hAnsi="Arial" w:cs="Arial"/>
          <w:noProof/>
          <w:sz w:val="24"/>
          <w:szCs w:val="24"/>
          <w:vertAlign w:val="superscript"/>
          <w:lang w:eastAsia="en-GB"/>
        </w:rPr>
        <w:t>TM</w:t>
      </w:r>
      <w:r w:rsidRPr="00116C4A">
        <w:rPr>
          <w:rFonts w:ascii="Arial" w:eastAsia="Calibri" w:hAnsi="Arial" w:cs="Arial"/>
          <w:noProof/>
          <w:sz w:val="24"/>
          <w:szCs w:val="24"/>
          <w:lang w:eastAsia="en-GB"/>
        </w:rPr>
        <w:t xml:space="preserve"> processed SF, longer LC gradient lengths resulted in increased numbers of identified proteins, with a higher number of proteins identified following ProteoMiner</w:t>
      </w:r>
      <w:r w:rsidRPr="00116C4A">
        <w:rPr>
          <w:rFonts w:ascii="Arial" w:eastAsia="Calibri" w:hAnsi="Arial" w:cs="Arial"/>
          <w:noProof/>
          <w:sz w:val="24"/>
          <w:szCs w:val="24"/>
          <w:vertAlign w:val="superscript"/>
          <w:lang w:eastAsia="en-GB"/>
        </w:rPr>
        <w:t>TM</w:t>
      </w:r>
      <w:r w:rsidRPr="00116C4A">
        <w:rPr>
          <w:rFonts w:ascii="Arial" w:eastAsia="Calibri" w:hAnsi="Arial" w:cs="Arial"/>
          <w:noProof/>
          <w:sz w:val="24"/>
          <w:szCs w:val="24"/>
          <w:lang w:eastAsia="en-GB"/>
        </w:rPr>
        <w:t xml:space="preserve"> processing (Figure </w:t>
      </w:r>
      <w:r w:rsidR="009F0583">
        <w:rPr>
          <w:rFonts w:ascii="Arial" w:eastAsia="Calibri" w:hAnsi="Arial" w:cs="Arial"/>
          <w:noProof/>
          <w:sz w:val="24"/>
          <w:szCs w:val="24"/>
          <w:lang w:eastAsia="en-GB"/>
        </w:rPr>
        <w:t>S6</w:t>
      </w:r>
      <w:r w:rsidRPr="00116C4A">
        <w:rPr>
          <w:rFonts w:ascii="Arial" w:eastAsia="Calibri" w:hAnsi="Arial" w:cs="Arial"/>
          <w:noProof/>
          <w:sz w:val="24"/>
          <w:szCs w:val="24"/>
          <w:lang w:eastAsia="en-GB"/>
        </w:rPr>
        <w:t>). All of the acquired blank samples, bar one, had a low carry-over of peptides from the previous test sample, all with a median percentage carry-over of less than 1 for peptides identified within the blanks. Running a series of consecutive blanks did reduce the number of peptides identified and their peptide abundance carry-over percentage, although this effect was regarded as minimal.</w:t>
      </w:r>
    </w:p>
    <w:p w14:paraId="4EBEEE78"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t xml:space="preserve">Synovial Fluid Protein Digestion Profiles: </w:t>
      </w:r>
      <w:proofErr w:type="spellStart"/>
      <w:r w:rsidRPr="00116C4A">
        <w:rPr>
          <w:rFonts w:ascii="Arial" w:eastAsia="Calibri" w:hAnsi="Arial" w:cs="Arial"/>
          <w:b/>
          <w:i/>
          <w:iCs/>
          <w:sz w:val="24"/>
          <w:szCs w:val="24"/>
        </w:rPr>
        <w:t>Coomassie</w:t>
      </w:r>
      <w:proofErr w:type="spellEnd"/>
      <w:r w:rsidRPr="00116C4A">
        <w:rPr>
          <w:rFonts w:ascii="Arial" w:eastAsia="Calibri" w:hAnsi="Arial" w:cs="Arial"/>
          <w:b/>
          <w:i/>
          <w:iCs/>
          <w:sz w:val="24"/>
          <w:szCs w:val="24"/>
        </w:rPr>
        <w:t xml:space="preserve"> Brilliant Blue vs Silver Stain</w:t>
      </w:r>
    </w:p>
    <w:p w14:paraId="662BA05F" w14:textId="5ECEFD81" w:rsidR="00DC38DB" w:rsidRPr="00116C4A" w:rsidRDefault="00652D52" w:rsidP="00DC5747">
      <w:pPr>
        <w:autoSpaceDE w:val="0"/>
        <w:autoSpaceDN w:val="0"/>
        <w:adjustRightInd w:val="0"/>
        <w:spacing w:line="480" w:lineRule="auto"/>
        <w:rPr>
          <w:rFonts w:ascii="Arial" w:eastAsia="Calibri" w:hAnsi="Arial" w:cs="Arial"/>
          <w:b/>
          <w:sz w:val="24"/>
          <w:szCs w:val="24"/>
        </w:rPr>
      </w:pPr>
      <w:r w:rsidRPr="00116C4A">
        <w:rPr>
          <w:rFonts w:ascii="Arial" w:eastAsia="Calibri" w:hAnsi="Arial" w:cs="Arial"/>
          <w:sz w:val="24"/>
          <w:szCs w:val="24"/>
        </w:rPr>
        <w:t xml:space="preserve">At the level of protein sensitivity of </w:t>
      </w:r>
      <w:proofErr w:type="spellStart"/>
      <w:r w:rsidRPr="00116C4A">
        <w:rPr>
          <w:rFonts w:ascii="Arial" w:eastAsia="Calibri" w:hAnsi="Arial" w:cs="Arial"/>
          <w:sz w:val="24"/>
          <w:szCs w:val="24"/>
        </w:rPr>
        <w:t>Coomassie</w:t>
      </w:r>
      <w:proofErr w:type="spellEnd"/>
      <w:r w:rsidRPr="00116C4A">
        <w:rPr>
          <w:rFonts w:ascii="Arial" w:eastAsia="Calibri" w:hAnsi="Arial" w:cs="Arial"/>
          <w:sz w:val="24"/>
          <w:szCs w:val="24"/>
        </w:rPr>
        <w:t xml:space="preserve"> Brilliant Blue staining, the 16hr + 2hr trypsin digestion protocol indicated complete digestion of both native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(Figure </w:t>
      </w:r>
      <w:r w:rsidR="009F0583">
        <w:rPr>
          <w:rFonts w:ascii="Arial" w:eastAsia="Calibri" w:hAnsi="Arial" w:cs="Arial"/>
          <w:sz w:val="24"/>
          <w:szCs w:val="24"/>
        </w:rPr>
        <w:t>S7</w:t>
      </w:r>
      <w:r w:rsidRPr="00116C4A">
        <w:rPr>
          <w:rFonts w:ascii="Arial" w:eastAsia="Calibri" w:hAnsi="Arial" w:cs="Arial"/>
          <w:sz w:val="24"/>
          <w:szCs w:val="24"/>
        </w:rPr>
        <w:t xml:space="preserve">). However, the increased sensitivity of silver staining revealed that whilst native SF digestion was confirmed as complete, incomplete digestion was present on the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Additionally, the level of incomplete digestion was not uniform across different donors.</w:t>
      </w:r>
    </w:p>
    <w:p w14:paraId="15C3B275"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t>Protein Digestion Optimisation</w:t>
      </w:r>
    </w:p>
    <w:p w14:paraId="0FA1F14C" w14:textId="1DBBAD81"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Neither increased length of trypsin digestion nor an additional trypsin supplementation appeared to alter the protein profile of Native SF following digestion (Figure </w:t>
      </w:r>
      <w:r w:rsidR="00F32816">
        <w:rPr>
          <w:rFonts w:ascii="Arial" w:eastAsia="Calibri" w:hAnsi="Arial" w:cs="Arial"/>
          <w:sz w:val="24"/>
          <w:szCs w:val="24"/>
        </w:rPr>
        <w:t>3</w:t>
      </w:r>
      <w:r w:rsidRPr="00116C4A">
        <w:rPr>
          <w:rFonts w:ascii="Arial" w:eastAsia="Calibri" w:hAnsi="Arial" w:cs="Arial"/>
          <w:sz w:val="24"/>
          <w:szCs w:val="24"/>
        </w:rPr>
        <w:t xml:space="preserve">b). However, for on-bead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digestion, increased length of trypsin exposure and supplementation improved digestion efficiency, with clear protein bands present at 50-60 </w:t>
      </w:r>
      <w:proofErr w:type="spellStart"/>
      <w:r w:rsidRPr="00116C4A">
        <w:rPr>
          <w:rFonts w:ascii="Arial" w:eastAsia="Calibri" w:hAnsi="Arial" w:cs="Arial"/>
          <w:sz w:val="24"/>
          <w:szCs w:val="24"/>
        </w:rPr>
        <w:t>kDa</w:t>
      </w:r>
      <w:proofErr w:type="spellEnd"/>
      <w:r w:rsidRPr="00116C4A">
        <w:rPr>
          <w:rFonts w:ascii="Arial" w:eastAsia="Calibri" w:hAnsi="Arial" w:cs="Arial"/>
          <w:sz w:val="24"/>
          <w:szCs w:val="24"/>
        </w:rPr>
        <w:t xml:space="preserve"> and 260 </w:t>
      </w:r>
      <w:proofErr w:type="spellStart"/>
      <w:r w:rsidRPr="00116C4A">
        <w:rPr>
          <w:rFonts w:ascii="Arial" w:eastAsia="Calibri" w:hAnsi="Arial" w:cs="Arial"/>
          <w:sz w:val="24"/>
          <w:szCs w:val="24"/>
        </w:rPr>
        <w:t>kDa</w:t>
      </w:r>
      <w:proofErr w:type="spellEnd"/>
      <w:r w:rsidRPr="00116C4A">
        <w:rPr>
          <w:rFonts w:ascii="Arial" w:eastAsia="Calibri" w:hAnsi="Arial" w:cs="Arial"/>
          <w:sz w:val="24"/>
          <w:szCs w:val="24"/>
        </w:rPr>
        <w:t xml:space="preserve"> after 4hr trypsin digestion and near </w:t>
      </w:r>
      <w:r w:rsidRPr="00116C4A">
        <w:rPr>
          <w:rFonts w:ascii="Arial" w:eastAsia="Calibri" w:hAnsi="Arial" w:cs="Arial"/>
          <w:sz w:val="24"/>
          <w:szCs w:val="24"/>
        </w:rPr>
        <w:lastRenderedPageBreak/>
        <w:t xml:space="preserve">complete digestion following a 16hr + 2hr trypsin digestion protocol. Of the different on-bead tryptic digestion protocols investigated, protein profiles of the digested solutions of equine SF did not reveal as many undigested protein bands as identified previously for human SF (Figure </w:t>
      </w:r>
      <w:r w:rsidR="00F32816">
        <w:rPr>
          <w:rFonts w:ascii="Arial" w:eastAsia="Calibri" w:hAnsi="Arial" w:cs="Arial"/>
          <w:sz w:val="24"/>
          <w:szCs w:val="24"/>
        </w:rPr>
        <w:t>3</w:t>
      </w:r>
      <w:r w:rsidRPr="00116C4A">
        <w:rPr>
          <w:rFonts w:ascii="Arial" w:eastAsia="Calibri" w:hAnsi="Arial" w:cs="Arial"/>
          <w:sz w:val="24"/>
          <w:szCs w:val="24"/>
        </w:rPr>
        <w:t xml:space="preserve">a). However, a separate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16hr + 2hr tryptic digestion of equine SF has also previously led to a series of undigested protein bands, detected at the sensitivity of </w:t>
      </w:r>
      <w:proofErr w:type="spellStart"/>
      <w:r w:rsidRPr="00116C4A">
        <w:rPr>
          <w:rFonts w:ascii="Arial" w:eastAsia="Calibri" w:hAnsi="Arial" w:cs="Arial"/>
          <w:sz w:val="24"/>
          <w:szCs w:val="24"/>
        </w:rPr>
        <w:t>Coomassie</w:t>
      </w:r>
      <w:proofErr w:type="spellEnd"/>
      <w:r w:rsidRPr="00116C4A">
        <w:rPr>
          <w:rFonts w:ascii="Arial" w:eastAsia="Calibri" w:hAnsi="Arial" w:cs="Arial"/>
          <w:sz w:val="24"/>
          <w:szCs w:val="24"/>
        </w:rPr>
        <w:t xml:space="preserve"> Blue (Figure </w:t>
      </w:r>
      <w:r w:rsidR="0094196C">
        <w:rPr>
          <w:rFonts w:ascii="Arial" w:eastAsia="Calibri" w:hAnsi="Arial" w:cs="Arial"/>
          <w:sz w:val="24"/>
          <w:szCs w:val="24"/>
        </w:rPr>
        <w:t>S</w:t>
      </w:r>
      <w:r w:rsidR="009F0583">
        <w:rPr>
          <w:rFonts w:ascii="Arial" w:eastAsia="Calibri" w:hAnsi="Arial" w:cs="Arial"/>
          <w:sz w:val="24"/>
          <w:szCs w:val="24"/>
        </w:rPr>
        <w:t>9</w:t>
      </w:r>
      <w:r w:rsidRPr="00116C4A">
        <w:rPr>
          <w:rFonts w:ascii="Arial" w:eastAsia="Calibri" w:hAnsi="Arial" w:cs="Arial"/>
          <w:sz w:val="24"/>
          <w:szCs w:val="24"/>
        </w:rPr>
        <w:t xml:space="preserve">). However, an undigested protein band was detected at &gt; 260 </w:t>
      </w:r>
      <w:proofErr w:type="spellStart"/>
      <w:r w:rsidRPr="00116C4A">
        <w:rPr>
          <w:rFonts w:ascii="Arial" w:eastAsia="Calibri" w:hAnsi="Arial" w:cs="Arial"/>
          <w:sz w:val="24"/>
          <w:szCs w:val="24"/>
        </w:rPr>
        <w:t>kDa</w:t>
      </w:r>
      <w:proofErr w:type="spellEnd"/>
      <w:r w:rsidRPr="00116C4A">
        <w:rPr>
          <w:rFonts w:ascii="Arial" w:eastAsia="Calibri" w:hAnsi="Arial" w:cs="Arial"/>
          <w:sz w:val="24"/>
          <w:szCs w:val="24"/>
        </w:rPr>
        <w:t xml:space="preserve"> for equine SF digests, which was not present for all protocols including the 4</w:t>
      </w:r>
      <w:r w:rsidR="00977BCA">
        <w:rPr>
          <w:rFonts w:ascii="Arial" w:eastAsia="Calibri" w:hAnsi="Arial" w:cs="Arial"/>
          <w:sz w:val="24"/>
          <w:szCs w:val="24"/>
        </w:rPr>
        <w:t xml:space="preserve"> </w:t>
      </w:r>
      <w:r w:rsidRPr="00116C4A">
        <w:rPr>
          <w:rFonts w:ascii="Arial" w:eastAsia="Calibri" w:hAnsi="Arial" w:cs="Arial"/>
          <w:sz w:val="24"/>
          <w:szCs w:val="24"/>
        </w:rPr>
        <w:t>hr Lys-C pre-digest.</w:t>
      </w:r>
    </w:p>
    <w:p w14:paraId="1A5F922C" w14:textId="43FBDF17" w:rsidR="00116C4A" w:rsidRDefault="00652D52" w:rsidP="00414788">
      <w:pPr>
        <w:autoSpaceDE w:val="0"/>
        <w:autoSpaceDN w:val="0"/>
        <w:adjustRightInd w:val="0"/>
        <w:spacing w:line="480" w:lineRule="auto"/>
        <w:rPr>
          <w:rFonts w:ascii="Arial" w:eastAsia="Calibri" w:hAnsi="Arial" w:cs="Arial"/>
          <w:b/>
          <w:sz w:val="24"/>
          <w:szCs w:val="24"/>
        </w:rPr>
      </w:pPr>
      <w:r w:rsidRPr="00116C4A">
        <w:rPr>
          <w:rFonts w:ascii="Arial" w:eastAsia="Calibri" w:hAnsi="Arial" w:cs="Arial"/>
          <w:sz w:val="24"/>
          <w:szCs w:val="24"/>
        </w:rPr>
        <w:t xml:space="preserve">For protein profile analysis of the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beads, 4hr and 16hr trypsin digestions revealed significant levels of proteins were retained on the beads &gt; 50 </w:t>
      </w:r>
      <w:proofErr w:type="spellStart"/>
      <w:r w:rsidRPr="00116C4A">
        <w:rPr>
          <w:rFonts w:ascii="Arial" w:eastAsia="Calibri" w:hAnsi="Arial" w:cs="Arial"/>
          <w:sz w:val="24"/>
          <w:szCs w:val="24"/>
        </w:rPr>
        <w:t>kDa</w:t>
      </w:r>
      <w:proofErr w:type="spellEnd"/>
      <w:r w:rsidRPr="00116C4A">
        <w:rPr>
          <w:rFonts w:ascii="Arial" w:eastAsia="Calibri" w:hAnsi="Arial" w:cs="Arial"/>
          <w:sz w:val="24"/>
          <w:szCs w:val="24"/>
        </w:rPr>
        <w:t xml:space="preserve">, indicating significant incomplete digestion (Figure </w:t>
      </w:r>
      <w:r w:rsidR="00773FB2">
        <w:rPr>
          <w:rFonts w:ascii="Arial" w:eastAsia="Calibri" w:hAnsi="Arial" w:cs="Arial"/>
          <w:sz w:val="24"/>
          <w:szCs w:val="24"/>
        </w:rPr>
        <w:t>3</w:t>
      </w:r>
      <w:r w:rsidRPr="00116C4A">
        <w:rPr>
          <w:rFonts w:ascii="Arial" w:eastAsia="Calibri" w:hAnsi="Arial" w:cs="Arial"/>
          <w:sz w:val="24"/>
          <w:szCs w:val="24"/>
        </w:rPr>
        <w:t xml:space="preserve">c). A 16hr + 2hr tryptic digestion protocol revealed significant retention of undigested proteins bound to the beads, with molecular weights in the range of 3.5-20 </w:t>
      </w:r>
      <w:proofErr w:type="spellStart"/>
      <w:r w:rsidRPr="00116C4A">
        <w:rPr>
          <w:rFonts w:ascii="Arial" w:eastAsia="Calibri" w:hAnsi="Arial" w:cs="Arial"/>
          <w:sz w:val="24"/>
          <w:szCs w:val="24"/>
        </w:rPr>
        <w:t>kDa</w:t>
      </w:r>
      <w:proofErr w:type="spellEnd"/>
      <w:r w:rsidRPr="00116C4A">
        <w:rPr>
          <w:rFonts w:ascii="Arial" w:eastAsia="Calibri" w:hAnsi="Arial" w:cs="Arial"/>
          <w:sz w:val="24"/>
          <w:szCs w:val="24"/>
        </w:rPr>
        <w:t>. However, the intensity of these bands was significantly reduced with the introduction of the 4hr Lys-C pre-digestion, and to a lesser extent a 16hr Lys-C pre-digestion step. The intensity of these same bands were less for a 16hr + 16hr trypsin digestion compared to the standard protocol, and were again reduced by the 4hr Lys-C pre-digestion. Protocols in which the second trypsin digestion was completed in-solution, following an on-bead 16hr trypsin digestion, revealed significant levels of undigested proteins remaining on the beads. However, the 4hr Lys-C pre-digestion step resulted in complete digestion of these proteins.</w:t>
      </w:r>
    </w:p>
    <w:p w14:paraId="5F775F59" w14:textId="77777777" w:rsidR="00116C4A" w:rsidRDefault="00116C4A" w:rsidP="00652D52">
      <w:pPr>
        <w:autoSpaceDE w:val="0"/>
        <w:autoSpaceDN w:val="0"/>
        <w:adjustRightInd w:val="0"/>
        <w:spacing w:line="256" w:lineRule="auto"/>
        <w:rPr>
          <w:rFonts w:ascii="Arial" w:eastAsia="Calibri" w:hAnsi="Arial" w:cs="Arial"/>
          <w:b/>
          <w:sz w:val="24"/>
          <w:szCs w:val="24"/>
        </w:rPr>
      </w:pPr>
    </w:p>
    <w:p w14:paraId="0191D079" w14:textId="77777777" w:rsidR="00116C4A" w:rsidRDefault="00116C4A" w:rsidP="00652D52">
      <w:pPr>
        <w:autoSpaceDE w:val="0"/>
        <w:autoSpaceDN w:val="0"/>
        <w:adjustRightInd w:val="0"/>
        <w:spacing w:line="256" w:lineRule="auto"/>
        <w:rPr>
          <w:rFonts w:ascii="Arial" w:eastAsia="Calibri" w:hAnsi="Arial" w:cs="Arial"/>
          <w:b/>
          <w:sz w:val="24"/>
          <w:szCs w:val="24"/>
        </w:rPr>
      </w:pPr>
      <w:r w:rsidRPr="00116C4A">
        <w:rPr>
          <w:rFonts w:ascii="Arial" w:eastAsia="Calibri" w:hAnsi="Arial" w:cs="Arial"/>
          <w:noProof/>
          <w:sz w:val="24"/>
          <w:szCs w:val="24"/>
          <w:lang w:eastAsia="en-GB"/>
        </w:rPr>
        <w:lastRenderedPageBreak/>
        <mc:AlternateContent>
          <mc:Choice Requires="wps">
            <w:drawing>
              <wp:anchor distT="45720" distB="45720" distL="114300" distR="114300" simplePos="0" relativeHeight="251669504" behindDoc="0" locked="0" layoutInCell="1" allowOverlap="1" wp14:anchorId="567ECBCE" wp14:editId="595D7C2B">
                <wp:simplePos x="0" y="0"/>
                <wp:positionH relativeFrom="margin">
                  <wp:posOffset>274955</wp:posOffset>
                </wp:positionH>
                <wp:positionV relativeFrom="paragraph">
                  <wp:posOffset>2510155</wp:posOffset>
                </wp:positionV>
                <wp:extent cx="5219700" cy="2846705"/>
                <wp:effectExtent l="0" t="0" r="0" b="0"/>
                <wp:wrapSquare wrapText="bothSides"/>
                <wp:docPr id="2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846705"/>
                        </a:xfrm>
                        <a:prstGeom prst="rect">
                          <a:avLst/>
                        </a:prstGeom>
                        <a:solidFill>
                          <a:srgbClr val="FFFFFF"/>
                        </a:solidFill>
                        <a:ln w="9525">
                          <a:noFill/>
                          <a:miter lim="800000"/>
                          <a:headEnd/>
                          <a:tailEnd/>
                        </a:ln>
                      </wps:spPr>
                      <wps:txbx>
                        <w:txbxContent>
                          <w:p w14:paraId="58004594" w14:textId="77777777" w:rsidR="00891812" w:rsidRDefault="00891812" w:rsidP="00652D52">
                            <w:r>
                              <w:rPr>
                                <w:noProof/>
                                <w:lang w:eastAsia="en-GB"/>
                              </w:rPr>
                              <w:drawing>
                                <wp:inline distT="0" distB="0" distL="0" distR="0" wp14:anchorId="725B1E0F" wp14:editId="2C9D170B">
                                  <wp:extent cx="4408098" cy="2702283"/>
                                  <wp:effectExtent l="0" t="0" r="0" b="3175"/>
                                  <wp:docPr id="9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l="17976" t="19920" r="21671" b="14474"/>
                                          <a:stretch>
                                            <a:fillRect/>
                                          </a:stretch>
                                        </pic:blipFill>
                                        <pic:spPr bwMode="auto">
                                          <a:xfrm>
                                            <a:off x="0" y="0"/>
                                            <a:ext cx="4417875" cy="27082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7ECBCE" id="Text Box 8" o:spid="_x0000_s1038" type="#_x0000_t202" style="position:absolute;margin-left:21.65pt;margin-top:197.65pt;width:411pt;height:224.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" stroked="f">
                <v:textbox>
                  <w:txbxContent>
                    <w:p w14:paraId="58004594" w14:textId="77777777" w:rsidR="00891812" w:rsidRDefault="00891812" w:rsidP="00652D52">
                      <w:r>
                        <w:rPr>
                          <w:noProof/>
                          <w:lang w:eastAsia="en-GB"/>
                        </w:rPr>
                        <w:drawing>
                          <wp:inline distT="0" distB="0" distL="0" distR="0" wp14:anchorId="725B1E0F" wp14:editId="2C9D170B">
                            <wp:extent cx="4408098" cy="2702283"/>
                            <wp:effectExtent l="0" t="0" r="0" b="3175"/>
                            <wp:docPr id="9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l="17976" t="19920" r="21671" b="14474"/>
                                    <a:stretch>
                                      <a:fillRect/>
                                    </a:stretch>
                                  </pic:blipFill>
                                  <pic:spPr bwMode="auto">
                                    <a:xfrm>
                                      <a:off x="0" y="0"/>
                                      <a:ext cx="4417875" cy="2708277"/>
                                    </a:xfrm>
                                    <a:prstGeom prst="rect">
                                      <a:avLst/>
                                    </a:prstGeom>
                                    <a:noFill/>
                                    <a:ln>
                                      <a:noFill/>
                                    </a:ln>
                                  </pic:spPr>
                                </pic:pic>
                              </a:graphicData>
                            </a:graphic>
                          </wp:inline>
                        </w:drawing>
                      </w:r>
                    </w:p>
                  </w:txbxContent>
                </v:textbox>
                <w10:wrap type="square" anchorx="margin"/>
              </v:shape>
            </w:pict>
          </mc:Fallback>
        </mc:AlternateContent>
      </w:r>
      <w:r w:rsidRPr="00116C4A">
        <w:rPr>
          <w:rFonts w:ascii="Arial" w:eastAsia="Calibri" w:hAnsi="Arial" w:cs="Arial"/>
          <w:noProof/>
          <w:sz w:val="24"/>
          <w:szCs w:val="24"/>
          <w:lang w:eastAsia="en-GB"/>
        </w:rPr>
        <mc:AlternateContent>
          <mc:Choice Requires="wps">
            <w:drawing>
              <wp:anchor distT="45720" distB="45720" distL="114300" distR="114300" simplePos="0" relativeHeight="251668480" behindDoc="0" locked="0" layoutInCell="1" allowOverlap="1" wp14:anchorId="61E6E166" wp14:editId="7161F848">
                <wp:simplePos x="0" y="0"/>
                <wp:positionH relativeFrom="margin">
                  <wp:posOffset>254635</wp:posOffset>
                </wp:positionH>
                <wp:positionV relativeFrom="paragraph">
                  <wp:posOffset>0</wp:posOffset>
                </wp:positionV>
                <wp:extent cx="5219700" cy="2734945"/>
                <wp:effectExtent l="0" t="0" r="0" b="825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734945"/>
                        </a:xfrm>
                        <a:prstGeom prst="rect">
                          <a:avLst/>
                        </a:prstGeom>
                        <a:solidFill>
                          <a:srgbClr val="FFFFFF"/>
                        </a:solidFill>
                        <a:ln w="9525">
                          <a:noFill/>
                          <a:miter lim="800000"/>
                          <a:headEnd/>
                          <a:tailEnd/>
                        </a:ln>
                      </wps:spPr>
                      <wps:txbx>
                        <w:txbxContent>
                          <w:p w14:paraId="6F56CC41" w14:textId="77777777" w:rsidR="00891812" w:rsidRDefault="00891812" w:rsidP="00652D52">
                            <w:r>
                              <w:rPr>
                                <w:noProof/>
                                <w:lang w:eastAsia="en-GB"/>
                              </w:rPr>
                              <w:drawing>
                                <wp:inline distT="0" distB="0" distL="0" distR="0" wp14:anchorId="48C4C536" wp14:editId="3FCE8F45">
                                  <wp:extent cx="5058270" cy="2425904"/>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l="10124" t="18391" r="5888" b="10020"/>
                                          <a:stretch>
                                            <a:fillRect/>
                                          </a:stretch>
                                        </pic:blipFill>
                                        <pic:spPr bwMode="auto">
                                          <a:xfrm>
                                            <a:off x="0" y="0"/>
                                            <a:ext cx="5058270" cy="2425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E6E166" id="_x0000_s1039" type="#_x0000_t202" style="position:absolute;margin-left:20.05pt;margin-top:0;width:411pt;height:215.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gxJQIAACY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" stroked="f">
                <v:textbox>
                  <w:txbxContent>
                    <w:p w14:paraId="6F56CC41" w14:textId="77777777" w:rsidR="00891812" w:rsidRDefault="00891812" w:rsidP="00652D52">
                      <w:r>
                        <w:rPr>
                          <w:noProof/>
                          <w:lang w:eastAsia="en-GB"/>
                        </w:rPr>
                        <w:drawing>
                          <wp:inline distT="0" distB="0" distL="0" distR="0" wp14:anchorId="48C4C536" wp14:editId="3FCE8F45">
                            <wp:extent cx="5058270" cy="2425904"/>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l="10124" t="18391" r="5888" b="10020"/>
                                    <a:stretch>
                                      <a:fillRect/>
                                    </a:stretch>
                                  </pic:blipFill>
                                  <pic:spPr bwMode="auto">
                                    <a:xfrm>
                                      <a:off x="0" y="0"/>
                                      <a:ext cx="5058270" cy="2425904"/>
                                    </a:xfrm>
                                    <a:prstGeom prst="rect">
                                      <a:avLst/>
                                    </a:prstGeom>
                                    <a:noFill/>
                                    <a:ln>
                                      <a:noFill/>
                                    </a:ln>
                                  </pic:spPr>
                                </pic:pic>
                              </a:graphicData>
                            </a:graphic>
                          </wp:inline>
                        </w:drawing>
                      </w:r>
                    </w:p>
                  </w:txbxContent>
                </v:textbox>
                <w10:wrap type="square" anchorx="margin"/>
              </v:shape>
            </w:pict>
          </mc:Fallback>
        </mc:AlternateContent>
      </w:r>
    </w:p>
    <w:p w14:paraId="51F75E17" w14:textId="30AA5C29" w:rsidR="00652D52" w:rsidRPr="00116C4A" w:rsidRDefault="00652D52" w:rsidP="00652D52">
      <w:pPr>
        <w:autoSpaceDE w:val="0"/>
        <w:autoSpaceDN w:val="0"/>
        <w:adjustRightInd w:val="0"/>
        <w:spacing w:line="256" w:lineRule="auto"/>
        <w:rPr>
          <w:rFonts w:ascii="Arial" w:eastAsia="Calibri" w:hAnsi="Arial" w:cs="Arial"/>
          <w:sz w:val="24"/>
          <w:szCs w:val="24"/>
        </w:rPr>
      </w:pPr>
      <w:r w:rsidRPr="00116C4A">
        <w:rPr>
          <w:rFonts w:ascii="Arial" w:eastAsia="Calibri" w:hAnsi="Arial" w:cs="Arial"/>
          <w:b/>
          <w:sz w:val="24"/>
          <w:szCs w:val="24"/>
        </w:rPr>
        <w:t xml:space="preserve">Figure </w:t>
      </w:r>
      <w:r w:rsidR="00F32816">
        <w:rPr>
          <w:rFonts w:ascii="Arial" w:eastAsia="Calibri" w:hAnsi="Arial" w:cs="Arial"/>
          <w:b/>
          <w:sz w:val="24"/>
          <w:szCs w:val="24"/>
        </w:rPr>
        <w:t>3</w:t>
      </w:r>
      <w:r w:rsidRPr="00116C4A">
        <w:rPr>
          <w:rFonts w:ascii="Arial" w:eastAsia="Calibri" w:hAnsi="Arial" w:cs="Arial"/>
          <w:b/>
          <w:sz w:val="24"/>
          <w:szCs w:val="24"/>
        </w:rPr>
        <w:t xml:space="preserve">. </w:t>
      </w:r>
      <w:r w:rsidRPr="00116C4A">
        <w:rPr>
          <w:rFonts w:ascii="Arial" w:eastAsia="Calibri" w:hAnsi="Arial" w:cs="Arial"/>
          <w:sz w:val="24"/>
          <w:szCs w:val="24"/>
        </w:rPr>
        <w:t xml:space="preserve">Protein profiles of native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equine synovial fluid following protein digestion. (A) Different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loading and digestion protocols ± Lys-C endopeptidase pre-digestion (yellow boxes indicate profiles including Lys-C pre-digestion, arrow indicates a protein band not present following Lys-C pre-digestion protocols). (B) Trypsin digestion protocols for native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synovial fluid. (C)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 protein profiles following digestion protocols (red box indicates last stages of digestion were carried out in-solution, not on the beads).</w:t>
      </w:r>
      <w:r w:rsidR="000F0640" w:rsidRPr="000F0640">
        <w:rPr>
          <w:rFonts w:ascii="Arial" w:eastAsia="Calibri" w:hAnsi="Arial" w:cs="Arial"/>
          <w:sz w:val="24"/>
          <w:szCs w:val="24"/>
        </w:rPr>
        <w:t xml:space="preserve"> </w:t>
      </w:r>
      <w:r w:rsidR="000F0640">
        <w:rPr>
          <w:rFonts w:ascii="Arial" w:eastAsia="Calibri" w:hAnsi="Arial" w:cs="Arial"/>
          <w:sz w:val="24"/>
          <w:szCs w:val="24"/>
        </w:rPr>
        <w:t>Full protein gel images can be found in Figure S8.</w:t>
      </w:r>
    </w:p>
    <w:p w14:paraId="19E171AC" w14:textId="77777777" w:rsidR="00652D52" w:rsidRPr="00116C4A" w:rsidRDefault="00652D52" w:rsidP="00652D52">
      <w:pPr>
        <w:autoSpaceDE w:val="0"/>
        <w:autoSpaceDN w:val="0"/>
        <w:adjustRightInd w:val="0"/>
        <w:spacing w:line="256" w:lineRule="auto"/>
        <w:rPr>
          <w:rFonts w:ascii="Arial" w:eastAsia="Calibri" w:hAnsi="Arial" w:cs="Arial"/>
          <w:sz w:val="24"/>
          <w:szCs w:val="24"/>
        </w:rPr>
      </w:pPr>
    </w:p>
    <w:p w14:paraId="78D2A634" w14:textId="129E4C77" w:rsidR="00652D52" w:rsidRPr="00116C4A" w:rsidRDefault="00652D52" w:rsidP="00116C4A">
      <w:pPr>
        <w:autoSpaceDE w:val="0"/>
        <w:autoSpaceDN w:val="0"/>
        <w:adjustRightInd w:val="0"/>
        <w:spacing w:line="480" w:lineRule="auto"/>
        <w:rPr>
          <w:rFonts w:ascii="Arial" w:eastAsia="Calibri" w:hAnsi="Arial" w:cs="Arial"/>
          <w:color w:val="000000"/>
          <w:sz w:val="24"/>
          <w:szCs w:val="24"/>
        </w:rPr>
      </w:pPr>
      <w:r w:rsidRPr="00116C4A">
        <w:rPr>
          <w:rFonts w:ascii="Arial" w:eastAsia="Calibri" w:hAnsi="Arial" w:cs="Arial"/>
          <w:sz w:val="24"/>
          <w:szCs w:val="24"/>
        </w:rPr>
        <w:t xml:space="preserve">Increased trypsin exposure time did not significantly increase the number of proteins identified for native SF (Figure </w:t>
      </w:r>
      <w:r w:rsidR="00F32816">
        <w:rPr>
          <w:rFonts w:ascii="Arial" w:eastAsia="Calibri" w:hAnsi="Arial" w:cs="Arial"/>
          <w:sz w:val="24"/>
          <w:szCs w:val="24"/>
        </w:rPr>
        <w:t>4</w:t>
      </w:r>
      <w:r w:rsidRPr="00116C4A">
        <w:rPr>
          <w:rFonts w:ascii="Arial" w:eastAsia="Calibri" w:hAnsi="Arial" w:cs="Arial"/>
          <w:sz w:val="24"/>
          <w:szCs w:val="24"/>
        </w:rPr>
        <w:t xml:space="preserve">). All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protocols resulted in an increased number of protein identifications compared to unprocessed native SF. Increased time of trypsin exposure increased the number of protein </w:t>
      </w:r>
      <w:r w:rsidRPr="00116C4A">
        <w:rPr>
          <w:rFonts w:ascii="Arial" w:eastAsia="Calibri" w:hAnsi="Arial" w:cs="Arial"/>
          <w:sz w:val="24"/>
          <w:szCs w:val="24"/>
        </w:rPr>
        <w:lastRenderedPageBreak/>
        <w:t>identifications for 4hr to 16hr + 2hr trypsin protocols, however a reduced number of proteins were identified following a 16hr + 16hr trypsin protocol. Neither repeated loading of native SF onto the column or reloading of flow-through increased the number of protein identifications, with both methods in fact leading to a reduction in the number of identifications</w:t>
      </w:r>
      <w:r w:rsidRPr="00116C4A">
        <w:rPr>
          <w:rFonts w:ascii="Arial" w:eastAsia="Calibri" w:hAnsi="Arial" w:cs="Arial"/>
          <w:color w:val="000000"/>
          <w:sz w:val="24"/>
          <w:szCs w:val="24"/>
        </w:rPr>
        <w:t>. All trypsin digestion protocols in which Lys-C pre-digestion was included resulted in an increased number of protein identifications compared to the same protocol without a Lys-C pre-digest. Of all protocols examined, the 16hr Lys-C + 16hr + 2hr trypsin protocol resulted in the highest number of protein identifications.</w:t>
      </w:r>
    </w:p>
    <w:p w14:paraId="443F071C" w14:textId="77777777" w:rsidR="00652D52" w:rsidRPr="00116C4A" w:rsidRDefault="00652D52" w:rsidP="00652D52">
      <w:pPr>
        <w:autoSpaceDE w:val="0"/>
        <w:autoSpaceDN w:val="0"/>
        <w:adjustRightInd w:val="0"/>
        <w:spacing w:line="360" w:lineRule="auto"/>
        <w:rPr>
          <w:rFonts w:ascii="Arial" w:eastAsia="Calibri" w:hAnsi="Arial" w:cs="Arial"/>
          <w:sz w:val="24"/>
          <w:szCs w:val="24"/>
        </w:rPr>
      </w:pPr>
    </w:p>
    <w:p w14:paraId="41009E81" w14:textId="77777777" w:rsidR="00DC38DB" w:rsidRPr="00116C4A" w:rsidRDefault="00DC38DB" w:rsidP="00652D52">
      <w:pPr>
        <w:autoSpaceDE w:val="0"/>
        <w:autoSpaceDN w:val="0"/>
        <w:adjustRightInd w:val="0"/>
        <w:spacing w:line="240" w:lineRule="auto"/>
        <w:rPr>
          <w:rFonts w:ascii="Arial" w:eastAsia="Calibri" w:hAnsi="Arial" w:cs="Arial"/>
          <w:b/>
          <w:sz w:val="24"/>
          <w:szCs w:val="24"/>
        </w:rPr>
      </w:pPr>
    </w:p>
    <w:p w14:paraId="4FCD92D4" w14:textId="77777777" w:rsidR="00116C4A" w:rsidRDefault="00116C4A" w:rsidP="00652D52">
      <w:pPr>
        <w:autoSpaceDE w:val="0"/>
        <w:autoSpaceDN w:val="0"/>
        <w:adjustRightInd w:val="0"/>
        <w:spacing w:line="240" w:lineRule="auto"/>
        <w:rPr>
          <w:rFonts w:ascii="Arial" w:eastAsia="Calibri" w:hAnsi="Arial" w:cs="Arial"/>
          <w:b/>
          <w:sz w:val="24"/>
          <w:szCs w:val="24"/>
        </w:rPr>
      </w:pPr>
    </w:p>
    <w:p w14:paraId="1C86B24C" w14:textId="77777777" w:rsidR="00116C4A" w:rsidRDefault="00116C4A" w:rsidP="00652D52">
      <w:pPr>
        <w:autoSpaceDE w:val="0"/>
        <w:autoSpaceDN w:val="0"/>
        <w:adjustRightInd w:val="0"/>
        <w:spacing w:line="240" w:lineRule="auto"/>
        <w:rPr>
          <w:rFonts w:ascii="Arial" w:eastAsia="Calibri" w:hAnsi="Arial" w:cs="Arial"/>
          <w:b/>
          <w:sz w:val="24"/>
          <w:szCs w:val="24"/>
        </w:rPr>
      </w:pPr>
    </w:p>
    <w:p w14:paraId="37F26FEC" w14:textId="77777777" w:rsidR="00116C4A" w:rsidRDefault="00116C4A" w:rsidP="00652D52">
      <w:pPr>
        <w:autoSpaceDE w:val="0"/>
        <w:autoSpaceDN w:val="0"/>
        <w:adjustRightInd w:val="0"/>
        <w:spacing w:line="240" w:lineRule="auto"/>
        <w:rPr>
          <w:rFonts w:ascii="Arial" w:eastAsia="Calibri" w:hAnsi="Arial" w:cs="Arial"/>
          <w:b/>
          <w:sz w:val="24"/>
          <w:szCs w:val="24"/>
        </w:rPr>
      </w:pPr>
    </w:p>
    <w:p w14:paraId="6ABC857A" w14:textId="77777777" w:rsidR="00116C4A" w:rsidRDefault="00116C4A" w:rsidP="00652D52">
      <w:pPr>
        <w:autoSpaceDE w:val="0"/>
        <w:autoSpaceDN w:val="0"/>
        <w:adjustRightInd w:val="0"/>
        <w:spacing w:line="240" w:lineRule="auto"/>
        <w:rPr>
          <w:rFonts w:ascii="Arial" w:eastAsia="Calibri" w:hAnsi="Arial" w:cs="Arial"/>
          <w:b/>
          <w:sz w:val="24"/>
          <w:szCs w:val="24"/>
        </w:rPr>
      </w:pPr>
    </w:p>
    <w:p w14:paraId="5D5983DE" w14:textId="77777777" w:rsidR="00116C4A" w:rsidRDefault="00116C4A" w:rsidP="00652D52">
      <w:pPr>
        <w:autoSpaceDE w:val="0"/>
        <w:autoSpaceDN w:val="0"/>
        <w:adjustRightInd w:val="0"/>
        <w:spacing w:line="240" w:lineRule="auto"/>
        <w:rPr>
          <w:rFonts w:ascii="Arial" w:eastAsia="Calibri" w:hAnsi="Arial" w:cs="Arial"/>
          <w:b/>
          <w:sz w:val="24"/>
          <w:szCs w:val="24"/>
        </w:rPr>
      </w:pPr>
    </w:p>
    <w:p w14:paraId="4E24C0BA" w14:textId="77777777" w:rsidR="00116C4A" w:rsidRDefault="00116C4A" w:rsidP="00652D52">
      <w:pPr>
        <w:autoSpaceDE w:val="0"/>
        <w:autoSpaceDN w:val="0"/>
        <w:adjustRightInd w:val="0"/>
        <w:spacing w:line="240" w:lineRule="auto"/>
        <w:rPr>
          <w:rFonts w:ascii="Arial" w:eastAsia="Calibri" w:hAnsi="Arial" w:cs="Arial"/>
          <w:b/>
          <w:sz w:val="24"/>
          <w:szCs w:val="24"/>
        </w:rPr>
      </w:pPr>
    </w:p>
    <w:p w14:paraId="2780CE30" w14:textId="1372C0B0" w:rsidR="00A84CAD" w:rsidRPr="00A84CAD" w:rsidRDefault="00A84CAD" w:rsidP="00A84CAD">
      <w:pPr>
        <w:rPr>
          <w:rFonts w:ascii="Arial" w:eastAsia="Calibri" w:hAnsi="Arial" w:cs="Arial"/>
          <w:sz w:val="24"/>
          <w:szCs w:val="24"/>
        </w:rPr>
      </w:pPr>
    </w:p>
    <w:p w14:paraId="3456CAB9" w14:textId="00ABEA30" w:rsidR="00A84CAD" w:rsidRPr="00A84CAD" w:rsidRDefault="00A84CAD" w:rsidP="00A84CAD">
      <w:pPr>
        <w:rPr>
          <w:rFonts w:ascii="Arial" w:eastAsia="Calibri" w:hAnsi="Arial" w:cs="Arial"/>
          <w:sz w:val="24"/>
          <w:szCs w:val="24"/>
        </w:rPr>
      </w:pPr>
    </w:p>
    <w:p w14:paraId="5E43D1C8" w14:textId="6AD3D526" w:rsidR="00A84CAD" w:rsidRDefault="00A84CAD" w:rsidP="00A84CAD">
      <w:pPr>
        <w:rPr>
          <w:rFonts w:ascii="Arial" w:eastAsia="Calibri" w:hAnsi="Arial" w:cs="Arial"/>
          <w:b/>
          <w:sz w:val="24"/>
          <w:szCs w:val="24"/>
        </w:rPr>
      </w:pPr>
    </w:p>
    <w:p w14:paraId="5BA502E5" w14:textId="77777777" w:rsidR="00A84CAD" w:rsidRPr="00A84CAD" w:rsidRDefault="00A84CAD" w:rsidP="00A84CAD">
      <w:pPr>
        <w:rPr>
          <w:rFonts w:ascii="Arial" w:eastAsia="Calibri" w:hAnsi="Arial" w:cs="Arial"/>
          <w:sz w:val="24"/>
          <w:szCs w:val="24"/>
        </w:rPr>
      </w:pPr>
    </w:p>
    <w:p w14:paraId="4129609E" w14:textId="77777777" w:rsidR="00116C4A" w:rsidRDefault="00116C4A" w:rsidP="00652D52">
      <w:pPr>
        <w:autoSpaceDE w:val="0"/>
        <w:autoSpaceDN w:val="0"/>
        <w:adjustRightInd w:val="0"/>
        <w:spacing w:line="240" w:lineRule="auto"/>
        <w:rPr>
          <w:rFonts w:ascii="Arial" w:eastAsia="Calibri" w:hAnsi="Arial" w:cs="Arial"/>
          <w:b/>
          <w:sz w:val="24"/>
          <w:szCs w:val="24"/>
        </w:rPr>
      </w:pPr>
      <w:r w:rsidRPr="00116C4A">
        <w:rPr>
          <w:rFonts w:ascii="Arial" w:eastAsia="Calibri" w:hAnsi="Arial" w:cs="Arial"/>
          <w:noProof/>
          <w:sz w:val="24"/>
          <w:szCs w:val="24"/>
          <w:lang w:eastAsia="en-GB"/>
        </w:rPr>
        <w:lastRenderedPageBreak/>
        <mc:AlternateContent>
          <mc:Choice Requires="wps">
            <w:drawing>
              <wp:anchor distT="45720" distB="45720" distL="114300" distR="114300" simplePos="0" relativeHeight="251670528" behindDoc="0" locked="0" layoutInCell="1" allowOverlap="1" wp14:anchorId="727171C2" wp14:editId="05260E26">
                <wp:simplePos x="0" y="0"/>
                <wp:positionH relativeFrom="margin">
                  <wp:align>center</wp:align>
                </wp:positionH>
                <wp:positionV relativeFrom="paragraph">
                  <wp:posOffset>0</wp:posOffset>
                </wp:positionV>
                <wp:extent cx="5223510" cy="3402965"/>
                <wp:effectExtent l="0" t="0" r="0" b="698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3402965"/>
                        </a:xfrm>
                        <a:prstGeom prst="rect">
                          <a:avLst/>
                        </a:prstGeom>
                        <a:solidFill>
                          <a:srgbClr val="FFFFFF"/>
                        </a:solidFill>
                        <a:ln w="9525">
                          <a:noFill/>
                          <a:miter lim="800000"/>
                          <a:headEnd/>
                          <a:tailEnd/>
                        </a:ln>
                      </wps:spPr>
                      <wps:txbx>
                        <w:txbxContent>
                          <w:p w14:paraId="0575C1BB" w14:textId="77777777" w:rsidR="00891812" w:rsidRDefault="00891812" w:rsidP="00652D52">
                            <w:r>
                              <w:rPr>
                                <w:noProof/>
                                <w:lang w:eastAsia="en-GB"/>
                              </w:rPr>
                              <w:drawing>
                                <wp:inline distT="0" distB="0" distL="0" distR="0" wp14:anchorId="2189C28F" wp14:editId="3CF9BF51">
                                  <wp:extent cx="5090915" cy="3252083"/>
                                  <wp:effectExtent l="0" t="0" r="0" b="5715"/>
                                  <wp:docPr id="9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l="24237" t="20683" r="13914" b="8981"/>
                                          <a:stretch>
                                            <a:fillRect/>
                                          </a:stretch>
                                        </pic:blipFill>
                                        <pic:spPr bwMode="auto">
                                          <a:xfrm>
                                            <a:off x="0" y="0"/>
                                            <a:ext cx="5114655" cy="32672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7171C2" id="_x0000_s1040" type="#_x0000_t202" style="position:absolute;margin-left:0;margin-top:0;width:411.3pt;height:267.9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" stroked="f">
                <v:textbox>
                  <w:txbxContent>
                    <w:p w14:paraId="0575C1BB" w14:textId="77777777" w:rsidR="00891812" w:rsidRDefault="00891812" w:rsidP="00652D52">
                      <w:r>
                        <w:rPr>
                          <w:noProof/>
                          <w:lang w:eastAsia="en-GB"/>
                        </w:rPr>
                        <w:drawing>
                          <wp:inline distT="0" distB="0" distL="0" distR="0" wp14:anchorId="2189C28F" wp14:editId="3CF9BF51">
                            <wp:extent cx="5090915" cy="3252083"/>
                            <wp:effectExtent l="0" t="0" r="0" b="5715"/>
                            <wp:docPr id="9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l="24237" t="20683" r="13914" b="8981"/>
                                    <a:stretch>
                                      <a:fillRect/>
                                    </a:stretch>
                                  </pic:blipFill>
                                  <pic:spPr bwMode="auto">
                                    <a:xfrm>
                                      <a:off x="0" y="0"/>
                                      <a:ext cx="5114655" cy="3267248"/>
                                    </a:xfrm>
                                    <a:prstGeom prst="rect">
                                      <a:avLst/>
                                    </a:prstGeom>
                                    <a:noFill/>
                                    <a:ln>
                                      <a:noFill/>
                                    </a:ln>
                                  </pic:spPr>
                                </pic:pic>
                              </a:graphicData>
                            </a:graphic>
                          </wp:inline>
                        </w:drawing>
                      </w:r>
                    </w:p>
                  </w:txbxContent>
                </v:textbox>
                <w10:wrap type="square" anchorx="margin"/>
              </v:shape>
            </w:pict>
          </mc:Fallback>
        </mc:AlternateContent>
      </w:r>
    </w:p>
    <w:p w14:paraId="6B6C6D87" w14:textId="5DE83437" w:rsidR="00652D52" w:rsidRDefault="00652D52" w:rsidP="00652D52">
      <w:pPr>
        <w:autoSpaceDE w:val="0"/>
        <w:autoSpaceDN w:val="0"/>
        <w:adjustRightInd w:val="0"/>
        <w:spacing w:line="240" w:lineRule="auto"/>
        <w:rPr>
          <w:rFonts w:ascii="Arial" w:eastAsia="Calibri" w:hAnsi="Arial" w:cs="Arial"/>
          <w:sz w:val="24"/>
          <w:szCs w:val="24"/>
        </w:rPr>
      </w:pPr>
      <w:r w:rsidRPr="00116C4A">
        <w:rPr>
          <w:rFonts w:ascii="Arial" w:eastAsia="Calibri" w:hAnsi="Arial" w:cs="Arial"/>
          <w:b/>
          <w:sz w:val="24"/>
          <w:szCs w:val="24"/>
        </w:rPr>
        <w:t xml:space="preserve">Figure </w:t>
      </w:r>
      <w:r w:rsidR="00F32816">
        <w:rPr>
          <w:rFonts w:ascii="Arial" w:eastAsia="Calibri" w:hAnsi="Arial" w:cs="Arial"/>
          <w:b/>
          <w:sz w:val="24"/>
          <w:szCs w:val="24"/>
        </w:rPr>
        <w:t>4</w:t>
      </w:r>
      <w:r w:rsidRPr="00116C4A">
        <w:rPr>
          <w:rFonts w:ascii="Arial" w:eastAsia="Calibri" w:hAnsi="Arial" w:cs="Arial"/>
          <w:b/>
          <w:sz w:val="24"/>
          <w:szCs w:val="24"/>
        </w:rPr>
        <w:t xml:space="preserve">. </w:t>
      </w:r>
      <w:r w:rsidRPr="00116C4A">
        <w:rPr>
          <w:rFonts w:ascii="Arial" w:eastAsia="Calibri" w:hAnsi="Arial" w:cs="Arial"/>
          <w:sz w:val="24"/>
          <w:szCs w:val="24"/>
        </w:rPr>
        <w:t xml:space="preserve">Number of Mascot protein identifications for native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equine synovial fluid following different loading and protein digestion protocols involving trypsin </w:t>
      </w:r>
      <w:r w:rsidRPr="00116C4A">
        <w:rPr>
          <w:rFonts w:ascii="Arial" w:eastAsia="Times New Roman" w:hAnsi="Arial" w:cs="Arial"/>
          <w:color w:val="222222"/>
          <w:sz w:val="24"/>
          <w:szCs w:val="24"/>
          <w:shd w:val="clear" w:color="auto" w:fill="FFFFFF"/>
        </w:rPr>
        <w:t>± Lys-C endopeptidase pre-digestion</w:t>
      </w:r>
      <w:r w:rsidRPr="00116C4A">
        <w:rPr>
          <w:rFonts w:ascii="Arial" w:eastAsia="Calibri" w:hAnsi="Arial" w:cs="Arial"/>
          <w:sz w:val="24"/>
          <w:szCs w:val="24"/>
        </w:rPr>
        <w:t>. Pilot study, n=1/digestion protocol.</w:t>
      </w:r>
    </w:p>
    <w:p w14:paraId="42044A5B" w14:textId="77777777" w:rsidR="000F7FBC" w:rsidRPr="00116C4A" w:rsidRDefault="000F7FBC" w:rsidP="00652D52">
      <w:pPr>
        <w:autoSpaceDE w:val="0"/>
        <w:autoSpaceDN w:val="0"/>
        <w:adjustRightInd w:val="0"/>
        <w:spacing w:line="240" w:lineRule="auto"/>
        <w:rPr>
          <w:rFonts w:ascii="Arial" w:eastAsia="Calibri" w:hAnsi="Arial" w:cs="Arial"/>
          <w:b/>
          <w:sz w:val="24"/>
          <w:szCs w:val="24"/>
        </w:rPr>
      </w:pPr>
    </w:p>
    <w:p w14:paraId="39B2D5F8"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color w:val="000000"/>
          <w:sz w:val="24"/>
          <w:szCs w:val="24"/>
        </w:rPr>
      </w:pPr>
      <w:r w:rsidRPr="00116C4A">
        <w:rPr>
          <w:rFonts w:ascii="Arial" w:eastAsia="Calibri" w:hAnsi="Arial" w:cs="Arial"/>
          <w:b/>
          <w:i/>
          <w:iCs/>
          <w:sz w:val="24"/>
          <w:szCs w:val="24"/>
        </w:rPr>
        <w:t>Tryptic Peptide Reproducibility</w:t>
      </w:r>
    </w:p>
    <w:p w14:paraId="39A119EE" w14:textId="0B2D9F5C" w:rsidR="0059750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When the same trypsin digested sample vial was analysed via LC-MS/MS three times, reproducibility was high for all sample types, with 67-87% of identified peptides having a CV value of &lt; 10% (Figure </w:t>
      </w:r>
      <w:r w:rsidR="009F0583">
        <w:rPr>
          <w:rFonts w:ascii="Arial" w:eastAsia="Calibri" w:hAnsi="Arial" w:cs="Arial"/>
          <w:sz w:val="24"/>
          <w:szCs w:val="24"/>
        </w:rPr>
        <w:t>S10</w:t>
      </w:r>
      <w:r w:rsidRPr="00116C4A">
        <w:rPr>
          <w:rFonts w:ascii="Arial" w:eastAsia="Calibri" w:hAnsi="Arial" w:cs="Arial"/>
          <w:sz w:val="24"/>
          <w:szCs w:val="24"/>
        </w:rPr>
        <w:t xml:space="preserve">). Triplicate repeats of native SF digests provided a good level of reproducibility, with 78% of identified peptides having a CV value of &lt; 20%. Following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vertAlign w:val="superscript"/>
        </w:rPr>
        <w:t xml:space="preserve"> </w:t>
      </w:r>
      <w:r w:rsidRPr="00116C4A">
        <w:rPr>
          <w:rFonts w:ascii="Arial" w:eastAsia="Calibri" w:hAnsi="Arial" w:cs="Arial"/>
          <w:sz w:val="24"/>
          <w:szCs w:val="24"/>
        </w:rPr>
        <w:t xml:space="preserve">processing and an on-bead digestion protocol, reproducibility was reduced to 57% of identified peptides having a CV value of &lt; 20%. Analysis of flow-through tryptic peptides provided a reproducibility level between that of native SF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processing and an on-bead digestion, with 61% of identified peptides having a CV value of &lt; 20%.</w:t>
      </w:r>
    </w:p>
    <w:p w14:paraId="51DB534E" w14:textId="341C7D87" w:rsidR="00652D52"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lastRenderedPageBreak/>
        <w:t xml:space="preserve">A 4hr Lys-C pre-digestion prior to the standard on-bead 16hr + 2hr trypsin digestion protocol did not increase reproducibility in terms of CV values (Figure </w:t>
      </w:r>
      <w:r w:rsidR="006D4896">
        <w:rPr>
          <w:rFonts w:ascii="Arial" w:eastAsia="Calibri" w:hAnsi="Arial" w:cs="Arial"/>
          <w:sz w:val="24"/>
          <w:szCs w:val="24"/>
        </w:rPr>
        <w:t>5</w:t>
      </w:r>
      <w:r w:rsidRPr="00116C4A">
        <w:rPr>
          <w:rFonts w:ascii="Arial" w:eastAsia="Calibri" w:hAnsi="Arial" w:cs="Arial"/>
          <w:sz w:val="24"/>
          <w:szCs w:val="24"/>
        </w:rPr>
        <w:t>). However, Lys-C pre-digestion significantly reduced the average number of missed cleavages/peptide during the digestion protocol, with less variation in the number of missed cleavages per sample. Additionally, analysis using a non-supervised PCA approach, when applying a Lys-C pre-digestion step, reduced the variability between tryptic digestion protocols, providing a more consistent digestion.</w:t>
      </w:r>
    </w:p>
    <w:p w14:paraId="6617A58F" w14:textId="77777777" w:rsidR="00116C4A" w:rsidRPr="00116C4A" w:rsidRDefault="00116C4A"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noProof/>
          <w:sz w:val="24"/>
          <w:szCs w:val="24"/>
          <w:lang w:eastAsia="en-GB"/>
        </w:rPr>
        <mc:AlternateContent>
          <mc:Choice Requires="wps">
            <w:drawing>
              <wp:anchor distT="0" distB="0" distL="114300" distR="114300" simplePos="0" relativeHeight="251676672" behindDoc="0" locked="0" layoutInCell="1" allowOverlap="1" wp14:anchorId="3056C05B" wp14:editId="0B1E1F01">
                <wp:simplePos x="0" y="0"/>
                <wp:positionH relativeFrom="margin">
                  <wp:align>center</wp:align>
                </wp:positionH>
                <wp:positionV relativeFrom="paragraph">
                  <wp:posOffset>251460</wp:posOffset>
                </wp:positionV>
                <wp:extent cx="5218981" cy="3423684"/>
                <wp:effectExtent l="0" t="0" r="1270" b="571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981" cy="3423684"/>
                        </a:xfrm>
                        <a:prstGeom prst="rect">
                          <a:avLst/>
                        </a:prstGeom>
                        <a:solidFill>
                          <a:srgbClr val="FFFFFF"/>
                        </a:solidFill>
                        <a:ln w="9525">
                          <a:noFill/>
                          <a:miter lim="800000"/>
                          <a:headEnd/>
                          <a:tailEnd/>
                        </a:ln>
                      </wps:spPr>
                      <wps:txbx>
                        <w:txbxContent>
                          <w:p w14:paraId="590DF39D" w14:textId="77777777" w:rsidR="00891812" w:rsidRDefault="00891812" w:rsidP="00652D52">
                            <w:r>
                              <w:rPr>
                                <w:noProof/>
                                <w:lang w:eastAsia="en-GB"/>
                              </w:rPr>
                              <w:drawing>
                                <wp:inline distT="0" distB="0" distL="0" distR="0" wp14:anchorId="6702153F" wp14:editId="55F60F9E">
                                  <wp:extent cx="5035456" cy="3218213"/>
                                  <wp:effectExtent l="0" t="0" r="0"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3943" t="15119" r="19876" b="9692"/>
                                          <a:stretch/>
                                        </pic:blipFill>
                                        <pic:spPr bwMode="auto">
                                          <a:xfrm>
                                            <a:off x="0" y="0"/>
                                            <a:ext cx="5035456" cy="32182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56C05B" id="_x0000_s1042" type="#_x0000_t202" style="position:absolute;margin-left:0;margin-top:19.8pt;width:410.95pt;height:269.6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NXJgIAACYEAAAOAAAAZHJzL2Uyb0RvYy54bWysU9uO2yAQfa/Uf0C8N469SZp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" stroked="f">
                <v:textbox>
                  <w:txbxContent>
                    <w:p w14:paraId="590DF39D" w14:textId="77777777" w:rsidR="00891812" w:rsidRDefault="00891812" w:rsidP="00652D52">
                      <w:r>
                        <w:rPr>
                          <w:noProof/>
                          <w:lang w:eastAsia="en-GB"/>
                        </w:rPr>
                        <w:drawing>
                          <wp:inline distT="0" distB="0" distL="0" distR="0" wp14:anchorId="6702153F" wp14:editId="55F60F9E">
                            <wp:extent cx="5035456" cy="3218213"/>
                            <wp:effectExtent l="0" t="0" r="0"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3943" t="15119" r="19876" b="9692"/>
                                    <a:stretch/>
                                  </pic:blipFill>
                                  <pic:spPr bwMode="auto">
                                    <a:xfrm>
                                      <a:off x="0" y="0"/>
                                      <a:ext cx="5035456" cy="321821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4375111"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492DC527"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7BF14A0C"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72B2A93D"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4B13852B"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46E88DC6"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6293C5E3"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5A1B70F3"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69C91229"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61CAA0B5"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35843C96"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2D15117F" w14:textId="77777777" w:rsidR="00652D52" w:rsidRPr="00116C4A" w:rsidRDefault="00652D52" w:rsidP="00652D52">
      <w:pPr>
        <w:autoSpaceDE w:val="0"/>
        <w:autoSpaceDN w:val="0"/>
        <w:adjustRightInd w:val="0"/>
        <w:spacing w:line="256" w:lineRule="auto"/>
        <w:rPr>
          <w:rFonts w:ascii="Arial" w:eastAsia="Calibri" w:hAnsi="Arial" w:cs="Arial"/>
          <w:b/>
          <w:color w:val="FF0000"/>
          <w:sz w:val="24"/>
          <w:szCs w:val="24"/>
        </w:rPr>
      </w:pPr>
    </w:p>
    <w:p w14:paraId="1C4D0829" w14:textId="77777777" w:rsidR="00116C4A" w:rsidRDefault="00116C4A" w:rsidP="00652D52">
      <w:pPr>
        <w:autoSpaceDE w:val="0"/>
        <w:autoSpaceDN w:val="0"/>
        <w:adjustRightInd w:val="0"/>
        <w:spacing w:line="256" w:lineRule="auto"/>
        <w:rPr>
          <w:rFonts w:ascii="Arial" w:eastAsia="Calibri" w:hAnsi="Arial" w:cs="Arial"/>
          <w:b/>
          <w:sz w:val="24"/>
          <w:szCs w:val="24"/>
        </w:rPr>
      </w:pPr>
    </w:p>
    <w:p w14:paraId="523ECA43" w14:textId="44088467" w:rsidR="00652D52" w:rsidRPr="00116C4A" w:rsidRDefault="00652D52" w:rsidP="00652D52">
      <w:pPr>
        <w:autoSpaceDE w:val="0"/>
        <w:autoSpaceDN w:val="0"/>
        <w:adjustRightInd w:val="0"/>
        <w:spacing w:line="256" w:lineRule="auto"/>
        <w:rPr>
          <w:rFonts w:ascii="Arial" w:eastAsia="Calibri" w:hAnsi="Arial" w:cs="Arial"/>
          <w:sz w:val="24"/>
          <w:szCs w:val="24"/>
        </w:rPr>
      </w:pPr>
      <w:r w:rsidRPr="00116C4A">
        <w:rPr>
          <w:rFonts w:ascii="Arial" w:eastAsia="Calibri" w:hAnsi="Arial" w:cs="Arial"/>
          <w:b/>
          <w:sz w:val="24"/>
          <w:szCs w:val="24"/>
        </w:rPr>
        <w:t xml:space="preserve">Figure </w:t>
      </w:r>
      <w:r w:rsidR="006D4896">
        <w:rPr>
          <w:rFonts w:ascii="Arial" w:eastAsia="Calibri" w:hAnsi="Arial" w:cs="Arial"/>
          <w:b/>
          <w:sz w:val="24"/>
          <w:szCs w:val="24"/>
        </w:rPr>
        <w:t>5</w:t>
      </w:r>
      <w:r w:rsidRPr="00116C4A">
        <w:rPr>
          <w:rFonts w:ascii="Arial" w:eastAsia="Calibri" w:hAnsi="Arial" w:cs="Arial"/>
          <w:b/>
          <w:sz w:val="24"/>
          <w:szCs w:val="24"/>
        </w:rPr>
        <w:t xml:space="preserve">. </w:t>
      </w:r>
      <w:r w:rsidRPr="00116C4A">
        <w:rPr>
          <w:rFonts w:ascii="Arial" w:eastAsia="Calibri" w:hAnsi="Arial" w:cs="Arial"/>
          <w:sz w:val="24"/>
          <w:szCs w:val="24"/>
        </w:rPr>
        <w:t xml:space="preserve">Reproducibility of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synovial fluid protein digests with and without Lys-C endopeptidase pre-digestion. Tryptic peptide reproducibility of three technical replicates (A) with and (B) without a 4hr Lys-C pre-digestion prior to 16hr + 2hr on-bead trypsin digestion. (C) Average number of missed cleavages per peptide and (D) principal component analysis (PCA) of tryptic peptide profiles with (green) and without (red) Lys-C pre-digestion for a series of trypsin digestion protocols. Peptide abundances were analysed via LC-MS/MS with a 1hr LC gradient. CV = coefficient of variation. ** = p &lt; 0.01.</w:t>
      </w:r>
    </w:p>
    <w:p w14:paraId="4DE23D1D" w14:textId="77777777" w:rsidR="00652D52" w:rsidRPr="00116C4A" w:rsidRDefault="00652D52" w:rsidP="00652D52">
      <w:pPr>
        <w:autoSpaceDE w:val="0"/>
        <w:autoSpaceDN w:val="0"/>
        <w:adjustRightInd w:val="0"/>
        <w:spacing w:line="256" w:lineRule="auto"/>
        <w:rPr>
          <w:rFonts w:ascii="Arial" w:eastAsia="Calibri" w:hAnsi="Arial" w:cs="Arial"/>
          <w:sz w:val="24"/>
          <w:szCs w:val="24"/>
        </w:rPr>
      </w:pPr>
    </w:p>
    <w:p w14:paraId="7B4F5407" w14:textId="77777777" w:rsidR="00652D52" w:rsidRPr="00116C4A" w:rsidRDefault="00652D52" w:rsidP="00116C4A">
      <w:pPr>
        <w:keepNext/>
        <w:keepLine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lastRenderedPageBreak/>
        <w:t>Semi-Tryptic Peptide Reproducibility</w:t>
      </w:r>
    </w:p>
    <w:p w14:paraId="48A519D1" w14:textId="32CF0342" w:rsid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For semi-tryptic peptide quantification, when using variations of a 4hr trypsin digestion protocol with a 1hr LC gradient, a 4hr on-bead trypsin digestion was by far the most reproducible, with 71% of peptides having a CV value of &lt; 20% (Figure </w:t>
      </w:r>
      <w:r w:rsidR="009F0583">
        <w:rPr>
          <w:rFonts w:ascii="Arial" w:eastAsia="Calibri" w:hAnsi="Arial" w:cs="Arial"/>
          <w:sz w:val="24"/>
          <w:szCs w:val="24"/>
        </w:rPr>
        <w:t>S11</w:t>
      </w:r>
      <w:r w:rsidRPr="00116C4A">
        <w:rPr>
          <w:rFonts w:ascii="Arial" w:eastAsia="Calibri" w:hAnsi="Arial" w:cs="Arial"/>
          <w:sz w:val="24"/>
          <w:szCs w:val="24"/>
        </w:rPr>
        <w:t xml:space="preserve">). A 4hr Lys-C pre-digestion substantially increased the number of identified peptides (38 to 265) although this was accompanied by a significant reduction in reproducibility, with only 29% of peptides having a CV value of &lt; 20%. For 16hr + 2hr trypsin digestion protocols with a 2hr gradient, digestion of native SF was the most reproducible, with 74% of peptides having a CV value of &lt; 20%. Although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processing increased the number of identified semi-tryptic peptides, both with and without a 4hr Lys-C pre-digestion step, reproducibility dropped significantly, with 33% and 36% of peptides having a CV value of &lt; 20% respectively.</w:t>
      </w:r>
      <w:r w:rsidR="00C17540" w:rsidDel="00C17540">
        <w:rPr>
          <w:rFonts w:ascii="Arial" w:eastAsia="Calibri" w:hAnsi="Arial" w:cs="Arial"/>
          <w:sz w:val="24"/>
          <w:szCs w:val="24"/>
        </w:rPr>
        <w:t xml:space="preserve"> </w:t>
      </w:r>
    </w:p>
    <w:p w14:paraId="4E208931" w14:textId="77777777" w:rsidR="00652D52" w:rsidRPr="00116C4A" w:rsidRDefault="00652D52" w:rsidP="00116C4A">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22" w:name="_Toc10551731"/>
      <w:r w:rsidRPr="00116C4A">
        <w:rPr>
          <w:rFonts w:ascii="Arial" w:eastAsia="Bitstream Vera Sans;MS Mincho" w:hAnsi="Arial" w:cs="Arial"/>
          <w:b/>
          <w:bCs/>
          <w:color w:val="000000"/>
          <w:sz w:val="24"/>
          <w:szCs w:val="24"/>
          <w:lang w:eastAsia="zh-CN" w:bidi="hi-IN"/>
        </w:rPr>
        <w:t>Discussion</w:t>
      </w:r>
      <w:bookmarkEnd w:id="22"/>
    </w:p>
    <w:p w14:paraId="513BEDDF" w14:textId="1C729BF4"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In this study, protocols were optimised for collection and processing of SF for NMR </w:t>
      </w:r>
      <w:proofErr w:type="spellStart"/>
      <w:r w:rsidRPr="00116C4A">
        <w:rPr>
          <w:rFonts w:ascii="Arial" w:eastAsia="Calibri" w:hAnsi="Arial" w:cs="Arial"/>
          <w:sz w:val="24"/>
          <w:szCs w:val="24"/>
        </w:rPr>
        <w:t>metabolomic</w:t>
      </w:r>
      <w:proofErr w:type="spellEnd"/>
      <w:r w:rsidRPr="00116C4A">
        <w:rPr>
          <w:rFonts w:ascii="Arial" w:eastAsia="Calibri" w:hAnsi="Arial" w:cs="Arial"/>
          <w:sz w:val="24"/>
          <w:szCs w:val="24"/>
        </w:rPr>
        <w:t xml:space="preserve"> and LC-MS/MS proteomic analysis. Optimal NMR metabolome analysis </w:t>
      </w:r>
      <w:r w:rsidRPr="00577FA6">
        <w:rPr>
          <w:rFonts w:ascii="Arial" w:eastAsia="Calibri" w:hAnsi="Arial" w:cs="Arial"/>
          <w:sz w:val="24"/>
          <w:szCs w:val="24"/>
        </w:rPr>
        <w:t xml:space="preserve">required SF centrifugation followed by snap freezing in liquid nitrogen. </w:t>
      </w:r>
      <w:r w:rsidR="00F730E9" w:rsidRPr="00577FA6">
        <w:rPr>
          <w:rFonts w:ascii="Arial" w:eastAsia="Calibri" w:hAnsi="Arial" w:cs="Arial"/>
          <w:sz w:val="24"/>
          <w:szCs w:val="24"/>
        </w:rPr>
        <w:t xml:space="preserve">Further investigation into time from death for SF collection is advisable as donor variation in technical triplicates is likely due to continued fluctuation of the post mortem metabolome. </w:t>
      </w:r>
      <w:r w:rsidRPr="00577FA6">
        <w:rPr>
          <w:rFonts w:ascii="Arial" w:eastAsia="Calibri" w:hAnsi="Arial" w:cs="Arial"/>
          <w:sz w:val="24"/>
          <w:szCs w:val="24"/>
        </w:rPr>
        <w:t xml:space="preserve">Optimisation </w:t>
      </w:r>
      <w:r w:rsidRPr="00116C4A">
        <w:rPr>
          <w:rFonts w:ascii="Arial" w:eastAsia="Calibri" w:hAnsi="Arial" w:cs="Arial"/>
          <w:sz w:val="24"/>
          <w:szCs w:val="24"/>
        </w:rPr>
        <w:t xml:space="preserve">of LC-MS/MS proteomic analysis entailed treatment of SF with 1 µg/ml hyaluronidase and rotational incubation at 37°C for 1 hr with Lys-C endopeptidase pre-digestion greatly improving on-bead tryptic protein digestion when used in conjunction with small-capacity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kits. For semi-</w:t>
      </w:r>
      <w:r w:rsidRPr="00116C4A">
        <w:rPr>
          <w:rFonts w:ascii="Arial" w:eastAsia="Calibri" w:hAnsi="Arial" w:cs="Arial"/>
          <w:sz w:val="24"/>
          <w:szCs w:val="24"/>
        </w:rPr>
        <w:lastRenderedPageBreak/>
        <w:t>tryptic peptide identification, a 16hr + 2hr tryptic digestion of native SF and a 4hr on-bead tryptic digestion were identified as the most reproducible protocols.</w:t>
      </w:r>
    </w:p>
    <w:p w14:paraId="03217263" w14:textId="6BC5EB1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SF is an important </w:t>
      </w:r>
      <w:proofErr w:type="spellStart"/>
      <w:r w:rsidRPr="00116C4A">
        <w:rPr>
          <w:rFonts w:ascii="Arial" w:eastAsia="Calibri" w:hAnsi="Arial" w:cs="Arial"/>
          <w:sz w:val="24"/>
          <w:szCs w:val="24"/>
        </w:rPr>
        <w:t>biofluid</w:t>
      </w:r>
      <w:proofErr w:type="spellEnd"/>
      <w:r w:rsidRPr="00116C4A">
        <w:rPr>
          <w:rFonts w:ascii="Arial" w:eastAsia="Calibri" w:hAnsi="Arial" w:cs="Arial"/>
          <w:sz w:val="24"/>
          <w:szCs w:val="24"/>
        </w:rPr>
        <w:t xml:space="preserve"> to further understand the pathogenesis of articular diseases, and identify specific biomarkers, as it is situated in close proximity to various tissues which are primarily altered by these pathologies </w:t>
      </w:r>
      <w:r w:rsidRPr="00116C4A">
        <w:rPr>
          <w:rFonts w:ascii="Arial" w:eastAsia="Calibri" w:hAnsi="Arial" w:cs="Arial"/>
          <w:sz w:val="24"/>
          <w:szCs w:val="24"/>
        </w:rPr>
        <w:fldChar w:fldCharType="begin" w:fldLock="1"/>
      </w:r>
      <w:r w:rsidR="00C46054">
        <w:rPr>
          <w:rFonts w:ascii="Arial" w:eastAsia="Calibri" w:hAnsi="Arial" w:cs="Arial"/>
          <w:sz w:val="24"/>
          <w:szCs w:val="24"/>
        </w:rPr>
        <w:instrText>ADDIN CSL_CITATION {"citationItems":[{"id":"ITEM-1","itemData":{"DOI":"10.1021/acs.jproteome.8b00190","ISSN":"1535-3893","abstract":"Osteoarthritis (OA), osteochondrosis (OC), and synovial sepsis in horses cause loss of function and pain. Reliable biomarkers are required to achieve accurate and rapid diagnosis, with synovial fluid (SF) holding a unique source of biochemical information. Nuclear magnetic resonance (NMR) spectroscopy allows global metabolite analysis of a small volume of SF, with minimal sample preprocessing using a noninvasive and nondestructive method. Equine SF metabolic profiles from both nonseptic joints (OA and OC) and septic joints were analyzed using 1D 1H NMR spectroscopy. Univariate and multivariate statistical analyses were used to identify differential metabolite abundance between groups. Metabolites were annotated via 1H NMR using 1D NMR identification software Chenomx, with identities confirmed using 1D 1H and 2D 1H 13C NMR. Multivariate analysis identified separation between septic and nonseptic groups. Acetate, alanine, citrate, creatine phosphate, creatinine, glucose, glutamate, glutamine, glycine, pheny...","author":[{"dropping-particle":"","family":"Anderson","given":"James R.","non-dropping-particle":"","parse-names":false,"suffix":""},{"dropping-particle":"","family":"Phelan","given":"Marie M.","non-dropping-particle":"","parse-names":false,"suffix":""},{"dropping-particle":"","family":"Clegg","given":"Peter D.","non-dropping-particle":"","parse-names":false,"suffix":""},{"dropping-particle":"","family":"Peffers","given":"Mandy J.","non-dropping-particle":"","parse-names":false,"suffix":""},{"dropping-particle":"","family":"Rubio-Martinez","given":"Luis M.","non-dropping-particle":"","parse-names":false,"suffix":""}],"container-title":"Journal of Proteome Research","id":"ITEM-1","issue":"8","issued":{"date-parts":[["2018","8","3"]]},"page":"2735-2743","publisher":"American Chemical Society","title":"Synovial Fluid Metabolites Differentiate between Septic and Nonseptic Joint Pathologies","type":"article-journal","volume":"17"},"uris":["http://www.mendeley.com/documents/?uuid=dca4f401-57bd-3c7c-86b5-ccfd0d2f479d"]},{"id":"ITEM-2","itemData":{"DOI":"10.1016/j.jprot.2011.12.042","PMID":"22245418","abstract":"The purpose of this study was to identify those proteins relatively more abundant in the synovial fluid (SF) of patients suffering from rheumatoid arthritis (RA) and osteoarthritis (OA) using high performance liquid chromatography coupled to mass spectrometry. 20 individual SF samples from each disease were pooled into two groups (RA and OA) to reduce the contribution of extreme individual values. Prior to the proteomic analysis, samples were immunodepleted from the top 20 most abundant plasma proteins, to enrich the lower-abundance protein fractions. Then, they were subjected to protein size fractioning and in-gel digestion, followed by reversed-phase peptide separation in a nano-LC system and subsequent peptide identification by MALDI-TOF/TOF. This strategy led to the identification of 136 different proteins in SF, which is the largest number of SF proteins described up to date by proteomics. A relative quantification of the proteins between RA and OA was carried out by spectral counting analysis. In RA, our results show a greater relative abundance of proteins related to complement activation, inflammation and the immune response, such as the major matrix metalloproteinases and several neutrophil-related proteins. In OA, we detected an increase in proteins involved in the formation and remodeling of the extracellular matrix (ECM), such as fibronectin, kininogen-1, cartilage acidic protein 1 and cartilage oligomeric matrix protein. The results obtained for MMP-1, BGH3, fibronectin and gelsolin were verified by immunoblotting analyses. Some of the novel proteins identified in this work might be relevant not only for increasing knowledge on the etiopathogenesis of RA and OA processes, but also as putative disease biomarkers, as their presence in SF is a prior step to their dilution in serum. This article is part of a Special Issue entitled: Proteomics: The clinical link.","author":[{"dropping-particle":"","family":"Mateos","given":"J","non-dropping-particle":"","parse-names":false,"suffix":""},{"dropping-particle":"","family":"Lourido","given":"L","non-dropping-particle":"","parse-names":false,"suffix":""},{"dropping-particle":"","family":"Fernandez-Puente","given":"P","non-dropping-particle":"","parse-names":false,"suffix":""},{"dropping-particle":"","family":"Calamia","given":"V","non-dropping-particle":"","parse-names":false,"suffix":""},{"dropping-particle":"","family":"Fernandez-Lopez","given":"C","non-dropping-particle":"","parse-names":false,"suffix":""},{"dropping-particle":"","family":"Oreiro","given":"N","non-dropping-particle":"","parse-names":false,"suffix":""},{"dropping-particle":"","family":"Ruiz-Romero","given":"C","non-dropping-particle":"","parse-names":false,"suffix":""},{"dropping-particle":"","family":"Blanco","given":"F J","non-dropping-particle":"","parse-names":false,"suffix":""}],"container-title":"J Proteomics","edition":"2012/01/17","id":"ITEM-2","issue":"10","issued":{"date-parts":[["2012"]]},"language":"eng","note":"1876-7737\nMateos, Jesus\nLourido, Lucia\nFernandez-Puente, Patricia\nCalamia, Valentina\nFernandez-Lopez, Carlos\nOreiro, Natividad\nRuiz-Romero, Cristina\nBlanco, Francisco J\nEvaluation Studies\nJournal Article\nResearch Support, Non-U.S. Gov't\nValidation Studies\nNetherlands\nJ Proteomics. 2012 Jun 6;75(10):2869-78. doi: 10.1016/j.jprot.2011.12.042. Epub 2012 Jan 8.","page":"2869-2878","title":"Differential protein profiling of synovial fluid from rheumatoid arthritis and osteoarthritis patients using LC-MALDI TOF/TOF","type":"article-journal","volume":"75"},"uris":["http://www.mendeley.com/documents/?uuid=0aeb8fbf-dac9-4096-aca4-772d997c48fb"]}],"mendeley":{"formattedCitation":"&lt;sup&gt;3,4&lt;/sup&gt;","plainTextFormattedCitation":"3,4","previouslyFormattedCitation":"&lt;sup&gt;3,4&lt;/sup&gt;"},"properties":{"noteIndex":0},"schema":"https://github.com/citation-style-language/schema/raw/master/csl-citation.json"}</w:instrText>
      </w:r>
      <w:r w:rsidRPr="00116C4A">
        <w:rPr>
          <w:rFonts w:ascii="Arial" w:eastAsia="Calibri" w:hAnsi="Arial" w:cs="Arial"/>
          <w:sz w:val="24"/>
          <w:szCs w:val="24"/>
        </w:rPr>
        <w:fldChar w:fldCharType="separate"/>
      </w:r>
      <w:r w:rsidR="00414788" w:rsidRPr="00414788">
        <w:rPr>
          <w:rFonts w:ascii="Arial" w:eastAsia="Calibri" w:hAnsi="Arial" w:cs="Arial"/>
          <w:noProof/>
          <w:sz w:val="24"/>
          <w:szCs w:val="24"/>
          <w:vertAlign w:val="superscript"/>
        </w:rPr>
        <w:t>3,4</w:t>
      </w:r>
      <w:r w:rsidRPr="00116C4A">
        <w:rPr>
          <w:rFonts w:ascii="Arial" w:eastAsia="Calibri" w:hAnsi="Arial" w:cs="Arial"/>
          <w:sz w:val="24"/>
          <w:szCs w:val="24"/>
        </w:rPr>
        <w:fldChar w:fldCharType="end"/>
      </w:r>
      <w:r w:rsidRPr="00116C4A">
        <w:rPr>
          <w:rFonts w:ascii="Arial" w:eastAsia="Calibri" w:hAnsi="Arial" w:cs="Arial"/>
          <w:sz w:val="24"/>
          <w:szCs w:val="24"/>
        </w:rPr>
        <w:t xml:space="preserve">. The use of global metabolite and protein profiling using systematic approaches, including NMR and LC-MS/MS, are becoming increasingly popular. However, to date, there are no agreed standardised published protocols available for collection and processing of SF for these platforms with reproducibility of on-bead digestions of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used for peptide-based depletion, yet to be investigated.</w:t>
      </w:r>
    </w:p>
    <w:p w14:paraId="352DE26F" w14:textId="054ED719"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Centrifugation of SF prior to freezing, removing cells and cellular debris, resulted in a distinct metabolome compared to SF which did not go through this processing step. It would therefore be recommended to undertake NMR </w:t>
      </w:r>
      <w:proofErr w:type="spellStart"/>
      <w:r w:rsidRPr="00116C4A">
        <w:rPr>
          <w:rFonts w:ascii="Arial" w:eastAsia="Calibri" w:hAnsi="Arial" w:cs="Arial"/>
          <w:sz w:val="24"/>
          <w:szCs w:val="24"/>
        </w:rPr>
        <w:t>metabolomic</w:t>
      </w:r>
      <w:proofErr w:type="spellEnd"/>
      <w:r w:rsidRPr="00116C4A">
        <w:rPr>
          <w:rFonts w:ascii="Arial" w:eastAsia="Calibri" w:hAnsi="Arial" w:cs="Arial"/>
          <w:sz w:val="24"/>
          <w:szCs w:val="24"/>
        </w:rPr>
        <w:t xml:space="preserve"> analysis on cellular-free SF, avoiding the variation and distinct changes that cell lysis and analysis of cellular contents that may incur on the SF metabolome. This current protocol is however unlikely to remove </w:t>
      </w:r>
      <w:proofErr w:type="spellStart"/>
      <w:r w:rsidRPr="00116C4A">
        <w:rPr>
          <w:rFonts w:ascii="Arial" w:eastAsia="Calibri" w:hAnsi="Arial" w:cs="Arial"/>
          <w:sz w:val="24"/>
          <w:szCs w:val="24"/>
        </w:rPr>
        <w:t>microvesicles</w:t>
      </w:r>
      <w:proofErr w:type="spellEnd"/>
      <w:r w:rsidRPr="00116C4A">
        <w:rPr>
          <w:rFonts w:ascii="Arial" w:eastAsia="Calibri" w:hAnsi="Arial" w:cs="Arial"/>
          <w:sz w:val="24"/>
          <w:szCs w:val="24"/>
        </w:rPr>
        <w:t xml:space="preserve">, with a longer and faster centrifugation stage required to achieve this. Further work is required to investigate how the inclusion/exclusion of </w:t>
      </w:r>
      <w:proofErr w:type="spellStart"/>
      <w:r w:rsidRPr="00116C4A">
        <w:rPr>
          <w:rFonts w:ascii="Arial" w:eastAsia="Calibri" w:hAnsi="Arial" w:cs="Arial"/>
          <w:sz w:val="24"/>
          <w:szCs w:val="24"/>
        </w:rPr>
        <w:t>microvesicles</w:t>
      </w:r>
      <w:proofErr w:type="spellEnd"/>
      <w:r w:rsidRPr="00116C4A">
        <w:rPr>
          <w:rFonts w:ascii="Arial" w:eastAsia="Calibri" w:hAnsi="Arial" w:cs="Arial"/>
          <w:sz w:val="24"/>
          <w:szCs w:val="24"/>
        </w:rPr>
        <w:t xml:space="preserve"> would subsequently affect the SF metabolome. Different freezing method protocols did not result in distinct metabolic profiles, however snap freezing with liquid nitrogen was found to be the most consistent. Snap freezing with liquid nitrogen would therefore be the recommended gold standard freezing method for future studies. However, if SF has been frozen using a different method, it may be acceptable to be included within the same study, provided that cellular material was removed prior to freezing. It should though be noted that freezing methods not involving liquid nitrogen will result in greater </w:t>
      </w:r>
      <w:r w:rsidRPr="00116C4A">
        <w:rPr>
          <w:rFonts w:ascii="Arial" w:eastAsia="Calibri" w:hAnsi="Arial" w:cs="Arial"/>
          <w:sz w:val="24"/>
          <w:szCs w:val="24"/>
        </w:rPr>
        <w:lastRenderedPageBreak/>
        <w:t xml:space="preserve">variation which may affect study results. It has also been found that storage of SF at low temperature for prolonged periods can alter the biochemical profile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{"citationItems":[{"id":"ITEM-1","itemData":{"ISSN":"0315-162X","PMID":"10743820","abstract":"OBJECTIVE To investigate the effect of freeze/thaw and low temperature storage on the biomolecular profile of human synovial fluid (SF) using high resolution (500 MHz 1H) magnetic resonance spectroscopy (MRS). METHODS SF was collected from 12 patients undergoing arthroscopic debridement for treatment of moderate osteoarthritis (OA). Six of the larger samples were divided into 5 parts and treated as follows: the first was analyzed with spin-echo MRS soon after arthroscopy (&lt; 24 h); the 2nd, 3rd, and 4th parts were frozen (-75 degrees C) and thawed for a total of one, 5, and 10 freeze/thaw cycles, respectively, followed by MRS analysis; the 5th part was kept in -75 degrees C storage for &gt; or = 1 year before MRS processing. The 6 smaller samples were divided into 2 parts, the first analyzed shortly after extraction (&lt; or = 24 h), while the 2nd was processed after storage at -75 degrees C for &gt; or = 1 year. Changes in measured metabolite levels were tested for significance using paired t tests. RESULTS Freeze-thaw cycling had no statistically significant effect on the relative concentrations of endogenous metabolites measured by MRS, though it did alter individual sample results. Prolonged low temperature storage resulted in a significant drop (p &lt; 0.05) in the signal intensities of glucose (45%), N-acetyl glycoproteins (39%), CH2-chain and CH3-terminal and resonances of lipoproteins (46 and 37%, respectively), valine (43%), leucine (35%), and isoleucine (43%). CONCLUSION This study raises questions about routine procedures that may inadvertently affect the outcomes of quantitative SF analyses. Extended low temperature storage should be avoided as it permanently alters the biochemical profile of SF, possibly leading to erroneous conclusions about the nature of OA related changes in metabolite levels with disease progression.","author":[{"dropping-particle":"","family":"Damyanovich","given":"A Z","non-dropping-particle":"","parse-names":false,"suffix":""},{"dropping-particle":"","family":"Staples","given":"J R","non-dropping-particle":"","parse-names":false,"suffix":""},{"dropping-particle":"","family":"Marshall","given":"K W","non-dropping-particle":"","parse-names":false,"suffix":""}],"container-title":"The Journal of rheumatology","id":"ITEM-1","issue":"3","issued":{"date-parts":[["2000","3"]]},"page":"746-52","title":"The effects of freeze/thawing on human synovial fluid observed by 500 MHz 1H magnetic resonance spectroscopy.","type":"article-journal","volume":"27"},"uris":["http://www.mendeley.com/documents/?uuid=5e560d1c-abd6-36cd-8b4e-611e8b3a20eb"]}],"mendeley":{"formattedCitation":"&lt;sup&gt;22&lt;/sup&gt;","plainTextFormattedCitation":"22","previouslyFormattedCitation":"&lt;sup&gt;21&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22</w:t>
      </w:r>
      <w:r w:rsidRPr="00116C4A">
        <w:rPr>
          <w:rFonts w:ascii="Arial" w:eastAsia="Calibri" w:hAnsi="Arial" w:cs="Arial"/>
          <w:sz w:val="24"/>
          <w:szCs w:val="24"/>
        </w:rPr>
        <w:fldChar w:fldCharType="end"/>
      </w:r>
      <w:r w:rsidRPr="00116C4A">
        <w:rPr>
          <w:rFonts w:ascii="Arial" w:eastAsia="Calibri" w:hAnsi="Arial" w:cs="Arial"/>
          <w:sz w:val="24"/>
          <w:szCs w:val="24"/>
        </w:rPr>
        <w:t>. Therefore, to optimise study design when freezing is required, analysed SF should be stored for similar periods of time prior to analysis, with this time period kept to a minimum. Using the centrifugation and liquid nitrogen freezing protocol described in this study, we have also demonstrated this method to be reproducible in identifying consistent separate SF metabolite profiles for individual equine donors.</w:t>
      </w:r>
    </w:p>
    <w:p w14:paraId="1888662A" w14:textId="6635D9EF" w:rsidR="009914A8"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Hyaluronidase breaks down hyaluronic acid and chondroitin sulphate through the cleavage of β-N-</w:t>
      </w:r>
      <w:proofErr w:type="spellStart"/>
      <w:r w:rsidRPr="00116C4A">
        <w:rPr>
          <w:rFonts w:ascii="Arial" w:eastAsia="Calibri" w:hAnsi="Arial" w:cs="Arial"/>
          <w:sz w:val="24"/>
          <w:szCs w:val="24"/>
        </w:rPr>
        <w:t>acetylhexosamine</w:t>
      </w:r>
      <w:proofErr w:type="spellEnd"/>
      <w:r w:rsidRPr="00116C4A">
        <w:rPr>
          <w:rFonts w:ascii="Arial" w:eastAsia="Calibri" w:hAnsi="Arial" w:cs="Arial"/>
          <w:sz w:val="24"/>
          <w:szCs w:val="24"/>
        </w:rPr>
        <w:t>-(1,4)-</w:t>
      </w:r>
      <w:proofErr w:type="spellStart"/>
      <w:r w:rsidRPr="00116C4A">
        <w:rPr>
          <w:rFonts w:ascii="Arial" w:eastAsia="Calibri" w:hAnsi="Arial" w:cs="Arial"/>
          <w:sz w:val="24"/>
          <w:szCs w:val="24"/>
        </w:rPr>
        <w:t>glycosidic</w:t>
      </w:r>
      <w:proofErr w:type="spellEnd"/>
      <w:r w:rsidRPr="00116C4A">
        <w:rPr>
          <w:rFonts w:ascii="Arial" w:eastAsia="Calibri" w:hAnsi="Arial" w:cs="Arial"/>
          <w:sz w:val="24"/>
          <w:szCs w:val="24"/>
        </w:rPr>
        <w:t xml:space="preserve"> bonds, causing extracellular matrix breakdown and reduced SF viscosity, resulting in an increased number of protein identifications during LC-MS/MS analysis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10.1021/cr050247k","ISSN":"0009-2665","PMID":"16522010","author":[{"dropping-particle":"","family":"Stern","given":"Robert","non-dropping-particle":"","parse-names":false,"suffix":""},{"dropping-particle":"","family":"Jedrzejas","given":"Mark J","non-dropping-particle":"","parse-names":false,"suffix":""}],"container-title":"Chemical reviews","id":"ITEM-1","issue":"3","issued":{"date-parts":[["2006","3"]]},"page":"818-39","publisher":"NIH Public Access","title":"Hyaluronidases: their genomics, structures, and mechanisms of action.","type":"article-journal","volume":"106"},"uris":["http://www.mendeley.com/documents/?uuid=892f8bde-8fbd-3fcb-93b6-7fa0ae832033"]},{"id":"ITEM-2","itemData":{"DOI":"10.1093/rheumatology/kel060","ISSN":"1462-0332","author":[{"dropping-particle":"","family":"Catterall","given":"J. B.","non-dropping-particle":"","parse-names":false,"suffix":""},{"dropping-particle":"","family":"Rowan","given":"A. D.","non-dropping-particle":"","parse-names":false,"suffix":""},{"dropping-particle":"","family":"Sarsfield","given":"S.","non-dropping-particle":"","parse-names":false,"suffix":""},{"dropping-particle":"","family":"Saklatvala","given":"J.","non-dropping-particle":"","parse-names":false,"suffix":""},{"dropping-particle":"","family":"Wait","given":"R.","non-dropping-particle":"","parse-names":false,"suffix":""},{"dropping-particle":"","family":"Cawston","given":"T. E.","non-dropping-particle":"","parse-names":false,"suffix":""}],"container-title":"Rheumatology","id":"ITEM-2","issue":"9","issued":{"date-parts":[["2006","9","1"]]},"page":"1101-1109","publisher":"Oxford University Press","title":"Development of a novel 2D proteomics approach for the identification of proteins secreted by primary chondrocytes after stimulation by IL-1 and oncostatin M","type":"article-journal","volume":"45"},"uris":["http://www.mendeley.com/documents/?uuid=fddc1b4c-55b2-3778-b049-9673965aebe9"]}],"mendeley":{"formattedCitation":"&lt;sup&gt;50,51&lt;/sup&gt;","plainTextFormattedCitation":"50,51","previouslyFormattedCitation":"&lt;sup&gt;49,50&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50,51</w:t>
      </w:r>
      <w:r w:rsidRPr="00116C4A">
        <w:rPr>
          <w:rFonts w:ascii="Arial" w:eastAsia="Calibri" w:hAnsi="Arial" w:cs="Arial"/>
          <w:sz w:val="24"/>
          <w:szCs w:val="24"/>
        </w:rPr>
        <w:fldChar w:fldCharType="end"/>
      </w:r>
      <w:r w:rsidRPr="00116C4A">
        <w:rPr>
          <w:rFonts w:ascii="Arial" w:eastAsia="Calibri" w:hAnsi="Arial" w:cs="Arial"/>
          <w:sz w:val="24"/>
          <w:szCs w:val="24"/>
        </w:rPr>
        <w:t>. During this study, treatment with 0.75 µg/ml hyaluronidase resulted in sufficient digestion of hyaluronic acid, enabling efficient centrifugation through a 0.22 µm pore cellulose acetate membrane. In order to ensure complete digestion however, a treatment protocol of 1 µg/ml hyaluronidase would be recommended. However, during this study the effect on the number of proteins identified for each hyaluronidase concentration was not investigated. This therefore may be a relevant area for future study.</w:t>
      </w:r>
      <w:r w:rsidR="00DD3A89">
        <w:rPr>
          <w:rFonts w:ascii="Arial" w:eastAsia="Calibri" w:hAnsi="Arial" w:cs="Arial"/>
          <w:sz w:val="24"/>
          <w:szCs w:val="24"/>
        </w:rPr>
        <w:t xml:space="preserve"> </w:t>
      </w:r>
      <w:r w:rsidR="0071784F">
        <w:rPr>
          <w:rFonts w:ascii="Arial" w:eastAsia="Calibri" w:hAnsi="Arial" w:cs="Arial"/>
          <w:sz w:val="24"/>
          <w:szCs w:val="24"/>
        </w:rPr>
        <w:t>Within this study h</w:t>
      </w:r>
      <w:r w:rsidR="00DD3A89">
        <w:rPr>
          <w:rFonts w:ascii="Arial" w:eastAsia="Calibri" w:hAnsi="Arial" w:cs="Arial"/>
          <w:sz w:val="24"/>
          <w:szCs w:val="24"/>
        </w:rPr>
        <w:t xml:space="preserve">yaluronidase treatment </w:t>
      </w:r>
      <w:r w:rsidR="00B23866">
        <w:rPr>
          <w:rFonts w:ascii="Arial" w:eastAsia="Calibri" w:hAnsi="Arial" w:cs="Arial"/>
          <w:sz w:val="24"/>
          <w:szCs w:val="24"/>
        </w:rPr>
        <w:t>was</w:t>
      </w:r>
      <w:r w:rsidR="00DD3A89">
        <w:rPr>
          <w:rFonts w:ascii="Arial" w:eastAsia="Calibri" w:hAnsi="Arial" w:cs="Arial"/>
          <w:sz w:val="24"/>
          <w:szCs w:val="24"/>
        </w:rPr>
        <w:t xml:space="preserve"> </w:t>
      </w:r>
      <w:r w:rsidR="00891812">
        <w:rPr>
          <w:rFonts w:ascii="Arial" w:eastAsia="Calibri" w:hAnsi="Arial" w:cs="Arial"/>
          <w:sz w:val="24"/>
          <w:szCs w:val="24"/>
        </w:rPr>
        <w:t>conducted following thawing of frozen SF</w:t>
      </w:r>
      <w:r w:rsidR="00B23866">
        <w:rPr>
          <w:rFonts w:ascii="Arial" w:eastAsia="Calibri" w:hAnsi="Arial" w:cs="Arial"/>
          <w:sz w:val="24"/>
          <w:szCs w:val="24"/>
        </w:rPr>
        <w:t>. Th</w:t>
      </w:r>
      <w:r w:rsidR="00D24C44">
        <w:rPr>
          <w:rFonts w:ascii="Arial" w:eastAsia="Calibri" w:hAnsi="Arial" w:cs="Arial"/>
          <w:sz w:val="24"/>
          <w:szCs w:val="24"/>
        </w:rPr>
        <w:t xml:space="preserve">erefore </w:t>
      </w:r>
      <w:r w:rsidR="009914A8">
        <w:rPr>
          <w:rFonts w:ascii="Arial" w:eastAsia="Calibri" w:hAnsi="Arial" w:cs="Arial"/>
          <w:sz w:val="24"/>
          <w:szCs w:val="24"/>
        </w:rPr>
        <w:t xml:space="preserve">downstream NMR metabolomics and LC-MS/MS proteomics analysis can be conducted on the same frozen SF samples, given the collection and processing protocols are identical until </w:t>
      </w:r>
      <w:r w:rsidR="00E84787">
        <w:rPr>
          <w:rFonts w:ascii="Arial" w:eastAsia="Calibri" w:hAnsi="Arial" w:cs="Arial"/>
          <w:sz w:val="24"/>
          <w:szCs w:val="24"/>
        </w:rPr>
        <w:t>freezing</w:t>
      </w:r>
      <w:r w:rsidR="009914A8">
        <w:rPr>
          <w:rFonts w:ascii="Arial" w:eastAsia="Calibri" w:hAnsi="Arial" w:cs="Arial"/>
          <w:sz w:val="24"/>
          <w:szCs w:val="24"/>
        </w:rPr>
        <w:t>.</w:t>
      </w:r>
    </w:p>
    <w:p w14:paraId="11824F6C" w14:textId="1480E4FD"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Small-capacity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kits recommend a minimum protein loading of 10 mg. However, with a maximum loading capacity of 1 ml, as SF protein concentrations are often less than 10 mg/ml (particularly for post mortem samples) this threshold for protein loading can often not be met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{"citationItems":[{"id":"ITEM-1","itemData":{"ISSN":"2090-6277","abstract":"Gesehen am 15.02.12","author":[{"dropping-particle":"","family":"Yahia","given":"Doha","non-dropping-particle":"","parse-names":false,"suffix":""},{"dropping-particle":"","family":"El-Hakiem","given":"Mohammed","non-dropping-particle":"","parse-names":false,"suffix":""}],"container-title":"Journal of Advanced Veterinary Research","id":"ITEM-1","issue":"1","issued":{"date-parts":[["2014","1","1"]]},"page":"6-11","title":"Biochemical Analysis of Synovial Fluid, Cerebrospinal Fluid and Vitreous Humor at Early Postmortem Intervals in Donkeys","type":"article-journal","volume":"4"},"uris":["http://www.mendeley.com/documents/?uuid=40e07c23-9689-3263-957a-afc5d456a2a6"]}],"mendeley":{"formattedCitation":"&lt;sup&gt;52&lt;/sup&gt;","plainTextFormattedCitation":"52","previouslyFormattedCitation":"&lt;sup&gt;51&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52</w:t>
      </w:r>
      <w:r w:rsidRPr="00116C4A">
        <w:rPr>
          <w:rFonts w:ascii="Arial" w:eastAsia="Calibri" w:hAnsi="Arial" w:cs="Arial"/>
          <w:sz w:val="24"/>
          <w:szCs w:val="24"/>
        </w:rPr>
        <w:fldChar w:fldCharType="end"/>
      </w:r>
      <w:r w:rsidRPr="00116C4A">
        <w:rPr>
          <w:rFonts w:ascii="Arial" w:eastAsia="Calibri" w:hAnsi="Arial" w:cs="Arial"/>
          <w:sz w:val="24"/>
          <w:szCs w:val="24"/>
        </w:rPr>
        <w:t xml:space="preserve">. Neither initial loading of 5 </w:t>
      </w:r>
      <w:r w:rsidRPr="00116C4A">
        <w:rPr>
          <w:rFonts w:ascii="Arial" w:eastAsia="Calibri" w:hAnsi="Arial" w:cs="Arial"/>
          <w:sz w:val="24"/>
          <w:szCs w:val="24"/>
        </w:rPr>
        <w:lastRenderedPageBreak/>
        <w:t xml:space="preserve">mg of protein followed by a repeated 5 mg protein load nor reloading of the resultant column flow-through led to an elevation in the number of identified proteins. However, reduced protein loads of 1 mg, 2.5 mg and 5 mg were all found to significantly increase the number of proteins identified, with a 2.5 mg load also shown to be of acceptable reproducibility when undergoing an on-bead protein digestion protocol. Thus, the small-capacity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kit is still compatible with SF to achieve protein concentration dynamic range reductions, despite there being sub-optimal protein loading.</w:t>
      </w:r>
    </w:p>
    <w:p w14:paraId="4F2D9F13" w14:textId="130E478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As expected, for both native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longer LC gradients resulted in an increased number of protein identifications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{"citationItems":[{"id":"ITEM-1","itemData":{"DOI":"10.1007/s13361-012-0508-6","abstract":"Reversed-phase liquid chromatography is the most commonly used separation method for shotgun proteomics. Nanoflow chromatography has emerged as the preferred chromatography method for its increased sensitivity and separation. Despite its common use, there are a wide range of parameters and conditions used across research groups. These parameters have an effect on the quality of the chromatographic separation, which is critical to maximizing the number of peptide identifications and minimizing ion suppression. Here we examined the relationship between column lengths, gradient lengths, peptide identifications, and peptide peak capacity. We found that while longer column and gradient lengths generally increase peptide identifications, the degree of improvement is dependent on both parameters and is diminished at longer column and gradients. Peak capacity, in comparison, showed a more linear increase with column and gradient lengths. We discuss the discrepancy between these two results and some of the considerations that should be taken into account when deciding on the chromatographic conditions for a proteomics experiment.","author":[{"dropping-particle":"","family":"Hsieh","given":"Edward J","non-dropping-particle":"","parse-names":false,"suffix":""},{"dropping-particle":"","family":"Bereman","given":"Michael S","non-dropping-particle":"","parse-names":false,"suffix":""},{"dropping-particle":"","family":"Durand","given":"Stanley","non-dropping-particle":"","parse-names":false,"suffix":""},{"dropping-particle":"","family":"Valaskovic","given":"Gary A","non-dropping-particle":"","parse-names":false,"suffix":""},{"dropping-particle":"","family":"Maccoss","given":"Michael J","non-dropping-particle":"","parse-names":false,"suffix":""}],"container-title":"J. Am. Soc. Mass Spectrom","id":"ITEM-1","issued":{"date-parts":[["2013"]]},"page":"148-153","title":"Effects of Column and Gradient Lengths on Peak Capacity and Peptide Identification in Nanoflow LC-MS/MS of Complex Proteomic Samples","type":"article-journal","volume":"24"},"uris":["http://www.mendeley.com/documents/?uuid=c0398521-a13c-345d-a009-ddb4a18f06fb"]}],"mendeley":{"formattedCitation":"&lt;sup&gt;53&lt;/sup&gt;","plainTextFormattedCitation":"53","previouslyFormattedCitation":"&lt;sup&gt;52&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53</w:t>
      </w:r>
      <w:r w:rsidRPr="00116C4A">
        <w:rPr>
          <w:rFonts w:ascii="Arial" w:eastAsia="Calibri" w:hAnsi="Arial" w:cs="Arial"/>
          <w:sz w:val="24"/>
          <w:szCs w:val="24"/>
        </w:rPr>
        <w:fldChar w:fldCharType="end"/>
      </w:r>
      <w:r w:rsidRPr="00116C4A">
        <w:rPr>
          <w:rFonts w:ascii="Arial" w:eastAsia="Calibri" w:hAnsi="Arial" w:cs="Arial"/>
          <w:sz w:val="24"/>
          <w:szCs w:val="24"/>
        </w:rPr>
        <w:t xml:space="preserve">. For native SF a 120 min LC gradient resulted in only a small increase in the number of proteins identified compared to a 90 min LC gradient, 166 compared to 153 proteins. As this small increase in protein identifications is likely to include less abundant proteins, which will also be identified within the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samples, if native and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are to be analysed within the same study, a 90 min LC gradient is sufficient for native SF analysis. For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processed SF however, a 120 min gradient identified substantially more proteins than a 90 min gradient and thus this would be a recommended gradient length for this sample type.</w:t>
      </w:r>
    </w:p>
    <w:p w14:paraId="243C88A0" w14:textId="2B694903"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Quantitative proteomic study approaches have become an important methodology for biomarker discovery within complex biological samples</w:t>
      </w:r>
      <w:r w:rsidR="00F757CE">
        <w:rPr>
          <w:rFonts w:ascii="Arial" w:eastAsia="Calibri" w:hAnsi="Arial" w:cs="Arial"/>
          <w:sz w:val="24"/>
          <w:szCs w:val="24"/>
        </w:rPr>
        <w:t xml:space="preserve"> </w:t>
      </w:r>
      <w:r w:rsidR="00F757CE">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{"citationItems":[{"id":"ITEM-1","itemData":{"DOI":"10.1002/jms.3932","ISSN":"10765174","PMID":"28418607","abstract":"Proteins can provide insights into biological processes at the functional level, so they are very promising biomarker candidates. The quantification of proteins in biological samples has been routinely used for the diagnosis of diseases and monitoring the treatment. Although large-scale protein quantification in complex samples is still a challenging task, a great amount of effort has been made to advance the technologies that enable quantitative proteomics. Seven years ago, in 2009, we wrote an article about the current trends in quantitative proteomics. In writing this current paper, we realized that, today, we have an even wider selection of potential tools for quantitative proteomics. These tools include new derivatization reagents, novel sampling formats, new types of analyzers and scanning techniques, and recently developed software to assist in assay development and data analysis. In this review article, we will discuss these innovative methods, and their current and potential applications in proteomics. Copyright © 2017 John Wiley &amp; Sons, Ltd.","author":[{"dropping-particle":"","family":"Li","given":"H.","non-dropping-particle":"","parse-names":false,"suffix":""},{"dropping-particle":"","family":"Han","given":"J.","non-dropping-particle":"","parse-names":false,"suffix":""},{"dropping-particle":"","family":"Pan","given":"J.","non-dropping-particle":"","parse-names":false,"suffix":""},{"dropping-particle":"","family":"Liu","given":"T.","non-dropping-particle":"","parse-names":false,"suffix":""},{"dropping-particle":"","family":"Parker","given":"C. E.","non-dropping-particle":"","parse-names":false,"suffix":""},{"dropping-particle":"","family":"Borchers","given":"C. H.","non-dropping-particle":"","parse-names":false,"suffix":""}],"container-title":"Journal of Mass Spectrometry","id":"ITEM-1","issue":"5","issued":{"date-parts":[["2017","5"]]},"page":"319-341","title":"Current trends in quantitative proteomics - an update","type":"article-journal","volume":"52"},"uris":["http://www.mendeley.com/documents/?uuid=997d36b2-8add-38e3-8851-00ec38d5e96a"]}],"mendeley":{"formattedCitation":"&lt;sup&gt;54&lt;/sup&gt;","plainTextFormattedCitation":"54","previouslyFormattedCitation":"&lt;sup&gt;53&lt;/sup&gt;"},"properties":{"noteIndex":0},"schema":"https://github.com/citation-style-language/schema/raw/master/csl-citation.json"}</w:instrText>
      </w:r>
      <w:r w:rsidR="00F757CE">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54</w:t>
      </w:r>
      <w:r w:rsidR="00F757CE">
        <w:rPr>
          <w:rFonts w:ascii="Arial" w:eastAsia="Calibri" w:hAnsi="Arial" w:cs="Arial"/>
          <w:sz w:val="24"/>
          <w:szCs w:val="24"/>
        </w:rPr>
        <w:fldChar w:fldCharType="end"/>
      </w:r>
      <w:r w:rsidRPr="00116C4A">
        <w:rPr>
          <w:rFonts w:ascii="Arial" w:eastAsia="Calibri" w:hAnsi="Arial" w:cs="Arial"/>
          <w:sz w:val="24"/>
          <w:szCs w:val="24"/>
        </w:rPr>
        <w:t xml:space="preserve">. However, due to the multivariate nature of sample analysis, a large number of biological replicates are required in order to achieve an adequately powered study. Thus, when undertaking LC-MS/MS, analysing sufficient samples to achieve adequate study power can be cost prohibitive. Within this study, peptide carry-over onto the following sample run was found to be minimal and resultant sample contamination can therefore be </w:t>
      </w:r>
      <w:r w:rsidRPr="00116C4A">
        <w:rPr>
          <w:rFonts w:ascii="Arial" w:eastAsia="Calibri" w:hAnsi="Arial" w:cs="Arial"/>
          <w:sz w:val="24"/>
          <w:szCs w:val="24"/>
        </w:rPr>
        <w:lastRenderedPageBreak/>
        <w:t>considered insignificant. Inclusion of a ‘blank’ sample prior to the following run did result in a reduced number of peptides carried over and a reduced carry-over percentage of those identified, although these decreases were minimal. Thus, a gold standard approach would be to include a ‘blank’ sample in between acquired sample spectra. However, excluding inter-sample blanks will have a minimal impact on experimental analysis and may allow for an increased n number within experimental groups and subsequently a higher powered study and more robust statistical analysis.</w:t>
      </w:r>
    </w:p>
    <w:p w14:paraId="41522B1B" w14:textId="71EE9A1A"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For all parameters investigated during this study, pre-digestion with Lys-C prior to tryptic digestion resulted in improved on-bead digestion, </w:t>
      </w:r>
      <w:r w:rsidR="007F4092">
        <w:rPr>
          <w:rFonts w:ascii="Arial" w:eastAsia="Calibri" w:hAnsi="Arial" w:cs="Arial"/>
          <w:sz w:val="24"/>
          <w:szCs w:val="24"/>
        </w:rPr>
        <w:t xml:space="preserve">irrespective </w:t>
      </w:r>
      <w:r w:rsidR="007F4092" w:rsidRPr="00116C4A">
        <w:rPr>
          <w:rFonts w:ascii="Arial" w:eastAsia="Calibri" w:hAnsi="Arial" w:cs="Arial"/>
          <w:sz w:val="24"/>
          <w:szCs w:val="24"/>
        </w:rPr>
        <w:t>of</w:t>
      </w:r>
      <w:r w:rsidRPr="00116C4A">
        <w:rPr>
          <w:rFonts w:ascii="Arial" w:eastAsia="Calibri" w:hAnsi="Arial" w:cs="Arial"/>
          <w:sz w:val="24"/>
          <w:szCs w:val="24"/>
        </w:rPr>
        <w:t xml:space="preserve"> the tryptic digestion protocol involved. Lys-C digestion resulted in a reduction of undigested proteins bound to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beads, a reduction in the number of peptide missed cleavages, improved reproducibility of tryptic peptide quantification and an increased number of protein identifications. Any of the protocols investigated during this study which included a Lys-C pre-digestion step would be acceptable for SF proteome analysis. Although a 16hr Lys-C + 16hr + 2hr trypsin protocol produced the highest number of protein identifications, despite a longer Lys-C incubation time, undigested bound proteins remained bound to the beads which may introduce variability. Although the reason for increased binding of undigested proteins following a 16hr Lys-C digestion compared to 4hr is unknown. 4hr Lys-C + 16hr trypsin on-bead digestion protocols followed by 2hr trypsin digestion (on-bead and in solution) or 16hr trypsin in solution digestion all resulted in minimal levels of undigested proteins remaining bound to the beads. A second 16hr in-solution digestion did not result in an overall increase in the number of identified proteins. Therefore, our recommended </w:t>
      </w:r>
      <w:r w:rsidRPr="00116C4A">
        <w:rPr>
          <w:rFonts w:ascii="Arial" w:eastAsia="Calibri" w:hAnsi="Arial" w:cs="Arial"/>
          <w:sz w:val="24"/>
          <w:szCs w:val="24"/>
        </w:rPr>
        <w:lastRenderedPageBreak/>
        <w:t xml:space="preserve">on-bead digestion protocol would be a 4hr Lys-C pre-digestion + 16hr tryptic digestion followed by a 2hr trypsin supplementation, either on-bead or in-solution. </w:t>
      </w:r>
    </w:p>
    <w:p w14:paraId="084C8181"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Reproducibility of quantifying tryptic peptides following protein concentration dynamic range compression of SF via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on-bead digestion has not previously been investigated. Although reproducibility decreased compared to native SF, as expected given the additional selective processing stage, reproducibility was still sufficient to retain confidence in this processing step and is certainly advantageous for biomarker discovery given the increased number of peptides identified. As LC-MS/MS analysis of SF is primarily used for discovery investigations, validation of native SF using orthologous methodologies, including Western blotting and enzyme-linked immunosorbent assays, would also provide greater confidence in the results.</w:t>
      </w:r>
    </w:p>
    <w:p w14:paraId="7A10EB68" w14:textId="4AAADB72"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Semi-tryptic peptides are of interest within SF as increased enzymatic activity and cartilage breakdown during </w:t>
      </w:r>
      <w:proofErr w:type="spellStart"/>
      <w:r w:rsidRPr="00116C4A">
        <w:rPr>
          <w:rFonts w:ascii="Arial" w:eastAsia="Calibri" w:hAnsi="Arial" w:cs="Arial"/>
          <w:sz w:val="24"/>
          <w:szCs w:val="24"/>
        </w:rPr>
        <w:t>arthropathies</w:t>
      </w:r>
      <w:proofErr w:type="spellEnd"/>
      <w:r w:rsidRPr="00116C4A">
        <w:rPr>
          <w:rFonts w:ascii="Arial" w:eastAsia="Calibri" w:hAnsi="Arial" w:cs="Arial"/>
          <w:sz w:val="24"/>
          <w:szCs w:val="24"/>
        </w:rPr>
        <w:t xml:space="preserve">, such as OA, lead to peptide degradation products which have potential as a diagnostic aid and disease stratification tool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{"citationItems":[{"id":"ITEM-1","itemData":{"DOI":"10.1136/annrheumdis-2013-203726","ISSN":"1468-2060","PMID":"23897772","abstract":"Osteoarthritis affects the whole joint structure with progressive changes in cartilage, menisci, ligaments and subchondral bone, and synovial inflammation. Biomarkers are being developed to quantify joint remodelling and disease progression. This article was prepared following a working meeting of the European Society for Clinical and Economic Aspects of Osteoporosis and Osteoarthritis convened to discuss the value of biochemical markers of matrix metabolism in drug development in osteoarthritis. The best candidates are generally molecules or molecular fragments present in cartilage, bone or synovium and may be specific to one type of joint tissue or common to them all. Many currently investigated biomarkers are associated with collagen metabolism in cartilage or bone, or aggrecan metabolism in cartilage. Other biomarkers are related to non-collagenous proteins, inflammation and/or fibrosis. Biomarkers in osteoarthritis can be categorised using the burden of disease, investigative, prognostic, efficacy of intervention, diagnostic and safety classification. There are a number of promising candidates, notably urinary C-terminal telopeptide of collagen type II and serum cartilage oligomeric protein, although none is sufficiently discriminating to differentiate between individual patients and controls (diagnostic) or between patients with different disease severities (burden of disease), predict prognosis in individuals with or without osteoarthritis (prognostic) or perform so consistently that it could function as a surrogate outcome in clinical trials (efficacy of intervention). Future avenues for research include exploration of underlying mechanisms of disease and development of new biomarkers; technological development; the 'omics' (genomics, metabolomics, proteomics and lipidomics); design of aggregate scores combining a panel of biomarkers and/or imaging markers into single diagnostic algorithms; and investigation into the relationship between biomarkers and prognosis.","author":[{"dropping-particle":"","family":"Lotz","given":"M","non-dropping-particle":"","parse-names":false,"suffix":""},{"dropping-particle":"","family":"Martel-Pelletier","given":"J","non-dropping-particle":"","parse-names":false,"suffix":""},{"dropping-particle":"","family":"Christiansen","given":"C","non-dropping-particle":"","parse-names":false,"suffix":""},{"dropping-particle":"","family":"Brandi","given":"M-L","non-dropping-particle":"","parse-names":false,"suffix":""},{"dropping-particle":"","family":"Bruyère","given":"O","non-dropping-particle":"","parse-names":false,"suffix":""},{"dropping-particle":"","family":"Chapurlat","given":"R","non-dropping-particle":"","parse-names":false,"suffix":""},{"dropping-particle":"","family":"Collette","given":"J","non-dropping-particle":"","parse-names":false,"suffix":""},{"dropping-particle":"","family":"Cooper","given":"C","non-dropping-particle":"","parse-names":false,"suffix":""},{"dropping-particle":"","family":"Giacovelli","given":"G","non-dropping-particle":"","parse-names":false,"suffix":""},{"dropping-particle":"","family":"Kanis","given":"J A","non-dropping-particle":"","parse-names":false,"suffix":""},{"dropping-particle":"","family":"Karsdal","given":"M A","non-dropping-particle":"","parse-names":false,"suffix":""},{"dropping-particle":"","family":"Kraus","given":"V","non-dropping-particle":"","parse-names":false,"suffix":""},{"dropping-particle":"","family":"Lems","given":"W F","non-dropping-particle":"","parse-names":false,"suffix":""},{"dropping-particle":"","family":"Meulenbelt","given":"I","non-dropping-particle":"","parse-names":false,"suffix":""},{"dropping-particle":"","family":"Pelletier","given":"J-P","non-dropping-particle":"","parse-names":false,"suffix":""},{"dropping-particle":"","family":"Raynauld","given":"J-P","non-dropping-particle":"","parse-names":false,"suffix":""},{"dropping-particle":"","family":"Reiter-Niesert","given":"S","non-dropping-particle":"","parse-names":false,"suffix":""},{"dropping-particle":"","family":"Rizzoli","given":"R","non-dropping-particle":"","parse-names":false,"suffix":""},{"dropping-particle":"","family":"Sandell","given":"L J","non-dropping-particle":"","parse-names":false,"suffix":""},{"dropping-particle":"","family":"Spil","given":"W E","non-dropping-particle":"Van","parse-names":false,"suffix":""},{"dropping-particle":"","family":"Reginster","given":"J-Y","non-dropping-particle":"","parse-names":false,"suffix":""}],"container-title":"Annals of the rheumatic diseases","id":"ITEM-1","issue":"11","issued":{"date-parts":[["2013","11","1"]]},"page":"1756-63","publisher":"BMJ Publishing Group Ltd","title":"Value of biomarkers in osteoarthritis: current status and perspectives.","type":"article-journal","volume":"72"},"uris":["http://www.mendeley.com/documents/?uuid=c347adf8-2b84-3d9a-b710-348bbe22376c"]}],"mendeley":{"formattedCitation":"&lt;sup&gt;55&lt;/sup&gt;","plainTextFormattedCitation":"55","previouslyFormattedCitation":"&lt;sup&gt;54&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55</w:t>
      </w:r>
      <w:r w:rsidRPr="00116C4A">
        <w:rPr>
          <w:rFonts w:ascii="Arial" w:eastAsia="Calibri" w:hAnsi="Arial" w:cs="Arial"/>
          <w:sz w:val="24"/>
          <w:szCs w:val="24"/>
        </w:rPr>
        <w:fldChar w:fldCharType="end"/>
      </w:r>
      <w:r w:rsidRPr="00116C4A">
        <w:rPr>
          <w:rFonts w:ascii="Arial" w:eastAsia="Calibri" w:hAnsi="Arial" w:cs="Arial"/>
          <w:sz w:val="24"/>
          <w:szCs w:val="24"/>
        </w:rPr>
        <w:t xml:space="preserve">. Of the protocols investigated, a 16hr + 2hr tryptic digestion of native SF and a 4hr on-bead tryptic digestion were found to be the most reproducible for semi-tryptic peptide quantification. Although these protocols resulted in the fewest semi-tryptic peptide identifications, increased confidence in the semi-tryptic peptides identified is more advantageous, particularly given the time, cost and technical difficulty involved in the development of monoclonal antibodies which might lead on from potential </w:t>
      </w:r>
      <w:proofErr w:type="spellStart"/>
      <w:r w:rsidRPr="00116C4A">
        <w:rPr>
          <w:rFonts w:ascii="Arial" w:eastAsia="Calibri" w:hAnsi="Arial" w:cs="Arial"/>
          <w:sz w:val="24"/>
          <w:szCs w:val="24"/>
        </w:rPr>
        <w:t>neopeptide</w:t>
      </w:r>
      <w:proofErr w:type="spellEnd"/>
      <w:r w:rsidRPr="00116C4A">
        <w:rPr>
          <w:rFonts w:ascii="Arial" w:eastAsia="Calibri" w:hAnsi="Arial" w:cs="Arial"/>
          <w:sz w:val="24"/>
          <w:szCs w:val="24"/>
        </w:rPr>
        <w:t xml:space="preserve"> discovery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{"citationItems":[{"id":"ITEM-1","itemData":{"author":[{"dropping-particle":"","family":"Caterson","given":"Bruce","non-dropping-particle":"","parse-names":false,"suffix":""},{"dropping-particle":"","family":"Baker","given":"John R.","non-dropping-particle":"","parse-names":false,"suffix":""},{"dropping-particle":"","family":"Christnerg","given":"James E.","non-dropping-particle":"","parse-names":false,"suffix":""},{"dropping-particle":"","family":"Leell","given":"Yun","non-dropping-particle":"","parse-names":false,"suffix":""},{"dropping-particle":"","family":"Lentzn","given":"Michael","non-dropping-particle":"","parse-names":false,"suffix":""}],"container-title":"The Journal of Biological Chemistry","id":"ITEM-1","issue":"19","issued":{"date-parts":[["1985"]]},"title":"Monoclonal Antibodies as Probes for Determining the Microheterogeneity of the Link Proteins of Cartilage Proteoglycan","type":"article-journal","volume":"260"},"uris":["http://www.mendeley.com/documents/?uuid=241bfd8b-ba3a-4bc1-858a-a1a713d044bd"]}],"mendeley":{"formattedCitation":"&lt;sup&gt;56&lt;/sup&gt;","plainTextFormattedCitation":"56","previouslyFormattedCitation":"&lt;sup&gt;55&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56</w:t>
      </w:r>
      <w:r w:rsidRPr="00116C4A">
        <w:rPr>
          <w:rFonts w:ascii="Arial" w:eastAsia="Calibri" w:hAnsi="Arial" w:cs="Arial"/>
          <w:sz w:val="24"/>
          <w:szCs w:val="24"/>
        </w:rPr>
        <w:fldChar w:fldCharType="end"/>
      </w:r>
      <w:r w:rsidRPr="00116C4A">
        <w:rPr>
          <w:rFonts w:ascii="Arial" w:eastAsia="Calibri" w:hAnsi="Arial" w:cs="Arial"/>
          <w:sz w:val="24"/>
          <w:szCs w:val="24"/>
        </w:rPr>
        <w:t xml:space="preserve">. Of these two protocols, a shorter, 4hr trypsin protocol would be recommended as longer trypsin incubations can lead to a greater number of non-specific cleavages which may potentially generate false positive biological semi-tryptic peptide identifications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{"citationItems":[{"id":"ITEM-1","itemData":{"DOI":"10.1021/pr4008442","ISSN":"1535-3893","abstract":"Workflows in bottom-up proteomics have traditionally implemented the use of proteolysis during sample preparation; enzymatic digestion is most commonly performed using trypsin. This results in the hydrolysis of peptide bonds forming tryptic peptides, which can then be subjected to LC–MS/MS analysis. While the structure, specificity, and kinetics of trypsin are well characterized, a lack of consensus and understanding has remained regarding fundamental parameters critical to obtaining optimal data from a proteomics experiment. These include the type of trypsin used, pH during digestion, incubation temperature as well as enzyme-to-substrate ratio. Through the use of design of experiments (DOE), we optimized these parameters, resulting in deeper proteome coverage and a greater dynamic range of measurement. The knowledge gained from optimization of a discovery-based proteomics experiment was applied to targeted LC–MS/MS experiments using protein cleavage-isotope dilution mass spectrometry for absolute quantif...","author":[{"dropping-particle":"","family":"Loziuk","given":"Philip L.","non-dropping-particle":"","parse-names":false,"suffix":""},{"dropping-particle":"","family":"Wang","given":"Jack","non-dropping-particle":"","parse-names":false,"suffix":""},{"dropping-particle":"","family":"Li","given":"Quanzi","non-dropping-particle":"","parse-names":false,"suffix":""},{"dropping-particle":"","family":"Sederoff","given":"Ronald R.","non-dropping-particle":"","parse-names":false,"suffix":""},{"dropping-particle":"","family":"Chiang","given":"Vincent L.","non-dropping-particle":"","parse-names":false,"suffix":""},{"dropping-particle":"","family":"Muddiman","given":"David C.","non-dropping-particle":"","parse-names":false,"suffix":""}],"container-title":"Journal of Proteome Research","id":"ITEM-1","issue":"12","issued":{"date-parts":[["2013","12","6"]]},"page":"5820-5829","publisher":"American Chemical Society","title":"Understanding the Role of Proteolytic Digestion on Discovery and Targeted Proteomic Measurements Using Liquid Chromatography Tandem Mass Spectrometry and Design of Experiments","type":"article-journal","volume":"12"},"uris":["http://www.mendeley.com/documents/?uuid=66b34be8-9eb8-385c-b07d-ca37f90bf875"]}],"mendeley":{"formattedCitation":"&lt;sup&gt;57&lt;/sup&gt;","plainTextFormattedCitation":"57","previouslyFormattedCitation":"&lt;sup&gt;56&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57</w:t>
      </w:r>
      <w:r w:rsidRPr="00116C4A">
        <w:rPr>
          <w:rFonts w:ascii="Arial" w:eastAsia="Calibri" w:hAnsi="Arial" w:cs="Arial"/>
          <w:sz w:val="24"/>
          <w:szCs w:val="24"/>
        </w:rPr>
        <w:fldChar w:fldCharType="end"/>
      </w:r>
      <w:r w:rsidRPr="00116C4A">
        <w:rPr>
          <w:rFonts w:ascii="Arial" w:eastAsia="Calibri" w:hAnsi="Arial" w:cs="Arial"/>
          <w:sz w:val="24"/>
          <w:szCs w:val="24"/>
        </w:rPr>
        <w:t xml:space="preserve">. Further validation of semi-tryptic peptides of interest would always be recommended, using a multiple reaction monitoring targeted </w:t>
      </w:r>
      <w:r w:rsidRPr="00116C4A">
        <w:rPr>
          <w:rFonts w:ascii="Arial" w:eastAsia="Calibri" w:hAnsi="Arial" w:cs="Arial"/>
          <w:sz w:val="24"/>
          <w:szCs w:val="24"/>
        </w:rPr>
        <w:lastRenderedPageBreak/>
        <w:t>MS/MS approach or carrying out digestion protocols in H</w:t>
      </w:r>
      <w:r w:rsidRPr="00116C4A">
        <w:rPr>
          <w:rFonts w:ascii="Arial" w:eastAsia="Calibri" w:hAnsi="Arial" w:cs="Arial"/>
          <w:sz w:val="24"/>
          <w:szCs w:val="24"/>
          <w:vertAlign w:val="subscript"/>
        </w:rPr>
        <w:t>2</w:t>
      </w:r>
      <w:r w:rsidRPr="00116C4A">
        <w:rPr>
          <w:rFonts w:ascii="Arial" w:eastAsia="Calibri" w:hAnsi="Arial" w:cs="Arial"/>
          <w:sz w:val="24"/>
          <w:szCs w:val="24"/>
          <w:vertAlign w:val="superscript"/>
        </w:rPr>
        <w:t>18</w:t>
      </w:r>
      <w:r w:rsidRPr="00116C4A">
        <w:rPr>
          <w:rFonts w:ascii="Arial" w:eastAsia="Calibri" w:hAnsi="Arial" w:cs="Arial"/>
          <w:sz w:val="24"/>
          <w:szCs w:val="24"/>
        </w:rPr>
        <w:t xml:space="preserve">O water to separate biological semi-tryptic peptides from those generated via </w:t>
      </w:r>
      <w:proofErr w:type="spellStart"/>
      <w:r w:rsidRPr="00116C4A">
        <w:rPr>
          <w:rFonts w:ascii="Arial" w:eastAsia="Calibri" w:hAnsi="Arial" w:cs="Arial"/>
          <w:sz w:val="24"/>
          <w:szCs w:val="24"/>
        </w:rPr>
        <w:t>miscleavages</w:t>
      </w:r>
      <w:proofErr w:type="spellEnd"/>
      <w:r w:rsidRPr="00116C4A">
        <w:rPr>
          <w:rFonts w:ascii="Arial" w:eastAsia="Calibri" w:hAnsi="Arial" w:cs="Arial"/>
          <w:sz w:val="24"/>
          <w:szCs w:val="24"/>
        </w:rPr>
        <w:t xml:space="preserve"> during tryptic digestion </w:t>
      </w:r>
      <w:r w:rsidRPr="00116C4A">
        <w:rPr>
          <w:rFonts w:ascii="Arial" w:eastAsia="Calibri" w:hAnsi="Arial" w:cs="Arial"/>
          <w:sz w:val="24"/>
          <w:szCs w:val="24"/>
        </w:rPr>
        <w:fldChar w:fldCharType="begin" w:fldLock="1"/>
      </w:r>
      <w:r w:rsidR="003E1EDC">
        <w:rPr>
          <w:rFonts w:ascii="Arial" w:eastAsia="Calibri" w:hAnsi="Arial" w:cs="Arial"/>
          <w:sz w:val="24"/>
          <w:szCs w:val="24"/>
        </w:rPr>
        <w:instrText>ADDIN CSL_CITATION {"citationItems":[{"id":"ITEM-1","itemData":{"DOI":"10.1002/1097-0231(20000730)14:14&lt;1226::AID-RCM14&gt;3.0.CO;2-V","ISSN":"0951-4198","PMID":"10918372","abstract":"A method for quantitating proteins and peptides in the low picomole and sub-picomole range has been developed using matrix-assisted laser desorption/ionization mass spectrometry (MALDI-MS) with internal (18)O-labeled standards. A simple procedure is proposed to produce such internal standards for the tested sample by enzymatic hydrolysis of the same sample (with known concentration) in (18)O-water. A mathematical algorithm was developed which uses the isotopic patterns of the substance, the internal standard, and the substance/internal standard mixture for accurate quantitation of the substance. A great advantages of the proposed method is the absence of molecular weight limitation for the protein quantitation and the possibility of quantitation without previous fractionation of proteins and peptides. Using this strategy, the peptide angiotensinogen and two proteins, RNase and its protein inhibitor, were quantified by MALDI-time-of-flight (TOF) mass spectrometry.","author":[{"dropping-particle":"","family":"Mirgorodskaya","given":"Olga A.","non-dropping-particle":"","parse-names":false,"suffix":""},{"dropping-particle":"","family":"Kozmin","given":"Yuri P.","non-dropping-particle":"","parse-names":false,"suffix":""},{"dropping-particle":"","family":"Titov","given":"Mikhail I.","non-dropping-particle":"","parse-names":false,"suffix":""},{"dropping-particle":"","family":"Körner","given":"Roman","non-dropping-particle":"","parse-names":false,"suffix":""},{"dropping-particle":"","family":"Sönksen","given":"Carsten P.","non-dropping-particle":"","parse-names":false,"suffix":""},{"dropping-particle":"","family":"Roepstorff","given":"Peter","non-dropping-particle":"","parse-names":false,"suffix":""}],"container-title":"Rapid Communications in Mass Spectrometry","id":"ITEM-1","issue":"14","issued":{"date-parts":[["2000","7","30"]]},"page":"1226-1232","title":"Quantitation of peptides and proteins by matrix-assisted laser desorption/ionization mass spectrometry using18O-labeled internal standards","type":"article-journal","volume":"14"},"uris":["http://www.mendeley.com/documents/?uuid=ba4d29de-aa52-3710-a119-185c7645eb8e"]},{"id":"ITEM-2","itemData":{"DOI":"10.1021/ac035286f","ISSN":"0003-2700","author":[{"dropping-particle":"","family":"Havliš","given":"Jan","non-dropping-particle":"","parse-names":false,"suffix":""},{"dropping-particle":"","family":"Shevchenko","given":"Andrej","non-dropping-particle":"","parse-names":false,"suffix":""}],"container-title":"Analytical Chemistry","id":"ITEM-2","issue":"11","issued":{"date-parts":[["2004","6"]]},"page":"3029-3036","title":"Absolute Quantification of Proteins in Solutions and in Polyacrylamide Gels by Mass Spectrometry","type":"article-journal","volume":"76"},"uris":["http://www.mendeley.com/documents/?uuid=cbe1e2e0-e420-314d-a518-29db36fb74be"]},{"id":"ITEM-3","itemData":{"DOI":"10.1016/j.molonc.2014.03.006","ISSN":"15747891","author":[{"dropping-particle":"","family":"Parker","given":"Carol E.","non-dropping-particle":"","parse-names":false,"suffix":""},{"dropping-particle":"","family":"Borchers","given":"Christoph H.","non-dropping-particle":"","parse-names":false,"suffix":""}],"container-title":"Molecular Oncology","id":"ITEM-3","issue":"4","issued":{"date-parts":[["2014","6","1"]]},"page":"840-858","publisher":"Wiley-Blackwell","title":"Mass spectrometry based biomarker discovery, verification, and validation - Quality assurance and control of protein biomarker assays","type":"article-journal","volume":"8"},"uris":["http://www.mendeley.com/documents/?uuid=7af38dee-221a-344a-a21d-a89fa46b6254"]}],"mendeley":{"formattedCitation":"&lt;sup&gt;58–60&lt;/sup&gt;","plainTextFormattedCitation":"58–60","previouslyFormattedCitation":"&lt;sup&gt;57–59&lt;/sup&gt;"},"properties":{"noteIndex":0},"schema":"https://github.com/citation-style-language/schema/raw/master/csl-citation.json"}</w:instrText>
      </w:r>
      <w:r w:rsidRPr="00116C4A">
        <w:rPr>
          <w:rFonts w:ascii="Arial" w:eastAsia="Calibri" w:hAnsi="Arial" w:cs="Arial"/>
          <w:sz w:val="24"/>
          <w:szCs w:val="24"/>
        </w:rPr>
        <w:fldChar w:fldCharType="separate"/>
      </w:r>
      <w:r w:rsidR="003E1EDC" w:rsidRPr="003E1EDC">
        <w:rPr>
          <w:rFonts w:ascii="Arial" w:eastAsia="Calibri" w:hAnsi="Arial" w:cs="Arial"/>
          <w:noProof/>
          <w:sz w:val="24"/>
          <w:szCs w:val="24"/>
          <w:vertAlign w:val="superscript"/>
        </w:rPr>
        <w:t>58–60</w:t>
      </w:r>
      <w:r w:rsidRPr="00116C4A">
        <w:rPr>
          <w:rFonts w:ascii="Arial" w:eastAsia="Calibri" w:hAnsi="Arial" w:cs="Arial"/>
          <w:sz w:val="24"/>
          <w:szCs w:val="24"/>
        </w:rPr>
        <w:fldChar w:fldCharType="end"/>
      </w:r>
      <w:r w:rsidRPr="00116C4A">
        <w:rPr>
          <w:rFonts w:ascii="Arial" w:eastAsia="Calibri" w:hAnsi="Arial" w:cs="Arial"/>
          <w:sz w:val="24"/>
          <w:szCs w:val="24"/>
        </w:rPr>
        <w:t>.</w:t>
      </w:r>
    </w:p>
    <w:p w14:paraId="7623E1CD" w14:textId="77777777" w:rsidR="00652D52" w:rsidRPr="00116C4A" w:rsidRDefault="00652D52" w:rsidP="00116C4A">
      <w:pPr>
        <w:keepNext/>
        <w:keepLines/>
        <w:widowControl w:val="0"/>
        <w:suppressAutoHyphens/>
        <w:spacing w:before="100" w:beforeAutospacing="1" w:after="100" w:afterAutospacing="1" w:line="480" w:lineRule="auto"/>
        <w:outlineLvl w:val="3"/>
        <w:rPr>
          <w:rFonts w:ascii="Arial" w:eastAsia="Calibri" w:hAnsi="Arial" w:cs="Arial"/>
          <w:b/>
          <w:i/>
          <w:iCs/>
          <w:sz w:val="24"/>
          <w:szCs w:val="24"/>
        </w:rPr>
      </w:pPr>
      <w:r w:rsidRPr="00116C4A">
        <w:rPr>
          <w:rFonts w:ascii="Arial" w:eastAsia="Calibri" w:hAnsi="Arial" w:cs="Arial"/>
          <w:b/>
          <w:i/>
          <w:iCs/>
          <w:sz w:val="24"/>
          <w:szCs w:val="24"/>
        </w:rPr>
        <w:t>Conclusion</w:t>
      </w:r>
    </w:p>
    <w:p w14:paraId="599A5A66" w14:textId="77777777" w:rsidR="00652D52" w:rsidRPr="00116C4A" w:rsidRDefault="00652D52" w:rsidP="00116C4A">
      <w:pPr>
        <w:autoSpaceDE w:val="0"/>
        <w:autoSpaceDN w:val="0"/>
        <w:adjustRightInd w:val="0"/>
        <w:spacing w:line="480" w:lineRule="auto"/>
        <w:rPr>
          <w:rFonts w:ascii="Arial" w:eastAsia="Calibri" w:hAnsi="Arial" w:cs="Arial"/>
          <w:sz w:val="24"/>
          <w:szCs w:val="24"/>
        </w:rPr>
      </w:pPr>
      <w:r w:rsidRPr="00116C4A">
        <w:rPr>
          <w:rFonts w:ascii="Arial" w:eastAsia="Calibri" w:hAnsi="Arial" w:cs="Arial"/>
          <w:sz w:val="24"/>
          <w:szCs w:val="24"/>
        </w:rPr>
        <w:t xml:space="preserve">During this study we have optimised collection and processing protocols for NMR </w:t>
      </w:r>
      <w:proofErr w:type="spellStart"/>
      <w:r w:rsidRPr="00116C4A">
        <w:rPr>
          <w:rFonts w:ascii="Arial" w:eastAsia="Calibri" w:hAnsi="Arial" w:cs="Arial"/>
          <w:sz w:val="24"/>
          <w:szCs w:val="24"/>
        </w:rPr>
        <w:t>metabolomic</w:t>
      </w:r>
      <w:proofErr w:type="spellEnd"/>
      <w:r w:rsidRPr="00116C4A">
        <w:rPr>
          <w:rFonts w:ascii="Arial" w:eastAsia="Calibri" w:hAnsi="Arial" w:cs="Arial"/>
          <w:sz w:val="24"/>
          <w:szCs w:val="24"/>
        </w:rPr>
        <w:t xml:space="preserve"> and LC-MS/MS proteomic analysis of SF. For optimal </w:t>
      </w:r>
      <w:proofErr w:type="spellStart"/>
      <w:r w:rsidRPr="00116C4A">
        <w:rPr>
          <w:rFonts w:ascii="Arial" w:eastAsia="Calibri" w:hAnsi="Arial" w:cs="Arial"/>
          <w:sz w:val="24"/>
          <w:szCs w:val="24"/>
        </w:rPr>
        <w:t>metabolomic</w:t>
      </w:r>
      <w:proofErr w:type="spellEnd"/>
      <w:r w:rsidRPr="00116C4A">
        <w:rPr>
          <w:rFonts w:ascii="Arial" w:eastAsia="Calibri" w:hAnsi="Arial" w:cs="Arial"/>
          <w:sz w:val="24"/>
          <w:szCs w:val="24"/>
        </w:rPr>
        <w:t xml:space="preserve"> NMR analysis reproducibility, SF should first be centrifuged then frozen via snap freezing in liquid nitrogen. For proteomic analysis, treatment of SF with 1 µg/ml hyaluronidase and rotational incubation at 37</w:t>
      </w:r>
      <w:r w:rsidRPr="00116C4A">
        <w:rPr>
          <w:rFonts w:ascii="Arial" w:eastAsia="Calibri" w:hAnsi="Arial" w:cs="Arial"/>
          <w:sz w:val="24"/>
          <w:szCs w:val="24"/>
          <w:vertAlign w:val="superscript"/>
        </w:rPr>
        <w:t>o</w:t>
      </w:r>
      <w:r w:rsidRPr="00116C4A">
        <w:rPr>
          <w:rFonts w:ascii="Arial" w:eastAsia="Calibri" w:hAnsi="Arial" w:cs="Arial"/>
          <w:sz w:val="24"/>
          <w:szCs w:val="24"/>
        </w:rPr>
        <w:t xml:space="preserve">C for 1 hr provided sufficient enzymatic activity to enable efficient centrifugation through a 0.22 µm pore cellulose acetate membrane. Lys-C endopeptidase pre-digestion was identified to greatly improve on-bead tryptic protein digestion when used in conjunction with small-capacity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 kits, resulting in a reduction of undigested proteins bound to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beads, a reduction in the number of peptide missed cleavages, improved reproducibility of tryptic peptide quantification and an increased number of protein identifications. To maximise protein identifications using </w:t>
      </w:r>
      <w:proofErr w:type="spellStart"/>
      <w:r w:rsidRPr="00116C4A">
        <w:rPr>
          <w:rFonts w:ascii="Arial" w:eastAsia="Calibri" w:hAnsi="Arial" w:cs="Arial"/>
          <w:sz w:val="24"/>
          <w:szCs w:val="24"/>
        </w:rPr>
        <w:t>ProteoMiner</w:t>
      </w:r>
      <w:r w:rsidRPr="00116C4A">
        <w:rPr>
          <w:rFonts w:ascii="Arial" w:eastAsia="Calibri" w:hAnsi="Arial" w:cs="Arial"/>
          <w:sz w:val="24"/>
          <w:szCs w:val="24"/>
          <w:vertAlign w:val="superscript"/>
        </w:rPr>
        <w:t>TM</w:t>
      </w:r>
      <w:proofErr w:type="spellEnd"/>
      <w:r w:rsidRPr="00116C4A">
        <w:rPr>
          <w:rFonts w:ascii="Arial" w:eastAsia="Calibri" w:hAnsi="Arial" w:cs="Arial"/>
          <w:sz w:val="24"/>
          <w:szCs w:val="24"/>
        </w:rPr>
        <w:t xml:space="preserve"> columns, a 4hr Lys-C pre-digestion + 16hr tryptic digestion followed by a 2hr trypsin supplementation would be recommended. For semi-tryptic peptide identification, a 16hr + 2hr tryptic digestion of native SF and a 4hr on-bead tryptic digestion were found to be the most reproducible.</w:t>
      </w:r>
    </w:p>
    <w:p w14:paraId="6B9314D5" w14:textId="77777777" w:rsidR="00564564" w:rsidRPr="00564564" w:rsidRDefault="00564564" w:rsidP="00C80FDC">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23" w:name="_Toc10551732"/>
      <w:r w:rsidRPr="00564564">
        <w:rPr>
          <w:rFonts w:ascii="Arial" w:eastAsia="Bitstream Vera Sans;MS Mincho" w:hAnsi="Arial" w:cs="Arial"/>
          <w:b/>
          <w:bCs/>
          <w:color w:val="000000"/>
          <w:sz w:val="24"/>
          <w:szCs w:val="24"/>
          <w:lang w:eastAsia="zh-CN" w:bidi="hi-IN"/>
        </w:rPr>
        <w:t>Supporting Information</w:t>
      </w:r>
    </w:p>
    <w:p w14:paraId="0B7751D9" w14:textId="08C0EAD6" w:rsidR="007F10E7" w:rsidRDefault="007F10E7" w:rsidP="00DC5747">
      <w:pPr>
        <w:spacing w:before="100" w:beforeAutospacing="1" w:after="100" w:afterAutospacing="1" w:line="480" w:lineRule="auto"/>
        <w:rPr>
          <w:rFonts w:ascii="Arial" w:eastAsia="Calibri" w:hAnsi="Arial" w:cs="Arial"/>
          <w:b/>
          <w:color w:val="000000"/>
          <w:sz w:val="24"/>
          <w:szCs w:val="24"/>
        </w:rPr>
      </w:pPr>
      <w:r>
        <w:rPr>
          <w:rFonts w:ascii="Arial" w:eastAsia="Calibri" w:hAnsi="Arial" w:cs="Arial"/>
          <w:b/>
          <w:color w:val="000000"/>
          <w:sz w:val="24"/>
          <w:szCs w:val="24"/>
        </w:rPr>
        <w:t>Liquid Chromatography Tandem Mass S</w:t>
      </w:r>
      <w:r w:rsidRPr="00EA4E49">
        <w:rPr>
          <w:rFonts w:ascii="Arial" w:eastAsia="Calibri" w:hAnsi="Arial" w:cs="Arial"/>
          <w:b/>
          <w:color w:val="000000"/>
          <w:sz w:val="24"/>
          <w:szCs w:val="24"/>
        </w:rPr>
        <w:t>pectrometry</w:t>
      </w:r>
      <w:r>
        <w:rPr>
          <w:rFonts w:ascii="Arial" w:eastAsia="Calibri" w:hAnsi="Arial" w:cs="Arial"/>
          <w:b/>
          <w:color w:val="000000"/>
          <w:sz w:val="24"/>
          <w:szCs w:val="24"/>
        </w:rPr>
        <w:t xml:space="preserve"> - Detailed Methods</w:t>
      </w:r>
    </w:p>
    <w:p w14:paraId="31806E7E" w14:textId="77777777" w:rsidR="00E43FBD" w:rsidRPr="000B44F8" w:rsidRDefault="00E43FBD" w:rsidP="00DC5747">
      <w:pPr>
        <w:autoSpaceDE w:val="0"/>
        <w:autoSpaceDN w:val="0"/>
        <w:adjustRightInd w:val="0"/>
        <w:spacing w:before="100" w:beforeAutospacing="1" w:after="100" w:afterAutospacing="1" w:line="480" w:lineRule="auto"/>
        <w:rPr>
          <w:rFonts w:ascii="Arial" w:eastAsia="Calibri" w:hAnsi="Arial" w:cs="Arial"/>
          <w:color w:val="000000"/>
          <w:sz w:val="24"/>
          <w:szCs w:val="24"/>
        </w:rPr>
      </w:pPr>
      <w:r w:rsidRPr="000B44F8">
        <w:rPr>
          <w:rFonts w:ascii="Arial" w:eastAsia="Calibri" w:hAnsi="Arial" w:cs="Arial"/>
          <w:b/>
          <w:sz w:val="24"/>
          <w:szCs w:val="24"/>
        </w:rPr>
        <w:lastRenderedPageBreak/>
        <w:t>Figure S1.</w:t>
      </w:r>
      <w:r w:rsidRPr="000B44F8">
        <w:rPr>
          <w:rFonts w:ascii="Arial" w:eastAsia="Calibri" w:hAnsi="Arial" w:cs="Arial"/>
          <w:b/>
          <w:i/>
          <w:sz w:val="24"/>
          <w:szCs w:val="24"/>
        </w:rPr>
        <w:t xml:space="preserve"> </w:t>
      </w:r>
      <w:r w:rsidRPr="000B44F8">
        <w:rPr>
          <w:rFonts w:ascii="Arial" w:eastAsia="Calibri" w:hAnsi="Arial" w:cs="Arial"/>
          <w:sz w:val="24"/>
          <w:szCs w:val="24"/>
        </w:rPr>
        <w:t xml:space="preserve">Standard trypsin digestion protocol for on-bead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protein digestion, native synovial fluid (SF) and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w:t>
      </w:r>
      <w:r w:rsidRPr="000B44F8">
        <w:rPr>
          <w:rFonts w:ascii="Arial" w:eastAsia="Calibri" w:hAnsi="Arial" w:cs="Arial"/>
          <w:color w:val="000000"/>
          <w:sz w:val="24"/>
          <w:szCs w:val="24"/>
        </w:rPr>
        <w:t xml:space="preserve">column flow-through protein digestion. </w:t>
      </w:r>
    </w:p>
    <w:p w14:paraId="271BA840" w14:textId="77777777" w:rsidR="00E43FBD" w:rsidRPr="000B44F8" w:rsidRDefault="00E43FBD" w:rsidP="00DC5747">
      <w:pPr>
        <w:widowControl w:val="0"/>
        <w:autoSpaceDE w:val="0"/>
        <w:autoSpaceDN w:val="0"/>
        <w:adjustRightInd w:val="0"/>
        <w:spacing w:after="0" w:line="480" w:lineRule="auto"/>
        <w:rPr>
          <w:rFonts w:ascii="Arial" w:eastAsia="Calibri" w:hAnsi="Arial" w:cs="Arial"/>
          <w:color w:val="000000" w:themeColor="text1"/>
          <w:sz w:val="24"/>
          <w:szCs w:val="24"/>
        </w:rPr>
      </w:pPr>
      <w:r w:rsidRPr="000B44F8">
        <w:rPr>
          <w:rFonts w:ascii="Arial" w:eastAsia="Calibri" w:hAnsi="Arial" w:cs="Arial"/>
          <w:b/>
          <w:color w:val="000000" w:themeColor="text1"/>
          <w:sz w:val="24"/>
          <w:szCs w:val="24"/>
        </w:rPr>
        <w:t xml:space="preserve">Figure S2. </w:t>
      </w:r>
      <w:r w:rsidRPr="000B44F8">
        <w:rPr>
          <w:rFonts w:ascii="Arial" w:eastAsia="Calibri" w:hAnsi="Arial" w:cs="Arial"/>
          <w:color w:val="000000" w:themeColor="text1"/>
          <w:sz w:val="24"/>
          <w:szCs w:val="24"/>
        </w:rPr>
        <w:t xml:space="preserve">PC2 RMS (Principal component 2 root mean square) values for the 25 metabolite peak components with the highest magnitude, differentiating between spun and unspun equine synovial fluid following 1D </w:t>
      </w:r>
      <w:r w:rsidRPr="000B44F8">
        <w:rPr>
          <w:rFonts w:ascii="Arial" w:eastAsia="Calibri" w:hAnsi="Arial" w:cs="Arial"/>
          <w:color w:val="000000" w:themeColor="text1"/>
          <w:sz w:val="24"/>
          <w:szCs w:val="24"/>
          <w:vertAlign w:val="superscript"/>
        </w:rPr>
        <w:t>1</w:t>
      </w:r>
      <w:r w:rsidRPr="000B44F8">
        <w:rPr>
          <w:rFonts w:ascii="Arial" w:eastAsia="Calibri" w:hAnsi="Arial" w:cs="Arial"/>
          <w:color w:val="000000" w:themeColor="text1"/>
          <w:sz w:val="24"/>
          <w:szCs w:val="24"/>
        </w:rPr>
        <w:t>H NMR metabolome analysis. High = high in spun with respect to unspun. Low = low in spun with respect to unspun.</w:t>
      </w:r>
    </w:p>
    <w:p w14:paraId="6B1255DF" w14:textId="77777777" w:rsidR="00E43FBD" w:rsidRPr="000B44F8" w:rsidRDefault="00E43FBD" w:rsidP="00DC5747">
      <w:pPr>
        <w:spacing w:before="100" w:beforeAutospacing="1" w:after="100" w:afterAutospacing="1" w:line="480" w:lineRule="auto"/>
        <w:rPr>
          <w:rFonts w:ascii="Arial" w:eastAsia="Calibri" w:hAnsi="Arial" w:cs="Arial"/>
          <w:sz w:val="24"/>
          <w:szCs w:val="24"/>
        </w:rPr>
      </w:pPr>
      <w:r w:rsidRPr="000B44F8">
        <w:rPr>
          <w:rFonts w:ascii="Arial" w:eastAsia="Calibri" w:hAnsi="Arial" w:cs="Arial"/>
          <w:b/>
          <w:sz w:val="24"/>
          <w:szCs w:val="24"/>
        </w:rPr>
        <w:t xml:space="preserve">Figure S3. </w:t>
      </w:r>
      <w:r w:rsidRPr="000B44F8">
        <w:rPr>
          <w:rFonts w:ascii="Arial" w:eastAsia="Calibri" w:hAnsi="Arial" w:cs="Arial"/>
          <w:sz w:val="24"/>
          <w:szCs w:val="24"/>
        </w:rPr>
        <w:t>Synovial fluid hyaluronidase treatment optimisation. Synovial fluid flow-through via cellulose acetate membrane filters following heating at 37°C, for 0-2 µg/ml hyaluronidase treatments and 1D SDS PAGE of protein profiles using different hyaluronidase protocols.</w:t>
      </w:r>
    </w:p>
    <w:p w14:paraId="397535D0" w14:textId="77777777" w:rsidR="00E43FBD" w:rsidRPr="000B44F8" w:rsidRDefault="00E43FBD" w:rsidP="00DC5747">
      <w:pPr>
        <w:autoSpaceDE w:val="0"/>
        <w:autoSpaceDN w:val="0"/>
        <w:adjustRightInd w:val="0"/>
        <w:spacing w:before="100" w:beforeAutospacing="1" w:after="100" w:afterAutospacing="1" w:line="480" w:lineRule="auto"/>
        <w:rPr>
          <w:rFonts w:ascii="Arial" w:eastAsia="Calibri" w:hAnsi="Arial" w:cs="Arial"/>
          <w:sz w:val="24"/>
          <w:szCs w:val="24"/>
        </w:rPr>
      </w:pPr>
      <w:r w:rsidRPr="000B44F8">
        <w:rPr>
          <w:rFonts w:ascii="Arial" w:eastAsia="Calibri" w:hAnsi="Arial" w:cs="Arial"/>
          <w:b/>
          <w:sz w:val="24"/>
          <w:szCs w:val="24"/>
        </w:rPr>
        <w:t xml:space="preserve">Figure S4. </w:t>
      </w:r>
      <w:r w:rsidRPr="000B44F8">
        <w:rPr>
          <w:rFonts w:ascii="Arial" w:eastAsia="Calibri" w:hAnsi="Arial" w:cs="Arial"/>
          <w:sz w:val="24"/>
          <w:szCs w:val="24"/>
        </w:rPr>
        <w:t xml:space="preserve">Synovial Fluid Protein Fractions during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Column Processing. 1D SDS PAGE of protein profiles at each stage of the low abundant protein enrichment process and total protein within each fraction.</w:t>
      </w:r>
    </w:p>
    <w:p w14:paraId="609E3252" w14:textId="77777777" w:rsidR="00E43FBD" w:rsidRPr="000B44F8" w:rsidRDefault="00E43FBD" w:rsidP="00DC5747">
      <w:pPr>
        <w:widowControl w:val="0"/>
        <w:autoSpaceDE w:val="0"/>
        <w:autoSpaceDN w:val="0"/>
        <w:adjustRightInd w:val="0"/>
        <w:spacing w:line="480" w:lineRule="auto"/>
        <w:rPr>
          <w:rFonts w:ascii="Arial" w:eastAsia="Calibri" w:hAnsi="Arial" w:cs="Arial"/>
          <w:sz w:val="24"/>
          <w:szCs w:val="24"/>
        </w:rPr>
      </w:pPr>
      <w:r w:rsidRPr="000B44F8">
        <w:rPr>
          <w:rFonts w:ascii="Arial" w:eastAsia="Calibri" w:hAnsi="Arial" w:cs="Arial"/>
          <w:b/>
          <w:sz w:val="24"/>
          <w:szCs w:val="24"/>
        </w:rPr>
        <w:t>Figure S5</w:t>
      </w:r>
      <w:r w:rsidRPr="000B44F8">
        <w:rPr>
          <w:rFonts w:ascii="Arial" w:hAnsi="Arial" w:cs="Arial"/>
          <w:sz w:val="24"/>
          <w:szCs w:val="24"/>
        </w:rPr>
        <w:t xml:space="preserve">.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Column Loading of Synovial Fluid (Full Protein Gel Image). </w:t>
      </w:r>
      <w:r>
        <w:rPr>
          <w:rFonts w:ascii="Arial" w:eastAsia="Calibri" w:hAnsi="Arial" w:cs="Arial"/>
          <w:sz w:val="24"/>
          <w:szCs w:val="24"/>
        </w:rPr>
        <w:t>P</w:t>
      </w:r>
      <w:r w:rsidRPr="000B44F8">
        <w:rPr>
          <w:rFonts w:ascii="Arial" w:eastAsia="Calibri" w:hAnsi="Arial" w:cs="Arial"/>
          <w:sz w:val="24"/>
          <w:szCs w:val="24"/>
        </w:rPr>
        <w:t>rotein profiles of on-bead digests and flow-through (FT) following 1 mg, 2.5 mg and 5 mg protein loading, in addition to native synovial fluid, hyaluronidase treated synovial fluid and the equalised protein profile following elution with the manufacturer’s elution buffer (8 M urea, 5% acetic acid and 2% CHAPS).</w:t>
      </w:r>
    </w:p>
    <w:p w14:paraId="2FFD51C0" w14:textId="77777777" w:rsidR="00E43FBD" w:rsidRPr="000B44F8" w:rsidRDefault="00E43FBD" w:rsidP="00DC5747">
      <w:pPr>
        <w:spacing w:before="100" w:beforeAutospacing="1" w:after="100" w:afterAutospacing="1" w:line="480" w:lineRule="auto"/>
        <w:rPr>
          <w:rFonts w:ascii="Arial" w:eastAsia="Calibri" w:hAnsi="Arial" w:cs="Arial"/>
          <w:sz w:val="24"/>
          <w:szCs w:val="24"/>
        </w:rPr>
      </w:pPr>
      <w:r w:rsidRPr="000B44F8">
        <w:rPr>
          <w:rFonts w:ascii="Arial" w:eastAsia="Calibri" w:hAnsi="Arial" w:cs="Arial"/>
          <w:b/>
          <w:sz w:val="24"/>
          <w:szCs w:val="24"/>
        </w:rPr>
        <w:t>Figure S6.</w:t>
      </w:r>
      <w:r w:rsidRPr="000B44F8">
        <w:rPr>
          <w:rFonts w:ascii="Arial" w:eastAsia="Calibri" w:hAnsi="Arial" w:cs="Arial"/>
          <w:sz w:val="24"/>
          <w:szCs w:val="24"/>
        </w:rPr>
        <w:t xml:space="preserve"> Number of peptides identified within native and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equine synovial fluid using LC-MS/MS for 60 min, 90 min and 120 min LC gradients. The number of peptides identified within blank samples run after synovial fluid </w:t>
      </w:r>
      <w:r w:rsidRPr="000B44F8">
        <w:rPr>
          <w:rFonts w:ascii="Arial" w:eastAsia="Calibri" w:hAnsi="Arial" w:cs="Arial"/>
          <w:sz w:val="24"/>
          <w:szCs w:val="24"/>
        </w:rPr>
        <w:lastRenderedPageBreak/>
        <w:t>samples were also recorded, with the median percentage carry of peptides identified within the blank compared to the previous synovial fluid sample stated above the relevant bar. Inset: Number of proteins identified for the same samples for 60 min, 90 min and 120 min LC gradients.</w:t>
      </w:r>
    </w:p>
    <w:p w14:paraId="2436040D" w14:textId="77777777" w:rsidR="00E43FBD" w:rsidRPr="000B44F8" w:rsidRDefault="00E43FBD" w:rsidP="00DC5747">
      <w:pPr>
        <w:autoSpaceDE w:val="0"/>
        <w:autoSpaceDN w:val="0"/>
        <w:adjustRightInd w:val="0"/>
        <w:spacing w:before="100" w:beforeAutospacing="1" w:after="100" w:afterAutospacing="1" w:line="480" w:lineRule="auto"/>
        <w:rPr>
          <w:rFonts w:ascii="Arial" w:eastAsia="Calibri" w:hAnsi="Arial" w:cs="Arial"/>
          <w:sz w:val="24"/>
          <w:szCs w:val="24"/>
        </w:rPr>
      </w:pPr>
      <w:r w:rsidRPr="000B44F8">
        <w:rPr>
          <w:rFonts w:ascii="Arial" w:eastAsia="Calibri" w:hAnsi="Arial" w:cs="Arial"/>
          <w:b/>
          <w:sz w:val="24"/>
          <w:szCs w:val="24"/>
        </w:rPr>
        <w:t xml:space="preserve">Figure S7. </w:t>
      </w:r>
      <w:r w:rsidRPr="000B44F8">
        <w:rPr>
          <w:rFonts w:ascii="Arial" w:eastAsia="Calibri" w:hAnsi="Arial" w:cs="Arial"/>
          <w:sz w:val="24"/>
          <w:szCs w:val="24"/>
        </w:rPr>
        <w:t xml:space="preserve">Protein profiles of native and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human synovial fluid following trypsin digestion and </w:t>
      </w:r>
      <w:proofErr w:type="spellStart"/>
      <w:r w:rsidRPr="000B44F8">
        <w:rPr>
          <w:rFonts w:ascii="Arial" w:eastAsia="Calibri" w:hAnsi="Arial" w:cs="Arial"/>
          <w:sz w:val="24"/>
          <w:szCs w:val="24"/>
        </w:rPr>
        <w:t>Coomassie</w:t>
      </w:r>
      <w:proofErr w:type="spellEnd"/>
      <w:r w:rsidRPr="000B44F8">
        <w:rPr>
          <w:rFonts w:ascii="Arial" w:eastAsia="Calibri" w:hAnsi="Arial" w:cs="Arial"/>
          <w:sz w:val="24"/>
          <w:szCs w:val="24"/>
        </w:rPr>
        <w:t xml:space="preserve"> Brilliant Blue or silver staining.</w:t>
      </w:r>
    </w:p>
    <w:p w14:paraId="47461D45" w14:textId="77777777" w:rsidR="00E43FBD" w:rsidRPr="000B44F8" w:rsidRDefault="00E43FBD" w:rsidP="00DC5747">
      <w:pPr>
        <w:autoSpaceDE w:val="0"/>
        <w:autoSpaceDN w:val="0"/>
        <w:adjustRightInd w:val="0"/>
        <w:spacing w:before="100" w:beforeAutospacing="1" w:after="100" w:afterAutospacing="1" w:line="480" w:lineRule="auto"/>
        <w:rPr>
          <w:rFonts w:ascii="Arial" w:hAnsi="Arial" w:cs="Arial"/>
          <w:sz w:val="24"/>
          <w:szCs w:val="24"/>
        </w:rPr>
      </w:pPr>
      <w:r w:rsidRPr="000B44F8">
        <w:rPr>
          <w:rFonts w:ascii="Arial" w:eastAsia="Calibri" w:hAnsi="Arial" w:cs="Arial"/>
          <w:b/>
          <w:sz w:val="24"/>
          <w:szCs w:val="24"/>
        </w:rPr>
        <w:t>Figure S8</w:t>
      </w:r>
      <w:r w:rsidRPr="000B44F8">
        <w:rPr>
          <w:rFonts w:ascii="Arial" w:eastAsia="Calibri" w:hAnsi="Arial" w:cs="Arial"/>
          <w:sz w:val="24"/>
          <w:szCs w:val="24"/>
        </w:rPr>
        <w:t xml:space="preserve">. Full protein gel images for protein profiles of native and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equine synovial flu</w:t>
      </w:r>
      <w:r>
        <w:rPr>
          <w:rFonts w:ascii="Arial" w:eastAsia="Calibri" w:hAnsi="Arial" w:cs="Arial"/>
          <w:sz w:val="24"/>
          <w:szCs w:val="24"/>
        </w:rPr>
        <w:t>id following protein digestion.</w:t>
      </w:r>
    </w:p>
    <w:p w14:paraId="67DDC2E5" w14:textId="77777777" w:rsidR="00E43FBD" w:rsidRPr="000B44F8" w:rsidRDefault="00E43FBD" w:rsidP="00DC5747">
      <w:pPr>
        <w:spacing w:before="100" w:beforeAutospacing="1" w:after="100" w:afterAutospacing="1" w:line="480" w:lineRule="auto"/>
        <w:rPr>
          <w:rFonts w:ascii="Arial" w:eastAsia="Calibri" w:hAnsi="Arial" w:cs="Arial"/>
          <w:sz w:val="24"/>
          <w:szCs w:val="24"/>
        </w:rPr>
      </w:pPr>
      <w:r w:rsidRPr="000B44F8">
        <w:rPr>
          <w:rFonts w:ascii="Arial" w:eastAsia="Calibri" w:hAnsi="Arial" w:cs="Arial"/>
          <w:b/>
          <w:sz w:val="24"/>
          <w:szCs w:val="24"/>
        </w:rPr>
        <w:t>Figure S9.</w:t>
      </w:r>
      <w:r w:rsidRPr="000B44F8">
        <w:rPr>
          <w:rFonts w:ascii="Arial" w:eastAsia="Calibri" w:hAnsi="Arial" w:cs="Arial"/>
          <w:sz w:val="24"/>
          <w:szCs w:val="24"/>
        </w:rPr>
        <w:t xml:space="preserve"> Undigested proteins within twelve equine synovial fluid samples following a 16hr + 2hr on-bead tryptic digestion protocol using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beads.</w:t>
      </w:r>
    </w:p>
    <w:p w14:paraId="418ABB6F" w14:textId="77777777" w:rsidR="00E43FBD" w:rsidRPr="000B44F8" w:rsidRDefault="00E43FBD" w:rsidP="00DC5747">
      <w:pPr>
        <w:autoSpaceDE w:val="0"/>
        <w:autoSpaceDN w:val="0"/>
        <w:adjustRightInd w:val="0"/>
        <w:spacing w:before="100" w:beforeAutospacing="1" w:after="100" w:afterAutospacing="1" w:line="480" w:lineRule="auto"/>
        <w:rPr>
          <w:rFonts w:ascii="Arial" w:eastAsia="Calibri" w:hAnsi="Arial" w:cs="Arial"/>
          <w:b/>
          <w:sz w:val="24"/>
          <w:szCs w:val="24"/>
        </w:rPr>
      </w:pPr>
      <w:r w:rsidRPr="000B44F8">
        <w:rPr>
          <w:rFonts w:ascii="Arial" w:eastAsia="Calibri" w:hAnsi="Arial" w:cs="Arial"/>
          <w:b/>
          <w:sz w:val="24"/>
          <w:szCs w:val="24"/>
        </w:rPr>
        <w:t xml:space="preserve">Figure S10. </w:t>
      </w:r>
      <w:r w:rsidRPr="000B44F8">
        <w:rPr>
          <w:rFonts w:ascii="Arial" w:eastAsia="Calibri" w:hAnsi="Arial" w:cs="Arial"/>
          <w:sz w:val="24"/>
          <w:szCs w:val="24"/>
        </w:rPr>
        <w:t xml:space="preserve">Technical reproducibility of tryptic peptide abundances following a 16hr + 2hr trypsin digestion protocol of native equine SF with the same digested sample analysed three times and digestion triplicates, 2.5 mg protein loaded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columns with the same digested sample analysed three times and digestion triplicates and their subsequent flow-through, with the same digested sample analysed three times and digestion triplicates.</w:t>
      </w:r>
    </w:p>
    <w:p w14:paraId="02456EEA" w14:textId="77777777" w:rsidR="00E43FBD" w:rsidRPr="000B44F8" w:rsidRDefault="00E43FBD" w:rsidP="00DC5747">
      <w:pPr>
        <w:autoSpaceDE w:val="0"/>
        <w:autoSpaceDN w:val="0"/>
        <w:adjustRightInd w:val="0"/>
        <w:spacing w:before="100" w:beforeAutospacing="1" w:after="100" w:afterAutospacing="1" w:line="480" w:lineRule="auto"/>
        <w:rPr>
          <w:rFonts w:ascii="Arial" w:eastAsia="Calibri" w:hAnsi="Arial" w:cs="Arial"/>
          <w:b/>
          <w:sz w:val="24"/>
          <w:szCs w:val="24"/>
        </w:rPr>
      </w:pPr>
      <w:r w:rsidRPr="000B44F8">
        <w:rPr>
          <w:rFonts w:ascii="Arial" w:eastAsia="Calibri" w:hAnsi="Arial" w:cs="Arial"/>
          <w:b/>
          <w:sz w:val="24"/>
          <w:szCs w:val="24"/>
        </w:rPr>
        <w:t xml:space="preserve">Figure S11. </w:t>
      </w:r>
      <w:r w:rsidRPr="000B44F8">
        <w:rPr>
          <w:rFonts w:ascii="Arial" w:eastAsia="Calibri" w:hAnsi="Arial" w:cs="Arial"/>
          <w:sz w:val="24"/>
          <w:szCs w:val="24"/>
        </w:rPr>
        <w:t xml:space="preserve">Reproducibility of semi-tryptic peptide abundances within equine synovial fluid analysed by technical triplicates. Native synovial fluid, 4hr trypsin digestion, Native synovial fluid, 16hr + 2hr trypsin digestion,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synovial fluid, 4hr trypsin digestion,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synovial fluid, 16hr + 2hr trypsin digestion,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synovial fluid, 4hr Lys-C + 4hr trypsin digestion,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synovial fluid, 4hr Lys-C + 16hr + 2hr trypsin digestion. Native synovial fluid digestions were undertaken on 100 µg of </w:t>
      </w:r>
      <w:r w:rsidRPr="000B44F8">
        <w:rPr>
          <w:rFonts w:ascii="Arial" w:eastAsia="Calibri" w:hAnsi="Arial" w:cs="Arial"/>
          <w:sz w:val="24"/>
          <w:szCs w:val="24"/>
        </w:rPr>
        <w:lastRenderedPageBreak/>
        <w:t xml:space="preserve">protein and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columns were loaded with 2.5 mg of protein. Protocols with a 4hr trypsin digestion component were analysed using a 1 hr liquid chromatography gradient whilst those containing a 16hr + 2hr trypsin digestion component were analysed via a 2 hr liquid chromatography gradient prior to tandem mass spectrometry analysis. CV = coefficient of variation.</w:t>
      </w:r>
    </w:p>
    <w:p w14:paraId="3CBCB577" w14:textId="77777777" w:rsidR="00E43FBD" w:rsidRPr="000B44F8" w:rsidRDefault="00E43FBD" w:rsidP="00DC5747">
      <w:pPr>
        <w:widowControl w:val="0"/>
        <w:suppressAutoHyphens/>
        <w:spacing w:before="100" w:beforeAutospacing="1" w:after="100" w:afterAutospacing="1" w:line="480" w:lineRule="auto"/>
        <w:rPr>
          <w:rFonts w:ascii="Arial" w:eastAsia="Calibri" w:hAnsi="Arial" w:cs="Arial"/>
          <w:sz w:val="24"/>
          <w:szCs w:val="24"/>
        </w:rPr>
      </w:pPr>
      <w:r w:rsidRPr="000B44F8">
        <w:rPr>
          <w:rFonts w:ascii="Arial" w:eastAsia="Calibri" w:hAnsi="Arial" w:cs="Arial"/>
          <w:b/>
          <w:sz w:val="24"/>
          <w:szCs w:val="24"/>
        </w:rPr>
        <w:t>Table S1.</w:t>
      </w:r>
      <w:r w:rsidRPr="000B44F8">
        <w:rPr>
          <w:rFonts w:ascii="Arial" w:eastAsia="Calibri" w:hAnsi="Arial" w:cs="Arial"/>
          <w:sz w:val="24"/>
          <w:szCs w:val="24"/>
        </w:rPr>
        <w:t xml:space="preserve"> Nuclear magnetic resonance and liquid chromatography-tandem mass spectrometry protocols investigated during this study for metabolite, protein and peptide identification and quantification.</w:t>
      </w:r>
    </w:p>
    <w:p w14:paraId="2E8A6163" w14:textId="77777777" w:rsidR="00E43FBD" w:rsidRPr="000B44F8" w:rsidRDefault="00E43FBD" w:rsidP="00DC5747">
      <w:pPr>
        <w:autoSpaceDE w:val="0"/>
        <w:autoSpaceDN w:val="0"/>
        <w:adjustRightInd w:val="0"/>
        <w:spacing w:before="100" w:beforeAutospacing="1" w:after="100" w:afterAutospacing="1" w:line="480" w:lineRule="auto"/>
        <w:rPr>
          <w:rFonts w:ascii="Arial" w:eastAsia="Times New Roman" w:hAnsi="Arial" w:cs="Arial"/>
          <w:sz w:val="24"/>
          <w:szCs w:val="24"/>
        </w:rPr>
      </w:pPr>
      <w:r w:rsidRPr="000B44F8">
        <w:rPr>
          <w:rFonts w:ascii="Arial" w:eastAsia="Calibri" w:hAnsi="Arial" w:cs="Arial"/>
          <w:b/>
          <w:sz w:val="24"/>
          <w:szCs w:val="24"/>
        </w:rPr>
        <w:t>Table S2.</w:t>
      </w:r>
      <w:r w:rsidRPr="000B44F8">
        <w:rPr>
          <w:rFonts w:ascii="Arial" w:eastAsia="Calibri" w:hAnsi="Arial" w:cs="Arial"/>
          <w:sz w:val="24"/>
          <w:szCs w:val="24"/>
        </w:rPr>
        <w:t xml:space="preserve"> Different digestion protocols of native and </w:t>
      </w:r>
      <w:proofErr w:type="spellStart"/>
      <w:r w:rsidRPr="000B44F8">
        <w:rPr>
          <w:rFonts w:ascii="Arial" w:eastAsia="Calibri" w:hAnsi="Arial" w:cs="Arial"/>
          <w:sz w:val="24"/>
          <w:szCs w:val="24"/>
        </w:rPr>
        <w:t>ProteoMiner</w:t>
      </w:r>
      <w:r w:rsidRPr="000B44F8">
        <w:rPr>
          <w:rFonts w:ascii="Arial" w:eastAsia="Calibri" w:hAnsi="Arial" w:cs="Arial"/>
          <w:sz w:val="24"/>
          <w:szCs w:val="24"/>
          <w:vertAlign w:val="superscript"/>
        </w:rPr>
        <w:t>TM</w:t>
      </w:r>
      <w:proofErr w:type="spellEnd"/>
      <w:r w:rsidRPr="000B44F8">
        <w:rPr>
          <w:rFonts w:ascii="Arial" w:eastAsia="Calibri" w:hAnsi="Arial" w:cs="Arial"/>
          <w:sz w:val="24"/>
          <w:szCs w:val="24"/>
        </w:rPr>
        <w:t xml:space="preserve"> processed equine synovial fluid.</w:t>
      </w:r>
      <w:r w:rsidRPr="000B44F8">
        <w:rPr>
          <w:rFonts w:ascii="Arial" w:eastAsia="Calibri" w:hAnsi="Arial" w:cs="Arial"/>
          <w:color w:val="FF0000"/>
          <w:sz w:val="24"/>
          <w:szCs w:val="24"/>
        </w:rPr>
        <w:t xml:space="preserve"> </w:t>
      </w:r>
    </w:p>
    <w:p w14:paraId="118AEEAC" w14:textId="1F909BB2" w:rsidR="00652D52" w:rsidRPr="00116C4A" w:rsidRDefault="00652D52" w:rsidP="00C80FDC">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r w:rsidRPr="00116C4A">
        <w:rPr>
          <w:rFonts w:ascii="Arial" w:eastAsia="Bitstream Vera Sans;MS Mincho" w:hAnsi="Arial" w:cs="Arial"/>
          <w:b/>
          <w:bCs/>
          <w:color w:val="000000"/>
          <w:sz w:val="24"/>
          <w:szCs w:val="24"/>
          <w:lang w:eastAsia="zh-CN" w:bidi="hi-IN"/>
        </w:rPr>
        <w:t>Ethics</w:t>
      </w:r>
      <w:bookmarkEnd w:id="23"/>
    </w:p>
    <w:p w14:paraId="19F2FA61" w14:textId="6C361CB2" w:rsidR="00652D52" w:rsidRDefault="00652D52" w:rsidP="00C80FDC">
      <w:pPr>
        <w:spacing w:line="480" w:lineRule="auto"/>
        <w:rPr>
          <w:rFonts w:ascii="Arial" w:eastAsia="Calibri" w:hAnsi="Arial" w:cs="Arial"/>
          <w:sz w:val="24"/>
          <w:szCs w:val="24"/>
        </w:rPr>
      </w:pPr>
      <w:r w:rsidRPr="00116C4A">
        <w:rPr>
          <w:rFonts w:ascii="Arial" w:eastAsia="Calibri" w:hAnsi="Arial" w:cs="Arial"/>
          <w:sz w:val="24"/>
          <w:szCs w:val="24"/>
        </w:rPr>
        <w:t>Equine SF samples were collected as a by-product of the agricultural industry. The Animals (Scientific Procedures) Act 1986, Schedule 2, does not define collection from these sources as scientific procedures and ethical approval was therefore not required. Human SF collection was authorised by the ethics committee at the University of Birmingham via a material transfer agreement and also underwent NHS research ethics service approval</w:t>
      </w:r>
      <w:r w:rsidR="0069643B" w:rsidRPr="0069643B">
        <w:rPr>
          <w:rFonts w:ascii="Arial" w:eastAsia="Calibri" w:hAnsi="Arial" w:cs="Arial"/>
          <w:sz w:val="24"/>
          <w:szCs w:val="24"/>
        </w:rPr>
        <w:t xml:space="preserve"> </w:t>
      </w:r>
      <w:r w:rsidR="0069643B">
        <w:rPr>
          <w:rFonts w:ascii="Arial" w:eastAsia="Calibri" w:hAnsi="Arial" w:cs="Arial"/>
          <w:sz w:val="24"/>
          <w:szCs w:val="24"/>
        </w:rPr>
        <w:t>(REC 16/SS/0172).</w:t>
      </w:r>
    </w:p>
    <w:p w14:paraId="20D15F20" w14:textId="77777777" w:rsidR="00A87B39" w:rsidRPr="00FA3502" w:rsidRDefault="00A87B39" w:rsidP="00FA3502">
      <w:pPr>
        <w:spacing w:after="200" w:line="480" w:lineRule="auto"/>
        <w:rPr>
          <w:rFonts w:ascii="Arial" w:eastAsia="Calibri" w:hAnsi="Arial" w:cs="Arial"/>
          <w:b/>
          <w:sz w:val="24"/>
          <w:szCs w:val="24"/>
        </w:rPr>
      </w:pPr>
      <w:r w:rsidRPr="00FA3502">
        <w:rPr>
          <w:rFonts w:ascii="Arial" w:eastAsia="Calibri" w:hAnsi="Arial" w:cs="Arial"/>
          <w:b/>
          <w:sz w:val="24"/>
          <w:szCs w:val="24"/>
        </w:rPr>
        <w:t>Corresponding author</w:t>
      </w:r>
    </w:p>
    <w:p w14:paraId="1B3B0686" w14:textId="77777777" w:rsidR="00A87B39" w:rsidRPr="00FA3502" w:rsidRDefault="00A87B39" w:rsidP="00FA3502">
      <w:pPr>
        <w:spacing w:after="200" w:line="480" w:lineRule="auto"/>
        <w:rPr>
          <w:rFonts w:ascii="Arial" w:eastAsia="Calibri" w:hAnsi="Arial" w:cs="Arial"/>
          <w:sz w:val="24"/>
          <w:szCs w:val="24"/>
        </w:rPr>
      </w:pPr>
      <w:r w:rsidRPr="00FA3502">
        <w:rPr>
          <w:rFonts w:ascii="Arial" w:eastAsia="Calibri" w:hAnsi="Arial" w:cs="Arial"/>
          <w:sz w:val="24"/>
          <w:szCs w:val="24"/>
        </w:rPr>
        <w:t>Mandy J Peffers</w:t>
      </w:r>
      <w:r w:rsidRPr="00FA3502">
        <w:rPr>
          <w:rFonts w:ascii="Arial" w:eastAsia="Calibri" w:hAnsi="Arial" w:cs="Arial"/>
          <w:sz w:val="24"/>
          <w:szCs w:val="24"/>
        </w:rPr>
        <w:tab/>
      </w:r>
      <w:hyperlink r:id="rId45" w:history="1">
        <w:r w:rsidRPr="00FA3502">
          <w:rPr>
            <w:rFonts w:ascii="Arial" w:eastAsia="Calibri" w:hAnsi="Arial" w:cs="Arial"/>
            <w:sz w:val="24"/>
            <w:szCs w:val="24"/>
          </w:rPr>
          <w:t>peffs@liverpool.ac.uk</w:t>
        </w:r>
      </w:hyperlink>
      <w:r w:rsidRPr="00FA3502">
        <w:rPr>
          <w:rFonts w:ascii="Arial" w:eastAsia="Calibri" w:hAnsi="Arial" w:cs="Arial"/>
          <w:sz w:val="24"/>
          <w:szCs w:val="24"/>
        </w:rPr>
        <w:tab/>
        <w:t>Tel: 07872692102</w:t>
      </w:r>
    </w:p>
    <w:p w14:paraId="063196E4" w14:textId="77777777" w:rsidR="00A87B39" w:rsidRPr="00FA3502" w:rsidRDefault="00A87B39" w:rsidP="00FA3502">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r w:rsidRPr="00FA3502">
        <w:rPr>
          <w:rFonts w:ascii="Arial" w:eastAsia="Bitstream Vera Sans;MS Mincho" w:hAnsi="Arial" w:cs="Arial"/>
          <w:b/>
          <w:bCs/>
          <w:color w:val="000000"/>
          <w:sz w:val="24"/>
          <w:szCs w:val="24"/>
          <w:lang w:eastAsia="zh-CN" w:bidi="hi-IN"/>
        </w:rPr>
        <w:t>Author contributions</w:t>
      </w:r>
    </w:p>
    <w:p w14:paraId="7A0F2FC2" w14:textId="37B2ECB4" w:rsidR="00FA3502" w:rsidRPr="00FA3502" w:rsidRDefault="00FA3502" w:rsidP="00FA3502">
      <w:pPr>
        <w:spacing w:line="480" w:lineRule="auto"/>
        <w:rPr>
          <w:rFonts w:ascii="Arial" w:hAnsi="Arial" w:cs="Arial"/>
          <w:sz w:val="24"/>
          <w:szCs w:val="24"/>
        </w:rPr>
      </w:pPr>
      <w:r w:rsidRPr="00FA3502">
        <w:rPr>
          <w:rFonts w:ascii="Arial" w:hAnsi="Arial" w:cs="Arial"/>
          <w:sz w:val="24"/>
          <w:szCs w:val="24"/>
        </w:rPr>
        <w:t>Wrote the manuscript (J.A.), revised the manuscript (J.A., M.M.P., P.C., M.J.P., L.R.M.</w:t>
      </w:r>
      <w:r w:rsidR="00AA7E22">
        <w:rPr>
          <w:rFonts w:ascii="Arial" w:hAnsi="Arial" w:cs="Arial"/>
          <w:sz w:val="24"/>
          <w:szCs w:val="24"/>
        </w:rPr>
        <w:t>, S.J.</w:t>
      </w:r>
      <w:r w:rsidRPr="00FA3502">
        <w:rPr>
          <w:rFonts w:ascii="Arial" w:hAnsi="Arial" w:cs="Arial"/>
          <w:sz w:val="24"/>
          <w:szCs w:val="24"/>
        </w:rPr>
        <w:t>), sample collection (J.A.</w:t>
      </w:r>
      <w:r w:rsidR="00AA7E22">
        <w:rPr>
          <w:rFonts w:ascii="Arial" w:hAnsi="Arial" w:cs="Arial"/>
          <w:sz w:val="24"/>
          <w:szCs w:val="24"/>
        </w:rPr>
        <w:t>, S.J.</w:t>
      </w:r>
      <w:r w:rsidRPr="00FA3502">
        <w:rPr>
          <w:rFonts w:ascii="Arial" w:hAnsi="Arial" w:cs="Arial"/>
          <w:sz w:val="24"/>
          <w:szCs w:val="24"/>
        </w:rPr>
        <w:t>), experimental procedures (J.A.</w:t>
      </w:r>
      <w:r w:rsidR="008C56B6">
        <w:rPr>
          <w:rFonts w:ascii="Arial" w:hAnsi="Arial" w:cs="Arial"/>
          <w:sz w:val="24"/>
          <w:szCs w:val="24"/>
        </w:rPr>
        <w:t>, M.M.F</w:t>
      </w:r>
      <w:r w:rsidRPr="00FA3502">
        <w:rPr>
          <w:rFonts w:ascii="Arial" w:hAnsi="Arial" w:cs="Arial"/>
          <w:sz w:val="24"/>
          <w:szCs w:val="24"/>
        </w:rPr>
        <w:t xml:space="preserve">), </w:t>
      </w:r>
      <w:r w:rsidRPr="00FA3502">
        <w:rPr>
          <w:rFonts w:ascii="Arial" w:hAnsi="Arial" w:cs="Arial"/>
          <w:sz w:val="24"/>
          <w:szCs w:val="24"/>
        </w:rPr>
        <w:lastRenderedPageBreak/>
        <w:t>analysed the data (J.A., M.M.P.</w:t>
      </w:r>
      <w:r w:rsidR="008C56B6">
        <w:rPr>
          <w:rFonts w:ascii="Arial" w:hAnsi="Arial" w:cs="Arial"/>
          <w:sz w:val="24"/>
          <w:szCs w:val="24"/>
        </w:rPr>
        <w:t>,</w:t>
      </w:r>
      <w:r w:rsidRPr="00FA3502">
        <w:rPr>
          <w:rFonts w:ascii="Arial" w:hAnsi="Arial" w:cs="Arial"/>
          <w:sz w:val="24"/>
          <w:szCs w:val="24"/>
        </w:rPr>
        <w:t xml:space="preserve"> M.J.P.</w:t>
      </w:r>
      <w:r w:rsidR="008C56B6">
        <w:rPr>
          <w:rFonts w:ascii="Arial" w:hAnsi="Arial" w:cs="Arial"/>
          <w:sz w:val="24"/>
          <w:szCs w:val="24"/>
        </w:rPr>
        <w:t>, M.M.F</w:t>
      </w:r>
      <w:r w:rsidRPr="00FA3502">
        <w:rPr>
          <w:rFonts w:ascii="Arial" w:hAnsi="Arial" w:cs="Arial"/>
          <w:sz w:val="24"/>
          <w:szCs w:val="24"/>
        </w:rPr>
        <w:t>), experimental design (J.A., M.M.P., P.C., M.J.P., L.R.M.). All authors read and approved the final manuscript.</w:t>
      </w:r>
    </w:p>
    <w:p w14:paraId="197C1011" w14:textId="5761C2C1" w:rsidR="00652D52" w:rsidRPr="00FA3502" w:rsidRDefault="00652D52" w:rsidP="00FA3502">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24" w:name="_Toc10551733"/>
      <w:r w:rsidRPr="00FA3502">
        <w:rPr>
          <w:rFonts w:ascii="Arial" w:eastAsia="Bitstream Vera Sans;MS Mincho" w:hAnsi="Arial" w:cs="Arial"/>
          <w:b/>
          <w:bCs/>
          <w:color w:val="000000"/>
          <w:sz w:val="24"/>
          <w:szCs w:val="24"/>
          <w:lang w:eastAsia="zh-CN" w:bidi="hi-IN"/>
        </w:rPr>
        <w:t>Funding</w:t>
      </w:r>
      <w:bookmarkEnd w:id="24"/>
      <w:r w:rsidR="00A87B39" w:rsidRPr="00FA3502">
        <w:rPr>
          <w:rFonts w:ascii="Arial" w:eastAsia="Bitstream Vera Sans;MS Mincho" w:hAnsi="Arial" w:cs="Arial"/>
          <w:b/>
          <w:bCs/>
          <w:color w:val="000000"/>
          <w:sz w:val="24"/>
          <w:szCs w:val="24"/>
          <w:lang w:eastAsia="zh-CN" w:bidi="hi-IN"/>
        </w:rPr>
        <w:t xml:space="preserve"> Sources</w:t>
      </w:r>
    </w:p>
    <w:p w14:paraId="478111D3" w14:textId="4AEFD7E9" w:rsidR="00652D52" w:rsidRDefault="00997A0F" w:rsidP="00FA3502">
      <w:pPr>
        <w:spacing w:after="200" w:line="480" w:lineRule="auto"/>
        <w:rPr>
          <w:rFonts w:ascii="Arial" w:eastAsia="Bitstream Vera Sans;MS Mincho" w:hAnsi="Arial" w:cs="Arial"/>
          <w:bCs/>
          <w:sz w:val="24"/>
          <w:szCs w:val="24"/>
          <w:lang w:eastAsia="zh-CN" w:bidi="hi-IN"/>
        </w:rPr>
      </w:pPr>
      <w:r>
        <w:rPr>
          <w:rFonts w:ascii="Arial" w:eastAsia="Bitstream Vera Sans;MS Mincho" w:hAnsi="Arial" w:cs="Arial"/>
          <w:bCs/>
          <w:sz w:val="24"/>
          <w:szCs w:val="24"/>
          <w:lang w:eastAsia="zh-CN" w:bidi="hi-IN"/>
        </w:rPr>
        <w:t>Dr James Anderson wa</w:t>
      </w:r>
      <w:r w:rsidR="00652D52" w:rsidRPr="00FA3502">
        <w:rPr>
          <w:rFonts w:ascii="Arial" w:eastAsia="Bitstream Vera Sans;MS Mincho" w:hAnsi="Arial" w:cs="Arial"/>
          <w:bCs/>
          <w:sz w:val="24"/>
          <w:szCs w:val="24"/>
          <w:lang w:eastAsia="zh-CN" w:bidi="hi-IN"/>
        </w:rPr>
        <w:t>s</w:t>
      </w:r>
      <w:r w:rsidR="00652D52" w:rsidRPr="00116C4A">
        <w:rPr>
          <w:rFonts w:ascii="Arial" w:eastAsia="Bitstream Vera Sans;MS Mincho" w:hAnsi="Arial" w:cs="Arial"/>
          <w:bCs/>
          <w:sz w:val="24"/>
          <w:szCs w:val="24"/>
          <w:lang w:eastAsia="zh-CN" w:bidi="hi-IN"/>
        </w:rPr>
        <w:t xml:space="preserve"> funded through a Horse Tr</w:t>
      </w:r>
      <w:r w:rsidR="00806320">
        <w:rPr>
          <w:rFonts w:ascii="Arial" w:eastAsia="Bitstream Vera Sans;MS Mincho" w:hAnsi="Arial" w:cs="Arial"/>
          <w:bCs/>
          <w:sz w:val="24"/>
          <w:szCs w:val="24"/>
          <w:lang w:eastAsia="zh-CN" w:bidi="hi-IN"/>
        </w:rPr>
        <w:t xml:space="preserve">ust PhD studentship (G1015), </w:t>
      </w:r>
      <w:r w:rsidR="00652D52" w:rsidRPr="00116C4A">
        <w:rPr>
          <w:rFonts w:ascii="Arial" w:eastAsia="Bitstream Vera Sans;MS Mincho" w:hAnsi="Arial" w:cs="Arial"/>
          <w:bCs/>
          <w:sz w:val="24"/>
          <w:szCs w:val="24"/>
          <w:lang w:eastAsia="zh-CN" w:bidi="hi-IN"/>
        </w:rPr>
        <w:t xml:space="preserve">Professor Mandy Peffers through a </w:t>
      </w:r>
      <w:proofErr w:type="spellStart"/>
      <w:r w:rsidR="00652D52" w:rsidRPr="00116C4A">
        <w:rPr>
          <w:rFonts w:ascii="Arial" w:eastAsia="Bitstream Vera Sans;MS Mincho" w:hAnsi="Arial" w:cs="Arial"/>
          <w:bCs/>
          <w:sz w:val="24"/>
          <w:szCs w:val="24"/>
          <w:lang w:eastAsia="zh-CN" w:bidi="hi-IN"/>
        </w:rPr>
        <w:t>Wellcome</w:t>
      </w:r>
      <w:proofErr w:type="spellEnd"/>
      <w:r w:rsidR="00652D52" w:rsidRPr="00116C4A">
        <w:rPr>
          <w:rFonts w:ascii="Arial" w:eastAsia="Bitstream Vera Sans;MS Mincho" w:hAnsi="Arial" w:cs="Arial"/>
          <w:bCs/>
          <w:sz w:val="24"/>
          <w:szCs w:val="24"/>
          <w:lang w:eastAsia="zh-CN" w:bidi="hi-IN"/>
        </w:rPr>
        <w:t xml:space="preserve"> Trust Intermediate Clinical Fellowship (107471/Z/15/Z)</w:t>
      </w:r>
      <w:r w:rsidR="00806320">
        <w:rPr>
          <w:rFonts w:ascii="Arial" w:eastAsia="Bitstream Vera Sans;MS Mincho" w:hAnsi="Arial" w:cs="Arial"/>
          <w:bCs/>
          <w:sz w:val="24"/>
          <w:szCs w:val="24"/>
          <w:lang w:eastAsia="zh-CN" w:bidi="hi-IN"/>
        </w:rPr>
        <w:t xml:space="preserve"> and Mr Matthew Fitzgerald through a Kennel Club Charitable Trust International Canine Health Award</w:t>
      </w:r>
      <w:r w:rsidR="00652D52" w:rsidRPr="00116C4A">
        <w:rPr>
          <w:rFonts w:ascii="Arial" w:eastAsia="Bitstream Vera Sans;MS Mincho" w:hAnsi="Arial" w:cs="Arial"/>
          <w:bCs/>
          <w:sz w:val="24"/>
          <w:szCs w:val="24"/>
          <w:lang w:eastAsia="zh-CN" w:bidi="hi-IN"/>
        </w:rPr>
        <w:t>. Software licences for data analysis used in the Shared Research Facility for NMR metabolomics were funded by the MRC Clinical Research Capabilities and Technologies Initiative (MR/M009114/1).</w:t>
      </w:r>
    </w:p>
    <w:p w14:paraId="63846F91" w14:textId="77777777" w:rsidR="00A87B39" w:rsidRPr="00A87B39" w:rsidRDefault="00A87B39" w:rsidP="00A87B39">
      <w:pPr>
        <w:spacing w:after="200" w:line="480" w:lineRule="auto"/>
        <w:rPr>
          <w:rFonts w:ascii="Arial" w:eastAsia="Bitstream Vera Sans;MS Mincho" w:hAnsi="Arial" w:cs="Arial"/>
          <w:b/>
          <w:sz w:val="24"/>
          <w:szCs w:val="24"/>
          <w:lang w:eastAsia="zh-CN" w:bidi="hi-IN"/>
        </w:rPr>
      </w:pPr>
      <w:r w:rsidRPr="00A87B39">
        <w:rPr>
          <w:rFonts w:ascii="Arial" w:eastAsia="Bitstream Vera Sans;MS Mincho" w:hAnsi="Arial" w:cs="Arial"/>
          <w:b/>
          <w:sz w:val="24"/>
          <w:szCs w:val="24"/>
          <w:lang w:eastAsia="zh-CN" w:bidi="hi-IN"/>
        </w:rPr>
        <w:t>Notes</w:t>
      </w:r>
    </w:p>
    <w:p w14:paraId="32272A5B" w14:textId="6AB8EF01" w:rsidR="00A87B39" w:rsidRDefault="00A87B39" w:rsidP="00A87B39">
      <w:pPr>
        <w:spacing w:after="200" w:line="480" w:lineRule="auto"/>
        <w:rPr>
          <w:rFonts w:ascii="Arial" w:eastAsia="Bitstream Vera Sans;MS Mincho" w:hAnsi="Arial" w:cs="Arial"/>
          <w:bCs/>
          <w:sz w:val="24"/>
          <w:szCs w:val="24"/>
          <w:lang w:eastAsia="zh-CN" w:bidi="hi-IN"/>
        </w:rPr>
      </w:pPr>
      <w:r w:rsidRPr="00A87B39">
        <w:rPr>
          <w:rFonts w:ascii="Arial" w:eastAsia="Bitstream Vera Sans;MS Mincho" w:hAnsi="Arial" w:cs="Arial"/>
          <w:bCs/>
          <w:sz w:val="24"/>
          <w:szCs w:val="24"/>
          <w:lang w:eastAsia="zh-CN" w:bidi="hi-IN"/>
        </w:rPr>
        <w:t>The authors declare no competing financial interest.</w:t>
      </w:r>
    </w:p>
    <w:p w14:paraId="3D95A797" w14:textId="77777777" w:rsidR="00652D52" w:rsidRPr="00116C4A" w:rsidRDefault="00652D52" w:rsidP="00387DB4">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bookmarkStart w:id="25" w:name="_Toc10551734"/>
      <w:bookmarkStart w:id="26" w:name="_Hlk12534871"/>
      <w:r w:rsidRPr="00116C4A">
        <w:rPr>
          <w:rFonts w:ascii="Arial" w:eastAsia="Bitstream Vera Sans;MS Mincho" w:hAnsi="Arial" w:cs="Arial"/>
          <w:b/>
          <w:bCs/>
          <w:color w:val="000000"/>
          <w:sz w:val="24"/>
          <w:szCs w:val="24"/>
          <w:lang w:eastAsia="zh-CN" w:bidi="hi-IN"/>
        </w:rPr>
        <w:t>Acknowledgements</w:t>
      </w:r>
      <w:bookmarkEnd w:id="25"/>
    </w:p>
    <w:bookmarkEnd w:id="26"/>
    <w:p w14:paraId="314B20D3" w14:textId="5B9C15AC" w:rsidR="00CE0951" w:rsidRPr="00AA7E22" w:rsidRDefault="00652D52" w:rsidP="00387DB4">
      <w:pPr>
        <w:autoSpaceDE w:val="0"/>
        <w:autoSpaceDN w:val="0"/>
        <w:adjustRightInd w:val="0"/>
        <w:spacing w:line="480" w:lineRule="auto"/>
        <w:rPr>
          <w:rFonts w:ascii="Arial" w:eastAsia="Calibri" w:hAnsi="Arial" w:cs="Arial"/>
          <w:sz w:val="24"/>
          <w:szCs w:val="24"/>
        </w:rPr>
      </w:pPr>
      <w:r w:rsidRPr="00AA7E22">
        <w:rPr>
          <w:rFonts w:ascii="Arial" w:eastAsia="Calibri" w:hAnsi="Arial" w:cs="Arial"/>
          <w:sz w:val="24"/>
          <w:szCs w:val="24"/>
        </w:rPr>
        <w:t xml:space="preserve">The authors would like to thank staff at F Drury and Sons abattoir, Swindon, staff and patients at </w:t>
      </w:r>
      <w:r w:rsidR="00AA7E22" w:rsidRPr="00AA7E22">
        <w:rPr>
          <w:rFonts w:ascii="Arial" w:eastAsia="Calibri" w:hAnsi="Arial" w:cs="Arial"/>
          <w:sz w:val="24"/>
          <w:szCs w:val="24"/>
        </w:rPr>
        <w:t>The Royal Orthopaedic Hospital</w:t>
      </w:r>
      <w:r w:rsidR="00516F60">
        <w:rPr>
          <w:rFonts w:ascii="Arial" w:eastAsia="Calibri" w:hAnsi="Arial" w:cs="Arial"/>
          <w:sz w:val="24"/>
          <w:szCs w:val="24"/>
        </w:rPr>
        <w:t>, Birmingham,</w:t>
      </w:r>
      <w:r w:rsidR="00AA7E22" w:rsidRPr="00AA7E22">
        <w:rPr>
          <w:rFonts w:ascii="Arial" w:eastAsia="Calibri" w:hAnsi="Arial" w:cs="Arial"/>
          <w:sz w:val="24"/>
          <w:szCs w:val="24"/>
        </w:rPr>
        <w:t xml:space="preserve"> </w:t>
      </w:r>
      <w:r w:rsidR="00E47095">
        <w:rPr>
          <w:rFonts w:ascii="Arial" w:eastAsia="Calibri" w:hAnsi="Arial" w:cs="Arial"/>
          <w:sz w:val="24"/>
          <w:szCs w:val="24"/>
        </w:rPr>
        <w:t>Mr Jake Ellis</w:t>
      </w:r>
      <w:r w:rsidR="000F7432">
        <w:rPr>
          <w:rFonts w:ascii="Arial" w:eastAsia="Calibri" w:hAnsi="Arial" w:cs="Arial"/>
          <w:sz w:val="24"/>
          <w:szCs w:val="24"/>
        </w:rPr>
        <w:t>, Cardiff University,</w:t>
      </w:r>
      <w:r w:rsidR="00E47095">
        <w:rPr>
          <w:rFonts w:ascii="Arial" w:eastAsia="Calibri" w:hAnsi="Arial" w:cs="Arial"/>
          <w:sz w:val="24"/>
          <w:szCs w:val="24"/>
        </w:rPr>
        <w:t xml:space="preserve"> for </w:t>
      </w:r>
      <w:r w:rsidR="00DE4321">
        <w:rPr>
          <w:rFonts w:ascii="Arial" w:eastAsia="Calibri" w:hAnsi="Arial" w:cs="Arial"/>
          <w:sz w:val="24"/>
          <w:szCs w:val="24"/>
        </w:rPr>
        <w:t>undertaking</w:t>
      </w:r>
      <w:r w:rsidR="00E47095">
        <w:rPr>
          <w:rFonts w:ascii="Arial" w:eastAsia="Calibri" w:hAnsi="Arial" w:cs="Arial"/>
          <w:sz w:val="24"/>
          <w:szCs w:val="24"/>
        </w:rPr>
        <w:t xml:space="preserve"> NMR</w:t>
      </w:r>
      <w:r w:rsidR="008C3145">
        <w:rPr>
          <w:rFonts w:ascii="Arial" w:eastAsia="Calibri" w:hAnsi="Arial" w:cs="Arial"/>
          <w:sz w:val="24"/>
          <w:szCs w:val="24"/>
        </w:rPr>
        <w:t xml:space="preserve"> </w:t>
      </w:r>
      <w:r w:rsidR="00E47095">
        <w:rPr>
          <w:rFonts w:ascii="Arial" w:eastAsia="Calibri" w:hAnsi="Arial" w:cs="Arial"/>
          <w:sz w:val="24"/>
          <w:szCs w:val="24"/>
        </w:rPr>
        <w:t>file depositions</w:t>
      </w:r>
      <w:r w:rsidR="0040398B">
        <w:rPr>
          <w:rFonts w:ascii="Arial" w:eastAsia="Calibri" w:hAnsi="Arial" w:cs="Arial"/>
          <w:sz w:val="24"/>
          <w:szCs w:val="24"/>
        </w:rPr>
        <w:t xml:space="preserve">, </w:t>
      </w:r>
      <w:r w:rsidRPr="00AA7E22">
        <w:rPr>
          <w:rFonts w:ascii="Arial" w:eastAsia="Calibri" w:hAnsi="Arial" w:cs="Arial"/>
          <w:sz w:val="24"/>
          <w:szCs w:val="24"/>
        </w:rPr>
        <w:t>members of the Centre for Protein Research, University of Liverpool</w:t>
      </w:r>
      <w:r w:rsidR="00516F60">
        <w:rPr>
          <w:rFonts w:ascii="Arial" w:eastAsia="Calibri" w:hAnsi="Arial" w:cs="Arial"/>
          <w:sz w:val="24"/>
          <w:szCs w:val="24"/>
        </w:rPr>
        <w:t>,</w:t>
      </w:r>
      <w:r w:rsidRPr="00AA7E22">
        <w:rPr>
          <w:rFonts w:ascii="Arial" w:eastAsia="Calibri" w:hAnsi="Arial" w:cs="Arial"/>
          <w:sz w:val="24"/>
          <w:szCs w:val="24"/>
        </w:rPr>
        <w:t xml:space="preserve"> including Professor Rob </w:t>
      </w:r>
      <w:proofErr w:type="spellStart"/>
      <w:r w:rsidRPr="00AA7E22">
        <w:rPr>
          <w:rFonts w:ascii="Arial" w:eastAsia="Calibri" w:hAnsi="Arial" w:cs="Arial"/>
          <w:sz w:val="24"/>
          <w:szCs w:val="24"/>
        </w:rPr>
        <w:t>Beynon</w:t>
      </w:r>
      <w:proofErr w:type="spellEnd"/>
      <w:r w:rsidRPr="00AA7E22">
        <w:rPr>
          <w:rFonts w:ascii="Arial" w:eastAsia="Calibri" w:hAnsi="Arial" w:cs="Arial"/>
          <w:sz w:val="24"/>
          <w:szCs w:val="24"/>
        </w:rPr>
        <w:t>, Dr Philip Brownridge and Ms Lynn McLean</w:t>
      </w:r>
      <w:r w:rsidR="0040398B">
        <w:rPr>
          <w:rFonts w:ascii="Arial" w:eastAsia="Calibri" w:hAnsi="Arial" w:cs="Arial"/>
          <w:sz w:val="24"/>
          <w:szCs w:val="24"/>
        </w:rPr>
        <w:t xml:space="preserve"> and Dr Emma Wilson, University of Chester, for creating an original illustration for the abstract</w:t>
      </w:r>
      <w:r w:rsidR="00C17540">
        <w:rPr>
          <w:rFonts w:ascii="Arial" w:eastAsia="Calibri" w:hAnsi="Arial" w:cs="Arial"/>
          <w:sz w:val="24"/>
          <w:szCs w:val="24"/>
        </w:rPr>
        <w:t xml:space="preserve"> graphic</w:t>
      </w:r>
      <w:r w:rsidR="0040398B">
        <w:rPr>
          <w:rFonts w:ascii="Arial" w:eastAsia="Calibri" w:hAnsi="Arial" w:cs="Arial"/>
          <w:sz w:val="24"/>
          <w:szCs w:val="24"/>
        </w:rPr>
        <w:t>.</w:t>
      </w:r>
    </w:p>
    <w:p w14:paraId="02B13ED6" w14:textId="77777777" w:rsidR="00A87B39" w:rsidRPr="00A87B39" w:rsidRDefault="00A87B39" w:rsidP="00A87B39">
      <w:pPr>
        <w:spacing w:after="200" w:line="480" w:lineRule="auto"/>
        <w:rPr>
          <w:rFonts w:ascii="Arial" w:eastAsia="Calibri" w:hAnsi="Arial" w:cs="Arial"/>
          <w:b/>
          <w:sz w:val="24"/>
          <w:szCs w:val="24"/>
        </w:rPr>
      </w:pPr>
      <w:r w:rsidRPr="00A87B39">
        <w:rPr>
          <w:rFonts w:ascii="Arial" w:eastAsia="Calibri" w:hAnsi="Arial" w:cs="Arial"/>
          <w:b/>
          <w:sz w:val="24"/>
          <w:szCs w:val="24"/>
        </w:rPr>
        <w:t>Abbreviations</w:t>
      </w:r>
    </w:p>
    <w:p w14:paraId="00172834" w14:textId="0DF84EAA" w:rsidR="001D0D9B" w:rsidRPr="001D0D9B" w:rsidRDefault="001D0D9B" w:rsidP="001D0D9B">
      <w:pPr>
        <w:spacing w:after="200" w:line="480" w:lineRule="auto"/>
        <w:rPr>
          <w:rFonts w:ascii="Arial" w:eastAsia="Calibri" w:hAnsi="Arial" w:cs="Arial"/>
          <w:sz w:val="24"/>
          <w:szCs w:val="24"/>
        </w:rPr>
      </w:pPr>
      <w:r w:rsidRPr="001D0D9B">
        <w:rPr>
          <w:rFonts w:ascii="Arial" w:eastAsia="Calibri" w:hAnsi="Arial" w:cs="Arial"/>
          <w:sz w:val="24"/>
          <w:szCs w:val="24"/>
        </w:rPr>
        <w:t xml:space="preserve">1D SDS PAGE, One dimensional sodium dodecyl sulphate polyacrylamide gel electrophoresis; CHAPS, 3-((3-cholamidopropyl) </w:t>
      </w:r>
      <w:proofErr w:type="spellStart"/>
      <w:r w:rsidRPr="001D0D9B">
        <w:rPr>
          <w:rFonts w:ascii="Arial" w:eastAsia="Calibri" w:hAnsi="Arial" w:cs="Arial"/>
          <w:sz w:val="24"/>
          <w:szCs w:val="24"/>
        </w:rPr>
        <w:t>dimethylammonio</w:t>
      </w:r>
      <w:proofErr w:type="spellEnd"/>
      <w:r w:rsidRPr="001D0D9B">
        <w:rPr>
          <w:rFonts w:ascii="Arial" w:eastAsia="Calibri" w:hAnsi="Arial" w:cs="Arial"/>
          <w:sz w:val="24"/>
          <w:szCs w:val="24"/>
        </w:rPr>
        <w:t xml:space="preserve">)-1-propanesulfonate; CPMG, </w:t>
      </w:r>
      <w:proofErr w:type="spellStart"/>
      <w:r w:rsidRPr="001D0D9B">
        <w:rPr>
          <w:rFonts w:ascii="Arial" w:eastAsia="Calibri" w:hAnsi="Arial" w:cs="Arial"/>
          <w:sz w:val="24"/>
          <w:szCs w:val="24"/>
        </w:rPr>
        <w:t>Carr</w:t>
      </w:r>
      <w:proofErr w:type="spellEnd"/>
      <w:r w:rsidRPr="001D0D9B">
        <w:rPr>
          <w:rFonts w:ascii="Arial" w:eastAsia="Calibri" w:hAnsi="Arial" w:cs="Arial"/>
          <w:sz w:val="24"/>
          <w:szCs w:val="24"/>
        </w:rPr>
        <w:t>-Purcell-</w:t>
      </w:r>
      <w:proofErr w:type="spellStart"/>
      <w:r w:rsidRPr="001D0D9B">
        <w:rPr>
          <w:rFonts w:ascii="Arial" w:eastAsia="Calibri" w:hAnsi="Arial" w:cs="Arial"/>
          <w:sz w:val="24"/>
          <w:szCs w:val="24"/>
        </w:rPr>
        <w:t>Meiboom</w:t>
      </w:r>
      <w:proofErr w:type="spellEnd"/>
      <w:r w:rsidRPr="001D0D9B">
        <w:rPr>
          <w:rFonts w:ascii="Arial" w:eastAsia="Calibri" w:hAnsi="Arial" w:cs="Arial"/>
          <w:sz w:val="24"/>
          <w:szCs w:val="24"/>
        </w:rPr>
        <w:t xml:space="preserve">-Gill; CV, Coefficient of variation; </w:t>
      </w:r>
      <w:r w:rsidRPr="001D0D9B">
        <w:rPr>
          <w:rFonts w:ascii="Arial" w:eastAsia="Calibri" w:hAnsi="Arial" w:cs="Arial"/>
          <w:sz w:val="24"/>
          <w:szCs w:val="24"/>
        </w:rPr>
        <w:lastRenderedPageBreak/>
        <w:t xml:space="preserve">FDR, False discovery rate; FT, Flow-through; HPLC, High performance liquid chromatography; LC-MS/MS, Liquid chromatography tandem mass spectrometry; MCP, Metacarpophalangeal; MS, Mass spectrometry; NMR, Nuclear magnetic resonance; PBS, Phosphate buffered saline; PCA, Principal component analysis; SF, Synovial fluid; TFA, </w:t>
      </w:r>
      <w:proofErr w:type="spellStart"/>
      <w:r w:rsidRPr="0016536B">
        <w:rPr>
          <w:rFonts w:ascii="Arial" w:eastAsia="Calibri" w:hAnsi="Arial" w:cs="Arial"/>
          <w:sz w:val="24"/>
          <w:szCs w:val="24"/>
        </w:rPr>
        <w:t>Trifluoroacetic</w:t>
      </w:r>
      <w:proofErr w:type="spellEnd"/>
      <w:r w:rsidRPr="0016536B">
        <w:rPr>
          <w:rFonts w:ascii="Arial" w:eastAsia="Calibri" w:hAnsi="Arial" w:cs="Arial"/>
          <w:sz w:val="24"/>
          <w:szCs w:val="24"/>
        </w:rPr>
        <w:t xml:space="preserve"> acid</w:t>
      </w:r>
      <w:r w:rsidR="0016536B" w:rsidRPr="00DC5747">
        <w:rPr>
          <w:rFonts w:ascii="Arial" w:hAnsi="Arial" w:cs="Arial"/>
          <w:sz w:val="24"/>
          <w:szCs w:val="24"/>
        </w:rPr>
        <w:t xml:space="preserve">; TSP, </w:t>
      </w:r>
      <w:proofErr w:type="spellStart"/>
      <w:r w:rsidR="0016536B" w:rsidRPr="0016536B">
        <w:rPr>
          <w:rFonts w:ascii="Arial" w:eastAsia="Calibri" w:hAnsi="Arial" w:cs="Arial"/>
          <w:sz w:val="24"/>
          <w:szCs w:val="24"/>
        </w:rPr>
        <w:t>Trimethylsilylpropanoic</w:t>
      </w:r>
      <w:proofErr w:type="spellEnd"/>
      <w:r w:rsidR="0016536B" w:rsidRPr="0016536B">
        <w:rPr>
          <w:rFonts w:ascii="Arial" w:eastAsia="Calibri" w:hAnsi="Arial" w:cs="Arial"/>
          <w:sz w:val="24"/>
          <w:szCs w:val="24"/>
        </w:rPr>
        <w:t xml:space="preserve"> acid.</w:t>
      </w:r>
    </w:p>
    <w:p w14:paraId="2A3717BE" w14:textId="48AB5097" w:rsidR="00CE0951" w:rsidRPr="00116C4A" w:rsidRDefault="00CE0951" w:rsidP="00387DB4">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r w:rsidRPr="00116C4A">
        <w:rPr>
          <w:rFonts w:ascii="Arial" w:eastAsia="Bitstream Vera Sans;MS Mincho" w:hAnsi="Arial" w:cs="Arial"/>
          <w:b/>
          <w:bCs/>
          <w:color w:val="000000"/>
          <w:sz w:val="24"/>
          <w:szCs w:val="24"/>
          <w:lang w:eastAsia="zh-CN" w:bidi="hi-IN"/>
        </w:rPr>
        <w:t>References</w:t>
      </w:r>
    </w:p>
    <w:p w14:paraId="3FE394E6" w14:textId="46A031F2" w:rsidR="003E1EDC" w:rsidRPr="003E1EDC" w:rsidRDefault="00CE0951" w:rsidP="003E1EDC">
      <w:pPr>
        <w:widowControl w:val="0"/>
        <w:autoSpaceDE w:val="0"/>
        <w:autoSpaceDN w:val="0"/>
        <w:adjustRightInd w:val="0"/>
        <w:spacing w:line="480" w:lineRule="auto"/>
        <w:ind w:left="640" w:hanging="640"/>
        <w:rPr>
          <w:rFonts w:ascii="Arial" w:hAnsi="Arial" w:cs="Arial"/>
          <w:noProof/>
          <w:sz w:val="24"/>
          <w:szCs w:val="24"/>
        </w:rPr>
      </w:pPr>
      <w:r w:rsidRPr="00116C4A">
        <w:rPr>
          <w:rFonts w:ascii="Arial" w:eastAsia="Calibri" w:hAnsi="Arial" w:cs="Arial"/>
          <w:sz w:val="24"/>
          <w:szCs w:val="24"/>
        </w:rPr>
        <w:fldChar w:fldCharType="begin" w:fldLock="1"/>
      </w:r>
      <w:r w:rsidRPr="00116C4A">
        <w:rPr>
          <w:rFonts w:ascii="Arial" w:eastAsia="Calibri" w:hAnsi="Arial" w:cs="Arial"/>
          <w:sz w:val="24"/>
          <w:szCs w:val="24"/>
        </w:rPr>
        <w:instrText xml:space="preserve">ADDIN Mendeley Bibliography CSL_BIBLIOGRAPHY </w:instrText>
      </w:r>
      <w:r w:rsidRPr="00116C4A">
        <w:rPr>
          <w:rFonts w:ascii="Arial" w:eastAsia="Calibri" w:hAnsi="Arial" w:cs="Arial"/>
          <w:sz w:val="24"/>
          <w:szCs w:val="24"/>
        </w:rPr>
        <w:fldChar w:fldCharType="separate"/>
      </w:r>
      <w:r w:rsidR="003E1EDC" w:rsidRPr="003E1EDC">
        <w:rPr>
          <w:rFonts w:ascii="Arial" w:hAnsi="Arial" w:cs="Arial"/>
          <w:noProof/>
          <w:sz w:val="24"/>
          <w:szCs w:val="24"/>
        </w:rPr>
        <w:t xml:space="preserve">(1) </w:t>
      </w:r>
      <w:r w:rsidR="003E1EDC" w:rsidRPr="003E1EDC">
        <w:rPr>
          <w:rFonts w:ascii="Arial" w:hAnsi="Arial" w:cs="Arial"/>
          <w:noProof/>
          <w:sz w:val="24"/>
          <w:szCs w:val="24"/>
        </w:rPr>
        <w:tab/>
        <w:t xml:space="preserve">Tamer, T. M. Hyaluronan and Synovial Joint: Function, Distribution and Healing. </w:t>
      </w:r>
      <w:r w:rsidR="003E1EDC" w:rsidRPr="003E1EDC">
        <w:rPr>
          <w:rFonts w:ascii="Arial" w:hAnsi="Arial" w:cs="Arial"/>
          <w:i/>
          <w:iCs/>
          <w:noProof/>
          <w:sz w:val="24"/>
          <w:szCs w:val="24"/>
        </w:rPr>
        <w:t>Interdiscip. Toxicol.</w:t>
      </w:r>
      <w:r w:rsidR="003E1EDC" w:rsidRPr="003E1EDC">
        <w:rPr>
          <w:rFonts w:ascii="Arial" w:hAnsi="Arial" w:cs="Arial"/>
          <w:noProof/>
          <w:sz w:val="24"/>
          <w:szCs w:val="24"/>
        </w:rPr>
        <w:t xml:space="preserve"> </w:t>
      </w:r>
      <w:r w:rsidR="003E1EDC" w:rsidRPr="003E1EDC">
        <w:rPr>
          <w:rFonts w:ascii="Arial" w:hAnsi="Arial" w:cs="Arial"/>
          <w:b/>
          <w:bCs/>
          <w:noProof/>
          <w:sz w:val="24"/>
          <w:szCs w:val="24"/>
        </w:rPr>
        <w:t>2013</w:t>
      </w:r>
      <w:r w:rsidR="003E1EDC" w:rsidRPr="003E1EDC">
        <w:rPr>
          <w:rFonts w:ascii="Arial" w:hAnsi="Arial" w:cs="Arial"/>
          <w:noProof/>
          <w:sz w:val="24"/>
          <w:szCs w:val="24"/>
        </w:rPr>
        <w:t xml:space="preserve">, </w:t>
      </w:r>
      <w:r w:rsidR="003E1EDC" w:rsidRPr="003E1EDC">
        <w:rPr>
          <w:rFonts w:ascii="Arial" w:hAnsi="Arial" w:cs="Arial"/>
          <w:i/>
          <w:iCs/>
          <w:noProof/>
          <w:sz w:val="24"/>
          <w:szCs w:val="24"/>
        </w:rPr>
        <w:t>6</w:t>
      </w:r>
      <w:r w:rsidR="003E1EDC" w:rsidRPr="003E1EDC">
        <w:rPr>
          <w:rFonts w:ascii="Arial" w:hAnsi="Arial" w:cs="Arial"/>
          <w:noProof/>
          <w:sz w:val="24"/>
          <w:szCs w:val="24"/>
        </w:rPr>
        <w:t xml:space="preserve"> (3), 111–125. https://doi.org/10.2478/intox-2013-0019.</w:t>
      </w:r>
    </w:p>
    <w:p w14:paraId="18D40D9B"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 </w:t>
      </w:r>
      <w:r w:rsidRPr="003E1EDC">
        <w:rPr>
          <w:rFonts w:ascii="Arial" w:hAnsi="Arial" w:cs="Arial"/>
          <w:noProof/>
          <w:sz w:val="24"/>
          <w:szCs w:val="24"/>
        </w:rPr>
        <w:tab/>
        <w:t xml:space="preserve">Blewis, M. E.; Nugent-Derfus, G. E.; Schmidt, T. A.; Schumacher, B. L.; Sah, R. L. A Model of Synovial Fluid Lubricant Composition in Normal and Injured Joints. </w:t>
      </w:r>
      <w:r w:rsidRPr="003E1EDC">
        <w:rPr>
          <w:rFonts w:ascii="Arial" w:hAnsi="Arial" w:cs="Arial"/>
          <w:i/>
          <w:iCs/>
          <w:noProof/>
          <w:sz w:val="24"/>
          <w:szCs w:val="24"/>
        </w:rPr>
        <w:t>Eur Cell Mater</w:t>
      </w:r>
      <w:r w:rsidRPr="003E1EDC">
        <w:rPr>
          <w:rFonts w:ascii="Arial" w:hAnsi="Arial" w:cs="Arial"/>
          <w:noProof/>
          <w:sz w:val="24"/>
          <w:szCs w:val="24"/>
        </w:rPr>
        <w:t xml:space="preserve"> </w:t>
      </w:r>
      <w:r w:rsidRPr="003E1EDC">
        <w:rPr>
          <w:rFonts w:ascii="Arial" w:hAnsi="Arial" w:cs="Arial"/>
          <w:b/>
          <w:bCs/>
          <w:noProof/>
          <w:sz w:val="24"/>
          <w:szCs w:val="24"/>
        </w:rPr>
        <w:t>2007</w:t>
      </w:r>
      <w:r w:rsidRPr="003E1EDC">
        <w:rPr>
          <w:rFonts w:ascii="Arial" w:hAnsi="Arial" w:cs="Arial"/>
          <w:noProof/>
          <w:sz w:val="24"/>
          <w:szCs w:val="24"/>
        </w:rPr>
        <w:t xml:space="preserve">, </w:t>
      </w:r>
      <w:r w:rsidRPr="003E1EDC">
        <w:rPr>
          <w:rFonts w:ascii="Arial" w:hAnsi="Arial" w:cs="Arial"/>
          <w:i/>
          <w:iCs/>
          <w:noProof/>
          <w:sz w:val="24"/>
          <w:szCs w:val="24"/>
        </w:rPr>
        <w:t>13</w:t>
      </w:r>
      <w:r w:rsidRPr="003E1EDC">
        <w:rPr>
          <w:rFonts w:ascii="Arial" w:hAnsi="Arial" w:cs="Arial"/>
          <w:noProof/>
          <w:sz w:val="24"/>
          <w:szCs w:val="24"/>
        </w:rPr>
        <w:t>, 26–39.</w:t>
      </w:r>
    </w:p>
    <w:p w14:paraId="1A1AA2D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 </w:t>
      </w:r>
      <w:r w:rsidRPr="003E1EDC">
        <w:rPr>
          <w:rFonts w:ascii="Arial" w:hAnsi="Arial" w:cs="Arial"/>
          <w:noProof/>
          <w:sz w:val="24"/>
          <w:szCs w:val="24"/>
        </w:rPr>
        <w:tab/>
        <w:t xml:space="preserve">Anderson, J. R.; Phelan, M. M.; Clegg, P. D.; Peffers, M. J.; Rubio-Martinez, L. M. Synovial Fluid Metabolites Differentiate between Septic and Nonseptic Joint Pathologies. </w:t>
      </w:r>
      <w:r w:rsidRPr="003E1EDC">
        <w:rPr>
          <w:rFonts w:ascii="Arial" w:hAnsi="Arial" w:cs="Arial"/>
          <w:i/>
          <w:iCs/>
          <w:noProof/>
          <w:sz w:val="24"/>
          <w:szCs w:val="24"/>
        </w:rPr>
        <w:t>J. Proteome Res.</w:t>
      </w:r>
      <w:r w:rsidRPr="003E1EDC">
        <w:rPr>
          <w:rFonts w:ascii="Arial" w:hAnsi="Arial" w:cs="Arial"/>
          <w:noProof/>
          <w:sz w:val="24"/>
          <w:szCs w:val="24"/>
        </w:rPr>
        <w:t xml:space="preserve"> </w:t>
      </w:r>
      <w:r w:rsidRPr="003E1EDC">
        <w:rPr>
          <w:rFonts w:ascii="Arial" w:hAnsi="Arial" w:cs="Arial"/>
          <w:b/>
          <w:bCs/>
          <w:noProof/>
          <w:sz w:val="24"/>
          <w:szCs w:val="24"/>
        </w:rPr>
        <w:t>2018</w:t>
      </w:r>
      <w:r w:rsidRPr="003E1EDC">
        <w:rPr>
          <w:rFonts w:ascii="Arial" w:hAnsi="Arial" w:cs="Arial"/>
          <w:noProof/>
          <w:sz w:val="24"/>
          <w:szCs w:val="24"/>
        </w:rPr>
        <w:t xml:space="preserve">, </w:t>
      </w:r>
      <w:r w:rsidRPr="003E1EDC">
        <w:rPr>
          <w:rFonts w:ascii="Arial" w:hAnsi="Arial" w:cs="Arial"/>
          <w:i/>
          <w:iCs/>
          <w:noProof/>
          <w:sz w:val="24"/>
          <w:szCs w:val="24"/>
        </w:rPr>
        <w:t>17</w:t>
      </w:r>
      <w:r w:rsidRPr="003E1EDC">
        <w:rPr>
          <w:rFonts w:ascii="Arial" w:hAnsi="Arial" w:cs="Arial"/>
          <w:noProof/>
          <w:sz w:val="24"/>
          <w:szCs w:val="24"/>
        </w:rPr>
        <w:t xml:space="preserve"> (8), 2735–2743. https://doi.org/10.1021/acs.jproteome.8b00190.</w:t>
      </w:r>
    </w:p>
    <w:p w14:paraId="0AE4E58D"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 </w:t>
      </w:r>
      <w:r w:rsidRPr="003E1EDC">
        <w:rPr>
          <w:rFonts w:ascii="Arial" w:hAnsi="Arial" w:cs="Arial"/>
          <w:noProof/>
          <w:sz w:val="24"/>
          <w:szCs w:val="24"/>
        </w:rPr>
        <w:tab/>
        <w:t xml:space="preserve">Mateos, J.; Lourido, L.; Fernandez-Puente, P.; Calamia, V.; Fernandez-Lopez, C.; Oreiro, N.; Ruiz-Romero, C.; Blanco, F. J. Differential Protein Profiling of Synovial Fluid from Rheumatoid Arthritis and Osteoarthritis Patients Using LC-MALDI TOF/TOF. </w:t>
      </w:r>
      <w:r w:rsidRPr="003E1EDC">
        <w:rPr>
          <w:rFonts w:ascii="Arial" w:hAnsi="Arial" w:cs="Arial"/>
          <w:i/>
          <w:iCs/>
          <w:noProof/>
          <w:sz w:val="24"/>
          <w:szCs w:val="24"/>
        </w:rPr>
        <w:t>J Proteomics</w:t>
      </w:r>
      <w:r w:rsidRPr="003E1EDC">
        <w:rPr>
          <w:rFonts w:ascii="Arial" w:hAnsi="Arial" w:cs="Arial"/>
          <w:noProof/>
          <w:sz w:val="24"/>
          <w:szCs w:val="24"/>
        </w:rPr>
        <w:t xml:space="preserve"> </w:t>
      </w:r>
      <w:r w:rsidRPr="003E1EDC">
        <w:rPr>
          <w:rFonts w:ascii="Arial" w:hAnsi="Arial" w:cs="Arial"/>
          <w:b/>
          <w:bCs/>
          <w:noProof/>
          <w:sz w:val="24"/>
          <w:szCs w:val="24"/>
        </w:rPr>
        <w:t>2012</w:t>
      </w:r>
      <w:r w:rsidRPr="003E1EDC">
        <w:rPr>
          <w:rFonts w:ascii="Arial" w:hAnsi="Arial" w:cs="Arial"/>
          <w:noProof/>
          <w:sz w:val="24"/>
          <w:szCs w:val="24"/>
        </w:rPr>
        <w:t xml:space="preserve">, </w:t>
      </w:r>
      <w:r w:rsidRPr="003E1EDC">
        <w:rPr>
          <w:rFonts w:ascii="Arial" w:hAnsi="Arial" w:cs="Arial"/>
          <w:i/>
          <w:iCs/>
          <w:noProof/>
          <w:sz w:val="24"/>
          <w:szCs w:val="24"/>
        </w:rPr>
        <w:t>75</w:t>
      </w:r>
      <w:r w:rsidRPr="003E1EDC">
        <w:rPr>
          <w:rFonts w:ascii="Arial" w:hAnsi="Arial" w:cs="Arial"/>
          <w:noProof/>
          <w:sz w:val="24"/>
          <w:szCs w:val="24"/>
        </w:rPr>
        <w:t xml:space="preserve"> (10), 2869–2878. https://doi.org/10.1016/j.jprot.2011.12.042.</w:t>
      </w:r>
    </w:p>
    <w:p w14:paraId="0A46F97D"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 </w:t>
      </w:r>
      <w:r w:rsidRPr="003E1EDC">
        <w:rPr>
          <w:rFonts w:ascii="Arial" w:hAnsi="Arial" w:cs="Arial"/>
          <w:noProof/>
          <w:sz w:val="24"/>
          <w:szCs w:val="24"/>
        </w:rPr>
        <w:tab/>
        <w:t xml:space="preserve">Peffers, M. J.; Smagul, A.; Anderson, J. R. Proteomic Analysis of Synovial Fluid: Current and Potential Uses to Improve Clinical Outcomes. </w:t>
      </w:r>
      <w:r w:rsidRPr="003E1EDC">
        <w:rPr>
          <w:rFonts w:ascii="Arial" w:hAnsi="Arial" w:cs="Arial"/>
          <w:i/>
          <w:iCs/>
          <w:noProof/>
          <w:sz w:val="24"/>
          <w:szCs w:val="24"/>
        </w:rPr>
        <w:t xml:space="preserve">Expert Rev. </w:t>
      </w:r>
      <w:r w:rsidRPr="003E1EDC">
        <w:rPr>
          <w:rFonts w:ascii="Arial" w:hAnsi="Arial" w:cs="Arial"/>
          <w:i/>
          <w:iCs/>
          <w:noProof/>
          <w:sz w:val="24"/>
          <w:szCs w:val="24"/>
        </w:rPr>
        <w:lastRenderedPageBreak/>
        <w:t>Proteomics</w:t>
      </w:r>
      <w:r w:rsidRPr="003E1EDC">
        <w:rPr>
          <w:rFonts w:ascii="Arial" w:hAnsi="Arial" w:cs="Arial"/>
          <w:noProof/>
          <w:sz w:val="24"/>
          <w:szCs w:val="24"/>
        </w:rPr>
        <w:t xml:space="preserve"> </w:t>
      </w:r>
      <w:r w:rsidRPr="003E1EDC">
        <w:rPr>
          <w:rFonts w:ascii="Arial" w:hAnsi="Arial" w:cs="Arial"/>
          <w:b/>
          <w:bCs/>
          <w:noProof/>
          <w:sz w:val="24"/>
          <w:szCs w:val="24"/>
        </w:rPr>
        <w:t>2019</w:t>
      </w:r>
      <w:r w:rsidRPr="003E1EDC">
        <w:rPr>
          <w:rFonts w:ascii="Arial" w:hAnsi="Arial" w:cs="Arial"/>
          <w:noProof/>
          <w:sz w:val="24"/>
          <w:szCs w:val="24"/>
        </w:rPr>
        <w:t xml:space="preserve">, </w:t>
      </w:r>
      <w:r w:rsidRPr="003E1EDC">
        <w:rPr>
          <w:rFonts w:ascii="Arial" w:hAnsi="Arial" w:cs="Arial"/>
          <w:i/>
          <w:iCs/>
          <w:noProof/>
          <w:sz w:val="24"/>
          <w:szCs w:val="24"/>
        </w:rPr>
        <w:t>16</w:t>
      </w:r>
      <w:r w:rsidRPr="003E1EDC">
        <w:rPr>
          <w:rFonts w:ascii="Arial" w:hAnsi="Arial" w:cs="Arial"/>
          <w:noProof/>
          <w:sz w:val="24"/>
          <w:szCs w:val="24"/>
        </w:rPr>
        <w:t xml:space="preserve"> (4), 287–302. https://doi.org/10.1080/14789450.2019.1578214.</w:t>
      </w:r>
    </w:p>
    <w:p w14:paraId="5FDDEAC7"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(6) </w:t>
      </w:r>
      <w:r w:rsidRPr="003E1EDC">
        <w:rPr>
          <w:rFonts w:ascii="Arial" w:hAnsi="Arial" w:cs="Arial"/>
          <w:noProof/>
          <w:sz w:val="24"/>
          <w:szCs w:val="24"/>
        </w:rPr>
        <w:tab/>
        <w:t xml:space="preserve">Cavill, R.; Jennen, D.; Kleinjans, J.; Briedé, J. J. Transcriptomic and Metabolomic Data Integration. </w:t>
      </w:r>
      <w:r w:rsidRPr="003E1EDC">
        <w:rPr>
          <w:rFonts w:ascii="Arial" w:hAnsi="Arial" w:cs="Arial"/>
          <w:i/>
          <w:iCs/>
          <w:noProof/>
          <w:sz w:val="24"/>
          <w:szCs w:val="24"/>
        </w:rPr>
        <w:t>Brief. Bioinform.</w:t>
      </w:r>
      <w:r w:rsidRPr="003E1EDC">
        <w:rPr>
          <w:rFonts w:ascii="Arial" w:hAnsi="Arial" w:cs="Arial"/>
          <w:noProof/>
          <w:sz w:val="24"/>
          <w:szCs w:val="24"/>
        </w:rPr>
        <w:t xml:space="preserve"> </w:t>
      </w:r>
      <w:r w:rsidRPr="003E1EDC">
        <w:rPr>
          <w:rFonts w:ascii="Arial" w:hAnsi="Arial" w:cs="Arial"/>
          <w:b/>
          <w:bCs/>
          <w:noProof/>
          <w:sz w:val="24"/>
          <w:szCs w:val="24"/>
        </w:rPr>
        <w:t>2016</w:t>
      </w:r>
      <w:r w:rsidRPr="003E1EDC">
        <w:rPr>
          <w:rFonts w:ascii="Arial" w:hAnsi="Arial" w:cs="Arial"/>
          <w:noProof/>
          <w:sz w:val="24"/>
          <w:szCs w:val="24"/>
        </w:rPr>
        <w:t xml:space="preserve">, </w:t>
      </w:r>
      <w:r w:rsidRPr="003E1EDC">
        <w:rPr>
          <w:rFonts w:ascii="Arial" w:hAnsi="Arial" w:cs="Arial"/>
          <w:i/>
          <w:iCs/>
          <w:noProof/>
          <w:sz w:val="24"/>
          <w:szCs w:val="24"/>
        </w:rPr>
        <w:t>17</w:t>
      </w:r>
      <w:r w:rsidRPr="003E1EDC">
        <w:rPr>
          <w:rFonts w:ascii="Arial" w:hAnsi="Arial" w:cs="Arial"/>
          <w:noProof/>
          <w:sz w:val="24"/>
          <w:szCs w:val="24"/>
        </w:rPr>
        <w:t xml:space="preserve"> (5), 891–901. https://doi.org/10.1093/bib/bbv090.</w:t>
      </w:r>
    </w:p>
    <w:p w14:paraId="5F84C13D"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(7) </w:t>
      </w:r>
      <w:r w:rsidRPr="003E1EDC">
        <w:rPr>
          <w:rFonts w:ascii="Arial" w:hAnsi="Arial" w:cs="Arial"/>
          <w:noProof/>
          <w:sz w:val="24"/>
          <w:szCs w:val="24"/>
        </w:rPr>
        <w:tab/>
        <w:t xml:space="preserve">Keun, H. C.; Athersuch, T. J. Nuclear Magnetic Resonance (NMR)-Based Metabolomics. </w:t>
      </w:r>
      <w:r w:rsidRPr="003E1EDC">
        <w:rPr>
          <w:rFonts w:ascii="Arial" w:hAnsi="Arial" w:cs="Arial"/>
          <w:i/>
          <w:iCs/>
          <w:noProof/>
          <w:sz w:val="24"/>
          <w:szCs w:val="24"/>
        </w:rPr>
        <w:t>Methods Mol Biol</w:t>
      </w:r>
      <w:r w:rsidRPr="003E1EDC">
        <w:rPr>
          <w:rFonts w:ascii="Arial" w:hAnsi="Arial" w:cs="Arial"/>
          <w:noProof/>
          <w:sz w:val="24"/>
          <w:szCs w:val="24"/>
        </w:rPr>
        <w:t xml:space="preserve"> </w:t>
      </w:r>
      <w:r w:rsidRPr="003E1EDC">
        <w:rPr>
          <w:rFonts w:ascii="Arial" w:hAnsi="Arial" w:cs="Arial"/>
          <w:b/>
          <w:bCs/>
          <w:noProof/>
          <w:sz w:val="24"/>
          <w:szCs w:val="24"/>
        </w:rPr>
        <w:t>2011</w:t>
      </w:r>
      <w:r w:rsidRPr="003E1EDC">
        <w:rPr>
          <w:rFonts w:ascii="Arial" w:hAnsi="Arial" w:cs="Arial"/>
          <w:noProof/>
          <w:sz w:val="24"/>
          <w:szCs w:val="24"/>
        </w:rPr>
        <w:t xml:space="preserve">, </w:t>
      </w:r>
      <w:r w:rsidRPr="003E1EDC">
        <w:rPr>
          <w:rFonts w:ascii="Arial" w:hAnsi="Arial" w:cs="Arial"/>
          <w:i/>
          <w:iCs/>
          <w:noProof/>
          <w:sz w:val="24"/>
          <w:szCs w:val="24"/>
        </w:rPr>
        <w:t>708</w:t>
      </w:r>
      <w:r w:rsidRPr="003E1EDC">
        <w:rPr>
          <w:rFonts w:ascii="Arial" w:hAnsi="Arial" w:cs="Arial"/>
          <w:noProof/>
          <w:sz w:val="24"/>
          <w:szCs w:val="24"/>
        </w:rPr>
        <w:t>, 321–334. https://doi.org/10.1007/978-1-61737-985-7_19.</w:t>
      </w:r>
    </w:p>
    <w:p w14:paraId="02F61F0D"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(8) </w:t>
      </w:r>
      <w:r w:rsidRPr="003E1EDC">
        <w:rPr>
          <w:rFonts w:ascii="Arial" w:hAnsi="Arial" w:cs="Arial"/>
          <w:noProof/>
          <w:sz w:val="24"/>
          <w:szCs w:val="24"/>
        </w:rPr>
        <w:tab/>
        <w:t xml:space="preserve">Alarcon, P.; Hidalgo, A. I.; Manosalva, C.; Cristi, R.; Teuber, S.; Hidalgo, M. A.; Burgos, R. A. Metabolic Disturbances in Synovial Fluid Are Involved in the Onset of Synovitis in Heifers with Acute Ruminal Acidosis. </w:t>
      </w:r>
      <w:r w:rsidRPr="003E1EDC">
        <w:rPr>
          <w:rFonts w:ascii="Arial" w:hAnsi="Arial" w:cs="Arial"/>
          <w:i/>
          <w:iCs/>
          <w:noProof/>
          <w:sz w:val="24"/>
          <w:szCs w:val="24"/>
        </w:rPr>
        <w:t>Sci. Rep.</w:t>
      </w:r>
      <w:r w:rsidRPr="003E1EDC">
        <w:rPr>
          <w:rFonts w:ascii="Arial" w:hAnsi="Arial" w:cs="Arial"/>
          <w:noProof/>
          <w:sz w:val="24"/>
          <w:szCs w:val="24"/>
        </w:rPr>
        <w:t xml:space="preserve"> </w:t>
      </w:r>
      <w:r w:rsidRPr="003E1EDC">
        <w:rPr>
          <w:rFonts w:ascii="Arial" w:hAnsi="Arial" w:cs="Arial"/>
          <w:b/>
          <w:bCs/>
          <w:noProof/>
          <w:sz w:val="24"/>
          <w:szCs w:val="24"/>
        </w:rPr>
        <w:t>2019</w:t>
      </w:r>
      <w:r w:rsidRPr="003E1EDC">
        <w:rPr>
          <w:rFonts w:ascii="Arial" w:hAnsi="Arial" w:cs="Arial"/>
          <w:noProof/>
          <w:sz w:val="24"/>
          <w:szCs w:val="24"/>
        </w:rPr>
        <w:t xml:space="preserve">, </w:t>
      </w:r>
      <w:r w:rsidRPr="003E1EDC">
        <w:rPr>
          <w:rFonts w:ascii="Arial" w:hAnsi="Arial" w:cs="Arial"/>
          <w:i/>
          <w:iCs/>
          <w:noProof/>
          <w:sz w:val="24"/>
          <w:szCs w:val="24"/>
        </w:rPr>
        <w:t>9</w:t>
      </w:r>
      <w:r w:rsidRPr="003E1EDC">
        <w:rPr>
          <w:rFonts w:ascii="Arial" w:hAnsi="Arial" w:cs="Arial"/>
          <w:noProof/>
          <w:sz w:val="24"/>
          <w:szCs w:val="24"/>
        </w:rPr>
        <w:t xml:space="preserve"> (1), 1–12. https://doi.org/10.1038/s41598-019-42007-1.</w:t>
      </w:r>
    </w:p>
    <w:p w14:paraId="3711D9B0"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(9) </w:t>
      </w:r>
      <w:r w:rsidRPr="003E1EDC">
        <w:rPr>
          <w:rFonts w:ascii="Arial" w:hAnsi="Arial" w:cs="Arial"/>
          <w:noProof/>
          <w:sz w:val="24"/>
          <w:szCs w:val="24"/>
        </w:rPr>
        <w:tab/>
        <w:t xml:space="preserve">Karpievitch, Y. V; Polpitiya, A. D.; Anderson, G. A.; Smith, R. D.; Dabney, A. R. Liquid Chromatography Mass Spectrometry-Based Proteomics: Biological and Technological Aspects. </w:t>
      </w:r>
      <w:r w:rsidRPr="003E1EDC">
        <w:rPr>
          <w:rFonts w:ascii="Arial" w:hAnsi="Arial" w:cs="Arial"/>
          <w:i/>
          <w:iCs/>
          <w:noProof/>
          <w:sz w:val="24"/>
          <w:szCs w:val="24"/>
        </w:rPr>
        <w:t>Ann. Appl. Stat.</w:t>
      </w:r>
      <w:r w:rsidRPr="003E1EDC">
        <w:rPr>
          <w:rFonts w:ascii="Arial" w:hAnsi="Arial" w:cs="Arial"/>
          <w:noProof/>
          <w:sz w:val="24"/>
          <w:szCs w:val="24"/>
        </w:rPr>
        <w:t xml:space="preserve"> </w:t>
      </w:r>
      <w:r w:rsidRPr="003E1EDC">
        <w:rPr>
          <w:rFonts w:ascii="Arial" w:hAnsi="Arial" w:cs="Arial"/>
          <w:b/>
          <w:bCs/>
          <w:noProof/>
          <w:sz w:val="24"/>
          <w:szCs w:val="24"/>
        </w:rPr>
        <w:t>2010</w:t>
      </w:r>
      <w:r w:rsidRPr="003E1EDC">
        <w:rPr>
          <w:rFonts w:ascii="Arial" w:hAnsi="Arial" w:cs="Arial"/>
          <w:noProof/>
          <w:sz w:val="24"/>
          <w:szCs w:val="24"/>
        </w:rPr>
        <w:t xml:space="preserve">, </w:t>
      </w:r>
      <w:r w:rsidRPr="003E1EDC">
        <w:rPr>
          <w:rFonts w:ascii="Arial" w:hAnsi="Arial" w:cs="Arial"/>
          <w:i/>
          <w:iCs/>
          <w:noProof/>
          <w:sz w:val="24"/>
          <w:szCs w:val="24"/>
        </w:rPr>
        <w:t>4</w:t>
      </w:r>
      <w:r w:rsidRPr="003E1EDC">
        <w:rPr>
          <w:rFonts w:ascii="Arial" w:hAnsi="Arial" w:cs="Arial"/>
          <w:noProof/>
          <w:sz w:val="24"/>
          <w:szCs w:val="24"/>
        </w:rPr>
        <w:t xml:space="preserve"> (4), 1797–1823. https://doi.org/10.1214/10-AOAS341.</w:t>
      </w:r>
    </w:p>
    <w:p w14:paraId="42D915F9"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(10) </w:t>
      </w:r>
      <w:r w:rsidRPr="003E1EDC">
        <w:rPr>
          <w:rFonts w:ascii="Arial" w:hAnsi="Arial" w:cs="Arial"/>
          <w:noProof/>
          <w:sz w:val="24"/>
          <w:szCs w:val="24"/>
        </w:rPr>
        <w:tab/>
        <w:t xml:space="preserve">Beckonert, O.; Keun, H. C.; Ebbels, T. M. D.; Bundy, J.; Holmes, E.; Lindon, J. C.; Nicholson, J. K. Metabolic Profiling, Metabolomic and Metabonomic Procedures for NMR Spectroscopy of Urine, Plasma, Serum and Tissue Extracts. </w:t>
      </w:r>
      <w:r w:rsidRPr="003E1EDC">
        <w:rPr>
          <w:rFonts w:ascii="Arial" w:hAnsi="Arial" w:cs="Arial"/>
          <w:i/>
          <w:iCs/>
          <w:noProof/>
          <w:sz w:val="24"/>
          <w:szCs w:val="24"/>
        </w:rPr>
        <w:t>Nat. Protoc.</w:t>
      </w:r>
      <w:r w:rsidRPr="003E1EDC">
        <w:rPr>
          <w:rFonts w:ascii="Arial" w:hAnsi="Arial" w:cs="Arial"/>
          <w:noProof/>
          <w:sz w:val="24"/>
          <w:szCs w:val="24"/>
        </w:rPr>
        <w:t xml:space="preserve"> </w:t>
      </w:r>
      <w:r w:rsidRPr="003E1EDC">
        <w:rPr>
          <w:rFonts w:ascii="Arial" w:hAnsi="Arial" w:cs="Arial"/>
          <w:b/>
          <w:bCs/>
          <w:noProof/>
          <w:sz w:val="24"/>
          <w:szCs w:val="24"/>
        </w:rPr>
        <w:t>2007</w:t>
      </w:r>
      <w:r w:rsidRPr="003E1EDC">
        <w:rPr>
          <w:rFonts w:ascii="Arial" w:hAnsi="Arial" w:cs="Arial"/>
          <w:noProof/>
          <w:sz w:val="24"/>
          <w:szCs w:val="24"/>
        </w:rPr>
        <w:t xml:space="preserve">, </w:t>
      </w:r>
      <w:r w:rsidRPr="003E1EDC">
        <w:rPr>
          <w:rFonts w:ascii="Arial" w:hAnsi="Arial" w:cs="Arial"/>
          <w:i/>
          <w:iCs/>
          <w:noProof/>
          <w:sz w:val="24"/>
          <w:szCs w:val="24"/>
        </w:rPr>
        <w:t>2</w:t>
      </w:r>
      <w:r w:rsidRPr="003E1EDC">
        <w:rPr>
          <w:rFonts w:ascii="Arial" w:hAnsi="Arial" w:cs="Arial"/>
          <w:noProof/>
          <w:sz w:val="24"/>
          <w:szCs w:val="24"/>
        </w:rPr>
        <w:t xml:space="preserve"> (11), 2692–2703. https://doi.org/10.1038/nprot.2007.376.</w:t>
      </w:r>
    </w:p>
    <w:p w14:paraId="1D2CC48E"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(11) </w:t>
      </w:r>
      <w:r w:rsidRPr="003E1EDC">
        <w:rPr>
          <w:rFonts w:ascii="Arial" w:hAnsi="Arial" w:cs="Arial"/>
          <w:noProof/>
          <w:sz w:val="24"/>
          <w:szCs w:val="24"/>
        </w:rPr>
        <w:tab/>
        <w:t xml:space="preserve">Beltran, A.; Suarez, M.; Rodríguez, M. A.; Vinaixa, M.; Samino, S.; Arola, L.; Correig, X.; Yanes, O. Assessment of Compatibility between Extraction Methods for NMR- and LC/MS-Based Metabolomics. </w:t>
      </w:r>
      <w:r w:rsidRPr="003E1EDC">
        <w:rPr>
          <w:rFonts w:ascii="Arial" w:hAnsi="Arial" w:cs="Arial"/>
          <w:i/>
          <w:iCs/>
          <w:noProof/>
          <w:sz w:val="24"/>
          <w:szCs w:val="24"/>
        </w:rPr>
        <w:t>Anal. Chem.</w:t>
      </w:r>
      <w:r w:rsidRPr="003E1EDC">
        <w:rPr>
          <w:rFonts w:ascii="Arial" w:hAnsi="Arial" w:cs="Arial"/>
          <w:noProof/>
          <w:sz w:val="24"/>
          <w:szCs w:val="24"/>
        </w:rPr>
        <w:t xml:space="preserve"> </w:t>
      </w:r>
      <w:r w:rsidRPr="003E1EDC">
        <w:rPr>
          <w:rFonts w:ascii="Arial" w:hAnsi="Arial" w:cs="Arial"/>
          <w:b/>
          <w:bCs/>
          <w:noProof/>
          <w:sz w:val="24"/>
          <w:szCs w:val="24"/>
        </w:rPr>
        <w:t>2012</w:t>
      </w:r>
      <w:r w:rsidRPr="003E1EDC">
        <w:rPr>
          <w:rFonts w:ascii="Arial" w:hAnsi="Arial" w:cs="Arial"/>
          <w:noProof/>
          <w:sz w:val="24"/>
          <w:szCs w:val="24"/>
        </w:rPr>
        <w:t xml:space="preserve">, </w:t>
      </w:r>
      <w:r w:rsidRPr="003E1EDC">
        <w:rPr>
          <w:rFonts w:ascii="Arial" w:hAnsi="Arial" w:cs="Arial"/>
          <w:i/>
          <w:iCs/>
          <w:noProof/>
          <w:sz w:val="24"/>
          <w:szCs w:val="24"/>
        </w:rPr>
        <w:t>84</w:t>
      </w:r>
      <w:r w:rsidRPr="003E1EDC">
        <w:rPr>
          <w:rFonts w:ascii="Arial" w:hAnsi="Arial" w:cs="Arial"/>
          <w:noProof/>
          <w:sz w:val="24"/>
          <w:szCs w:val="24"/>
        </w:rPr>
        <w:t xml:space="preserve"> </w:t>
      </w:r>
      <w:r w:rsidRPr="003E1EDC">
        <w:rPr>
          <w:rFonts w:ascii="Arial" w:hAnsi="Arial" w:cs="Arial"/>
          <w:noProof/>
          <w:sz w:val="24"/>
          <w:szCs w:val="24"/>
        </w:rPr>
        <w:lastRenderedPageBreak/>
        <w:t>(14), 5838–5844. https://doi.org/10.1021/ac3005567.</w:t>
      </w:r>
    </w:p>
    <w:p w14:paraId="597D3FEB"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(12) </w:t>
      </w:r>
      <w:r w:rsidRPr="003E1EDC">
        <w:rPr>
          <w:rFonts w:ascii="Arial" w:hAnsi="Arial" w:cs="Arial"/>
          <w:noProof/>
          <w:sz w:val="24"/>
          <w:szCs w:val="24"/>
        </w:rPr>
        <w:tab/>
        <w:t xml:space="preserve">Mickiewicz, B.; Kelly, J. J.; Ludwig, T. E.; Weljie, A. M.; Wiley, J. P.; Schmidt, T. A.; Vogel, H. J. Metabolic Analysis of Knee Synovial Fluid as a Potential Diagnostic Approach for Osteoarthritis. </w:t>
      </w:r>
      <w:r w:rsidRPr="003E1EDC">
        <w:rPr>
          <w:rFonts w:ascii="Arial" w:hAnsi="Arial" w:cs="Arial"/>
          <w:i/>
          <w:iCs/>
          <w:noProof/>
          <w:sz w:val="24"/>
          <w:szCs w:val="24"/>
        </w:rPr>
        <w:t>J Orthop Res</w:t>
      </w:r>
      <w:r w:rsidRPr="003E1EDC">
        <w:rPr>
          <w:rFonts w:ascii="Arial" w:hAnsi="Arial" w:cs="Arial"/>
          <w:noProof/>
          <w:sz w:val="24"/>
          <w:szCs w:val="24"/>
        </w:rPr>
        <w:t xml:space="preserve"> </w:t>
      </w:r>
      <w:r w:rsidRPr="003E1EDC">
        <w:rPr>
          <w:rFonts w:ascii="Arial" w:hAnsi="Arial" w:cs="Arial"/>
          <w:b/>
          <w:bCs/>
          <w:noProof/>
          <w:sz w:val="24"/>
          <w:szCs w:val="24"/>
        </w:rPr>
        <w:t>2015</w:t>
      </w:r>
      <w:r w:rsidRPr="003E1EDC">
        <w:rPr>
          <w:rFonts w:ascii="Arial" w:hAnsi="Arial" w:cs="Arial"/>
          <w:noProof/>
          <w:sz w:val="24"/>
          <w:szCs w:val="24"/>
        </w:rPr>
        <w:t xml:space="preserve">, </w:t>
      </w:r>
      <w:r w:rsidRPr="003E1EDC">
        <w:rPr>
          <w:rFonts w:ascii="Arial" w:hAnsi="Arial" w:cs="Arial"/>
          <w:i/>
          <w:iCs/>
          <w:noProof/>
          <w:sz w:val="24"/>
          <w:szCs w:val="24"/>
        </w:rPr>
        <w:t>33</w:t>
      </w:r>
      <w:r w:rsidRPr="003E1EDC">
        <w:rPr>
          <w:rFonts w:ascii="Arial" w:hAnsi="Arial" w:cs="Arial"/>
          <w:noProof/>
          <w:sz w:val="24"/>
          <w:szCs w:val="24"/>
        </w:rPr>
        <w:t xml:space="preserve"> (11), 1631–1638. https://doi.org/10.1002/jor.22949.</w:t>
      </w:r>
    </w:p>
    <w:p w14:paraId="350A0D63"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(13) </w:t>
      </w:r>
      <w:r w:rsidRPr="003E1EDC">
        <w:rPr>
          <w:rFonts w:ascii="Arial" w:hAnsi="Arial" w:cs="Arial"/>
          <w:noProof/>
          <w:sz w:val="24"/>
          <w:szCs w:val="24"/>
        </w:rPr>
        <w:tab/>
        <w:t xml:space="preserve">Mickiewicz, B.; Heard, B. J.; Chau, J. K.; Chung, M.; Hart, D. A.; Shrive, N. G.; Frank, C. B.; Vogel, H. J. Metabolic Profiling of Synovial Fluid in a Unilateral Ovine Model of Anterior Cruciate Ligament Reconstruction of the Knee Suggests Biomarkers for Early Osteoarthritis. </w:t>
      </w:r>
      <w:r w:rsidRPr="003E1EDC">
        <w:rPr>
          <w:rFonts w:ascii="Arial" w:hAnsi="Arial" w:cs="Arial"/>
          <w:i/>
          <w:iCs/>
          <w:noProof/>
          <w:sz w:val="24"/>
          <w:szCs w:val="24"/>
        </w:rPr>
        <w:t>J. Orthop. Res.</w:t>
      </w:r>
      <w:r w:rsidRPr="003E1EDC">
        <w:rPr>
          <w:rFonts w:ascii="Arial" w:hAnsi="Arial" w:cs="Arial"/>
          <w:noProof/>
          <w:sz w:val="24"/>
          <w:szCs w:val="24"/>
        </w:rPr>
        <w:t xml:space="preserve"> </w:t>
      </w:r>
      <w:r w:rsidRPr="003E1EDC">
        <w:rPr>
          <w:rFonts w:ascii="Arial" w:hAnsi="Arial" w:cs="Arial"/>
          <w:b/>
          <w:bCs/>
          <w:noProof/>
          <w:sz w:val="24"/>
          <w:szCs w:val="24"/>
        </w:rPr>
        <w:t>2015</w:t>
      </w:r>
      <w:r w:rsidRPr="003E1EDC">
        <w:rPr>
          <w:rFonts w:ascii="Arial" w:hAnsi="Arial" w:cs="Arial"/>
          <w:noProof/>
          <w:sz w:val="24"/>
          <w:szCs w:val="24"/>
        </w:rPr>
        <w:t xml:space="preserve">, </w:t>
      </w:r>
      <w:r w:rsidRPr="003E1EDC">
        <w:rPr>
          <w:rFonts w:ascii="Arial" w:hAnsi="Arial" w:cs="Arial"/>
          <w:i/>
          <w:iCs/>
          <w:noProof/>
          <w:sz w:val="24"/>
          <w:szCs w:val="24"/>
        </w:rPr>
        <w:t>33</w:t>
      </w:r>
      <w:r w:rsidRPr="003E1EDC">
        <w:rPr>
          <w:rFonts w:ascii="Arial" w:hAnsi="Arial" w:cs="Arial"/>
          <w:noProof/>
          <w:sz w:val="24"/>
          <w:szCs w:val="24"/>
        </w:rPr>
        <w:t xml:space="preserve"> (1), 71–77. https://doi.org/10.1002/jor.22743.</w:t>
      </w:r>
    </w:p>
    <w:p w14:paraId="5DB061D6"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(14) </w:t>
      </w:r>
      <w:r w:rsidRPr="003E1EDC">
        <w:rPr>
          <w:rFonts w:ascii="Arial" w:hAnsi="Arial" w:cs="Arial"/>
          <w:noProof/>
          <w:sz w:val="24"/>
          <w:szCs w:val="24"/>
        </w:rPr>
        <w:tab/>
        <w:t xml:space="preserve">Duffy, J. M.; Grimshaw, J.; Guthrie, D. J.; McNally, G. M.; Mollan, R. A.; Spedding, P. L.; Trocha-Grimshaw, J.; Walker, B.; Walsh, E. 1H-Nuclear Magnetic Resonance Studies of Human Synovial Fluid in Arthritic Disease States as an Aid to Confirming Metabolic Activity in the Synovial Cavity. </w:t>
      </w:r>
      <w:r w:rsidRPr="003E1EDC">
        <w:rPr>
          <w:rFonts w:ascii="Arial" w:hAnsi="Arial" w:cs="Arial"/>
          <w:i/>
          <w:iCs/>
          <w:noProof/>
          <w:sz w:val="24"/>
          <w:szCs w:val="24"/>
        </w:rPr>
        <w:t>Clin. Sci. (Lond).</w:t>
      </w:r>
      <w:r w:rsidRPr="003E1EDC">
        <w:rPr>
          <w:rFonts w:ascii="Arial" w:hAnsi="Arial" w:cs="Arial"/>
          <w:noProof/>
          <w:sz w:val="24"/>
          <w:szCs w:val="24"/>
        </w:rPr>
        <w:t xml:space="preserve"> </w:t>
      </w:r>
      <w:r w:rsidRPr="003E1EDC">
        <w:rPr>
          <w:rFonts w:ascii="Arial" w:hAnsi="Arial" w:cs="Arial"/>
          <w:b/>
          <w:bCs/>
          <w:noProof/>
          <w:sz w:val="24"/>
          <w:szCs w:val="24"/>
        </w:rPr>
        <w:t>1993</w:t>
      </w:r>
      <w:r w:rsidRPr="003E1EDC">
        <w:rPr>
          <w:rFonts w:ascii="Arial" w:hAnsi="Arial" w:cs="Arial"/>
          <w:noProof/>
          <w:sz w:val="24"/>
          <w:szCs w:val="24"/>
        </w:rPr>
        <w:t xml:space="preserve">, </w:t>
      </w:r>
      <w:r w:rsidRPr="003E1EDC">
        <w:rPr>
          <w:rFonts w:ascii="Arial" w:hAnsi="Arial" w:cs="Arial"/>
          <w:i/>
          <w:iCs/>
          <w:noProof/>
          <w:sz w:val="24"/>
          <w:szCs w:val="24"/>
        </w:rPr>
        <w:t>85</w:t>
      </w:r>
      <w:r w:rsidRPr="003E1EDC">
        <w:rPr>
          <w:rFonts w:ascii="Arial" w:hAnsi="Arial" w:cs="Arial"/>
          <w:noProof/>
          <w:sz w:val="24"/>
          <w:szCs w:val="24"/>
        </w:rPr>
        <w:t xml:space="preserve"> (3), 343–351. https://doi.org/10.1042/CS0850343.</w:t>
      </w:r>
    </w:p>
    <w:p w14:paraId="52A62489"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(15) </w:t>
      </w:r>
      <w:r w:rsidRPr="003E1EDC">
        <w:rPr>
          <w:rFonts w:ascii="Arial" w:hAnsi="Arial" w:cs="Arial"/>
          <w:noProof/>
          <w:sz w:val="24"/>
          <w:szCs w:val="24"/>
        </w:rPr>
        <w:tab/>
        <w:t xml:space="preserve">Meshitsuka, S.; Yamazaki, E.; Inoue, M.; Hagino, H.; Teshima, R.; Yamamoto, K. Nuclear Magnetic Resonance Studies of Synovial Fluids from Patients with Rheumatoid Arthritis and Osteoarthritis. </w:t>
      </w:r>
      <w:r w:rsidRPr="003E1EDC">
        <w:rPr>
          <w:rFonts w:ascii="Arial" w:hAnsi="Arial" w:cs="Arial"/>
          <w:i/>
          <w:iCs/>
          <w:noProof/>
          <w:sz w:val="24"/>
          <w:szCs w:val="24"/>
        </w:rPr>
        <w:t>Clin. Chim. Acta</w:t>
      </w:r>
      <w:r w:rsidRPr="003E1EDC">
        <w:rPr>
          <w:rFonts w:ascii="Arial" w:hAnsi="Arial" w:cs="Arial"/>
          <w:noProof/>
          <w:sz w:val="24"/>
          <w:szCs w:val="24"/>
        </w:rPr>
        <w:t xml:space="preserve"> </w:t>
      </w:r>
      <w:r w:rsidRPr="003E1EDC">
        <w:rPr>
          <w:rFonts w:ascii="Arial" w:hAnsi="Arial" w:cs="Arial"/>
          <w:b/>
          <w:bCs/>
          <w:noProof/>
          <w:sz w:val="24"/>
          <w:szCs w:val="24"/>
        </w:rPr>
        <w:t>1999</w:t>
      </w:r>
      <w:r w:rsidRPr="003E1EDC">
        <w:rPr>
          <w:rFonts w:ascii="Arial" w:hAnsi="Arial" w:cs="Arial"/>
          <w:noProof/>
          <w:sz w:val="24"/>
          <w:szCs w:val="24"/>
        </w:rPr>
        <w:t xml:space="preserve">, </w:t>
      </w:r>
      <w:r w:rsidRPr="003E1EDC">
        <w:rPr>
          <w:rFonts w:ascii="Arial" w:hAnsi="Arial" w:cs="Arial"/>
          <w:i/>
          <w:iCs/>
          <w:noProof/>
          <w:sz w:val="24"/>
          <w:szCs w:val="24"/>
        </w:rPr>
        <w:t>281</w:t>
      </w:r>
      <w:r w:rsidRPr="003E1EDC">
        <w:rPr>
          <w:rFonts w:ascii="Arial" w:hAnsi="Arial" w:cs="Arial"/>
          <w:noProof/>
          <w:sz w:val="24"/>
          <w:szCs w:val="24"/>
        </w:rPr>
        <w:t xml:space="preserve"> (1–2), 163–167. https://doi.org/10.1016/S0009-8981(98)00200-9.</w:t>
      </w:r>
    </w:p>
    <w:p w14:paraId="4AD474C9"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(16) </w:t>
      </w:r>
      <w:r w:rsidRPr="003E1EDC">
        <w:rPr>
          <w:rFonts w:ascii="Arial" w:hAnsi="Arial" w:cs="Arial"/>
          <w:noProof/>
          <w:sz w:val="24"/>
          <w:szCs w:val="24"/>
        </w:rPr>
        <w:tab/>
        <w:t xml:space="preserve">Lacitignola, L.; Fanizzi, F. P.; Francioso, E.; Crovace, A. 1H NMR Investigation of Normal and Osteo-Arthritic Synovial Fluid in the Horse. </w:t>
      </w:r>
      <w:r w:rsidRPr="003E1EDC">
        <w:rPr>
          <w:rFonts w:ascii="Arial" w:hAnsi="Arial" w:cs="Arial"/>
          <w:i/>
          <w:iCs/>
          <w:noProof/>
          <w:sz w:val="24"/>
          <w:szCs w:val="24"/>
        </w:rPr>
        <w:t>Vet. Comp. Orthop. Traumatol.</w:t>
      </w:r>
      <w:r w:rsidRPr="003E1EDC">
        <w:rPr>
          <w:rFonts w:ascii="Arial" w:hAnsi="Arial" w:cs="Arial"/>
          <w:noProof/>
          <w:sz w:val="24"/>
          <w:szCs w:val="24"/>
        </w:rPr>
        <w:t xml:space="preserve"> </w:t>
      </w:r>
      <w:r w:rsidRPr="003E1EDC">
        <w:rPr>
          <w:rFonts w:ascii="Arial" w:hAnsi="Arial" w:cs="Arial"/>
          <w:b/>
          <w:bCs/>
          <w:noProof/>
          <w:sz w:val="24"/>
          <w:szCs w:val="24"/>
        </w:rPr>
        <w:t>2008</w:t>
      </w:r>
      <w:r w:rsidRPr="003E1EDC">
        <w:rPr>
          <w:rFonts w:ascii="Arial" w:hAnsi="Arial" w:cs="Arial"/>
          <w:noProof/>
          <w:sz w:val="24"/>
          <w:szCs w:val="24"/>
        </w:rPr>
        <w:t xml:space="preserve">, </w:t>
      </w:r>
      <w:r w:rsidRPr="003E1EDC">
        <w:rPr>
          <w:rFonts w:ascii="Arial" w:hAnsi="Arial" w:cs="Arial"/>
          <w:i/>
          <w:iCs/>
          <w:noProof/>
          <w:sz w:val="24"/>
          <w:szCs w:val="24"/>
        </w:rPr>
        <w:t>21</w:t>
      </w:r>
      <w:r w:rsidRPr="003E1EDC">
        <w:rPr>
          <w:rFonts w:ascii="Arial" w:hAnsi="Arial" w:cs="Arial"/>
          <w:noProof/>
          <w:sz w:val="24"/>
          <w:szCs w:val="24"/>
        </w:rPr>
        <w:t xml:space="preserve"> (1), 85–88. https://doi.org/10.3415/VCOT-06-12-0101.</w:t>
      </w:r>
    </w:p>
    <w:p w14:paraId="539114C4"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(17) </w:t>
      </w:r>
      <w:r w:rsidRPr="003E1EDC">
        <w:rPr>
          <w:rFonts w:ascii="Arial" w:hAnsi="Arial" w:cs="Arial"/>
          <w:noProof/>
          <w:sz w:val="24"/>
          <w:szCs w:val="24"/>
        </w:rPr>
        <w:tab/>
        <w:t xml:space="preserve">Hugle, T.; Kovacs, H.; Heijnen, I. A.; Daikeler, T.; Baisch, U.; Hicks, J. M.; Valderrabano, V. Synovial Fluid Metabolomics in Different Forms of Arthritis </w:t>
      </w:r>
      <w:r w:rsidRPr="003E1EDC">
        <w:rPr>
          <w:rFonts w:ascii="Arial" w:hAnsi="Arial" w:cs="Arial"/>
          <w:noProof/>
          <w:sz w:val="24"/>
          <w:szCs w:val="24"/>
        </w:rPr>
        <w:lastRenderedPageBreak/>
        <w:t xml:space="preserve">Assessed by Nuclear Magnetic Resonance Spectroscopy. </w:t>
      </w:r>
      <w:r w:rsidRPr="003E1EDC">
        <w:rPr>
          <w:rFonts w:ascii="Arial" w:hAnsi="Arial" w:cs="Arial"/>
          <w:i/>
          <w:iCs/>
          <w:noProof/>
          <w:sz w:val="24"/>
          <w:szCs w:val="24"/>
        </w:rPr>
        <w:t>Clin Exp Rheumatol</w:t>
      </w:r>
      <w:r w:rsidRPr="003E1EDC">
        <w:rPr>
          <w:rFonts w:ascii="Arial" w:hAnsi="Arial" w:cs="Arial"/>
          <w:noProof/>
          <w:sz w:val="24"/>
          <w:szCs w:val="24"/>
        </w:rPr>
        <w:t xml:space="preserve"> </w:t>
      </w:r>
      <w:r w:rsidRPr="003E1EDC">
        <w:rPr>
          <w:rFonts w:ascii="Arial" w:hAnsi="Arial" w:cs="Arial"/>
          <w:b/>
          <w:bCs/>
          <w:noProof/>
          <w:sz w:val="24"/>
          <w:szCs w:val="24"/>
        </w:rPr>
        <w:t>2012</w:t>
      </w:r>
      <w:r w:rsidRPr="003E1EDC">
        <w:rPr>
          <w:rFonts w:ascii="Arial" w:hAnsi="Arial" w:cs="Arial"/>
          <w:noProof/>
          <w:sz w:val="24"/>
          <w:szCs w:val="24"/>
        </w:rPr>
        <w:t xml:space="preserve">, </w:t>
      </w:r>
      <w:r w:rsidRPr="003E1EDC">
        <w:rPr>
          <w:rFonts w:ascii="Arial" w:hAnsi="Arial" w:cs="Arial"/>
          <w:i/>
          <w:iCs/>
          <w:noProof/>
          <w:sz w:val="24"/>
          <w:szCs w:val="24"/>
        </w:rPr>
        <w:t>30</w:t>
      </w:r>
      <w:r w:rsidRPr="003E1EDC">
        <w:rPr>
          <w:rFonts w:ascii="Arial" w:hAnsi="Arial" w:cs="Arial"/>
          <w:noProof/>
          <w:sz w:val="24"/>
          <w:szCs w:val="24"/>
        </w:rPr>
        <w:t xml:space="preserve"> (2), 240–245.</w:t>
      </w:r>
    </w:p>
    <w:p w14:paraId="7FD6838F"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(18) </w:t>
      </w:r>
      <w:r w:rsidRPr="003E1EDC">
        <w:rPr>
          <w:rFonts w:ascii="Arial" w:hAnsi="Arial" w:cs="Arial"/>
          <w:noProof/>
          <w:sz w:val="24"/>
          <w:szCs w:val="24"/>
        </w:rPr>
        <w:tab/>
        <w:t xml:space="preserve">Damyanovich, A. Z.; Staples, J. R.; Chan, A. D.; Marshall, K. W. Comparative Study of Normal and Osteoarthritic Canine Synovial Fluid Using 500 MHz 1H Magnetic Resonance Spectroscopy. </w:t>
      </w:r>
      <w:r w:rsidRPr="003E1EDC">
        <w:rPr>
          <w:rFonts w:ascii="Arial" w:hAnsi="Arial" w:cs="Arial"/>
          <w:i/>
          <w:iCs/>
          <w:noProof/>
          <w:sz w:val="24"/>
          <w:szCs w:val="24"/>
        </w:rPr>
        <w:t>J Orthop Res</w:t>
      </w:r>
      <w:r w:rsidRPr="003E1EDC">
        <w:rPr>
          <w:rFonts w:ascii="Arial" w:hAnsi="Arial" w:cs="Arial"/>
          <w:noProof/>
          <w:sz w:val="24"/>
          <w:szCs w:val="24"/>
        </w:rPr>
        <w:t xml:space="preserve"> </w:t>
      </w:r>
      <w:r w:rsidRPr="003E1EDC">
        <w:rPr>
          <w:rFonts w:ascii="Arial" w:hAnsi="Arial" w:cs="Arial"/>
          <w:b/>
          <w:bCs/>
          <w:noProof/>
          <w:sz w:val="24"/>
          <w:szCs w:val="24"/>
        </w:rPr>
        <w:t>1999</w:t>
      </w:r>
      <w:r w:rsidRPr="003E1EDC">
        <w:rPr>
          <w:rFonts w:ascii="Arial" w:hAnsi="Arial" w:cs="Arial"/>
          <w:noProof/>
          <w:sz w:val="24"/>
          <w:szCs w:val="24"/>
        </w:rPr>
        <w:t xml:space="preserve">, </w:t>
      </w:r>
      <w:r w:rsidRPr="003E1EDC">
        <w:rPr>
          <w:rFonts w:ascii="Arial" w:hAnsi="Arial" w:cs="Arial"/>
          <w:i/>
          <w:iCs/>
          <w:noProof/>
          <w:sz w:val="24"/>
          <w:szCs w:val="24"/>
        </w:rPr>
        <w:t>17</w:t>
      </w:r>
      <w:r w:rsidRPr="003E1EDC">
        <w:rPr>
          <w:rFonts w:ascii="Arial" w:hAnsi="Arial" w:cs="Arial"/>
          <w:noProof/>
          <w:sz w:val="24"/>
          <w:szCs w:val="24"/>
        </w:rPr>
        <w:t xml:space="preserve"> (2), 223–231. https://doi.org/10.1002/jor.1100170211.</w:t>
      </w:r>
    </w:p>
    <w:p w14:paraId="6381F56A"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(19) </w:t>
      </w:r>
      <w:r w:rsidRPr="003E1EDC">
        <w:rPr>
          <w:rFonts w:ascii="Arial" w:hAnsi="Arial" w:cs="Arial"/>
          <w:noProof/>
          <w:sz w:val="24"/>
          <w:szCs w:val="24"/>
        </w:rPr>
        <w:tab/>
        <w:t xml:space="preserve">Anderson, J. R.; Chokesuwattanaskul, S.; Phelan, M. M.; Welting, T. J. M.; Lian, L.-Y.; Peffers, M. J.; Wright, H. L. 1 H NMR Metabolomics Identifies Underlying Inflammatory Pathology in Osteoarthritis and Rheumatoid Arthritis Synovial Joints. </w:t>
      </w:r>
      <w:r w:rsidRPr="003E1EDC">
        <w:rPr>
          <w:rFonts w:ascii="Arial" w:hAnsi="Arial" w:cs="Arial"/>
          <w:i/>
          <w:iCs/>
          <w:noProof/>
          <w:sz w:val="24"/>
          <w:szCs w:val="24"/>
        </w:rPr>
        <w:t>J. Proteome Res.</w:t>
      </w:r>
      <w:r w:rsidRPr="003E1EDC">
        <w:rPr>
          <w:rFonts w:ascii="Arial" w:hAnsi="Arial" w:cs="Arial"/>
          <w:noProof/>
          <w:sz w:val="24"/>
          <w:szCs w:val="24"/>
        </w:rPr>
        <w:t xml:space="preserve"> </w:t>
      </w:r>
      <w:r w:rsidRPr="003E1EDC">
        <w:rPr>
          <w:rFonts w:ascii="Arial" w:hAnsi="Arial" w:cs="Arial"/>
          <w:b/>
          <w:bCs/>
          <w:noProof/>
          <w:sz w:val="24"/>
          <w:szCs w:val="24"/>
        </w:rPr>
        <w:t>2018</w:t>
      </w:r>
      <w:r w:rsidRPr="003E1EDC">
        <w:rPr>
          <w:rFonts w:ascii="Arial" w:hAnsi="Arial" w:cs="Arial"/>
          <w:noProof/>
          <w:sz w:val="24"/>
          <w:szCs w:val="24"/>
        </w:rPr>
        <w:t xml:space="preserve">, </w:t>
      </w:r>
      <w:r w:rsidRPr="003E1EDC">
        <w:rPr>
          <w:rFonts w:ascii="Arial" w:hAnsi="Arial" w:cs="Arial"/>
          <w:i/>
          <w:iCs/>
          <w:noProof/>
          <w:sz w:val="24"/>
          <w:szCs w:val="24"/>
        </w:rPr>
        <w:t>17</w:t>
      </w:r>
      <w:r w:rsidRPr="003E1EDC">
        <w:rPr>
          <w:rFonts w:ascii="Arial" w:hAnsi="Arial" w:cs="Arial"/>
          <w:noProof/>
          <w:sz w:val="24"/>
          <w:szCs w:val="24"/>
        </w:rPr>
        <w:t xml:space="preserve"> (11), 3780–3790. https://doi.org/10.1021/acs.jproteome.8b00455.</w:t>
      </w:r>
    </w:p>
    <w:p w14:paraId="0BB0D614"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(20) </w:t>
      </w:r>
      <w:r w:rsidRPr="003E1EDC">
        <w:rPr>
          <w:rFonts w:ascii="Arial" w:hAnsi="Arial" w:cs="Arial"/>
          <w:noProof/>
          <w:sz w:val="24"/>
          <w:szCs w:val="24"/>
        </w:rPr>
        <w:tab/>
        <w:t>Graham, R. J. T. Y.; Anderson, J. R.; Phelan, M. M.; Cillan</w:t>
      </w:r>
      <w:r w:rsidRPr="003E1EDC">
        <w:rPr>
          <w:rFonts w:ascii="Cambria Math" w:hAnsi="Cambria Math" w:cs="Cambria Math"/>
          <w:noProof/>
          <w:sz w:val="24"/>
          <w:szCs w:val="24"/>
        </w:rPr>
        <w:t>‐</w:t>
      </w:r>
      <w:r w:rsidRPr="003E1EDC">
        <w:rPr>
          <w:rFonts w:ascii="Arial" w:hAnsi="Arial" w:cs="Arial"/>
          <w:noProof/>
          <w:sz w:val="24"/>
          <w:szCs w:val="24"/>
        </w:rPr>
        <w:t xml:space="preserve">Garcia, E.; Bladon, B. M.; Taylor, S. E. Metabolomic Analysis of Synovial Fluid from Thoroughbred Racehorses Diagnosed with Palmar Osteochondral Disease Using Magnetic Resonance Imaging. </w:t>
      </w:r>
      <w:r w:rsidRPr="003E1EDC">
        <w:rPr>
          <w:rFonts w:ascii="Arial" w:hAnsi="Arial" w:cs="Arial"/>
          <w:i/>
          <w:iCs/>
          <w:noProof/>
          <w:sz w:val="24"/>
          <w:szCs w:val="24"/>
        </w:rPr>
        <w:t>Equine Vet. J.</w:t>
      </w:r>
      <w:r w:rsidRPr="003E1EDC">
        <w:rPr>
          <w:rFonts w:ascii="Arial" w:hAnsi="Arial" w:cs="Arial"/>
          <w:noProof/>
          <w:sz w:val="24"/>
          <w:szCs w:val="24"/>
        </w:rPr>
        <w:t xml:space="preserve"> </w:t>
      </w:r>
      <w:r w:rsidRPr="003E1EDC">
        <w:rPr>
          <w:rFonts w:ascii="Arial" w:hAnsi="Arial" w:cs="Arial"/>
          <w:b/>
          <w:bCs/>
          <w:noProof/>
          <w:sz w:val="24"/>
          <w:szCs w:val="24"/>
        </w:rPr>
        <w:t>2019</w:t>
      </w:r>
      <w:r w:rsidRPr="003E1EDC">
        <w:rPr>
          <w:rFonts w:ascii="Arial" w:hAnsi="Arial" w:cs="Arial"/>
          <w:noProof/>
          <w:sz w:val="24"/>
          <w:szCs w:val="24"/>
        </w:rPr>
        <w:t>, evj.13199. https://doi.org/10.1111/evj.13199.</w:t>
      </w:r>
    </w:p>
    <w:p w14:paraId="1A116654"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(21) </w:t>
      </w:r>
      <w:r w:rsidRPr="003E1EDC">
        <w:rPr>
          <w:rFonts w:ascii="Arial" w:hAnsi="Arial" w:cs="Arial"/>
          <w:noProof/>
          <w:sz w:val="24"/>
          <w:szCs w:val="24"/>
        </w:rPr>
        <w:tab/>
        <w:t xml:space="preserve">Damyanovich, A. Z.; Staples, J. R.; Marshall, K. W. 1H NMR Investigation of Changes in the Metabolic Profile of Synovial Fluid in Bilateral Canine Osteoarthritis with Unilateral Joint Denervation. </w:t>
      </w:r>
      <w:r w:rsidRPr="003E1EDC">
        <w:rPr>
          <w:rFonts w:ascii="Arial" w:hAnsi="Arial" w:cs="Arial"/>
          <w:i/>
          <w:iCs/>
          <w:noProof/>
          <w:sz w:val="24"/>
          <w:szCs w:val="24"/>
        </w:rPr>
        <w:t>Osteoarthr. Cartil.</w:t>
      </w:r>
      <w:r w:rsidRPr="003E1EDC">
        <w:rPr>
          <w:rFonts w:ascii="Arial" w:hAnsi="Arial" w:cs="Arial"/>
          <w:noProof/>
          <w:sz w:val="24"/>
          <w:szCs w:val="24"/>
        </w:rPr>
        <w:t xml:space="preserve"> </w:t>
      </w:r>
      <w:r w:rsidRPr="003E1EDC">
        <w:rPr>
          <w:rFonts w:ascii="Arial" w:hAnsi="Arial" w:cs="Arial"/>
          <w:b/>
          <w:bCs/>
          <w:noProof/>
          <w:sz w:val="24"/>
          <w:szCs w:val="24"/>
        </w:rPr>
        <w:t>1999</w:t>
      </w:r>
      <w:r w:rsidRPr="003E1EDC">
        <w:rPr>
          <w:rFonts w:ascii="Arial" w:hAnsi="Arial" w:cs="Arial"/>
          <w:noProof/>
          <w:sz w:val="24"/>
          <w:szCs w:val="24"/>
        </w:rPr>
        <w:t xml:space="preserve">, </w:t>
      </w:r>
      <w:r w:rsidRPr="003E1EDC">
        <w:rPr>
          <w:rFonts w:ascii="Arial" w:hAnsi="Arial" w:cs="Arial"/>
          <w:i/>
          <w:iCs/>
          <w:noProof/>
          <w:sz w:val="24"/>
          <w:szCs w:val="24"/>
        </w:rPr>
        <w:t>7</w:t>
      </w:r>
      <w:r w:rsidRPr="003E1EDC">
        <w:rPr>
          <w:rFonts w:ascii="Arial" w:hAnsi="Arial" w:cs="Arial"/>
          <w:noProof/>
          <w:sz w:val="24"/>
          <w:szCs w:val="24"/>
        </w:rPr>
        <w:t xml:space="preserve"> (2), 165–172. https://doi.org/10.1053/joca.1998.0205.</w:t>
      </w:r>
    </w:p>
    <w:p w14:paraId="288F6CAC"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(22) </w:t>
      </w:r>
      <w:r w:rsidRPr="003E1EDC">
        <w:rPr>
          <w:rFonts w:ascii="Arial" w:hAnsi="Arial" w:cs="Arial"/>
          <w:noProof/>
          <w:sz w:val="24"/>
          <w:szCs w:val="24"/>
        </w:rPr>
        <w:tab/>
        <w:t xml:space="preserve">Damyanovich, A. Z.; Staples, J. R.; Marshall, K. W. The Effects of Freeze/Thawing on Human Synovial Fluid Observed by 500 MHz 1H Magnetic Resonance Spectroscopy. </w:t>
      </w:r>
      <w:r w:rsidRPr="003E1EDC">
        <w:rPr>
          <w:rFonts w:ascii="Arial" w:hAnsi="Arial" w:cs="Arial"/>
          <w:i/>
          <w:iCs/>
          <w:noProof/>
          <w:sz w:val="24"/>
          <w:szCs w:val="24"/>
        </w:rPr>
        <w:t>J. Rheumatol.</w:t>
      </w:r>
      <w:r w:rsidRPr="003E1EDC">
        <w:rPr>
          <w:rFonts w:ascii="Arial" w:hAnsi="Arial" w:cs="Arial"/>
          <w:noProof/>
          <w:sz w:val="24"/>
          <w:szCs w:val="24"/>
        </w:rPr>
        <w:t xml:space="preserve"> </w:t>
      </w:r>
      <w:r w:rsidRPr="003E1EDC">
        <w:rPr>
          <w:rFonts w:ascii="Arial" w:hAnsi="Arial" w:cs="Arial"/>
          <w:b/>
          <w:bCs/>
          <w:noProof/>
          <w:sz w:val="24"/>
          <w:szCs w:val="24"/>
        </w:rPr>
        <w:t>2000</w:t>
      </w:r>
      <w:r w:rsidRPr="003E1EDC">
        <w:rPr>
          <w:rFonts w:ascii="Arial" w:hAnsi="Arial" w:cs="Arial"/>
          <w:noProof/>
          <w:sz w:val="24"/>
          <w:szCs w:val="24"/>
        </w:rPr>
        <w:t xml:space="preserve">, </w:t>
      </w:r>
      <w:r w:rsidRPr="003E1EDC">
        <w:rPr>
          <w:rFonts w:ascii="Arial" w:hAnsi="Arial" w:cs="Arial"/>
          <w:i/>
          <w:iCs/>
          <w:noProof/>
          <w:sz w:val="24"/>
          <w:szCs w:val="24"/>
        </w:rPr>
        <w:t>27</w:t>
      </w:r>
      <w:r w:rsidRPr="003E1EDC">
        <w:rPr>
          <w:rFonts w:ascii="Arial" w:hAnsi="Arial" w:cs="Arial"/>
          <w:noProof/>
          <w:sz w:val="24"/>
          <w:szCs w:val="24"/>
        </w:rPr>
        <w:t xml:space="preserve"> (3), 746–752.</w:t>
      </w:r>
    </w:p>
    <w:p w14:paraId="2148D94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(23) </w:t>
      </w:r>
      <w:r w:rsidRPr="003E1EDC">
        <w:rPr>
          <w:rFonts w:ascii="Arial" w:hAnsi="Arial" w:cs="Arial"/>
          <w:noProof/>
          <w:sz w:val="24"/>
          <w:szCs w:val="24"/>
        </w:rPr>
        <w:tab/>
        <w:t xml:space="preserve">Mahendran, S. M.; Oikonomopoulou, K.; Diamandis, E. P.; Chandran, V. </w:t>
      </w:r>
      <w:r w:rsidRPr="003E1EDC">
        <w:rPr>
          <w:rFonts w:ascii="Arial" w:hAnsi="Arial" w:cs="Arial"/>
          <w:noProof/>
          <w:sz w:val="24"/>
          <w:szCs w:val="24"/>
        </w:rPr>
        <w:lastRenderedPageBreak/>
        <w:t xml:space="preserve">Synovial Fluid Proteomics in the Pursuit of Arthritis Mediators: An Evolving Field of Novel Biomarker Discovery. </w:t>
      </w:r>
      <w:r w:rsidRPr="003E1EDC">
        <w:rPr>
          <w:rFonts w:ascii="Arial" w:hAnsi="Arial" w:cs="Arial"/>
          <w:i/>
          <w:iCs/>
          <w:noProof/>
          <w:sz w:val="24"/>
          <w:szCs w:val="24"/>
        </w:rPr>
        <w:t>Crit. Rev. Clin. Lab. Sci.</w:t>
      </w:r>
      <w:r w:rsidRPr="003E1EDC">
        <w:rPr>
          <w:rFonts w:ascii="Arial" w:hAnsi="Arial" w:cs="Arial"/>
          <w:noProof/>
          <w:sz w:val="24"/>
          <w:szCs w:val="24"/>
        </w:rPr>
        <w:t xml:space="preserve"> </w:t>
      </w:r>
      <w:r w:rsidRPr="003E1EDC">
        <w:rPr>
          <w:rFonts w:ascii="Arial" w:hAnsi="Arial" w:cs="Arial"/>
          <w:b/>
          <w:bCs/>
          <w:noProof/>
          <w:sz w:val="24"/>
          <w:szCs w:val="24"/>
        </w:rPr>
        <w:t>2017</w:t>
      </w:r>
      <w:r w:rsidRPr="003E1EDC">
        <w:rPr>
          <w:rFonts w:ascii="Arial" w:hAnsi="Arial" w:cs="Arial"/>
          <w:noProof/>
          <w:sz w:val="24"/>
          <w:szCs w:val="24"/>
        </w:rPr>
        <w:t xml:space="preserve">, </w:t>
      </w:r>
      <w:r w:rsidRPr="003E1EDC">
        <w:rPr>
          <w:rFonts w:ascii="Arial" w:hAnsi="Arial" w:cs="Arial"/>
          <w:i/>
          <w:iCs/>
          <w:noProof/>
          <w:sz w:val="24"/>
          <w:szCs w:val="24"/>
        </w:rPr>
        <w:t>54</w:t>
      </w:r>
      <w:r w:rsidRPr="003E1EDC">
        <w:rPr>
          <w:rFonts w:ascii="Arial" w:hAnsi="Arial" w:cs="Arial"/>
          <w:noProof/>
          <w:sz w:val="24"/>
          <w:szCs w:val="24"/>
        </w:rPr>
        <w:t xml:space="preserve"> (7–8), 495–505. https://doi.org/10.1080/10408363.2017.1408561.</w:t>
      </w:r>
    </w:p>
    <w:p w14:paraId="02C3532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(24) </w:t>
      </w:r>
      <w:r w:rsidRPr="003E1EDC">
        <w:rPr>
          <w:rFonts w:ascii="Arial" w:hAnsi="Arial" w:cs="Arial"/>
          <w:noProof/>
          <w:sz w:val="24"/>
          <w:szCs w:val="24"/>
        </w:rPr>
        <w:tab/>
        <w:t xml:space="preserve">Hsueh, M.-F.; Önnerfjord, P.; Kraus, V. B. Biomarkers and Proteomic Analysis of Osteoarthritis. </w:t>
      </w:r>
      <w:r w:rsidRPr="003E1EDC">
        <w:rPr>
          <w:rFonts w:ascii="Arial" w:hAnsi="Arial" w:cs="Arial"/>
          <w:i/>
          <w:iCs/>
          <w:noProof/>
          <w:sz w:val="24"/>
          <w:szCs w:val="24"/>
        </w:rPr>
        <w:t>Matrix Biol.</w:t>
      </w:r>
      <w:r w:rsidRPr="003E1EDC">
        <w:rPr>
          <w:rFonts w:ascii="Arial" w:hAnsi="Arial" w:cs="Arial"/>
          <w:noProof/>
          <w:sz w:val="24"/>
          <w:szCs w:val="24"/>
        </w:rPr>
        <w:t xml:space="preserve"> </w:t>
      </w:r>
      <w:r w:rsidRPr="003E1EDC">
        <w:rPr>
          <w:rFonts w:ascii="Arial" w:hAnsi="Arial" w:cs="Arial"/>
          <w:b/>
          <w:bCs/>
          <w:noProof/>
          <w:sz w:val="24"/>
          <w:szCs w:val="24"/>
        </w:rPr>
        <w:t>2014</w:t>
      </w:r>
      <w:r w:rsidRPr="003E1EDC">
        <w:rPr>
          <w:rFonts w:ascii="Arial" w:hAnsi="Arial" w:cs="Arial"/>
          <w:noProof/>
          <w:sz w:val="24"/>
          <w:szCs w:val="24"/>
        </w:rPr>
        <w:t xml:space="preserve">, </w:t>
      </w:r>
      <w:r w:rsidRPr="003E1EDC">
        <w:rPr>
          <w:rFonts w:ascii="Arial" w:hAnsi="Arial" w:cs="Arial"/>
          <w:i/>
          <w:iCs/>
          <w:noProof/>
          <w:sz w:val="24"/>
          <w:szCs w:val="24"/>
        </w:rPr>
        <w:t>39</w:t>
      </w:r>
      <w:r w:rsidRPr="003E1EDC">
        <w:rPr>
          <w:rFonts w:ascii="Arial" w:hAnsi="Arial" w:cs="Arial"/>
          <w:noProof/>
          <w:sz w:val="24"/>
          <w:szCs w:val="24"/>
        </w:rPr>
        <w:t>, 56–66. https://doi.org/10.1016/J.MATBIO.2014.08.012.</w:t>
      </w:r>
    </w:p>
    <w:p w14:paraId="1A58DB87"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(25) </w:t>
      </w:r>
      <w:r w:rsidRPr="003E1EDC">
        <w:rPr>
          <w:rFonts w:ascii="Arial" w:hAnsi="Arial" w:cs="Arial"/>
          <w:noProof/>
          <w:sz w:val="24"/>
          <w:szCs w:val="24"/>
        </w:rPr>
        <w:tab/>
        <w:t xml:space="preserve">Puangpila, C.; Mayadunne, E.; El Rassi, Z. Liquid Phase Based Separation Systems for Depletion, Prefractionation, and Enrichment of Proteins in Biological Fluids and Matrices for in-Depth Proteomics Analysis-An Update Covering the Period 2011-2014. </w:t>
      </w:r>
      <w:r w:rsidRPr="003E1EDC">
        <w:rPr>
          <w:rFonts w:ascii="Arial" w:hAnsi="Arial" w:cs="Arial"/>
          <w:i/>
          <w:iCs/>
          <w:noProof/>
          <w:sz w:val="24"/>
          <w:szCs w:val="24"/>
        </w:rPr>
        <w:t>Electrophoresis</w:t>
      </w:r>
      <w:r w:rsidRPr="003E1EDC">
        <w:rPr>
          <w:rFonts w:ascii="Arial" w:hAnsi="Arial" w:cs="Arial"/>
          <w:noProof/>
          <w:sz w:val="24"/>
          <w:szCs w:val="24"/>
        </w:rPr>
        <w:t xml:space="preserve"> </w:t>
      </w:r>
      <w:r w:rsidRPr="003E1EDC">
        <w:rPr>
          <w:rFonts w:ascii="Arial" w:hAnsi="Arial" w:cs="Arial"/>
          <w:b/>
          <w:bCs/>
          <w:noProof/>
          <w:sz w:val="24"/>
          <w:szCs w:val="24"/>
        </w:rPr>
        <w:t>2015</w:t>
      </w:r>
      <w:r w:rsidRPr="003E1EDC">
        <w:rPr>
          <w:rFonts w:ascii="Arial" w:hAnsi="Arial" w:cs="Arial"/>
          <w:noProof/>
          <w:sz w:val="24"/>
          <w:szCs w:val="24"/>
        </w:rPr>
        <w:t xml:space="preserve">, </w:t>
      </w:r>
      <w:r w:rsidRPr="003E1EDC">
        <w:rPr>
          <w:rFonts w:ascii="Arial" w:hAnsi="Arial" w:cs="Arial"/>
          <w:i/>
          <w:iCs/>
          <w:noProof/>
          <w:sz w:val="24"/>
          <w:szCs w:val="24"/>
        </w:rPr>
        <w:t>36</w:t>
      </w:r>
      <w:r w:rsidRPr="003E1EDC">
        <w:rPr>
          <w:rFonts w:ascii="Arial" w:hAnsi="Arial" w:cs="Arial"/>
          <w:noProof/>
          <w:sz w:val="24"/>
          <w:szCs w:val="24"/>
        </w:rPr>
        <w:t xml:space="preserve"> (1), 238–252. https://doi.org/10.1002/elps.201400434.</w:t>
      </w:r>
    </w:p>
    <w:p w14:paraId="5DEA88E9"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(26) </w:t>
      </w:r>
      <w:r w:rsidRPr="003E1EDC">
        <w:rPr>
          <w:rFonts w:ascii="Arial" w:hAnsi="Arial" w:cs="Arial"/>
          <w:noProof/>
          <w:sz w:val="24"/>
          <w:szCs w:val="24"/>
        </w:rPr>
        <w:tab/>
        <w:t xml:space="preserve">Roche, S.; Tiers, L.; Provansal, M.; Piva, M. T.; Lehmann, S. Interest of Major Serum Protein Removal for Surface-Enhanced Laser Desorption/Ionization - Time Of Flight (SELDI-TOF) Proteomic Blood Profiling. </w:t>
      </w:r>
      <w:r w:rsidRPr="003E1EDC">
        <w:rPr>
          <w:rFonts w:ascii="Arial" w:hAnsi="Arial" w:cs="Arial"/>
          <w:i/>
          <w:iCs/>
          <w:noProof/>
          <w:sz w:val="24"/>
          <w:szCs w:val="24"/>
        </w:rPr>
        <w:t>Proteome Sci</w:t>
      </w:r>
      <w:r w:rsidRPr="003E1EDC">
        <w:rPr>
          <w:rFonts w:ascii="Arial" w:hAnsi="Arial" w:cs="Arial"/>
          <w:noProof/>
          <w:sz w:val="24"/>
          <w:szCs w:val="24"/>
        </w:rPr>
        <w:t xml:space="preserve"> </w:t>
      </w:r>
      <w:r w:rsidRPr="003E1EDC">
        <w:rPr>
          <w:rFonts w:ascii="Arial" w:hAnsi="Arial" w:cs="Arial"/>
          <w:b/>
          <w:bCs/>
          <w:noProof/>
          <w:sz w:val="24"/>
          <w:szCs w:val="24"/>
        </w:rPr>
        <w:t>2006</w:t>
      </w:r>
      <w:r w:rsidRPr="003E1EDC">
        <w:rPr>
          <w:rFonts w:ascii="Arial" w:hAnsi="Arial" w:cs="Arial"/>
          <w:noProof/>
          <w:sz w:val="24"/>
          <w:szCs w:val="24"/>
        </w:rPr>
        <w:t xml:space="preserve">, </w:t>
      </w:r>
      <w:r w:rsidRPr="003E1EDC">
        <w:rPr>
          <w:rFonts w:ascii="Arial" w:hAnsi="Arial" w:cs="Arial"/>
          <w:i/>
          <w:iCs/>
          <w:noProof/>
          <w:sz w:val="24"/>
          <w:szCs w:val="24"/>
        </w:rPr>
        <w:t>4</w:t>
      </w:r>
      <w:r w:rsidRPr="003E1EDC">
        <w:rPr>
          <w:rFonts w:ascii="Arial" w:hAnsi="Arial" w:cs="Arial"/>
          <w:noProof/>
          <w:sz w:val="24"/>
          <w:szCs w:val="24"/>
        </w:rPr>
        <w:t>, 20. https://doi.org/10.1186/1477-5956-4-20.</w:t>
      </w:r>
    </w:p>
    <w:p w14:paraId="09932C56"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(27) </w:t>
      </w:r>
      <w:r w:rsidRPr="003E1EDC">
        <w:rPr>
          <w:rFonts w:ascii="Arial" w:hAnsi="Arial" w:cs="Arial"/>
          <w:noProof/>
          <w:sz w:val="24"/>
          <w:szCs w:val="24"/>
        </w:rPr>
        <w:tab/>
        <w:t xml:space="preserve">Furka, A.; Sebestyen, F.; Asgedom, M.; Dibo, G. General Method for Rapid Synthesis of Multicomponent Peptide Mixtures. </w:t>
      </w:r>
      <w:r w:rsidRPr="003E1EDC">
        <w:rPr>
          <w:rFonts w:ascii="Arial" w:hAnsi="Arial" w:cs="Arial"/>
          <w:i/>
          <w:iCs/>
          <w:noProof/>
          <w:sz w:val="24"/>
          <w:szCs w:val="24"/>
        </w:rPr>
        <w:t>Int J Pept Protein Res</w:t>
      </w:r>
      <w:r w:rsidRPr="003E1EDC">
        <w:rPr>
          <w:rFonts w:ascii="Arial" w:hAnsi="Arial" w:cs="Arial"/>
          <w:noProof/>
          <w:sz w:val="24"/>
          <w:szCs w:val="24"/>
        </w:rPr>
        <w:t xml:space="preserve"> </w:t>
      </w:r>
      <w:r w:rsidRPr="003E1EDC">
        <w:rPr>
          <w:rFonts w:ascii="Arial" w:hAnsi="Arial" w:cs="Arial"/>
          <w:b/>
          <w:bCs/>
          <w:noProof/>
          <w:sz w:val="24"/>
          <w:szCs w:val="24"/>
        </w:rPr>
        <w:t>1991</w:t>
      </w:r>
      <w:r w:rsidRPr="003E1EDC">
        <w:rPr>
          <w:rFonts w:ascii="Arial" w:hAnsi="Arial" w:cs="Arial"/>
          <w:noProof/>
          <w:sz w:val="24"/>
          <w:szCs w:val="24"/>
        </w:rPr>
        <w:t xml:space="preserve">, </w:t>
      </w:r>
      <w:r w:rsidRPr="003E1EDC">
        <w:rPr>
          <w:rFonts w:ascii="Arial" w:hAnsi="Arial" w:cs="Arial"/>
          <w:i/>
          <w:iCs/>
          <w:noProof/>
          <w:sz w:val="24"/>
          <w:szCs w:val="24"/>
        </w:rPr>
        <w:t>37</w:t>
      </w:r>
      <w:r w:rsidRPr="003E1EDC">
        <w:rPr>
          <w:rFonts w:ascii="Arial" w:hAnsi="Arial" w:cs="Arial"/>
          <w:noProof/>
          <w:sz w:val="24"/>
          <w:szCs w:val="24"/>
        </w:rPr>
        <w:t xml:space="preserve"> (6), 487–493.</w:t>
      </w:r>
    </w:p>
    <w:p w14:paraId="6E18A2FA"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(28) </w:t>
      </w:r>
      <w:r w:rsidRPr="003E1EDC">
        <w:rPr>
          <w:rFonts w:ascii="Arial" w:hAnsi="Arial" w:cs="Arial"/>
          <w:noProof/>
          <w:sz w:val="24"/>
          <w:szCs w:val="24"/>
        </w:rPr>
        <w:tab/>
        <w:t xml:space="preserve">Lam, K. S.; Salmon, S. E.; Hersh, E. M.; Hruby, V. J.; Kazmierski, W. M.; Knapp, R. J. A New Type of Synthetic Peptide Library for Identifying Ligand-Binding Activity. </w:t>
      </w:r>
      <w:r w:rsidRPr="003E1EDC">
        <w:rPr>
          <w:rFonts w:ascii="Arial" w:hAnsi="Arial" w:cs="Arial"/>
          <w:i/>
          <w:iCs/>
          <w:noProof/>
          <w:sz w:val="24"/>
          <w:szCs w:val="24"/>
        </w:rPr>
        <w:t>Nature</w:t>
      </w:r>
      <w:r w:rsidRPr="003E1EDC">
        <w:rPr>
          <w:rFonts w:ascii="Arial" w:hAnsi="Arial" w:cs="Arial"/>
          <w:noProof/>
          <w:sz w:val="24"/>
          <w:szCs w:val="24"/>
        </w:rPr>
        <w:t xml:space="preserve"> </w:t>
      </w:r>
      <w:r w:rsidRPr="003E1EDC">
        <w:rPr>
          <w:rFonts w:ascii="Arial" w:hAnsi="Arial" w:cs="Arial"/>
          <w:b/>
          <w:bCs/>
          <w:noProof/>
          <w:sz w:val="24"/>
          <w:szCs w:val="24"/>
        </w:rPr>
        <w:t>1991</w:t>
      </w:r>
      <w:r w:rsidRPr="003E1EDC">
        <w:rPr>
          <w:rFonts w:ascii="Arial" w:hAnsi="Arial" w:cs="Arial"/>
          <w:noProof/>
          <w:sz w:val="24"/>
          <w:szCs w:val="24"/>
        </w:rPr>
        <w:t xml:space="preserve">, </w:t>
      </w:r>
      <w:r w:rsidRPr="003E1EDC">
        <w:rPr>
          <w:rFonts w:ascii="Arial" w:hAnsi="Arial" w:cs="Arial"/>
          <w:i/>
          <w:iCs/>
          <w:noProof/>
          <w:sz w:val="24"/>
          <w:szCs w:val="24"/>
        </w:rPr>
        <w:t>354</w:t>
      </w:r>
      <w:r w:rsidRPr="003E1EDC">
        <w:rPr>
          <w:rFonts w:ascii="Arial" w:hAnsi="Arial" w:cs="Arial"/>
          <w:noProof/>
          <w:sz w:val="24"/>
          <w:szCs w:val="24"/>
        </w:rPr>
        <w:t xml:space="preserve"> (6348), 82–84. https://doi.org/10.1038/354082a0.</w:t>
      </w:r>
    </w:p>
    <w:p w14:paraId="42313274"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(29) </w:t>
      </w:r>
      <w:r w:rsidRPr="003E1EDC">
        <w:rPr>
          <w:rFonts w:ascii="Arial" w:hAnsi="Arial" w:cs="Arial"/>
          <w:noProof/>
          <w:sz w:val="24"/>
          <w:szCs w:val="24"/>
        </w:rPr>
        <w:tab/>
        <w:t xml:space="preserve">Fonslow, B. R.; Carvalho, P. C.; Academia, K.; Freeby, S.; Xu, T.; Nakorchevsky, A.; Paulus, A.; Yates, J. R. Improvements in Proteomic Metrics </w:t>
      </w:r>
      <w:r w:rsidRPr="003E1EDC">
        <w:rPr>
          <w:rFonts w:ascii="Arial" w:hAnsi="Arial" w:cs="Arial"/>
          <w:noProof/>
          <w:sz w:val="24"/>
          <w:szCs w:val="24"/>
        </w:rPr>
        <w:lastRenderedPageBreak/>
        <w:t xml:space="preserve">of Low Abundance Proteins through Proteome Equalization Using ProteoMiner Prior to MudPIT. </w:t>
      </w:r>
      <w:r w:rsidRPr="003E1EDC">
        <w:rPr>
          <w:rFonts w:ascii="Arial" w:hAnsi="Arial" w:cs="Arial"/>
          <w:i/>
          <w:iCs/>
          <w:noProof/>
          <w:sz w:val="24"/>
          <w:szCs w:val="24"/>
        </w:rPr>
        <w:t>J. Proteome Res.</w:t>
      </w:r>
      <w:r w:rsidRPr="003E1EDC">
        <w:rPr>
          <w:rFonts w:ascii="Arial" w:hAnsi="Arial" w:cs="Arial"/>
          <w:noProof/>
          <w:sz w:val="24"/>
          <w:szCs w:val="24"/>
        </w:rPr>
        <w:t xml:space="preserve"> </w:t>
      </w:r>
      <w:r w:rsidRPr="003E1EDC">
        <w:rPr>
          <w:rFonts w:ascii="Arial" w:hAnsi="Arial" w:cs="Arial"/>
          <w:b/>
          <w:bCs/>
          <w:noProof/>
          <w:sz w:val="24"/>
          <w:szCs w:val="24"/>
        </w:rPr>
        <w:t>2011</w:t>
      </w:r>
      <w:r w:rsidRPr="003E1EDC">
        <w:rPr>
          <w:rFonts w:ascii="Arial" w:hAnsi="Arial" w:cs="Arial"/>
          <w:noProof/>
          <w:sz w:val="24"/>
          <w:szCs w:val="24"/>
        </w:rPr>
        <w:t xml:space="preserve">, </w:t>
      </w:r>
      <w:r w:rsidRPr="003E1EDC">
        <w:rPr>
          <w:rFonts w:ascii="Arial" w:hAnsi="Arial" w:cs="Arial"/>
          <w:i/>
          <w:iCs/>
          <w:noProof/>
          <w:sz w:val="24"/>
          <w:szCs w:val="24"/>
        </w:rPr>
        <w:t>10</w:t>
      </w:r>
      <w:r w:rsidRPr="003E1EDC">
        <w:rPr>
          <w:rFonts w:ascii="Arial" w:hAnsi="Arial" w:cs="Arial"/>
          <w:noProof/>
          <w:sz w:val="24"/>
          <w:szCs w:val="24"/>
        </w:rPr>
        <w:t xml:space="preserve"> (8), 3690–3700. https://doi.org/10.1021/pr200304u.</w:t>
      </w:r>
    </w:p>
    <w:p w14:paraId="746959B0"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(30) </w:t>
      </w:r>
      <w:r w:rsidRPr="003E1EDC">
        <w:rPr>
          <w:rFonts w:ascii="Arial" w:hAnsi="Arial" w:cs="Arial"/>
          <w:noProof/>
          <w:sz w:val="24"/>
          <w:szCs w:val="24"/>
        </w:rPr>
        <w:tab/>
        <w:t xml:space="preserve">Pisanu, S.; Biosa, G.; Carcangiu, L.; Uzzau, S.; Pagnozzi, D. Comparative Evaluation of Seven Commercial Products for Human Serum Enrichment/Depletion by Shotgun Proteomics. </w:t>
      </w:r>
      <w:r w:rsidRPr="003E1EDC">
        <w:rPr>
          <w:rFonts w:ascii="Arial" w:hAnsi="Arial" w:cs="Arial"/>
          <w:i/>
          <w:iCs/>
          <w:noProof/>
          <w:sz w:val="24"/>
          <w:szCs w:val="24"/>
        </w:rPr>
        <w:t>Talanta</w:t>
      </w:r>
      <w:r w:rsidRPr="003E1EDC">
        <w:rPr>
          <w:rFonts w:ascii="Arial" w:hAnsi="Arial" w:cs="Arial"/>
          <w:noProof/>
          <w:sz w:val="24"/>
          <w:szCs w:val="24"/>
        </w:rPr>
        <w:t xml:space="preserve"> </w:t>
      </w:r>
      <w:r w:rsidRPr="003E1EDC">
        <w:rPr>
          <w:rFonts w:ascii="Arial" w:hAnsi="Arial" w:cs="Arial"/>
          <w:b/>
          <w:bCs/>
          <w:noProof/>
          <w:sz w:val="24"/>
          <w:szCs w:val="24"/>
        </w:rPr>
        <w:t>2018</w:t>
      </w:r>
      <w:r w:rsidRPr="003E1EDC">
        <w:rPr>
          <w:rFonts w:ascii="Arial" w:hAnsi="Arial" w:cs="Arial"/>
          <w:noProof/>
          <w:sz w:val="24"/>
          <w:szCs w:val="24"/>
        </w:rPr>
        <w:t xml:space="preserve">, </w:t>
      </w:r>
      <w:r w:rsidRPr="003E1EDC">
        <w:rPr>
          <w:rFonts w:ascii="Arial" w:hAnsi="Arial" w:cs="Arial"/>
          <w:i/>
          <w:iCs/>
          <w:noProof/>
          <w:sz w:val="24"/>
          <w:szCs w:val="24"/>
        </w:rPr>
        <w:t>185</w:t>
      </w:r>
      <w:r w:rsidRPr="003E1EDC">
        <w:rPr>
          <w:rFonts w:ascii="Arial" w:hAnsi="Arial" w:cs="Arial"/>
          <w:noProof/>
          <w:sz w:val="24"/>
          <w:szCs w:val="24"/>
        </w:rPr>
        <w:t>, 213–220. https://doi.org/10.1016/J.TALANTA.2018.03.086.</w:t>
      </w:r>
    </w:p>
    <w:p w14:paraId="08A2B512"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(31) </w:t>
      </w:r>
      <w:r w:rsidRPr="003E1EDC">
        <w:rPr>
          <w:rFonts w:ascii="Arial" w:hAnsi="Arial" w:cs="Arial"/>
          <w:noProof/>
          <w:sz w:val="24"/>
          <w:szCs w:val="24"/>
        </w:rPr>
        <w:tab/>
        <w:t>Williams, A. Proteomic Studies of an Explant Model of Equine Articular Cartilage in Response to Proinflammatory and Anti-Inflammatory Stimuli, University of Nottingham, 2014.</w:t>
      </w:r>
    </w:p>
    <w:p w14:paraId="65091807"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(32) </w:t>
      </w:r>
      <w:r w:rsidRPr="003E1EDC">
        <w:rPr>
          <w:rFonts w:ascii="Arial" w:hAnsi="Arial" w:cs="Arial"/>
          <w:noProof/>
          <w:sz w:val="24"/>
          <w:szCs w:val="24"/>
        </w:rPr>
        <w:tab/>
        <w:t xml:space="preserve">Peffers, M. J.; McDermott, B.; Clegg, P. D.; Riggs, C. M. Comprehensive Protein Profiling of Synovial Fluid in Osteoarthritis Following Protein Equalization. </w:t>
      </w:r>
      <w:r w:rsidRPr="003E1EDC">
        <w:rPr>
          <w:rFonts w:ascii="Arial" w:hAnsi="Arial" w:cs="Arial"/>
          <w:i/>
          <w:iCs/>
          <w:noProof/>
          <w:sz w:val="24"/>
          <w:szCs w:val="24"/>
        </w:rPr>
        <w:t>Osteoarthr. Cartil.</w:t>
      </w:r>
      <w:r w:rsidRPr="003E1EDC">
        <w:rPr>
          <w:rFonts w:ascii="Arial" w:hAnsi="Arial" w:cs="Arial"/>
          <w:noProof/>
          <w:sz w:val="24"/>
          <w:szCs w:val="24"/>
        </w:rPr>
        <w:t xml:space="preserve"> </w:t>
      </w:r>
      <w:r w:rsidRPr="003E1EDC">
        <w:rPr>
          <w:rFonts w:ascii="Arial" w:hAnsi="Arial" w:cs="Arial"/>
          <w:b/>
          <w:bCs/>
          <w:noProof/>
          <w:sz w:val="24"/>
          <w:szCs w:val="24"/>
        </w:rPr>
        <w:t>2015</w:t>
      </w:r>
      <w:r w:rsidRPr="003E1EDC">
        <w:rPr>
          <w:rFonts w:ascii="Arial" w:hAnsi="Arial" w:cs="Arial"/>
          <w:noProof/>
          <w:sz w:val="24"/>
          <w:szCs w:val="24"/>
        </w:rPr>
        <w:t xml:space="preserve">, </w:t>
      </w:r>
      <w:r w:rsidRPr="003E1EDC">
        <w:rPr>
          <w:rFonts w:ascii="Arial" w:hAnsi="Arial" w:cs="Arial"/>
          <w:i/>
          <w:iCs/>
          <w:noProof/>
          <w:sz w:val="24"/>
          <w:szCs w:val="24"/>
        </w:rPr>
        <w:t>23</w:t>
      </w:r>
      <w:r w:rsidRPr="003E1EDC">
        <w:rPr>
          <w:rFonts w:ascii="Arial" w:hAnsi="Arial" w:cs="Arial"/>
          <w:noProof/>
          <w:sz w:val="24"/>
          <w:szCs w:val="24"/>
        </w:rPr>
        <w:t xml:space="preserve"> (7), 1204–1213. https://doi.org/10.1016/j.joca.2015.03.019.</w:t>
      </w:r>
    </w:p>
    <w:p w14:paraId="28EBAFFE"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(33) </w:t>
      </w:r>
      <w:r w:rsidRPr="003E1EDC">
        <w:rPr>
          <w:rFonts w:ascii="Arial" w:hAnsi="Arial" w:cs="Arial"/>
          <w:noProof/>
          <w:sz w:val="24"/>
          <w:szCs w:val="24"/>
        </w:rPr>
        <w:tab/>
        <w:t xml:space="preserve">Davidson, R.; Gardner, S.; Jupp, O.; Bullough, A.; Butters, S.; Watts, L.; Donell, S.; Traka, M.; Saha, S.; Mithen, R.; et al. Isothiocyanates Are Detected in Human Synovial Fluid Following Broccoli Consumption and Can Affect the Tissues of the Knee Joint. </w:t>
      </w:r>
      <w:r w:rsidRPr="003E1EDC">
        <w:rPr>
          <w:rFonts w:ascii="Arial" w:hAnsi="Arial" w:cs="Arial"/>
          <w:i/>
          <w:iCs/>
          <w:noProof/>
          <w:sz w:val="24"/>
          <w:szCs w:val="24"/>
        </w:rPr>
        <w:t>Sci. Rep.</w:t>
      </w:r>
      <w:r w:rsidRPr="003E1EDC">
        <w:rPr>
          <w:rFonts w:ascii="Arial" w:hAnsi="Arial" w:cs="Arial"/>
          <w:noProof/>
          <w:sz w:val="24"/>
          <w:szCs w:val="24"/>
        </w:rPr>
        <w:t xml:space="preserve"> </w:t>
      </w:r>
      <w:r w:rsidRPr="003E1EDC">
        <w:rPr>
          <w:rFonts w:ascii="Arial" w:hAnsi="Arial" w:cs="Arial"/>
          <w:b/>
          <w:bCs/>
          <w:noProof/>
          <w:sz w:val="24"/>
          <w:szCs w:val="24"/>
        </w:rPr>
        <w:t>2017</w:t>
      </w:r>
      <w:r w:rsidRPr="003E1EDC">
        <w:rPr>
          <w:rFonts w:ascii="Arial" w:hAnsi="Arial" w:cs="Arial"/>
          <w:noProof/>
          <w:sz w:val="24"/>
          <w:szCs w:val="24"/>
        </w:rPr>
        <w:t xml:space="preserve">, </w:t>
      </w:r>
      <w:r w:rsidRPr="003E1EDC">
        <w:rPr>
          <w:rFonts w:ascii="Arial" w:hAnsi="Arial" w:cs="Arial"/>
          <w:i/>
          <w:iCs/>
          <w:noProof/>
          <w:sz w:val="24"/>
          <w:szCs w:val="24"/>
        </w:rPr>
        <w:t>7</w:t>
      </w:r>
      <w:r w:rsidRPr="003E1EDC">
        <w:rPr>
          <w:rFonts w:ascii="Arial" w:hAnsi="Arial" w:cs="Arial"/>
          <w:noProof/>
          <w:sz w:val="24"/>
          <w:szCs w:val="24"/>
        </w:rPr>
        <w:t xml:space="preserve"> (1), 3398. https://doi.org/10.1038/s41598-017-03629-5.</w:t>
      </w:r>
    </w:p>
    <w:p w14:paraId="74CB68E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(34) </w:t>
      </w:r>
      <w:r w:rsidRPr="003E1EDC">
        <w:rPr>
          <w:rFonts w:ascii="Arial" w:hAnsi="Arial" w:cs="Arial"/>
          <w:noProof/>
          <w:sz w:val="24"/>
          <w:szCs w:val="24"/>
        </w:rPr>
        <w:tab/>
        <w:t xml:space="preserve">Hulme, C. H.; Wilson, E. L.; Peffers, M. J.; Roberts, S.; Simpson, D. M.; Richardson, J. B.; Gallacher, P.; Wright, K. T. Autologous Chondrocyte Implantation-Derived Synovial Fluids Display Distinct Responder and Non-Responder Proteomic Profiles. </w:t>
      </w:r>
      <w:r w:rsidRPr="003E1EDC">
        <w:rPr>
          <w:rFonts w:ascii="Arial" w:hAnsi="Arial" w:cs="Arial"/>
          <w:i/>
          <w:iCs/>
          <w:noProof/>
          <w:sz w:val="24"/>
          <w:szCs w:val="24"/>
        </w:rPr>
        <w:t>Arthritis Res. Ther.</w:t>
      </w:r>
      <w:r w:rsidRPr="003E1EDC">
        <w:rPr>
          <w:rFonts w:ascii="Arial" w:hAnsi="Arial" w:cs="Arial"/>
          <w:noProof/>
          <w:sz w:val="24"/>
          <w:szCs w:val="24"/>
        </w:rPr>
        <w:t xml:space="preserve"> </w:t>
      </w:r>
      <w:r w:rsidRPr="003E1EDC">
        <w:rPr>
          <w:rFonts w:ascii="Arial" w:hAnsi="Arial" w:cs="Arial"/>
          <w:b/>
          <w:bCs/>
          <w:noProof/>
          <w:sz w:val="24"/>
          <w:szCs w:val="24"/>
        </w:rPr>
        <w:t>2017</w:t>
      </w:r>
      <w:r w:rsidRPr="003E1EDC">
        <w:rPr>
          <w:rFonts w:ascii="Arial" w:hAnsi="Arial" w:cs="Arial"/>
          <w:noProof/>
          <w:sz w:val="24"/>
          <w:szCs w:val="24"/>
        </w:rPr>
        <w:t xml:space="preserve">, </w:t>
      </w:r>
      <w:r w:rsidRPr="003E1EDC">
        <w:rPr>
          <w:rFonts w:ascii="Arial" w:hAnsi="Arial" w:cs="Arial"/>
          <w:i/>
          <w:iCs/>
          <w:noProof/>
          <w:sz w:val="24"/>
          <w:szCs w:val="24"/>
        </w:rPr>
        <w:t>19</w:t>
      </w:r>
      <w:r w:rsidRPr="003E1EDC">
        <w:rPr>
          <w:rFonts w:ascii="Arial" w:hAnsi="Arial" w:cs="Arial"/>
          <w:noProof/>
          <w:sz w:val="24"/>
          <w:szCs w:val="24"/>
        </w:rPr>
        <w:t xml:space="preserve"> (1), 150. https://doi.org/10.1186/s13075-017-1336-7.</w:t>
      </w:r>
    </w:p>
    <w:p w14:paraId="3A837620"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lastRenderedPageBreak/>
        <w:t xml:space="preserve">(35) </w:t>
      </w:r>
      <w:r w:rsidRPr="003E1EDC">
        <w:rPr>
          <w:rFonts w:ascii="Arial" w:hAnsi="Arial" w:cs="Arial"/>
          <w:noProof/>
          <w:sz w:val="24"/>
          <w:szCs w:val="24"/>
        </w:rPr>
        <w:tab/>
        <w:t xml:space="preserve">Anderson, J. R.; Smagul, A.; Simpson, D.; Clegg, P. D.; Rubio-Martinez, L. M.; Peffers, M. J. The Synovial Fluid Proteome Differentiates between Septic and Nonseptic Articular Pathologies. </w:t>
      </w:r>
      <w:r w:rsidRPr="003E1EDC">
        <w:rPr>
          <w:rFonts w:ascii="Arial" w:hAnsi="Arial" w:cs="Arial"/>
          <w:i/>
          <w:iCs/>
          <w:noProof/>
          <w:sz w:val="24"/>
          <w:szCs w:val="24"/>
        </w:rPr>
        <w:t>J. Proteomics</w:t>
      </w:r>
      <w:r w:rsidRPr="003E1EDC">
        <w:rPr>
          <w:rFonts w:ascii="Arial" w:hAnsi="Arial" w:cs="Arial"/>
          <w:noProof/>
          <w:sz w:val="24"/>
          <w:szCs w:val="24"/>
        </w:rPr>
        <w:t xml:space="preserve"> </w:t>
      </w:r>
      <w:r w:rsidRPr="003E1EDC">
        <w:rPr>
          <w:rFonts w:ascii="Arial" w:hAnsi="Arial" w:cs="Arial"/>
          <w:b/>
          <w:bCs/>
          <w:noProof/>
          <w:sz w:val="24"/>
          <w:szCs w:val="24"/>
        </w:rPr>
        <w:t>2019</w:t>
      </w:r>
      <w:r w:rsidRPr="003E1EDC">
        <w:rPr>
          <w:rFonts w:ascii="Arial" w:hAnsi="Arial" w:cs="Arial"/>
          <w:noProof/>
          <w:sz w:val="24"/>
          <w:szCs w:val="24"/>
        </w:rPr>
        <w:t xml:space="preserve">, </w:t>
      </w:r>
      <w:r w:rsidRPr="003E1EDC">
        <w:rPr>
          <w:rFonts w:ascii="Arial" w:hAnsi="Arial" w:cs="Arial"/>
          <w:i/>
          <w:iCs/>
          <w:noProof/>
          <w:sz w:val="24"/>
          <w:szCs w:val="24"/>
        </w:rPr>
        <w:t>202</w:t>
      </w:r>
      <w:r w:rsidRPr="003E1EDC">
        <w:rPr>
          <w:rFonts w:ascii="Arial" w:hAnsi="Arial" w:cs="Arial"/>
          <w:noProof/>
          <w:sz w:val="24"/>
          <w:szCs w:val="24"/>
        </w:rPr>
        <w:t>, 103370. https://doi.org/10.1016/J.JPROT.2019.04.020.</w:t>
      </w:r>
    </w:p>
    <w:p w14:paraId="6057832A"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(36) </w:t>
      </w:r>
      <w:r w:rsidRPr="003E1EDC">
        <w:rPr>
          <w:rFonts w:ascii="Arial" w:hAnsi="Arial" w:cs="Arial"/>
          <w:noProof/>
          <w:sz w:val="24"/>
          <w:szCs w:val="24"/>
        </w:rPr>
        <w:tab/>
        <w:t xml:space="preserve">Li, L.; Sun, C.; Freeby, S.; Yee, D.; Kieffer-Jaquinod, S.; Guerrier, L.; Boschetti, E.; Lomas, L. Protein Sample Treatment with Peptide Ligand Library: Coverage and Consistency. </w:t>
      </w:r>
      <w:r w:rsidRPr="003E1EDC">
        <w:rPr>
          <w:rFonts w:ascii="Arial" w:hAnsi="Arial" w:cs="Arial"/>
          <w:i/>
          <w:iCs/>
          <w:noProof/>
          <w:sz w:val="24"/>
          <w:szCs w:val="24"/>
        </w:rPr>
        <w:t>J. Proteomics Bioinformatice</w:t>
      </w:r>
      <w:r w:rsidRPr="003E1EDC">
        <w:rPr>
          <w:rFonts w:ascii="Arial" w:hAnsi="Arial" w:cs="Arial"/>
          <w:noProof/>
          <w:sz w:val="24"/>
          <w:szCs w:val="24"/>
        </w:rPr>
        <w:t xml:space="preserve"> </w:t>
      </w:r>
      <w:r w:rsidRPr="003E1EDC">
        <w:rPr>
          <w:rFonts w:ascii="Arial" w:hAnsi="Arial" w:cs="Arial"/>
          <w:b/>
          <w:bCs/>
          <w:noProof/>
          <w:sz w:val="24"/>
          <w:szCs w:val="24"/>
        </w:rPr>
        <w:t>2009</w:t>
      </w:r>
      <w:r w:rsidRPr="003E1EDC">
        <w:rPr>
          <w:rFonts w:ascii="Arial" w:hAnsi="Arial" w:cs="Arial"/>
          <w:noProof/>
          <w:sz w:val="24"/>
          <w:szCs w:val="24"/>
        </w:rPr>
        <w:t xml:space="preserve">, </w:t>
      </w:r>
      <w:r w:rsidRPr="003E1EDC">
        <w:rPr>
          <w:rFonts w:ascii="Arial" w:hAnsi="Arial" w:cs="Arial"/>
          <w:i/>
          <w:iCs/>
          <w:noProof/>
          <w:sz w:val="24"/>
          <w:szCs w:val="24"/>
        </w:rPr>
        <w:t>2</w:t>
      </w:r>
      <w:r w:rsidRPr="003E1EDC">
        <w:rPr>
          <w:rFonts w:ascii="Arial" w:hAnsi="Arial" w:cs="Arial"/>
          <w:noProof/>
          <w:sz w:val="24"/>
          <w:szCs w:val="24"/>
        </w:rPr>
        <w:t xml:space="preserve"> (12), 485–494.</w:t>
      </w:r>
    </w:p>
    <w:p w14:paraId="184FBE6C"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(37) </w:t>
      </w:r>
      <w:r w:rsidRPr="003E1EDC">
        <w:rPr>
          <w:rFonts w:ascii="Arial" w:hAnsi="Arial" w:cs="Arial"/>
          <w:noProof/>
          <w:sz w:val="24"/>
          <w:szCs w:val="24"/>
        </w:rPr>
        <w:tab/>
        <w:t xml:space="preserve">Jekel, P. A.; Weijer, W. J.; Beintema, J. J. Use of Endoproteinase Lys-C from Lysobacter Enzymogenes in Protein Sequence Analysis. </w:t>
      </w:r>
      <w:r w:rsidRPr="003E1EDC">
        <w:rPr>
          <w:rFonts w:ascii="Arial" w:hAnsi="Arial" w:cs="Arial"/>
          <w:i/>
          <w:iCs/>
          <w:noProof/>
          <w:sz w:val="24"/>
          <w:szCs w:val="24"/>
        </w:rPr>
        <w:t>Anal. Biochem.</w:t>
      </w:r>
      <w:r w:rsidRPr="003E1EDC">
        <w:rPr>
          <w:rFonts w:ascii="Arial" w:hAnsi="Arial" w:cs="Arial"/>
          <w:noProof/>
          <w:sz w:val="24"/>
          <w:szCs w:val="24"/>
        </w:rPr>
        <w:t xml:space="preserve"> </w:t>
      </w:r>
      <w:r w:rsidRPr="003E1EDC">
        <w:rPr>
          <w:rFonts w:ascii="Arial" w:hAnsi="Arial" w:cs="Arial"/>
          <w:b/>
          <w:bCs/>
          <w:noProof/>
          <w:sz w:val="24"/>
          <w:szCs w:val="24"/>
        </w:rPr>
        <w:t>1983</w:t>
      </w:r>
      <w:r w:rsidRPr="003E1EDC">
        <w:rPr>
          <w:rFonts w:ascii="Arial" w:hAnsi="Arial" w:cs="Arial"/>
          <w:noProof/>
          <w:sz w:val="24"/>
          <w:szCs w:val="24"/>
        </w:rPr>
        <w:t xml:space="preserve">, </w:t>
      </w:r>
      <w:r w:rsidRPr="003E1EDC">
        <w:rPr>
          <w:rFonts w:ascii="Arial" w:hAnsi="Arial" w:cs="Arial"/>
          <w:i/>
          <w:iCs/>
          <w:noProof/>
          <w:sz w:val="24"/>
          <w:szCs w:val="24"/>
        </w:rPr>
        <w:t>134</w:t>
      </w:r>
      <w:r w:rsidRPr="003E1EDC">
        <w:rPr>
          <w:rFonts w:ascii="Arial" w:hAnsi="Arial" w:cs="Arial"/>
          <w:noProof/>
          <w:sz w:val="24"/>
          <w:szCs w:val="24"/>
        </w:rPr>
        <w:t xml:space="preserve"> (2), 347–354. https://doi.org/10.1016/0003-2697(83)90308-1.</w:t>
      </w:r>
    </w:p>
    <w:p w14:paraId="4648F8BF"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(38) </w:t>
      </w:r>
      <w:r w:rsidRPr="003E1EDC">
        <w:rPr>
          <w:rFonts w:ascii="Arial" w:hAnsi="Arial" w:cs="Arial"/>
          <w:noProof/>
          <w:sz w:val="24"/>
          <w:szCs w:val="24"/>
        </w:rPr>
        <w:tab/>
        <w:t xml:space="preserve">Wu, Z.; Huang, J.; Huang, J.; Li, Q.; Zhang, X. Lys-C/Arg-C, a More Specific and Efficient Digestion Approach for Proteomics Studies. </w:t>
      </w:r>
      <w:r w:rsidRPr="003E1EDC">
        <w:rPr>
          <w:rFonts w:ascii="Arial" w:hAnsi="Arial" w:cs="Arial"/>
          <w:i/>
          <w:iCs/>
          <w:noProof/>
          <w:sz w:val="24"/>
          <w:szCs w:val="24"/>
        </w:rPr>
        <w:t>Anal. Chem.</w:t>
      </w:r>
      <w:r w:rsidRPr="003E1EDC">
        <w:rPr>
          <w:rFonts w:ascii="Arial" w:hAnsi="Arial" w:cs="Arial"/>
          <w:noProof/>
          <w:sz w:val="24"/>
          <w:szCs w:val="24"/>
        </w:rPr>
        <w:t xml:space="preserve"> </w:t>
      </w:r>
      <w:r w:rsidRPr="003E1EDC">
        <w:rPr>
          <w:rFonts w:ascii="Arial" w:hAnsi="Arial" w:cs="Arial"/>
          <w:b/>
          <w:bCs/>
          <w:noProof/>
          <w:sz w:val="24"/>
          <w:szCs w:val="24"/>
        </w:rPr>
        <w:t>2018</w:t>
      </w:r>
      <w:r w:rsidRPr="003E1EDC">
        <w:rPr>
          <w:rFonts w:ascii="Arial" w:hAnsi="Arial" w:cs="Arial"/>
          <w:noProof/>
          <w:sz w:val="24"/>
          <w:szCs w:val="24"/>
        </w:rPr>
        <w:t xml:space="preserve">, </w:t>
      </w:r>
      <w:r w:rsidRPr="003E1EDC">
        <w:rPr>
          <w:rFonts w:ascii="Arial" w:hAnsi="Arial" w:cs="Arial"/>
          <w:i/>
          <w:iCs/>
          <w:noProof/>
          <w:sz w:val="24"/>
          <w:szCs w:val="24"/>
        </w:rPr>
        <w:t>90</w:t>
      </w:r>
      <w:r w:rsidRPr="003E1EDC">
        <w:rPr>
          <w:rFonts w:ascii="Arial" w:hAnsi="Arial" w:cs="Arial"/>
          <w:noProof/>
          <w:sz w:val="24"/>
          <w:szCs w:val="24"/>
        </w:rPr>
        <w:t xml:space="preserve"> (16), 9700–9707. https://doi.org/10.1021/acs.analchem.8b02448.</w:t>
      </w:r>
    </w:p>
    <w:p w14:paraId="787B841C"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(39) </w:t>
      </w:r>
      <w:r w:rsidRPr="003E1EDC">
        <w:rPr>
          <w:rFonts w:ascii="Arial" w:hAnsi="Arial" w:cs="Arial"/>
          <w:noProof/>
          <w:sz w:val="24"/>
          <w:szCs w:val="24"/>
        </w:rPr>
        <w:tab/>
        <w:t xml:space="preserve">Siepen, J. A.; Keevil, E.-J.; Knight, D.; Hubbard, S. J. Prediction of Missed Cleavage Sites in Tryptic Peptides Aids Protein Identification in Proteomics. </w:t>
      </w:r>
      <w:r w:rsidRPr="003E1EDC">
        <w:rPr>
          <w:rFonts w:ascii="Arial" w:hAnsi="Arial" w:cs="Arial"/>
          <w:i/>
          <w:iCs/>
          <w:noProof/>
          <w:sz w:val="24"/>
          <w:szCs w:val="24"/>
        </w:rPr>
        <w:t>J. Proteome Res.</w:t>
      </w:r>
      <w:r w:rsidRPr="003E1EDC">
        <w:rPr>
          <w:rFonts w:ascii="Arial" w:hAnsi="Arial" w:cs="Arial"/>
          <w:noProof/>
          <w:sz w:val="24"/>
          <w:szCs w:val="24"/>
        </w:rPr>
        <w:t xml:space="preserve"> </w:t>
      </w:r>
      <w:r w:rsidRPr="003E1EDC">
        <w:rPr>
          <w:rFonts w:ascii="Arial" w:hAnsi="Arial" w:cs="Arial"/>
          <w:b/>
          <w:bCs/>
          <w:noProof/>
          <w:sz w:val="24"/>
          <w:szCs w:val="24"/>
        </w:rPr>
        <w:t>2007</w:t>
      </w:r>
      <w:r w:rsidRPr="003E1EDC">
        <w:rPr>
          <w:rFonts w:ascii="Arial" w:hAnsi="Arial" w:cs="Arial"/>
          <w:noProof/>
          <w:sz w:val="24"/>
          <w:szCs w:val="24"/>
        </w:rPr>
        <w:t xml:space="preserve">, </w:t>
      </w:r>
      <w:r w:rsidRPr="003E1EDC">
        <w:rPr>
          <w:rFonts w:ascii="Arial" w:hAnsi="Arial" w:cs="Arial"/>
          <w:i/>
          <w:iCs/>
          <w:noProof/>
          <w:sz w:val="24"/>
          <w:szCs w:val="24"/>
        </w:rPr>
        <w:t>6</w:t>
      </w:r>
      <w:r w:rsidRPr="003E1EDC">
        <w:rPr>
          <w:rFonts w:ascii="Arial" w:hAnsi="Arial" w:cs="Arial"/>
          <w:noProof/>
          <w:sz w:val="24"/>
          <w:szCs w:val="24"/>
        </w:rPr>
        <w:t xml:space="preserve"> (1), 399–408. https://doi.org/10.1021/pr060507u.</w:t>
      </w:r>
    </w:p>
    <w:p w14:paraId="35882660"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(40) </w:t>
      </w:r>
      <w:r w:rsidRPr="003E1EDC">
        <w:rPr>
          <w:rFonts w:ascii="Arial" w:hAnsi="Arial" w:cs="Arial"/>
          <w:noProof/>
          <w:sz w:val="24"/>
          <w:szCs w:val="24"/>
        </w:rPr>
        <w:tab/>
        <w:t xml:space="preserve">Glatter, T.; Ludwig, C.; Ahrné, E.; Aebersold, R.; Heck, A. J. R.; Schmidt, A. Large-Scale Quantitative Assessment of Different In-Solution Protein Digestion Protocols Reveals Superior Cleavage Efficiency of Tandem Lys-C/Trypsin Proteolysis over Trypsin Digestion. </w:t>
      </w:r>
      <w:r w:rsidRPr="003E1EDC">
        <w:rPr>
          <w:rFonts w:ascii="Arial" w:hAnsi="Arial" w:cs="Arial"/>
          <w:i/>
          <w:iCs/>
          <w:noProof/>
          <w:sz w:val="24"/>
          <w:szCs w:val="24"/>
        </w:rPr>
        <w:t>J. Proteome Res.</w:t>
      </w:r>
      <w:r w:rsidRPr="003E1EDC">
        <w:rPr>
          <w:rFonts w:ascii="Arial" w:hAnsi="Arial" w:cs="Arial"/>
          <w:noProof/>
          <w:sz w:val="24"/>
          <w:szCs w:val="24"/>
        </w:rPr>
        <w:t xml:space="preserve"> </w:t>
      </w:r>
      <w:r w:rsidRPr="003E1EDC">
        <w:rPr>
          <w:rFonts w:ascii="Arial" w:hAnsi="Arial" w:cs="Arial"/>
          <w:b/>
          <w:bCs/>
          <w:noProof/>
          <w:sz w:val="24"/>
          <w:szCs w:val="24"/>
        </w:rPr>
        <w:t>2012</w:t>
      </w:r>
      <w:r w:rsidRPr="003E1EDC">
        <w:rPr>
          <w:rFonts w:ascii="Arial" w:hAnsi="Arial" w:cs="Arial"/>
          <w:noProof/>
          <w:sz w:val="24"/>
          <w:szCs w:val="24"/>
        </w:rPr>
        <w:t xml:space="preserve">, </w:t>
      </w:r>
      <w:r w:rsidRPr="003E1EDC">
        <w:rPr>
          <w:rFonts w:ascii="Arial" w:hAnsi="Arial" w:cs="Arial"/>
          <w:i/>
          <w:iCs/>
          <w:noProof/>
          <w:sz w:val="24"/>
          <w:szCs w:val="24"/>
        </w:rPr>
        <w:t>11</w:t>
      </w:r>
      <w:r w:rsidRPr="003E1EDC">
        <w:rPr>
          <w:rFonts w:ascii="Arial" w:hAnsi="Arial" w:cs="Arial"/>
          <w:noProof/>
          <w:sz w:val="24"/>
          <w:szCs w:val="24"/>
        </w:rPr>
        <w:t xml:space="preserve"> (11), 5145–5156. https://doi.org/10.1021/pr300273g.</w:t>
      </w:r>
    </w:p>
    <w:p w14:paraId="4335029F"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(41) </w:t>
      </w:r>
      <w:r w:rsidRPr="003E1EDC">
        <w:rPr>
          <w:rFonts w:ascii="Arial" w:hAnsi="Arial" w:cs="Arial"/>
          <w:noProof/>
          <w:sz w:val="24"/>
          <w:szCs w:val="24"/>
        </w:rPr>
        <w:tab/>
        <w:t xml:space="preserve">Peffers, M. J.; Thornton, D. J.; Clegg, P. D. Characterization of Neopeptides in Equine Articular Cartilage Degradation. </w:t>
      </w:r>
      <w:r w:rsidRPr="003E1EDC">
        <w:rPr>
          <w:rFonts w:ascii="Arial" w:hAnsi="Arial" w:cs="Arial"/>
          <w:i/>
          <w:iCs/>
          <w:noProof/>
          <w:sz w:val="24"/>
          <w:szCs w:val="24"/>
        </w:rPr>
        <w:t>J. Orthop. Res.</w:t>
      </w:r>
      <w:r w:rsidRPr="003E1EDC">
        <w:rPr>
          <w:rFonts w:ascii="Arial" w:hAnsi="Arial" w:cs="Arial"/>
          <w:noProof/>
          <w:sz w:val="24"/>
          <w:szCs w:val="24"/>
        </w:rPr>
        <w:t xml:space="preserve"> </w:t>
      </w:r>
      <w:r w:rsidRPr="003E1EDC">
        <w:rPr>
          <w:rFonts w:ascii="Arial" w:hAnsi="Arial" w:cs="Arial"/>
          <w:b/>
          <w:bCs/>
          <w:noProof/>
          <w:sz w:val="24"/>
          <w:szCs w:val="24"/>
        </w:rPr>
        <w:t>2016</w:t>
      </w:r>
      <w:r w:rsidRPr="003E1EDC">
        <w:rPr>
          <w:rFonts w:ascii="Arial" w:hAnsi="Arial" w:cs="Arial"/>
          <w:noProof/>
          <w:sz w:val="24"/>
          <w:szCs w:val="24"/>
        </w:rPr>
        <w:t xml:space="preserve">, </w:t>
      </w:r>
      <w:r w:rsidRPr="003E1EDC">
        <w:rPr>
          <w:rFonts w:ascii="Arial" w:hAnsi="Arial" w:cs="Arial"/>
          <w:i/>
          <w:iCs/>
          <w:noProof/>
          <w:sz w:val="24"/>
          <w:szCs w:val="24"/>
        </w:rPr>
        <w:t>34</w:t>
      </w:r>
      <w:r w:rsidRPr="003E1EDC">
        <w:rPr>
          <w:rFonts w:ascii="Arial" w:hAnsi="Arial" w:cs="Arial"/>
          <w:noProof/>
          <w:sz w:val="24"/>
          <w:szCs w:val="24"/>
        </w:rPr>
        <w:t xml:space="preserve"> (1), 106–120. </w:t>
      </w:r>
      <w:r w:rsidRPr="003E1EDC">
        <w:rPr>
          <w:rFonts w:ascii="Arial" w:hAnsi="Arial" w:cs="Arial"/>
          <w:noProof/>
          <w:sz w:val="24"/>
          <w:szCs w:val="24"/>
        </w:rPr>
        <w:lastRenderedPageBreak/>
        <w:t>https://doi.org/10.1002/jor.22963.</w:t>
      </w:r>
    </w:p>
    <w:p w14:paraId="63B26E1E"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(42) </w:t>
      </w:r>
      <w:r w:rsidRPr="003E1EDC">
        <w:rPr>
          <w:rFonts w:ascii="Arial" w:hAnsi="Arial" w:cs="Arial"/>
          <w:noProof/>
          <w:sz w:val="24"/>
          <w:szCs w:val="24"/>
        </w:rPr>
        <w:tab/>
        <w:t xml:space="preserve">Donaldson, A. E.; Lamont, I. L. Metabolomics of Post-Mortem Blood: Identifying Potential Markers of Post-Mortem Interval. </w:t>
      </w:r>
      <w:r w:rsidRPr="003E1EDC">
        <w:rPr>
          <w:rFonts w:ascii="Arial" w:hAnsi="Arial" w:cs="Arial"/>
          <w:i/>
          <w:iCs/>
          <w:noProof/>
          <w:sz w:val="24"/>
          <w:szCs w:val="24"/>
        </w:rPr>
        <w:t>Metabolomics</w:t>
      </w:r>
      <w:r w:rsidRPr="003E1EDC">
        <w:rPr>
          <w:rFonts w:ascii="Arial" w:hAnsi="Arial" w:cs="Arial"/>
          <w:noProof/>
          <w:sz w:val="24"/>
          <w:szCs w:val="24"/>
        </w:rPr>
        <w:t xml:space="preserve"> </w:t>
      </w:r>
      <w:r w:rsidRPr="003E1EDC">
        <w:rPr>
          <w:rFonts w:ascii="Arial" w:hAnsi="Arial" w:cs="Arial"/>
          <w:b/>
          <w:bCs/>
          <w:noProof/>
          <w:sz w:val="24"/>
          <w:szCs w:val="24"/>
        </w:rPr>
        <w:t>2014</w:t>
      </w:r>
      <w:r w:rsidRPr="003E1EDC">
        <w:rPr>
          <w:rFonts w:ascii="Arial" w:hAnsi="Arial" w:cs="Arial"/>
          <w:noProof/>
          <w:sz w:val="24"/>
          <w:szCs w:val="24"/>
        </w:rPr>
        <w:t xml:space="preserve">, </w:t>
      </w:r>
      <w:r w:rsidRPr="003E1EDC">
        <w:rPr>
          <w:rFonts w:ascii="Arial" w:hAnsi="Arial" w:cs="Arial"/>
          <w:i/>
          <w:iCs/>
          <w:noProof/>
          <w:sz w:val="24"/>
          <w:szCs w:val="24"/>
        </w:rPr>
        <w:t>11</w:t>
      </w:r>
      <w:r w:rsidRPr="003E1EDC">
        <w:rPr>
          <w:rFonts w:ascii="Arial" w:hAnsi="Arial" w:cs="Arial"/>
          <w:noProof/>
          <w:sz w:val="24"/>
          <w:szCs w:val="24"/>
        </w:rPr>
        <w:t xml:space="preserve"> (1), 237–245. https://doi.org/10.1007/s11306-014-0691-5.</w:t>
      </w:r>
    </w:p>
    <w:p w14:paraId="4F37655D"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(43) </w:t>
      </w:r>
      <w:r w:rsidRPr="003E1EDC">
        <w:rPr>
          <w:rFonts w:ascii="Arial" w:hAnsi="Arial" w:cs="Arial"/>
          <w:noProof/>
          <w:sz w:val="24"/>
          <w:szCs w:val="24"/>
        </w:rPr>
        <w:tab/>
        <w:t xml:space="preserve">McIlwraith, C. W.; Frisbie, D. D.; Kawcak, C. E.; Fuller, C. J.; Hurtig, M.; Cruz, A. The OARSI Histopathology Initiative – Recommendations for Histological Assessments of Osteoarthritis in the Horse. </w:t>
      </w:r>
      <w:r w:rsidRPr="003E1EDC">
        <w:rPr>
          <w:rFonts w:ascii="Arial" w:hAnsi="Arial" w:cs="Arial"/>
          <w:i/>
          <w:iCs/>
          <w:noProof/>
          <w:sz w:val="24"/>
          <w:szCs w:val="24"/>
        </w:rPr>
        <w:t>Osteoarthr. Cartil.</w:t>
      </w:r>
      <w:r w:rsidRPr="003E1EDC">
        <w:rPr>
          <w:rFonts w:ascii="Arial" w:hAnsi="Arial" w:cs="Arial"/>
          <w:noProof/>
          <w:sz w:val="24"/>
          <w:szCs w:val="24"/>
        </w:rPr>
        <w:t xml:space="preserve"> </w:t>
      </w:r>
      <w:r w:rsidRPr="003E1EDC">
        <w:rPr>
          <w:rFonts w:ascii="Arial" w:hAnsi="Arial" w:cs="Arial"/>
          <w:b/>
          <w:bCs/>
          <w:noProof/>
          <w:sz w:val="24"/>
          <w:szCs w:val="24"/>
        </w:rPr>
        <w:t>2010</w:t>
      </w:r>
      <w:r w:rsidRPr="003E1EDC">
        <w:rPr>
          <w:rFonts w:ascii="Arial" w:hAnsi="Arial" w:cs="Arial"/>
          <w:noProof/>
          <w:sz w:val="24"/>
          <w:szCs w:val="24"/>
        </w:rPr>
        <w:t xml:space="preserve">, </w:t>
      </w:r>
      <w:r w:rsidRPr="003E1EDC">
        <w:rPr>
          <w:rFonts w:ascii="Arial" w:hAnsi="Arial" w:cs="Arial"/>
          <w:i/>
          <w:iCs/>
          <w:noProof/>
          <w:sz w:val="24"/>
          <w:szCs w:val="24"/>
        </w:rPr>
        <w:t>18</w:t>
      </w:r>
      <w:r w:rsidRPr="003E1EDC">
        <w:rPr>
          <w:rFonts w:ascii="Arial" w:hAnsi="Arial" w:cs="Arial"/>
          <w:noProof/>
          <w:sz w:val="24"/>
          <w:szCs w:val="24"/>
        </w:rPr>
        <w:t>, S93–S105. https://doi.org/10.1016/J.JOCA.2010.05.031.</w:t>
      </w:r>
    </w:p>
    <w:p w14:paraId="1B389347"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(44) </w:t>
      </w:r>
      <w:r w:rsidRPr="003E1EDC">
        <w:rPr>
          <w:rFonts w:ascii="Arial" w:hAnsi="Arial" w:cs="Arial"/>
          <w:noProof/>
          <w:sz w:val="24"/>
          <w:szCs w:val="24"/>
        </w:rPr>
        <w:tab/>
        <w:t xml:space="preserve">Sumner, L. W.; Amberg, A.; Barrett, D.; Beale, M. H.; Beger, R.; Daykin, C. A.; Fan, T. W.-M.; Fiehn, O.; Goodacre, R.; Griffin, J. L.; et al. Proposed Minimum Reporting Standards for Chemical Analysis Chemical Analysis Working Group (CAWG) Metabolomics Standards Initiative (MSI). </w:t>
      </w:r>
      <w:r w:rsidRPr="003E1EDC">
        <w:rPr>
          <w:rFonts w:ascii="Arial" w:hAnsi="Arial" w:cs="Arial"/>
          <w:i/>
          <w:iCs/>
          <w:noProof/>
          <w:sz w:val="24"/>
          <w:szCs w:val="24"/>
        </w:rPr>
        <w:t>Metabolomics</w:t>
      </w:r>
      <w:r w:rsidRPr="003E1EDC">
        <w:rPr>
          <w:rFonts w:ascii="Arial" w:hAnsi="Arial" w:cs="Arial"/>
          <w:noProof/>
          <w:sz w:val="24"/>
          <w:szCs w:val="24"/>
        </w:rPr>
        <w:t xml:space="preserve"> </w:t>
      </w:r>
      <w:r w:rsidRPr="003E1EDC">
        <w:rPr>
          <w:rFonts w:ascii="Arial" w:hAnsi="Arial" w:cs="Arial"/>
          <w:b/>
          <w:bCs/>
          <w:noProof/>
          <w:sz w:val="24"/>
          <w:szCs w:val="24"/>
        </w:rPr>
        <w:t>2007</w:t>
      </w:r>
      <w:r w:rsidRPr="003E1EDC">
        <w:rPr>
          <w:rFonts w:ascii="Arial" w:hAnsi="Arial" w:cs="Arial"/>
          <w:noProof/>
          <w:sz w:val="24"/>
          <w:szCs w:val="24"/>
        </w:rPr>
        <w:t xml:space="preserve">, </w:t>
      </w:r>
      <w:r w:rsidRPr="003E1EDC">
        <w:rPr>
          <w:rFonts w:ascii="Arial" w:hAnsi="Arial" w:cs="Arial"/>
          <w:i/>
          <w:iCs/>
          <w:noProof/>
          <w:sz w:val="24"/>
          <w:szCs w:val="24"/>
        </w:rPr>
        <w:t>3</w:t>
      </w:r>
      <w:r w:rsidRPr="003E1EDC">
        <w:rPr>
          <w:rFonts w:ascii="Arial" w:hAnsi="Arial" w:cs="Arial"/>
          <w:noProof/>
          <w:sz w:val="24"/>
          <w:szCs w:val="24"/>
        </w:rPr>
        <w:t xml:space="preserve"> (3), 211–221. https://doi.org/10.1007/s11306-007-0082-2.</w:t>
      </w:r>
    </w:p>
    <w:p w14:paraId="6476D33F"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(45) </w:t>
      </w:r>
      <w:r w:rsidRPr="003E1EDC">
        <w:rPr>
          <w:rFonts w:ascii="Arial" w:hAnsi="Arial" w:cs="Arial"/>
          <w:noProof/>
          <w:sz w:val="24"/>
          <w:szCs w:val="24"/>
        </w:rPr>
        <w:tab/>
        <w:t xml:space="preserve">Perkins, D. N.; Pappin, D. J.; Creasy, D. M.; Cottrell, J. S. Probability-Based Protein Identification by Searching Sequence Databases Using Mass Spectrometry Data. </w:t>
      </w:r>
      <w:r w:rsidRPr="003E1EDC">
        <w:rPr>
          <w:rFonts w:ascii="Arial" w:hAnsi="Arial" w:cs="Arial"/>
          <w:i/>
          <w:iCs/>
          <w:noProof/>
          <w:sz w:val="24"/>
          <w:szCs w:val="24"/>
        </w:rPr>
        <w:t>Electrophoresis</w:t>
      </w:r>
      <w:r w:rsidRPr="003E1EDC">
        <w:rPr>
          <w:rFonts w:ascii="Arial" w:hAnsi="Arial" w:cs="Arial"/>
          <w:noProof/>
          <w:sz w:val="24"/>
          <w:szCs w:val="24"/>
        </w:rPr>
        <w:t xml:space="preserve"> </w:t>
      </w:r>
      <w:r w:rsidRPr="003E1EDC">
        <w:rPr>
          <w:rFonts w:ascii="Arial" w:hAnsi="Arial" w:cs="Arial"/>
          <w:b/>
          <w:bCs/>
          <w:noProof/>
          <w:sz w:val="24"/>
          <w:szCs w:val="24"/>
        </w:rPr>
        <w:t>1999</w:t>
      </w:r>
      <w:r w:rsidRPr="003E1EDC">
        <w:rPr>
          <w:rFonts w:ascii="Arial" w:hAnsi="Arial" w:cs="Arial"/>
          <w:noProof/>
          <w:sz w:val="24"/>
          <w:szCs w:val="24"/>
        </w:rPr>
        <w:t xml:space="preserve">, </w:t>
      </w:r>
      <w:r w:rsidRPr="003E1EDC">
        <w:rPr>
          <w:rFonts w:ascii="Arial" w:hAnsi="Arial" w:cs="Arial"/>
          <w:i/>
          <w:iCs/>
          <w:noProof/>
          <w:sz w:val="24"/>
          <w:szCs w:val="24"/>
        </w:rPr>
        <w:t>20</w:t>
      </w:r>
      <w:r w:rsidRPr="003E1EDC">
        <w:rPr>
          <w:rFonts w:ascii="Arial" w:hAnsi="Arial" w:cs="Arial"/>
          <w:noProof/>
          <w:sz w:val="24"/>
          <w:szCs w:val="24"/>
        </w:rPr>
        <w:t xml:space="preserve"> (18), 3551–3567. https://doi.org/10.1002/(SICI)1522-2683(19991201)20:18&lt;3551::AID-ELPS3551&gt;3.0.CO;2-2.</w:t>
      </w:r>
    </w:p>
    <w:p w14:paraId="3D930A87"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(46) </w:t>
      </w:r>
      <w:r w:rsidRPr="003E1EDC">
        <w:rPr>
          <w:rFonts w:ascii="Arial" w:hAnsi="Arial" w:cs="Arial"/>
          <w:noProof/>
          <w:sz w:val="24"/>
          <w:szCs w:val="24"/>
        </w:rPr>
        <w:tab/>
        <w:t xml:space="preserve">Peffers, M.; Jones, A. R.; McCabe, A.; Anderson, J. Neopeptide Analyser: A Software Tool for Neopeptide Discovery in Proteomics Data. </w:t>
      </w:r>
      <w:r w:rsidRPr="003E1EDC">
        <w:rPr>
          <w:rFonts w:ascii="Arial" w:hAnsi="Arial" w:cs="Arial"/>
          <w:i/>
          <w:iCs/>
          <w:noProof/>
          <w:sz w:val="24"/>
          <w:szCs w:val="24"/>
        </w:rPr>
        <w:t>Wellcome Open Res.</w:t>
      </w:r>
      <w:r w:rsidRPr="003E1EDC">
        <w:rPr>
          <w:rFonts w:ascii="Arial" w:hAnsi="Arial" w:cs="Arial"/>
          <w:noProof/>
          <w:sz w:val="24"/>
          <w:szCs w:val="24"/>
        </w:rPr>
        <w:t xml:space="preserve"> </w:t>
      </w:r>
      <w:r w:rsidRPr="003E1EDC">
        <w:rPr>
          <w:rFonts w:ascii="Arial" w:hAnsi="Arial" w:cs="Arial"/>
          <w:b/>
          <w:bCs/>
          <w:noProof/>
          <w:sz w:val="24"/>
          <w:szCs w:val="24"/>
        </w:rPr>
        <w:t>2017</w:t>
      </w:r>
      <w:r w:rsidRPr="003E1EDC">
        <w:rPr>
          <w:rFonts w:ascii="Arial" w:hAnsi="Arial" w:cs="Arial"/>
          <w:noProof/>
          <w:sz w:val="24"/>
          <w:szCs w:val="24"/>
        </w:rPr>
        <w:t xml:space="preserve">, </w:t>
      </w:r>
      <w:r w:rsidRPr="003E1EDC">
        <w:rPr>
          <w:rFonts w:ascii="Arial" w:hAnsi="Arial" w:cs="Arial"/>
          <w:i/>
          <w:iCs/>
          <w:noProof/>
          <w:sz w:val="24"/>
          <w:szCs w:val="24"/>
        </w:rPr>
        <w:t>2</w:t>
      </w:r>
      <w:r w:rsidRPr="003E1EDC">
        <w:rPr>
          <w:rFonts w:ascii="Arial" w:hAnsi="Arial" w:cs="Arial"/>
          <w:noProof/>
          <w:sz w:val="24"/>
          <w:szCs w:val="24"/>
        </w:rPr>
        <w:t>, 24. https://doi.org/10.12688/wellcomeopenres.11275.1.</w:t>
      </w:r>
    </w:p>
    <w:p w14:paraId="4D07B36F"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(47) </w:t>
      </w:r>
      <w:r w:rsidRPr="003E1EDC">
        <w:rPr>
          <w:rFonts w:ascii="Arial" w:hAnsi="Arial" w:cs="Arial"/>
          <w:noProof/>
          <w:sz w:val="24"/>
          <w:szCs w:val="24"/>
        </w:rPr>
        <w:tab/>
        <w:t xml:space="preserve">Chong, J.; Soufan, O.; Li, C.; Caraus, I.; Li, S.; Bourque, G.; Wishart, D. S.; Xia, J. MetaboAnalyst 4.0: Towards More Transparent and Integrative Metabolomics Analysis. </w:t>
      </w:r>
      <w:r w:rsidRPr="003E1EDC">
        <w:rPr>
          <w:rFonts w:ascii="Arial" w:hAnsi="Arial" w:cs="Arial"/>
          <w:i/>
          <w:iCs/>
          <w:noProof/>
          <w:sz w:val="24"/>
          <w:szCs w:val="24"/>
        </w:rPr>
        <w:t>Nucleic Acids Res.</w:t>
      </w:r>
      <w:r w:rsidRPr="003E1EDC">
        <w:rPr>
          <w:rFonts w:ascii="Arial" w:hAnsi="Arial" w:cs="Arial"/>
          <w:noProof/>
          <w:sz w:val="24"/>
          <w:szCs w:val="24"/>
        </w:rPr>
        <w:t xml:space="preserve"> </w:t>
      </w:r>
      <w:r w:rsidRPr="003E1EDC">
        <w:rPr>
          <w:rFonts w:ascii="Arial" w:hAnsi="Arial" w:cs="Arial"/>
          <w:b/>
          <w:bCs/>
          <w:noProof/>
          <w:sz w:val="24"/>
          <w:szCs w:val="24"/>
        </w:rPr>
        <w:t>2018</w:t>
      </w:r>
      <w:r w:rsidRPr="003E1EDC">
        <w:rPr>
          <w:rFonts w:ascii="Arial" w:hAnsi="Arial" w:cs="Arial"/>
          <w:noProof/>
          <w:sz w:val="24"/>
          <w:szCs w:val="24"/>
        </w:rPr>
        <w:t xml:space="preserve">, </w:t>
      </w:r>
      <w:r w:rsidRPr="003E1EDC">
        <w:rPr>
          <w:rFonts w:ascii="Arial" w:hAnsi="Arial" w:cs="Arial"/>
          <w:i/>
          <w:iCs/>
          <w:noProof/>
          <w:sz w:val="24"/>
          <w:szCs w:val="24"/>
        </w:rPr>
        <w:t>46</w:t>
      </w:r>
      <w:r w:rsidRPr="003E1EDC">
        <w:rPr>
          <w:rFonts w:ascii="Arial" w:hAnsi="Arial" w:cs="Arial"/>
          <w:noProof/>
          <w:sz w:val="24"/>
          <w:szCs w:val="24"/>
        </w:rPr>
        <w:t xml:space="preserve"> (W1), W486–W494. </w:t>
      </w:r>
      <w:r w:rsidRPr="003E1EDC">
        <w:rPr>
          <w:rFonts w:ascii="Arial" w:hAnsi="Arial" w:cs="Arial"/>
          <w:noProof/>
          <w:sz w:val="24"/>
          <w:szCs w:val="24"/>
        </w:rPr>
        <w:lastRenderedPageBreak/>
        <w:t>https://doi.org/10.1093/nar/gky310.</w:t>
      </w:r>
    </w:p>
    <w:p w14:paraId="3B7B93B9"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(48) </w:t>
      </w:r>
      <w:r w:rsidRPr="003E1EDC">
        <w:rPr>
          <w:rFonts w:ascii="Arial" w:hAnsi="Arial" w:cs="Arial"/>
          <w:noProof/>
          <w:sz w:val="24"/>
          <w:szCs w:val="24"/>
        </w:rPr>
        <w:tab/>
        <w:t xml:space="preserve">Haug, K.; Cochrane, K.; Nainala, V. C.; Williams, M.; Chang, J.; Jayaseelan, K. V.; O’Donovan, C. MetaboLights: A Resource Evolving in Response to the Needs of Its Scientific Community. </w:t>
      </w:r>
      <w:r w:rsidRPr="003E1EDC">
        <w:rPr>
          <w:rFonts w:ascii="Arial" w:hAnsi="Arial" w:cs="Arial"/>
          <w:i/>
          <w:iCs/>
          <w:noProof/>
          <w:sz w:val="24"/>
          <w:szCs w:val="24"/>
        </w:rPr>
        <w:t>Nucleic Acids Res.</w:t>
      </w:r>
      <w:r w:rsidRPr="003E1EDC">
        <w:rPr>
          <w:rFonts w:ascii="Arial" w:hAnsi="Arial" w:cs="Arial"/>
          <w:noProof/>
          <w:sz w:val="24"/>
          <w:szCs w:val="24"/>
        </w:rPr>
        <w:t xml:space="preserve"> </w:t>
      </w:r>
      <w:r w:rsidRPr="003E1EDC">
        <w:rPr>
          <w:rFonts w:ascii="Arial" w:hAnsi="Arial" w:cs="Arial"/>
          <w:b/>
          <w:bCs/>
          <w:noProof/>
          <w:sz w:val="24"/>
          <w:szCs w:val="24"/>
        </w:rPr>
        <w:t>2019</w:t>
      </w:r>
      <w:r w:rsidRPr="003E1EDC">
        <w:rPr>
          <w:rFonts w:ascii="Arial" w:hAnsi="Arial" w:cs="Arial"/>
          <w:noProof/>
          <w:sz w:val="24"/>
          <w:szCs w:val="24"/>
        </w:rPr>
        <w:t xml:space="preserve">, </w:t>
      </w:r>
      <w:r w:rsidRPr="003E1EDC">
        <w:rPr>
          <w:rFonts w:ascii="Arial" w:hAnsi="Arial" w:cs="Arial"/>
          <w:i/>
          <w:iCs/>
          <w:noProof/>
          <w:sz w:val="24"/>
          <w:szCs w:val="24"/>
        </w:rPr>
        <w:t>48</w:t>
      </w:r>
      <w:r w:rsidRPr="003E1EDC">
        <w:rPr>
          <w:rFonts w:ascii="Arial" w:hAnsi="Arial" w:cs="Arial"/>
          <w:noProof/>
          <w:sz w:val="24"/>
          <w:szCs w:val="24"/>
        </w:rPr>
        <w:t>. https://doi.org/10.1093/nar/gkz1019.</w:t>
      </w:r>
    </w:p>
    <w:p w14:paraId="0EDEF75A"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(49) </w:t>
      </w:r>
      <w:r w:rsidRPr="003E1EDC">
        <w:rPr>
          <w:rFonts w:ascii="Arial" w:hAnsi="Arial" w:cs="Arial"/>
          <w:noProof/>
          <w:sz w:val="24"/>
          <w:szCs w:val="24"/>
        </w:rPr>
        <w:tab/>
        <w:t xml:space="preserve">Perez-Riverol, Y.; Csordas, A.; Bai, J.; Bernal-Llinares, M.; Hewapathirana, S.; Kundu, D. J.; Inuganti, A.; Griss, J.; Mayer, G.; Eisenacher, M.; et al. The PRIDE Database and Related Tools and Resources in 2019: Improving Support for Quantification Data. </w:t>
      </w:r>
      <w:r w:rsidRPr="003E1EDC">
        <w:rPr>
          <w:rFonts w:ascii="Arial" w:hAnsi="Arial" w:cs="Arial"/>
          <w:i/>
          <w:iCs/>
          <w:noProof/>
          <w:sz w:val="24"/>
          <w:szCs w:val="24"/>
        </w:rPr>
        <w:t>Nucleic Acids Res.</w:t>
      </w:r>
      <w:r w:rsidRPr="003E1EDC">
        <w:rPr>
          <w:rFonts w:ascii="Arial" w:hAnsi="Arial" w:cs="Arial"/>
          <w:noProof/>
          <w:sz w:val="24"/>
          <w:szCs w:val="24"/>
        </w:rPr>
        <w:t xml:space="preserve"> </w:t>
      </w:r>
      <w:r w:rsidRPr="003E1EDC">
        <w:rPr>
          <w:rFonts w:ascii="Arial" w:hAnsi="Arial" w:cs="Arial"/>
          <w:b/>
          <w:bCs/>
          <w:noProof/>
          <w:sz w:val="24"/>
          <w:szCs w:val="24"/>
        </w:rPr>
        <w:t>2019</w:t>
      </w:r>
      <w:r w:rsidRPr="003E1EDC">
        <w:rPr>
          <w:rFonts w:ascii="Arial" w:hAnsi="Arial" w:cs="Arial"/>
          <w:noProof/>
          <w:sz w:val="24"/>
          <w:szCs w:val="24"/>
        </w:rPr>
        <w:t xml:space="preserve">, </w:t>
      </w:r>
      <w:r w:rsidRPr="003E1EDC">
        <w:rPr>
          <w:rFonts w:ascii="Arial" w:hAnsi="Arial" w:cs="Arial"/>
          <w:i/>
          <w:iCs/>
          <w:noProof/>
          <w:sz w:val="24"/>
          <w:szCs w:val="24"/>
        </w:rPr>
        <w:t>47</w:t>
      </w:r>
      <w:r w:rsidRPr="003E1EDC">
        <w:rPr>
          <w:rFonts w:ascii="Arial" w:hAnsi="Arial" w:cs="Arial"/>
          <w:noProof/>
          <w:sz w:val="24"/>
          <w:szCs w:val="24"/>
        </w:rPr>
        <w:t xml:space="preserve"> (D1), D442–D450. https://doi.org/10.1093/nar/gky1106.</w:t>
      </w:r>
    </w:p>
    <w:p w14:paraId="1AC3F4B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(50) </w:t>
      </w:r>
      <w:r w:rsidRPr="003E1EDC">
        <w:rPr>
          <w:rFonts w:ascii="Arial" w:hAnsi="Arial" w:cs="Arial"/>
          <w:noProof/>
          <w:sz w:val="24"/>
          <w:szCs w:val="24"/>
        </w:rPr>
        <w:tab/>
        <w:t xml:space="preserve">Stern, R.; Jedrzejas, M. J. Hyaluronidases: Their Genomics, Structures, and Mechanisms of Action. </w:t>
      </w:r>
      <w:r w:rsidRPr="003E1EDC">
        <w:rPr>
          <w:rFonts w:ascii="Arial" w:hAnsi="Arial" w:cs="Arial"/>
          <w:i/>
          <w:iCs/>
          <w:noProof/>
          <w:sz w:val="24"/>
          <w:szCs w:val="24"/>
        </w:rPr>
        <w:t>Chem. Rev.</w:t>
      </w:r>
      <w:r w:rsidRPr="003E1EDC">
        <w:rPr>
          <w:rFonts w:ascii="Arial" w:hAnsi="Arial" w:cs="Arial"/>
          <w:noProof/>
          <w:sz w:val="24"/>
          <w:szCs w:val="24"/>
        </w:rPr>
        <w:t xml:space="preserve"> </w:t>
      </w:r>
      <w:r w:rsidRPr="003E1EDC">
        <w:rPr>
          <w:rFonts w:ascii="Arial" w:hAnsi="Arial" w:cs="Arial"/>
          <w:b/>
          <w:bCs/>
          <w:noProof/>
          <w:sz w:val="24"/>
          <w:szCs w:val="24"/>
        </w:rPr>
        <w:t>2006</w:t>
      </w:r>
      <w:r w:rsidRPr="003E1EDC">
        <w:rPr>
          <w:rFonts w:ascii="Arial" w:hAnsi="Arial" w:cs="Arial"/>
          <w:noProof/>
          <w:sz w:val="24"/>
          <w:szCs w:val="24"/>
        </w:rPr>
        <w:t xml:space="preserve">, </w:t>
      </w:r>
      <w:r w:rsidRPr="003E1EDC">
        <w:rPr>
          <w:rFonts w:ascii="Arial" w:hAnsi="Arial" w:cs="Arial"/>
          <w:i/>
          <w:iCs/>
          <w:noProof/>
          <w:sz w:val="24"/>
          <w:szCs w:val="24"/>
        </w:rPr>
        <w:t>106</w:t>
      </w:r>
      <w:r w:rsidRPr="003E1EDC">
        <w:rPr>
          <w:rFonts w:ascii="Arial" w:hAnsi="Arial" w:cs="Arial"/>
          <w:noProof/>
          <w:sz w:val="24"/>
          <w:szCs w:val="24"/>
        </w:rPr>
        <w:t xml:space="preserve"> (3), 818–839. https://doi.org/10.1021/cr050247k.</w:t>
      </w:r>
    </w:p>
    <w:p w14:paraId="6A8ED83B"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(51) </w:t>
      </w:r>
      <w:r w:rsidRPr="003E1EDC">
        <w:rPr>
          <w:rFonts w:ascii="Arial" w:hAnsi="Arial" w:cs="Arial"/>
          <w:noProof/>
          <w:sz w:val="24"/>
          <w:szCs w:val="24"/>
        </w:rPr>
        <w:tab/>
        <w:t xml:space="preserve">Catterall, J. B.; Rowan, A. D.; Sarsfield, S.; Saklatvala, J.; Wait, R.; Cawston, T. E. Development of a Novel 2D Proteomics Approach for the Identification of Proteins Secreted by Primary Chondrocytes after Stimulation by IL-1 and Oncostatin M. </w:t>
      </w:r>
      <w:r w:rsidRPr="003E1EDC">
        <w:rPr>
          <w:rFonts w:ascii="Arial" w:hAnsi="Arial" w:cs="Arial"/>
          <w:i/>
          <w:iCs/>
          <w:noProof/>
          <w:sz w:val="24"/>
          <w:szCs w:val="24"/>
        </w:rPr>
        <w:t>Rheumatology</w:t>
      </w:r>
      <w:r w:rsidRPr="003E1EDC">
        <w:rPr>
          <w:rFonts w:ascii="Arial" w:hAnsi="Arial" w:cs="Arial"/>
          <w:noProof/>
          <w:sz w:val="24"/>
          <w:szCs w:val="24"/>
        </w:rPr>
        <w:t xml:space="preserve"> </w:t>
      </w:r>
      <w:r w:rsidRPr="003E1EDC">
        <w:rPr>
          <w:rFonts w:ascii="Arial" w:hAnsi="Arial" w:cs="Arial"/>
          <w:b/>
          <w:bCs/>
          <w:noProof/>
          <w:sz w:val="24"/>
          <w:szCs w:val="24"/>
        </w:rPr>
        <w:t>2006</w:t>
      </w:r>
      <w:r w:rsidRPr="003E1EDC">
        <w:rPr>
          <w:rFonts w:ascii="Arial" w:hAnsi="Arial" w:cs="Arial"/>
          <w:noProof/>
          <w:sz w:val="24"/>
          <w:szCs w:val="24"/>
        </w:rPr>
        <w:t xml:space="preserve">, </w:t>
      </w:r>
      <w:r w:rsidRPr="003E1EDC">
        <w:rPr>
          <w:rFonts w:ascii="Arial" w:hAnsi="Arial" w:cs="Arial"/>
          <w:i/>
          <w:iCs/>
          <w:noProof/>
          <w:sz w:val="24"/>
          <w:szCs w:val="24"/>
        </w:rPr>
        <w:t>45</w:t>
      </w:r>
      <w:r w:rsidRPr="003E1EDC">
        <w:rPr>
          <w:rFonts w:ascii="Arial" w:hAnsi="Arial" w:cs="Arial"/>
          <w:noProof/>
          <w:sz w:val="24"/>
          <w:szCs w:val="24"/>
        </w:rPr>
        <w:t xml:space="preserve"> (9), 1101–1109. https://doi.org/10.1093/rheumatology/kel060.</w:t>
      </w:r>
    </w:p>
    <w:p w14:paraId="050A368A"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(52) </w:t>
      </w:r>
      <w:r w:rsidRPr="003E1EDC">
        <w:rPr>
          <w:rFonts w:ascii="Arial" w:hAnsi="Arial" w:cs="Arial"/>
          <w:noProof/>
          <w:sz w:val="24"/>
          <w:szCs w:val="24"/>
        </w:rPr>
        <w:tab/>
        <w:t xml:space="preserve">Yahia, D.; El-Hakiem, M. Biochemical Analysis of Synovial Fluid, Cerebrospinal Fluid and Vitreous Humor at Early Postmortem Intervals in Donkeys. </w:t>
      </w:r>
      <w:r w:rsidRPr="003E1EDC">
        <w:rPr>
          <w:rFonts w:ascii="Arial" w:hAnsi="Arial" w:cs="Arial"/>
          <w:i/>
          <w:iCs/>
          <w:noProof/>
          <w:sz w:val="24"/>
          <w:szCs w:val="24"/>
        </w:rPr>
        <w:t>J. Adv. Vet. Res.</w:t>
      </w:r>
      <w:r w:rsidRPr="003E1EDC">
        <w:rPr>
          <w:rFonts w:ascii="Arial" w:hAnsi="Arial" w:cs="Arial"/>
          <w:noProof/>
          <w:sz w:val="24"/>
          <w:szCs w:val="24"/>
        </w:rPr>
        <w:t xml:space="preserve"> </w:t>
      </w:r>
      <w:r w:rsidRPr="003E1EDC">
        <w:rPr>
          <w:rFonts w:ascii="Arial" w:hAnsi="Arial" w:cs="Arial"/>
          <w:b/>
          <w:bCs/>
          <w:noProof/>
          <w:sz w:val="24"/>
          <w:szCs w:val="24"/>
        </w:rPr>
        <w:t>2014</w:t>
      </w:r>
      <w:r w:rsidRPr="003E1EDC">
        <w:rPr>
          <w:rFonts w:ascii="Arial" w:hAnsi="Arial" w:cs="Arial"/>
          <w:noProof/>
          <w:sz w:val="24"/>
          <w:szCs w:val="24"/>
        </w:rPr>
        <w:t xml:space="preserve">, </w:t>
      </w:r>
      <w:r w:rsidRPr="003E1EDC">
        <w:rPr>
          <w:rFonts w:ascii="Arial" w:hAnsi="Arial" w:cs="Arial"/>
          <w:i/>
          <w:iCs/>
          <w:noProof/>
          <w:sz w:val="24"/>
          <w:szCs w:val="24"/>
        </w:rPr>
        <w:t>4</w:t>
      </w:r>
      <w:r w:rsidRPr="003E1EDC">
        <w:rPr>
          <w:rFonts w:ascii="Arial" w:hAnsi="Arial" w:cs="Arial"/>
          <w:noProof/>
          <w:sz w:val="24"/>
          <w:szCs w:val="24"/>
        </w:rPr>
        <w:t xml:space="preserve"> (1), 6–11.</w:t>
      </w:r>
    </w:p>
    <w:p w14:paraId="73DAFD35"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(53) </w:t>
      </w:r>
      <w:r w:rsidRPr="003E1EDC">
        <w:rPr>
          <w:rFonts w:ascii="Arial" w:hAnsi="Arial" w:cs="Arial"/>
          <w:noProof/>
          <w:sz w:val="24"/>
          <w:szCs w:val="24"/>
        </w:rPr>
        <w:tab/>
        <w:t xml:space="preserve">Hsieh, E. J.; Bereman, M. S.; Durand, S.; Valaskovic, G. A.; Maccoss, M. J. Effects of Column and Gradient Lengths on Peak Capacity and Peptide Identification in Nanoflow LC-MS/MS of Complex Proteomic Samples. </w:t>
      </w:r>
      <w:r w:rsidRPr="003E1EDC">
        <w:rPr>
          <w:rFonts w:ascii="Arial" w:hAnsi="Arial" w:cs="Arial"/>
          <w:i/>
          <w:iCs/>
          <w:noProof/>
          <w:sz w:val="24"/>
          <w:szCs w:val="24"/>
        </w:rPr>
        <w:t xml:space="preserve">J. Am. </w:t>
      </w:r>
      <w:r w:rsidRPr="003E1EDC">
        <w:rPr>
          <w:rFonts w:ascii="Arial" w:hAnsi="Arial" w:cs="Arial"/>
          <w:i/>
          <w:iCs/>
          <w:noProof/>
          <w:sz w:val="24"/>
          <w:szCs w:val="24"/>
        </w:rPr>
        <w:lastRenderedPageBreak/>
        <w:t>Soc. Mass Spectrom</w:t>
      </w:r>
      <w:r w:rsidRPr="003E1EDC">
        <w:rPr>
          <w:rFonts w:ascii="Arial" w:hAnsi="Arial" w:cs="Arial"/>
          <w:noProof/>
          <w:sz w:val="24"/>
          <w:szCs w:val="24"/>
        </w:rPr>
        <w:t xml:space="preserve"> </w:t>
      </w:r>
      <w:r w:rsidRPr="003E1EDC">
        <w:rPr>
          <w:rFonts w:ascii="Arial" w:hAnsi="Arial" w:cs="Arial"/>
          <w:b/>
          <w:bCs/>
          <w:noProof/>
          <w:sz w:val="24"/>
          <w:szCs w:val="24"/>
        </w:rPr>
        <w:t>2013</w:t>
      </w:r>
      <w:r w:rsidRPr="003E1EDC">
        <w:rPr>
          <w:rFonts w:ascii="Arial" w:hAnsi="Arial" w:cs="Arial"/>
          <w:noProof/>
          <w:sz w:val="24"/>
          <w:szCs w:val="24"/>
        </w:rPr>
        <w:t xml:space="preserve">, </w:t>
      </w:r>
      <w:r w:rsidRPr="003E1EDC">
        <w:rPr>
          <w:rFonts w:ascii="Arial" w:hAnsi="Arial" w:cs="Arial"/>
          <w:i/>
          <w:iCs/>
          <w:noProof/>
          <w:sz w:val="24"/>
          <w:szCs w:val="24"/>
        </w:rPr>
        <w:t>24</w:t>
      </w:r>
      <w:r w:rsidRPr="003E1EDC">
        <w:rPr>
          <w:rFonts w:ascii="Arial" w:hAnsi="Arial" w:cs="Arial"/>
          <w:noProof/>
          <w:sz w:val="24"/>
          <w:szCs w:val="24"/>
        </w:rPr>
        <w:t>, 148–153. https://doi.org/10.1007/s13361-012-0508-6.</w:t>
      </w:r>
    </w:p>
    <w:p w14:paraId="3330D97C"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(54) </w:t>
      </w:r>
      <w:r w:rsidRPr="003E1EDC">
        <w:rPr>
          <w:rFonts w:ascii="Arial" w:hAnsi="Arial" w:cs="Arial"/>
          <w:noProof/>
          <w:sz w:val="24"/>
          <w:szCs w:val="24"/>
        </w:rPr>
        <w:tab/>
        <w:t xml:space="preserve">Li, H.; Han, J.; Pan, J.; Liu, T.; Parker, C. E.; Borchers, C. H. Current Trends in Quantitative Proteomics - an Update. </w:t>
      </w:r>
      <w:r w:rsidRPr="003E1EDC">
        <w:rPr>
          <w:rFonts w:ascii="Arial" w:hAnsi="Arial" w:cs="Arial"/>
          <w:i/>
          <w:iCs/>
          <w:noProof/>
          <w:sz w:val="24"/>
          <w:szCs w:val="24"/>
        </w:rPr>
        <w:t>J. Mass Spectrom.</w:t>
      </w:r>
      <w:r w:rsidRPr="003E1EDC">
        <w:rPr>
          <w:rFonts w:ascii="Arial" w:hAnsi="Arial" w:cs="Arial"/>
          <w:noProof/>
          <w:sz w:val="24"/>
          <w:szCs w:val="24"/>
        </w:rPr>
        <w:t xml:space="preserve"> </w:t>
      </w:r>
      <w:r w:rsidRPr="003E1EDC">
        <w:rPr>
          <w:rFonts w:ascii="Arial" w:hAnsi="Arial" w:cs="Arial"/>
          <w:b/>
          <w:bCs/>
          <w:noProof/>
          <w:sz w:val="24"/>
          <w:szCs w:val="24"/>
        </w:rPr>
        <w:t>2017</w:t>
      </w:r>
      <w:r w:rsidRPr="003E1EDC">
        <w:rPr>
          <w:rFonts w:ascii="Arial" w:hAnsi="Arial" w:cs="Arial"/>
          <w:noProof/>
          <w:sz w:val="24"/>
          <w:szCs w:val="24"/>
        </w:rPr>
        <w:t xml:space="preserve">, </w:t>
      </w:r>
      <w:r w:rsidRPr="003E1EDC">
        <w:rPr>
          <w:rFonts w:ascii="Arial" w:hAnsi="Arial" w:cs="Arial"/>
          <w:i/>
          <w:iCs/>
          <w:noProof/>
          <w:sz w:val="24"/>
          <w:szCs w:val="24"/>
        </w:rPr>
        <w:t>52</w:t>
      </w:r>
      <w:r w:rsidRPr="003E1EDC">
        <w:rPr>
          <w:rFonts w:ascii="Arial" w:hAnsi="Arial" w:cs="Arial"/>
          <w:noProof/>
          <w:sz w:val="24"/>
          <w:szCs w:val="24"/>
        </w:rPr>
        <w:t xml:space="preserve"> (5), 319–341. https://doi.org/10.1002/jms.3932.</w:t>
      </w:r>
    </w:p>
    <w:p w14:paraId="74142E0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(55) </w:t>
      </w:r>
      <w:r w:rsidRPr="003E1EDC">
        <w:rPr>
          <w:rFonts w:ascii="Arial" w:hAnsi="Arial" w:cs="Arial"/>
          <w:noProof/>
          <w:sz w:val="24"/>
          <w:szCs w:val="24"/>
        </w:rPr>
        <w:tab/>
        <w:t xml:space="preserve">Lotz, M.; Martel-Pelletier, J.; Christiansen, C.; Brandi, M.-L.; Bruyère, O.; Chapurlat, R.; Collette, J.; Cooper, C.; Giacovelli, G.; Kanis, J. A.; et al. Value of Biomarkers in Osteoarthritis: Current Status and Perspectives. </w:t>
      </w:r>
      <w:r w:rsidRPr="003E1EDC">
        <w:rPr>
          <w:rFonts w:ascii="Arial" w:hAnsi="Arial" w:cs="Arial"/>
          <w:i/>
          <w:iCs/>
          <w:noProof/>
          <w:sz w:val="24"/>
          <w:szCs w:val="24"/>
        </w:rPr>
        <w:t>Ann. Rheum. Dis.</w:t>
      </w:r>
      <w:r w:rsidRPr="003E1EDC">
        <w:rPr>
          <w:rFonts w:ascii="Arial" w:hAnsi="Arial" w:cs="Arial"/>
          <w:noProof/>
          <w:sz w:val="24"/>
          <w:szCs w:val="24"/>
        </w:rPr>
        <w:t xml:space="preserve"> </w:t>
      </w:r>
      <w:r w:rsidRPr="003E1EDC">
        <w:rPr>
          <w:rFonts w:ascii="Arial" w:hAnsi="Arial" w:cs="Arial"/>
          <w:b/>
          <w:bCs/>
          <w:noProof/>
          <w:sz w:val="24"/>
          <w:szCs w:val="24"/>
        </w:rPr>
        <w:t>2013</w:t>
      </w:r>
      <w:r w:rsidRPr="003E1EDC">
        <w:rPr>
          <w:rFonts w:ascii="Arial" w:hAnsi="Arial" w:cs="Arial"/>
          <w:noProof/>
          <w:sz w:val="24"/>
          <w:szCs w:val="24"/>
        </w:rPr>
        <w:t xml:space="preserve">, </w:t>
      </w:r>
      <w:r w:rsidRPr="003E1EDC">
        <w:rPr>
          <w:rFonts w:ascii="Arial" w:hAnsi="Arial" w:cs="Arial"/>
          <w:i/>
          <w:iCs/>
          <w:noProof/>
          <w:sz w:val="24"/>
          <w:szCs w:val="24"/>
        </w:rPr>
        <w:t>72</w:t>
      </w:r>
      <w:r w:rsidRPr="003E1EDC">
        <w:rPr>
          <w:rFonts w:ascii="Arial" w:hAnsi="Arial" w:cs="Arial"/>
          <w:noProof/>
          <w:sz w:val="24"/>
          <w:szCs w:val="24"/>
        </w:rPr>
        <w:t xml:space="preserve"> (11), 1756–1763. https://doi.org/10.1136/annrheumdis-2013-203726.</w:t>
      </w:r>
    </w:p>
    <w:p w14:paraId="4535D2E6"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(56) </w:t>
      </w:r>
      <w:r w:rsidRPr="003E1EDC">
        <w:rPr>
          <w:rFonts w:ascii="Arial" w:hAnsi="Arial" w:cs="Arial"/>
          <w:noProof/>
          <w:sz w:val="24"/>
          <w:szCs w:val="24"/>
        </w:rPr>
        <w:tab/>
        <w:t xml:space="preserve">Caterson, B.; Baker, J. R.; Christnerg, J. E.; Leell, Y.; Lentzn, M. Monoclonal Antibodies as Probes for Determining the Microheterogeneity of the Link Proteins of Cartilage Proteoglycan. </w:t>
      </w:r>
      <w:r w:rsidRPr="003E1EDC">
        <w:rPr>
          <w:rFonts w:ascii="Arial" w:hAnsi="Arial" w:cs="Arial"/>
          <w:i/>
          <w:iCs/>
          <w:noProof/>
          <w:sz w:val="24"/>
          <w:szCs w:val="24"/>
        </w:rPr>
        <w:t>J. Biol. Chem.</w:t>
      </w:r>
      <w:r w:rsidRPr="003E1EDC">
        <w:rPr>
          <w:rFonts w:ascii="Arial" w:hAnsi="Arial" w:cs="Arial"/>
          <w:noProof/>
          <w:sz w:val="24"/>
          <w:szCs w:val="24"/>
        </w:rPr>
        <w:t xml:space="preserve"> </w:t>
      </w:r>
      <w:r w:rsidRPr="003E1EDC">
        <w:rPr>
          <w:rFonts w:ascii="Arial" w:hAnsi="Arial" w:cs="Arial"/>
          <w:b/>
          <w:bCs/>
          <w:noProof/>
          <w:sz w:val="24"/>
          <w:szCs w:val="24"/>
        </w:rPr>
        <w:t>1985</w:t>
      </w:r>
      <w:r w:rsidRPr="003E1EDC">
        <w:rPr>
          <w:rFonts w:ascii="Arial" w:hAnsi="Arial" w:cs="Arial"/>
          <w:noProof/>
          <w:sz w:val="24"/>
          <w:szCs w:val="24"/>
        </w:rPr>
        <w:t xml:space="preserve">, </w:t>
      </w:r>
      <w:r w:rsidRPr="003E1EDC">
        <w:rPr>
          <w:rFonts w:ascii="Arial" w:hAnsi="Arial" w:cs="Arial"/>
          <w:i/>
          <w:iCs/>
          <w:noProof/>
          <w:sz w:val="24"/>
          <w:szCs w:val="24"/>
        </w:rPr>
        <w:t>260</w:t>
      </w:r>
      <w:r w:rsidRPr="003E1EDC">
        <w:rPr>
          <w:rFonts w:ascii="Arial" w:hAnsi="Arial" w:cs="Arial"/>
          <w:noProof/>
          <w:sz w:val="24"/>
          <w:szCs w:val="24"/>
        </w:rPr>
        <w:t xml:space="preserve"> (19).</w:t>
      </w:r>
    </w:p>
    <w:p w14:paraId="3CE8A92E"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(57) </w:t>
      </w:r>
      <w:r w:rsidRPr="003E1EDC">
        <w:rPr>
          <w:rFonts w:ascii="Arial" w:hAnsi="Arial" w:cs="Arial"/>
          <w:noProof/>
          <w:sz w:val="24"/>
          <w:szCs w:val="24"/>
        </w:rPr>
        <w:tab/>
        <w:t xml:space="preserve">Loziuk, P. L.; Wang, J.; Li, Q.; Sederoff, R. R.; Chiang, V. L.; Muddiman, D. C. Understanding the Role of Proteolytic Digestion on Discovery and Targeted Proteomic Measurements Using Liquid Chromatography Tandem Mass Spectrometry and Design of Experiments. </w:t>
      </w:r>
      <w:r w:rsidRPr="003E1EDC">
        <w:rPr>
          <w:rFonts w:ascii="Arial" w:hAnsi="Arial" w:cs="Arial"/>
          <w:i/>
          <w:iCs/>
          <w:noProof/>
          <w:sz w:val="24"/>
          <w:szCs w:val="24"/>
        </w:rPr>
        <w:t>J. Proteome Res.</w:t>
      </w:r>
      <w:r w:rsidRPr="003E1EDC">
        <w:rPr>
          <w:rFonts w:ascii="Arial" w:hAnsi="Arial" w:cs="Arial"/>
          <w:noProof/>
          <w:sz w:val="24"/>
          <w:szCs w:val="24"/>
        </w:rPr>
        <w:t xml:space="preserve"> </w:t>
      </w:r>
      <w:r w:rsidRPr="003E1EDC">
        <w:rPr>
          <w:rFonts w:ascii="Arial" w:hAnsi="Arial" w:cs="Arial"/>
          <w:b/>
          <w:bCs/>
          <w:noProof/>
          <w:sz w:val="24"/>
          <w:szCs w:val="24"/>
        </w:rPr>
        <w:t>2013</w:t>
      </w:r>
      <w:r w:rsidRPr="003E1EDC">
        <w:rPr>
          <w:rFonts w:ascii="Arial" w:hAnsi="Arial" w:cs="Arial"/>
          <w:noProof/>
          <w:sz w:val="24"/>
          <w:szCs w:val="24"/>
        </w:rPr>
        <w:t xml:space="preserve">, </w:t>
      </w:r>
      <w:r w:rsidRPr="003E1EDC">
        <w:rPr>
          <w:rFonts w:ascii="Arial" w:hAnsi="Arial" w:cs="Arial"/>
          <w:i/>
          <w:iCs/>
          <w:noProof/>
          <w:sz w:val="24"/>
          <w:szCs w:val="24"/>
        </w:rPr>
        <w:t>12</w:t>
      </w:r>
      <w:r w:rsidRPr="003E1EDC">
        <w:rPr>
          <w:rFonts w:ascii="Arial" w:hAnsi="Arial" w:cs="Arial"/>
          <w:noProof/>
          <w:sz w:val="24"/>
          <w:szCs w:val="24"/>
        </w:rPr>
        <w:t xml:space="preserve"> (12), 5820–5829. https://doi.org/10.1021/pr4008442.</w:t>
      </w:r>
    </w:p>
    <w:p w14:paraId="44AF2B9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t xml:space="preserve">(58) </w:t>
      </w:r>
      <w:r w:rsidRPr="003E1EDC">
        <w:rPr>
          <w:rFonts w:ascii="Arial" w:hAnsi="Arial" w:cs="Arial"/>
          <w:noProof/>
          <w:sz w:val="24"/>
          <w:szCs w:val="24"/>
        </w:rPr>
        <w:tab/>
        <w:t xml:space="preserve">Mirgorodskaya, O. A.; Kozmin, Y. P.; Titov, M. I.; Körner, R.; Sönksen, C. P.; Roepstorff, P. Quantitation of Peptides and Proteins by Matrix-Assisted Laser Desorption/Ionization Mass Spectrometry Using18O-Labeled Internal Standards. </w:t>
      </w:r>
      <w:r w:rsidRPr="003E1EDC">
        <w:rPr>
          <w:rFonts w:ascii="Arial" w:hAnsi="Arial" w:cs="Arial"/>
          <w:i/>
          <w:iCs/>
          <w:noProof/>
          <w:sz w:val="24"/>
          <w:szCs w:val="24"/>
        </w:rPr>
        <w:t>Rapid Commun. Mass Spectrom.</w:t>
      </w:r>
      <w:r w:rsidRPr="003E1EDC">
        <w:rPr>
          <w:rFonts w:ascii="Arial" w:hAnsi="Arial" w:cs="Arial"/>
          <w:noProof/>
          <w:sz w:val="24"/>
          <w:szCs w:val="24"/>
        </w:rPr>
        <w:t xml:space="preserve"> </w:t>
      </w:r>
      <w:r w:rsidRPr="003E1EDC">
        <w:rPr>
          <w:rFonts w:ascii="Arial" w:hAnsi="Arial" w:cs="Arial"/>
          <w:b/>
          <w:bCs/>
          <w:noProof/>
          <w:sz w:val="24"/>
          <w:szCs w:val="24"/>
        </w:rPr>
        <w:t>2000</w:t>
      </w:r>
      <w:r w:rsidRPr="003E1EDC">
        <w:rPr>
          <w:rFonts w:ascii="Arial" w:hAnsi="Arial" w:cs="Arial"/>
          <w:noProof/>
          <w:sz w:val="24"/>
          <w:szCs w:val="24"/>
        </w:rPr>
        <w:t xml:space="preserve">, </w:t>
      </w:r>
      <w:r w:rsidRPr="003E1EDC">
        <w:rPr>
          <w:rFonts w:ascii="Arial" w:hAnsi="Arial" w:cs="Arial"/>
          <w:i/>
          <w:iCs/>
          <w:noProof/>
          <w:sz w:val="24"/>
          <w:szCs w:val="24"/>
        </w:rPr>
        <w:t>14</w:t>
      </w:r>
      <w:r w:rsidRPr="003E1EDC">
        <w:rPr>
          <w:rFonts w:ascii="Arial" w:hAnsi="Arial" w:cs="Arial"/>
          <w:noProof/>
          <w:sz w:val="24"/>
          <w:szCs w:val="24"/>
        </w:rPr>
        <w:t xml:space="preserve"> (14), 1226–1232. https://doi.org/10.1002/1097-0231(20000730)14:14&lt;1226::AID-RCM14&gt;3.0.CO;2-V.</w:t>
      </w:r>
    </w:p>
    <w:p w14:paraId="0F273C0F"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szCs w:val="24"/>
        </w:rPr>
      </w:pPr>
      <w:r w:rsidRPr="003E1EDC">
        <w:rPr>
          <w:rFonts w:ascii="Arial" w:hAnsi="Arial" w:cs="Arial"/>
          <w:noProof/>
          <w:sz w:val="24"/>
          <w:szCs w:val="24"/>
        </w:rPr>
        <w:lastRenderedPageBreak/>
        <w:t xml:space="preserve">(59) </w:t>
      </w:r>
      <w:r w:rsidRPr="003E1EDC">
        <w:rPr>
          <w:rFonts w:ascii="Arial" w:hAnsi="Arial" w:cs="Arial"/>
          <w:noProof/>
          <w:sz w:val="24"/>
          <w:szCs w:val="24"/>
        </w:rPr>
        <w:tab/>
        <w:t xml:space="preserve">Havliš, J.; Shevchenko, A. Absolute Quantification of Proteins in Solutions and in Polyacrylamide Gels by Mass Spectrometry. </w:t>
      </w:r>
      <w:r w:rsidRPr="003E1EDC">
        <w:rPr>
          <w:rFonts w:ascii="Arial" w:hAnsi="Arial" w:cs="Arial"/>
          <w:i/>
          <w:iCs/>
          <w:noProof/>
          <w:sz w:val="24"/>
          <w:szCs w:val="24"/>
        </w:rPr>
        <w:t>Anal. Chem.</w:t>
      </w:r>
      <w:r w:rsidRPr="003E1EDC">
        <w:rPr>
          <w:rFonts w:ascii="Arial" w:hAnsi="Arial" w:cs="Arial"/>
          <w:noProof/>
          <w:sz w:val="24"/>
          <w:szCs w:val="24"/>
        </w:rPr>
        <w:t xml:space="preserve"> </w:t>
      </w:r>
      <w:r w:rsidRPr="003E1EDC">
        <w:rPr>
          <w:rFonts w:ascii="Arial" w:hAnsi="Arial" w:cs="Arial"/>
          <w:b/>
          <w:bCs/>
          <w:noProof/>
          <w:sz w:val="24"/>
          <w:szCs w:val="24"/>
        </w:rPr>
        <w:t>2004</w:t>
      </w:r>
      <w:r w:rsidRPr="003E1EDC">
        <w:rPr>
          <w:rFonts w:ascii="Arial" w:hAnsi="Arial" w:cs="Arial"/>
          <w:noProof/>
          <w:sz w:val="24"/>
          <w:szCs w:val="24"/>
        </w:rPr>
        <w:t xml:space="preserve">, </w:t>
      </w:r>
      <w:r w:rsidRPr="003E1EDC">
        <w:rPr>
          <w:rFonts w:ascii="Arial" w:hAnsi="Arial" w:cs="Arial"/>
          <w:i/>
          <w:iCs/>
          <w:noProof/>
          <w:sz w:val="24"/>
          <w:szCs w:val="24"/>
        </w:rPr>
        <w:t>76</w:t>
      </w:r>
      <w:r w:rsidRPr="003E1EDC">
        <w:rPr>
          <w:rFonts w:ascii="Arial" w:hAnsi="Arial" w:cs="Arial"/>
          <w:noProof/>
          <w:sz w:val="24"/>
          <w:szCs w:val="24"/>
        </w:rPr>
        <w:t xml:space="preserve"> (11), 3029–3036. https://doi.org/10.1021/ac035286f.</w:t>
      </w:r>
    </w:p>
    <w:p w14:paraId="6F37D1E1" w14:textId="77777777" w:rsidR="003E1EDC" w:rsidRPr="003E1EDC" w:rsidRDefault="003E1EDC" w:rsidP="003E1EDC">
      <w:pPr>
        <w:widowControl w:val="0"/>
        <w:autoSpaceDE w:val="0"/>
        <w:autoSpaceDN w:val="0"/>
        <w:adjustRightInd w:val="0"/>
        <w:spacing w:line="480" w:lineRule="auto"/>
        <w:ind w:left="640" w:hanging="640"/>
        <w:rPr>
          <w:rFonts w:ascii="Arial" w:hAnsi="Arial" w:cs="Arial"/>
          <w:noProof/>
          <w:sz w:val="24"/>
        </w:rPr>
      </w:pPr>
      <w:r w:rsidRPr="003E1EDC">
        <w:rPr>
          <w:rFonts w:ascii="Arial" w:hAnsi="Arial" w:cs="Arial"/>
          <w:noProof/>
          <w:sz w:val="24"/>
          <w:szCs w:val="24"/>
        </w:rPr>
        <w:t xml:space="preserve">(60) </w:t>
      </w:r>
      <w:r w:rsidRPr="003E1EDC">
        <w:rPr>
          <w:rFonts w:ascii="Arial" w:hAnsi="Arial" w:cs="Arial"/>
          <w:noProof/>
          <w:sz w:val="24"/>
          <w:szCs w:val="24"/>
        </w:rPr>
        <w:tab/>
        <w:t xml:space="preserve">Parker, C. E.; Borchers, C. H. Mass Spectrometry Based Biomarker Discovery, Verification, and Validation - Quality Assurance and Control of Protein Biomarker Assays. </w:t>
      </w:r>
      <w:r w:rsidRPr="003E1EDC">
        <w:rPr>
          <w:rFonts w:ascii="Arial" w:hAnsi="Arial" w:cs="Arial"/>
          <w:i/>
          <w:iCs/>
          <w:noProof/>
          <w:sz w:val="24"/>
          <w:szCs w:val="24"/>
        </w:rPr>
        <w:t>Mol. Oncol.</w:t>
      </w:r>
      <w:r w:rsidRPr="003E1EDC">
        <w:rPr>
          <w:rFonts w:ascii="Arial" w:hAnsi="Arial" w:cs="Arial"/>
          <w:noProof/>
          <w:sz w:val="24"/>
          <w:szCs w:val="24"/>
        </w:rPr>
        <w:t xml:space="preserve"> </w:t>
      </w:r>
      <w:r w:rsidRPr="003E1EDC">
        <w:rPr>
          <w:rFonts w:ascii="Arial" w:hAnsi="Arial" w:cs="Arial"/>
          <w:b/>
          <w:bCs/>
          <w:noProof/>
          <w:sz w:val="24"/>
          <w:szCs w:val="24"/>
        </w:rPr>
        <w:t>2014</w:t>
      </w:r>
      <w:r w:rsidRPr="003E1EDC">
        <w:rPr>
          <w:rFonts w:ascii="Arial" w:hAnsi="Arial" w:cs="Arial"/>
          <w:noProof/>
          <w:sz w:val="24"/>
          <w:szCs w:val="24"/>
        </w:rPr>
        <w:t xml:space="preserve">, </w:t>
      </w:r>
      <w:r w:rsidRPr="003E1EDC">
        <w:rPr>
          <w:rFonts w:ascii="Arial" w:hAnsi="Arial" w:cs="Arial"/>
          <w:i/>
          <w:iCs/>
          <w:noProof/>
          <w:sz w:val="24"/>
          <w:szCs w:val="24"/>
        </w:rPr>
        <w:t>8</w:t>
      </w:r>
      <w:r w:rsidRPr="003E1EDC">
        <w:rPr>
          <w:rFonts w:ascii="Arial" w:hAnsi="Arial" w:cs="Arial"/>
          <w:noProof/>
          <w:sz w:val="24"/>
          <w:szCs w:val="24"/>
        </w:rPr>
        <w:t xml:space="preserve"> (4), 840–858. https://doi.org/10.1016/j.molonc.2014.03.006.</w:t>
      </w:r>
    </w:p>
    <w:p w14:paraId="24ABBA07" w14:textId="7D9D6795" w:rsidR="00E5503D" w:rsidRDefault="00CE0951" w:rsidP="00E5503D">
      <w:pPr>
        <w:keepNext/>
        <w:widowControl w:val="0"/>
        <w:suppressAutoHyphens/>
        <w:spacing w:before="100" w:beforeAutospacing="1" w:after="100" w:afterAutospacing="1" w:line="480" w:lineRule="auto"/>
        <w:outlineLvl w:val="2"/>
        <w:rPr>
          <w:rFonts w:ascii="Arial" w:eastAsia="Bitstream Vera Sans;MS Mincho" w:hAnsi="Arial" w:cs="Arial"/>
          <w:b/>
          <w:bCs/>
          <w:color w:val="000000"/>
          <w:sz w:val="24"/>
          <w:szCs w:val="24"/>
          <w:lang w:eastAsia="zh-CN" w:bidi="hi-IN"/>
        </w:rPr>
      </w:pPr>
      <w:r w:rsidRPr="00116C4A">
        <w:rPr>
          <w:rFonts w:ascii="Arial" w:eastAsia="Calibri" w:hAnsi="Arial" w:cs="Arial"/>
          <w:sz w:val="24"/>
          <w:szCs w:val="24"/>
        </w:rPr>
        <w:fldChar w:fldCharType="end"/>
      </w:r>
      <w:r w:rsidR="00E5503D" w:rsidRPr="00E5503D">
        <w:rPr>
          <w:rFonts w:ascii="Arial" w:eastAsia="Bitstream Vera Sans;MS Mincho" w:hAnsi="Arial" w:cs="Arial"/>
          <w:b/>
          <w:bCs/>
          <w:color w:val="000000"/>
          <w:sz w:val="24"/>
          <w:szCs w:val="24"/>
          <w:lang w:eastAsia="zh-CN" w:bidi="hi-IN"/>
        </w:rPr>
        <w:t xml:space="preserve"> </w:t>
      </w:r>
      <w:r w:rsidR="00DD1322">
        <w:rPr>
          <w:rFonts w:ascii="Arial" w:eastAsia="Bitstream Vera Sans;MS Mincho" w:hAnsi="Arial" w:cs="Arial"/>
          <w:b/>
          <w:bCs/>
          <w:color w:val="000000"/>
          <w:sz w:val="24"/>
          <w:szCs w:val="24"/>
          <w:lang w:eastAsia="zh-CN" w:bidi="hi-IN"/>
        </w:rPr>
        <w:t xml:space="preserve">For </w:t>
      </w:r>
      <w:r w:rsidR="00E5503D" w:rsidRPr="00BA5440">
        <w:rPr>
          <w:rFonts w:ascii="Arial" w:eastAsia="Bitstream Vera Sans;MS Mincho" w:hAnsi="Arial" w:cs="Arial"/>
          <w:b/>
          <w:bCs/>
          <w:color w:val="000000"/>
          <w:sz w:val="24"/>
          <w:szCs w:val="24"/>
          <w:lang w:eastAsia="zh-CN" w:bidi="hi-IN"/>
        </w:rPr>
        <w:t xml:space="preserve">TOC </w:t>
      </w:r>
      <w:r w:rsidR="00DD1322">
        <w:rPr>
          <w:rFonts w:ascii="Arial" w:eastAsia="Bitstream Vera Sans;MS Mincho" w:hAnsi="Arial" w:cs="Arial"/>
          <w:b/>
          <w:bCs/>
          <w:color w:val="000000"/>
          <w:sz w:val="24"/>
          <w:szCs w:val="24"/>
          <w:lang w:eastAsia="zh-CN" w:bidi="hi-IN"/>
        </w:rPr>
        <w:t>Only</w:t>
      </w:r>
    </w:p>
    <w:p w14:paraId="3EB87E72" w14:textId="4933C97C" w:rsidR="00CE0951" w:rsidRPr="00116C4A" w:rsidRDefault="00C2045C" w:rsidP="00387DB4">
      <w:pPr>
        <w:autoSpaceDE w:val="0"/>
        <w:autoSpaceDN w:val="0"/>
        <w:adjustRightInd w:val="0"/>
        <w:spacing w:line="480" w:lineRule="auto"/>
        <w:rPr>
          <w:rFonts w:ascii="Arial" w:eastAsia="Calibri" w:hAnsi="Arial" w:cs="Arial"/>
          <w:sz w:val="24"/>
          <w:szCs w:val="24"/>
        </w:rPr>
      </w:pPr>
      <w:r w:rsidRPr="00416167">
        <w:rPr>
          <w:rFonts w:ascii="Arial" w:eastAsia="Calibri" w:hAnsi="Arial" w:cs="Arial"/>
          <w:noProof/>
          <w:sz w:val="24"/>
          <w:szCs w:val="24"/>
          <w:lang w:eastAsia="en-GB"/>
        </w:rPr>
        <mc:AlternateContent>
          <mc:Choice Requires="wps">
            <w:drawing>
              <wp:anchor distT="45720" distB="45720" distL="114300" distR="114300" simplePos="0" relativeHeight="251681792" behindDoc="0" locked="0" layoutInCell="1" allowOverlap="1" wp14:anchorId="03AC64D2" wp14:editId="53BAA0F3">
                <wp:simplePos x="0" y="0"/>
                <wp:positionH relativeFrom="margin">
                  <wp:posOffset>121285</wp:posOffset>
                </wp:positionH>
                <wp:positionV relativeFrom="paragraph">
                  <wp:posOffset>48895</wp:posOffset>
                </wp:positionV>
                <wp:extent cx="2849880" cy="195453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954530"/>
                        </a:xfrm>
                        <a:prstGeom prst="rect">
                          <a:avLst/>
                        </a:prstGeom>
                        <a:solidFill>
                          <a:srgbClr val="FFFFFF"/>
                        </a:solidFill>
                        <a:ln w="9525">
                          <a:noFill/>
                          <a:miter lim="800000"/>
                          <a:headEnd/>
                          <a:tailEnd/>
                        </a:ln>
                      </wps:spPr>
                      <wps:txbx>
                        <w:txbxContent>
                          <w:p w14:paraId="4B10ACA3" w14:textId="305F1246" w:rsidR="00891812" w:rsidRDefault="00891812">
                            <w:r>
                              <w:rPr>
                                <w:noProof/>
                                <w:lang w:eastAsia="en-GB"/>
                              </w:rPr>
                              <w:drawing>
                                <wp:inline distT="0" distB="0" distL="0" distR="0" wp14:anchorId="5267D6E1" wp14:editId="53A3EFDE">
                                  <wp:extent cx="2640792" cy="184213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0211" t="17234" r="13309" b="10186"/>
                                          <a:stretch/>
                                        </pic:blipFill>
                                        <pic:spPr bwMode="auto">
                                          <a:xfrm>
                                            <a:off x="0" y="0"/>
                                            <a:ext cx="2693564" cy="18789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C64D2" id="_x0000_t202" coordsize="21600,21600" o:spt="202" path="m,l,21600r21600,l21600,xe">
                <v:stroke joinstyle="miter"/>
                <v:path gradientshapeok="t" o:connecttype="rect"/>
              </v:shapetype>
              <v:shape id="_x0000_s1034" type="#_x0000_t202" style="position:absolute;margin-left:9.55pt;margin-top:3.85pt;width:224.4pt;height:153.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" stroked="f">
                <v:textbox>
                  <w:txbxContent>
                    <w:p w14:paraId="4B10ACA3" w14:textId="305F1246" w:rsidR="00891812" w:rsidRDefault="00891812">
                      <w:r>
                        <w:rPr>
                          <w:noProof/>
                          <w:lang w:eastAsia="en-GB"/>
                        </w:rPr>
                        <w:drawing>
                          <wp:inline distT="0" distB="0" distL="0" distR="0" wp14:anchorId="5267D6E1" wp14:editId="53A3EFDE">
                            <wp:extent cx="2640792" cy="184213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0211" t="17234" r="13309" b="10186"/>
                                    <a:stretch/>
                                  </pic:blipFill>
                                  <pic:spPr bwMode="auto">
                                    <a:xfrm>
                                      <a:off x="0" y="0"/>
                                      <a:ext cx="2693564" cy="18789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sectPr w:rsidR="00CE0951" w:rsidRPr="00116C4A">
      <w:footerReference w:type="default" r:id="rId4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9A2581" w16cid:durableId="220B7976"/>
  <w16cid:commentId w16cid:paraId="64BAD108" w16cid:durableId="220B79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7EC2A" w14:textId="77777777" w:rsidR="00822582" w:rsidRDefault="00822582" w:rsidP="00502F86">
      <w:pPr>
        <w:spacing w:after="0" w:line="240" w:lineRule="auto"/>
      </w:pPr>
      <w:r>
        <w:separator/>
      </w:r>
    </w:p>
  </w:endnote>
  <w:endnote w:type="continuationSeparator" w:id="0">
    <w:p w14:paraId="5E7DD67D" w14:textId="77777777" w:rsidR="00822582" w:rsidRDefault="00822582" w:rsidP="0050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itstream Vera Sans;MS Mincho">
    <w:panose1 w:val="00000000000000000000"/>
    <w:charset w:val="00"/>
    <w:family w:val="roman"/>
    <w:notTrueType/>
    <w:pitch w:val="default"/>
  </w:font>
  <w:font w:name="Lohit Devanagari;MS PMinch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ont38">
    <w:charset w:val="80"/>
    <w:family w:val="auto"/>
    <w:pitch w:val="variable"/>
  </w:font>
  <w:font w:name="Lohit Devanagari">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Liberation Serif;Times New Roma">
    <w:altName w:val="Times New Roman"/>
    <w:panose1 w:val="00000000000000000000"/>
    <w:charset w:val="00"/>
    <w:family w:val="roman"/>
    <w:notTrueType/>
    <w:pitch w:val="default"/>
  </w:font>
  <w:font w:name="Liberation Sans;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314261"/>
      <w:docPartObj>
        <w:docPartGallery w:val="Page Numbers (Bottom of Page)"/>
        <w:docPartUnique/>
      </w:docPartObj>
    </w:sdtPr>
    <w:sdtEndPr>
      <w:rPr>
        <w:noProof/>
      </w:rPr>
    </w:sdtEndPr>
    <w:sdtContent>
      <w:p w14:paraId="40611EDF" w14:textId="3BE16DFD" w:rsidR="00891812" w:rsidRDefault="00891812">
        <w:pPr>
          <w:pStyle w:val="Footer"/>
          <w:jc w:val="center"/>
        </w:pPr>
        <w:r>
          <w:fldChar w:fldCharType="begin"/>
        </w:r>
        <w:r>
          <w:instrText xml:space="preserve"> PAGE   \* MERGEFORMAT </w:instrText>
        </w:r>
        <w:r>
          <w:fldChar w:fldCharType="separate"/>
        </w:r>
        <w:r w:rsidR="00DC5747">
          <w:rPr>
            <w:noProof/>
          </w:rPr>
          <w:t>2</w:t>
        </w:r>
        <w:r>
          <w:rPr>
            <w:noProof/>
          </w:rPr>
          <w:fldChar w:fldCharType="end"/>
        </w:r>
      </w:p>
    </w:sdtContent>
  </w:sdt>
  <w:p w14:paraId="54E603E9" w14:textId="77777777" w:rsidR="00891812" w:rsidRDefault="00891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6F32A" w14:textId="77777777" w:rsidR="00822582" w:rsidRDefault="00822582" w:rsidP="00502F86">
      <w:pPr>
        <w:spacing w:after="0" w:line="240" w:lineRule="auto"/>
      </w:pPr>
      <w:r>
        <w:separator/>
      </w:r>
    </w:p>
  </w:footnote>
  <w:footnote w:type="continuationSeparator" w:id="0">
    <w:p w14:paraId="1C7BD815" w14:textId="77777777" w:rsidR="00822582" w:rsidRDefault="00822582" w:rsidP="00502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5C03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7853ED"/>
    <w:multiLevelType w:val="multilevel"/>
    <w:tmpl w:val="E0A00EC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1A254692"/>
    <w:multiLevelType w:val="multilevel"/>
    <w:tmpl w:val="22AEFA1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AB95C77"/>
    <w:multiLevelType w:val="hybridMultilevel"/>
    <w:tmpl w:val="26FE5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493804"/>
    <w:multiLevelType w:val="multilevel"/>
    <w:tmpl w:val="646C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90C84"/>
    <w:multiLevelType w:val="multilevel"/>
    <w:tmpl w:val="A7D8B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3F052D"/>
    <w:multiLevelType w:val="multilevel"/>
    <w:tmpl w:val="892A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950639"/>
    <w:multiLevelType w:val="hybridMultilevel"/>
    <w:tmpl w:val="D3C4A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EC039A"/>
    <w:multiLevelType w:val="hybridMultilevel"/>
    <w:tmpl w:val="AEB27376"/>
    <w:lvl w:ilvl="0" w:tplc="EB5CC6A2">
      <w:start w:val="1"/>
      <w:numFmt w:val="bullet"/>
      <w:lvlText w:val="•"/>
      <w:lvlJc w:val="left"/>
      <w:pPr>
        <w:tabs>
          <w:tab w:val="num" w:pos="720"/>
        </w:tabs>
        <w:ind w:left="720" w:hanging="360"/>
      </w:pPr>
      <w:rPr>
        <w:rFonts w:ascii="Arial" w:hAnsi="Arial" w:hint="default"/>
      </w:rPr>
    </w:lvl>
    <w:lvl w:ilvl="1" w:tplc="D7DE0C9E" w:tentative="1">
      <w:start w:val="1"/>
      <w:numFmt w:val="bullet"/>
      <w:lvlText w:val="•"/>
      <w:lvlJc w:val="left"/>
      <w:pPr>
        <w:tabs>
          <w:tab w:val="num" w:pos="1440"/>
        </w:tabs>
        <w:ind w:left="1440" w:hanging="360"/>
      </w:pPr>
      <w:rPr>
        <w:rFonts w:ascii="Arial" w:hAnsi="Arial" w:hint="default"/>
      </w:rPr>
    </w:lvl>
    <w:lvl w:ilvl="2" w:tplc="5970AAF2" w:tentative="1">
      <w:start w:val="1"/>
      <w:numFmt w:val="bullet"/>
      <w:lvlText w:val="•"/>
      <w:lvlJc w:val="left"/>
      <w:pPr>
        <w:tabs>
          <w:tab w:val="num" w:pos="2160"/>
        </w:tabs>
        <w:ind w:left="2160" w:hanging="360"/>
      </w:pPr>
      <w:rPr>
        <w:rFonts w:ascii="Arial" w:hAnsi="Arial" w:hint="default"/>
      </w:rPr>
    </w:lvl>
    <w:lvl w:ilvl="3" w:tplc="A3683938" w:tentative="1">
      <w:start w:val="1"/>
      <w:numFmt w:val="bullet"/>
      <w:lvlText w:val="•"/>
      <w:lvlJc w:val="left"/>
      <w:pPr>
        <w:tabs>
          <w:tab w:val="num" w:pos="2880"/>
        </w:tabs>
        <w:ind w:left="2880" w:hanging="360"/>
      </w:pPr>
      <w:rPr>
        <w:rFonts w:ascii="Arial" w:hAnsi="Arial" w:hint="default"/>
      </w:rPr>
    </w:lvl>
    <w:lvl w:ilvl="4" w:tplc="67E089FE" w:tentative="1">
      <w:start w:val="1"/>
      <w:numFmt w:val="bullet"/>
      <w:lvlText w:val="•"/>
      <w:lvlJc w:val="left"/>
      <w:pPr>
        <w:tabs>
          <w:tab w:val="num" w:pos="3600"/>
        </w:tabs>
        <w:ind w:left="3600" w:hanging="360"/>
      </w:pPr>
      <w:rPr>
        <w:rFonts w:ascii="Arial" w:hAnsi="Arial" w:hint="default"/>
      </w:rPr>
    </w:lvl>
    <w:lvl w:ilvl="5" w:tplc="54C68B66" w:tentative="1">
      <w:start w:val="1"/>
      <w:numFmt w:val="bullet"/>
      <w:lvlText w:val="•"/>
      <w:lvlJc w:val="left"/>
      <w:pPr>
        <w:tabs>
          <w:tab w:val="num" w:pos="4320"/>
        </w:tabs>
        <w:ind w:left="4320" w:hanging="360"/>
      </w:pPr>
      <w:rPr>
        <w:rFonts w:ascii="Arial" w:hAnsi="Arial" w:hint="default"/>
      </w:rPr>
    </w:lvl>
    <w:lvl w:ilvl="6" w:tplc="619878DE" w:tentative="1">
      <w:start w:val="1"/>
      <w:numFmt w:val="bullet"/>
      <w:lvlText w:val="•"/>
      <w:lvlJc w:val="left"/>
      <w:pPr>
        <w:tabs>
          <w:tab w:val="num" w:pos="5040"/>
        </w:tabs>
        <w:ind w:left="5040" w:hanging="360"/>
      </w:pPr>
      <w:rPr>
        <w:rFonts w:ascii="Arial" w:hAnsi="Arial" w:hint="default"/>
      </w:rPr>
    </w:lvl>
    <w:lvl w:ilvl="7" w:tplc="4B52F080" w:tentative="1">
      <w:start w:val="1"/>
      <w:numFmt w:val="bullet"/>
      <w:lvlText w:val="•"/>
      <w:lvlJc w:val="left"/>
      <w:pPr>
        <w:tabs>
          <w:tab w:val="num" w:pos="5760"/>
        </w:tabs>
        <w:ind w:left="5760" w:hanging="360"/>
      </w:pPr>
      <w:rPr>
        <w:rFonts w:ascii="Arial" w:hAnsi="Arial" w:hint="default"/>
      </w:rPr>
    </w:lvl>
    <w:lvl w:ilvl="8" w:tplc="F9748B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F744D37"/>
    <w:multiLevelType w:val="hybridMultilevel"/>
    <w:tmpl w:val="7C065FE8"/>
    <w:lvl w:ilvl="0" w:tplc="FF6A19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5"/>
    <w:lvlOverride w:ilvl="1">
      <w:lvl w:ilvl="1">
        <w:numFmt w:val="decimal"/>
        <w:lvlText w:val="%2."/>
        <w:lvlJc w:val="left"/>
        <w:pPr>
          <w:tabs>
            <w:tab w:val="num" w:pos="1440"/>
          </w:tabs>
          <w:ind w:left="1440" w:hanging="360"/>
        </w:pPr>
      </w:lvl>
    </w:lvlOverride>
  </w:num>
  <w:num w:numId="4">
    <w:abstractNumId w:val="6"/>
  </w:num>
  <w:num w:numId="5">
    <w:abstractNumId w:val="4"/>
  </w:num>
  <w:num w:numId="6">
    <w:abstractNumId w:val="0"/>
  </w:num>
  <w:num w:numId="7">
    <w:abstractNumId w:val="3"/>
  </w:num>
  <w:num w:numId="8">
    <w:abstractNumId w:val="1"/>
  </w:num>
  <w:num w:numId="9">
    <w:abstractNumId w:val="2"/>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D52"/>
    <w:rsid w:val="00023FD8"/>
    <w:rsid w:val="00026072"/>
    <w:rsid w:val="000410E0"/>
    <w:rsid w:val="00046268"/>
    <w:rsid w:val="00046AB4"/>
    <w:rsid w:val="000622FB"/>
    <w:rsid w:val="000700CF"/>
    <w:rsid w:val="00073570"/>
    <w:rsid w:val="00080EC2"/>
    <w:rsid w:val="00096CEF"/>
    <w:rsid w:val="000A0451"/>
    <w:rsid w:val="000A13C1"/>
    <w:rsid w:val="000A595E"/>
    <w:rsid w:val="000B1329"/>
    <w:rsid w:val="000B6ACF"/>
    <w:rsid w:val="000E798D"/>
    <w:rsid w:val="000F0640"/>
    <w:rsid w:val="000F4FA9"/>
    <w:rsid w:val="000F7432"/>
    <w:rsid w:val="000F7FBC"/>
    <w:rsid w:val="0011675E"/>
    <w:rsid w:val="00116C4A"/>
    <w:rsid w:val="001172D0"/>
    <w:rsid w:val="00117854"/>
    <w:rsid w:val="00122473"/>
    <w:rsid w:val="00123493"/>
    <w:rsid w:val="00132370"/>
    <w:rsid w:val="001339BB"/>
    <w:rsid w:val="00145229"/>
    <w:rsid w:val="00163B59"/>
    <w:rsid w:val="0016536B"/>
    <w:rsid w:val="0018656C"/>
    <w:rsid w:val="0019314F"/>
    <w:rsid w:val="00193635"/>
    <w:rsid w:val="001A018A"/>
    <w:rsid w:val="001A050B"/>
    <w:rsid w:val="001A42BF"/>
    <w:rsid w:val="001C408E"/>
    <w:rsid w:val="001D0D9B"/>
    <w:rsid w:val="001E0ABD"/>
    <w:rsid w:val="001E4564"/>
    <w:rsid w:val="001F01A7"/>
    <w:rsid w:val="00205ED2"/>
    <w:rsid w:val="00213DB5"/>
    <w:rsid w:val="0022032F"/>
    <w:rsid w:val="00225A7A"/>
    <w:rsid w:val="00237ECD"/>
    <w:rsid w:val="0024018A"/>
    <w:rsid w:val="002725F9"/>
    <w:rsid w:val="0027337D"/>
    <w:rsid w:val="00275811"/>
    <w:rsid w:val="00284DF0"/>
    <w:rsid w:val="002B730D"/>
    <w:rsid w:val="002B7819"/>
    <w:rsid w:val="002E483C"/>
    <w:rsid w:val="002F464E"/>
    <w:rsid w:val="002F55DC"/>
    <w:rsid w:val="002F5FB6"/>
    <w:rsid w:val="003009DC"/>
    <w:rsid w:val="0032597C"/>
    <w:rsid w:val="003433A1"/>
    <w:rsid w:val="003540AD"/>
    <w:rsid w:val="00387DB4"/>
    <w:rsid w:val="003967A8"/>
    <w:rsid w:val="003A076E"/>
    <w:rsid w:val="003A792F"/>
    <w:rsid w:val="003C0394"/>
    <w:rsid w:val="003C25FE"/>
    <w:rsid w:val="003C6CAF"/>
    <w:rsid w:val="003D7906"/>
    <w:rsid w:val="003E1EDC"/>
    <w:rsid w:val="003E7002"/>
    <w:rsid w:val="0040398B"/>
    <w:rsid w:val="00414788"/>
    <w:rsid w:val="00416167"/>
    <w:rsid w:val="004233CF"/>
    <w:rsid w:val="0042516B"/>
    <w:rsid w:val="004436B4"/>
    <w:rsid w:val="00447DE8"/>
    <w:rsid w:val="004607B7"/>
    <w:rsid w:val="00465A8C"/>
    <w:rsid w:val="004674F4"/>
    <w:rsid w:val="00472B50"/>
    <w:rsid w:val="00487BE2"/>
    <w:rsid w:val="004909F6"/>
    <w:rsid w:val="004A15B8"/>
    <w:rsid w:val="004A56F2"/>
    <w:rsid w:val="004A7C3F"/>
    <w:rsid w:val="004D08E3"/>
    <w:rsid w:val="004E2EF1"/>
    <w:rsid w:val="004E58FA"/>
    <w:rsid w:val="00502F45"/>
    <w:rsid w:val="00502F86"/>
    <w:rsid w:val="00503E5C"/>
    <w:rsid w:val="00512E1F"/>
    <w:rsid w:val="00513651"/>
    <w:rsid w:val="005147A0"/>
    <w:rsid w:val="00516D9B"/>
    <w:rsid w:val="00516F60"/>
    <w:rsid w:val="005200C1"/>
    <w:rsid w:val="00527E2C"/>
    <w:rsid w:val="005328BA"/>
    <w:rsid w:val="00533679"/>
    <w:rsid w:val="005346E9"/>
    <w:rsid w:val="00534A9A"/>
    <w:rsid w:val="00541A11"/>
    <w:rsid w:val="0055178A"/>
    <w:rsid w:val="00553062"/>
    <w:rsid w:val="00553748"/>
    <w:rsid w:val="005578C4"/>
    <w:rsid w:val="00557EE0"/>
    <w:rsid w:val="00564564"/>
    <w:rsid w:val="00565BA8"/>
    <w:rsid w:val="00577FA6"/>
    <w:rsid w:val="00581B28"/>
    <w:rsid w:val="00594E60"/>
    <w:rsid w:val="00597502"/>
    <w:rsid w:val="005A7033"/>
    <w:rsid w:val="005D7532"/>
    <w:rsid w:val="005D7EE4"/>
    <w:rsid w:val="005E2329"/>
    <w:rsid w:val="005E78F4"/>
    <w:rsid w:val="006119E7"/>
    <w:rsid w:val="006152C1"/>
    <w:rsid w:val="00621FF5"/>
    <w:rsid w:val="00632C50"/>
    <w:rsid w:val="0064557D"/>
    <w:rsid w:val="00651541"/>
    <w:rsid w:val="00652D52"/>
    <w:rsid w:val="006620BA"/>
    <w:rsid w:val="006823DC"/>
    <w:rsid w:val="0069572B"/>
    <w:rsid w:val="0069643B"/>
    <w:rsid w:val="006A34AE"/>
    <w:rsid w:val="006A5579"/>
    <w:rsid w:val="006A55D2"/>
    <w:rsid w:val="006B5DF9"/>
    <w:rsid w:val="006B7CFF"/>
    <w:rsid w:val="006D12C3"/>
    <w:rsid w:val="006D4896"/>
    <w:rsid w:val="006D5FE4"/>
    <w:rsid w:val="006E7225"/>
    <w:rsid w:val="00704379"/>
    <w:rsid w:val="00707DF4"/>
    <w:rsid w:val="0071784F"/>
    <w:rsid w:val="0071787B"/>
    <w:rsid w:val="00722A40"/>
    <w:rsid w:val="0073277B"/>
    <w:rsid w:val="007333AC"/>
    <w:rsid w:val="0073469A"/>
    <w:rsid w:val="00735D80"/>
    <w:rsid w:val="00744768"/>
    <w:rsid w:val="00745514"/>
    <w:rsid w:val="00746C66"/>
    <w:rsid w:val="0077343D"/>
    <w:rsid w:val="00773FB2"/>
    <w:rsid w:val="0078511D"/>
    <w:rsid w:val="00791000"/>
    <w:rsid w:val="00794907"/>
    <w:rsid w:val="007C23F0"/>
    <w:rsid w:val="007C4FE7"/>
    <w:rsid w:val="007F10E7"/>
    <w:rsid w:val="007F34E4"/>
    <w:rsid w:val="007F4092"/>
    <w:rsid w:val="00802906"/>
    <w:rsid w:val="00803A78"/>
    <w:rsid w:val="00804564"/>
    <w:rsid w:val="00806320"/>
    <w:rsid w:val="00822582"/>
    <w:rsid w:val="00837B4E"/>
    <w:rsid w:val="00870942"/>
    <w:rsid w:val="008776F7"/>
    <w:rsid w:val="00891812"/>
    <w:rsid w:val="008A6BB3"/>
    <w:rsid w:val="008A7B81"/>
    <w:rsid w:val="008B44DF"/>
    <w:rsid w:val="008C24E2"/>
    <w:rsid w:val="008C3145"/>
    <w:rsid w:val="008C56B6"/>
    <w:rsid w:val="008D2705"/>
    <w:rsid w:val="008E76FA"/>
    <w:rsid w:val="008F4C9F"/>
    <w:rsid w:val="00913A16"/>
    <w:rsid w:val="0091795E"/>
    <w:rsid w:val="0092254D"/>
    <w:rsid w:val="0092455E"/>
    <w:rsid w:val="00932C47"/>
    <w:rsid w:val="0094196C"/>
    <w:rsid w:val="00947CFB"/>
    <w:rsid w:val="00951EF4"/>
    <w:rsid w:val="009529AE"/>
    <w:rsid w:val="00961555"/>
    <w:rsid w:val="00961A4F"/>
    <w:rsid w:val="00973E21"/>
    <w:rsid w:val="00977BCA"/>
    <w:rsid w:val="00985FBD"/>
    <w:rsid w:val="00986D60"/>
    <w:rsid w:val="00990555"/>
    <w:rsid w:val="009914A8"/>
    <w:rsid w:val="009963D0"/>
    <w:rsid w:val="00996883"/>
    <w:rsid w:val="00997A0F"/>
    <w:rsid w:val="009A1897"/>
    <w:rsid w:val="009A685C"/>
    <w:rsid w:val="009A7398"/>
    <w:rsid w:val="009D71C7"/>
    <w:rsid w:val="009E0443"/>
    <w:rsid w:val="009F0583"/>
    <w:rsid w:val="00A04F69"/>
    <w:rsid w:val="00A14180"/>
    <w:rsid w:val="00A22318"/>
    <w:rsid w:val="00A31679"/>
    <w:rsid w:val="00A411E3"/>
    <w:rsid w:val="00A507A5"/>
    <w:rsid w:val="00A64D89"/>
    <w:rsid w:val="00A74615"/>
    <w:rsid w:val="00A84456"/>
    <w:rsid w:val="00A84CAD"/>
    <w:rsid w:val="00A87B39"/>
    <w:rsid w:val="00A91718"/>
    <w:rsid w:val="00A93CC7"/>
    <w:rsid w:val="00A942A2"/>
    <w:rsid w:val="00AA0450"/>
    <w:rsid w:val="00AA7E22"/>
    <w:rsid w:val="00AB0192"/>
    <w:rsid w:val="00AB72A5"/>
    <w:rsid w:val="00AC0FE0"/>
    <w:rsid w:val="00AC59C6"/>
    <w:rsid w:val="00AE7DA3"/>
    <w:rsid w:val="00AF1C2B"/>
    <w:rsid w:val="00B01B77"/>
    <w:rsid w:val="00B05EA4"/>
    <w:rsid w:val="00B10A7A"/>
    <w:rsid w:val="00B23866"/>
    <w:rsid w:val="00B52718"/>
    <w:rsid w:val="00B66D18"/>
    <w:rsid w:val="00BA00AA"/>
    <w:rsid w:val="00BA2FDF"/>
    <w:rsid w:val="00BB1B9D"/>
    <w:rsid w:val="00BB5D73"/>
    <w:rsid w:val="00BC469B"/>
    <w:rsid w:val="00BD76F8"/>
    <w:rsid w:val="00BF5788"/>
    <w:rsid w:val="00BF658F"/>
    <w:rsid w:val="00C015C8"/>
    <w:rsid w:val="00C07EA9"/>
    <w:rsid w:val="00C17540"/>
    <w:rsid w:val="00C2045C"/>
    <w:rsid w:val="00C20489"/>
    <w:rsid w:val="00C24422"/>
    <w:rsid w:val="00C271A2"/>
    <w:rsid w:val="00C46054"/>
    <w:rsid w:val="00C47040"/>
    <w:rsid w:val="00C507A9"/>
    <w:rsid w:val="00C54BE2"/>
    <w:rsid w:val="00C64780"/>
    <w:rsid w:val="00C701CC"/>
    <w:rsid w:val="00C80FDC"/>
    <w:rsid w:val="00CB2A9A"/>
    <w:rsid w:val="00CD2549"/>
    <w:rsid w:val="00CD7F5B"/>
    <w:rsid w:val="00CE0951"/>
    <w:rsid w:val="00CE1E8E"/>
    <w:rsid w:val="00CE249F"/>
    <w:rsid w:val="00D00824"/>
    <w:rsid w:val="00D11F5C"/>
    <w:rsid w:val="00D149D4"/>
    <w:rsid w:val="00D16680"/>
    <w:rsid w:val="00D24C44"/>
    <w:rsid w:val="00D53524"/>
    <w:rsid w:val="00D70310"/>
    <w:rsid w:val="00D80CBE"/>
    <w:rsid w:val="00D95394"/>
    <w:rsid w:val="00DA2AA9"/>
    <w:rsid w:val="00DC22DA"/>
    <w:rsid w:val="00DC2F85"/>
    <w:rsid w:val="00DC38DB"/>
    <w:rsid w:val="00DC3D1A"/>
    <w:rsid w:val="00DC466C"/>
    <w:rsid w:val="00DC5747"/>
    <w:rsid w:val="00DD1322"/>
    <w:rsid w:val="00DD3A89"/>
    <w:rsid w:val="00DD797A"/>
    <w:rsid w:val="00DE4321"/>
    <w:rsid w:val="00DF2ACF"/>
    <w:rsid w:val="00DF30E8"/>
    <w:rsid w:val="00DF7CA1"/>
    <w:rsid w:val="00E02094"/>
    <w:rsid w:val="00E03100"/>
    <w:rsid w:val="00E03CE7"/>
    <w:rsid w:val="00E12003"/>
    <w:rsid w:val="00E13CB6"/>
    <w:rsid w:val="00E320C4"/>
    <w:rsid w:val="00E40B95"/>
    <w:rsid w:val="00E43FBD"/>
    <w:rsid w:val="00E47095"/>
    <w:rsid w:val="00E5503D"/>
    <w:rsid w:val="00E82E08"/>
    <w:rsid w:val="00E84787"/>
    <w:rsid w:val="00EA442A"/>
    <w:rsid w:val="00EB6D96"/>
    <w:rsid w:val="00ED05E7"/>
    <w:rsid w:val="00ED2E3F"/>
    <w:rsid w:val="00EE37FF"/>
    <w:rsid w:val="00EF5A78"/>
    <w:rsid w:val="00F12ECB"/>
    <w:rsid w:val="00F276CF"/>
    <w:rsid w:val="00F32816"/>
    <w:rsid w:val="00F3688F"/>
    <w:rsid w:val="00F36D03"/>
    <w:rsid w:val="00F41690"/>
    <w:rsid w:val="00F45D3B"/>
    <w:rsid w:val="00F61FAA"/>
    <w:rsid w:val="00F70F1D"/>
    <w:rsid w:val="00F730E9"/>
    <w:rsid w:val="00F757CE"/>
    <w:rsid w:val="00F94315"/>
    <w:rsid w:val="00FA3502"/>
    <w:rsid w:val="00FB57F7"/>
    <w:rsid w:val="00FC78CE"/>
    <w:rsid w:val="00FD155E"/>
    <w:rsid w:val="00FD5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1F24B"/>
  <w15:chartTrackingRefBased/>
  <w15:docId w15:val="{1BD86E44-9280-44D5-B577-30674210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51"/>
  </w:style>
  <w:style w:type="paragraph" w:styleId="Heading1">
    <w:name w:val="heading 1"/>
    <w:basedOn w:val="Normal"/>
    <w:next w:val="Normal"/>
    <w:link w:val="Heading1Char1"/>
    <w:uiPriority w:val="9"/>
    <w:qFormat/>
    <w:rsid w:val="00652D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52D52"/>
    <w:pPr>
      <w:keepNext/>
      <w:keepLines/>
      <w:spacing w:before="40" w:after="0"/>
      <w:outlineLvl w:val="1"/>
    </w:pPr>
    <w:rPr>
      <w:rFonts w:ascii="Calibri" w:eastAsia="Bitstream Vera Sans;MS Mincho" w:hAnsi="Calibri" w:cs="Lohit Devanagari;MS PMincho"/>
      <w:b/>
      <w:bCs/>
      <w:sz w:val="24"/>
      <w:szCs w:val="32"/>
      <w:lang w:eastAsia="zh-CN" w:bidi="hi-IN"/>
    </w:rPr>
  </w:style>
  <w:style w:type="paragraph" w:styleId="Heading3">
    <w:name w:val="heading 3"/>
    <w:basedOn w:val="Normal"/>
    <w:next w:val="Normal"/>
    <w:link w:val="Heading3Char"/>
    <w:uiPriority w:val="9"/>
    <w:semiHidden/>
    <w:unhideWhenUsed/>
    <w:qFormat/>
    <w:rsid w:val="00652D52"/>
    <w:pPr>
      <w:keepNext/>
      <w:keepLines/>
      <w:spacing w:before="40" w:after="0"/>
      <w:outlineLvl w:val="2"/>
    </w:pPr>
    <w:rPr>
      <w:rFonts w:ascii="Calibri" w:eastAsia="Bitstream Vera Sans;MS Mincho" w:hAnsi="Calibri" w:cs="Lohit Devanagari;MS PMincho"/>
      <w:b/>
      <w:bCs/>
      <w:color w:val="000000"/>
      <w:sz w:val="24"/>
      <w:szCs w:val="28"/>
      <w:lang w:eastAsia="zh-CN" w:bidi="hi-IN"/>
    </w:rPr>
  </w:style>
  <w:style w:type="paragraph" w:styleId="Heading4">
    <w:name w:val="heading 4"/>
    <w:basedOn w:val="Normal"/>
    <w:next w:val="Normal"/>
    <w:link w:val="Heading4Char"/>
    <w:uiPriority w:val="9"/>
    <w:semiHidden/>
    <w:unhideWhenUsed/>
    <w:qFormat/>
    <w:rsid w:val="00652D52"/>
    <w:pPr>
      <w:keepNext/>
      <w:keepLines/>
      <w:spacing w:before="40" w:after="0"/>
      <w:outlineLvl w:val="3"/>
    </w:pPr>
    <w:rPr>
      <w:rFonts w:ascii="Calibri" w:hAnsi="Calibri"/>
      <w:b/>
      <w:i/>
      <w:iCs/>
      <w:sz w:val="24"/>
    </w:rPr>
  </w:style>
  <w:style w:type="paragraph" w:styleId="Heading5">
    <w:name w:val="heading 5"/>
    <w:basedOn w:val="Normal"/>
    <w:next w:val="Normal"/>
    <w:link w:val="Heading5Char"/>
    <w:uiPriority w:val="9"/>
    <w:semiHidden/>
    <w:unhideWhenUsed/>
    <w:qFormat/>
    <w:rsid w:val="00652D52"/>
    <w:pPr>
      <w:keepNext/>
      <w:keepLines/>
      <w:spacing w:before="40" w:after="0"/>
      <w:outlineLvl w:val="4"/>
    </w:pPr>
    <w:rPr>
      <w:rFonts w:ascii="Calibri" w:eastAsia="MS Gothic" w:hAnsi="Calibri" w:cs="Times New Roman"/>
      <w:b/>
      <w:i/>
      <w:sz w:val="24"/>
    </w:rPr>
  </w:style>
  <w:style w:type="paragraph" w:styleId="Heading6">
    <w:name w:val="heading 6"/>
    <w:basedOn w:val="Normal"/>
    <w:next w:val="Normal"/>
    <w:link w:val="Heading6Char"/>
    <w:uiPriority w:val="9"/>
    <w:semiHidden/>
    <w:unhideWhenUsed/>
    <w:qFormat/>
    <w:rsid w:val="00652D52"/>
    <w:pPr>
      <w:keepNext/>
      <w:keepLines/>
      <w:spacing w:before="40" w:after="0"/>
      <w:outlineLvl w:val="5"/>
    </w:pPr>
    <w:rPr>
      <w:rFonts w:ascii="Calibri" w:eastAsia="MS Gothic" w:hAnsi="Calibri" w:cs="Times New Roman"/>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652D52"/>
    <w:pPr>
      <w:keepNext/>
      <w:widowControl w:val="0"/>
      <w:suppressAutoHyphens/>
      <w:spacing w:before="100" w:beforeAutospacing="1" w:after="100" w:afterAutospacing="1" w:line="240" w:lineRule="auto"/>
      <w:outlineLvl w:val="0"/>
    </w:pPr>
    <w:rPr>
      <w:rFonts w:ascii="Calibri" w:hAnsi="Calibri"/>
      <w:b/>
      <w:bCs/>
      <w:kern w:val="32"/>
      <w:sz w:val="24"/>
      <w:szCs w:val="32"/>
    </w:rPr>
  </w:style>
  <w:style w:type="paragraph" w:customStyle="1" w:styleId="Heading21">
    <w:name w:val="Heading 21"/>
    <w:basedOn w:val="Heading"/>
    <w:next w:val="TextBody"/>
    <w:uiPriority w:val="9"/>
    <w:qFormat/>
    <w:rsid w:val="00652D52"/>
    <w:pPr>
      <w:spacing w:before="100" w:beforeAutospacing="1" w:after="100" w:afterAutospacing="1"/>
      <w:outlineLvl w:val="1"/>
    </w:pPr>
    <w:rPr>
      <w:rFonts w:ascii="Calibri" w:eastAsia="Bitstream Vera Sans;MS Mincho" w:hAnsi="Calibri" w:cs="Lohit Devanagari;MS PMincho"/>
      <w:b/>
      <w:bCs/>
      <w:sz w:val="24"/>
      <w:szCs w:val="32"/>
      <w:lang w:eastAsia="zh-CN" w:bidi="hi-IN"/>
    </w:rPr>
  </w:style>
  <w:style w:type="paragraph" w:customStyle="1" w:styleId="Heading31">
    <w:name w:val="Heading 31"/>
    <w:basedOn w:val="Heading"/>
    <w:next w:val="TextBody"/>
    <w:uiPriority w:val="9"/>
    <w:qFormat/>
    <w:rsid w:val="00652D52"/>
    <w:pPr>
      <w:spacing w:before="100" w:beforeAutospacing="1" w:after="100" w:afterAutospacing="1"/>
      <w:outlineLvl w:val="2"/>
    </w:pPr>
    <w:rPr>
      <w:rFonts w:ascii="Calibri" w:eastAsia="Bitstream Vera Sans;MS Mincho" w:hAnsi="Calibri" w:cs="Lohit Devanagari;MS PMincho"/>
      <w:b/>
      <w:bCs/>
      <w:color w:val="000000"/>
      <w:sz w:val="24"/>
      <w:szCs w:val="28"/>
      <w:lang w:eastAsia="zh-CN" w:bidi="hi-IN"/>
    </w:rPr>
  </w:style>
  <w:style w:type="paragraph" w:customStyle="1" w:styleId="Heading41">
    <w:name w:val="Heading 41"/>
    <w:basedOn w:val="Normal"/>
    <w:next w:val="Normal"/>
    <w:uiPriority w:val="9"/>
    <w:unhideWhenUsed/>
    <w:qFormat/>
    <w:rsid w:val="00652D52"/>
    <w:pPr>
      <w:keepNext/>
      <w:keepLines/>
      <w:widowControl w:val="0"/>
      <w:suppressAutoHyphens/>
      <w:spacing w:before="100" w:beforeAutospacing="1" w:after="100" w:afterAutospacing="1" w:line="240" w:lineRule="auto"/>
      <w:outlineLvl w:val="3"/>
    </w:pPr>
    <w:rPr>
      <w:rFonts w:ascii="Calibri" w:eastAsia="Times New Roman" w:hAnsi="Calibri" w:cs="Times New Roman"/>
      <w:b/>
      <w:i/>
      <w:iCs/>
      <w:sz w:val="24"/>
      <w:szCs w:val="20"/>
    </w:rPr>
  </w:style>
  <w:style w:type="paragraph" w:customStyle="1" w:styleId="Heading51">
    <w:name w:val="Heading 51"/>
    <w:basedOn w:val="Normal"/>
    <w:next w:val="Normal"/>
    <w:uiPriority w:val="9"/>
    <w:unhideWhenUsed/>
    <w:qFormat/>
    <w:rsid w:val="00652D52"/>
    <w:pPr>
      <w:keepNext/>
      <w:keepLines/>
      <w:widowControl w:val="0"/>
      <w:suppressAutoHyphens/>
      <w:spacing w:before="100" w:beforeAutospacing="1" w:after="100" w:afterAutospacing="1" w:line="240" w:lineRule="auto"/>
      <w:outlineLvl w:val="4"/>
    </w:pPr>
    <w:rPr>
      <w:rFonts w:ascii="Calibri" w:eastAsia="MS Gothic" w:hAnsi="Calibri" w:cs="Times New Roman"/>
      <w:b/>
      <w:i/>
      <w:sz w:val="24"/>
      <w:szCs w:val="20"/>
    </w:rPr>
  </w:style>
  <w:style w:type="paragraph" w:customStyle="1" w:styleId="Heading61">
    <w:name w:val="Heading 61"/>
    <w:basedOn w:val="Normal"/>
    <w:next w:val="Normal"/>
    <w:uiPriority w:val="9"/>
    <w:unhideWhenUsed/>
    <w:qFormat/>
    <w:rsid w:val="00652D52"/>
    <w:pPr>
      <w:keepNext/>
      <w:keepLines/>
      <w:widowControl w:val="0"/>
      <w:suppressAutoHyphens/>
      <w:spacing w:before="100" w:beforeAutospacing="1" w:after="100" w:afterAutospacing="1" w:line="240" w:lineRule="auto"/>
      <w:outlineLvl w:val="5"/>
    </w:pPr>
    <w:rPr>
      <w:rFonts w:ascii="Calibri" w:eastAsia="MS Gothic" w:hAnsi="Calibri" w:cs="Times New Roman"/>
      <w:b/>
      <w:i/>
      <w:sz w:val="24"/>
      <w:szCs w:val="20"/>
    </w:rPr>
  </w:style>
  <w:style w:type="numbering" w:customStyle="1" w:styleId="NoList1">
    <w:name w:val="No List1"/>
    <w:next w:val="NoList"/>
    <w:uiPriority w:val="99"/>
    <w:semiHidden/>
    <w:unhideWhenUsed/>
    <w:rsid w:val="00652D52"/>
  </w:style>
  <w:style w:type="character" w:customStyle="1" w:styleId="WW8Num1z0">
    <w:name w:val="WW8Num1z0"/>
    <w:rsid w:val="00652D52"/>
    <w:rPr>
      <w:rFonts w:ascii="Symbol" w:hAnsi="Symbol" w:cs="Symbol" w:hint="default"/>
    </w:rPr>
  </w:style>
  <w:style w:type="character" w:customStyle="1" w:styleId="WW8Num1z2">
    <w:name w:val="WW8Num1z2"/>
    <w:rsid w:val="00652D52"/>
    <w:rPr>
      <w:rFonts w:ascii="Courier New" w:hAnsi="Courier New" w:cs="Courier New" w:hint="default"/>
    </w:rPr>
  </w:style>
  <w:style w:type="character" w:customStyle="1" w:styleId="WW8Num1z3">
    <w:name w:val="WW8Num1z3"/>
    <w:rsid w:val="00652D52"/>
    <w:rPr>
      <w:rFonts w:ascii="Wingdings" w:hAnsi="Wingdings" w:cs="Wingdings" w:hint="default"/>
    </w:rPr>
  </w:style>
  <w:style w:type="character" w:customStyle="1" w:styleId="Absatz-Standardschriftart">
    <w:name w:val="Absatz-Standardschriftart"/>
    <w:rsid w:val="00652D52"/>
  </w:style>
  <w:style w:type="character" w:customStyle="1" w:styleId="WW-Absatz-Standardschriftart">
    <w:name w:val="WW-Absatz-Standardschriftart"/>
    <w:rsid w:val="00652D52"/>
  </w:style>
  <w:style w:type="character" w:customStyle="1" w:styleId="WW-DefaultParagraphFont">
    <w:name w:val="WW-Default Paragraph Font"/>
    <w:rsid w:val="00652D52"/>
  </w:style>
  <w:style w:type="character" w:customStyle="1" w:styleId="WW-Absatz-Standardschriftart1">
    <w:name w:val="WW-Absatz-Standardschriftart1"/>
    <w:rsid w:val="00652D52"/>
  </w:style>
  <w:style w:type="character" w:customStyle="1" w:styleId="WW-Absatz-Standardschriftart11">
    <w:name w:val="WW-Absatz-Standardschriftart11"/>
    <w:rsid w:val="00652D52"/>
  </w:style>
  <w:style w:type="character" w:customStyle="1" w:styleId="ListLabel1">
    <w:name w:val="ListLabel 1"/>
    <w:rsid w:val="00652D52"/>
    <w:rPr>
      <w:rFonts w:cs="font38"/>
    </w:rPr>
  </w:style>
  <w:style w:type="character" w:customStyle="1" w:styleId="st">
    <w:name w:val="st"/>
    <w:rsid w:val="00652D52"/>
  </w:style>
  <w:style w:type="character" w:styleId="CommentReference">
    <w:name w:val="annotation reference"/>
    <w:uiPriority w:val="99"/>
    <w:rsid w:val="00652D52"/>
    <w:rPr>
      <w:sz w:val="16"/>
      <w:szCs w:val="18"/>
    </w:rPr>
  </w:style>
  <w:style w:type="character" w:customStyle="1" w:styleId="CommentTextChar">
    <w:name w:val="Comment Text Char"/>
    <w:uiPriority w:val="99"/>
    <w:rsid w:val="00652D52"/>
  </w:style>
  <w:style w:type="character" w:customStyle="1" w:styleId="BalloonTextChar">
    <w:name w:val="Balloon Text Char"/>
    <w:uiPriority w:val="99"/>
    <w:rsid w:val="00652D52"/>
  </w:style>
  <w:style w:type="character" w:customStyle="1" w:styleId="CommentSubjectChar">
    <w:name w:val="Comment Subject Char"/>
    <w:uiPriority w:val="99"/>
    <w:rsid w:val="00652D52"/>
    <w:rPr>
      <w:b/>
      <w:bCs/>
    </w:rPr>
  </w:style>
  <w:style w:type="character" w:customStyle="1" w:styleId="FooterChar">
    <w:name w:val="Footer Char"/>
    <w:uiPriority w:val="99"/>
    <w:rsid w:val="00652D52"/>
  </w:style>
  <w:style w:type="character" w:styleId="PageNumber">
    <w:name w:val="page number"/>
    <w:rsid w:val="00652D52"/>
  </w:style>
  <w:style w:type="character" w:customStyle="1" w:styleId="HeaderChar">
    <w:name w:val="Header Char"/>
    <w:uiPriority w:val="99"/>
    <w:rsid w:val="00652D52"/>
  </w:style>
  <w:style w:type="character" w:customStyle="1" w:styleId="apple-converted-space">
    <w:name w:val="apple-converted-space"/>
    <w:rsid w:val="00652D52"/>
  </w:style>
  <w:style w:type="character" w:styleId="Hyperlink">
    <w:name w:val="Hyperlink"/>
    <w:uiPriority w:val="99"/>
    <w:rsid w:val="00652D52"/>
  </w:style>
  <w:style w:type="paragraph" w:customStyle="1" w:styleId="Heading">
    <w:name w:val="Heading"/>
    <w:basedOn w:val="Normal"/>
    <w:next w:val="BodyText"/>
    <w:rsid w:val="00652D52"/>
    <w:pPr>
      <w:keepNext/>
      <w:widowControl w:val="0"/>
      <w:suppressAutoHyphens/>
      <w:spacing w:before="240" w:after="120" w:line="240" w:lineRule="auto"/>
    </w:pPr>
    <w:rPr>
      <w:rFonts w:ascii="Times New Roman" w:eastAsia="Times New Roman" w:hAnsi="Times New Roman" w:cs="Times New Roman"/>
      <w:sz w:val="20"/>
      <w:szCs w:val="20"/>
    </w:rPr>
  </w:style>
  <w:style w:type="paragraph" w:styleId="BodyText">
    <w:name w:val="Body Text"/>
    <w:basedOn w:val="Normal"/>
    <w:link w:val="BodyTextChar"/>
    <w:rsid w:val="00652D52"/>
    <w:pPr>
      <w:widowControl w:val="0"/>
      <w:suppressAutoHyphens/>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652D52"/>
    <w:rPr>
      <w:rFonts w:ascii="Times New Roman" w:eastAsia="Times New Roman" w:hAnsi="Times New Roman" w:cs="Times New Roman"/>
      <w:sz w:val="20"/>
      <w:szCs w:val="20"/>
    </w:rPr>
  </w:style>
  <w:style w:type="paragraph" w:styleId="List">
    <w:name w:val="List"/>
    <w:basedOn w:val="BodyText"/>
    <w:rsid w:val="00652D52"/>
    <w:rPr>
      <w:rFonts w:cs="Lohit Devanagari"/>
    </w:rPr>
  </w:style>
  <w:style w:type="paragraph" w:styleId="Caption">
    <w:name w:val="caption"/>
    <w:basedOn w:val="Normal"/>
    <w:qFormat/>
    <w:rsid w:val="00652D52"/>
    <w:pPr>
      <w:widowControl w:val="0"/>
      <w:suppressLineNumbers/>
      <w:suppressAutoHyphens/>
      <w:spacing w:before="120" w:after="120" w:line="240" w:lineRule="auto"/>
    </w:pPr>
    <w:rPr>
      <w:rFonts w:ascii="Times New Roman" w:eastAsia="Times New Roman" w:hAnsi="Times New Roman" w:cs="Times New Roman"/>
      <w:sz w:val="20"/>
      <w:szCs w:val="20"/>
    </w:rPr>
  </w:style>
  <w:style w:type="paragraph" w:customStyle="1" w:styleId="Index">
    <w:name w:val="Index"/>
    <w:basedOn w:val="Normal"/>
    <w:rsid w:val="00652D52"/>
    <w:pPr>
      <w:widowControl w:val="0"/>
      <w:suppressLineNumbers/>
      <w:suppressAutoHyphens/>
      <w:spacing w:after="0" w:line="240" w:lineRule="auto"/>
    </w:pPr>
    <w:rPr>
      <w:rFonts w:ascii="Times New Roman" w:eastAsia="Times New Roman" w:hAnsi="Times New Roman" w:cs="Lohit Devanagari"/>
      <w:sz w:val="20"/>
      <w:szCs w:val="20"/>
    </w:rPr>
  </w:style>
  <w:style w:type="paragraph" w:customStyle="1" w:styleId="Normal1">
    <w:name w:val="Normal1"/>
    <w:rsid w:val="00652D52"/>
    <w:pPr>
      <w:widowControl w:val="0"/>
      <w:suppressAutoHyphens/>
      <w:spacing w:after="0" w:line="240" w:lineRule="auto"/>
    </w:pPr>
    <w:rPr>
      <w:rFonts w:ascii="Times New Roman" w:eastAsia="Times New Roman" w:hAnsi="Times New Roman" w:cs="Times New Roman"/>
      <w:sz w:val="20"/>
      <w:szCs w:val="20"/>
    </w:rPr>
  </w:style>
  <w:style w:type="paragraph" w:customStyle="1" w:styleId="EndNoteBibliography">
    <w:name w:val="EndNote Bibliography"/>
    <w:basedOn w:val="Normal"/>
    <w:rsid w:val="00652D52"/>
    <w:pPr>
      <w:widowControl w:val="0"/>
      <w:suppressAutoHyphens/>
      <w:spacing w:after="0" w:line="240" w:lineRule="auto"/>
    </w:pPr>
    <w:rPr>
      <w:rFonts w:ascii="Times New Roman" w:eastAsia="Times New Roman" w:hAnsi="Times New Roman" w:cs="Times New Roman"/>
      <w:sz w:val="20"/>
      <w:szCs w:val="20"/>
    </w:rPr>
  </w:style>
  <w:style w:type="paragraph" w:customStyle="1" w:styleId="ColorfulList-Accent11">
    <w:name w:val="Colorful List - Accent 11"/>
    <w:basedOn w:val="Normal"/>
    <w:rsid w:val="00652D52"/>
    <w:pPr>
      <w:widowControl w:val="0"/>
      <w:suppressAutoHyphens/>
      <w:spacing w:after="0" w:line="240" w:lineRule="auto"/>
    </w:pPr>
    <w:rPr>
      <w:rFonts w:ascii="Times New Roman" w:eastAsia="Times New Roman" w:hAnsi="Times New Roman" w:cs="Times New Roman"/>
      <w:sz w:val="20"/>
      <w:szCs w:val="20"/>
    </w:rPr>
  </w:style>
  <w:style w:type="paragraph" w:customStyle="1" w:styleId="TableContents">
    <w:name w:val="Table Contents"/>
    <w:basedOn w:val="Normal"/>
    <w:rsid w:val="00652D52"/>
    <w:pPr>
      <w:widowControl w:val="0"/>
      <w:suppressLineNumbers/>
      <w:suppressAutoHyphens/>
      <w:spacing w:after="0" w:line="240" w:lineRule="auto"/>
    </w:pPr>
    <w:rPr>
      <w:rFonts w:ascii="Times New Roman" w:eastAsia="Times New Roman" w:hAnsi="Times New Roman" w:cs="Times New Roman"/>
      <w:sz w:val="20"/>
      <w:szCs w:val="20"/>
    </w:rPr>
  </w:style>
  <w:style w:type="paragraph" w:customStyle="1" w:styleId="TableHeading">
    <w:name w:val="Table Heading"/>
    <w:basedOn w:val="TableContents"/>
    <w:rsid w:val="00652D52"/>
    <w:pPr>
      <w:jc w:val="center"/>
    </w:pPr>
    <w:rPr>
      <w:b/>
      <w:bCs/>
    </w:rPr>
  </w:style>
  <w:style w:type="paragraph" w:customStyle="1" w:styleId="Standard">
    <w:name w:val="Standard"/>
    <w:rsid w:val="00652D52"/>
    <w:pPr>
      <w:suppressAutoHyphens/>
      <w:spacing w:after="0" w:line="240" w:lineRule="auto"/>
      <w:textAlignment w:val="baseline"/>
    </w:pPr>
    <w:rPr>
      <w:rFonts w:ascii="Times New Roman" w:eastAsia="Times New Roman" w:hAnsi="Times New Roman" w:cs="Times New Roman"/>
      <w:sz w:val="20"/>
      <w:szCs w:val="20"/>
    </w:rPr>
  </w:style>
  <w:style w:type="paragraph" w:styleId="CommentText">
    <w:name w:val="annotation text"/>
    <w:basedOn w:val="Normal"/>
    <w:link w:val="CommentTextChar1"/>
    <w:uiPriority w:val="99"/>
    <w:rsid w:val="00652D52"/>
    <w:pPr>
      <w:widowControl w:val="0"/>
      <w:suppressAutoHyphens/>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link w:val="CommentText"/>
    <w:uiPriority w:val="99"/>
    <w:rsid w:val="00652D52"/>
    <w:rPr>
      <w:rFonts w:ascii="Times New Roman" w:eastAsia="Times New Roman" w:hAnsi="Times New Roman" w:cs="Times New Roman"/>
      <w:sz w:val="20"/>
      <w:szCs w:val="20"/>
    </w:rPr>
  </w:style>
  <w:style w:type="paragraph" w:customStyle="1" w:styleId="WW-Default">
    <w:name w:val="WW-Default"/>
    <w:rsid w:val="00652D52"/>
    <w:pPr>
      <w:suppressAutoHyphens/>
      <w:autoSpaceDE w:val="0"/>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1"/>
    <w:uiPriority w:val="99"/>
    <w:rsid w:val="00652D52"/>
    <w:pPr>
      <w:widowControl w:val="0"/>
      <w:suppressAutoHyphens/>
      <w:spacing w:after="0" w:line="240" w:lineRule="auto"/>
    </w:pPr>
    <w:rPr>
      <w:rFonts w:ascii="Times New Roman" w:eastAsia="Times New Roman" w:hAnsi="Times New Roman" w:cs="Times New Roman"/>
      <w:sz w:val="20"/>
      <w:szCs w:val="20"/>
    </w:rPr>
  </w:style>
  <w:style w:type="character" w:customStyle="1" w:styleId="BalloonTextChar1">
    <w:name w:val="Balloon Text Char1"/>
    <w:basedOn w:val="DefaultParagraphFont"/>
    <w:link w:val="BalloonText"/>
    <w:uiPriority w:val="99"/>
    <w:rsid w:val="00652D5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uiPriority w:val="99"/>
    <w:rsid w:val="00652D52"/>
    <w:rPr>
      <w:b/>
      <w:bCs/>
    </w:rPr>
  </w:style>
  <w:style w:type="character" w:customStyle="1" w:styleId="CommentSubjectChar1">
    <w:name w:val="Comment Subject Char1"/>
    <w:basedOn w:val="CommentTextChar1"/>
    <w:link w:val="CommentSubject"/>
    <w:uiPriority w:val="99"/>
    <w:rsid w:val="00652D52"/>
    <w:rPr>
      <w:rFonts w:ascii="Times New Roman" w:eastAsia="Times New Roman" w:hAnsi="Times New Roman" w:cs="Times New Roman"/>
      <w:b/>
      <w:bCs/>
      <w:sz w:val="20"/>
      <w:szCs w:val="20"/>
    </w:rPr>
  </w:style>
  <w:style w:type="paragraph" w:styleId="Footer">
    <w:name w:val="footer"/>
    <w:basedOn w:val="Normal"/>
    <w:link w:val="FooterChar1"/>
    <w:uiPriority w:val="99"/>
    <w:rsid w:val="00652D52"/>
    <w:pPr>
      <w:widowControl w:val="0"/>
      <w:tabs>
        <w:tab w:val="center" w:pos="4320"/>
        <w:tab w:val="right" w:pos="8640"/>
      </w:tabs>
      <w:suppressAutoHyphens/>
      <w:spacing w:after="0" w:line="240" w:lineRule="auto"/>
    </w:pPr>
    <w:rPr>
      <w:rFonts w:ascii="Times New Roman" w:eastAsia="Times New Roman" w:hAnsi="Times New Roman" w:cs="Times New Roman"/>
      <w:sz w:val="20"/>
      <w:szCs w:val="20"/>
    </w:rPr>
  </w:style>
  <w:style w:type="character" w:customStyle="1" w:styleId="FooterChar1">
    <w:name w:val="Footer Char1"/>
    <w:basedOn w:val="DefaultParagraphFont"/>
    <w:link w:val="Footer"/>
    <w:uiPriority w:val="99"/>
    <w:rsid w:val="00652D52"/>
    <w:rPr>
      <w:rFonts w:ascii="Times New Roman" w:eastAsia="Times New Roman" w:hAnsi="Times New Roman" w:cs="Times New Roman"/>
      <w:sz w:val="20"/>
      <w:szCs w:val="20"/>
    </w:rPr>
  </w:style>
  <w:style w:type="paragraph" w:styleId="Header">
    <w:name w:val="header"/>
    <w:basedOn w:val="Normal"/>
    <w:link w:val="HeaderChar1"/>
    <w:uiPriority w:val="99"/>
    <w:rsid w:val="00652D52"/>
    <w:pPr>
      <w:widowControl w:val="0"/>
      <w:tabs>
        <w:tab w:val="center" w:pos="4320"/>
        <w:tab w:val="right" w:pos="8640"/>
      </w:tabs>
      <w:suppressAutoHyphens/>
      <w:spacing w:after="0" w:line="240" w:lineRule="auto"/>
    </w:pPr>
    <w:rPr>
      <w:rFonts w:ascii="Times New Roman" w:eastAsia="Times New Roman" w:hAnsi="Times New Roman" w:cs="Times New Roman"/>
      <w:sz w:val="20"/>
      <w:szCs w:val="20"/>
    </w:rPr>
  </w:style>
  <w:style w:type="character" w:customStyle="1" w:styleId="HeaderChar1">
    <w:name w:val="Header Char1"/>
    <w:basedOn w:val="DefaultParagraphFont"/>
    <w:link w:val="Header"/>
    <w:uiPriority w:val="99"/>
    <w:rsid w:val="00652D52"/>
    <w:rPr>
      <w:rFonts w:ascii="Times New Roman" w:eastAsia="Times New Roman" w:hAnsi="Times New Roman" w:cs="Times New Roman"/>
      <w:sz w:val="20"/>
      <w:szCs w:val="20"/>
    </w:rPr>
  </w:style>
  <w:style w:type="paragraph" w:customStyle="1" w:styleId="Framecontents">
    <w:name w:val="Frame contents"/>
    <w:basedOn w:val="BodyText"/>
    <w:rsid w:val="00652D52"/>
  </w:style>
  <w:style w:type="paragraph" w:customStyle="1" w:styleId="MediumList2-Accent21">
    <w:name w:val="Medium List 2 - Accent 21"/>
    <w:hidden/>
    <w:uiPriority w:val="99"/>
    <w:semiHidden/>
    <w:rsid w:val="00652D52"/>
    <w:p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652D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2D5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652D52"/>
    <w:pPr>
      <w:spacing w:before="100" w:beforeAutospacing="1" w:after="100" w:afterAutospacing="1" w:line="240" w:lineRule="auto"/>
    </w:pPr>
    <w:rPr>
      <w:rFonts w:ascii="Times" w:eastAsia="Times New Roman" w:hAnsi="Times" w:cs="Times New Roman"/>
      <w:sz w:val="20"/>
      <w:szCs w:val="20"/>
    </w:rPr>
  </w:style>
  <w:style w:type="paragraph" w:customStyle="1" w:styleId="EndNoteBibliographyTitle">
    <w:name w:val="EndNote Bibliography Title"/>
    <w:basedOn w:val="Normal"/>
    <w:rsid w:val="00652D52"/>
    <w:pPr>
      <w:widowControl w:val="0"/>
      <w:suppressAutoHyphens/>
      <w:spacing w:after="0" w:line="240" w:lineRule="auto"/>
      <w:jc w:val="center"/>
    </w:pPr>
    <w:rPr>
      <w:rFonts w:ascii="Times New Roman" w:eastAsia="Times New Roman" w:hAnsi="Times New Roman" w:cs="Times New Roman"/>
      <w:sz w:val="20"/>
      <w:szCs w:val="20"/>
      <w:lang w:val="en-US"/>
    </w:rPr>
  </w:style>
  <w:style w:type="character" w:customStyle="1" w:styleId="Heading1Char">
    <w:name w:val="Heading 1 Char"/>
    <w:link w:val="Heading11"/>
    <w:uiPriority w:val="9"/>
    <w:rsid w:val="00652D52"/>
    <w:rPr>
      <w:rFonts w:ascii="Calibri" w:hAnsi="Calibri"/>
      <w:b/>
      <w:bCs/>
      <w:kern w:val="32"/>
      <w:sz w:val="24"/>
      <w:szCs w:val="32"/>
    </w:rPr>
  </w:style>
  <w:style w:type="paragraph" w:styleId="Revision">
    <w:name w:val="Revision"/>
    <w:hidden/>
    <w:uiPriority w:val="99"/>
    <w:semiHidden/>
    <w:rsid w:val="00652D52"/>
    <w:pPr>
      <w:spacing w:after="0" w:line="240" w:lineRule="auto"/>
    </w:pPr>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652D52"/>
  </w:style>
  <w:style w:type="paragraph" w:styleId="ListParagraph">
    <w:name w:val="List Paragraph"/>
    <w:basedOn w:val="Normal"/>
    <w:uiPriority w:val="34"/>
    <w:qFormat/>
    <w:rsid w:val="00652D52"/>
    <w:pPr>
      <w:widowControl w:val="0"/>
      <w:suppressAutoHyphens/>
      <w:spacing w:after="0" w:line="240" w:lineRule="auto"/>
      <w:ind w:left="720"/>
      <w:contextualSpacing/>
    </w:pPr>
    <w:rPr>
      <w:rFonts w:ascii="Times New Roman" w:eastAsia="Times New Roman" w:hAnsi="Times New Roman" w:cs="Times New Roman"/>
      <w:sz w:val="20"/>
      <w:szCs w:val="20"/>
    </w:rPr>
  </w:style>
  <w:style w:type="paragraph" w:styleId="NoSpacing">
    <w:name w:val="No Spacing"/>
    <w:link w:val="NoSpacingChar"/>
    <w:uiPriority w:val="1"/>
    <w:qFormat/>
    <w:rsid w:val="00652D52"/>
    <w:pPr>
      <w:widowControl w:val="0"/>
      <w:suppressAutoHyphens/>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52D52"/>
    <w:rPr>
      <w:rFonts w:ascii="Calibri" w:eastAsia="Bitstream Vera Sans;MS Mincho" w:hAnsi="Calibri" w:cs="Lohit Devanagari;MS PMincho"/>
      <w:b/>
      <w:bCs/>
      <w:sz w:val="24"/>
      <w:szCs w:val="32"/>
      <w:lang w:eastAsia="zh-CN" w:bidi="hi-IN"/>
    </w:rPr>
  </w:style>
  <w:style w:type="character" w:customStyle="1" w:styleId="Heading3Char">
    <w:name w:val="Heading 3 Char"/>
    <w:basedOn w:val="DefaultParagraphFont"/>
    <w:link w:val="Heading3"/>
    <w:uiPriority w:val="9"/>
    <w:rsid w:val="00652D52"/>
    <w:rPr>
      <w:rFonts w:ascii="Calibri" w:eastAsia="Bitstream Vera Sans;MS Mincho" w:hAnsi="Calibri" w:cs="Lohit Devanagari;MS PMincho"/>
      <w:b/>
      <w:bCs/>
      <w:color w:val="000000"/>
      <w:sz w:val="24"/>
      <w:szCs w:val="28"/>
      <w:lang w:eastAsia="zh-CN" w:bidi="hi-IN"/>
    </w:rPr>
  </w:style>
  <w:style w:type="numbering" w:customStyle="1" w:styleId="NoList11">
    <w:name w:val="No List11"/>
    <w:next w:val="NoList"/>
    <w:uiPriority w:val="99"/>
    <w:semiHidden/>
    <w:unhideWhenUsed/>
    <w:rsid w:val="00652D52"/>
  </w:style>
  <w:style w:type="character" w:customStyle="1" w:styleId="WW8Num1z1">
    <w:name w:val="WW8Num1z1"/>
    <w:rsid w:val="00652D52"/>
  </w:style>
  <w:style w:type="character" w:customStyle="1" w:styleId="WW8Num1z4">
    <w:name w:val="WW8Num1z4"/>
    <w:rsid w:val="00652D52"/>
  </w:style>
  <w:style w:type="character" w:customStyle="1" w:styleId="WW8Num1z5">
    <w:name w:val="WW8Num1z5"/>
    <w:rsid w:val="00652D52"/>
  </w:style>
  <w:style w:type="character" w:customStyle="1" w:styleId="WW8Num1z6">
    <w:name w:val="WW8Num1z6"/>
    <w:rsid w:val="00652D52"/>
  </w:style>
  <w:style w:type="character" w:customStyle="1" w:styleId="WW8Num1z7">
    <w:name w:val="WW8Num1z7"/>
    <w:rsid w:val="00652D52"/>
  </w:style>
  <w:style w:type="character" w:customStyle="1" w:styleId="WW8Num1z8">
    <w:name w:val="WW8Num1z8"/>
    <w:rsid w:val="00652D52"/>
  </w:style>
  <w:style w:type="character" w:customStyle="1" w:styleId="WW8Num2z0">
    <w:name w:val="WW8Num2z0"/>
    <w:rsid w:val="00652D52"/>
    <w:rPr>
      <w:rFonts w:ascii="Liberation Serif;Times New Roma" w:hAnsi="Liberation Serif;Times New Roma" w:cs="Lohit Devanagari;MS PMincho"/>
      <w:sz w:val="22"/>
      <w:szCs w:val="22"/>
    </w:rPr>
  </w:style>
  <w:style w:type="character" w:customStyle="1" w:styleId="WW8Num3z0">
    <w:name w:val="WW8Num3z0"/>
    <w:rsid w:val="00652D52"/>
    <w:rPr>
      <w:rFonts w:ascii="Calibri" w:eastAsia="Bitstream Vera Sans;MS Mincho" w:hAnsi="Calibri" w:cs="Calibri"/>
    </w:rPr>
  </w:style>
  <w:style w:type="character" w:customStyle="1" w:styleId="WW8Num3z1">
    <w:name w:val="WW8Num3z1"/>
    <w:rsid w:val="00652D52"/>
    <w:rPr>
      <w:rFonts w:ascii="Courier New" w:hAnsi="Courier New" w:cs="Courier New"/>
    </w:rPr>
  </w:style>
  <w:style w:type="character" w:customStyle="1" w:styleId="WW8Num3z2">
    <w:name w:val="WW8Num3z2"/>
    <w:rsid w:val="00652D52"/>
    <w:rPr>
      <w:rFonts w:ascii="Wingdings" w:hAnsi="Wingdings" w:cs="Wingdings"/>
    </w:rPr>
  </w:style>
  <w:style w:type="character" w:customStyle="1" w:styleId="WW8Num3z3">
    <w:name w:val="WW8Num3z3"/>
    <w:rsid w:val="00652D52"/>
    <w:rPr>
      <w:rFonts w:ascii="Symbol" w:hAnsi="Symbol" w:cs="Symbol"/>
    </w:rPr>
  </w:style>
  <w:style w:type="character" w:customStyle="1" w:styleId="WW8Num2z1">
    <w:name w:val="WW8Num2z1"/>
    <w:rsid w:val="00652D52"/>
    <w:rPr>
      <w:rFonts w:ascii="Courier New" w:hAnsi="Courier New" w:cs="Courier New"/>
    </w:rPr>
  </w:style>
  <w:style w:type="character" w:customStyle="1" w:styleId="WW8Num2z2">
    <w:name w:val="WW8Num2z2"/>
    <w:rsid w:val="00652D52"/>
    <w:rPr>
      <w:rFonts w:ascii="Wingdings" w:hAnsi="Wingdings" w:cs="Wingdings"/>
    </w:rPr>
  </w:style>
  <w:style w:type="character" w:customStyle="1" w:styleId="WW8Num2z3">
    <w:name w:val="WW8Num2z3"/>
    <w:rsid w:val="00652D52"/>
    <w:rPr>
      <w:rFonts w:ascii="Symbol" w:hAnsi="Symbol" w:cs="Symbol"/>
    </w:rPr>
  </w:style>
  <w:style w:type="character" w:customStyle="1" w:styleId="WW-DefaultParagraphFont1">
    <w:name w:val="WW-Default Paragraph Font1"/>
    <w:rsid w:val="00652D52"/>
  </w:style>
  <w:style w:type="character" w:customStyle="1" w:styleId="WW-DefaultParagraphFont11">
    <w:name w:val="WW-Default Paragraph Font11"/>
    <w:rsid w:val="00652D52"/>
  </w:style>
  <w:style w:type="character" w:customStyle="1" w:styleId="WW-DefaultParagraphFont111">
    <w:name w:val="WW-Default Paragraph Font111"/>
    <w:rsid w:val="00652D52"/>
  </w:style>
  <w:style w:type="character" w:customStyle="1" w:styleId="WW-DefaultParagraphFont1111">
    <w:name w:val="WW-Default Paragraph Font1111"/>
    <w:rsid w:val="00652D52"/>
  </w:style>
  <w:style w:type="character" w:customStyle="1" w:styleId="WW-DefaultParagraphFont11111">
    <w:name w:val="WW-Default Paragraph Font11111"/>
    <w:rsid w:val="00652D52"/>
  </w:style>
  <w:style w:type="character" w:customStyle="1" w:styleId="InternetLink">
    <w:name w:val="Internet Link"/>
    <w:rsid w:val="00652D52"/>
    <w:rPr>
      <w:color w:val="0000FF"/>
      <w:u w:val="single"/>
    </w:rPr>
  </w:style>
  <w:style w:type="character" w:customStyle="1" w:styleId="LineNumbering">
    <w:name w:val="Line Numbering"/>
    <w:rsid w:val="00652D52"/>
  </w:style>
  <w:style w:type="paragraph" w:customStyle="1" w:styleId="TextBody">
    <w:name w:val="Text Body"/>
    <w:basedOn w:val="Normal"/>
    <w:rsid w:val="00652D52"/>
    <w:pPr>
      <w:widowControl w:val="0"/>
      <w:suppressAutoHyphens/>
      <w:spacing w:after="120" w:line="240" w:lineRule="auto"/>
    </w:pPr>
    <w:rPr>
      <w:rFonts w:ascii="Liberation Serif;Times New Roma" w:eastAsia="Bitstream Vera Sans;MS Mincho" w:hAnsi="Liberation Serif;Times New Roma" w:cs="Lohit Devanagari;MS PMincho"/>
      <w:sz w:val="24"/>
      <w:szCs w:val="24"/>
      <w:lang w:eastAsia="zh-CN" w:bidi="hi-IN"/>
    </w:rPr>
  </w:style>
  <w:style w:type="paragraph" w:customStyle="1" w:styleId="FrameContents0">
    <w:name w:val="Frame Contents"/>
    <w:basedOn w:val="Normal"/>
    <w:rsid w:val="00652D52"/>
    <w:pPr>
      <w:widowControl w:val="0"/>
      <w:suppressAutoHyphens/>
      <w:spacing w:after="0" w:line="240" w:lineRule="auto"/>
    </w:pPr>
    <w:rPr>
      <w:rFonts w:ascii="Liberation Serif;Times New Roma" w:eastAsia="Bitstream Vera Sans;MS Mincho" w:hAnsi="Liberation Serif;Times New Roma" w:cs="Lohit Devanagari;MS PMincho"/>
      <w:sz w:val="24"/>
      <w:szCs w:val="24"/>
      <w:lang w:eastAsia="zh-CN" w:bidi="hi-IN"/>
    </w:rPr>
  </w:style>
  <w:style w:type="paragraph" w:customStyle="1" w:styleId="Quotations">
    <w:name w:val="Quotations"/>
    <w:basedOn w:val="Normal"/>
    <w:rsid w:val="00652D52"/>
    <w:pPr>
      <w:widowControl w:val="0"/>
      <w:suppressAutoHyphens/>
      <w:spacing w:after="283" w:line="240" w:lineRule="auto"/>
      <w:ind w:left="567" w:right="567"/>
    </w:pPr>
    <w:rPr>
      <w:rFonts w:ascii="Liberation Serif;Times New Roma" w:eastAsia="Bitstream Vera Sans;MS Mincho" w:hAnsi="Liberation Serif;Times New Roma" w:cs="Lohit Devanagari;MS PMincho"/>
      <w:sz w:val="24"/>
      <w:szCs w:val="24"/>
      <w:lang w:eastAsia="zh-CN" w:bidi="hi-IN"/>
    </w:rPr>
  </w:style>
  <w:style w:type="paragraph" w:styleId="Title">
    <w:name w:val="Title"/>
    <w:basedOn w:val="Heading"/>
    <w:next w:val="TextBody"/>
    <w:link w:val="TitleChar"/>
    <w:rsid w:val="00652D52"/>
    <w:pPr>
      <w:jc w:val="center"/>
    </w:pPr>
    <w:rPr>
      <w:rFonts w:ascii="Liberation Sans;Arial" w:eastAsia="Bitstream Vera Sans;MS Mincho" w:hAnsi="Liberation Sans;Arial" w:cs="Lohit Devanagari;MS PMincho"/>
      <w:b/>
      <w:bCs/>
      <w:sz w:val="56"/>
      <w:szCs w:val="56"/>
      <w:lang w:eastAsia="zh-CN" w:bidi="hi-IN"/>
    </w:rPr>
  </w:style>
  <w:style w:type="character" w:customStyle="1" w:styleId="TitleChar">
    <w:name w:val="Title Char"/>
    <w:basedOn w:val="DefaultParagraphFont"/>
    <w:link w:val="Title"/>
    <w:rsid w:val="00652D52"/>
    <w:rPr>
      <w:rFonts w:ascii="Liberation Sans;Arial" w:eastAsia="Bitstream Vera Sans;MS Mincho" w:hAnsi="Liberation Sans;Arial" w:cs="Lohit Devanagari;MS PMincho"/>
      <w:b/>
      <w:bCs/>
      <w:sz w:val="56"/>
      <w:szCs w:val="56"/>
      <w:lang w:eastAsia="zh-CN" w:bidi="hi-IN"/>
    </w:rPr>
  </w:style>
  <w:style w:type="paragraph" w:styleId="Subtitle">
    <w:name w:val="Subtitle"/>
    <w:basedOn w:val="Heading"/>
    <w:next w:val="TextBody"/>
    <w:link w:val="SubtitleChar"/>
    <w:rsid w:val="00652D52"/>
    <w:pPr>
      <w:spacing w:before="60"/>
      <w:jc w:val="center"/>
    </w:pPr>
    <w:rPr>
      <w:rFonts w:ascii="Liberation Sans;Arial" w:eastAsia="Bitstream Vera Sans;MS Mincho" w:hAnsi="Liberation Sans;Arial" w:cs="Lohit Devanagari;MS PMincho"/>
      <w:sz w:val="36"/>
      <w:szCs w:val="36"/>
      <w:lang w:eastAsia="zh-CN" w:bidi="hi-IN"/>
    </w:rPr>
  </w:style>
  <w:style w:type="character" w:customStyle="1" w:styleId="SubtitleChar">
    <w:name w:val="Subtitle Char"/>
    <w:basedOn w:val="DefaultParagraphFont"/>
    <w:link w:val="Subtitle"/>
    <w:rsid w:val="00652D52"/>
    <w:rPr>
      <w:rFonts w:ascii="Liberation Sans;Arial" w:eastAsia="Bitstream Vera Sans;MS Mincho" w:hAnsi="Liberation Sans;Arial" w:cs="Lohit Devanagari;MS PMincho"/>
      <w:sz w:val="36"/>
      <w:szCs w:val="36"/>
      <w:lang w:eastAsia="zh-CN" w:bidi="hi-IN"/>
    </w:rPr>
  </w:style>
  <w:style w:type="numbering" w:customStyle="1" w:styleId="WW8Num1">
    <w:name w:val="WW8Num1"/>
    <w:rsid w:val="00652D52"/>
  </w:style>
  <w:style w:type="numbering" w:customStyle="1" w:styleId="WW8Num2">
    <w:name w:val="WW8Num2"/>
    <w:rsid w:val="00652D52"/>
  </w:style>
  <w:style w:type="numbering" w:customStyle="1" w:styleId="WW8Num3">
    <w:name w:val="WW8Num3"/>
    <w:rsid w:val="00652D52"/>
  </w:style>
  <w:style w:type="character" w:customStyle="1" w:styleId="UnresolvedMention1">
    <w:name w:val="Unresolved Mention1"/>
    <w:basedOn w:val="DefaultParagraphFont"/>
    <w:uiPriority w:val="99"/>
    <w:semiHidden/>
    <w:unhideWhenUsed/>
    <w:rsid w:val="00652D52"/>
    <w:rPr>
      <w:color w:val="808080"/>
      <w:shd w:val="clear" w:color="auto" w:fill="E6E6E6"/>
    </w:rPr>
  </w:style>
  <w:style w:type="paragraph" w:customStyle="1" w:styleId="Reference">
    <w:name w:val="Reference"/>
    <w:basedOn w:val="Normal"/>
    <w:link w:val="ReferenceChar"/>
    <w:qFormat/>
    <w:rsid w:val="00652D52"/>
    <w:pPr>
      <w:widowControl w:val="0"/>
      <w:suppressAutoHyphens/>
      <w:spacing w:after="0" w:line="480" w:lineRule="auto"/>
    </w:pPr>
    <w:rPr>
      <w:rFonts w:ascii="Calibri" w:eastAsia="Bitstream Vera Sans;MS Mincho" w:hAnsi="Calibri" w:cs="Arial"/>
      <w:b/>
      <w:bCs/>
      <w:sz w:val="24"/>
      <w:szCs w:val="24"/>
      <w:lang w:eastAsia="zh-CN" w:bidi="hi-IN"/>
    </w:rPr>
  </w:style>
  <w:style w:type="character" w:customStyle="1" w:styleId="ReferenceChar">
    <w:name w:val="Reference Char"/>
    <w:basedOn w:val="DefaultParagraphFont"/>
    <w:link w:val="Reference"/>
    <w:rsid w:val="00652D52"/>
    <w:rPr>
      <w:rFonts w:ascii="Calibri" w:eastAsia="Bitstream Vera Sans;MS Mincho" w:hAnsi="Calibri" w:cs="Arial"/>
      <w:b/>
      <w:bCs/>
      <w:sz w:val="24"/>
      <w:szCs w:val="24"/>
      <w:lang w:eastAsia="zh-CN" w:bidi="hi-IN"/>
    </w:rPr>
  </w:style>
  <w:style w:type="numbering" w:customStyle="1" w:styleId="NoList2">
    <w:name w:val="No List2"/>
    <w:next w:val="NoList"/>
    <w:uiPriority w:val="99"/>
    <w:semiHidden/>
    <w:unhideWhenUsed/>
    <w:rsid w:val="00652D52"/>
  </w:style>
  <w:style w:type="paragraph" w:customStyle="1" w:styleId="msonormal0">
    <w:name w:val="msonormal"/>
    <w:basedOn w:val="Normal"/>
    <w:rsid w:val="00652D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652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66">
    <w:name w:val="xl66"/>
    <w:basedOn w:val="Normal"/>
    <w:rsid w:val="00652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52D52"/>
    <w:rPr>
      <w:color w:val="800080"/>
      <w:u w:val="single"/>
    </w:rPr>
  </w:style>
  <w:style w:type="paragraph" w:customStyle="1" w:styleId="xl67">
    <w:name w:val="xl67"/>
    <w:basedOn w:val="Normal"/>
    <w:rsid w:val="00652D5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8">
    <w:name w:val="xl68"/>
    <w:basedOn w:val="Normal"/>
    <w:rsid w:val="00652D5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EndnoteText1">
    <w:name w:val="Endnote Text1"/>
    <w:basedOn w:val="Normal"/>
    <w:next w:val="EndnoteText"/>
    <w:link w:val="EndnoteTextChar"/>
    <w:uiPriority w:val="99"/>
    <w:semiHidden/>
    <w:unhideWhenUsed/>
    <w:rsid w:val="00652D5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1"/>
    <w:uiPriority w:val="99"/>
    <w:semiHidden/>
    <w:rsid w:val="00652D5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652D52"/>
    <w:rPr>
      <w:vertAlign w:val="superscript"/>
    </w:rPr>
  </w:style>
  <w:style w:type="paragraph" w:styleId="EndnoteText">
    <w:name w:val="endnote text"/>
    <w:basedOn w:val="Normal"/>
    <w:link w:val="EndnoteTextChar1"/>
    <w:uiPriority w:val="99"/>
    <w:semiHidden/>
    <w:unhideWhenUsed/>
    <w:rsid w:val="00652D52"/>
    <w:pPr>
      <w:widowControl w:val="0"/>
      <w:suppressAutoHyphens/>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uiPriority w:val="99"/>
    <w:semiHidden/>
    <w:rsid w:val="00652D52"/>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652D52"/>
  </w:style>
  <w:style w:type="numbering" w:customStyle="1" w:styleId="NoList4">
    <w:name w:val="No List4"/>
    <w:next w:val="NoList"/>
    <w:uiPriority w:val="99"/>
    <w:semiHidden/>
    <w:unhideWhenUsed/>
    <w:rsid w:val="00652D52"/>
  </w:style>
  <w:style w:type="table" w:customStyle="1" w:styleId="TableGrid1">
    <w:name w:val="Table Grid1"/>
    <w:basedOn w:val="TableNormal"/>
    <w:next w:val="TableGrid"/>
    <w:uiPriority w:val="59"/>
    <w:rsid w:val="00652D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652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n-GB"/>
    </w:rPr>
  </w:style>
  <w:style w:type="paragraph" w:customStyle="1" w:styleId="xl70">
    <w:name w:val="xl70"/>
    <w:basedOn w:val="Normal"/>
    <w:rsid w:val="00652D52"/>
    <w:pPr>
      <w:spacing w:before="100" w:beforeAutospacing="1" w:after="100" w:afterAutospacing="1" w:line="240" w:lineRule="auto"/>
      <w:jc w:val="right"/>
    </w:pPr>
    <w:rPr>
      <w:rFonts w:ascii="Times New Roman" w:eastAsia="Times New Roman" w:hAnsi="Times New Roman" w:cs="Times New Roman"/>
      <w:sz w:val="16"/>
      <w:szCs w:val="16"/>
      <w:lang w:eastAsia="en-GB"/>
    </w:rPr>
  </w:style>
  <w:style w:type="paragraph" w:customStyle="1" w:styleId="xl71">
    <w:name w:val="xl71"/>
    <w:basedOn w:val="Normal"/>
    <w:rsid w:val="00652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2">
    <w:name w:val="xl72"/>
    <w:basedOn w:val="Normal"/>
    <w:rsid w:val="00652D52"/>
    <w:pPr>
      <w:spacing w:before="100" w:beforeAutospacing="1" w:after="100" w:afterAutospacing="1" w:line="240" w:lineRule="auto"/>
    </w:pPr>
    <w:rPr>
      <w:rFonts w:ascii="Times New Roman" w:eastAsia="Times New Roman" w:hAnsi="Times New Roman" w:cs="Times New Roman"/>
      <w:b/>
      <w:bCs/>
      <w:sz w:val="16"/>
      <w:szCs w:val="16"/>
      <w:lang w:eastAsia="en-GB"/>
    </w:rPr>
  </w:style>
  <w:style w:type="paragraph" w:customStyle="1" w:styleId="xl73">
    <w:name w:val="xl73"/>
    <w:basedOn w:val="Normal"/>
    <w:rsid w:val="00652D52"/>
    <w:pPr>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4">
    <w:name w:val="xl74"/>
    <w:basedOn w:val="Normal"/>
    <w:rsid w:val="00652D52"/>
    <w:pPr>
      <w:spacing w:before="100" w:beforeAutospacing="1" w:after="100" w:afterAutospacing="1" w:line="240" w:lineRule="auto"/>
      <w:jc w:val="right"/>
    </w:pPr>
    <w:rPr>
      <w:rFonts w:ascii="Times New Roman" w:eastAsia="Times New Roman" w:hAnsi="Times New Roman" w:cs="Times New Roman"/>
      <w:sz w:val="16"/>
      <w:szCs w:val="16"/>
      <w:lang w:eastAsia="en-GB"/>
    </w:rPr>
  </w:style>
  <w:style w:type="paragraph" w:customStyle="1" w:styleId="xl75">
    <w:name w:val="xl75"/>
    <w:basedOn w:val="Normal"/>
    <w:rsid w:val="00652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76">
    <w:name w:val="xl76"/>
    <w:basedOn w:val="Normal"/>
    <w:rsid w:val="00652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GB"/>
    </w:rPr>
  </w:style>
  <w:style w:type="paragraph" w:customStyle="1" w:styleId="xl77">
    <w:name w:val="xl77"/>
    <w:basedOn w:val="Normal"/>
    <w:rsid w:val="00652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n-GB"/>
    </w:rPr>
  </w:style>
  <w:style w:type="paragraph" w:customStyle="1" w:styleId="xl78">
    <w:name w:val="xl78"/>
    <w:basedOn w:val="Normal"/>
    <w:rsid w:val="00652D52"/>
    <w:pP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n-GB"/>
    </w:rPr>
  </w:style>
  <w:style w:type="numbering" w:customStyle="1" w:styleId="NoList5">
    <w:name w:val="No List5"/>
    <w:next w:val="NoList"/>
    <w:uiPriority w:val="99"/>
    <w:semiHidden/>
    <w:unhideWhenUsed/>
    <w:rsid w:val="00652D52"/>
  </w:style>
  <w:style w:type="table" w:customStyle="1" w:styleId="TableGrid2">
    <w:name w:val="Table Grid2"/>
    <w:basedOn w:val="TableNormal"/>
    <w:next w:val="TableGrid"/>
    <w:uiPriority w:val="59"/>
    <w:rsid w:val="00652D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52D52"/>
  </w:style>
  <w:style w:type="character" w:customStyle="1" w:styleId="st1">
    <w:name w:val="st1"/>
    <w:basedOn w:val="DefaultParagraphFont"/>
    <w:rsid w:val="00652D52"/>
  </w:style>
  <w:style w:type="character" w:customStyle="1" w:styleId="Heading1Char1">
    <w:name w:val="Heading 1 Char1"/>
    <w:basedOn w:val="DefaultParagraphFont"/>
    <w:link w:val="Heading1"/>
    <w:uiPriority w:val="9"/>
    <w:rsid w:val="00652D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52D52"/>
    <w:pPr>
      <w:spacing w:before="100" w:beforeAutospacing="1" w:after="100" w:afterAutospacing="1"/>
      <w:outlineLvl w:val="9"/>
    </w:pPr>
    <w:rPr>
      <w:rFonts w:ascii="Calibri" w:eastAsia="Times New Roman" w:hAnsi="Calibri" w:cs="Times New Roman"/>
      <w:b/>
      <w:color w:val="auto"/>
      <w:sz w:val="24"/>
      <w:lang w:val="en-US"/>
    </w:rPr>
  </w:style>
  <w:style w:type="paragraph" w:customStyle="1" w:styleId="TOC21">
    <w:name w:val="TOC 21"/>
    <w:basedOn w:val="Normal"/>
    <w:next w:val="Normal"/>
    <w:autoRedefine/>
    <w:uiPriority w:val="39"/>
    <w:unhideWhenUsed/>
    <w:rsid w:val="00652D52"/>
    <w:pPr>
      <w:spacing w:after="100"/>
      <w:ind w:left="220"/>
    </w:pPr>
    <w:rPr>
      <w:rFonts w:ascii="Calibri" w:eastAsia="Times New Roman" w:hAnsi="Calibri" w:cs="Times New Roman"/>
      <w:lang w:val="en-US"/>
    </w:rPr>
  </w:style>
  <w:style w:type="paragraph" w:customStyle="1" w:styleId="TOC11">
    <w:name w:val="TOC 11"/>
    <w:basedOn w:val="Normal"/>
    <w:next w:val="Normal"/>
    <w:autoRedefine/>
    <w:uiPriority w:val="39"/>
    <w:unhideWhenUsed/>
    <w:rsid w:val="00652D52"/>
    <w:pPr>
      <w:tabs>
        <w:tab w:val="right" w:leader="dot" w:pos="9016"/>
      </w:tabs>
      <w:spacing w:after="100"/>
    </w:pPr>
    <w:rPr>
      <w:rFonts w:ascii="Calibri" w:eastAsia="Times New Roman" w:hAnsi="Calibri" w:cs="Times New Roman"/>
      <w:lang w:val="en-US"/>
    </w:rPr>
  </w:style>
  <w:style w:type="paragraph" w:customStyle="1" w:styleId="TOC31">
    <w:name w:val="TOC 31"/>
    <w:basedOn w:val="Normal"/>
    <w:next w:val="Normal"/>
    <w:autoRedefine/>
    <w:uiPriority w:val="39"/>
    <w:unhideWhenUsed/>
    <w:rsid w:val="00652D52"/>
    <w:pPr>
      <w:spacing w:after="100"/>
      <w:ind w:left="440"/>
    </w:pPr>
    <w:rPr>
      <w:rFonts w:ascii="Calibri" w:eastAsia="Times New Roman" w:hAnsi="Calibri" w:cs="Times New Roman"/>
      <w:lang w:val="en-US"/>
    </w:rPr>
  </w:style>
  <w:style w:type="paragraph" w:customStyle="1" w:styleId="Heading-PhD">
    <w:name w:val="Heading - PhD"/>
    <w:basedOn w:val="Normal"/>
    <w:link w:val="Heading-PhDChar"/>
    <w:qFormat/>
    <w:rsid w:val="00652D52"/>
    <w:pPr>
      <w:tabs>
        <w:tab w:val="left" w:pos="2894"/>
      </w:tabs>
      <w:spacing w:after="200" w:line="276" w:lineRule="auto"/>
    </w:pPr>
    <w:rPr>
      <w:rFonts w:ascii="Calibri" w:eastAsia="Calibri" w:hAnsi="Calibri" w:cs="Times New Roman"/>
      <w:b/>
      <w:sz w:val="24"/>
      <w:szCs w:val="24"/>
    </w:rPr>
  </w:style>
  <w:style w:type="paragraph" w:customStyle="1" w:styleId="Sub-Heading-PhD">
    <w:name w:val="Sub-Heading - PhD"/>
    <w:basedOn w:val="Normal"/>
    <w:link w:val="Sub-Heading-PhDChar"/>
    <w:qFormat/>
    <w:rsid w:val="00652D52"/>
    <w:pPr>
      <w:spacing w:after="200" w:line="276" w:lineRule="auto"/>
    </w:pPr>
    <w:rPr>
      <w:rFonts w:ascii="Calibri" w:eastAsia="Calibri" w:hAnsi="Calibri" w:cs="Times New Roman"/>
      <w:b/>
      <w:i/>
      <w:sz w:val="24"/>
      <w:szCs w:val="24"/>
    </w:rPr>
  </w:style>
  <w:style w:type="character" w:customStyle="1" w:styleId="Heading-PhDChar">
    <w:name w:val="Heading - PhD Char"/>
    <w:basedOn w:val="DefaultParagraphFont"/>
    <w:link w:val="Heading-PhD"/>
    <w:rsid w:val="00652D52"/>
    <w:rPr>
      <w:rFonts w:ascii="Calibri" w:eastAsia="Calibri" w:hAnsi="Calibri" w:cs="Times New Roman"/>
      <w:b/>
      <w:sz w:val="24"/>
      <w:szCs w:val="24"/>
    </w:rPr>
  </w:style>
  <w:style w:type="character" w:customStyle="1" w:styleId="Sub-Heading-PhDChar">
    <w:name w:val="Sub-Heading - PhD Char"/>
    <w:basedOn w:val="DefaultParagraphFont"/>
    <w:link w:val="Sub-Heading-PhD"/>
    <w:rsid w:val="00652D52"/>
    <w:rPr>
      <w:rFonts w:ascii="Calibri" w:eastAsia="Calibri" w:hAnsi="Calibri" w:cs="Times New Roman"/>
      <w:b/>
      <w:i/>
      <w:sz w:val="24"/>
      <w:szCs w:val="24"/>
    </w:rPr>
  </w:style>
  <w:style w:type="character" w:customStyle="1" w:styleId="NoSpacingChar">
    <w:name w:val="No Spacing Char"/>
    <w:basedOn w:val="DefaultParagraphFont"/>
    <w:link w:val="NoSpacing"/>
    <w:uiPriority w:val="1"/>
    <w:rsid w:val="00652D52"/>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652D52"/>
    <w:rPr>
      <w:rFonts w:ascii="Calibri" w:hAnsi="Calibri"/>
      <w:b/>
      <w:i/>
      <w:iCs/>
      <w:sz w:val="24"/>
    </w:rPr>
  </w:style>
  <w:style w:type="character" w:customStyle="1" w:styleId="Heading4Char1">
    <w:name w:val="Heading 4 Char1"/>
    <w:basedOn w:val="DefaultParagraphFont"/>
    <w:uiPriority w:val="9"/>
    <w:semiHidden/>
    <w:rsid w:val="00652D52"/>
    <w:rPr>
      <w:rFonts w:ascii="Calibri" w:eastAsia="MS Gothic" w:hAnsi="Calibri" w:cs="Times New Roman"/>
      <w:i/>
      <w:iCs/>
      <w:color w:val="365F91"/>
    </w:rPr>
  </w:style>
  <w:style w:type="paragraph" w:styleId="TOC1">
    <w:name w:val="toc 1"/>
    <w:basedOn w:val="Normal"/>
    <w:next w:val="Normal"/>
    <w:autoRedefine/>
    <w:uiPriority w:val="39"/>
    <w:unhideWhenUsed/>
    <w:rsid w:val="00652D52"/>
    <w:pPr>
      <w:widowControl w:val="0"/>
      <w:tabs>
        <w:tab w:val="right" w:leader="dot" w:pos="9016"/>
      </w:tabs>
      <w:suppressAutoHyphens/>
      <w:spacing w:after="10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652D52"/>
    <w:pPr>
      <w:widowControl w:val="0"/>
      <w:suppressAutoHyphens/>
      <w:spacing w:after="10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652D52"/>
    <w:pPr>
      <w:widowControl w:val="0"/>
      <w:tabs>
        <w:tab w:val="right" w:leader="dot" w:pos="9016"/>
      </w:tabs>
      <w:suppressAutoHyphens/>
      <w:spacing w:after="10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652D52"/>
    <w:pPr>
      <w:widowControl w:val="0"/>
      <w:suppressAutoHyphens/>
      <w:spacing w:after="100" w:line="240" w:lineRule="auto"/>
      <w:ind w:left="600"/>
    </w:pPr>
    <w:rPr>
      <w:rFonts w:ascii="Times New Roman" w:eastAsia="Times New Roman" w:hAnsi="Times New Roman" w:cs="Times New Roman"/>
      <w:sz w:val="20"/>
      <w:szCs w:val="20"/>
    </w:rPr>
  </w:style>
  <w:style w:type="paragraph" w:customStyle="1" w:styleId="TOC51">
    <w:name w:val="TOC 51"/>
    <w:basedOn w:val="Normal"/>
    <w:next w:val="Normal"/>
    <w:autoRedefine/>
    <w:uiPriority w:val="39"/>
    <w:unhideWhenUsed/>
    <w:rsid w:val="00652D52"/>
    <w:pPr>
      <w:spacing w:after="100"/>
      <w:ind w:left="880"/>
    </w:pPr>
    <w:rPr>
      <w:rFonts w:eastAsia="MS Mincho"/>
      <w:lang w:eastAsia="en-GB"/>
    </w:rPr>
  </w:style>
  <w:style w:type="paragraph" w:customStyle="1" w:styleId="TOC61">
    <w:name w:val="TOC 61"/>
    <w:basedOn w:val="Normal"/>
    <w:next w:val="Normal"/>
    <w:autoRedefine/>
    <w:uiPriority w:val="39"/>
    <w:unhideWhenUsed/>
    <w:rsid w:val="00652D52"/>
    <w:pPr>
      <w:spacing w:after="100"/>
      <w:ind w:left="1100"/>
    </w:pPr>
    <w:rPr>
      <w:rFonts w:eastAsia="MS Mincho"/>
      <w:lang w:eastAsia="en-GB"/>
    </w:rPr>
  </w:style>
  <w:style w:type="paragraph" w:customStyle="1" w:styleId="TOC71">
    <w:name w:val="TOC 71"/>
    <w:basedOn w:val="Normal"/>
    <w:next w:val="Normal"/>
    <w:autoRedefine/>
    <w:uiPriority w:val="39"/>
    <w:unhideWhenUsed/>
    <w:rsid w:val="00652D52"/>
    <w:pPr>
      <w:spacing w:after="100"/>
      <w:ind w:left="1320"/>
    </w:pPr>
    <w:rPr>
      <w:rFonts w:eastAsia="MS Mincho"/>
      <w:lang w:eastAsia="en-GB"/>
    </w:rPr>
  </w:style>
  <w:style w:type="paragraph" w:customStyle="1" w:styleId="TOC81">
    <w:name w:val="TOC 81"/>
    <w:basedOn w:val="Normal"/>
    <w:next w:val="Normal"/>
    <w:autoRedefine/>
    <w:uiPriority w:val="39"/>
    <w:unhideWhenUsed/>
    <w:rsid w:val="00652D52"/>
    <w:pPr>
      <w:spacing w:after="100"/>
      <w:ind w:left="1540"/>
    </w:pPr>
    <w:rPr>
      <w:rFonts w:eastAsia="MS Mincho"/>
      <w:lang w:eastAsia="en-GB"/>
    </w:rPr>
  </w:style>
  <w:style w:type="paragraph" w:customStyle="1" w:styleId="TOC91">
    <w:name w:val="TOC 91"/>
    <w:basedOn w:val="Normal"/>
    <w:next w:val="Normal"/>
    <w:autoRedefine/>
    <w:uiPriority w:val="39"/>
    <w:unhideWhenUsed/>
    <w:rsid w:val="00652D52"/>
    <w:pPr>
      <w:spacing w:after="100"/>
      <w:ind w:left="1760"/>
    </w:pPr>
    <w:rPr>
      <w:rFonts w:eastAsia="MS Mincho"/>
      <w:lang w:eastAsia="en-GB"/>
    </w:rPr>
  </w:style>
  <w:style w:type="character" w:customStyle="1" w:styleId="UnresolvedMention2">
    <w:name w:val="Unresolved Mention2"/>
    <w:basedOn w:val="DefaultParagraphFont"/>
    <w:uiPriority w:val="99"/>
    <w:semiHidden/>
    <w:unhideWhenUsed/>
    <w:rsid w:val="00652D52"/>
    <w:rPr>
      <w:color w:val="605E5C"/>
      <w:shd w:val="clear" w:color="auto" w:fill="E1DFDD"/>
    </w:rPr>
  </w:style>
  <w:style w:type="character" w:customStyle="1" w:styleId="Heading5Char">
    <w:name w:val="Heading 5 Char"/>
    <w:basedOn w:val="DefaultParagraphFont"/>
    <w:link w:val="Heading5"/>
    <w:uiPriority w:val="9"/>
    <w:rsid w:val="00652D52"/>
    <w:rPr>
      <w:rFonts w:ascii="Calibri" w:eastAsia="MS Gothic" w:hAnsi="Calibri" w:cs="Times New Roman"/>
      <w:b/>
      <w:i/>
      <w:sz w:val="24"/>
    </w:rPr>
  </w:style>
  <w:style w:type="character" w:customStyle="1" w:styleId="Heading6Char">
    <w:name w:val="Heading 6 Char"/>
    <w:basedOn w:val="DefaultParagraphFont"/>
    <w:link w:val="Heading6"/>
    <w:uiPriority w:val="9"/>
    <w:rsid w:val="00652D52"/>
    <w:rPr>
      <w:rFonts w:ascii="Calibri" w:eastAsia="MS Gothic" w:hAnsi="Calibri" w:cs="Times New Roman"/>
      <w:b/>
      <w:i/>
      <w:sz w:val="24"/>
    </w:rPr>
  </w:style>
  <w:style w:type="character" w:customStyle="1" w:styleId="UnresolvedMention3">
    <w:name w:val="Unresolved Mention3"/>
    <w:basedOn w:val="DefaultParagraphFont"/>
    <w:uiPriority w:val="99"/>
    <w:semiHidden/>
    <w:unhideWhenUsed/>
    <w:rsid w:val="00652D52"/>
    <w:rPr>
      <w:color w:val="605E5C"/>
      <w:shd w:val="clear" w:color="auto" w:fill="E1DFDD"/>
    </w:rPr>
  </w:style>
  <w:style w:type="character" w:customStyle="1" w:styleId="UnresolvedMention4">
    <w:name w:val="Unresolved Mention4"/>
    <w:basedOn w:val="DefaultParagraphFont"/>
    <w:uiPriority w:val="99"/>
    <w:semiHidden/>
    <w:unhideWhenUsed/>
    <w:rsid w:val="00652D52"/>
    <w:rPr>
      <w:color w:val="605E5C"/>
      <w:shd w:val="clear" w:color="auto" w:fill="E1DFDD"/>
    </w:rPr>
  </w:style>
  <w:style w:type="character" w:customStyle="1" w:styleId="UnresolvedMention5">
    <w:name w:val="Unresolved Mention5"/>
    <w:basedOn w:val="DefaultParagraphFont"/>
    <w:uiPriority w:val="99"/>
    <w:semiHidden/>
    <w:unhideWhenUsed/>
    <w:rsid w:val="00652D52"/>
    <w:rPr>
      <w:color w:val="605E5C"/>
      <w:shd w:val="clear" w:color="auto" w:fill="E1DFDD"/>
    </w:rPr>
  </w:style>
  <w:style w:type="character" w:customStyle="1" w:styleId="UnresolvedMention6">
    <w:name w:val="Unresolved Mention6"/>
    <w:basedOn w:val="DefaultParagraphFont"/>
    <w:uiPriority w:val="99"/>
    <w:semiHidden/>
    <w:unhideWhenUsed/>
    <w:rsid w:val="00652D52"/>
    <w:rPr>
      <w:color w:val="605E5C"/>
      <w:shd w:val="clear" w:color="auto" w:fill="E1DFDD"/>
    </w:rPr>
  </w:style>
  <w:style w:type="character" w:customStyle="1" w:styleId="UnresolvedMention7">
    <w:name w:val="Unresolved Mention7"/>
    <w:basedOn w:val="DefaultParagraphFont"/>
    <w:uiPriority w:val="99"/>
    <w:semiHidden/>
    <w:unhideWhenUsed/>
    <w:rsid w:val="00652D52"/>
    <w:rPr>
      <w:color w:val="605E5C"/>
      <w:shd w:val="clear" w:color="auto" w:fill="E1DFDD"/>
    </w:rPr>
  </w:style>
  <w:style w:type="character" w:customStyle="1" w:styleId="UnresolvedMention8">
    <w:name w:val="Unresolved Mention8"/>
    <w:basedOn w:val="DefaultParagraphFont"/>
    <w:uiPriority w:val="99"/>
    <w:semiHidden/>
    <w:unhideWhenUsed/>
    <w:rsid w:val="00652D52"/>
    <w:rPr>
      <w:color w:val="605E5C"/>
      <w:shd w:val="clear" w:color="auto" w:fill="E1DFDD"/>
    </w:rPr>
  </w:style>
  <w:style w:type="character" w:customStyle="1" w:styleId="UnresolvedMention9">
    <w:name w:val="Unresolved Mention9"/>
    <w:basedOn w:val="DefaultParagraphFont"/>
    <w:uiPriority w:val="99"/>
    <w:semiHidden/>
    <w:unhideWhenUsed/>
    <w:rsid w:val="00652D52"/>
    <w:rPr>
      <w:color w:val="605E5C"/>
      <w:shd w:val="clear" w:color="auto" w:fill="E1DFDD"/>
    </w:rPr>
  </w:style>
  <w:style w:type="character" w:customStyle="1" w:styleId="UnresolvedMention10">
    <w:name w:val="Unresolved Mention10"/>
    <w:basedOn w:val="DefaultParagraphFont"/>
    <w:uiPriority w:val="99"/>
    <w:semiHidden/>
    <w:unhideWhenUsed/>
    <w:rsid w:val="00652D52"/>
    <w:rPr>
      <w:color w:val="605E5C"/>
      <w:shd w:val="clear" w:color="auto" w:fill="E1DFDD"/>
    </w:rPr>
  </w:style>
  <w:style w:type="character" w:customStyle="1" w:styleId="UnresolvedMention11">
    <w:name w:val="Unresolved Mention11"/>
    <w:basedOn w:val="DefaultParagraphFont"/>
    <w:uiPriority w:val="99"/>
    <w:semiHidden/>
    <w:unhideWhenUsed/>
    <w:rsid w:val="00652D52"/>
    <w:rPr>
      <w:color w:val="605E5C"/>
      <w:shd w:val="clear" w:color="auto" w:fill="E1DFDD"/>
    </w:rPr>
  </w:style>
  <w:style w:type="character" w:customStyle="1" w:styleId="Heading2Char1">
    <w:name w:val="Heading 2 Char1"/>
    <w:basedOn w:val="DefaultParagraphFont"/>
    <w:uiPriority w:val="9"/>
    <w:semiHidden/>
    <w:rsid w:val="00652D52"/>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652D52"/>
    <w:rPr>
      <w:rFonts w:asciiTheme="majorHAnsi" w:eastAsiaTheme="majorEastAsia" w:hAnsiTheme="majorHAnsi" w:cstheme="majorBidi"/>
      <w:color w:val="1F3763" w:themeColor="accent1" w:themeShade="7F"/>
      <w:sz w:val="24"/>
      <w:szCs w:val="24"/>
    </w:rPr>
  </w:style>
  <w:style w:type="character" w:customStyle="1" w:styleId="Heading4Char2">
    <w:name w:val="Heading 4 Char2"/>
    <w:basedOn w:val="DefaultParagraphFont"/>
    <w:uiPriority w:val="9"/>
    <w:semiHidden/>
    <w:rsid w:val="00652D52"/>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52D52"/>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52D52"/>
    <w:rPr>
      <w:rFonts w:asciiTheme="majorHAnsi" w:eastAsiaTheme="majorEastAsia" w:hAnsiTheme="majorHAnsi" w:cstheme="majorBidi"/>
      <w:color w:val="1F3763" w:themeColor="accent1" w:themeShade="7F"/>
    </w:rPr>
  </w:style>
  <w:style w:type="character" w:customStyle="1" w:styleId="UnresolvedMention12">
    <w:name w:val="Unresolved Mention12"/>
    <w:basedOn w:val="DefaultParagraphFont"/>
    <w:uiPriority w:val="99"/>
    <w:semiHidden/>
    <w:unhideWhenUsed/>
    <w:rsid w:val="00564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60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image" Target="media/image7.png"/><Relationship Id="rId3" Type="http://schemas.openxmlformats.org/officeDocument/2006/relationships/styles" Target="styles.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0.png"/><Relationship Id="rId25" Type="http://schemas.openxmlformats.org/officeDocument/2006/relationships/image" Target="media/image80.png"/><Relationship Id="rId38" Type="http://schemas.openxmlformats.org/officeDocument/2006/relationships/image" Target="media/image140.png"/><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viewer88516@ebi.ac.uk" TargetMode="External"/><Relationship Id="rId37" Type="http://schemas.openxmlformats.org/officeDocument/2006/relationships/image" Target="media/image6.png"/><Relationship Id="rId40" Type="http://schemas.openxmlformats.org/officeDocument/2006/relationships/image" Target="media/image150.png"/><Relationship Id="rId45" Type="http://schemas.openxmlformats.org/officeDocument/2006/relationships/hyperlink" Target="mailto:peffs@liverpool.ac.uk" TargetMode="Externa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0.png"/><Relationship Id="rId28" Type="http://schemas.openxmlformats.org/officeDocument/2006/relationships/image" Target="media/image5.png"/><Relationship Id="rId36" Type="http://schemas.openxmlformats.org/officeDocument/2006/relationships/image" Target="media/image130.png"/><Relationship Id="rId49" Type="http://schemas.openxmlformats.org/officeDocument/2006/relationships/theme" Target="theme/theme1.xml"/><Relationship Id="rId10" Type="http://schemas.openxmlformats.org/officeDocument/2006/relationships/hyperlink" Target="http://www.ebi.ac.uk/metabolights/MTBLXXXX" TargetMode="External"/><Relationship Id="rId44"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hyperlink" Target="mailto:reviewer88516@ebi.ac.uk" TargetMode="External"/><Relationship Id="rId27" Type="http://schemas.openxmlformats.org/officeDocument/2006/relationships/image" Target="media/image90.png"/><Relationship Id="rId48" Type="http://schemas.openxmlformats.org/officeDocument/2006/relationships/fontTable" Target="fontTable.xml"/><Relationship Id="rId8" Type="http://schemas.openxmlformats.org/officeDocument/2006/relationships/hyperlink" Target="mailto:peffs@liverpoo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7E566-AD9E-4713-9A7A-79A9CC579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36544</Words>
  <Characters>208306</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Anderson</dc:creator>
  <cp:keywords/>
  <dc:description/>
  <cp:lastModifiedBy>Anderson, James [janders]</cp:lastModifiedBy>
  <cp:revision>5</cp:revision>
  <dcterms:created xsi:type="dcterms:W3CDTF">2020-03-05T14:44:00Z</dcterms:created>
  <dcterms:modified xsi:type="dcterms:W3CDTF">2020-03-06T17:33:00Z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e84b3355-df59-308b-ab24-6bf1aec7ac55</vt:lpwstr>
  </property>
  <property fmtid="{D5CDD505-2E9C-101B-9397-08002B2CF9AE}" pid="4" name="Mendeley Citation Style_1">
    <vt:lpwstr>http://www.zotero.org/styles/journal-of-proteome-research</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http://www.zotero.org/styles/emerald-harvard</vt:lpwstr>
  </property>
  <property fmtid="{D5CDD505-2E9C-101B-9397-08002B2CF9AE}" pid="12" name="Mendeley Recent Style Name 3_1">
    <vt:lpwstr>Emerald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http://www.zotero.org/styles/journal-of-proteome-research</vt:lpwstr>
  </property>
  <property fmtid="{D5CDD505-2E9C-101B-9397-08002B2CF9AE}" pid="16" name="Mendeley Recent Style Name 5_1">
    <vt:lpwstr>Journal of Proteome Research</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http://www.zotero.org/styles/journal-of-biological-chemistry</vt:lpwstr>
  </property>
  <property fmtid="{D5CDD505-2E9C-101B-9397-08002B2CF9AE}" pid="24" name="Mendeley Recent Style Name 9_1">
    <vt:lpwstr>The Journal of Biological Chemistry</vt:lpwstr>
  </property>
</Properties>
</file>