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9A189" w14:textId="5A62A669" w:rsidR="00BB5EC5" w:rsidRDefault="00651937" w:rsidP="00BB5EC5">
      <w:pPr>
        <w:pStyle w:val="Title"/>
      </w:pPr>
      <w:bookmarkStart w:id="0" w:name="_GoBack"/>
      <w:bookmarkEnd w:id="0"/>
      <w:r>
        <w:t>Involvement of Children and Young People in reporting S</w:t>
      </w:r>
      <w:r w:rsidR="00BB5EC5">
        <w:t>uspected adverse drug reactions</w:t>
      </w:r>
      <w:r>
        <w:t>: past and future</w:t>
      </w:r>
    </w:p>
    <w:p w14:paraId="16F23D5E" w14:textId="77777777" w:rsidR="00BB5EC5" w:rsidRDefault="00BB5EC5" w:rsidP="00BB5EC5">
      <w:pPr>
        <w:pStyle w:val="Subtitle"/>
      </w:pPr>
    </w:p>
    <w:p w14:paraId="5DB2F027" w14:textId="1CC464D2" w:rsidR="000C5819" w:rsidRPr="00BB5EC5" w:rsidRDefault="000C5819" w:rsidP="00BB5EC5">
      <w:pPr>
        <w:pStyle w:val="Subtitle"/>
        <w:rPr>
          <w:vertAlign w:val="superscript"/>
        </w:rPr>
      </w:pPr>
      <w:r>
        <w:t>Nikita Bhoombla</w:t>
      </w:r>
      <w:r w:rsidR="00BB5EC5">
        <w:rPr>
          <w:vertAlign w:val="superscript"/>
        </w:rPr>
        <w:t>1</w:t>
      </w:r>
      <w:r>
        <w:t>, Jennifer Preston</w:t>
      </w:r>
      <w:r w:rsidR="00421E94">
        <w:rPr>
          <w:vertAlign w:val="superscript"/>
        </w:rPr>
        <w:t>, 2,3</w:t>
      </w:r>
      <w:r>
        <w:t xml:space="preserve">, </w:t>
      </w:r>
      <w:r w:rsidR="00BB5EC5">
        <w:t>Jenny Ainsworth</w:t>
      </w:r>
      <w:proofErr w:type="gramStart"/>
      <w:r w:rsidR="00421E94">
        <w:rPr>
          <w:vertAlign w:val="superscript"/>
        </w:rPr>
        <w:t>3</w:t>
      </w:r>
      <w:r w:rsidR="00421E94" w:rsidDel="00421E94">
        <w:rPr>
          <w:vertAlign w:val="superscript"/>
        </w:rPr>
        <w:t xml:space="preserve"> </w:t>
      </w:r>
      <w:r w:rsidR="00BB5EC5">
        <w:t>,</w:t>
      </w:r>
      <w:proofErr w:type="gramEnd"/>
      <w:r w:rsidR="00BB5EC5">
        <w:t xml:space="preserve"> </w:t>
      </w:r>
      <w:r w:rsidR="00D5435F">
        <w:t>Helena Bird</w:t>
      </w:r>
      <w:r w:rsidR="00D5435F">
        <w:rPr>
          <w:vertAlign w:val="superscript"/>
        </w:rPr>
        <w:t>4</w:t>
      </w:r>
      <w:r w:rsidR="00D5435F">
        <w:t>, Mitul Jadeja</w:t>
      </w:r>
      <w:r w:rsidR="00D5435F">
        <w:rPr>
          <w:vertAlign w:val="superscript"/>
        </w:rPr>
        <w:t>4</w:t>
      </w:r>
      <w:r w:rsidR="00D5435F">
        <w:t xml:space="preserve">, </w:t>
      </w:r>
      <w:r w:rsidR="00792835">
        <w:t>Charlotte King</w:t>
      </w:r>
      <w:r w:rsidR="00792835">
        <w:rPr>
          <w:vertAlign w:val="superscript"/>
        </w:rPr>
        <w:t>1</w:t>
      </w:r>
      <w:r w:rsidR="00792835">
        <w:t xml:space="preserve">, </w:t>
      </w:r>
      <w:r>
        <w:t xml:space="preserve">Daniel </w:t>
      </w:r>
      <w:r w:rsidR="00BB5EC5">
        <w:t xml:space="preserve">B </w:t>
      </w:r>
      <w:r>
        <w:t>Hawcutt</w:t>
      </w:r>
      <w:r w:rsidR="00421E94">
        <w:rPr>
          <w:vertAlign w:val="superscript"/>
        </w:rPr>
        <w:t>2,3</w:t>
      </w:r>
    </w:p>
    <w:p w14:paraId="662901D5" w14:textId="77777777" w:rsidR="00BB5EC5" w:rsidRDefault="00BB5EC5">
      <w:pPr>
        <w:rPr>
          <w:sz w:val="28"/>
          <w:szCs w:val="28"/>
        </w:rPr>
      </w:pPr>
    </w:p>
    <w:p w14:paraId="4E383B8B" w14:textId="552FFFE1" w:rsidR="00BB5EC5" w:rsidRDefault="00BB5EC5" w:rsidP="00BB5EC5">
      <w:r>
        <w:t>1: University of Liverpool Medical School, Liverpool, UK</w:t>
      </w:r>
    </w:p>
    <w:p w14:paraId="75492122" w14:textId="76A9BC17" w:rsidR="00BB5EC5" w:rsidRDefault="00421E94" w:rsidP="00BB5EC5">
      <w:r>
        <w:t>2</w:t>
      </w:r>
      <w:r w:rsidR="00BB5EC5">
        <w:t>: Department of Women’s and Children’s Health, Institute of Translational Medicine, University of Liverpool, UK</w:t>
      </w:r>
    </w:p>
    <w:p w14:paraId="539993EC" w14:textId="1E3B1B2B" w:rsidR="00BB5EC5" w:rsidRDefault="00421E94" w:rsidP="00BB5EC5">
      <w:r>
        <w:t>3</w:t>
      </w:r>
      <w:r w:rsidR="00BB5EC5">
        <w:t>: NIHR Alder Hey Clinical Research Facility, Alder Hey Children’s Hospital, Liverpool, UK</w:t>
      </w:r>
    </w:p>
    <w:p w14:paraId="5C8DF42C" w14:textId="4A2F8E12" w:rsidR="00421E94" w:rsidRDefault="00421E94" w:rsidP="00BB5EC5">
      <w:r>
        <w:t>4:</w:t>
      </w:r>
      <w:r w:rsidR="00D5435F">
        <w:t xml:space="preserve"> Medicines and Healthcare </w:t>
      </w:r>
      <w:r w:rsidR="00001E1D">
        <w:t xml:space="preserve">Products </w:t>
      </w:r>
      <w:r w:rsidR="00D5435F">
        <w:t>Regulatory Agency, London, UK</w:t>
      </w:r>
    </w:p>
    <w:p w14:paraId="23F65E1F" w14:textId="77777777" w:rsidR="004B1494" w:rsidRDefault="004B1494" w:rsidP="00146CA7">
      <w:pPr>
        <w:rPr>
          <w:rFonts w:ascii="Arial" w:hAnsi="Arial" w:cs="Arial"/>
          <w:color w:val="1C1D1E"/>
          <w:sz w:val="21"/>
          <w:szCs w:val="21"/>
          <w:shd w:val="clear" w:color="auto" w:fill="FFFFFF"/>
        </w:rPr>
      </w:pPr>
    </w:p>
    <w:p w14:paraId="3F34AF59" w14:textId="728CF094" w:rsidR="00146CA7" w:rsidRDefault="004B1494" w:rsidP="00146CA7">
      <w:r>
        <w:rPr>
          <w:rFonts w:ascii="Arial" w:hAnsi="Arial" w:cs="Arial"/>
          <w:color w:val="1C1D1E"/>
          <w:sz w:val="21"/>
          <w:szCs w:val="21"/>
          <w:shd w:val="clear" w:color="auto" w:fill="FFFFFF"/>
        </w:rPr>
        <w:t>There are no competing interests to declare</w:t>
      </w:r>
    </w:p>
    <w:p w14:paraId="74C6EED3" w14:textId="398F37CE" w:rsidR="000C5819" w:rsidRDefault="00146CA7" w:rsidP="00146CA7">
      <w:r w:rsidRPr="00F05782">
        <w:t xml:space="preserve">Word </w:t>
      </w:r>
      <w:r w:rsidR="00734860">
        <w:t>count</w:t>
      </w:r>
      <w:r w:rsidR="00651937">
        <w:t>:</w:t>
      </w:r>
      <w:r w:rsidR="00734860">
        <w:t xml:space="preserve"> </w:t>
      </w:r>
      <w:r w:rsidR="000275EB">
        <w:t>1723</w:t>
      </w:r>
    </w:p>
    <w:p w14:paraId="31CCA466" w14:textId="733B2DB2" w:rsidR="00734860" w:rsidRDefault="00734860" w:rsidP="00146CA7">
      <w:r>
        <w:t xml:space="preserve">Tables: </w:t>
      </w:r>
      <w:r w:rsidR="0045654E">
        <w:t>4</w:t>
      </w:r>
    </w:p>
    <w:p w14:paraId="18282D67" w14:textId="65D9089F" w:rsidR="00734860" w:rsidRDefault="00734860" w:rsidP="00146CA7">
      <w:pPr>
        <w:rPr>
          <w:sz w:val="28"/>
          <w:szCs w:val="28"/>
        </w:rPr>
      </w:pPr>
      <w:r>
        <w:t>Figures: 2</w:t>
      </w:r>
    </w:p>
    <w:p w14:paraId="0EC5165B" w14:textId="498E89DF" w:rsidR="000C5819" w:rsidRPr="00BB5EC5" w:rsidRDefault="00BB5EC5">
      <w:r>
        <w:t xml:space="preserve">Keywords: Adverse Drug Reaction; Spontaneous Reporting; Paediatrics; </w:t>
      </w:r>
      <w:r w:rsidR="005D1AB6">
        <w:t>Patient Involvement</w:t>
      </w:r>
    </w:p>
    <w:p w14:paraId="3D7E8665" w14:textId="2661B2F0" w:rsidR="00171CC3" w:rsidRDefault="00171CC3">
      <w:pPr>
        <w:rPr>
          <w:sz w:val="28"/>
          <w:szCs w:val="28"/>
        </w:rPr>
      </w:pPr>
      <w:r>
        <w:rPr>
          <w:sz w:val="28"/>
          <w:szCs w:val="28"/>
        </w:rPr>
        <w:br w:type="page"/>
      </w:r>
    </w:p>
    <w:p w14:paraId="7BE05008" w14:textId="7C4BFB63" w:rsidR="000C5819" w:rsidRDefault="00924F92">
      <w:pPr>
        <w:rPr>
          <w:sz w:val="24"/>
          <w:szCs w:val="24"/>
        </w:rPr>
      </w:pPr>
      <w:r w:rsidRPr="005D1AB6">
        <w:rPr>
          <w:rStyle w:val="Heading1Char"/>
        </w:rPr>
        <w:lastRenderedPageBreak/>
        <w:t>Abstract</w:t>
      </w:r>
      <w:r>
        <w:rPr>
          <w:sz w:val="24"/>
          <w:szCs w:val="24"/>
        </w:rPr>
        <w:t xml:space="preserve"> </w:t>
      </w:r>
    </w:p>
    <w:p w14:paraId="676B43DB" w14:textId="79EF9CF9" w:rsidR="00924F92" w:rsidRPr="008E0E40" w:rsidRDefault="00F64887">
      <w:pPr>
        <w:rPr>
          <w:b/>
          <w:sz w:val="24"/>
          <w:szCs w:val="24"/>
        </w:rPr>
      </w:pPr>
      <w:r>
        <w:rPr>
          <w:b/>
          <w:sz w:val="24"/>
          <w:szCs w:val="24"/>
        </w:rPr>
        <w:t>Objectives</w:t>
      </w:r>
    </w:p>
    <w:p w14:paraId="2CD318F4" w14:textId="1EC230DB" w:rsidR="005D1AB6" w:rsidRDefault="00F64887" w:rsidP="00A247A9">
      <w:pPr>
        <w:spacing w:after="0" w:line="360" w:lineRule="auto"/>
        <w:rPr>
          <w:rFonts w:cstheme="minorHAnsi"/>
          <w:sz w:val="24"/>
          <w:szCs w:val="24"/>
        </w:rPr>
      </w:pPr>
      <w:r>
        <w:rPr>
          <w:rFonts w:cstheme="minorHAnsi"/>
          <w:sz w:val="24"/>
          <w:szCs w:val="24"/>
        </w:rPr>
        <w:t>To determine children’s and young people’s (CYPs) contribution to</w:t>
      </w:r>
      <w:r w:rsidR="00651937">
        <w:rPr>
          <w:rFonts w:cstheme="minorHAnsi"/>
          <w:sz w:val="24"/>
          <w:szCs w:val="24"/>
        </w:rPr>
        <w:t xml:space="preserve"> </w:t>
      </w:r>
      <w:r w:rsidR="005D1AB6">
        <w:rPr>
          <w:rFonts w:cstheme="minorHAnsi"/>
          <w:sz w:val="24"/>
          <w:szCs w:val="24"/>
        </w:rPr>
        <w:t xml:space="preserve">the </w:t>
      </w:r>
      <w:r w:rsidR="00B47206">
        <w:rPr>
          <w:rFonts w:cstheme="minorHAnsi"/>
          <w:sz w:val="24"/>
          <w:szCs w:val="24"/>
        </w:rPr>
        <w:t xml:space="preserve">Medicines and Healthcare </w:t>
      </w:r>
      <w:r w:rsidR="00001E1D">
        <w:rPr>
          <w:rFonts w:cstheme="minorHAnsi"/>
          <w:sz w:val="24"/>
          <w:szCs w:val="24"/>
        </w:rPr>
        <w:t xml:space="preserve">Products </w:t>
      </w:r>
      <w:r w:rsidR="00B47206">
        <w:rPr>
          <w:rFonts w:cstheme="minorHAnsi"/>
          <w:sz w:val="24"/>
          <w:szCs w:val="24"/>
        </w:rPr>
        <w:t xml:space="preserve">Regulatory Agency </w:t>
      </w:r>
      <w:r w:rsidR="007B2D97">
        <w:rPr>
          <w:rFonts w:cstheme="minorHAnsi"/>
          <w:sz w:val="24"/>
          <w:szCs w:val="24"/>
        </w:rPr>
        <w:t xml:space="preserve">(MHRA) </w:t>
      </w:r>
      <w:r w:rsidR="005D1AB6">
        <w:rPr>
          <w:rFonts w:cstheme="minorHAnsi"/>
          <w:sz w:val="24"/>
          <w:szCs w:val="24"/>
        </w:rPr>
        <w:t>Yellow Card scheme</w:t>
      </w:r>
      <w:r w:rsidR="003853E6">
        <w:rPr>
          <w:rFonts w:cstheme="minorHAnsi"/>
          <w:sz w:val="24"/>
          <w:szCs w:val="24"/>
        </w:rPr>
        <w:t xml:space="preserve"> (YCS</w:t>
      </w:r>
      <w:proofErr w:type="gramStart"/>
      <w:r w:rsidR="003853E6">
        <w:rPr>
          <w:rFonts w:cstheme="minorHAnsi"/>
          <w:sz w:val="24"/>
          <w:szCs w:val="24"/>
        </w:rPr>
        <w:t>)</w:t>
      </w:r>
      <w:r w:rsidR="005D1AB6">
        <w:rPr>
          <w:rFonts w:cstheme="minorHAnsi"/>
          <w:sz w:val="24"/>
          <w:szCs w:val="24"/>
        </w:rPr>
        <w:t xml:space="preserve">, </w:t>
      </w:r>
      <w:r>
        <w:rPr>
          <w:rFonts w:cstheme="minorHAnsi"/>
          <w:sz w:val="24"/>
          <w:szCs w:val="24"/>
        </w:rPr>
        <w:t>and</w:t>
      </w:r>
      <w:proofErr w:type="gramEnd"/>
      <w:r>
        <w:rPr>
          <w:rFonts w:cstheme="minorHAnsi"/>
          <w:sz w:val="24"/>
          <w:szCs w:val="24"/>
        </w:rPr>
        <w:t xml:space="preserve"> develop age appropriate information with CYP to aid </w:t>
      </w:r>
      <w:r w:rsidR="00E54CF5">
        <w:rPr>
          <w:rFonts w:cstheme="minorHAnsi"/>
          <w:sz w:val="24"/>
          <w:szCs w:val="24"/>
        </w:rPr>
        <w:t xml:space="preserve">their </w:t>
      </w:r>
      <w:r>
        <w:rPr>
          <w:rFonts w:cstheme="minorHAnsi"/>
          <w:sz w:val="24"/>
          <w:szCs w:val="24"/>
        </w:rPr>
        <w:t>reporting</w:t>
      </w:r>
      <w:r w:rsidR="00EF2E94">
        <w:rPr>
          <w:rFonts w:cstheme="minorHAnsi"/>
          <w:sz w:val="24"/>
          <w:szCs w:val="24"/>
        </w:rPr>
        <w:t xml:space="preserve">. </w:t>
      </w:r>
    </w:p>
    <w:p w14:paraId="6D1E8121" w14:textId="77777777" w:rsidR="007B2D97" w:rsidRDefault="007B2D97" w:rsidP="00A247A9">
      <w:pPr>
        <w:spacing w:after="0" w:line="360" w:lineRule="auto"/>
        <w:rPr>
          <w:rFonts w:cstheme="minorHAnsi"/>
          <w:sz w:val="24"/>
          <w:szCs w:val="24"/>
        </w:rPr>
      </w:pPr>
    </w:p>
    <w:p w14:paraId="77DEF0AF" w14:textId="4AB67A3C" w:rsidR="007B2D97" w:rsidRPr="007B2D97" w:rsidRDefault="007B2D97" w:rsidP="00A247A9">
      <w:pPr>
        <w:spacing w:after="0" w:line="360" w:lineRule="auto"/>
        <w:rPr>
          <w:rFonts w:cstheme="minorHAnsi"/>
          <w:b/>
          <w:sz w:val="24"/>
          <w:szCs w:val="24"/>
        </w:rPr>
      </w:pPr>
      <w:r w:rsidRPr="007B2D97">
        <w:rPr>
          <w:rFonts w:cstheme="minorHAnsi"/>
          <w:b/>
          <w:sz w:val="24"/>
          <w:szCs w:val="24"/>
        </w:rPr>
        <w:t>Methods</w:t>
      </w:r>
    </w:p>
    <w:p w14:paraId="09983E9C" w14:textId="5B5D92DC" w:rsidR="007B2D97" w:rsidRDefault="00E54CF5" w:rsidP="00A247A9">
      <w:pPr>
        <w:spacing w:after="0" w:line="360" w:lineRule="auto"/>
        <w:rPr>
          <w:rFonts w:eastAsia="Arial" w:cstheme="minorHAnsi"/>
          <w:color w:val="000000"/>
          <w:sz w:val="24"/>
          <w:szCs w:val="24"/>
        </w:rPr>
      </w:pPr>
      <w:r>
        <w:rPr>
          <w:rFonts w:cstheme="minorHAnsi"/>
          <w:sz w:val="24"/>
          <w:szCs w:val="24"/>
        </w:rPr>
        <w:t>R</w:t>
      </w:r>
      <w:r w:rsidR="007B2D97">
        <w:rPr>
          <w:rFonts w:cstheme="minorHAnsi"/>
          <w:sz w:val="24"/>
          <w:szCs w:val="24"/>
        </w:rPr>
        <w:t xml:space="preserve">eports </w:t>
      </w:r>
      <w:r>
        <w:rPr>
          <w:rFonts w:cstheme="minorHAnsi"/>
          <w:sz w:val="24"/>
          <w:szCs w:val="24"/>
        </w:rPr>
        <w:t xml:space="preserve">for suspected ADRs </w:t>
      </w:r>
      <w:r w:rsidR="007B2D97">
        <w:rPr>
          <w:rFonts w:cstheme="minorHAnsi"/>
          <w:sz w:val="24"/>
          <w:szCs w:val="24"/>
        </w:rPr>
        <w:t xml:space="preserve">received by the MHRA </w:t>
      </w:r>
      <w:r>
        <w:rPr>
          <w:rFonts w:cstheme="minorHAnsi"/>
          <w:sz w:val="24"/>
          <w:szCs w:val="24"/>
        </w:rPr>
        <w:t xml:space="preserve">YCS </w:t>
      </w:r>
      <w:r w:rsidR="007B2D97">
        <w:rPr>
          <w:rFonts w:cstheme="minorHAnsi"/>
          <w:sz w:val="24"/>
          <w:szCs w:val="24"/>
        </w:rPr>
        <w:t xml:space="preserve">from 01/01/2008 to 29/11/2018 were examined. </w:t>
      </w:r>
      <w:r w:rsidR="00EF2E94">
        <w:rPr>
          <w:rFonts w:eastAsia="Arial" w:cstheme="minorHAnsi"/>
          <w:color w:val="000000"/>
          <w:sz w:val="24"/>
          <w:szCs w:val="24"/>
        </w:rPr>
        <w:t>C</w:t>
      </w:r>
      <w:r w:rsidR="00BF1CB0">
        <w:rPr>
          <w:rFonts w:eastAsia="Arial" w:cstheme="minorHAnsi"/>
          <w:color w:val="000000"/>
          <w:sz w:val="24"/>
          <w:szCs w:val="24"/>
        </w:rPr>
        <w:t xml:space="preserve">onsultation activities with </w:t>
      </w:r>
      <w:r w:rsidR="003853E6">
        <w:rPr>
          <w:rFonts w:eastAsia="Arial" w:cstheme="minorHAnsi"/>
          <w:color w:val="000000"/>
          <w:sz w:val="24"/>
          <w:szCs w:val="24"/>
        </w:rPr>
        <w:t xml:space="preserve">CYP </w:t>
      </w:r>
      <w:r w:rsidR="00A247A9">
        <w:rPr>
          <w:rFonts w:eastAsia="Arial" w:cstheme="minorHAnsi"/>
          <w:color w:val="000000"/>
          <w:sz w:val="24"/>
          <w:szCs w:val="24"/>
        </w:rPr>
        <w:t>from regional, national and international groups</w:t>
      </w:r>
      <w:r w:rsidR="006118A4">
        <w:rPr>
          <w:rFonts w:eastAsia="Arial" w:cstheme="minorHAnsi"/>
          <w:color w:val="000000"/>
          <w:sz w:val="24"/>
          <w:szCs w:val="24"/>
        </w:rPr>
        <w:t xml:space="preserve"> were undertaken</w:t>
      </w:r>
      <w:r w:rsidR="00E12BFE">
        <w:rPr>
          <w:rFonts w:eastAsia="Arial" w:cstheme="minorHAnsi"/>
          <w:color w:val="000000"/>
          <w:sz w:val="24"/>
          <w:szCs w:val="24"/>
        </w:rPr>
        <w:t xml:space="preserve"> </w:t>
      </w:r>
      <w:r w:rsidR="002964A7">
        <w:rPr>
          <w:rFonts w:eastAsia="Arial" w:cstheme="minorHAnsi"/>
          <w:color w:val="000000"/>
          <w:sz w:val="24"/>
          <w:szCs w:val="24"/>
        </w:rPr>
        <w:t>to</w:t>
      </w:r>
      <w:r w:rsidR="00E12BFE">
        <w:rPr>
          <w:rFonts w:eastAsia="Arial" w:cstheme="minorHAnsi"/>
          <w:color w:val="000000"/>
          <w:sz w:val="24"/>
          <w:szCs w:val="24"/>
        </w:rPr>
        <w:t xml:space="preserve"> develop</w:t>
      </w:r>
      <w:r w:rsidR="00BF1CB0">
        <w:rPr>
          <w:rFonts w:eastAsia="Arial" w:cstheme="minorHAnsi"/>
          <w:color w:val="000000"/>
          <w:sz w:val="24"/>
          <w:szCs w:val="24"/>
        </w:rPr>
        <w:t xml:space="preserve"> </w:t>
      </w:r>
      <w:r w:rsidR="002964A7">
        <w:rPr>
          <w:rFonts w:eastAsia="Arial" w:cstheme="minorHAnsi"/>
          <w:color w:val="000000"/>
          <w:sz w:val="24"/>
          <w:szCs w:val="24"/>
        </w:rPr>
        <w:t>CYP</w:t>
      </w:r>
      <w:r w:rsidR="00BF1CB0">
        <w:rPr>
          <w:rFonts w:eastAsia="Arial" w:cstheme="minorHAnsi"/>
          <w:color w:val="000000"/>
          <w:sz w:val="24"/>
          <w:szCs w:val="24"/>
        </w:rPr>
        <w:t xml:space="preserve"> </w:t>
      </w:r>
      <w:r w:rsidR="00A7522B">
        <w:rPr>
          <w:rFonts w:eastAsia="Arial" w:cstheme="minorHAnsi"/>
          <w:color w:val="000000"/>
          <w:sz w:val="24"/>
          <w:szCs w:val="24"/>
        </w:rPr>
        <w:t xml:space="preserve">appropriate </w:t>
      </w:r>
      <w:r w:rsidR="00BF1CB0">
        <w:rPr>
          <w:rFonts w:eastAsia="Arial" w:cstheme="minorHAnsi"/>
          <w:color w:val="000000"/>
          <w:sz w:val="24"/>
          <w:szCs w:val="24"/>
        </w:rPr>
        <w:t xml:space="preserve">information about </w:t>
      </w:r>
      <w:r w:rsidR="00A7522B">
        <w:rPr>
          <w:rFonts w:eastAsia="Arial" w:cstheme="minorHAnsi"/>
          <w:color w:val="000000"/>
          <w:sz w:val="24"/>
          <w:szCs w:val="24"/>
        </w:rPr>
        <w:t xml:space="preserve">reporting </w:t>
      </w:r>
      <w:r w:rsidR="00BF1CB0">
        <w:rPr>
          <w:rFonts w:eastAsia="Arial" w:cstheme="minorHAnsi"/>
          <w:color w:val="000000"/>
          <w:sz w:val="24"/>
          <w:szCs w:val="24"/>
        </w:rPr>
        <w:t>ADRs</w:t>
      </w:r>
      <w:r w:rsidR="007B2D97">
        <w:rPr>
          <w:rFonts w:eastAsia="Arial" w:cstheme="minorHAnsi"/>
          <w:color w:val="000000"/>
          <w:sz w:val="24"/>
          <w:szCs w:val="24"/>
        </w:rPr>
        <w:t xml:space="preserve"> </w:t>
      </w:r>
      <w:r w:rsidR="00A7522B">
        <w:rPr>
          <w:rFonts w:eastAsia="Arial" w:cstheme="minorHAnsi"/>
          <w:color w:val="000000"/>
          <w:sz w:val="24"/>
          <w:szCs w:val="24"/>
        </w:rPr>
        <w:t>to the YCS</w:t>
      </w:r>
      <w:r w:rsidR="00BF1CB0">
        <w:rPr>
          <w:rFonts w:eastAsia="Arial" w:cstheme="minorHAnsi"/>
          <w:color w:val="000000"/>
          <w:sz w:val="24"/>
          <w:szCs w:val="24"/>
        </w:rPr>
        <w:t>.</w:t>
      </w:r>
    </w:p>
    <w:p w14:paraId="72129839" w14:textId="77777777" w:rsidR="007B2D97" w:rsidRDefault="007B2D97" w:rsidP="00A247A9">
      <w:pPr>
        <w:spacing w:after="0" w:line="360" w:lineRule="auto"/>
        <w:rPr>
          <w:rFonts w:eastAsia="Arial" w:cstheme="minorHAnsi"/>
          <w:color w:val="000000"/>
          <w:sz w:val="24"/>
          <w:szCs w:val="24"/>
        </w:rPr>
      </w:pPr>
    </w:p>
    <w:p w14:paraId="0DFB1674" w14:textId="1DF62501" w:rsidR="00436B0C" w:rsidRPr="007B2D97" w:rsidRDefault="007B2D97" w:rsidP="00A247A9">
      <w:pPr>
        <w:spacing w:after="0" w:line="360" w:lineRule="auto"/>
        <w:rPr>
          <w:rFonts w:eastAsia="Arial" w:cstheme="minorHAnsi"/>
          <w:b/>
          <w:color w:val="000000"/>
          <w:sz w:val="24"/>
          <w:szCs w:val="24"/>
        </w:rPr>
      </w:pPr>
      <w:r w:rsidRPr="007B2D97">
        <w:rPr>
          <w:rFonts w:eastAsia="Arial" w:cstheme="minorHAnsi"/>
          <w:b/>
          <w:color w:val="000000"/>
          <w:sz w:val="24"/>
          <w:szCs w:val="24"/>
        </w:rPr>
        <w:t>Results</w:t>
      </w:r>
      <w:r w:rsidR="005D1AB6" w:rsidRPr="007B2D97">
        <w:rPr>
          <w:rFonts w:eastAsia="Arial" w:cstheme="minorHAnsi"/>
          <w:b/>
          <w:color w:val="000000"/>
          <w:sz w:val="24"/>
          <w:szCs w:val="24"/>
        </w:rPr>
        <w:t xml:space="preserve"> </w:t>
      </w:r>
    </w:p>
    <w:p w14:paraId="64948321" w14:textId="3057C139" w:rsidR="007B2D97" w:rsidRDefault="009D65A1" w:rsidP="0009146C">
      <w:pPr>
        <w:spacing w:after="0" w:line="360" w:lineRule="auto"/>
        <w:rPr>
          <w:rFonts w:eastAsia="Arial" w:cstheme="minorHAnsi"/>
          <w:color w:val="000000"/>
          <w:sz w:val="24"/>
          <w:szCs w:val="24"/>
        </w:rPr>
      </w:pPr>
      <w:r w:rsidRPr="009D65A1">
        <w:rPr>
          <w:rFonts w:eastAsia="Arial" w:cstheme="minorHAnsi"/>
          <w:color w:val="000000"/>
          <w:sz w:val="24"/>
          <w:szCs w:val="24"/>
        </w:rPr>
        <w:t>CYP contribute</w:t>
      </w:r>
      <w:r w:rsidR="00EF2E94">
        <w:rPr>
          <w:rFonts w:eastAsia="Arial" w:cstheme="minorHAnsi"/>
          <w:color w:val="000000"/>
          <w:sz w:val="24"/>
          <w:szCs w:val="24"/>
        </w:rPr>
        <w:t>d</w:t>
      </w:r>
      <w:r w:rsidRPr="009D65A1">
        <w:rPr>
          <w:rFonts w:eastAsia="Arial" w:cstheme="minorHAnsi"/>
          <w:color w:val="000000"/>
          <w:sz w:val="24"/>
          <w:szCs w:val="24"/>
        </w:rPr>
        <w:t xml:space="preserve"> 2.3% of YCS reports for patients &lt;19 year</w:t>
      </w:r>
      <w:r w:rsidR="00EF2E94">
        <w:rPr>
          <w:rFonts w:eastAsia="Arial" w:cstheme="minorHAnsi"/>
          <w:color w:val="000000"/>
          <w:sz w:val="24"/>
          <w:szCs w:val="24"/>
        </w:rPr>
        <w:t>s</w:t>
      </w:r>
      <w:r w:rsidRPr="009D65A1">
        <w:rPr>
          <w:rFonts w:eastAsia="Arial" w:cstheme="minorHAnsi"/>
          <w:color w:val="000000"/>
          <w:sz w:val="24"/>
          <w:szCs w:val="24"/>
        </w:rPr>
        <w:t xml:space="preserve">. Patients </w:t>
      </w:r>
      <w:r w:rsidR="00EF2E94">
        <w:rPr>
          <w:rFonts w:eastAsia="Arial" w:cstheme="minorHAnsi"/>
          <w:color w:val="000000"/>
          <w:sz w:val="24"/>
          <w:szCs w:val="24"/>
        </w:rPr>
        <w:t xml:space="preserve">from age </w:t>
      </w:r>
      <w:r w:rsidRPr="009D65A1">
        <w:rPr>
          <w:rFonts w:eastAsia="Arial" w:cstheme="minorHAnsi"/>
          <w:color w:val="000000"/>
          <w:sz w:val="24"/>
          <w:szCs w:val="24"/>
        </w:rPr>
        <w:t>10</w:t>
      </w:r>
      <w:r w:rsidR="00EF2E94">
        <w:rPr>
          <w:rFonts w:eastAsia="Arial" w:cstheme="minorHAnsi"/>
          <w:color w:val="000000"/>
          <w:sz w:val="24"/>
          <w:szCs w:val="24"/>
        </w:rPr>
        <w:t xml:space="preserve"> years old</w:t>
      </w:r>
      <w:r w:rsidRPr="009D65A1">
        <w:rPr>
          <w:rFonts w:eastAsia="Arial" w:cstheme="minorHAnsi"/>
          <w:color w:val="000000"/>
          <w:sz w:val="24"/>
          <w:szCs w:val="24"/>
        </w:rPr>
        <w:t xml:space="preserve"> contributed YCS reports, and CYP reports are increasing </w:t>
      </w:r>
      <w:r w:rsidR="00EF2E94">
        <w:rPr>
          <w:rFonts w:eastAsia="Arial" w:cstheme="minorHAnsi"/>
          <w:color w:val="000000"/>
          <w:sz w:val="24"/>
          <w:szCs w:val="24"/>
        </w:rPr>
        <w:t>annually</w:t>
      </w:r>
      <w:r w:rsidRPr="009D65A1">
        <w:rPr>
          <w:rFonts w:eastAsia="Arial" w:cstheme="minorHAnsi"/>
          <w:color w:val="000000"/>
          <w:sz w:val="24"/>
          <w:szCs w:val="24"/>
        </w:rPr>
        <w:t xml:space="preserve">. </w:t>
      </w:r>
      <w:r w:rsidR="00120680">
        <w:rPr>
          <w:rFonts w:eastAsia="Arial" w:cstheme="minorHAnsi"/>
          <w:color w:val="000000"/>
          <w:sz w:val="24"/>
          <w:szCs w:val="24"/>
        </w:rPr>
        <w:t xml:space="preserve">Reports from </w:t>
      </w:r>
      <w:r>
        <w:rPr>
          <w:rFonts w:eastAsia="Arial" w:cstheme="minorHAnsi"/>
          <w:color w:val="000000"/>
          <w:sz w:val="24"/>
          <w:szCs w:val="24"/>
        </w:rPr>
        <w:t xml:space="preserve">CYP </w:t>
      </w:r>
      <w:r w:rsidR="00542598">
        <w:rPr>
          <w:rFonts w:eastAsia="Arial" w:cstheme="minorHAnsi"/>
          <w:color w:val="000000"/>
          <w:sz w:val="24"/>
          <w:szCs w:val="24"/>
        </w:rPr>
        <w:t>contain different</w:t>
      </w:r>
      <w:r w:rsidR="00120680">
        <w:rPr>
          <w:rFonts w:eastAsia="Arial" w:cstheme="minorHAnsi"/>
          <w:color w:val="000000"/>
          <w:sz w:val="24"/>
          <w:szCs w:val="24"/>
        </w:rPr>
        <w:t xml:space="preserve"> </w:t>
      </w:r>
      <w:r w:rsidR="00542598">
        <w:rPr>
          <w:rFonts w:eastAsia="Arial" w:cstheme="minorHAnsi"/>
          <w:color w:val="000000"/>
          <w:sz w:val="24"/>
          <w:szCs w:val="24"/>
        </w:rPr>
        <w:t xml:space="preserve">suspected </w:t>
      </w:r>
      <w:r w:rsidRPr="00A7522B">
        <w:rPr>
          <w:rFonts w:eastAsia="Arial" w:cstheme="minorHAnsi"/>
          <w:color w:val="000000"/>
          <w:sz w:val="24"/>
          <w:szCs w:val="24"/>
        </w:rPr>
        <w:t xml:space="preserve">medications </w:t>
      </w:r>
      <w:r w:rsidR="00120680">
        <w:rPr>
          <w:rFonts w:eastAsia="Arial" w:cstheme="minorHAnsi"/>
          <w:color w:val="000000"/>
          <w:sz w:val="24"/>
          <w:szCs w:val="24"/>
        </w:rPr>
        <w:t xml:space="preserve">and reactions </w:t>
      </w:r>
      <w:r w:rsidRPr="00A7522B">
        <w:rPr>
          <w:rFonts w:eastAsia="Arial" w:cstheme="minorHAnsi"/>
          <w:color w:val="000000"/>
          <w:sz w:val="24"/>
          <w:szCs w:val="24"/>
        </w:rPr>
        <w:t xml:space="preserve">compared to YCS </w:t>
      </w:r>
      <w:r w:rsidR="007F4DE2">
        <w:rPr>
          <w:rFonts w:eastAsia="Arial" w:cstheme="minorHAnsi"/>
          <w:color w:val="000000"/>
          <w:sz w:val="24"/>
          <w:szCs w:val="24"/>
        </w:rPr>
        <w:t>about</w:t>
      </w:r>
      <w:r w:rsidRPr="00A7522B">
        <w:rPr>
          <w:rFonts w:eastAsia="Arial" w:cstheme="minorHAnsi"/>
          <w:color w:val="000000"/>
          <w:sz w:val="24"/>
          <w:szCs w:val="24"/>
        </w:rPr>
        <w:t xml:space="preserve"> patients age &lt;19 years. </w:t>
      </w:r>
      <w:r w:rsidR="007F4DE2">
        <w:rPr>
          <w:rFonts w:eastAsia="Arial" w:cstheme="minorHAnsi"/>
          <w:color w:val="000000"/>
          <w:sz w:val="24"/>
          <w:szCs w:val="24"/>
        </w:rPr>
        <w:t xml:space="preserve">The most reported medicines on </w:t>
      </w:r>
      <w:r w:rsidRPr="00A7522B">
        <w:rPr>
          <w:rFonts w:eastAsia="Arial" w:cstheme="minorHAnsi"/>
          <w:color w:val="000000"/>
          <w:sz w:val="24"/>
          <w:szCs w:val="24"/>
        </w:rPr>
        <w:t xml:space="preserve">CYP </w:t>
      </w:r>
      <w:r w:rsidR="00A7522B">
        <w:rPr>
          <w:rFonts w:eastAsia="Arial" w:cstheme="minorHAnsi"/>
          <w:color w:val="000000"/>
          <w:sz w:val="24"/>
          <w:szCs w:val="24"/>
        </w:rPr>
        <w:t xml:space="preserve">generated </w:t>
      </w:r>
      <w:proofErr w:type="gramStart"/>
      <w:r w:rsidR="007F4DE2">
        <w:rPr>
          <w:rFonts w:eastAsia="Arial" w:cstheme="minorHAnsi"/>
          <w:color w:val="000000"/>
          <w:sz w:val="24"/>
          <w:szCs w:val="24"/>
        </w:rPr>
        <w:t xml:space="preserve">YCS </w:t>
      </w:r>
      <w:r w:rsidRPr="00A7522B">
        <w:rPr>
          <w:rFonts w:eastAsia="Arial" w:cstheme="minorHAnsi"/>
          <w:color w:val="000000"/>
          <w:sz w:val="24"/>
          <w:szCs w:val="24"/>
        </w:rPr>
        <w:t xml:space="preserve"> </w:t>
      </w:r>
      <w:r w:rsidR="007F4DE2">
        <w:rPr>
          <w:rFonts w:eastAsia="Arial" w:cstheme="minorHAnsi"/>
          <w:color w:val="000000"/>
          <w:sz w:val="24"/>
          <w:szCs w:val="24"/>
        </w:rPr>
        <w:t>were</w:t>
      </w:r>
      <w:proofErr w:type="gramEnd"/>
      <w:r w:rsidR="007F4DE2">
        <w:rPr>
          <w:rFonts w:eastAsia="Arial" w:cstheme="minorHAnsi"/>
          <w:color w:val="000000"/>
          <w:sz w:val="24"/>
          <w:szCs w:val="24"/>
        </w:rPr>
        <w:t xml:space="preserve"> </w:t>
      </w:r>
      <w:r w:rsidRPr="00A7522B">
        <w:rPr>
          <w:rFonts w:ascii="Calibri" w:hAnsi="Calibri"/>
          <w:color w:val="212121"/>
          <w:sz w:val="24"/>
          <w:szCs w:val="24"/>
          <w:shd w:val="clear" w:color="auto" w:fill="FFFFFF"/>
        </w:rPr>
        <w:t>adolescent vaccinations</w:t>
      </w:r>
      <w:r w:rsidR="00120680">
        <w:rPr>
          <w:rFonts w:ascii="Calibri" w:hAnsi="Calibri"/>
          <w:color w:val="212121"/>
          <w:sz w:val="24"/>
          <w:szCs w:val="24"/>
          <w:shd w:val="clear" w:color="auto" w:fill="FFFFFF"/>
        </w:rPr>
        <w:t xml:space="preserve"> (Human papilloma virus, n=69)</w:t>
      </w:r>
      <w:r w:rsidRPr="00A7522B">
        <w:rPr>
          <w:rFonts w:ascii="Calibri" w:hAnsi="Calibri"/>
          <w:color w:val="212121"/>
          <w:sz w:val="24"/>
          <w:szCs w:val="24"/>
          <w:shd w:val="clear" w:color="auto" w:fill="FFFFFF"/>
        </w:rPr>
        <w:t xml:space="preserve">, oral contraceptives, acne medication, anti-infectives, </w:t>
      </w:r>
      <w:r w:rsidR="006118A4">
        <w:rPr>
          <w:rFonts w:ascii="Calibri" w:hAnsi="Calibri"/>
          <w:color w:val="212121"/>
          <w:sz w:val="24"/>
          <w:szCs w:val="24"/>
          <w:shd w:val="clear" w:color="auto" w:fill="FFFFFF"/>
        </w:rPr>
        <w:t xml:space="preserve"> and </w:t>
      </w:r>
      <w:r w:rsidRPr="00A7522B">
        <w:rPr>
          <w:rFonts w:ascii="Calibri" w:hAnsi="Calibri"/>
          <w:color w:val="212121"/>
          <w:sz w:val="24"/>
          <w:szCs w:val="24"/>
          <w:shd w:val="clear" w:color="auto" w:fill="FFFFFF"/>
        </w:rPr>
        <w:t>antidepressants</w:t>
      </w:r>
      <w:r w:rsidR="006118A4">
        <w:rPr>
          <w:rFonts w:ascii="Calibri" w:hAnsi="Calibri"/>
          <w:color w:val="212121"/>
          <w:sz w:val="24"/>
          <w:szCs w:val="24"/>
          <w:shd w:val="clear" w:color="auto" w:fill="FFFFFF"/>
        </w:rPr>
        <w:t>.</w:t>
      </w:r>
      <w:r w:rsidRPr="00A7522B">
        <w:rPr>
          <w:rFonts w:eastAsia="Arial" w:cstheme="minorHAnsi"/>
          <w:color w:val="000000"/>
          <w:sz w:val="24"/>
          <w:szCs w:val="24"/>
        </w:rPr>
        <w:t xml:space="preserve"> </w:t>
      </w:r>
      <w:r w:rsidR="0009146C">
        <w:rPr>
          <w:rFonts w:eastAsia="Arial" w:cstheme="minorHAnsi"/>
          <w:color w:val="000000"/>
          <w:sz w:val="24"/>
          <w:szCs w:val="24"/>
        </w:rPr>
        <w:t xml:space="preserve">The most commonly reported suspected ADRs from </w:t>
      </w:r>
      <w:r w:rsidR="00120680">
        <w:rPr>
          <w:rFonts w:eastAsia="Arial" w:cstheme="minorHAnsi"/>
          <w:color w:val="000000"/>
          <w:sz w:val="24"/>
          <w:szCs w:val="24"/>
        </w:rPr>
        <w:t xml:space="preserve">CYP </w:t>
      </w:r>
      <w:r w:rsidR="0009146C">
        <w:rPr>
          <w:rFonts w:eastAsia="Arial" w:cstheme="minorHAnsi"/>
          <w:color w:val="000000"/>
          <w:sz w:val="24"/>
          <w:szCs w:val="24"/>
        </w:rPr>
        <w:t>were h</w:t>
      </w:r>
      <w:r w:rsidR="0009146C" w:rsidRPr="0009146C">
        <w:rPr>
          <w:rFonts w:eastAsia="Arial" w:cstheme="minorHAnsi"/>
          <w:color w:val="000000"/>
          <w:sz w:val="24"/>
          <w:szCs w:val="24"/>
        </w:rPr>
        <w:t>eadache</w:t>
      </w:r>
      <w:r w:rsidR="0009146C">
        <w:rPr>
          <w:rFonts w:eastAsia="Arial" w:cstheme="minorHAnsi"/>
          <w:color w:val="000000"/>
          <w:sz w:val="24"/>
          <w:szCs w:val="24"/>
        </w:rPr>
        <w:t xml:space="preserve"> (n=107), n</w:t>
      </w:r>
      <w:r w:rsidR="0009146C" w:rsidRPr="0009146C">
        <w:rPr>
          <w:rFonts w:eastAsia="Arial" w:cstheme="minorHAnsi"/>
          <w:color w:val="000000"/>
          <w:sz w:val="24"/>
          <w:szCs w:val="24"/>
        </w:rPr>
        <w:t>ausea</w:t>
      </w:r>
      <w:r w:rsidR="0009146C">
        <w:rPr>
          <w:rFonts w:eastAsia="Arial" w:cstheme="minorHAnsi"/>
          <w:color w:val="000000"/>
          <w:sz w:val="24"/>
          <w:szCs w:val="24"/>
        </w:rPr>
        <w:t xml:space="preserve"> and fatigue. CYP </w:t>
      </w:r>
      <w:r w:rsidR="00120680">
        <w:rPr>
          <w:rFonts w:eastAsia="Arial" w:cstheme="minorHAnsi"/>
          <w:color w:val="000000"/>
          <w:sz w:val="24"/>
          <w:szCs w:val="24"/>
        </w:rPr>
        <w:t>generated report</w:t>
      </w:r>
      <w:r w:rsidR="006118A4">
        <w:rPr>
          <w:rFonts w:eastAsia="Arial" w:cstheme="minorHAnsi"/>
          <w:color w:val="000000"/>
          <w:sz w:val="24"/>
          <w:szCs w:val="24"/>
        </w:rPr>
        <w:t xml:space="preserve">s </w:t>
      </w:r>
      <w:r w:rsidR="0009146C">
        <w:rPr>
          <w:rFonts w:eastAsia="Arial" w:cstheme="minorHAnsi"/>
          <w:color w:val="000000"/>
          <w:sz w:val="24"/>
          <w:szCs w:val="24"/>
        </w:rPr>
        <w:t xml:space="preserve">additional </w:t>
      </w:r>
      <w:r w:rsidR="007112D2">
        <w:rPr>
          <w:rFonts w:eastAsia="Arial" w:cstheme="minorHAnsi"/>
          <w:color w:val="000000"/>
          <w:sz w:val="24"/>
          <w:szCs w:val="24"/>
        </w:rPr>
        <w:t>suspected ADRs</w:t>
      </w:r>
      <w:r w:rsidR="0009146C">
        <w:rPr>
          <w:rFonts w:eastAsia="Arial" w:cstheme="minorHAnsi"/>
          <w:color w:val="000000"/>
          <w:sz w:val="24"/>
          <w:szCs w:val="24"/>
        </w:rPr>
        <w:t xml:space="preserve"> compared to adult reports about CYP</w:t>
      </w:r>
      <w:r w:rsidR="007112D2">
        <w:rPr>
          <w:rFonts w:eastAsia="Arial" w:cstheme="minorHAnsi"/>
          <w:color w:val="000000"/>
          <w:sz w:val="24"/>
          <w:szCs w:val="24"/>
        </w:rPr>
        <w:t xml:space="preserve">, including </w:t>
      </w:r>
      <w:r w:rsidR="00120680">
        <w:rPr>
          <w:rFonts w:eastAsia="Arial" w:cstheme="minorHAnsi"/>
          <w:color w:val="000000"/>
          <w:sz w:val="24"/>
          <w:szCs w:val="24"/>
        </w:rPr>
        <w:t>depression</w:t>
      </w:r>
      <w:r w:rsidR="006118A4">
        <w:rPr>
          <w:rFonts w:eastAsia="Arial" w:cstheme="minorHAnsi"/>
          <w:color w:val="000000"/>
          <w:sz w:val="24"/>
          <w:szCs w:val="24"/>
        </w:rPr>
        <w:t xml:space="preserve">, anxiety and suicidal ideation. </w:t>
      </w:r>
      <w:r w:rsidR="000C5819" w:rsidRPr="005001DB">
        <w:rPr>
          <w:rFonts w:cstheme="minorHAnsi"/>
          <w:color w:val="000000" w:themeColor="text1"/>
          <w:sz w:val="24"/>
          <w:szCs w:val="24"/>
        </w:rPr>
        <w:t xml:space="preserve">Phase I </w:t>
      </w:r>
      <w:r w:rsidR="0009146C">
        <w:rPr>
          <w:rFonts w:cstheme="minorHAnsi"/>
          <w:color w:val="000000" w:themeColor="text1"/>
          <w:sz w:val="24"/>
          <w:szCs w:val="24"/>
        </w:rPr>
        <w:t xml:space="preserve">of the consultation with CYP </w:t>
      </w:r>
      <w:r w:rsidR="000C5819" w:rsidRPr="005001DB">
        <w:rPr>
          <w:rFonts w:cstheme="minorHAnsi"/>
          <w:color w:val="000000" w:themeColor="text1"/>
          <w:sz w:val="24"/>
          <w:szCs w:val="24"/>
        </w:rPr>
        <w:t xml:space="preserve">identified </w:t>
      </w:r>
      <w:r w:rsidR="00BD6B94">
        <w:rPr>
          <w:rFonts w:cstheme="minorHAnsi"/>
          <w:color w:val="000000" w:themeColor="text1"/>
          <w:sz w:val="24"/>
          <w:szCs w:val="24"/>
        </w:rPr>
        <w:t>divergent i</w:t>
      </w:r>
      <w:r w:rsidR="00436B0C" w:rsidRPr="005001DB">
        <w:rPr>
          <w:rFonts w:cstheme="minorHAnsi"/>
          <w:color w:val="000000" w:themeColor="text1"/>
          <w:sz w:val="24"/>
          <w:szCs w:val="24"/>
        </w:rPr>
        <w:t>nformation</w:t>
      </w:r>
      <w:r w:rsidR="000C5819" w:rsidRPr="005001DB">
        <w:rPr>
          <w:rFonts w:eastAsia="Arial" w:cstheme="minorHAnsi"/>
          <w:color w:val="000000"/>
          <w:sz w:val="24"/>
          <w:szCs w:val="24"/>
        </w:rPr>
        <w:t xml:space="preserve"> </w:t>
      </w:r>
      <w:r w:rsidR="00BD6B94">
        <w:rPr>
          <w:rFonts w:eastAsia="Arial" w:cstheme="minorHAnsi"/>
          <w:color w:val="000000"/>
          <w:sz w:val="24"/>
          <w:szCs w:val="24"/>
        </w:rPr>
        <w:t xml:space="preserve">needs </w:t>
      </w:r>
      <w:r w:rsidR="00B47206">
        <w:rPr>
          <w:rFonts w:eastAsia="Arial" w:cstheme="minorHAnsi"/>
          <w:color w:val="000000"/>
          <w:sz w:val="24"/>
          <w:szCs w:val="24"/>
        </w:rPr>
        <w:t xml:space="preserve">for </w:t>
      </w:r>
      <w:r w:rsidR="00BD6B94">
        <w:rPr>
          <w:rFonts w:eastAsia="Arial" w:cstheme="minorHAnsi"/>
          <w:color w:val="000000"/>
          <w:sz w:val="24"/>
          <w:szCs w:val="24"/>
        </w:rPr>
        <w:t>&lt;</w:t>
      </w:r>
      <w:r w:rsidR="000C5819" w:rsidRPr="005001DB">
        <w:rPr>
          <w:rFonts w:eastAsia="Arial" w:cstheme="minorHAnsi"/>
          <w:color w:val="000000"/>
          <w:sz w:val="24"/>
          <w:szCs w:val="24"/>
        </w:rPr>
        <w:t>11 and 12-18 year olds. Phase II-V</w:t>
      </w:r>
      <w:r w:rsidR="00BD6B94">
        <w:rPr>
          <w:rFonts w:eastAsia="Arial" w:cstheme="minorHAnsi"/>
          <w:color w:val="000000"/>
          <w:sz w:val="24"/>
          <w:szCs w:val="24"/>
        </w:rPr>
        <w:t>I updated</w:t>
      </w:r>
      <w:r w:rsidR="000C5819" w:rsidRPr="005001DB">
        <w:rPr>
          <w:rFonts w:eastAsia="Arial" w:cstheme="minorHAnsi"/>
          <w:color w:val="000000"/>
          <w:sz w:val="24"/>
          <w:szCs w:val="24"/>
        </w:rPr>
        <w:t xml:space="preserve"> </w:t>
      </w:r>
      <w:r w:rsidR="00EA365B">
        <w:rPr>
          <w:rFonts w:eastAsia="Arial" w:cstheme="minorHAnsi"/>
          <w:color w:val="000000"/>
          <w:sz w:val="24"/>
          <w:szCs w:val="24"/>
        </w:rPr>
        <w:t xml:space="preserve">and improved </w:t>
      </w:r>
      <w:r w:rsidR="000C5819" w:rsidRPr="005001DB">
        <w:rPr>
          <w:rFonts w:eastAsia="Arial" w:cstheme="minorHAnsi"/>
          <w:color w:val="000000"/>
          <w:sz w:val="24"/>
          <w:szCs w:val="24"/>
        </w:rPr>
        <w:t xml:space="preserve">the </w:t>
      </w:r>
      <w:r w:rsidR="00B47206">
        <w:rPr>
          <w:rFonts w:eastAsia="Arial" w:cstheme="minorHAnsi"/>
          <w:color w:val="000000"/>
          <w:sz w:val="24"/>
          <w:szCs w:val="24"/>
        </w:rPr>
        <w:t xml:space="preserve">information </w:t>
      </w:r>
      <w:r w:rsidR="000C5819" w:rsidRPr="005001DB">
        <w:rPr>
          <w:rFonts w:eastAsia="Arial" w:cstheme="minorHAnsi"/>
          <w:color w:val="000000"/>
          <w:sz w:val="24"/>
          <w:szCs w:val="24"/>
        </w:rPr>
        <w:t>for both age groups</w:t>
      </w:r>
      <w:r w:rsidR="00BD6B94">
        <w:rPr>
          <w:rFonts w:eastAsia="Arial" w:cstheme="minorHAnsi"/>
          <w:color w:val="000000"/>
          <w:sz w:val="24"/>
          <w:szCs w:val="24"/>
        </w:rPr>
        <w:t>.</w:t>
      </w:r>
      <w:r w:rsidR="00A50D41">
        <w:rPr>
          <w:rFonts w:eastAsia="Arial" w:cstheme="minorHAnsi"/>
          <w:color w:val="000000"/>
          <w:sz w:val="24"/>
          <w:szCs w:val="24"/>
        </w:rPr>
        <w:t xml:space="preserve"> Overall, more than 300 CYP contributed to the development of the information.</w:t>
      </w:r>
    </w:p>
    <w:p w14:paraId="20D2ABEF" w14:textId="72250D82" w:rsidR="000C5819" w:rsidRPr="005001DB" w:rsidRDefault="000C5819" w:rsidP="00A247A9">
      <w:pPr>
        <w:spacing w:after="0" w:line="360" w:lineRule="auto"/>
        <w:rPr>
          <w:rFonts w:cstheme="minorHAnsi"/>
          <w:sz w:val="24"/>
          <w:szCs w:val="24"/>
        </w:rPr>
      </w:pPr>
    </w:p>
    <w:p w14:paraId="163D52C3" w14:textId="2C2792FF" w:rsidR="007B2D97" w:rsidRPr="007B2D97" w:rsidRDefault="007B2D97" w:rsidP="00A247A9">
      <w:pPr>
        <w:spacing w:after="0" w:line="360" w:lineRule="auto"/>
        <w:rPr>
          <w:rFonts w:cstheme="minorHAnsi"/>
          <w:b/>
          <w:color w:val="000000" w:themeColor="text1"/>
          <w:sz w:val="24"/>
          <w:szCs w:val="24"/>
        </w:rPr>
      </w:pPr>
      <w:proofErr w:type="spellStart"/>
      <w:r w:rsidRPr="007B2D97">
        <w:rPr>
          <w:rFonts w:cstheme="minorHAnsi"/>
          <w:b/>
          <w:color w:val="000000" w:themeColor="text1"/>
          <w:sz w:val="24"/>
          <w:szCs w:val="24"/>
        </w:rPr>
        <w:t>Conculsion</w:t>
      </w:r>
      <w:proofErr w:type="spellEnd"/>
    </w:p>
    <w:p w14:paraId="0B511103" w14:textId="77777777" w:rsidR="00C721A8" w:rsidRDefault="00C721A8" w:rsidP="00C721A8">
      <w:pPr>
        <w:spacing w:after="0" w:line="360" w:lineRule="auto"/>
        <w:rPr>
          <w:rFonts w:cstheme="minorHAnsi"/>
          <w:color w:val="000000" w:themeColor="text1"/>
          <w:sz w:val="24"/>
          <w:szCs w:val="24"/>
        </w:rPr>
      </w:pPr>
      <w:r>
        <w:rPr>
          <w:rFonts w:cstheme="minorHAnsi"/>
          <w:color w:val="000000" w:themeColor="text1"/>
          <w:sz w:val="24"/>
          <w:szCs w:val="24"/>
        </w:rPr>
        <w:t>CYPs contribution to the YCS is limited, but increasing, and demonstrated distinct patterns of suspected medications and reactions.  A</w:t>
      </w:r>
      <w:r w:rsidRPr="005001DB">
        <w:rPr>
          <w:rFonts w:cstheme="minorHAnsi"/>
          <w:color w:val="000000" w:themeColor="text1"/>
          <w:sz w:val="24"/>
          <w:szCs w:val="24"/>
        </w:rPr>
        <w:t xml:space="preserve">ge appropriate information </w:t>
      </w:r>
      <w:r>
        <w:rPr>
          <w:rFonts w:cstheme="minorHAnsi"/>
          <w:color w:val="000000" w:themeColor="text1"/>
          <w:sz w:val="24"/>
          <w:szCs w:val="24"/>
        </w:rPr>
        <w:t>for</w:t>
      </w:r>
      <w:r w:rsidRPr="005001DB">
        <w:rPr>
          <w:rFonts w:cstheme="minorHAnsi"/>
          <w:color w:val="000000" w:themeColor="text1"/>
          <w:sz w:val="24"/>
          <w:szCs w:val="24"/>
        </w:rPr>
        <w:t xml:space="preserve"> </w:t>
      </w:r>
      <w:r>
        <w:rPr>
          <w:rFonts w:cstheme="minorHAnsi"/>
          <w:color w:val="000000" w:themeColor="text1"/>
          <w:sz w:val="24"/>
          <w:szCs w:val="24"/>
        </w:rPr>
        <w:t>CYP to aid reporting of suspected ADRs has been developed</w:t>
      </w:r>
      <w:r w:rsidRPr="005001DB">
        <w:rPr>
          <w:rFonts w:cstheme="minorHAnsi"/>
          <w:color w:val="000000" w:themeColor="text1"/>
          <w:sz w:val="24"/>
          <w:szCs w:val="24"/>
        </w:rPr>
        <w:t xml:space="preserve">. </w:t>
      </w:r>
      <w:r>
        <w:rPr>
          <w:rFonts w:cstheme="minorHAnsi"/>
          <w:color w:val="000000" w:themeColor="text1"/>
          <w:sz w:val="24"/>
          <w:szCs w:val="24"/>
        </w:rPr>
        <w:t xml:space="preserve"> </w:t>
      </w:r>
    </w:p>
    <w:p w14:paraId="72C084CC" w14:textId="77777777" w:rsidR="005001DB" w:rsidRDefault="005001DB" w:rsidP="00A247A9">
      <w:pPr>
        <w:spacing w:after="0" w:line="360" w:lineRule="auto"/>
        <w:rPr>
          <w:rFonts w:cstheme="minorHAnsi"/>
          <w:color w:val="000000" w:themeColor="text1"/>
          <w:sz w:val="24"/>
          <w:szCs w:val="24"/>
        </w:rPr>
      </w:pPr>
    </w:p>
    <w:p w14:paraId="5EB372FB" w14:textId="442F08C6" w:rsidR="005001DB" w:rsidRDefault="005D1AB6" w:rsidP="00A247A9">
      <w:pPr>
        <w:spacing w:after="0" w:line="360" w:lineRule="auto"/>
        <w:rPr>
          <w:rFonts w:cstheme="minorHAnsi"/>
          <w:color w:val="000000" w:themeColor="text1"/>
          <w:sz w:val="24"/>
          <w:szCs w:val="24"/>
        </w:rPr>
      </w:pPr>
      <w:r>
        <w:rPr>
          <w:rFonts w:cstheme="minorHAnsi"/>
          <w:color w:val="000000" w:themeColor="text1"/>
          <w:sz w:val="24"/>
          <w:szCs w:val="24"/>
        </w:rPr>
        <w:t xml:space="preserve">Word count = </w:t>
      </w:r>
      <w:r w:rsidR="00C721A8">
        <w:rPr>
          <w:rFonts w:cstheme="minorHAnsi"/>
          <w:color w:val="000000" w:themeColor="text1"/>
          <w:sz w:val="24"/>
          <w:szCs w:val="24"/>
        </w:rPr>
        <w:t>241</w:t>
      </w:r>
      <w:r w:rsidR="007B2D97">
        <w:rPr>
          <w:rFonts w:cstheme="minorHAnsi"/>
          <w:color w:val="000000" w:themeColor="text1"/>
          <w:sz w:val="24"/>
          <w:szCs w:val="24"/>
        </w:rPr>
        <w:t>/250</w:t>
      </w:r>
    </w:p>
    <w:p w14:paraId="2ACBAE62" w14:textId="33DF854D" w:rsidR="00924F92" w:rsidRDefault="00924F92" w:rsidP="00050AF6">
      <w:pPr>
        <w:spacing w:after="0" w:line="240" w:lineRule="auto"/>
        <w:rPr>
          <w:rStyle w:val="Heading1Char"/>
        </w:rPr>
      </w:pPr>
      <w:r w:rsidRPr="00964F2C">
        <w:rPr>
          <w:rStyle w:val="Heading1Char"/>
        </w:rPr>
        <w:lastRenderedPageBreak/>
        <w:t>Introduction</w:t>
      </w:r>
    </w:p>
    <w:p w14:paraId="4E91CF5B" w14:textId="77777777" w:rsidR="00811D04" w:rsidRPr="00E7761B" w:rsidRDefault="00811D04" w:rsidP="00050AF6">
      <w:pPr>
        <w:spacing w:after="0" w:line="240" w:lineRule="auto"/>
        <w:rPr>
          <w:rFonts w:cstheme="minorHAnsi"/>
          <w:b/>
          <w:color w:val="000000" w:themeColor="text1"/>
        </w:rPr>
      </w:pPr>
    </w:p>
    <w:p w14:paraId="70F393F3" w14:textId="7D2E08A6" w:rsidR="00C26DE3" w:rsidRPr="008A0501" w:rsidRDefault="00FE4147" w:rsidP="00146CA7">
      <w:pPr>
        <w:spacing w:line="360" w:lineRule="auto"/>
        <w:rPr>
          <w:rFonts w:eastAsia="Arial" w:cs="Times New Roman"/>
          <w:color w:val="000000"/>
          <w:sz w:val="24"/>
          <w:szCs w:val="24"/>
        </w:rPr>
      </w:pPr>
      <w:r w:rsidRPr="008A0501">
        <w:rPr>
          <w:sz w:val="24"/>
          <w:szCs w:val="24"/>
        </w:rPr>
        <w:t xml:space="preserve">The </w:t>
      </w:r>
      <w:r w:rsidR="00C26DE3" w:rsidRPr="008A0501">
        <w:rPr>
          <w:sz w:val="24"/>
          <w:szCs w:val="24"/>
        </w:rPr>
        <w:t xml:space="preserve">Medicines and Healthcare Regulatory Agency’s </w:t>
      </w:r>
      <w:r w:rsidR="00443948" w:rsidRPr="008A0501">
        <w:rPr>
          <w:sz w:val="24"/>
          <w:szCs w:val="24"/>
        </w:rPr>
        <w:t xml:space="preserve">(MHRA) </w:t>
      </w:r>
      <w:r w:rsidR="00C26DE3" w:rsidRPr="008A0501">
        <w:rPr>
          <w:sz w:val="24"/>
          <w:szCs w:val="24"/>
        </w:rPr>
        <w:t>Y</w:t>
      </w:r>
      <w:r w:rsidRPr="008A0501">
        <w:rPr>
          <w:sz w:val="24"/>
          <w:szCs w:val="24"/>
        </w:rPr>
        <w:t xml:space="preserve">ellow </w:t>
      </w:r>
      <w:r w:rsidR="00C26DE3" w:rsidRPr="008A0501">
        <w:rPr>
          <w:sz w:val="24"/>
          <w:szCs w:val="24"/>
        </w:rPr>
        <w:t>C</w:t>
      </w:r>
      <w:r w:rsidRPr="008A0501">
        <w:rPr>
          <w:sz w:val="24"/>
          <w:szCs w:val="24"/>
        </w:rPr>
        <w:t>ard s</w:t>
      </w:r>
      <w:r w:rsidR="00C26DE3" w:rsidRPr="008A0501">
        <w:rPr>
          <w:sz w:val="24"/>
          <w:szCs w:val="24"/>
        </w:rPr>
        <w:t>cheme</w:t>
      </w:r>
      <w:r w:rsidRPr="008A0501">
        <w:rPr>
          <w:sz w:val="24"/>
          <w:szCs w:val="24"/>
        </w:rPr>
        <w:t xml:space="preserve"> </w:t>
      </w:r>
      <w:r w:rsidR="00C26DE3" w:rsidRPr="008A0501">
        <w:rPr>
          <w:sz w:val="24"/>
          <w:szCs w:val="24"/>
        </w:rPr>
        <w:t>(</w:t>
      </w:r>
      <w:r w:rsidR="000D2CD1" w:rsidRPr="008A0501">
        <w:rPr>
          <w:sz w:val="24"/>
          <w:szCs w:val="24"/>
        </w:rPr>
        <w:t>YCS</w:t>
      </w:r>
      <w:r w:rsidR="00C26DE3" w:rsidRPr="008A0501">
        <w:rPr>
          <w:sz w:val="24"/>
          <w:szCs w:val="24"/>
        </w:rPr>
        <w:t xml:space="preserve">) </w:t>
      </w:r>
      <w:r w:rsidR="00071A79" w:rsidRPr="008A0501">
        <w:rPr>
          <w:sz w:val="24"/>
          <w:szCs w:val="24"/>
        </w:rPr>
        <w:t xml:space="preserve">collects </w:t>
      </w:r>
      <w:r w:rsidRPr="008A0501">
        <w:rPr>
          <w:sz w:val="24"/>
          <w:szCs w:val="24"/>
        </w:rPr>
        <w:t>spontaneous report</w:t>
      </w:r>
      <w:r w:rsidR="00C26DE3" w:rsidRPr="008A0501">
        <w:rPr>
          <w:sz w:val="24"/>
          <w:szCs w:val="24"/>
        </w:rPr>
        <w:t>s about</w:t>
      </w:r>
      <w:r w:rsidRPr="008A0501">
        <w:rPr>
          <w:rFonts w:eastAsia="Arial" w:cs="Times New Roman"/>
          <w:color w:val="000000"/>
          <w:sz w:val="24"/>
          <w:szCs w:val="24"/>
        </w:rPr>
        <w:t xml:space="preserve"> suspected </w:t>
      </w:r>
      <w:r w:rsidR="00C26DE3" w:rsidRPr="008A0501">
        <w:rPr>
          <w:rFonts w:eastAsia="Arial" w:cs="Times New Roman"/>
          <w:color w:val="000000"/>
          <w:sz w:val="24"/>
          <w:szCs w:val="24"/>
        </w:rPr>
        <w:t xml:space="preserve">adverse drug reactions (ADRs) from a range of stakeholders </w:t>
      </w:r>
      <w:r w:rsidR="00C04B19" w:rsidRPr="008A0501">
        <w:rPr>
          <w:rFonts w:eastAsia="Arial" w:cs="Times New Roman"/>
          <w:color w:val="000000"/>
          <w:sz w:val="24"/>
          <w:szCs w:val="24"/>
        </w:rPr>
        <w:t xml:space="preserve">in the UK, </w:t>
      </w:r>
      <w:r w:rsidR="00C26DE3" w:rsidRPr="008A0501">
        <w:rPr>
          <w:rFonts w:eastAsia="Arial" w:cs="Times New Roman"/>
          <w:color w:val="000000"/>
          <w:sz w:val="24"/>
          <w:szCs w:val="24"/>
        </w:rPr>
        <w:t xml:space="preserve">including </w:t>
      </w:r>
      <w:r w:rsidR="00782618" w:rsidRPr="008A0501">
        <w:rPr>
          <w:rFonts w:eastAsia="Arial" w:cs="Times New Roman"/>
          <w:color w:val="000000"/>
          <w:sz w:val="24"/>
          <w:szCs w:val="24"/>
        </w:rPr>
        <w:t>healthcare professionals</w:t>
      </w:r>
      <w:r w:rsidR="00C26DE3" w:rsidRPr="008A0501">
        <w:rPr>
          <w:rFonts w:eastAsia="Arial" w:cs="Times New Roman"/>
          <w:color w:val="000000"/>
          <w:sz w:val="24"/>
          <w:szCs w:val="24"/>
        </w:rPr>
        <w:t>, patients</w:t>
      </w:r>
      <w:r w:rsidR="00782618" w:rsidRPr="008A0501">
        <w:rPr>
          <w:rFonts w:eastAsia="Arial" w:cs="Times New Roman"/>
          <w:color w:val="000000"/>
          <w:sz w:val="24"/>
          <w:szCs w:val="24"/>
        </w:rPr>
        <w:t>, parents,</w:t>
      </w:r>
      <w:r w:rsidR="00C26DE3" w:rsidRPr="008A0501">
        <w:rPr>
          <w:rFonts w:eastAsia="Arial" w:cs="Times New Roman"/>
          <w:color w:val="000000"/>
          <w:sz w:val="24"/>
          <w:szCs w:val="24"/>
        </w:rPr>
        <w:t xml:space="preserve"> and carers. </w:t>
      </w:r>
      <w:r w:rsidR="0070783D" w:rsidRPr="008A0501">
        <w:rPr>
          <w:rFonts w:eastAsia="Arial" w:cs="Times New Roman"/>
          <w:color w:val="000000"/>
          <w:sz w:val="24"/>
          <w:szCs w:val="24"/>
        </w:rPr>
        <w:t xml:space="preserve">Patient and carer reports have increased since their introduction in 2005, and </w:t>
      </w:r>
      <w:r w:rsidR="00782618" w:rsidRPr="008A0501">
        <w:rPr>
          <w:rFonts w:eastAsia="Arial" w:cs="Times New Roman"/>
          <w:color w:val="000000"/>
          <w:sz w:val="24"/>
          <w:szCs w:val="24"/>
        </w:rPr>
        <w:t xml:space="preserve">have increased to </w:t>
      </w:r>
      <w:r w:rsidR="0070783D" w:rsidRPr="008A0501">
        <w:rPr>
          <w:rFonts w:eastAsia="Arial" w:cs="Times New Roman"/>
          <w:color w:val="000000"/>
          <w:sz w:val="24"/>
          <w:szCs w:val="24"/>
        </w:rPr>
        <w:t xml:space="preserve">constitute </w:t>
      </w:r>
      <w:r w:rsidR="00717398" w:rsidRPr="008A0501">
        <w:rPr>
          <w:rFonts w:eastAsia="Arial" w:cs="Times New Roman"/>
          <w:color w:val="000000"/>
          <w:sz w:val="24"/>
          <w:szCs w:val="24"/>
        </w:rPr>
        <w:t xml:space="preserve">approximately </w:t>
      </w:r>
      <w:r w:rsidR="0070783D" w:rsidRPr="008A0501">
        <w:rPr>
          <w:rFonts w:eastAsia="Arial" w:cs="Times New Roman"/>
          <w:color w:val="000000"/>
          <w:sz w:val="24"/>
          <w:szCs w:val="24"/>
        </w:rPr>
        <w:t>20</w:t>
      </w:r>
      <w:r w:rsidR="00C26DE3" w:rsidRPr="008A0501">
        <w:rPr>
          <w:rFonts w:eastAsia="Arial" w:cs="Times New Roman"/>
          <w:color w:val="000000"/>
          <w:sz w:val="24"/>
          <w:szCs w:val="24"/>
        </w:rPr>
        <w:t xml:space="preserve">% of all </w:t>
      </w:r>
      <w:r w:rsidR="001D00CA" w:rsidRPr="008A0501">
        <w:rPr>
          <w:rFonts w:eastAsia="Arial" w:cs="Times New Roman"/>
          <w:color w:val="000000"/>
          <w:sz w:val="24"/>
          <w:szCs w:val="24"/>
        </w:rPr>
        <w:t xml:space="preserve">YCS </w:t>
      </w:r>
      <w:r w:rsidR="00C26DE3" w:rsidRPr="008A0501">
        <w:rPr>
          <w:rFonts w:eastAsia="Arial" w:cs="Times New Roman"/>
          <w:color w:val="000000"/>
          <w:sz w:val="24"/>
          <w:szCs w:val="24"/>
        </w:rPr>
        <w:t xml:space="preserve">reports received </w:t>
      </w:r>
      <w:r w:rsidR="0070783D" w:rsidRPr="008A0501">
        <w:rPr>
          <w:rFonts w:eastAsia="Arial" w:cs="Times New Roman"/>
          <w:color w:val="000000"/>
          <w:sz w:val="24"/>
          <w:szCs w:val="24"/>
        </w:rPr>
        <w:t xml:space="preserve">annually </w:t>
      </w:r>
      <w:r w:rsidR="00717398" w:rsidRPr="008A0501">
        <w:rPr>
          <w:rFonts w:eastAsia="Arial" w:cs="Times New Roman"/>
          <w:color w:val="000000"/>
          <w:sz w:val="24"/>
          <w:szCs w:val="24"/>
        </w:rPr>
        <w:fldChar w:fldCharType="begin"/>
      </w:r>
      <w:r w:rsidR="00717398" w:rsidRPr="008A0501">
        <w:rPr>
          <w:rFonts w:eastAsia="Arial" w:cs="Times New Roman"/>
          <w:color w:val="000000"/>
          <w:sz w:val="24"/>
          <w:szCs w:val="24"/>
        </w:rPr>
        <w:instrText xml:space="preserve"> ADDIN EN.CITE &lt;EndNote&gt;&lt;Cite&gt;&lt;Author&gt;McLernon&lt;/Author&gt;&lt;Year&gt;2010&lt;/Year&gt;&lt;RecNum&gt;1&lt;/RecNum&gt;&lt;DisplayText&gt;[1]&lt;/DisplayText&gt;&lt;record&gt;&lt;rec-number&gt;1&lt;/rec-number&gt;&lt;foreign-keys&gt;&lt;key app="EN" db-id="vfz5x9saseddeqea0zrx2z0idp0sx02e5t9t" timestamp="1540475700"&gt;1&lt;/key&gt;&lt;/foreign-keys&gt;&lt;ref-type name="Journal Article"&gt;17&lt;/ref-type&gt;&lt;contributors&gt;&lt;authors&gt;&lt;author&gt;McLernon, David J.&lt;/author&gt;&lt;author&gt;Bond, Christine M.&lt;/author&gt;&lt;author&gt;Hannaford, Philip C.&lt;/author&gt;&lt;author&gt;Watson, Margaret C.&lt;/author&gt;&lt;author&gt;Lee, Amanda J.&lt;/author&gt;&lt;author&gt;Hazell, Lorna&lt;/author&gt;&lt;author&gt;Avery, Anthony&lt;/author&gt;&lt;author&gt;Yellow Card Collaboration&lt;/author&gt;&lt;/authors&gt;&lt;/contributors&gt;&lt;titles&gt;&lt;title&gt;Adverse Drug Reaction Reporting in the UK&lt;/title&gt;&lt;secondary-title&gt;Drug Safety&lt;/secondary-title&gt;&lt;/titles&gt;&lt;periodical&gt;&lt;full-title&gt;Drug Safety&lt;/full-title&gt;&lt;/periodical&gt;&lt;pages&gt;775-788&lt;/pages&gt;&lt;volume&gt;33&lt;/volume&gt;&lt;number&gt;9&lt;/number&gt;&lt;dates&gt;&lt;year&gt;2010&lt;/year&gt;&lt;pub-dates&gt;&lt;date&gt;September 01&lt;/date&gt;&lt;/pub-dates&gt;&lt;/dates&gt;&lt;isbn&gt;1179-1942&lt;/isbn&gt;&lt;label&gt;McLernon2010&lt;/label&gt;&lt;work-type&gt;journal article&lt;/work-type&gt;&lt;urls&gt;&lt;related-urls&gt;&lt;url&gt;https://doi.org/10.2165/11536510-000000000-00000&lt;/url&gt;&lt;/related-urls&gt;&lt;/urls&gt;&lt;electronic-resource-num&gt;10.2165/11536510-000000000-00000&lt;/electronic-resource-num&gt;&lt;/record&gt;&lt;/Cite&gt;&lt;/EndNote&gt;</w:instrText>
      </w:r>
      <w:r w:rsidR="00717398" w:rsidRPr="008A0501">
        <w:rPr>
          <w:rFonts w:eastAsia="Arial" w:cs="Times New Roman"/>
          <w:color w:val="000000"/>
          <w:sz w:val="24"/>
          <w:szCs w:val="24"/>
        </w:rPr>
        <w:fldChar w:fldCharType="separate"/>
      </w:r>
      <w:r w:rsidR="00717398" w:rsidRPr="008A0501">
        <w:rPr>
          <w:rFonts w:eastAsia="Arial" w:cs="Times New Roman"/>
          <w:noProof/>
          <w:color w:val="000000"/>
          <w:sz w:val="24"/>
          <w:szCs w:val="24"/>
        </w:rPr>
        <w:t>[1]</w:t>
      </w:r>
      <w:r w:rsidR="00717398" w:rsidRPr="008A0501">
        <w:rPr>
          <w:rFonts w:eastAsia="Arial" w:cs="Times New Roman"/>
          <w:color w:val="000000"/>
          <w:sz w:val="24"/>
          <w:szCs w:val="24"/>
        </w:rPr>
        <w:fldChar w:fldCharType="end"/>
      </w:r>
      <w:r w:rsidR="00701639" w:rsidRPr="008A0501">
        <w:rPr>
          <w:rFonts w:eastAsia="Arial" w:cs="Times New Roman"/>
          <w:color w:val="000000"/>
          <w:sz w:val="24"/>
          <w:szCs w:val="24"/>
        </w:rPr>
        <w:t>.</w:t>
      </w:r>
      <w:r w:rsidR="00717398" w:rsidRPr="008A0501">
        <w:rPr>
          <w:rFonts w:eastAsia="Arial" w:cs="Times New Roman"/>
          <w:color w:val="000000"/>
          <w:sz w:val="24"/>
          <w:szCs w:val="24"/>
        </w:rPr>
        <w:t xml:space="preserve"> </w:t>
      </w:r>
      <w:r w:rsidR="00701639" w:rsidRPr="008A0501">
        <w:rPr>
          <w:rFonts w:eastAsia="Arial" w:cs="Times New Roman"/>
          <w:color w:val="000000"/>
          <w:sz w:val="24"/>
          <w:szCs w:val="24"/>
        </w:rPr>
        <w:t xml:space="preserve">The quality of patient reports is similar to physician generated reports </w:t>
      </w:r>
      <w:r w:rsidR="00701639" w:rsidRPr="008A0501">
        <w:rPr>
          <w:rFonts w:eastAsia="Arial" w:cs="Times New Roman"/>
          <w:color w:val="000000"/>
          <w:sz w:val="24"/>
          <w:szCs w:val="24"/>
        </w:rPr>
        <w:fldChar w:fldCharType="begin"/>
      </w:r>
      <w:r w:rsidR="00701639" w:rsidRPr="008A0501">
        <w:rPr>
          <w:rFonts w:eastAsia="Arial" w:cs="Times New Roman"/>
          <w:color w:val="000000"/>
          <w:sz w:val="24"/>
          <w:szCs w:val="24"/>
        </w:rPr>
        <w:instrText xml:space="preserve"> ADDIN EN.CITE &lt;EndNote&gt;&lt;Cite&gt;&lt;Author&gt;Blenkinsopp&lt;/Author&gt;&lt;Year&gt;2007&lt;/Year&gt;&lt;RecNum&gt;4&lt;/RecNum&gt;&lt;DisplayText&gt;[2]&lt;/DisplayText&gt;&lt;record&gt;&lt;rec-number&gt;4&lt;/rec-number&gt;&lt;foreign-keys&gt;&lt;key app="EN" db-id="vfz5x9saseddeqea0zrx2z0idp0sx02e5t9t" timestamp="1540476439"&gt;4&lt;/key&gt;&lt;/foreign-keys&gt;&lt;ref-type name="Journal Article"&gt;17&lt;/ref-type&gt;&lt;contributors&gt;&lt;authors&gt;&lt;author&gt;Blenkinsopp, A&lt;/author&gt;&lt;author&gt;Wilkie, P&lt;/author&gt;&lt;author&gt;Wang, M&lt;/author&gt;&lt;author&gt;Routledge, Philip Alexander&lt;/author&gt;&lt;/authors&gt;&lt;/contributors&gt;&lt;titles&gt;&lt;title&gt;Patient reporting of suspected adverse drug reactions: a review of published literature and international experience&lt;/title&gt;&lt;secondary-title&gt;British journal of clinical pharmacology&lt;/secondary-title&gt;&lt;/titles&gt;&lt;periodical&gt;&lt;full-title&gt;British journal of clinical pharmacology&lt;/full-title&gt;&lt;/periodical&gt;&lt;pages&gt;148-156&lt;/pages&gt;&lt;volume&gt;63&lt;/volume&gt;&lt;number&gt;2&lt;/number&gt;&lt;dates&gt;&lt;year&gt;2007&lt;/year&gt;&lt;/dates&gt;&lt;isbn&gt;0306-5251&lt;/isbn&gt;&lt;urls&gt;&lt;/urls&gt;&lt;/record&gt;&lt;/Cite&gt;&lt;/EndNote&gt;</w:instrText>
      </w:r>
      <w:r w:rsidR="00701639" w:rsidRPr="008A0501">
        <w:rPr>
          <w:rFonts w:eastAsia="Arial" w:cs="Times New Roman"/>
          <w:color w:val="000000"/>
          <w:sz w:val="24"/>
          <w:szCs w:val="24"/>
        </w:rPr>
        <w:fldChar w:fldCharType="separate"/>
      </w:r>
      <w:r w:rsidR="00701639" w:rsidRPr="008A0501">
        <w:rPr>
          <w:rFonts w:eastAsia="Arial" w:cs="Times New Roman"/>
          <w:noProof/>
          <w:color w:val="000000"/>
          <w:sz w:val="24"/>
          <w:szCs w:val="24"/>
        </w:rPr>
        <w:t>[2]</w:t>
      </w:r>
      <w:r w:rsidR="00701639" w:rsidRPr="008A0501">
        <w:rPr>
          <w:rFonts w:eastAsia="Arial" w:cs="Times New Roman"/>
          <w:color w:val="000000"/>
          <w:sz w:val="24"/>
          <w:szCs w:val="24"/>
        </w:rPr>
        <w:fldChar w:fldCharType="end"/>
      </w:r>
      <w:r w:rsidR="00701639" w:rsidRPr="008A0501">
        <w:rPr>
          <w:rFonts w:eastAsia="Arial" w:cs="Times New Roman"/>
          <w:color w:val="000000"/>
          <w:sz w:val="24"/>
          <w:szCs w:val="24"/>
        </w:rPr>
        <w:t xml:space="preserve">, and identifies additional information beyond </w:t>
      </w:r>
      <w:r w:rsidR="00B07E10" w:rsidRPr="008A0501">
        <w:rPr>
          <w:rFonts w:eastAsia="Arial" w:cs="Times New Roman"/>
          <w:color w:val="000000"/>
          <w:sz w:val="24"/>
          <w:szCs w:val="24"/>
        </w:rPr>
        <w:t xml:space="preserve">that contained within </w:t>
      </w:r>
      <w:r w:rsidR="00701639" w:rsidRPr="008A0501">
        <w:rPr>
          <w:rFonts w:eastAsia="Arial" w:cs="Times New Roman"/>
          <w:color w:val="000000"/>
          <w:sz w:val="24"/>
          <w:szCs w:val="24"/>
        </w:rPr>
        <w:t xml:space="preserve">physician reports </w:t>
      </w:r>
      <w:r w:rsidR="00701639" w:rsidRPr="008A0501">
        <w:rPr>
          <w:rFonts w:eastAsia="Arial" w:cs="Times New Roman"/>
          <w:color w:val="000000"/>
          <w:sz w:val="24"/>
          <w:szCs w:val="24"/>
        </w:rPr>
        <w:fldChar w:fldCharType="begin"/>
      </w:r>
      <w:r w:rsidR="00701639" w:rsidRPr="008A0501">
        <w:rPr>
          <w:rFonts w:eastAsia="Arial" w:cs="Times New Roman"/>
          <w:color w:val="000000"/>
          <w:sz w:val="24"/>
          <w:szCs w:val="24"/>
        </w:rPr>
        <w:instrText xml:space="preserve"> ADDIN EN.CITE &lt;EndNote&gt;&lt;Cite&gt;&lt;Author&gt;Avery&lt;/Author&gt;&lt;Year&gt;2011&lt;/Year&gt;&lt;RecNum&gt;5&lt;/RecNum&gt;&lt;DisplayText&gt;[3]&lt;/DisplayText&gt;&lt;record&gt;&lt;rec-number&gt;5&lt;/rec-number&gt;&lt;foreign-keys&gt;&lt;key app="EN" db-id="vfz5x9saseddeqea0zrx2z0idp0sx02e5t9t" timestamp="1540476661"&gt;5&lt;/key&gt;&lt;/foreign-keys&gt;&lt;ref-type name="Journal Article"&gt;17&lt;/ref-type&gt;&lt;contributors&gt;&lt;authors&gt;&lt;author&gt;Avery, Anthony J&lt;/author&gt;&lt;author&gt;Anderson, Claire&lt;/author&gt;&lt;author&gt;Bond, CM&lt;/author&gt;&lt;author&gt;Fortnum, Heather&lt;/author&gt;&lt;author&gt;Gifford, Alison&lt;/author&gt;&lt;author&gt;Hannaford, Philip C&lt;/author&gt;&lt;author&gt;Hazell, L&lt;/author&gt;&lt;author&gt;Krska, Janet&lt;/author&gt;&lt;author&gt;Lee, AJ&lt;/author&gt;&lt;author&gt;Mclernon, David J&lt;/author&gt;&lt;/authors&gt;&lt;/contributors&gt;&lt;titles&gt;&lt;title&gt;Evaluation of patient reporting of adverse drug reactions to the UK ‘Yellow Card Scheme’: literature review, descriptive and qualitative analyses, and questionnaire surveys&lt;/title&gt;&lt;secondary-title&gt;Health Technology Assessment&lt;/secondary-title&gt;&lt;/titles&gt;&lt;periodical&gt;&lt;full-title&gt;Health Technology Assessment&lt;/full-title&gt;&lt;/periodical&gt;&lt;dates&gt;&lt;year&gt;2011&lt;/year&gt;&lt;/dates&gt;&lt;isbn&gt;2046-4924&lt;/isbn&gt;&lt;urls&gt;&lt;/urls&gt;&lt;/record&gt;&lt;/Cite&gt;&lt;/EndNote&gt;</w:instrText>
      </w:r>
      <w:r w:rsidR="00701639" w:rsidRPr="008A0501">
        <w:rPr>
          <w:rFonts w:eastAsia="Arial" w:cs="Times New Roman"/>
          <w:color w:val="000000"/>
          <w:sz w:val="24"/>
          <w:szCs w:val="24"/>
        </w:rPr>
        <w:fldChar w:fldCharType="separate"/>
      </w:r>
      <w:r w:rsidR="00701639" w:rsidRPr="008A0501">
        <w:rPr>
          <w:rFonts w:eastAsia="Arial" w:cs="Times New Roman"/>
          <w:noProof/>
          <w:color w:val="000000"/>
          <w:sz w:val="24"/>
          <w:szCs w:val="24"/>
        </w:rPr>
        <w:t>[3]</w:t>
      </w:r>
      <w:r w:rsidR="00701639" w:rsidRPr="008A0501">
        <w:rPr>
          <w:rFonts w:eastAsia="Arial" w:cs="Times New Roman"/>
          <w:color w:val="000000"/>
          <w:sz w:val="24"/>
          <w:szCs w:val="24"/>
        </w:rPr>
        <w:fldChar w:fldCharType="end"/>
      </w:r>
      <w:r w:rsidR="00701639" w:rsidRPr="008A0501">
        <w:rPr>
          <w:rFonts w:eastAsia="Arial" w:cs="Times New Roman"/>
          <w:color w:val="000000"/>
          <w:sz w:val="24"/>
          <w:szCs w:val="24"/>
        </w:rPr>
        <w:t xml:space="preserve">. The inclusion of </w:t>
      </w:r>
      <w:r w:rsidR="00717398" w:rsidRPr="008A0501">
        <w:rPr>
          <w:rFonts w:eastAsia="Arial" w:cs="Times New Roman"/>
          <w:color w:val="000000"/>
          <w:sz w:val="24"/>
          <w:szCs w:val="24"/>
        </w:rPr>
        <w:t xml:space="preserve">patient and carer </w:t>
      </w:r>
      <w:r w:rsidR="00701639" w:rsidRPr="008A0501">
        <w:rPr>
          <w:rFonts w:eastAsia="Arial" w:cs="Times New Roman"/>
          <w:color w:val="000000"/>
          <w:sz w:val="24"/>
          <w:szCs w:val="24"/>
        </w:rPr>
        <w:t>reports in spontaneous reporting schemes has</w:t>
      </w:r>
      <w:r w:rsidR="00717398" w:rsidRPr="008A0501">
        <w:rPr>
          <w:rFonts w:eastAsia="Arial" w:cs="Times New Roman"/>
          <w:color w:val="000000"/>
          <w:sz w:val="24"/>
          <w:szCs w:val="24"/>
        </w:rPr>
        <w:t xml:space="preserve"> increas</w:t>
      </w:r>
      <w:r w:rsidR="00701639" w:rsidRPr="008A0501">
        <w:rPr>
          <w:rFonts w:eastAsia="Arial" w:cs="Times New Roman"/>
          <w:color w:val="000000"/>
          <w:sz w:val="24"/>
          <w:szCs w:val="24"/>
        </w:rPr>
        <w:t>ed</w:t>
      </w:r>
      <w:r w:rsidR="00717398" w:rsidRPr="008A0501">
        <w:rPr>
          <w:rFonts w:eastAsia="Arial" w:cs="Times New Roman"/>
          <w:color w:val="000000"/>
          <w:sz w:val="24"/>
          <w:szCs w:val="24"/>
        </w:rPr>
        <w:t xml:space="preserve"> worldwide </w:t>
      </w:r>
      <w:r w:rsidR="00717398" w:rsidRPr="008A0501">
        <w:rPr>
          <w:rFonts w:eastAsia="Arial" w:cs="Times New Roman"/>
          <w:color w:val="000000"/>
          <w:sz w:val="24"/>
          <w:szCs w:val="24"/>
        </w:rPr>
        <w:fldChar w:fldCharType="begin"/>
      </w:r>
      <w:r w:rsidR="00701639" w:rsidRPr="008A0501">
        <w:rPr>
          <w:rFonts w:eastAsia="Arial" w:cs="Times New Roman"/>
          <w:color w:val="000000"/>
          <w:sz w:val="24"/>
          <w:szCs w:val="24"/>
        </w:rPr>
        <w:instrText xml:space="preserve"> ADDIN EN.CITE &lt;EndNote&gt;&lt;Cite&gt;&lt;Author&gt;Margraff&lt;/Author&gt;&lt;Year&gt;2014&lt;/Year&gt;&lt;RecNum&gt;3&lt;/RecNum&gt;&lt;DisplayText&gt;[4]&lt;/DisplayText&gt;&lt;record&gt;&lt;rec-number&gt;3&lt;/rec-number&gt;&lt;foreign-keys&gt;&lt;key app="EN" db-id="vfz5x9saseddeqea0zrx2z0idp0sx02e5t9t" timestamp="1540475982"&gt;3&lt;/key&gt;&lt;/foreign-keys&gt;&lt;ref-type name="Journal Article"&gt;17&lt;/ref-type&gt;&lt;contributors&gt;&lt;authors&gt;&lt;author&gt;Margraff, Florence&lt;/author&gt;&lt;author&gt;Bertram, Delphine&lt;/author&gt;&lt;/authors&gt;&lt;/contributors&gt;&lt;titles&gt;&lt;title&gt;Adverse Drug Reaction Reporting by Patients: An Overview of Fifty Countries&lt;/title&gt;&lt;secondary-title&gt;Drug Safety&lt;/secondary-title&gt;&lt;/titles&gt;&lt;periodical&gt;&lt;full-title&gt;Drug Safety&lt;/full-title&gt;&lt;/periodical&gt;&lt;pages&gt;409-419&lt;/pages&gt;&lt;volume&gt;37&lt;/volume&gt;&lt;number&gt;6&lt;/number&gt;&lt;dates&gt;&lt;year&gt;2014&lt;/year&gt;&lt;pub-dates&gt;&lt;date&gt;June 01&lt;/date&gt;&lt;/pub-dates&gt;&lt;/dates&gt;&lt;isbn&gt;1179-1942&lt;/isbn&gt;&lt;label&gt;Margraff2014&lt;/label&gt;&lt;work-type&gt;journal article&lt;/work-type&gt;&lt;urls&gt;&lt;related-urls&gt;&lt;url&gt;https://doi.org/10.1007/s40264-014-0162-y&lt;/url&gt;&lt;/related-urls&gt;&lt;/urls&gt;&lt;electronic-resource-num&gt;10.1007/s40264-014-0162-y&lt;/electronic-resource-num&gt;&lt;/record&gt;&lt;/Cite&gt;&lt;/EndNote&gt;</w:instrText>
      </w:r>
      <w:r w:rsidR="00717398" w:rsidRPr="008A0501">
        <w:rPr>
          <w:rFonts w:eastAsia="Arial" w:cs="Times New Roman"/>
          <w:color w:val="000000"/>
          <w:sz w:val="24"/>
          <w:szCs w:val="24"/>
        </w:rPr>
        <w:fldChar w:fldCharType="separate"/>
      </w:r>
      <w:r w:rsidR="00701639" w:rsidRPr="008A0501">
        <w:rPr>
          <w:rFonts w:eastAsia="Arial" w:cs="Times New Roman"/>
          <w:noProof/>
          <w:color w:val="000000"/>
          <w:sz w:val="24"/>
          <w:szCs w:val="24"/>
        </w:rPr>
        <w:t>[4]</w:t>
      </w:r>
      <w:r w:rsidR="00717398" w:rsidRPr="008A0501">
        <w:rPr>
          <w:rFonts w:eastAsia="Arial" w:cs="Times New Roman"/>
          <w:color w:val="000000"/>
          <w:sz w:val="24"/>
          <w:szCs w:val="24"/>
        </w:rPr>
        <w:fldChar w:fldCharType="end"/>
      </w:r>
      <w:r w:rsidR="00C26DE3" w:rsidRPr="008A0501">
        <w:rPr>
          <w:rFonts w:eastAsia="Arial" w:cs="Times New Roman"/>
          <w:color w:val="000000"/>
          <w:sz w:val="24"/>
          <w:szCs w:val="24"/>
        </w:rPr>
        <w:t>.</w:t>
      </w:r>
      <w:r w:rsidR="00701639" w:rsidRPr="008A0501">
        <w:rPr>
          <w:rFonts w:eastAsia="Arial" w:cs="Times New Roman"/>
          <w:color w:val="000000"/>
          <w:sz w:val="24"/>
          <w:szCs w:val="24"/>
        </w:rPr>
        <w:t xml:space="preserve"> </w:t>
      </w:r>
      <w:r w:rsidR="0070783D" w:rsidRPr="008A0501">
        <w:rPr>
          <w:rFonts w:eastAsia="Arial" w:cs="Times New Roman"/>
          <w:color w:val="000000"/>
          <w:sz w:val="24"/>
          <w:szCs w:val="24"/>
        </w:rPr>
        <w:t xml:space="preserve">However, </w:t>
      </w:r>
      <w:r w:rsidR="00701639" w:rsidRPr="008A0501">
        <w:rPr>
          <w:rFonts w:eastAsia="Arial" w:cs="Times New Roman"/>
          <w:color w:val="000000"/>
          <w:sz w:val="24"/>
          <w:szCs w:val="24"/>
        </w:rPr>
        <w:t xml:space="preserve">despite increasing the range of possible reporters for suspected ADRs, </w:t>
      </w:r>
      <w:r w:rsidR="0070783D" w:rsidRPr="008A0501">
        <w:rPr>
          <w:rFonts w:eastAsia="Arial" w:cs="Times New Roman"/>
          <w:color w:val="000000"/>
          <w:sz w:val="24"/>
          <w:szCs w:val="24"/>
        </w:rPr>
        <w:t>u</w:t>
      </w:r>
      <w:r w:rsidRPr="008A0501">
        <w:rPr>
          <w:rFonts w:eastAsia="Arial" w:cs="Times New Roman"/>
          <w:color w:val="000000"/>
          <w:sz w:val="24"/>
          <w:szCs w:val="24"/>
        </w:rPr>
        <w:t xml:space="preserve">nder reporting </w:t>
      </w:r>
      <w:r w:rsidR="00701639" w:rsidRPr="008A0501">
        <w:rPr>
          <w:rFonts w:eastAsia="Arial" w:cs="Times New Roman"/>
          <w:color w:val="000000"/>
          <w:sz w:val="24"/>
          <w:szCs w:val="24"/>
        </w:rPr>
        <w:t>remains</w:t>
      </w:r>
      <w:r w:rsidR="0070783D" w:rsidRPr="008A0501">
        <w:rPr>
          <w:rFonts w:eastAsia="Arial" w:cs="Times New Roman"/>
          <w:color w:val="000000"/>
          <w:sz w:val="24"/>
          <w:szCs w:val="24"/>
        </w:rPr>
        <w:t xml:space="preserve"> </w:t>
      </w:r>
      <w:r w:rsidRPr="008A0501">
        <w:rPr>
          <w:rFonts w:eastAsia="Arial" w:cs="Times New Roman"/>
          <w:color w:val="000000"/>
          <w:sz w:val="24"/>
          <w:szCs w:val="24"/>
        </w:rPr>
        <w:t xml:space="preserve">a problem </w:t>
      </w:r>
      <w:r w:rsidR="0070783D" w:rsidRPr="008A0501">
        <w:rPr>
          <w:rFonts w:eastAsia="Arial" w:cs="Times New Roman"/>
          <w:color w:val="000000"/>
          <w:sz w:val="24"/>
          <w:szCs w:val="24"/>
        </w:rPr>
        <w:t>for</w:t>
      </w:r>
      <w:r w:rsidRPr="008A0501">
        <w:rPr>
          <w:rFonts w:eastAsia="Arial" w:cs="Times New Roman"/>
          <w:color w:val="000000"/>
          <w:sz w:val="24"/>
          <w:szCs w:val="24"/>
        </w:rPr>
        <w:t xml:space="preserve"> all spontaneous reporting schemes</w:t>
      </w:r>
      <w:r w:rsidR="00717398" w:rsidRPr="008A0501">
        <w:rPr>
          <w:rFonts w:eastAsia="Arial" w:cs="Times New Roman"/>
          <w:color w:val="000000"/>
          <w:sz w:val="24"/>
          <w:szCs w:val="24"/>
        </w:rPr>
        <w:t xml:space="preserve"> </w:t>
      </w:r>
      <w:r w:rsidR="00717398" w:rsidRPr="008A0501">
        <w:rPr>
          <w:rFonts w:eastAsia="Arial" w:cs="Times New Roman"/>
          <w:color w:val="000000"/>
          <w:sz w:val="24"/>
          <w:szCs w:val="24"/>
        </w:rPr>
        <w:fldChar w:fldCharType="begin"/>
      </w:r>
      <w:r w:rsidR="00701639" w:rsidRPr="008A0501">
        <w:rPr>
          <w:rFonts w:eastAsia="Arial" w:cs="Times New Roman"/>
          <w:color w:val="000000"/>
          <w:sz w:val="24"/>
          <w:szCs w:val="24"/>
        </w:rPr>
        <w:instrText xml:space="preserve"> ADDIN EN.CITE &lt;EndNote&gt;&lt;Cite&gt;&lt;Author&gt;Hazell&lt;/Author&gt;&lt;Year&gt;2006&lt;/Year&gt;&lt;RecNum&gt;2&lt;/RecNum&gt;&lt;DisplayText&gt;[5]&lt;/DisplayText&gt;&lt;record&gt;&lt;rec-number&gt;2&lt;/rec-number&gt;&lt;foreign-keys&gt;&lt;key app="EN" db-id="vfz5x9saseddeqea0zrx2z0idp0sx02e5t9t" timestamp="1540475852"&gt;2&lt;/key&gt;&lt;/foreign-keys&gt;&lt;ref-type name="Journal Article"&gt;17&lt;/ref-type&gt;&lt;contributors&gt;&lt;authors&gt;&lt;author&gt;Hazell, Lorna&lt;/author&gt;&lt;author&gt;Shakir, Saad AW&lt;/author&gt;&lt;/authors&gt;&lt;/contributors&gt;&lt;titles&gt;&lt;title&gt;Under-reporting of adverse drug reactions&lt;/title&gt;&lt;secondary-title&gt;Drug safety&lt;/secondary-title&gt;&lt;/titles&gt;&lt;periodical&gt;&lt;full-title&gt;Drug Safety&lt;/full-title&gt;&lt;/periodical&gt;&lt;pages&gt;385-396&lt;/pages&gt;&lt;volume&gt;29&lt;/volume&gt;&lt;number&gt;5&lt;/number&gt;&lt;dates&gt;&lt;year&gt;2006&lt;/year&gt;&lt;/dates&gt;&lt;isbn&gt;0114-5916&lt;/isbn&gt;&lt;urls&gt;&lt;/urls&gt;&lt;/record&gt;&lt;/Cite&gt;&lt;/EndNote&gt;</w:instrText>
      </w:r>
      <w:r w:rsidR="00717398" w:rsidRPr="008A0501">
        <w:rPr>
          <w:rFonts w:eastAsia="Arial" w:cs="Times New Roman"/>
          <w:color w:val="000000"/>
          <w:sz w:val="24"/>
          <w:szCs w:val="24"/>
        </w:rPr>
        <w:fldChar w:fldCharType="separate"/>
      </w:r>
      <w:r w:rsidR="00701639" w:rsidRPr="008A0501">
        <w:rPr>
          <w:rFonts w:eastAsia="Arial" w:cs="Times New Roman"/>
          <w:noProof/>
          <w:color w:val="000000"/>
          <w:sz w:val="24"/>
          <w:szCs w:val="24"/>
        </w:rPr>
        <w:t>[5]</w:t>
      </w:r>
      <w:r w:rsidR="00717398" w:rsidRPr="008A0501">
        <w:rPr>
          <w:rFonts w:eastAsia="Arial" w:cs="Times New Roman"/>
          <w:color w:val="000000"/>
          <w:sz w:val="24"/>
          <w:szCs w:val="24"/>
        </w:rPr>
        <w:fldChar w:fldCharType="end"/>
      </w:r>
      <w:r w:rsidRPr="008A0501">
        <w:rPr>
          <w:rFonts w:eastAsia="Arial" w:cs="Times New Roman"/>
          <w:color w:val="000000"/>
          <w:sz w:val="24"/>
          <w:szCs w:val="24"/>
        </w:rPr>
        <w:t xml:space="preserve">. </w:t>
      </w:r>
    </w:p>
    <w:p w14:paraId="7DA30BFA" w14:textId="1E838381" w:rsidR="00F40F09" w:rsidRPr="008A0501" w:rsidRDefault="0070783D" w:rsidP="00146CA7">
      <w:pPr>
        <w:spacing w:line="360" w:lineRule="auto"/>
        <w:rPr>
          <w:rFonts w:eastAsia="Arial" w:cs="Times New Roman"/>
          <w:color w:val="000000"/>
          <w:sz w:val="24"/>
          <w:szCs w:val="24"/>
        </w:rPr>
      </w:pPr>
      <w:r w:rsidRPr="008A0501">
        <w:rPr>
          <w:rFonts w:eastAsia="Arial" w:cs="Times New Roman"/>
          <w:color w:val="000000"/>
          <w:sz w:val="24"/>
          <w:szCs w:val="24"/>
        </w:rPr>
        <w:t xml:space="preserve">ADRs affect children and young people </w:t>
      </w:r>
      <w:r w:rsidR="007B2D97" w:rsidRPr="008A0501">
        <w:rPr>
          <w:rFonts w:eastAsia="Arial" w:cs="Times New Roman"/>
          <w:color w:val="000000"/>
          <w:sz w:val="24"/>
          <w:szCs w:val="24"/>
        </w:rPr>
        <w:t xml:space="preserve">(CYP) </w:t>
      </w:r>
      <w:r w:rsidRPr="008A0501">
        <w:rPr>
          <w:rFonts w:eastAsia="Arial" w:cs="Times New Roman"/>
          <w:color w:val="000000"/>
          <w:sz w:val="24"/>
          <w:szCs w:val="24"/>
        </w:rPr>
        <w:t>who use medicines</w:t>
      </w:r>
      <w:r w:rsidR="00701639" w:rsidRPr="008A0501">
        <w:rPr>
          <w:rFonts w:eastAsia="Arial" w:cs="Times New Roman"/>
          <w:color w:val="000000"/>
          <w:sz w:val="24"/>
          <w:szCs w:val="24"/>
        </w:rPr>
        <w:t xml:space="preserve">, </w:t>
      </w:r>
      <w:r w:rsidR="00C04B19" w:rsidRPr="008A0501">
        <w:rPr>
          <w:rFonts w:eastAsia="Arial" w:cs="Times New Roman"/>
          <w:color w:val="000000"/>
          <w:sz w:val="24"/>
          <w:szCs w:val="24"/>
        </w:rPr>
        <w:t>are</w:t>
      </w:r>
      <w:r w:rsidR="00365622" w:rsidRPr="008A0501">
        <w:rPr>
          <w:rFonts w:eastAsia="Arial" w:cs="Times New Roman"/>
          <w:color w:val="000000"/>
          <w:sz w:val="24"/>
          <w:szCs w:val="24"/>
        </w:rPr>
        <w:t xml:space="preserve"> responsible for </w:t>
      </w:r>
      <w:r w:rsidR="00701639" w:rsidRPr="008A0501">
        <w:rPr>
          <w:rFonts w:eastAsia="Arial" w:cs="Times New Roman"/>
          <w:color w:val="000000"/>
          <w:sz w:val="24"/>
          <w:szCs w:val="24"/>
        </w:rPr>
        <w:t>approximately 3% of paediatric admissions</w:t>
      </w:r>
      <w:r w:rsidR="00365622" w:rsidRPr="008A0501">
        <w:rPr>
          <w:rFonts w:eastAsia="Arial" w:cs="Times New Roman"/>
          <w:color w:val="000000"/>
          <w:sz w:val="24"/>
          <w:szCs w:val="24"/>
        </w:rPr>
        <w:t>,</w:t>
      </w:r>
      <w:r w:rsidR="00701639" w:rsidRPr="008A0501">
        <w:rPr>
          <w:rFonts w:eastAsia="Arial" w:cs="Times New Roman"/>
          <w:color w:val="000000"/>
          <w:sz w:val="24"/>
          <w:szCs w:val="24"/>
        </w:rPr>
        <w:t xml:space="preserve"> and </w:t>
      </w:r>
      <w:r w:rsidR="00365622" w:rsidRPr="008A0501">
        <w:rPr>
          <w:rFonts w:eastAsia="Arial" w:cs="Times New Roman"/>
          <w:color w:val="000000"/>
          <w:sz w:val="24"/>
          <w:szCs w:val="24"/>
        </w:rPr>
        <w:t>complicat</w:t>
      </w:r>
      <w:r w:rsidR="001D00CA" w:rsidRPr="008A0501">
        <w:rPr>
          <w:rFonts w:eastAsia="Arial" w:cs="Times New Roman"/>
          <w:color w:val="000000"/>
          <w:sz w:val="24"/>
          <w:szCs w:val="24"/>
        </w:rPr>
        <w:t>e</w:t>
      </w:r>
      <w:r w:rsidR="00701639" w:rsidRPr="008A0501">
        <w:rPr>
          <w:rFonts w:eastAsia="Arial" w:cs="Times New Roman"/>
          <w:color w:val="000000"/>
          <w:sz w:val="24"/>
          <w:szCs w:val="24"/>
        </w:rPr>
        <w:t xml:space="preserve"> 18% of paediatric inpatient</w:t>
      </w:r>
      <w:r w:rsidR="00365622" w:rsidRPr="008A0501">
        <w:rPr>
          <w:rFonts w:eastAsia="Arial" w:cs="Times New Roman"/>
          <w:color w:val="000000"/>
          <w:sz w:val="24"/>
          <w:szCs w:val="24"/>
        </w:rPr>
        <w:t xml:space="preserve"> stay</w:t>
      </w:r>
      <w:r w:rsidR="00701639" w:rsidRPr="008A0501">
        <w:rPr>
          <w:rFonts w:eastAsia="Arial" w:cs="Times New Roman"/>
          <w:color w:val="000000"/>
          <w:sz w:val="24"/>
          <w:szCs w:val="24"/>
        </w:rPr>
        <w:t xml:space="preserve">s </w:t>
      </w:r>
      <w:r w:rsidR="00701639" w:rsidRPr="008A0501">
        <w:rPr>
          <w:rFonts w:eastAsia="Arial" w:cs="Times New Roman"/>
          <w:color w:val="000000"/>
          <w:sz w:val="24"/>
          <w:szCs w:val="24"/>
        </w:rPr>
        <w:fldChar w:fldCharType="begin">
          <w:fldData xml:space="preserve">PEVuZE5vdGU+PENpdGU+PEF1dGhvcj5HYWxsYWdoZXI8L0F1dGhvcj48WWVhcj4yMDEyPC9ZZWFy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=
</w:fldData>
        </w:fldChar>
      </w:r>
      <w:r w:rsidR="00701639" w:rsidRPr="008A0501">
        <w:rPr>
          <w:rFonts w:eastAsia="Arial" w:cs="Times New Roman"/>
          <w:color w:val="000000"/>
          <w:sz w:val="24"/>
          <w:szCs w:val="24"/>
        </w:rPr>
        <w:instrText xml:space="preserve"> ADDIN EN.CITE </w:instrText>
      </w:r>
      <w:r w:rsidR="00701639" w:rsidRPr="008A0501">
        <w:rPr>
          <w:rFonts w:eastAsia="Arial" w:cs="Times New Roman"/>
          <w:color w:val="000000"/>
          <w:sz w:val="24"/>
          <w:szCs w:val="24"/>
        </w:rPr>
        <w:fldChar w:fldCharType="begin">
          <w:fldData xml:space="preserve">PEVuZE5vdGU+PENpdGU+PEF1dGhvcj5HYWxsYWdoZXI8L0F1dGhvcj48WWVhcj4yMDEyPC9ZZWFy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=
</w:fldData>
        </w:fldChar>
      </w:r>
      <w:r w:rsidR="00701639" w:rsidRPr="008A0501">
        <w:rPr>
          <w:rFonts w:eastAsia="Arial" w:cs="Times New Roman"/>
          <w:color w:val="000000"/>
          <w:sz w:val="24"/>
          <w:szCs w:val="24"/>
        </w:rPr>
        <w:instrText xml:space="preserve"> ADDIN EN.CITE.DATA </w:instrText>
      </w:r>
      <w:r w:rsidR="00701639" w:rsidRPr="008A0501">
        <w:rPr>
          <w:rFonts w:eastAsia="Arial" w:cs="Times New Roman"/>
          <w:color w:val="000000"/>
          <w:sz w:val="24"/>
          <w:szCs w:val="24"/>
        </w:rPr>
      </w:r>
      <w:r w:rsidR="00701639" w:rsidRPr="008A0501">
        <w:rPr>
          <w:rFonts w:eastAsia="Arial" w:cs="Times New Roman"/>
          <w:color w:val="000000"/>
          <w:sz w:val="24"/>
          <w:szCs w:val="24"/>
        </w:rPr>
        <w:fldChar w:fldCharType="end"/>
      </w:r>
      <w:r w:rsidR="00701639" w:rsidRPr="008A0501">
        <w:rPr>
          <w:rFonts w:eastAsia="Arial" w:cs="Times New Roman"/>
          <w:color w:val="000000"/>
          <w:sz w:val="24"/>
          <w:szCs w:val="24"/>
        </w:rPr>
      </w:r>
      <w:r w:rsidR="00701639" w:rsidRPr="008A0501">
        <w:rPr>
          <w:rFonts w:eastAsia="Arial" w:cs="Times New Roman"/>
          <w:color w:val="000000"/>
          <w:sz w:val="24"/>
          <w:szCs w:val="24"/>
        </w:rPr>
        <w:fldChar w:fldCharType="separate"/>
      </w:r>
      <w:r w:rsidR="00701639" w:rsidRPr="008A0501">
        <w:rPr>
          <w:rFonts w:eastAsia="Arial" w:cs="Times New Roman"/>
          <w:noProof/>
          <w:color w:val="000000"/>
          <w:sz w:val="24"/>
          <w:szCs w:val="24"/>
        </w:rPr>
        <w:t>[6, 7]</w:t>
      </w:r>
      <w:r w:rsidR="00701639" w:rsidRPr="008A0501">
        <w:rPr>
          <w:rFonts w:eastAsia="Arial" w:cs="Times New Roman"/>
          <w:color w:val="000000"/>
          <w:sz w:val="24"/>
          <w:szCs w:val="24"/>
        </w:rPr>
        <w:fldChar w:fldCharType="end"/>
      </w:r>
      <w:r w:rsidR="00701639" w:rsidRPr="008A0501">
        <w:rPr>
          <w:rFonts w:eastAsia="Arial" w:cs="Times New Roman"/>
          <w:color w:val="000000"/>
          <w:sz w:val="24"/>
          <w:szCs w:val="24"/>
        </w:rPr>
        <w:t xml:space="preserve">. </w:t>
      </w:r>
      <w:r w:rsidR="00F40F09" w:rsidRPr="008A0501">
        <w:rPr>
          <w:rFonts w:eastAsia="Arial" w:cs="Times New Roman"/>
          <w:color w:val="000000"/>
          <w:sz w:val="24"/>
          <w:szCs w:val="24"/>
        </w:rPr>
        <w:t>The</w:t>
      </w:r>
      <w:r w:rsidR="00C04B19" w:rsidRPr="008A0501">
        <w:rPr>
          <w:rFonts w:eastAsia="Arial" w:cs="Times New Roman"/>
          <w:color w:val="000000"/>
          <w:sz w:val="24"/>
          <w:szCs w:val="24"/>
        </w:rPr>
        <w:t>re are key</w:t>
      </w:r>
      <w:r w:rsidR="00F40F09" w:rsidRPr="008A0501">
        <w:rPr>
          <w:rFonts w:eastAsia="Arial" w:cs="Times New Roman"/>
          <w:color w:val="000000"/>
          <w:sz w:val="24"/>
          <w:szCs w:val="24"/>
        </w:rPr>
        <w:t xml:space="preserve"> differences between CYP and older adults</w:t>
      </w:r>
      <w:r w:rsidR="00C04B19" w:rsidRPr="008A0501">
        <w:rPr>
          <w:rFonts w:eastAsia="Arial" w:cs="Times New Roman"/>
          <w:color w:val="000000"/>
          <w:sz w:val="24"/>
          <w:szCs w:val="24"/>
        </w:rPr>
        <w:t>,</w:t>
      </w:r>
      <w:r w:rsidR="00F40F09" w:rsidRPr="008A0501">
        <w:rPr>
          <w:rFonts w:eastAsia="Arial" w:cs="Times New Roman"/>
          <w:color w:val="000000"/>
          <w:sz w:val="24"/>
          <w:szCs w:val="24"/>
        </w:rPr>
        <w:t xml:space="preserve"> includ</w:t>
      </w:r>
      <w:r w:rsidR="00C04B19" w:rsidRPr="008A0501">
        <w:rPr>
          <w:rFonts w:eastAsia="Arial" w:cs="Times New Roman"/>
          <w:color w:val="000000"/>
          <w:sz w:val="24"/>
          <w:szCs w:val="24"/>
        </w:rPr>
        <w:t>ing</w:t>
      </w:r>
      <w:r w:rsidR="00F40F09" w:rsidRPr="008A0501">
        <w:rPr>
          <w:rFonts w:eastAsia="Arial" w:cs="Times New Roman"/>
          <w:color w:val="000000"/>
          <w:sz w:val="24"/>
          <w:szCs w:val="24"/>
        </w:rPr>
        <w:t xml:space="preserve"> physiological differences (different diseases experienced, altered body composition, vertical growth, varied renal and hepatic function at younger ages, and psychological development) as well </w:t>
      </w:r>
      <w:r w:rsidR="00B07E10" w:rsidRPr="008A0501">
        <w:rPr>
          <w:rFonts w:eastAsia="Arial" w:cs="Times New Roman"/>
          <w:color w:val="000000"/>
          <w:sz w:val="24"/>
          <w:szCs w:val="24"/>
        </w:rPr>
        <w:t>differences</w:t>
      </w:r>
      <w:r w:rsidR="00F40F09" w:rsidRPr="008A0501">
        <w:rPr>
          <w:rFonts w:eastAsia="Arial" w:cs="Times New Roman"/>
          <w:color w:val="000000"/>
          <w:sz w:val="24"/>
          <w:szCs w:val="24"/>
        </w:rPr>
        <w:t xml:space="preserve"> in the medications used (alternate formulations, doses, more common off label and unlicensed use)</w:t>
      </w:r>
      <w:r w:rsidR="00B07E10" w:rsidRPr="008A0501">
        <w:rPr>
          <w:rFonts w:eastAsia="Arial" w:cs="Times New Roman"/>
          <w:color w:val="000000"/>
          <w:sz w:val="24"/>
          <w:szCs w:val="24"/>
        </w:rPr>
        <w:t xml:space="preserve">, and </w:t>
      </w:r>
      <w:r w:rsidR="00365622" w:rsidRPr="008A0501">
        <w:rPr>
          <w:rFonts w:eastAsia="Arial" w:cs="Times New Roman"/>
          <w:color w:val="000000"/>
          <w:sz w:val="24"/>
          <w:szCs w:val="24"/>
        </w:rPr>
        <w:t xml:space="preserve">hence </w:t>
      </w:r>
      <w:r w:rsidR="00B07E10" w:rsidRPr="008A0501">
        <w:rPr>
          <w:rFonts w:eastAsia="Arial" w:cs="Times New Roman"/>
          <w:color w:val="000000"/>
          <w:sz w:val="24"/>
          <w:szCs w:val="24"/>
        </w:rPr>
        <w:t xml:space="preserve">CYP </w:t>
      </w:r>
      <w:r w:rsidR="00C04B19" w:rsidRPr="008A0501">
        <w:rPr>
          <w:rFonts w:eastAsia="Arial" w:cs="Times New Roman"/>
          <w:color w:val="000000"/>
          <w:sz w:val="24"/>
          <w:szCs w:val="24"/>
        </w:rPr>
        <w:t xml:space="preserve">experience different </w:t>
      </w:r>
      <w:r w:rsidR="00F40F09" w:rsidRPr="008A0501">
        <w:rPr>
          <w:rFonts w:eastAsia="Arial" w:cs="Times New Roman"/>
          <w:color w:val="000000"/>
          <w:sz w:val="24"/>
          <w:szCs w:val="24"/>
        </w:rPr>
        <w:t>ADRs</w:t>
      </w:r>
      <w:r w:rsidR="00B07E10" w:rsidRPr="008A0501">
        <w:rPr>
          <w:rFonts w:eastAsia="Arial" w:cs="Times New Roman"/>
          <w:color w:val="000000"/>
          <w:sz w:val="24"/>
          <w:szCs w:val="24"/>
        </w:rPr>
        <w:t xml:space="preserve"> </w:t>
      </w:r>
      <w:r w:rsidR="00C04B19" w:rsidRPr="008A0501">
        <w:rPr>
          <w:rFonts w:eastAsia="Arial" w:cs="Times New Roman"/>
          <w:color w:val="000000"/>
          <w:sz w:val="24"/>
          <w:szCs w:val="24"/>
        </w:rPr>
        <w:t xml:space="preserve">to adults </w:t>
      </w:r>
      <w:r w:rsidR="00B07E10" w:rsidRPr="008A0501">
        <w:rPr>
          <w:rFonts w:eastAsia="Arial" w:cs="Times New Roman"/>
          <w:color w:val="000000"/>
          <w:sz w:val="24"/>
          <w:szCs w:val="24"/>
        </w:rPr>
        <w:fldChar w:fldCharType="begin">
          <w:fldData xml:space="preserve">PEVuZE5vdGU+PENpdGU+PEF1dGhvcj5HYWxsYWdoZXI8L0F1dGhvcj48WWVhcj4yMDEyPC9ZZWFy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=
</w:fldData>
        </w:fldChar>
      </w:r>
      <w:r w:rsidR="00B07E10" w:rsidRPr="008A0501">
        <w:rPr>
          <w:rFonts w:eastAsia="Arial" w:cs="Times New Roman"/>
          <w:color w:val="000000"/>
          <w:sz w:val="24"/>
          <w:szCs w:val="24"/>
        </w:rPr>
        <w:instrText xml:space="preserve"> ADDIN EN.CITE </w:instrText>
      </w:r>
      <w:r w:rsidR="00B07E10" w:rsidRPr="008A0501">
        <w:rPr>
          <w:rFonts w:eastAsia="Arial" w:cs="Times New Roman"/>
          <w:color w:val="000000"/>
          <w:sz w:val="24"/>
          <w:szCs w:val="24"/>
        </w:rPr>
        <w:fldChar w:fldCharType="begin">
          <w:fldData xml:space="preserve">PEVuZE5vdGU+PENpdGU+PEF1dGhvcj5HYWxsYWdoZXI8L0F1dGhvcj48WWVhcj4yMDEyPC9ZZWFy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=
</w:fldData>
        </w:fldChar>
      </w:r>
      <w:r w:rsidR="00B07E10" w:rsidRPr="008A0501">
        <w:rPr>
          <w:rFonts w:eastAsia="Arial" w:cs="Times New Roman"/>
          <w:color w:val="000000"/>
          <w:sz w:val="24"/>
          <w:szCs w:val="24"/>
        </w:rPr>
        <w:instrText xml:space="preserve"> ADDIN EN.CITE.DATA </w:instrText>
      </w:r>
      <w:r w:rsidR="00B07E10" w:rsidRPr="008A0501">
        <w:rPr>
          <w:rFonts w:eastAsia="Arial" w:cs="Times New Roman"/>
          <w:color w:val="000000"/>
          <w:sz w:val="24"/>
          <w:szCs w:val="24"/>
        </w:rPr>
      </w:r>
      <w:r w:rsidR="00B07E10" w:rsidRPr="008A0501">
        <w:rPr>
          <w:rFonts w:eastAsia="Arial" w:cs="Times New Roman"/>
          <w:color w:val="000000"/>
          <w:sz w:val="24"/>
          <w:szCs w:val="24"/>
        </w:rPr>
        <w:fldChar w:fldCharType="end"/>
      </w:r>
      <w:r w:rsidR="00B07E10" w:rsidRPr="008A0501">
        <w:rPr>
          <w:rFonts w:eastAsia="Arial" w:cs="Times New Roman"/>
          <w:color w:val="000000"/>
          <w:sz w:val="24"/>
          <w:szCs w:val="24"/>
        </w:rPr>
      </w:r>
      <w:r w:rsidR="00B07E10" w:rsidRPr="008A0501">
        <w:rPr>
          <w:rFonts w:eastAsia="Arial" w:cs="Times New Roman"/>
          <w:color w:val="000000"/>
          <w:sz w:val="24"/>
          <w:szCs w:val="24"/>
        </w:rPr>
        <w:fldChar w:fldCharType="separate"/>
      </w:r>
      <w:r w:rsidR="00B07E10" w:rsidRPr="008A0501">
        <w:rPr>
          <w:rFonts w:eastAsia="Arial" w:cs="Times New Roman"/>
          <w:noProof/>
          <w:color w:val="000000"/>
          <w:sz w:val="24"/>
          <w:szCs w:val="24"/>
        </w:rPr>
        <w:t>[6, 7]</w:t>
      </w:r>
      <w:r w:rsidR="00B07E10" w:rsidRPr="008A0501">
        <w:rPr>
          <w:rFonts w:eastAsia="Arial" w:cs="Times New Roman"/>
          <w:color w:val="000000"/>
          <w:sz w:val="24"/>
          <w:szCs w:val="24"/>
        </w:rPr>
        <w:fldChar w:fldCharType="end"/>
      </w:r>
      <w:r w:rsidR="00B07E10" w:rsidRPr="008A0501">
        <w:rPr>
          <w:rFonts w:eastAsia="Arial" w:cs="Times New Roman"/>
          <w:color w:val="000000"/>
          <w:sz w:val="24"/>
          <w:szCs w:val="24"/>
        </w:rPr>
        <w:t xml:space="preserve">. There are </w:t>
      </w:r>
      <w:r w:rsidRPr="008A0501">
        <w:rPr>
          <w:rFonts w:eastAsia="Arial" w:cs="Times New Roman"/>
          <w:color w:val="000000"/>
          <w:sz w:val="24"/>
          <w:szCs w:val="24"/>
        </w:rPr>
        <w:t xml:space="preserve">multiple </w:t>
      </w:r>
      <w:r w:rsidR="00B07E10" w:rsidRPr="008A0501">
        <w:rPr>
          <w:rFonts w:eastAsia="Arial" w:cs="Times New Roman"/>
          <w:color w:val="000000"/>
          <w:sz w:val="24"/>
          <w:szCs w:val="24"/>
        </w:rPr>
        <w:t xml:space="preserve">publications </w:t>
      </w:r>
      <w:r w:rsidRPr="008A0501">
        <w:rPr>
          <w:rFonts w:eastAsia="Arial" w:cs="Times New Roman"/>
          <w:color w:val="000000"/>
          <w:sz w:val="24"/>
          <w:szCs w:val="24"/>
        </w:rPr>
        <w:t xml:space="preserve">assessing the type of reports </w:t>
      </w:r>
      <w:r w:rsidR="00B07E10" w:rsidRPr="008A0501">
        <w:rPr>
          <w:rFonts w:eastAsia="Arial" w:cs="Times New Roman"/>
          <w:color w:val="000000"/>
          <w:sz w:val="24"/>
          <w:szCs w:val="24"/>
        </w:rPr>
        <w:t xml:space="preserve">submitted to </w:t>
      </w:r>
      <w:r w:rsidRPr="008A0501">
        <w:rPr>
          <w:rFonts w:eastAsia="Arial" w:cs="Times New Roman"/>
          <w:color w:val="000000"/>
          <w:sz w:val="24"/>
          <w:szCs w:val="24"/>
        </w:rPr>
        <w:t xml:space="preserve">various </w:t>
      </w:r>
      <w:r w:rsidR="00B07E10" w:rsidRPr="008A0501">
        <w:rPr>
          <w:rFonts w:eastAsia="Arial" w:cs="Times New Roman"/>
          <w:color w:val="000000"/>
          <w:sz w:val="24"/>
          <w:szCs w:val="24"/>
        </w:rPr>
        <w:t>spontaneous reporting schemes worldwide</w:t>
      </w:r>
      <w:r w:rsidR="00E7761B" w:rsidRPr="008A0501">
        <w:rPr>
          <w:rFonts w:eastAsia="Arial" w:cs="Times New Roman"/>
          <w:color w:val="000000"/>
          <w:sz w:val="24"/>
          <w:szCs w:val="24"/>
        </w:rPr>
        <w:t xml:space="preserve"> about the ADRs suspected in CYP</w:t>
      </w:r>
      <w:r w:rsidR="00C721A8">
        <w:rPr>
          <w:rFonts w:eastAsia="Arial" w:cs="Times New Roman"/>
          <w:color w:val="000000"/>
          <w:sz w:val="24"/>
          <w:szCs w:val="24"/>
        </w:rPr>
        <w:t xml:space="preserve"> </w:t>
      </w:r>
      <w:r w:rsidR="00C721A8" w:rsidRPr="008A0501">
        <w:rPr>
          <w:rFonts w:eastAsia="Arial" w:cs="Times New Roman"/>
          <w:color w:val="000000"/>
          <w:sz w:val="24"/>
          <w:szCs w:val="24"/>
        </w:rPr>
        <w:fldChar w:fldCharType="begin">
          <w:fldData xml:space="preserve">PEVuZE5vdGU+PENpdGU+PEF1dGhvcj5IYXdjdXR0PC9BdXRob3I+PFllYXI+MjAxMjwvWWVhcj48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</w:fldData>
        </w:fldChar>
      </w:r>
      <w:r w:rsidR="00C721A8">
        <w:rPr>
          <w:rFonts w:eastAsia="Arial" w:cs="Times New Roman"/>
          <w:color w:val="000000"/>
          <w:sz w:val="24"/>
          <w:szCs w:val="24"/>
        </w:rPr>
        <w:instrText xml:space="preserve"> ADDIN EN.CITE </w:instrText>
      </w:r>
      <w:r w:rsidR="00C721A8">
        <w:rPr>
          <w:rFonts w:eastAsia="Arial" w:cs="Times New Roman"/>
          <w:color w:val="000000"/>
          <w:sz w:val="24"/>
          <w:szCs w:val="24"/>
        </w:rPr>
        <w:fldChar w:fldCharType="begin">
          <w:fldData xml:space="preserve">PEVuZE5vdGU+PENpdGU+PEF1dGhvcj5IYXdjdXR0PC9BdXRob3I+PFllYXI+MjAxMjwvWWVhcj48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</w:fldData>
        </w:fldChar>
      </w:r>
      <w:r w:rsidR="00C721A8">
        <w:rPr>
          <w:rFonts w:eastAsia="Arial" w:cs="Times New Roman"/>
          <w:color w:val="000000"/>
          <w:sz w:val="24"/>
          <w:szCs w:val="24"/>
        </w:rPr>
        <w:instrText xml:space="preserve"> ADDIN EN.CITE.DATA </w:instrText>
      </w:r>
      <w:r w:rsidR="00C721A8">
        <w:rPr>
          <w:rFonts w:eastAsia="Arial" w:cs="Times New Roman"/>
          <w:color w:val="000000"/>
          <w:sz w:val="24"/>
          <w:szCs w:val="24"/>
        </w:rPr>
      </w:r>
      <w:r w:rsidR="00C721A8">
        <w:rPr>
          <w:rFonts w:eastAsia="Arial" w:cs="Times New Roman"/>
          <w:color w:val="000000"/>
          <w:sz w:val="24"/>
          <w:szCs w:val="24"/>
        </w:rPr>
        <w:fldChar w:fldCharType="end"/>
      </w:r>
      <w:r w:rsidR="00C721A8" w:rsidRPr="008A0501">
        <w:rPr>
          <w:rFonts w:eastAsia="Arial" w:cs="Times New Roman"/>
          <w:color w:val="000000"/>
          <w:sz w:val="24"/>
          <w:szCs w:val="24"/>
        </w:rPr>
      </w:r>
      <w:r w:rsidR="00C721A8" w:rsidRPr="008A0501">
        <w:rPr>
          <w:rFonts w:eastAsia="Arial" w:cs="Times New Roman"/>
          <w:color w:val="000000"/>
          <w:sz w:val="24"/>
          <w:szCs w:val="24"/>
        </w:rPr>
        <w:fldChar w:fldCharType="separate"/>
      </w:r>
      <w:r w:rsidR="00C721A8" w:rsidRPr="008A0501">
        <w:rPr>
          <w:rFonts w:eastAsia="Arial" w:cs="Times New Roman"/>
          <w:noProof/>
          <w:color w:val="000000"/>
          <w:sz w:val="24"/>
          <w:szCs w:val="24"/>
        </w:rPr>
        <w:t>[8-13]</w:t>
      </w:r>
      <w:r w:rsidR="00C721A8" w:rsidRPr="008A0501">
        <w:rPr>
          <w:rFonts w:eastAsia="Arial" w:cs="Times New Roman"/>
          <w:color w:val="000000"/>
          <w:sz w:val="24"/>
          <w:szCs w:val="24"/>
        </w:rPr>
        <w:fldChar w:fldCharType="end"/>
      </w:r>
      <w:r w:rsidR="00E7761B" w:rsidRPr="008A0501">
        <w:rPr>
          <w:rFonts w:eastAsia="Arial" w:cs="Times New Roman"/>
          <w:color w:val="000000"/>
          <w:sz w:val="24"/>
          <w:szCs w:val="24"/>
        </w:rPr>
        <w:t xml:space="preserve">, but </w:t>
      </w:r>
      <w:r w:rsidR="00C721A8">
        <w:rPr>
          <w:rFonts w:eastAsia="Arial" w:cs="Times New Roman"/>
          <w:color w:val="000000"/>
          <w:sz w:val="24"/>
          <w:szCs w:val="24"/>
        </w:rPr>
        <w:t>it is not clear whether the reports contained within these publications were</w:t>
      </w:r>
      <w:r w:rsidR="00C04B19" w:rsidRPr="008A0501">
        <w:rPr>
          <w:rFonts w:eastAsia="Arial" w:cs="Times New Roman"/>
          <w:color w:val="000000"/>
          <w:sz w:val="24"/>
          <w:szCs w:val="24"/>
        </w:rPr>
        <w:t xml:space="preserve"> completed by health </w:t>
      </w:r>
      <w:r w:rsidR="00E7761B" w:rsidRPr="008A0501">
        <w:rPr>
          <w:rFonts w:eastAsia="Arial" w:cs="Times New Roman"/>
          <w:color w:val="000000"/>
          <w:sz w:val="24"/>
          <w:szCs w:val="24"/>
        </w:rPr>
        <w:t>prof</w:t>
      </w:r>
      <w:r w:rsidR="00C04B19" w:rsidRPr="008A0501">
        <w:rPr>
          <w:rFonts w:eastAsia="Arial" w:cs="Times New Roman"/>
          <w:color w:val="000000"/>
          <w:sz w:val="24"/>
          <w:szCs w:val="24"/>
        </w:rPr>
        <w:t>e</w:t>
      </w:r>
      <w:r w:rsidR="00E7761B" w:rsidRPr="008A0501">
        <w:rPr>
          <w:rFonts w:eastAsia="Arial" w:cs="Times New Roman"/>
          <w:color w:val="000000"/>
          <w:sz w:val="24"/>
          <w:szCs w:val="24"/>
        </w:rPr>
        <w:t>ssionals</w:t>
      </w:r>
      <w:r w:rsidR="00C721A8">
        <w:rPr>
          <w:rFonts w:eastAsia="Arial" w:cs="Times New Roman"/>
          <w:color w:val="000000"/>
          <w:sz w:val="24"/>
          <w:szCs w:val="24"/>
        </w:rPr>
        <w:t xml:space="preserve">, </w:t>
      </w:r>
      <w:r w:rsidR="00DC0C0E">
        <w:rPr>
          <w:rFonts w:eastAsia="Arial" w:cs="Times New Roman"/>
          <w:color w:val="000000"/>
          <w:sz w:val="24"/>
          <w:szCs w:val="24"/>
        </w:rPr>
        <w:t>parents/carers</w:t>
      </w:r>
      <w:r w:rsidR="00C04B19" w:rsidRPr="008A0501">
        <w:rPr>
          <w:rFonts w:eastAsia="Arial" w:cs="Times New Roman"/>
          <w:color w:val="000000"/>
          <w:sz w:val="24"/>
          <w:szCs w:val="24"/>
        </w:rPr>
        <w:t xml:space="preserve">, </w:t>
      </w:r>
      <w:r w:rsidR="00C721A8">
        <w:rPr>
          <w:rFonts w:eastAsia="Arial" w:cs="Times New Roman"/>
          <w:color w:val="000000"/>
          <w:sz w:val="24"/>
          <w:szCs w:val="24"/>
        </w:rPr>
        <w:t>or</w:t>
      </w:r>
      <w:r w:rsidR="00C04B19" w:rsidRPr="008A0501">
        <w:rPr>
          <w:rFonts w:eastAsia="Arial" w:cs="Times New Roman"/>
          <w:color w:val="000000"/>
          <w:sz w:val="24"/>
          <w:szCs w:val="24"/>
        </w:rPr>
        <w:t xml:space="preserve"> CYP</w:t>
      </w:r>
      <w:r w:rsidR="00DC0C0E">
        <w:rPr>
          <w:rFonts w:eastAsia="Arial" w:cs="Times New Roman"/>
          <w:color w:val="000000"/>
          <w:sz w:val="24"/>
          <w:szCs w:val="24"/>
        </w:rPr>
        <w:t xml:space="preserve"> themselves</w:t>
      </w:r>
      <w:r w:rsidR="00F40F09" w:rsidRPr="008A0501">
        <w:rPr>
          <w:rFonts w:eastAsia="Arial" w:cs="Times New Roman"/>
          <w:color w:val="000000"/>
          <w:sz w:val="24"/>
          <w:szCs w:val="24"/>
        </w:rPr>
        <w:t xml:space="preserve">. </w:t>
      </w:r>
      <w:r w:rsidR="00C721A8" w:rsidRPr="008A0501">
        <w:rPr>
          <w:rFonts w:eastAsia="Arial" w:cs="Times New Roman"/>
          <w:color w:val="000000"/>
          <w:sz w:val="24"/>
          <w:szCs w:val="24"/>
        </w:rPr>
        <w:t xml:space="preserve">To date, there has not been any evaluation of reports of suspected ADRs </w:t>
      </w:r>
      <w:r w:rsidR="00C721A8">
        <w:rPr>
          <w:rFonts w:eastAsia="Arial" w:cs="Times New Roman"/>
          <w:color w:val="000000"/>
          <w:sz w:val="24"/>
          <w:szCs w:val="24"/>
        </w:rPr>
        <w:t xml:space="preserve">specifically </w:t>
      </w:r>
      <w:r w:rsidR="00C721A8" w:rsidRPr="008A0501">
        <w:rPr>
          <w:rFonts w:eastAsia="Arial" w:cs="Times New Roman"/>
          <w:color w:val="000000"/>
          <w:sz w:val="24"/>
          <w:szCs w:val="24"/>
        </w:rPr>
        <w:t>received from CYP</w:t>
      </w:r>
      <w:r w:rsidR="000275EB">
        <w:rPr>
          <w:rFonts w:eastAsia="Arial" w:cs="Times New Roman"/>
          <w:color w:val="000000"/>
          <w:sz w:val="24"/>
          <w:szCs w:val="24"/>
        </w:rPr>
        <w:t xml:space="preserve"> </w:t>
      </w:r>
      <w:r w:rsidR="000275EB">
        <w:rPr>
          <w:rFonts w:eastAsia="Arial" w:cs="Times New Roman"/>
          <w:color w:val="000000"/>
          <w:sz w:val="24"/>
          <w:szCs w:val="24"/>
        </w:rPr>
        <w:fldChar w:fldCharType="begin"/>
      </w:r>
      <w:r w:rsidR="000275EB">
        <w:rPr>
          <w:rFonts w:eastAsia="Arial" w:cs="Times New Roman"/>
          <w:color w:val="000000"/>
          <w:sz w:val="24"/>
          <w:szCs w:val="24"/>
        </w:rPr>
        <w:instrText xml:space="preserve"> ADDIN EN.CITE &lt;EndNote&gt;&lt;Cite&gt;&lt;Author&gt;Cliff-Eribo&lt;/Author&gt;&lt;Year&gt;2016&lt;/Year&gt;&lt;RecNum&gt;78&lt;/RecNum&gt;&lt;DisplayText&gt;[14]&lt;/DisplayText&gt;&lt;record&gt;&lt;rec-number&gt;78&lt;/rec-number&gt;&lt;foreign-keys&gt;&lt;key app="EN" db-id="vfz5x9saseddeqea0zrx2z0idp0sx02e5t9t" timestamp="1569332097"&gt;78&lt;/key&gt;&lt;/foreign-keys&gt;&lt;ref-type name="Journal Article"&gt;17&lt;/ref-type&gt;&lt;contributors&gt;&lt;authors&gt;&lt;author&gt;Cliff-Eribo, Kennedy Obebi&lt;/author&gt;&lt;author&gt;Sammons, Helen&lt;/author&gt;&lt;author&gt;Choonara, Imti&lt;/author&gt;&lt;/authors&gt;&lt;/contributors&gt;&lt;titles&gt;&lt;title&gt;Systematic review of paediatric studies of adverse drug reactions from pharmacovigilance databases&lt;/title&gt;&lt;secondary-title&gt;Expert opinion on drug safety&lt;/secondary-title&gt;&lt;/titles&gt;&lt;periodical&gt;&lt;full-title&gt;Expert opinion on drug safety&lt;/full-title&gt;&lt;/periodical&gt;&lt;pages&gt;1321-1328&lt;/pages&gt;&lt;volume&gt;15&lt;/volume&gt;&lt;number&gt;10&lt;/number&gt;&lt;dates&gt;&lt;year&gt;2016&lt;/year&gt;&lt;/dates&gt;&lt;isbn&gt;1474-0338&lt;/isbn&gt;&lt;urls&gt;&lt;/urls&gt;&lt;/record&gt;&lt;/Cite&gt;&lt;/EndNote&gt;</w:instrText>
      </w:r>
      <w:r w:rsidR="000275EB">
        <w:rPr>
          <w:rFonts w:eastAsia="Arial" w:cs="Times New Roman"/>
          <w:color w:val="000000"/>
          <w:sz w:val="24"/>
          <w:szCs w:val="24"/>
        </w:rPr>
        <w:fldChar w:fldCharType="separate"/>
      </w:r>
      <w:r w:rsidR="000275EB">
        <w:rPr>
          <w:rFonts w:eastAsia="Arial" w:cs="Times New Roman"/>
          <w:noProof/>
          <w:color w:val="000000"/>
          <w:sz w:val="24"/>
          <w:szCs w:val="24"/>
        </w:rPr>
        <w:t>[14]</w:t>
      </w:r>
      <w:r w:rsidR="000275EB">
        <w:rPr>
          <w:rFonts w:eastAsia="Arial" w:cs="Times New Roman"/>
          <w:color w:val="000000"/>
          <w:sz w:val="24"/>
          <w:szCs w:val="24"/>
        </w:rPr>
        <w:fldChar w:fldCharType="end"/>
      </w:r>
      <w:r w:rsidR="00C721A8">
        <w:rPr>
          <w:rFonts w:eastAsia="Arial" w:cs="Times New Roman"/>
          <w:color w:val="000000"/>
          <w:sz w:val="24"/>
          <w:szCs w:val="24"/>
        </w:rPr>
        <w:t>.</w:t>
      </w:r>
    </w:p>
    <w:p w14:paraId="66CBB426" w14:textId="3AE29B15" w:rsidR="00B07E10" w:rsidRPr="008A0501" w:rsidRDefault="00E7761B" w:rsidP="00B07E10">
      <w:pPr>
        <w:spacing w:line="360" w:lineRule="auto"/>
        <w:rPr>
          <w:rFonts w:eastAsia="Arial" w:cs="Times New Roman"/>
          <w:color w:val="000000"/>
          <w:sz w:val="24"/>
          <w:szCs w:val="24"/>
        </w:rPr>
      </w:pPr>
      <w:r w:rsidRPr="008A0501">
        <w:rPr>
          <w:rFonts w:eastAsia="Arial" w:cs="Times New Roman"/>
          <w:color w:val="000000"/>
          <w:sz w:val="24"/>
          <w:szCs w:val="24"/>
        </w:rPr>
        <w:t>Across the</w:t>
      </w:r>
      <w:r w:rsidR="00B07E10" w:rsidRPr="008A0501">
        <w:rPr>
          <w:rFonts w:eastAsia="Arial" w:cs="Times New Roman"/>
          <w:color w:val="000000"/>
          <w:sz w:val="24"/>
          <w:szCs w:val="24"/>
        </w:rPr>
        <w:t xml:space="preserve"> teenage years, a transition from dependence on parents/carers</w:t>
      </w:r>
      <w:r w:rsidRPr="008A0501">
        <w:rPr>
          <w:rFonts w:eastAsia="Arial" w:cs="Times New Roman"/>
          <w:color w:val="000000"/>
          <w:sz w:val="24"/>
          <w:szCs w:val="24"/>
        </w:rPr>
        <w:t>, to</w:t>
      </w:r>
      <w:r w:rsidR="00B07E10" w:rsidRPr="008A0501">
        <w:rPr>
          <w:rFonts w:eastAsia="Arial" w:cs="Times New Roman"/>
          <w:color w:val="000000"/>
          <w:sz w:val="24"/>
          <w:szCs w:val="24"/>
        </w:rPr>
        <w:t xml:space="preserve"> full independence with regard to health matters occurs. This </w:t>
      </w:r>
      <w:r w:rsidRPr="008A0501">
        <w:rPr>
          <w:rFonts w:eastAsia="Arial" w:cs="Times New Roman"/>
          <w:color w:val="000000"/>
          <w:sz w:val="24"/>
          <w:szCs w:val="24"/>
        </w:rPr>
        <w:t xml:space="preserve">has </w:t>
      </w:r>
      <w:r w:rsidR="00C04B19" w:rsidRPr="008A0501">
        <w:rPr>
          <w:rFonts w:eastAsia="Arial" w:cs="Times New Roman"/>
          <w:color w:val="000000"/>
          <w:sz w:val="24"/>
          <w:szCs w:val="24"/>
        </w:rPr>
        <w:t xml:space="preserve">historically </w:t>
      </w:r>
      <w:r w:rsidRPr="008A0501">
        <w:rPr>
          <w:rFonts w:eastAsia="Arial" w:cs="Times New Roman"/>
          <w:color w:val="000000"/>
          <w:sz w:val="24"/>
          <w:szCs w:val="24"/>
        </w:rPr>
        <w:t xml:space="preserve">focussed on </w:t>
      </w:r>
      <w:r w:rsidR="00C04B19" w:rsidRPr="008A0501">
        <w:rPr>
          <w:rFonts w:eastAsia="Arial" w:cs="Times New Roman"/>
          <w:color w:val="000000"/>
          <w:sz w:val="24"/>
          <w:szCs w:val="24"/>
        </w:rPr>
        <w:t xml:space="preserve">aspects of </w:t>
      </w:r>
      <w:r w:rsidRPr="008A0501">
        <w:rPr>
          <w:rFonts w:eastAsia="Arial" w:cs="Times New Roman"/>
          <w:color w:val="000000"/>
          <w:sz w:val="24"/>
          <w:szCs w:val="24"/>
        </w:rPr>
        <w:t xml:space="preserve">disease management, </w:t>
      </w:r>
      <w:r w:rsidR="00C04B19" w:rsidRPr="008A0501">
        <w:rPr>
          <w:rFonts w:eastAsia="Arial" w:cs="Times New Roman"/>
          <w:color w:val="000000"/>
          <w:sz w:val="24"/>
          <w:szCs w:val="24"/>
        </w:rPr>
        <w:t xml:space="preserve">such as adherence to treatment, and attendance at appointments, </w:t>
      </w:r>
      <w:r w:rsidRPr="008A0501">
        <w:rPr>
          <w:rFonts w:eastAsia="Arial" w:cs="Times New Roman"/>
          <w:color w:val="000000"/>
          <w:sz w:val="24"/>
          <w:szCs w:val="24"/>
        </w:rPr>
        <w:t xml:space="preserve">but </w:t>
      </w:r>
      <w:r w:rsidR="00B07E10" w:rsidRPr="008A0501">
        <w:rPr>
          <w:rFonts w:eastAsia="Arial" w:cs="Times New Roman"/>
          <w:color w:val="000000"/>
          <w:sz w:val="24"/>
          <w:szCs w:val="24"/>
        </w:rPr>
        <w:t xml:space="preserve">should include </w:t>
      </w:r>
      <w:r w:rsidR="00C04B19" w:rsidRPr="008A0501">
        <w:rPr>
          <w:rFonts w:eastAsia="Arial" w:cs="Times New Roman"/>
          <w:color w:val="000000"/>
          <w:sz w:val="24"/>
          <w:szCs w:val="24"/>
        </w:rPr>
        <w:t xml:space="preserve">all aspects of healthcare including the </w:t>
      </w:r>
      <w:r w:rsidR="00B07E10" w:rsidRPr="008A0501">
        <w:rPr>
          <w:rFonts w:eastAsia="Arial" w:cs="Times New Roman"/>
          <w:color w:val="000000"/>
          <w:sz w:val="24"/>
          <w:szCs w:val="24"/>
        </w:rPr>
        <w:t>identification and reporting of suspected ADRs.</w:t>
      </w:r>
      <w:r w:rsidR="00C721A8">
        <w:rPr>
          <w:rFonts w:eastAsia="Arial" w:cs="Times New Roman"/>
          <w:color w:val="000000"/>
          <w:sz w:val="24"/>
          <w:szCs w:val="24"/>
        </w:rPr>
        <w:t xml:space="preserve"> There is therefore </w:t>
      </w:r>
      <w:r w:rsidR="001D00CA" w:rsidRPr="008A0501">
        <w:rPr>
          <w:rFonts w:eastAsia="Arial" w:cs="Times New Roman"/>
          <w:color w:val="000000"/>
          <w:sz w:val="24"/>
          <w:szCs w:val="24"/>
        </w:rPr>
        <w:t xml:space="preserve">a need for </w:t>
      </w:r>
      <w:r w:rsidR="00B07E10" w:rsidRPr="008A0501">
        <w:rPr>
          <w:rFonts w:eastAsia="Arial" w:cs="Times New Roman"/>
          <w:color w:val="000000"/>
          <w:sz w:val="24"/>
          <w:szCs w:val="24"/>
        </w:rPr>
        <w:t>specific guidance aimed at CYP to inform, educate and empower them to report their suspected ADRs</w:t>
      </w:r>
      <w:r w:rsidR="00C721A8">
        <w:rPr>
          <w:rFonts w:eastAsia="Arial" w:cs="Times New Roman"/>
          <w:color w:val="000000"/>
          <w:sz w:val="24"/>
          <w:szCs w:val="24"/>
        </w:rPr>
        <w:t>, however no such information has been previously published</w:t>
      </w:r>
      <w:r w:rsidR="00B07E10" w:rsidRPr="008A0501">
        <w:rPr>
          <w:rFonts w:eastAsia="Arial" w:cs="Times New Roman"/>
          <w:color w:val="000000"/>
          <w:sz w:val="24"/>
          <w:szCs w:val="24"/>
        </w:rPr>
        <w:t xml:space="preserve">. </w:t>
      </w:r>
    </w:p>
    <w:p w14:paraId="690BFB74" w14:textId="4854D64A" w:rsidR="00C26DE3" w:rsidRPr="008A0501" w:rsidRDefault="00B07E10" w:rsidP="00B07E10">
      <w:pPr>
        <w:spacing w:line="360" w:lineRule="auto"/>
        <w:rPr>
          <w:rFonts w:eastAsia="Arial" w:cs="Times New Roman"/>
          <w:color w:val="000000"/>
          <w:sz w:val="24"/>
          <w:szCs w:val="24"/>
        </w:rPr>
      </w:pPr>
      <w:r w:rsidRPr="008A0501">
        <w:rPr>
          <w:rFonts w:eastAsia="Arial" w:cs="Times New Roman"/>
          <w:sz w:val="24"/>
          <w:szCs w:val="24"/>
        </w:rPr>
        <w:lastRenderedPageBreak/>
        <w:t xml:space="preserve">The aim of this project was therefore to </w:t>
      </w:r>
      <w:r w:rsidR="00782618" w:rsidRPr="008A0501">
        <w:rPr>
          <w:rFonts w:eastAsia="Arial" w:cs="Times New Roman"/>
          <w:sz w:val="24"/>
          <w:szCs w:val="24"/>
        </w:rPr>
        <w:t xml:space="preserve">examine the YCS reports supplied by CYP, and </w:t>
      </w:r>
      <w:r w:rsidRPr="008A0501">
        <w:rPr>
          <w:rFonts w:eastAsia="Arial" w:cs="Times New Roman"/>
          <w:sz w:val="24"/>
          <w:szCs w:val="24"/>
        </w:rPr>
        <w:t>work with regional, national and international groups of CYP to adapt existing</w:t>
      </w:r>
      <w:r w:rsidR="00E7761B" w:rsidRPr="008A0501">
        <w:rPr>
          <w:rFonts w:eastAsia="Arial" w:cs="Times New Roman"/>
          <w:sz w:val="24"/>
          <w:szCs w:val="24"/>
        </w:rPr>
        <w:t>, adult orientated,</w:t>
      </w:r>
      <w:r w:rsidRPr="008A0501">
        <w:rPr>
          <w:rFonts w:eastAsia="Arial" w:cs="Times New Roman"/>
          <w:sz w:val="24"/>
          <w:szCs w:val="24"/>
        </w:rPr>
        <w:t xml:space="preserve"> information about reporting suspected ADRs into a form that would be useful and acceptable to CYP of various ages</w:t>
      </w:r>
      <w:r w:rsidR="00782618" w:rsidRPr="008A0501">
        <w:rPr>
          <w:rFonts w:eastAsia="Arial" w:cs="Times New Roman"/>
          <w:sz w:val="24"/>
          <w:szCs w:val="24"/>
        </w:rPr>
        <w:t>.</w:t>
      </w:r>
    </w:p>
    <w:p w14:paraId="62D21C5B" w14:textId="77777777" w:rsidR="008660E1" w:rsidRPr="00FC6752" w:rsidRDefault="008660E1" w:rsidP="00B51538">
      <w:pPr>
        <w:pStyle w:val="Heading1"/>
      </w:pPr>
      <w:r w:rsidRPr="00FC6752">
        <w:t xml:space="preserve">Methods </w:t>
      </w:r>
    </w:p>
    <w:p w14:paraId="065BB48D" w14:textId="77777777" w:rsidR="00C77C4E" w:rsidRPr="004F5638" w:rsidRDefault="00C77C4E" w:rsidP="004F5638">
      <w:pPr>
        <w:spacing w:after="0" w:line="360" w:lineRule="auto"/>
        <w:rPr>
          <w:rFonts w:cstheme="minorHAnsi"/>
          <w:b/>
          <w:color w:val="000000" w:themeColor="text1"/>
          <w:u w:val="single"/>
        </w:rPr>
      </w:pPr>
    </w:p>
    <w:p w14:paraId="1517EC02" w14:textId="1048AB6D" w:rsidR="00782618" w:rsidRPr="008A0501" w:rsidRDefault="00782618" w:rsidP="00782618">
      <w:pPr>
        <w:spacing w:line="360" w:lineRule="auto"/>
        <w:outlineLvl w:val="0"/>
        <w:rPr>
          <w:rFonts w:eastAsia="Arial" w:cstheme="minorHAnsi"/>
          <w:sz w:val="24"/>
          <w:szCs w:val="24"/>
        </w:rPr>
      </w:pPr>
      <w:r w:rsidRPr="008A0501">
        <w:rPr>
          <w:rFonts w:eastAsia="Arial" w:cstheme="minorHAnsi"/>
          <w:sz w:val="24"/>
          <w:szCs w:val="24"/>
        </w:rPr>
        <w:t>YCS reports supplied to the MHRA between 01/01/20</w:t>
      </w:r>
      <w:r w:rsidR="00001E1D">
        <w:rPr>
          <w:rFonts w:eastAsia="Arial" w:cstheme="minorHAnsi"/>
          <w:sz w:val="24"/>
          <w:szCs w:val="24"/>
        </w:rPr>
        <w:t>0</w:t>
      </w:r>
      <w:r w:rsidRPr="008A0501">
        <w:rPr>
          <w:rFonts w:eastAsia="Arial" w:cstheme="minorHAnsi"/>
          <w:sz w:val="24"/>
          <w:szCs w:val="24"/>
        </w:rPr>
        <w:t xml:space="preserve">8 and 29/11/2018 were examined. </w:t>
      </w:r>
    </w:p>
    <w:p w14:paraId="6CE1E5BE" w14:textId="16709901" w:rsidR="00E50345" w:rsidRPr="008A0501" w:rsidRDefault="00A47985" w:rsidP="004F5638">
      <w:pPr>
        <w:spacing w:line="360" w:lineRule="auto"/>
        <w:outlineLvl w:val="0"/>
        <w:rPr>
          <w:rFonts w:eastAsia="Arial" w:cstheme="minorHAnsi"/>
          <w:sz w:val="24"/>
          <w:szCs w:val="24"/>
        </w:rPr>
      </w:pPr>
      <w:r w:rsidRPr="008A0501">
        <w:rPr>
          <w:rFonts w:eastAsia="Arial" w:cstheme="minorHAnsi"/>
          <w:sz w:val="24"/>
          <w:szCs w:val="24"/>
        </w:rPr>
        <w:t>For information development, e</w:t>
      </w:r>
      <w:r w:rsidR="00E50345" w:rsidRPr="008A0501">
        <w:rPr>
          <w:rFonts w:eastAsia="Arial" w:cstheme="minorHAnsi"/>
          <w:sz w:val="24"/>
          <w:szCs w:val="24"/>
        </w:rPr>
        <w:t xml:space="preserve">xisting information produced by the MHRA to inform </w:t>
      </w:r>
      <w:r w:rsidR="00E7761B" w:rsidRPr="008A0501">
        <w:rPr>
          <w:rFonts w:eastAsia="Arial" w:cstheme="minorHAnsi"/>
          <w:sz w:val="24"/>
          <w:szCs w:val="24"/>
        </w:rPr>
        <w:t xml:space="preserve">adult </w:t>
      </w:r>
      <w:r w:rsidR="00E50345" w:rsidRPr="008A0501">
        <w:rPr>
          <w:rFonts w:eastAsia="Arial" w:cstheme="minorHAnsi"/>
          <w:sz w:val="24"/>
          <w:szCs w:val="24"/>
        </w:rPr>
        <w:t xml:space="preserve">patients about reporting suspected ADRs was used initially. The review process used four different groups of children and young people to adapt this into text that the CYP in the final group judged acceptable. </w:t>
      </w:r>
      <w:r w:rsidR="00D20BB5" w:rsidRPr="008A0501">
        <w:rPr>
          <w:rFonts w:eastAsia="Arial" w:cstheme="minorHAnsi"/>
          <w:sz w:val="24"/>
          <w:szCs w:val="24"/>
        </w:rPr>
        <w:t xml:space="preserve">Details of each </w:t>
      </w:r>
      <w:r w:rsidR="00E7761B" w:rsidRPr="008A0501">
        <w:rPr>
          <w:rFonts w:eastAsia="Arial" w:cstheme="minorHAnsi"/>
          <w:sz w:val="24"/>
          <w:szCs w:val="24"/>
        </w:rPr>
        <w:t xml:space="preserve">group of </w:t>
      </w:r>
      <w:r w:rsidR="00D20BB5" w:rsidRPr="008A0501">
        <w:rPr>
          <w:rFonts w:eastAsia="Arial" w:cstheme="minorHAnsi"/>
          <w:sz w:val="24"/>
          <w:szCs w:val="24"/>
        </w:rPr>
        <w:t xml:space="preserve">CYP who participated are shown in </w:t>
      </w:r>
      <w:r w:rsidRPr="008A0501">
        <w:rPr>
          <w:rFonts w:eastAsia="Arial" w:cstheme="minorHAnsi"/>
          <w:sz w:val="24"/>
          <w:szCs w:val="24"/>
        </w:rPr>
        <w:t xml:space="preserve">Table </w:t>
      </w:r>
      <w:r w:rsidR="00D20BB5" w:rsidRPr="008A0501">
        <w:rPr>
          <w:rFonts w:eastAsia="Arial" w:cstheme="minorHAnsi"/>
          <w:sz w:val="24"/>
          <w:szCs w:val="24"/>
        </w:rPr>
        <w:t>1.</w:t>
      </w:r>
      <w:r w:rsidR="00C71237" w:rsidRPr="008A0501">
        <w:rPr>
          <w:rFonts w:eastAsia="Arial" w:cstheme="minorHAnsi"/>
          <w:sz w:val="24"/>
          <w:szCs w:val="24"/>
        </w:rPr>
        <w:t xml:space="preserve"> </w:t>
      </w:r>
      <w:r w:rsidR="00DC0C0E">
        <w:rPr>
          <w:rFonts w:eastAsia="Arial" w:cstheme="minorHAnsi"/>
          <w:sz w:val="24"/>
          <w:szCs w:val="24"/>
        </w:rPr>
        <w:t>The q</w:t>
      </w:r>
      <w:r w:rsidR="00C71237" w:rsidRPr="008A0501">
        <w:rPr>
          <w:rFonts w:eastAsia="Arial" w:cstheme="minorHAnsi"/>
          <w:sz w:val="24"/>
          <w:szCs w:val="24"/>
        </w:rPr>
        <w:t xml:space="preserve">uestionnaires used to </w:t>
      </w:r>
      <w:r w:rsidR="00DC0C0E">
        <w:rPr>
          <w:rFonts w:eastAsia="Arial" w:cstheme="minorHAnsi"/>
          <w:sz w:val="24"/>
          <w:szCs w:val="24"/>
        </w:rPr>
        <w:t>facilitate</w:t>
      </w:r>
      <w:r w:rsidR="00C71237" w:rsidRPr="008A0501">
        <w:rPr>
          <w:rFonts w:eastAsia="Arial" w:cstheme="minorHAnsi"/>
          <w:sz w:val="24"/>
          <w:szCs w:val="24"/>
        </w:rPr>
        <w:t xml:space="preserve"> the group discussions with CYP</w:t>
      </w:r>
      <w:r w:rsidR="00A04629" w:rsidRPr="008A0501">
        <w:rPr>
          <w:rFonts w:eastAsia="Arial" w:cstheme="minorHAnsi"/>
          <w:sz w:val="24"/>
          <w:szCs w:val="24"/>
        </w:rPr>
        <w:t xml:space="preserve"> are in the supplementary data section</w:t>
      </w:r>
      <w:r w:rsidR="00C71237" w:rsidRPr="008A0501">
        <w:rPr>
          <w:rFonts w:eastAsia="Arial" w:cstheme="minorHAnsi"/>
          <w:sz w:val="24"/>
          <w:szCs w:val="24"/>
        </w:rPr>
        <w:t>.</w:t>
      </w:r>
    </w:p>
    <w:p w14:paraId="4A42585E" w14:textId="210658C9" w:rsidR="003B3481" w:rsidRDefault="00906F71" w:rsidP="00A47985">
      <w:pPr>
        <w:pStyle w:val="Heading1"/>
      </w:pPr>
      <w:r w:rsidRPr="00A47985">
        <w:t>Results</w:t>
      </w:r>
    </w:p>
    <w:p w14:paraId="0B88D13E" w14:textId="77777777" w:rsidR="00A47985" w:rsidRPr="00A47985" w:rsidRDefault="00A47985" w:rsidP="00A47985"/>
    <w:p w14:paraId="37D1D905" w14:textId="295A02C3" w:rsidR="00185AF0" w:rsidRDefault="00782618" w:rsidP="00782618">
      <w:pPr>
        <w:spacing w:line="360" w:lineRule="auto"/>
        <w:outlineLvl w:val="0"/>
        <w:rPr>
          <w:rFonts w:eastAsia="Arial" w:cs="Times New Roman"/>
          <w:sz w:val="24"/>
          <w:szCs w:val="24"/>
        </w:rPr>
      </w:pPr>
      <w:r>
        <w:rPr>
          <w:rFonts w:eastAsia="Arial" w:cs="Times New Roman"/>
          <w:sz w:val="24"/>
          <w:szCs w:val="24"/>
        </w:rPr>
        <w:t xml:space="preserve">Between 01/01/2008 and 29/11/2018, the MHRA received </w:t>
      </w:r>
      <w:r w:rsidRPr="00782618">
        <w:rPr>
          <w:rFonts w:eastAsia="Arial" w:cs="Times New Roman"/>
          <w:sz w:val="24"/>
          <w:szCs w:val="24"/>
        </w:rPr>
        <w:t>41630 reported ADR reports in patients &lt;19</w:t>
      </w:r>
      <w:r>
        <w:rPr>
          <w:rFonts w:eastAsia="Arial" w:cs="Times New Roman"/>
          <w:sz w:val="24"/>
          <w:szCs w:val="24"/>
        </w:rPr>
        <w:t xml:space="preserve"> years of age. Of these, </w:t>
      </w:r>
      <w:r w:rsidR="00CD5817">
        <w:rPr>
          <w:rFonts w:eastAsia="Arial" w:cs="Times New Roman"/>
          <w:sz w:val="24"/>
          <w:szCs w:val="24"/>
        </w:rPr>
        <w:t xml:space="preserve">only </w:t>
      </w:r>
      <w:r>
        <w:rPr>
          <w:rFonts w:eastAsia="Arial" w:cs="Times New Roman"/>
          <w:sz w:val="24"/>
          <w:szCs w:val="24"/>
        </w:rPr>
        <w:t xml:space="preserve">948 (2.3%) were identified as being </w:t>
      </w:r>
      <w:proofErr w:type="spellStart"/>
      <w:r>
        <w:rPr>
          <w:rFonts w:eastAsia="Arial" w:cs="Times New Roman"/>
          <w:sz w:val="24"/>
          <w:szCs w:val="24"/>
        </w:rPr>
        <w:t>self reported</w:t>
      </w:r>
      <w:proofErr w:type="spellEnd"/>
      <w:r>
        <w:rPr>
          <w:rFonts w:eastAsia="Arial" w:cs="Times New Roman"/>
          <w:sz w:val="24"/>
          <w:szCs w:val="24"/>
        </w:rPr>
        <w:t xml:space="preserve"> by CYP</w:t>
      </w:r>
      <w:r w:rsidR="00CD5817">
        <w:rPr>
          <w:rFonts w:eastAsia="Arial" w:cs="Times New Roman"/>
          <w:sz w:val="24"/>
          <w:szCs w:val="24"/>
        </w:rPr>
        <w:t>. The medications reported by CYP differ markedly from those reported in CYP generally (</w:t>
      </w:r>
      <w:r w:rsidR="00A47985">
        <w:rPr>
          <w:rFonts w:eastAsia="Arial" w:cs="Times New Roman"/>
          <w:sz w:val="24"/>
          <w:szCs w:val="24"/>
        </w:rPr>
        <w:t>Table 2</w:t>
      </w:r>
      <w:r w:rsidR="00CD5817">
        <w:rPr>
          <w:rFonts w:eastAsia="Arial" w:cs="Times New Roman"/>
          <w:sz w:val="24"/>
          <w:szCs w:val="24"/>
        </w:rPr>
        <w:t>). Of the 25 most commonly reported medications in patients &lt;19 years, seven are immunisations given to very young children only. Of the remaining 18 most commonly reported medications, only six (33.3%) were present in the 25 most commonly reported by CYP</w:t>
      </w:r>
      <w:r>
        <w:rPr>
          <w:rFonts w:eastAsia="Arial" w:cs="Times New Roman"/>
          <w:sz w:val="24"/>
          <w:szCs w:val="24"/>
        </w:rPr>
        <w:t xml:space="preserve">. </w:t>
      </w:r>
      <w:r w:rsidR="00185AF0">
        <w:rPr>
          <w:rFonts w:eastAsia="Arial" w:cs="Times New Roman"/>
          <w:sz w:val="24"/>
          <w:szCs w:val="24"/>
        </w:rPr>
        <w:t xml:space="preserve">Human </w:t>
      </w:r>
      <w:proofErr w:type="spellStart"/>
      <w:r w:rsidR="00185AF0">
        <w:rPr>
          <w:rFonts w:eastAsia="Arial" w:cs="Times New Roman"/>
          <w:sz w:val="24"/>
          <w:szCs w:val="24"/>
        </w:rPr>
        <w:t>Pappiloma</w:t>
      </w:r>
      <w:proofErr w:type="spellEnd"/>
      <w:r w:rsidR="00185AF0">
        <w:rPr>
          <w:rFonts w:eastAsia="Arial" w:cs="Times New Roman"/>
          <w:sz w:val="24"/>
          <w:szCs w:val="24"/>
        </w:rPr>
        <w:t xml:space="preserve"> Virus was the most commonly suspected medication for both reports in patients &lt;19 years, and by CYP. </w:t>
      </w:r>
    </w:p>
    <w:p w14:paraId="7D28B9DE" w14:textId="07160B0B" w:rsidR="00FE6DA1" w:rsidRDefault="00FE6DA1" w:rsidP="00782618">
      <w:pPr>
        <w:spacing w:line="360" w:lineRule="auto"/>
        <w:outlineLvl w:val="0"/>
        <w:rPr>
          <w:rFonts w:eastAsia="Arial" w:cs="Times New Roman"/>
          <w:sz w:val="24"/>
          <w:szCs w:val="24"/>
        </w:rPr>
      </w:pPr>
      <w:r>
        <w:rPr>
          <w:rFonts w:eastAsia="Arial" w:cs="Times New Roman"/>
          <w:sz w:val="24"/>
          <w:szCs w:val="24"/>
        </w:rPr>
        <w:t>The reactions reported by CYP also differ from those reported about CYP. The 25 most common reactions for each group are shown in table 3. Sixteen of the twenty-five suspected reactions are included in both the reports by CYP, and those about CYP. CYP generated included reactions related to mental health (depression [n=60], a</w:t>
      </w:r>
      <w:r w:rsidRPr="00FE6DA1">
        <w:rPr>
          <w:rFonts w:eastAsia="Arial" w:cs="Times New Roman"/>
          <w:sz w:val="24"/>
          <w:szCs w:val="24"/>
        </w:rPr>
        <w:t>nxiety</w:t>
      </w:r>
      <w:r>
        <w:rPr>
          <w:rFonts w:eastAsia="Arial" w:cs="Times New Roman"/>
          <w:sz w:val="24"/>
          <w:szCs w:val="24"/>
        </w:rPr>
        <w:t xml:space="preserve"> [n=</w:t>
      </w:r>
      <w:r w:rsidRPr="00FE6DA1">
        <w:rPr>
          <w:rFonts w:eastAsia="Arial" w:cs="Times New Roman"/>
          <w:sz w:val="24"/>
          <w:szCs w:val="24"/>
        </w:rPr>
        <w:t>31</w:t>
      </w:r>
      <w:r>
        <w:rPr>
          <w:rFonts w:eastAsia="Arial" w:cs="Times New Roman"/>
          <w:sz w:val="24"/>
          <w:szCs w:val="24"/>
        </w:rPr>
        <w:t xml:space="preserve">], and suicidal ideation [n=26]) that were not present in the common reports about CYP.  </w:t>
      </w:r>
    </w:p>
    <w:p w14:paraId="69374D14" w14:textId="442A38CD" w:rsidR="00782618" w:rsidRDefault="00CD5817" w:rsidP="00782618">
      <w:pPr>
        <w:spacing w:line="360" w:lineRule="auto"/>
        <w:outlineLvl w:val="0"/>
        <w:rPr>
          <w:rFonts w:eastAsia="Arial" w:cs="Times New Roman"/>
          <w:sz w:val="24"/>
          <w:szCs w:val="24"/>
        </w:rPr>
      </w:pPr>
      <w:r>
        <w:rPr>
          <w:rFonts w:eastAsia="Arial" w:cs="Times New Roman"/>
          <w:sz w:val="24"/>
          <w:szCs w:val="24"/>
        </w:rPr>
        <w:t>The youngest CYP to provide report</w:t>
      </w:r>
      <w:r w:rsidR="00FB3BD5">
        <w:rPr>
          <w:rFonts w:eastAsia="Arial" w:cs="Times New Roman"/>
          <w:sz w:val="24"/>
          <w:szCs w:val="24"/>
        </w:rPr>
        <w:t>s</w:t>
      </w:r>
      <w:r>
        <w:rPr>
          <w:rFonts w:eastAsia="Arial" w:cs="Times New Roman"/>
          <w:sz w:val="24"/>
          <w:szCs w:val="24"/>
        </w:rPr>
        <w:t xml:space="preserve"> to the YCS w</w:t>
      </w:r>
      <w:r w:rsidR="00FB3BD5">
        <w:rPr>
          <w:rFonts w:eastAsia="Arial" w:cs="Times New Roman"/>
          <w:sz w:val="24"/>
          <w:szCs w:val="24"/>
        </w:rPr>
        <w:t>ere</w:t>
      </w:r>
      <w:r>
        <w:rPr>
          <w:rFonts w:eastAsia="Arial" w:cs="Times New Roman"/>
          <w:sz w:val="24"/>
          <w:szCs w:val="24"/>
        </w:rPr>
        <w:t xml:space="preserve"> age 10, although most were older teenagers (Table </w:t>
      </w:r>
      <w:r w:rsidR="00FE6DA1">
        <w:rPr>
          <w:rFonts w:eastAsia="Arial" w:cs="Times New Roman"/>
          <w:sz w:val="24"/>
          <w:szCs w:val="24"/>
        </w:rPr>
        <w:t>4</w:t>
      </w:r>
      <w:r>
        <w:rPr>
          <w:rFonts w:eastAsia="Arial" w:cs="Times New Roman"/>
          <w:sz w:val="24"/>
          <w:szCs w:val="24"/>
        </w:rPr>
        <w:t xml:space="preserve">). Reports from CYP have increased in frequency since reporting was </w:t>
      </w:r>
      <w:r>
        <w:rPr>
          <w:rFonts w:eastAsia="Arial" w:cs="Times New Roman"/>
          <w:sz w:val="24"/>
          <w:szCs w:val="24"/>
        </w:rPr>
        <w:lastRenderedPageBreak/>
        <w:t xml:space="preserve">introduced, (Table </w:t>
      </w:r>
      <w:r w:rsidR="00FE6DA1">
        <w:rPr>
          <w:rFonts w:eastAsia="Arial" w:cs="Times New Roman"/>
          <w:sz w:val="24"/>
          <w:szCs w:val="24"/>
        </w:rPr>
        <w:t>4</w:t>
      </w:r>
      <w:r>
        <w:rPr>
          <w:rFonts w:eastAsia="Arial" w:cs="Times New Roman"/>
          <w:sz w:val="24"/>
          <w:szCs w:val="24"/>
        </w:rPr>
        <w:t>), and in the current year to date</w:t>
      </w:r>
      <w:r w:rsidR="00185AF0">
        <w:rPr>
          <w:rFonts w:eastAsia="Arial" w:cs="Times New Roman"/>
          <w:sz w:val="24"/>
          <w:szCs w:val="24"/>
        </w:rPr>
        <w:t xml:space="preserve"> shows a 3% increase, despite overall YCS reports decreasing by 4% (MHRA, personal communication)</w:t>
      </w:r>
      <w:r>
        <w:rPr>
          <w:rFonts w:eastAsia="Arial" w:cs="Times New Roman"/>
          <w:sz w:val="24"/>
          <w:szCs w:val="24"/>
        </w:rPr>
        <w:t xml:space="preserve">. </w:t>
      </w:r>
      <w:r w:rsidR="00782618" w:rsidRPr="00782618">
        <w:rPr>
          <w:rFonts w:eastAsia="Arial" w:cs="Times New Roman"/>
          <w:sz w:val="24"/>
          <w:szCs w:val="24"/>
        </w:rPr>
        <w:t xml:space="preserve"> </w:t>
      </w:r>
      <w:r w:rsidR="00782618">
        <w:rPr>
          <w:rFonts w:eastAsia="Arial" w:cs="Times New Roman"/>
          <w:sz w:val="24"/>
          <w:szCs w:val="24"/>
        </w:rPr>
        <w:t xml:space="preserve"> </w:t>
      </w:r>
    </w:p>
    <w:p w14:paraId="165CB210" w14:textId="23F27570" w:rsidR="00782618" w:rsidRPr="00D86328" w:rsidRDefault="009D65A1" w:rsidP="00782618">
      <w:pPr>
        <w:spacing w:line="360" w:lineRule="auto"/>
        <w:rPr>
          <w:rFonts w:cstheme="minorHAnsi"/>
          <w:sz w:val="24"/>
          <w:szCs w:val="24"/>
        </w:rPr>
      </w:pPr>
      <w:r w:rsidRPr="00D86328">
        <w:rPr>
          <w:rFonts w:cstheme="minorHAnsi"/>
          <w:sz w:val="24"/>
          <w:szCs w:val="24"/>
        </w:rPr>
        <w:t>For the development of CYP specific information about how to report a suspected ADR, d</w:t>
      </w:r>
      <w:r w:rsidR="00782618" w:rsidRPr="00D86328">
        <w:rPr>
          <w:rFonts w:cstheme="minorHAnsi"/>
          <w:sz w:val="24"/>
          <w:szCs w:val="24"/>
        </w:rPr>
        <w:t xml:space="preserve">etails of the CYP groups attended, ages, and number of participants is shown in </w:t>
      </w:r>
      <w:r w:rsidR="00C721A8">
        <w:rPr>
          <w:rFonts w:cstheme="minorHAnsi"/>
          <w:sz w:val="24"/>
          <w:szCs w:val="24"/>
        </w:rPr>
        <w:t>T</w:t>
      </w:r>
      <w:r w:rsidR="00C721A8" w:rsidRPr="00D86328">
        <w:rPr>
          <w:rFonts w:cstheme="minorHAnsi"/>
          <w:sz w:val="24"/>
          <w:szCs w:val="24"/>
        </w:rPr>
        <w:t xml:space="preserve">able </w:t>
      </w:r>
      <w:r w:rsidR="00782618" w:rsidRPr="00D86328">
        <w:rPr>
          <w:rFonts w:cstheme="minorHAnsi"/>
          <w:sz w:val="24"/>
          <w:szCs w:val="24"/>
        </w:rPr>
        <w:t xml:space="preserve">1. A summary of each phase of information development is presented below. Full details of the discussions that occurred in each session are in the supplementary data section.   </w:t>
      </w:r>
    </w:p>
    <w:p w14:paraId="3DC4CD63" w14:textId="57AB0C9F" w:rsidR="00B76F4D" w:rsidRPr="004F5638" w:rsidRDefault="00DE54FC" w:rsidP="000C07A0">
      <w:pPr>
        <w:pStyle w:val="Heading3"/>
      </w:pPr>
      <w:r w:rsidRPr="004F5638">
        <w:t xml:space="preserve">Phase I </w:t>
      </w:r>
    </w:p>
    <w:p w14:paraId="1A64B335" w14:textId="532DC180" w:rsidR="00120F01" w:rsidRPr="00873952" w:rsidRDefault="006D0A61" w:rsidP="004F5638">
      <w:pPr>
        <w:spacing w:line="360" w:lineRule="auto"/>
        <w:rPr>
          <w:rFonts w:cstheme="minorHAnsi"/>
          <w:sz w:val="24"/>
          <w:szCs w:val="24"/>
        </w:rPr>
      </w:pPr>
      <w:r w:rsidRPr="00873952">
        <w:rPr>
          <w:rFonts w:cstheme="minorHAnsi"/>
          <w:sz w:val="24"/>
          <w:szCs w:val="24"/>
        </w:rPr>
        <w:t xml:space="preserve">The </w:t>
      </w:r>
      <w:r w:rsidR="000F76A6" w:rsidRPr="00873952">
        <w:rPr>
          <w:rFonts w:cstheme="minorHAnsi"/>
          <w:sz w:val="24"/>
          <w:szCs w:val="24"/>
        </w:rPr>
        <w:t xml:space="preserve">CYP were clear that a single source of information would not be sufficient. They suggested that there </w:t>
      </w:r>
      <w:r w:rsidRPr="00873952">
        <w:rPr>
          <w:rFonts w:cstheme="minorHAnsi"/>
          <w:sz w:val="24"/>
          <w:szCs w:val="24"/>
        </w:rPr>
        <w:t xml:space="preserve">should be </w:t>
      </w:r>
      <w:r w:rsidR="00E7761B" w:rsidRPr="00873952">
        <w:rPr>
          <w:rFonts w:eastAsia="Arial" w:cstheme="minorHAnsi"/>
          <w:sz w:val="24"/>
          <w:szCs w:val="24"/>
        </w:rPr>
        <w:t>two versions of the information, one for older children (approximately 12 and older) and one for younger (less than twelve)</w:t>
      </w:r>
      <w:r w:rsidR="00120F01" w:rsidRPr="00873952">
        <w:rPr>
          <w:rFonts w:cstheme="minorHAnsi"/>
          <w:sz w:val="24"/>
          <w:szCs w:val="24"/>
        </w:rPr>
        <w:t xml:space="preserve">. </w:t>
      </w:r>
      <w:r w:rsidR="00F61C55" w:rsidRPr="00873952">
        <w:rPr>
          <w:rFonts w:cstheme="minorHAnsi"/>
          <w:sz w:val="24"/>
          <w:szCs w:val="24"/>
        </w:rPr>
        <w:t>Additionally,</w:t>
      </w:r>
      <w:r w:rsidR="00E126A6" w:rsidRPr="00873952">
        <w:rPr>
          <w:rFonts w:cstheme="minorHAnsi"/>
          <w:sz w:val="24"/>
          <w:szCs w:val="24"/>
        </w:rPr>
        <w:t xml:space="preserve"> </w:t>
      </w:r>
      <w:r w:rsidR="00E7761B" w:rsidRPr="00873952">
        <w:rPr>
          <w:rFonts w:cstheme="minorHAnsi"/>
          <w:sz w:val="24"/>
          <w:szCs w:val="24"/>
        </w:rPr>
        <w:t xml:space="preserve">when reviewing existing adult orientated information, </w:t>
      </w:r>
      <w:r w:rsidR="00120F01" w:rsidRPr="00873952">
        <w:rPr>
          <w:rFonts w:cstheme="minorHAnsi"/>
          <w:sz w:val="24"/>
          <w:szCs w:val="24"/>
        </w:rPr>
        <w:t xml:space="preserve">it was stated that </w:t>
      </w:r>
      <w:r w:rsidR="00E7761B" w:rsidRPr="00873952">
        <w:rPr>
          <w:rFonts w:cstheme="minorHAnsi"/>
          <w:sz w:val="24"/>
          <w:szCs w:val="24"/>
        </w:rPr>
        <w:t xml:space="preserve">these contained too much </w:t>
      </w:r>
      <w:r w:rsidR="00120F01" w:rsidRPr="00873952">
        <w:rPr>
          <w:rFonts w:cstheme="minorHAnsi"/>
          <w:sz w:val="24"/>
          <w:szCs w:val="24"/>
        </w:rPr>
        <w:t xml:space="preserve">information, </w:t>
      </w:r>
      <w:r w:rsidR="00E7761B" w:rsidRPr="00873952">
        <w:rPr>
          <w:rFonts w:cstheme="minorHAnsi"/>
          <w:sz w:val="24"/>
          <w:szCs w:val="24"/>
        </w:rPr>
        <w:t xml:space="preserve">and re-working them into </w:t>
      </w:r>
      <w:r w:rsidR="00120F01" w:rsidRPr="00873952">
        <w:rPr>
          <w:rFonts w:cstheme="minorHAnsi"/>
          <w:sz w:val="24"/>
          <w:szCs w:val="24"/>
        </w:rPr>
        <w:t xml:space="preserve">‘bite sized’ chunks </w:t>
      </w:r>
      <w:r w:rsidR="00E7761B" w:rsidRPr="00873952">
        <w:rPr>
          <w:rFonts w:cstheme="minorHAnsi"/>
          <w:sz w:val="24"/>
          <w:szCs w:val="24"/>
        </w:rPr>
        <w:t>for CYP was requested</w:t>
      </w:r>
      <w:r w:rsidR="00120F01" w:rsidRPr="00873952">
        <w:rPr>
          <w:rFonts w:cstheme="minorHAnsi"/>
          <w:sz w:val="24"/>
          <w:szCs w:val="24"/>
        </w:rPr>
        <w:t xml:space="preserve">. </w:t>
      </w:r>
      <w:r w:rsidR="000F76A6" w:rsidRPr="00873952">
        <w:rPr>
          <w:rFonts w:cstheme="minorHAnsi"/>
          <w:sz w:val="24"/>
          <w:szCs w:val="24"/>
        </w:rPr>
        <w:t xml:space="preserve">Specific </w:t>
      </w:r>
      <w:r w:rsidR="00120F01" w:rsidRPr="00873952">
        <w:rPr>
          <w:rFonts w:cstheme="minorHAnsi"/>
          <w:sz w:val="24"/>
          <w:szCs w:val="24"/>
        </w:rPr>
        <w:t xml:space="preserve">information </w:t>
      </w:r>
      <w:r w:rsidR="000F76A6" w:rsidRPr="00873952">
        <w:rPr>
          <w:rFonts w:cstheme="minorHAnsi"/>
          <w:sz w:val="24"/>
          <w:szCs w:val="24"/>
        </w:rPr>
        <w:t xml:space="preserve">the CYP requested be </w:t>
      </w:r>
      <w:r w:rsidR="007112D2">
        <w:rPr>
          <w:rFonts w:cstheme="minorHAnsi"/>
          <w:sz w:val="24"/>
          <w:szCs w:val="24"/>
        </w:rPr>
        <w:t xml:space="preserve">part of </w:t>
      </w:r>
      <w:r w:rsidR="00120F01" w:rsidRPr="00873952">
        <w:rPr>
          <w:rFonts w:cstheme="minorHAnsi"/>
          <w:sz w:val="24"/>
          <w:szCs w:val="24"/>
        </w:rPr>
        <w:t xml:space="preserve">both </w:t>
      </w:r>
      <w:r w:rsidR="000F76A6" w:rsidRPr="00873952">
        <w:rPr>
          <w:rFonts w:cstheme="minorHAnsi"/>
          <w:sz w:val="24"/>
          <w:szCs w:val="24"/>
        </w:rPr>
        <w:t xml:space="preserve">the older and younger </w:t>
      </w:r>
      <w:r w:rsidR="00A967B4" w:rsidRPr="00873952">
        <w:rPr>
          <w:rFonts w:cstheme="minorHAnsi"/>
          <w:sz w:val="24"/>
          <w:szCs w:val="24"/>
        </w:rPr>
        <w:t xml:space="preserve">CYP </w:t>
      </w:r>
      <w:r w:rsidR="000F76A6" w:rsidRPr="00873952">
        <w:rPr>
          <w:rFonts w:cstheme="minorHAnsi"/>
          <w:sz w:val="24"/>
          <w:szCs w:val="24"/>
        </w:rPr>
        <w:t xml:space="preserve">information </w:t>
      </w:r>
      <w:r w:rsidR="00E126A6" w:rsidRPr="00873952">
        <w:rPr>
          <w:rFonts w:cstheme="minorHAnsi"/>
          <w:sz w:val="24"/>
          <w:szCs w:val="24"/>
        </w:rPr>
        <w:t>include</w:t>
      </w:r>
      <w:r w:rsidR="006C3F1C" w:rsidRPr="00873952">
        <w:rPr>
          <w:rFonts w:cstheme="minorHAnsi"/>
          <w:sz w:val="24"/>
          <w:szCs w:val="24"/>
        </w:rPr>
        <w:t>d:</w:t>
      </w:r>
      <w:r w:rsidR="00E126A6" w:rsidRPr="00873952">
        <w:rPr>
          <w:rFonts w:cstheme="minorHAnsi"/>
          <w:sz w:val="24"/>
          <w:szCs w:val="24"/>
        </w:rPr>
        <w:t xml:space="preserve"> The ways you can make a yellow card report</w:t>
      </w:r>
      <w:r w:rsidR="006C3F1C" w:rsidRPr="00873952">
        <w:rPr>
          <w:rFonts w:cstheme="minorHAnsi"/>
          <w:sz w:val="24"/>
          <w:szCs w:val="24"/>
        </w:rPr>
        <w:t>;</w:t>
      </w:r>
      <w:r w:rsidR="00E126A6" w:rsidRPr="00873952">
        <w:rPr>
          <w:rFonts w:cstheme="minorHAnsi"/>
          <w:sz w:val="24"/>
          <w:szCs w:val="24"/>
        </w:rPr>
        <w:t xml:space="preserve"> what to report</w:t>
      </w:r>
      <w:r w:rsidR="006C3F1C" w:rsidRPr="00873952">
        <w:rPr>
          <w:rFonts w:cstheme="minorHAnsi"/>
          <w:sz w:val="24"/>
          <w:szCs w:val="24"/>
        </w:rPr>
        <w:t>;</w:t>
      </w:r>
      <w:r w:rsidR="00E126A6" w:rsidRPr="00873952">
        <w:rPr>
          <w:rFonts w:cstheme="minorHAnsi"/>
          <w:sz w:val="24"/>
          <w:szCs w:val="24"/>
        </w:rPr>
        <w:t xml:space="preserve"> protection of personal information</w:t>
      </w:r>
      <w:r w:rsidR="006C3F1C" w:rsidRPr="00873952">
        <w:rPr>
          <w:rFonts w:cstheme="minorHAnsi"/>
          <w:sz w:val="24"/>
          <w:szCs w:val="24"/>
        </w:rPr>
        <w:t>; where</w:t>
      </w:r>
      <w:r w:rsidR="00E126A6" w:rsidRPr="00873952">
        <w:rPr>
          <w:rFonts w:cstheme="minorHAnsi"/>
          <w:sz w:val="24"/>
          <w:szCs w:val="24"/>
        </w:rPr>
        <w:t xml:space="preserve"> to get more information</w:t>
      </w:r>
      <w:r w:rsidR="006C3F1C" w:rsidRPr="00873952">
        <w:rPr>
          <w:rFonts w:cstheme="minorHAnsi"/>
          <w:sz w:val="24"/>
          <w:szCs w:val="24"/>
        </w:rPr>
        <w:t>; what are the potential benefits to reporting?</w:t>
      </w:r>
    </w:p>
    <w:p w14:paraId="73B7A03B" w14:textId="5B256050" w:rsidR="00E910C5" w:rsidRPr="004F5638" w:rsidRDefault="00982F57" w:rsidP="00873952">
      <w:pPr>
        <w:pStyle w:val="Heading3"/>
      </w:pPr>
      <w:r w:rsidRPr="004F5638">
        <w:t xml:space="preserve">Phase II </w:t>
      </w:r>
    </w:p>
    <w:p w14:paraId="27253252" w14:textId="41FA924F" w:rsidR="00982F57" w:rsidRPr="00873952" w:rsidRDefault="00982F57" w:rsidP="004F5638">
      <w:pPr>
        <w:spacing w:line="360" w:lineRule="auto"/>
        <w:rPr>
          <w:rFonts w:cstheme="minorHAnsi"/>
          <w:sz w:val="24"/>
          <w:szCs w:val="24"/>
        </w:rPr>
      </w:pPr>
      <w:r w:rsidRPr="00873952">
        <w:rPr>
          <w:rFonts w:cstheme="minorHAnsi"/>
          <w:sz w:val="24"/>
          <w:szCs w:val="24"/>
        </w:rPr>
        <w:t xml:space="preserve">Phase II </w:t>
      </w:r>
      <w:r w:rsidR="00264B15" w:rsidRPr="00873952">
        <w:rPr>
          <w:rFonts w:cstheme="minorHAnsi"/>
          <w:sz w:val="24"/>
          <w:szCs w:val="24"/>
        </w:rPr>
        <w:t xml:space="preserve">refined the language used, and topics covered in the two versions of the information under development. This session also strongly supported the concept </w:t>
      </w:r>
      <w:r w:rsidR="00C71237" w:rsidRPr="00873952">
        <w:rPr>
          <w:rFonts w:cstheme="minorHAnsi"/>
          <w:sz w:val="24"/>
          <w:szCs w:val="24"/>
        </w:rPr>
        <w:t>that t</w:t>
      </w:r>
      <w:r w:rsidR="00264B15" w:rsidRPr="00873952">
        <w:rPr>
          <w:rFonts w:cstheme="minorHAnsi"/>
          <w:sz w:val="24"/>
          <w:szCs w:val="24"/>
        </w:rPr>
        <w:t xml:space="preserve">his information </w:t>
      </w:r>
      <w:r w:rsidR="00C71237" w:rsidRPr="00873952">
        <w:rPr>
          <w:rFonts w:cstheme="minorHAnsi"/>
          <w:sz w:val="24"/>
          <w:szCs w:val="24"/>
        </w:rPr>
        <w:t xml:space="preserve">should </w:t>
      </w:r>
      <w:r w:rsidR="006660D0" w:rsidRPr="00873952">
        <w:rPr>
          <w:rFonts w:cstheme="minorHAnsi"/>
          <w:sz w:val="24"/>
          <w:szCs w:val="24"/>
        </w:rPr>
        <w:t>enabl</w:t>
      </w:r>
      <w:r w:rsidR="00C71237" w:rsidRPr="00873952">
        <w:rPr>
          <w:rFonts w:cstheme="minorHAnsi"/>
          <w:sz w:val="24"/>
          <w:szCs w:val="24"/>
        </w:rPr>
        <w:t>e</w:t>
      </w:r>
      <w:r w:rsidR="006660D0" w:rsidRPr="00873952">
        <w:rPr>
          <w:rFonts w:cstheme="minorHAnsi"/>
          <w:sz w:val="24"/>
          <w:szCs w:val="24"/>
        </w:rPr>
        <w:t xml:space="preserve"> </w:t>
      </w:r>
      <w:r w:rsidR="00264B15" w:rsidRPr="00873952">
        <w:rPr>
          <w:rFonts w:cstheme="minorHAnsi"/>
          <w:sz w:val="24"/>
          <w:szCs w:val="24"/>
        </w:rPr>
        <w:t>CYP</w:t>
      </w:r>
      <w:r w:rsidR="006660D0" w:rsidRPr="00873952">
        <w:rPr>
          <w:rFonts w:cstheme="minorHAnsi"/>
          <w:sz w:val="24"/>
          <w:szCs w:val="24"/>
        </w:rPr>
        <w:t xml:space="preserve"> to report their own ADRs</w:t>
      </w:r>
      <w:r w:rsidR="00264B15" w:rsidRPr="00873952">
        <w:rPr>
          <w:rFonts w:cstheme="minorHAnsi"/>
          <w:sz w:val="24"/>
          <w:szCs w:val="24"/>
        </w:rPr>
        <w:t>. This was incorporated into the older CYP information sheet.</w:t>
      </w:r>
    </w:p>
    <w:p w14:paraId="7DB79DE0" w14:textId="1063F9D8" w:rsidR="00264B15" w:rsidRPr="004F5638" w:rsidRDefault="00264B15" w:rsidP="000C07A0">
      <w:pPr>
        <w:pStyle w:val="Heading3"/>
      </w:pPr>
      <w:r w:rsidRPr="004F5638">
        <w:t xml:space="preserve">Phase </w:t>
      </w:r>
      <w:r w:rsidR="00C71237" w:rsidRPr="004F5638">
        <w:t>III</w:t>
      </w:r>
      <w:r w:rsidRPr="004F5638">
        <w:t>-VI</w:t>
      </w:r>
    </w:p>
    <w:p w14:paraId="6115FCE6" w14:textId="78C48CEB" w:rsidR="009C72B1" w:rsidRPr="00873952" w:rsidRDefault="00C508A6" w:rsidP="004F5638">
      <w:pPr>
        <w:spacing w:line="360" w:lineRule="auto"/>
        <w:rPr>
          <w:rFonts w:cstheme="minorHAnsi"/>
          <w:sz w:val="24"/>
          <w:szCs w:val="24"/>
        </w:rPr>
      </w:pPr>
      <w:r w:rsidRPr="00873952">
        <w:rPr>
          <w:rFonts w:cstheme="minorHAnsi"/>
          <w:sz w:val="24"/>
          <w:szCs w:val="24"/>
        </w:rPr>
        <w:t>Phase IV through to VI consisted of iterati</w:t>
      </w:r>
      <w:r w:rsidR="00C71237" w:rsidRPr="00873952">
        <w:rPr>
          <w:rFonts w:cstheme="minorHAnsi"/>
          <w:sz w:val="24"/>
          <w:szCs w:val="24"/>
        </w:rPr>
        <w:t xml:space="preserve">ve improvements to both the information for older and younger CYP. Updates to the information included the </w:t>
      </w:r>
      <w:r w:rsidRPr="00873952">
        <w:rPr>
          <w:rFonts w:cstheme="minorHAnsi"/>
          <w:sz w:val="24"/>
          <w:szCs w:val="24"/>
        </w:rPr>
        <w:t xml:space="preserve">format, language and </w:t>
      </w:r>
      <w:r w:rsidR="0021644A" w:rsidRPr="00873952">
        <w:rPr>
          <w:rFonts w:cstheme="minorHAnsi"/>
          <w:sz w:val="24"/>
          <w:szCs w:val="24"/>
        </w:rPr>
        <w:t xml:space="preserve">structure. </w:t>
      </w:r>
      <w:r w:rsidR="00C71237" w:rsidRPr="00873952">
        <w:rPr>
          <w:rFonts w:cstheme="minorHAnsi"/>
          <w:sz w:val="24"/>
          <w:szCs w:val="24"/>
        </w:rPr>
        <w:t>At the final review (Phase VI), there were no substantive changes suggested by the groups of CYP who reviewed the information</w:t>
      </w:r>
      <w:r w:rsidR="004F5638" w:rsidRPr="00873952">
        <w:rPr>
          <w:rFonts w:cstheme="minorHAnsi"/>
          <w:sz w:val="24"/>
          <w:szCs w:val="24"/>
        </w:rPr>
        <w:t>. The final text is shown in Figures 1 &amp; 2</w:t>
      </w:r>
      <w:r w:rsidR="009C72B1" w:rsidRPr="00873952">
        <w:rPr>
          <w:rFonts w:cstheme="minorHAnsi"/>
          <w:sz w:val="24"/>
          <w:szCs w:val="24"/>
        </w:rPr>
        <w:t>.</w:t>
      </w:r>
    </w:p>
    <w:p w14:paraId="306E3E13" w14:textId="3A532CC0" w:rsidR="00B4045B" w:rsidRPr="009C72B1" w:rsidRDefault="00B4045B" w:rsidP="009C72B1">
      <w:pPr>
        <w:pStyle w:val="Heading1"/>
        <w:rPr>
          <w:rFonts w:eastAsia="Arial"/>
        </w:rPr>
      </w:pPr>
      <w:r w:rsidRPr="00FC6752">
        <w:rPr>
          <w:rFonts w:eastAsia="Arial"/>
        </w:rPr>
        <w:t xml:space="preserve">Discussion </w:t>
      </w:r>
    </w:p>
    <w:p w14:paraId="6FFCA9EF" w14:textId="77777777" w:rsidR="00924F92" w:rsidRPr="00FC6752" w:rsidRDefault="00924F92" w:rsidP="000C5819">
      <w:pPr>
        <w:spacing w:after="0" w:line="240" w:lineRule="auto"/>
        <w:rPr>
          <w:rFonts w:cstheme="minorHAnsi"/>
          <w:color w:val="000000" w:themeColor="text1"/>
          <w:sz w:val="24"/>
          <w:szCs w:val="24"/>
        </w:rPr>
      </w:pPr>
    </w:p>
    <w:p w14:paraId="445E4056" w14:textId="47712B26" w:rsidR="00FC2914" w:rsidRDefault="004F32DC" w:rsidP="004F5638">
      <w:pPr>
        <w:widowControl w:val="0"/>
        <w:autoSpaceDE w:val="0"/>
        <w:autoSpaceDN w:val="0"/>
        <w:adjustRightInd w:val="0"/>
        <w:spacing w:after="240" w:line="360" w:lineRule="auto"/>
        <w:rPr>
          <w:rFonts w:cs="Times"/>
          <w:sz w:val="24"/>
          <w:szCs w:val="24"/>
          <w:lang w:val="en-US"/>
        </w:rPr>
      </w:pPr>
      <w:r w:rsidRPr="001B6BD4">
        <w:rPr>
          <w:rFonts w:cs="Times"/>
          <w:sz w:val="24"/>
          <w:szCs w:val="24"/>
          <w:lang w:val="en-US"/>
        </w:rPr>
        <w:t xml:space="preserve">This is </w:t>
      </w:r>
      <w:r w:rsidR="009416EC">
        <w:rPr>
          <w:rFonts w:cs="Times"/>
          <w:sz w:val="24"/>
          <w:szCs w:val="24"/>
          <w:lang w:val="en-US"/>
        </w:rPr>
        <w:t xml:space="preserve">first time the contribution of CYP to a national spontaneous reporting scheme for suspected ADRs has been examined. CYP only complete a small percentage of the total YCS reports for patients &lt;19 years of age, but the medications they included were </w:t>
      </w:r>
      <w:r w:rsidR="00A50D41">
        <w:rPr>
          <w:rFonts w:cs="Times"/>
          <w:sz w:val="24"/>
          <w:szCs w:val="24"/>
          <w:lang w:val="en-US"/>
        </w:rPr>
        <w:t xml:space="preserve">distinct from </w:t>
      </w:r>
      <w:r w:rsidR="009416EC">
        <w:rPr>
          <w:rFonts w:cs="Times"/>
          <w:sz w:val="24"/>
          <w:szCs w:val="24"/>
          <w:lang w:val="en-US"/>
        </w:rPr>
        <w:lastRenderedPageBreak/>
        <w:t>those reported in patients &lt;19 years in general, and appear well aligned with commonly used medicat</w:t>
      </w:r>
      <w:r w:rsidR="00B87641">
        <w:rPr>
          <w:rFonts w:cs="Times"/>
          <w:sz w:val="24"/>
          <w:szCs w:val="24"/>
          <w:lang w:val="en-US"/>
        </w:rPr>
        <w:t>i</w:t>
      </w:r>
      <w:r w:rsidR="009416EC">
        <w:rPr>
          <w:rFonts w:cs="Times"/>
          <w:sz w:val="24"/>
          <w:szCs w:val="24"/>
          <w:lang w:val="en-US"/>
        </w:rPr>
        <w:t>ons in the teenage popu</w:t>
      </w:r>
      <w:r w:rsidR="002A478B">
        <w:rPr>
          <w:rFonts w:cs="Times"/>
          <w:sz w:val="24"/>
          <w:szCs w:val="24"/>
          <w:lang w:val="en-US"/>
        </w:rPr>
        <w:t xml:space="preserve">lation. </w:t>
      </w:r>
      <w:r w:rsidR="000C07A0">
        <w:rPr>
          <w:rFonts w:cs="Times"/>
          <w:sz w:val="24"/>
          <w:szCs w:val="24"/>
          <w:lang w:val="en-US"/>
        </w:rPr>
        <w:t>Many of the suspected reactions were similar between reports from CYP, and those about CYP, but reports related to concerns about mental health (depression, anxiety and suicidal ideation) were more common in the reports from CYP</w:t>
      </w:r>
      <w:r w:rsidR="00C721A8">
        <w:rPr>
          <w:rFonts w:cs="Times"/>
          <w:sz w:val="24"/>
          <w:szCs w:val="24"/>
          <w:lang w:val="en-US"/>
        </w:rPr>
        <w:t xml:space="preserve"> themselves</w:t>
      </w:r>
      <w:r w:rsidR="000C07A0">
        <w:rPr>
          <w:rFonts w:cs="Times"/>
          <w:sz w:val="24"/>
          <w:szCs w:val="24"/>
          <w:lang w:val="en-US"/>
        </w:rPr>
        <w:t xml:space="preserve">. </w:t>
      </w:r>
      <w:r w:rsidR="00FC2914">
        <w:rPr>
          <w:rFonts w:cs="Times"/>
          <w:sz w:val="24"/>
          <w:szCs w:val="24"/>
          <w:lang w:val="en-US"/>
        </w:rPr>
        <w:t xml:space="preserve">Mental health was identified as a priority in the 2017 State of Child Health report </w:t>
      </w:r>
      <w:r w:rsidR="00FC2914">
        <w:rPr>
          <w:rFonts w:cs="Times"/>
          <w:sz w:val="24"/>
          <w:szCs w:val="24"/>
          <w:lang w:val="en-US"/>
        </w:rPr>
        <w:fldChar w:fldCharType="begin"/>
      </w:r>
      <w:r w:rsidR="000275EB">
        <w:rPr>
          <w:rFonts w:cs="Times"/>
          <w:sz w:val="24"/>
          <w:szCs w:val="24"/>
          <w:lang w:val="en-US"/>
        </w:rPr>
        <w:instrText xml:space="preserve"> ADDIN EN.CITE &lt;EndNote&gt;&lt;Cite&gt;&lt;Author&gt;Health&lt;/Author&gt;&lt;Year&gt;2017&lt;/Year&gt;&lt;RecNum&gt;51&lt;/RecNum&gt;&lt;DisplayText&gt;[15]&lt;/DisplayText&gt;&lt;record&gt;&lt;rec-number&gt;51&lt;/rec-number&gt;&lt;foreign-keys&gt;&lt;key app="EN" db-id="vfz5x9saseddeqea0zrx2z0idp0sx02e5t9t" timestamp="1548329175"&gt;51&lt;/key&gt;&lt;/foreign-keys&gt;&lt;ref-type name="Report"&gt;27&lt;/ref-type&gt;&lt;contributors&gt;&lt;authors&gt;&lt;author&gt;Royal College of Paediatrics and Child Health&lt;/author&gt;&lt;/authors&gt;&lt;/contributors&gt;&lt;titles&gt;&lt;title&gt;The State of Child Health&lt;/title&gt;&lt;/titles&gt;&lt;dates&gt;&lt;year&gt;2017&lt;/year&gt;&lt;/dates&gt;&lt;urls&gt;&lt;related-urls&gt;&lt;url&gt;https://www.rcpch.ac.uk/resources/state-child-health-2017-full-report&lt;/url&gt;&lt;/related-urls&gt;&lt;/urls&gt;&lt;/record&gt;&lt;/Cite&gt;&lt;/EndNote&gt;</w:instrText>
      </w:r>
      <w:r w:rsidR="00FC2914">
        <w:rPr>
          <w:rFonts w:cs="Times"/>
          <w:sz w:val="24"/>
          <w:szCs w:val="24"/>
          <w:lang w:val="en-US"/>
        </w:rPr>
        <w:fldChar w:fldCharType="separate"/>
      </w:r>
      <w:r w:rsidR="000275EB">
        <w:rPr>
          <w:rFonts w:cs="Times"/>
          <w:noProof/>
          <w:sz w:val="24"/>
          <w:szCs w:val="24"/>
          <w:lang w:val="en-US"/>
        </w:rPr>
        <w:t>[15]</w:t>
      </w:r>
      <w:r w:rsidR="00FC2914">
        <w:rPr>
          <w:rFonts w:cs="Times"/>
          <w:sz w:val="24"/>
          <w:szCs w:val="24"/>
          <w:lang w:val="en-US"/>
        </w:rPr>
        <w:fldChar w:fldCharType="end"/>
      </w:r>
      <w:r w:rsidR="00FC2914">
        <w:rPr>
          <w:rFonts w:cs="Times"/>
          <w:sz w:val="24"/>
          <w:szCs w:val="24"/>
          <w:lang w:val="en-US"/>
        </w:rPr>
        <w:t xml:space="preserve">, so it is particularly pleasing </w:t>
      </w:r>
      <w:r w:rsidR="007112D2">
        <w:rPr>
          <w:rFonts w:cs="Times"/>
          <w:sz w:val="24"/>
          <w:szCs w:val="24"/>
          <w:lang w:val="en-US"/>
        </w:rPr>
        <w:t xml:space="preserve">that </w:t>
      </w:r>
      <w:r w:rsidR="00FC2914">
        <w:rPr>
          <w:rFonts w:cs="Times"/>
          <w:sz w:val="24"/>
          <w:szCs w:val="24"/>
          <w:lang w:val="en-US"/>
        </w:rPr>
        <w:t xml:space="preserve">supporting and empowering CYP to report suspected ADRs may also help </w:t>
      </w:r>
      <w:r w:rsidR="00A50D41">
        <w:rPr>
          <w:rFonts w:cs="Times"/>
          <w:sz w:val="24"/>
          <w:szCs w:val="24"/>
          <w:lang w:val="en-US"/>
        </w:rPr>
        <w:t xml:space="preserve">improve the reporting of suspected ADRs in </w:t>
      </w:r>
      <w:r w:rsidR="00FC2914">
        <w:rPr>
          <w:rFonts w:cs="Times"/>
          <w:sz w:val="24"/>
          <w:szCs w:val="24"/>
          <w:lang w:val="en-US"/>
        </w:rPr>
        <w:t xml:space="preserve">this area.  </w:t>
      </w:r>
    </w:p>
    <w:p w14:paraId="2B4D0839" w14:textId="0BFD6173" w:rsidR="006F2FE0" w:rsidRDefault="00A50D41" w:rsidP="004F5638">
      <w:pPr>
        <w:widowControl w:val="0"/>
        <w:autoSpaceDE w:val="0"/>
        <w:autoSpaceDN w:val="0"/>
        <w:adjustRightInd w:val="0"/>
        <w:spacing w:after="240" w:line="360" w:lineRule="auto"/>
        <w:rPr>
          <w:rFonts w:cs="Times"/>
          <w:sz w:val="24"/>
          <w:szCs w:val="24"/>
          <w:lang w:val="en-US"/>
        </w:rPr>
      </w:pPr>
      <w:r>
        <w:rPr>
          <w:rFonts w:cs="Times"/>
          <w:sz w:val="24"/>
          <w:szCs w:val="24"/>
          <w:lang w:val="en-US"/>
        </w:rPr>
        <w:t xml:space="preserve">This study was not able to ascertain what the current </w:t>
      </w:r>
      <w:r w:rsidR="002A478B">
        <w:rPr>
          <w:rFonts w:cs="Times"/>
          <w:sz w:val="24"/>
          <w:szCs w:val="24"/>
          <w:lang w:val="en-US"/>
        </w:rPr>
        <w:t xml:space="preserve">barriers </w:t>
      </w:r>
      <w:r>
        <w:rPr>
          <w:rFonts w:cs="Times"/>
          <w:sz w:val="24"/>
          <w:szCs w:val="24"/>
          <w:lang w:val="en-US"/>
        </w:rPr>
        <w:t xml:space="preserve">are to CYP reporting are, but </w:t>
      </w:r>
      <w:r w:rsidR="00C721A8">
        <w:rPr>
          <w:rFonts w:cs="Times"/>
          <w:sz w:val="24"/>
          <w:szCs w:val="24"/>
          <w:lang w:val="en-US"/>
        </w:rPr>
        <w:t>assumed that a</w:t>
      </w:r>
      <w:r>
        <w:rPr>
          <w:rFonts w:cs="Times"/>
          <w:sz w:val="24"/>
          <w:szCs w:val="24"/>
          <w:lang w:val="en-US"/>
        </w:rPr>
        <w:t xml:space="preserve"> lack of specific information for CYP </w:t>
      </w:r>
      <w:r w:rsidR="00C721A8">
        <w:rPr>
          <w:rFonts w:cs="Times"/>
          <w:sz w:val="24"/>
          <w:szCs w:val="24"/>
          <w:lang w:val="en-US"/>
        </w:rPr>
        <w:t>may be</w:t>
      </w:r>
      <w:r>
        <w:rPr>
          <w:rFonts w:cs="Times"/>
          <w:sz w:val="24"/>
          <w:szCs w:val="24"/>
          <w:lang w:val="en-US"/>
        </w:rPr>
        <w:t xml:space="preserve"> a potentially significant factor, and undertook a project to develop </w:t>
      </w:r>
      <w:r w:rsidR="002A478B">
        <w:rPr>
          <w:rFonts w:cs="Times"/>
          <w:sz w:val="24"/>
          <w:szCs w:val="24"/>
          <w:lang w:val="en-US"/>
        </w:rPr>
        <w:t xml:space="preserve">accessible, comprehensible information. The information development phases undertaken </w:t>
      </w:r>
      <w:r>
        <w:rPr>
          <w:rFonts w:cs="Times"/>
          <w:sz w:val="24"/>
          <w:szCs w:val="24"/>
          <w:lang w:val="en-US"/>
        </w:rPr>
        <w:t xml:space="preserve">have </w:t>
      </w:r>
      <w:r w:rsidR="002A478B">
        <w:rPr>
          <w:rFonts w:cs="Times"/>
          <w:sz w:val="24"/>
          <w:szCs w:val="24"/>
          <w:lang w:val="en-US"/>
        </w:rPr>
        <w:t xml:space="preserve">created the </w:t>
      </w:r>
      <w:proofErr w:type="spellStart"/>
      <w:r w:rsidR="004F32DC" w:rsidRPr="001B6BD4">
        <w:rPr>
          <w:rFonts w:cs="Times"/>
          <w:sz w:val="24"/>
          <w:szCs w:val="24"/>
          <w:lang w:val="en-US"/>
        </w:rPr>
        <w:t>the</w:t>
      </w:r>
      <w:proofErr w:type="spellEnd"/>
      <w:r w:rsidR="004F32DC" w:rsidRPr="001B6BD4">
        <w:rPr>
          <w:rFonts w:cs="Times"/>
          <w:sz w:val="24"/>
          <w:szCs w:val="24"/>
          <w:lang w:val="en-US"/>
        </w:rPr>
        <w:t xml:space="preserve"> first information </w:t>
      </w:r>
      <w:r w:rsidR="004F5638">
        <w:rPr>
          <w:rFonts w:cs="Times"/>
          <w:sz w:val="24"/>
          <w:szCs w:val="24"/>
          <w:lang w:val="en-US"/>
        </w:rPr>
        <w:t xml:space="preserve">developed specifically by and for CYP, </w:t>
      </w:r>
      <w:r w:rsidR="004F32DC" w:rsidRPr="001B6BD4">
        <w:rPr>
          <w:rFonts w:cs="Times"/>
          <w:sz w:val="24"/>
          <w:szCs w:val="24"/>
          <w:lang w:val="en-US"/>
        </w:rPr>
        <w:t xml:space="preserve">about how to report </w:t>
      </w:r>
      <w:r>
        <w:rPr>
          <w:rFonts w:cs="Times"/>
          <w:sz w:val="24"/>
          <w:szCs w:val="24"/>
          <w:lang w:val="en-US"/>
        </w:rPr>
        <w:t xml:space="preserve">their own </w:t>
      </w:r>
      <w:r w:rsidR="004F32DC" w:rsidRPr="001B6BD4">
        <w:rPr>
          <w:rFonts w:cs="Times"/>
          <w:sz w:val="24"/>
          <w:szCs w:val="24"/>
          <w:lang w:val="en-US"/>
        </w:rPr>
        <w:t xml:space="preserve">suspected ADRs. </w:t>
      </w:r>
      <w:r w:rsidR="002A478B">
        <w:rPr>
          <w:rFonts w:cs="Times"/>
          <w:sz w:val="24"/>
          <w:szCs w:val="24"/>
          <w:lang w:val="en-US"/>
        </w:rPr>
        <w:t xml:space="preserve">Taken together, this work </w:t>
      </w:r>
      <w:r w:rsidR="004F32DC" w:rsidRPr="001B6BD4">
        <w:rPr>
          <w:rFonts w:cs="Times"/>
          <w:sz w:val="24"/>
          <w:szCs w:val="24"/>
          <w:lang w:val="en-US"/>
        </w:rPr>
        <w:t>represents the first step</w:t>
      </w:r>
      <w:r w:rsidR="002A478B">
        <w:rPr>
          <w:rFonts w:cs="Times"/>
          <w:sz w:val="24"/>
          <w:szCs w:val="24"/>
          <w:lang w:val="en-US"/>
        </w:rPr>
        <w:t>s</w:t>
      </w:r>
      <w:r w:rsidR="004F32DC" w:rsidRPr="001B6BD4">
        <w:rPr>
          <w:rFonts w:cs="Times"/>
          <w:sz w:val="24"/>
          <w:szCs w:val="24"/>
          <w:lang w:val="en-US"/>
        </w:rPr>
        <w:t xml:space="preserve"> in improving the quality and quantity of ADR reports to spontaneous reporting schemes </w:t>
      </w:r>
      <w:r w:rsidR="00706E17">
        <w:rPr>
          <w:rFonts w:cs="Times"/>
          <w:sz w:val="24"/>
          <w:szCs w:val="24"/>
          <w:lang w:val="en-US"/>
        </w:rPr>
        <w:t>from CYP themselves</w:t>
      </w:r>
      <w:r w:rsidR="002A478B">
        <w:rPr>
          <w:rFonts w:cs="Times"/>
          <w:sz w:val="24"/>
          <w:szCs w:val="24"/>
          <w:lang w:val="en-US"/>
        </w:rPr>
        <w:t>.</w:t>
      </w:r>
    </w:p>
    <w:p w14:paraId="69A91385" w14:textId="56F93319" w:rsidR="004F5638" w:rsidRDefault="004F32DC" w:rsidP="004F5638">
      <w:pPr>
        <w:widowControl w:val="0"/>
        <w:autoSpaceDE w:val="0"/>
        <w:autoSpaceDN w:val="0"/>
        <w:adjustRightInd w:val="0"/>
        <w:spacing w:after="240" w:line="360" w:lineRule="auto"/>
        <w:rPr>
          <w:rFonts w:cs="Times"/>
          <w:sz w:val="24"/>
          <w:szCs w:val="24"/>
          <w:lang w:val="en-US"/>
        </w:rPr>
      </w:pPr>
      <w:r w:rsidRPr="001B6BD4">
        <w:rPr>
          <w:rFonts w:cs="Times"/>
          <w:sz w:val="24"/>
          <w:szCs w:val="24"/>
          <w:lang w:val="en-US"/>
        </w:rPr>
        <w:t xml:space="preserve">For the younger CYP, the groups </w:t>
      </w:r>
      <w:r w:rsidR="004F5638">
        <w:rPr>
          <w:rFonts w:cs="Times"/>
          <w:sz w:val="24"/>
          <w:szCs w:val="24"/>
          <w:lang w:val="en-US"/>
        </w:rPr>
        <w:t xml:space="preserve">who contributed to the development </w:t>
      </w:r>
      <w:r w:rsidR="000C07A0">
        <w:rPr>
          <w:rFonts w:cs="Times"/>
          <w:sz w:val="24"/>
          <w:szCs w:val="24"/>
          <w:lang w:val="en-US"/>
        </w:rPr>
        <w:t xml:space="preserve">of information </w:t>
      </w:r>
      <w:r w:rsidRPr="001B6BD4">
        <w:rPr>
          <w:rFonts w:cs="Times"/>
          <w:sz w:val="24"/>
          <w:szCs w:val="24"/>
          <w:lang w:val="en-US"/>
        </w:rPr>
        <w:t>felt that the reporting would be carried out by a parent/guardian, and so the information focuses on informing about ADRs, and when to let a respon</w:t>
      </w:r>
      <w:r w:rsidR="000B59B0" w:rsidRPr="001B6BD4">
        <w:rPr>
          <w:rFonts w:cs="Times"/>
          <w:sz w:val="24"/>
          <w:szCs w:val="24"/>
          <w:lang w:val="en-US"/>
        </w:rPr>
        <w:t xml:space="preserve">sible adult know. However, the </w:t>
      </w:r>
      <w:r w:rsidRPr="001B6BD4">
        <w:rPr>
          <w:rFonts w:cs="Times"/>
          <w:sz w:val="24"/>
          <w:szCs w:val="24"/>
          <w:lang w:val="en-US"/>
        </w:rPr>
        <w:t>CYP developing the information also</w:t>
      </w:r>
      <w:r w:rsidR="003F3235" w:rsidRPr="001B6BD4">
        <w:rPr>
          <w:rFonts w:cs="Times"/>
          <w:sz w:val="24"/>
          <w:szCs w:val="24"/>
          <w:lang w:val="en-US"/>
        </w:rPr>
        <w:t xml:space="preserve"> stated that </w:t>
      </w:r>
      <w:r w:rsidR="004F5638">
        <w:rPr>
          <w:rFonts w:cs="Times"/>
          <w:sz w:val="24"/>
          <w:szCs w:val="24"/>
          <w:lang w:val="en-US"/>
        </w:rPr>
        <w:t xml:space="preserve">even if the younger CYP were not going to report themselves, </w:t>
      </w:r>
      <w:r w:rsidR="003F3235" w:rsidRPr="001B6BD4">
        <w:rPr>
          <w:rFonts w:cs="Times"/>
          <w:sz w:val="24"/>
          <w:szCs w:val="24"/>
          <w:lang w:val="en-US"/>
        </w:rPr>
        <w:t xml:space="preserve">it was important for them to know the full process, and include </w:t>
      </w:r>
      <w:r w:rsidR="0021644A" w:rsidRPr="001B6BD4">
        <w:rPr>
          <w:rFonts w:cs="Times"/>
          <w:sz w:val="24"/>
          <w:szCs w:val="24"/>
          <w:lang w:val="en-US"/>
        </w:rPr>
        <w:t>the details of how to</w:t>
      </w:r>
      <w:r w:rsidRPr="001B6BD4">
        <w:rPr>
          <w:rFonts w:cs="Times"/>
          <w:sz w:val="24"/>
          <w:szCs w:val="24"/>
          <w:lang w:val="en-US"/>
        </w:rPr>
        <w:t xml:space="preserve"> report</w:t>
      </w:r>
      <w:r w:rsidR="003F3235" w:rsidRPr="001B6BD4">
        <w:rPr>
          <w:rFonts w:cs="Times"/>
          <w:sz w:val="24"/>
          <w:szCs w:val="24"/>
          <w:lang w:val="en-US"/>
        </w:rPr>
        <w:t>.</w:t>
      </w:r>
      <w:r w:rsidR="004F5638">
        <w:rPr>
          <w:rFonts w:cs="Times"/>
          <w:sz w:val="24"/>
          <w:szCs w:val="24"/>
          <w:lang w:val="en-US"/>
        </w:rPr>
        <w:t xml:space="preserve"> </w:t>
      </w:r>
    </w:p>
    <w:p w14:paraId="533A50F0" w14:textId="7B3490F4" w:rsidR="003F3235" w:rsidRPr="001B6BD4" w:rsidRDefault="004F5638" w:rsidP="004F5638">
      <w:pPr>
        <w:widowControl w:val="0"/>
        <w:autoSpaceDE w:val="0"/>
        <w:autoSpaceDN w:val="0"/>
        <w:adjustRightInd w:val="0"/>
        <w:spacing w:after="240" w:line="360" w:lineRule="auto"/>
        <w:rPr>
          <w:rFonts w:ascii="Times" w:hAnsi="Times" w:cs="Times"/>
          <w:color w:val="000000"/>
          <w:sz w:val="24"/>
          <w:szCs w:val="24"/>
        </w:rPr>
      </w:pPr>
      <w:r>
        <w:rPr>
          <w:rFonts w:cs="Times"/>
          <w:sz w:val="24"/>
          <w:szCs w:val="24"/>
          <w:lang w:val="en-US"/>
        </w:rPr>
        <w:t>For the o</w:t>
      </w:r>
      <w:r w:rsidR="003F3235" w:rsidRPr="001B6BD4">
        <w:rPr>
          <w:rFonts w:cs="Times"/>
          <w:sz w:val="24"/>
          <w:szCs w:val="24"/>
          <w:lang w:val="en-US"/>
        </w:rPr>
        <w:t>lder CYP</w:t>
      </w:r>
      <w:r>
        <w:rPr>
          <w:rFonts w:cs="Times"/>
          <w:sz w:val="24"/>
          <w:szCs w:val="24"/>
          <w:lang w:val="en-US"/>
        </w:rPr>
        <w:t>, the groups who contributed to the information development de</w:t>
      </w:r>
      <w:r w:rsidR="003F3235" w:rsidRPr="001B6BD4">
        <w:rPr>
          <w:rFonts w:cs="Times"/>
          <w:sz w:val="24"/>
          <w:szCs w:val="24"/>
          <w:lang w:val="en-US"/>
        </w:rPr>
        <w:t xml:space="preserve">emed they had the understanding and capability to be able to report ADRs themselves, </w:t>
      </w:r>
      <w:r w:rsidR="004F32DC" w:rsidRPr="001B6BD4">
        <w:rPr>
          <w:rFonts w:cs="Times"/>
          <w:sz w:val="24"/>
          <w:szCs w:val="24"/>
          <w:lang w:val="en-US"/>
        </w:rPr>
        <w:t>especially those with their own mobile phone</w:t>
      </w:r>
      <w:r>
        <w:rPr>
          <w:rFonts w:cs="Times"/>
          <w:sz w:val="24"/>
          <w:szCs w:val="24"/>
          <w:lang w:val="en-US"/>
        </w:rPr>
        <w:t xml:space="preserve">. </w:t>
      </w:r>
      <w:proofErr w:type="gramStart"/>
      <w:r>
        <w:rPr>
          <w:rFonts w:cs="Times"/>
          <w:sz w:val="24"/>
          <w:szCs w:val="24"/>
          <w:lang w:val="en-US"/>
        </w:rPr>
        <w:t>There</w:t>
      </w:r>
      <w:r w:rsidR="00AC6073">
        <w:rPr>
          <w:rFonts w:cs="Times"/>
          <w:sz w:val="24"/>
          <w:szCs w:val="24"/>
          <w:lang w:val="en-US"/>
        </w:rPr>
        <w:t>fore</w:t>
      </w:r>
      <w:proofErr w:type="gramEnd"/>
      <w:r>
        <w:rPr>
          <w:rFonts w:cs="Times"/>
          <w:sz w:val="24"/>
          <w:szCs w:val="24"/>
          <w:lang w:val="en-US"/>
        </w:rPr>
        <w:t xml:space="preserve"> t</w:t>
      </w:r>
      <w:r w:rsidR="004F32DC" w:rsidRPr="001B6BD4">
        <w:rPr>
          <w:rFonts w:cs="Times"/>
          <w:sz w:val="24"/>
          <w:szCs w:val="24"/>
          <w:lang w:val="en-US"/>
        </w:rPr>
        <w:t>his information focuse</w:t>
      </w:r>
      <w:r>
        <w:rPr>
          <w:rFonts w:cs="Times"/>
          <w:sz w:val="24"/>
          <w:szCs w:val="24"/>
          <w:lang w:val="en-US"/>
        </w:rPr>
        <w:t>s on the CYP reporting themselves</w:t>
      </w:r>
      <w:r w:rsidR="003F3235" w:rsidRPr="001B6BD4">
        <w:rPr>
          <w:rFonts w:ascii="Calibri" w:hAnsi="Calibri" w:cs="Calibri"/>
          <w:color w:val="000000"/>
          <w:sz w:val="24"/>
          <w:szCs w:val="24"/>
        </w:rPr>
        <w:t>.</w:t>
      </w:r>
    </w:p>
    <w:p w14:paraId="26FB9206" w14:textId="67FB8031" w:rsidR="00230425" w:rsidRPr="00230425" w:rsidRDefault="002F7462" w:rsidP="004F5638">
      <w:pPr>
        <w:widowControl w:val="0"/>
        <w:autoSpaceDE w:val="0"/>
        <w:autoSpaceDN w:val="0"/>
        <w:adjustRightInd w:val="0"/>
        <w:spacing w:after="240" w:line="360" w:lineRule="auto"/>
        <w:rPr>
          <w:rFonts w:ascii="Calibri" w:hAnsi="Calibri" w:cs="Calibri"/>
          <w:color w:val="000000"/>
          <w:sz w:val="24"/>
          <w:szCs w:val="24"/>
        </w:rPr>
      </w:pPr>
      <w:r>
        <w:rPr>
          <w:rFonts w:cs="Times"/>
          <w:sz w:val="24"/>
          <w:szCs w:val="24"/>
          <w:lang w:val="en-US"/>
        </w:rPr>
        <w:t xml:space="preserve">A </w:t>
      </w:r>
      <w:r w:rsidR="00FC6752" w:rsidRPr="001B6BD4">
        <w:rPr>
          <w:rFonts w:cs="Times"/>
          <w:sz w:val="24"/>
          <w:szCs w:val="24"/>
          <w:lang w:val="en-US"/>
        </w:rPr>
        <w:t>strength of th</w:t>
      </w:r>
      <w:r w:rsidR="00E56A67">
        <w:rPr>
          <w:rFonts w:cs="Times"/>
          <w:sz w:val="24"/>
          <w:szCs w:val="24"/>
          <w:lang w:val="en-US"/>
        </w:rPr>
        <w:t xml:space="preserve">e information development </w:t>
      </w:r>
      <w:r w:rsidR="00E44737" w:rsidRPr="001B6BD4">
        <w:rPr>
          <w:rFonts w:cs="Times"/>
          <w:sz w:val="24"/>
          <w:szCs w:val="24"/>
          <w:lang w:val="en-US"/>
        </w:rPr>
        <w:t xml:space="preserve">work </w:t>
      </w:r>
      <w:r>
        <w:rPr>
          <w:rFonts w:cs="Times"/>
          <w:sz w:val="24"/>
          <w:szCs w:val="24"/>
          <w:lang w:val="en-US"/>
        </w:rPr>
        <w:t xml:space="preserve">is the range of </w:t>
      </w:r>
      <w:r w:rsidR="00E44737" w:rsidRPr="001B6BD4">
        <w:rPr>
          <w:rFonts w:cs="Times"/>
          <w:sz w:val="24"/>
          <w:szCs w:val="24"/>
          <w:lang w:val="en-US"/>
        </w:rPr>
        <w:t xml:space="preserve">CYP </w:t>
      </w:r>
      <w:r>
        <w:rPr>
          <w:rFonts w:cs="Times"/>
          <w:sz w:val="24"/>
          <w:szCs w:val="24"/>
          <w:lang w:val="en-US"/>
        </w:rPr>
        <w:t>involved. This included CYP with</w:t>
      </w:r>
      <w:r w:rsidR="00E44737" w:rsidRPr="001B6BD4">
        <w:rPr>
          <w:rFonts w:cs="Times"/>
          <w:sz w:val="24"/>
          <w:szCs w:val="24"/>
          <w:lang w:val="en-US"/>
        </w:rPr>
        <w:t xml:space="preserve"> experience of healthcare</w:t>
      </w:r>
      <w:r w:rsidR="00E602AB">
        <w:rPr>
          <w:rFonts w:cs="Times"/>
          <w:sz w:val="24"/>
          <w:szCs w:val="24"/>
          <w:lang w:val="en-US"/>
        </w:rPr>
        <w:t>, advocacy and paediatric health research design</w:t>
      </w:r>
      <w:r w:rsidR="00E44737" w:rsidRPr="001B6BD4">
        <w:rPr>
          <w:rFonts w:cs="Times"/>
          <w:sz w:val="24"/>
          <w:szCs w:val="24"/>
          <w:lang w:val="en-US"/>
        </w:rPr>
        <w:t xml:space="preserve"> (Liverpool YPAG, ICAN) and without (School children)</w:t>
      </w:r>
      <w:r>
        <w:rPr>
          <w:rFonts w:cs="Times"/>
          <w:sz w:val="24"/>
          <w:szCs w:val="24"/>
          <w:lang w:val="en-US"/>
        </w:rPr>
        <w:t>,</w:t>
      </w:r>
      <w:r w:rsidR="00E44737" w:rsidRPr="001B6BD4">
        <w:rPr>
          <w:rFonts w:cs="Times"/>
          <w:sz w:val="24"/>
          <w:szCs w:val="24"/>
          <w:lang w:val="en-US"/>
        </w:rPr>
        <w:t xml:space="preserve"> </w:t>
      </w:r>
      <w:r>
        <w:rPr>
          <w:rFonts w:cs="Times"/>
          <w:sz w:val="24"/>
          <w:szCs w:val="24"/>
          <w:lang w:val="en-US"/>
        </w:rPr>
        <w:t>across</w:t>
      </w:r>
      <w:r w:rsidR="00E44737" w:rsidRPr="001B6BD4">
        <w:rPr>
          <w:rFonts w:cs="Times"/>
          <w:sz w:val="24"/>
          <w:szCs w:val="24"/>
          <w:lang w:val="en-US"/>
        </w:rPr>
        <w:t xml:space="preserve"> a wide range of ages</w:t>
      </w:r>
      <w:r>
        <w:rPr>
          <w:rFonts w:cs="Times"/>
          <w:sz w:val="24"/>
          <w:szCs w:val="24"/>
          <w:lang w:val="en-US"/>
        </w:rPr>
        <w:t>, including o</w:t>
      </w:r>
      <w:r w:rsidR="00E44737" w:rsidRPr="001B6BD4">
        <w:rPr>
          <w:rFonts w:cs="Times"/>
          <w:sz w:val="24"/>
          <w:szCs w:val="24"/>
          <w:lang w:val="en-US"/>
        </w:rPr>
        <w:t xml:space="preserve">ver 300 children overall. In addition, clinical oversight by a specialist in paediatric clinical pharmacology meant that the information remained </w:t>
      </w:r>
      <w:r w:rsidR="00FC6752" w:rsidRPr="001B6BD4">
        <w:rPr>
          <w:rFonts w:cs="Times"/>
          <w:sz w:val="24"/>
          <w:szCs w:val="24"/>
          <w:lang w:val="en-US"/>
        </w:rPr>
        <w:t>accurate</w:t>
      </w:r>
      <w:r w:rsidR="0060169C">
        <w:rPr>
          <w:rFonts w:cs="Times"/>
          <w:sz w:val="24"/>
          <w:szCs w:val="24"/>
          <w:lang w:val="en-US"/>
        </w:rPr>
        <w:t xml:space="preserve"> while being edited by the CYP </w:t>
      </w:r>
      <w:r w:rsidR="0060169C">
        <w:rPr>
          <w:rFonts w:cs="Times"/>
          <w:sz w:val="24"/>
          <w:szCs w:val="24"/>
          <w:lang w:val="en-US"/>
        </w:rPr>
        <w:lastRenderedPageBreak/>
        <w:t>for clarity and comprehensibility</w:t>
      </w:r>
      <w:r w:rsidR="00FC6752" w:rsidRPr="001B6BD4">
        <w:rPr>
          <w:rFonts w:cs="Times"/>
          <w:sz w:val="24"/>
          <w:szCs w:val="24"/>
          <w:lang w:val="en-US"/>
        </w:rPr>
        <w:t>.</w:t>
      </w:r>
      <w:r w:rsidR="001B6BD4" w:rsidRPr="001B6BD4">
        <w:rPr>
          <w:rFonts w:ascii="MS Mincho" w:eastAsia="MS Mincho" w:hAnsi="MS Mincho" w:cs="MS Mincho"/>
          <w:sz w:val="24"/>
          <w:szCs w:val="24"/>
          <w:lang w:val="en-US"/>
        </w:rPr>
        <w:t xml:space="preserve"> </w:t>
      </w:r>
      <w:r w:rsidR="001B6BD4" w:rsidRPr="001B6BD4">
        <w:rPr>
          <w:rFonts w:ascii="Calibri" w:hAnsi="Calibri" w:cs="Calibri"/>
          <w:color w:val="000000"/>
          <w:sz w:val="24"/>
          <w:szCs w:val="24"/>
        </w:rPr>
        <w:t>Th</w:t>
      </w:r>
      <w:r w:rsidR="0060169C">
        <w:rPr>
          <w:rFonts w:ascii="Calibri" w:hAnsi="Calibri" w:cs="Calibri"/>
          <w:color w:val="000000"/>
          <w:sz w:val="24"/>
          <w:szCs w:val="24"/>
        </w:rPr>
        <w:t>e outputs of this</w:t>
      </w:r>
      <w:r w:rsidR="001B6BD4" w:rsidRPr="001B6BD4">
        <w:rPr>
          <w:rFonts w:ascii="Calibri" w:hAnsi="Calibri" w:cs="Calibri"/>
          <w:color w:val="000000"/>
          <w:sz w:val="24"/>
          <w:szCs w:val="24"/>
        </w:rPr>
        <w:t xml:space="preserve"> project ha</w:t>
      </w:r>
      <w:r w:rsidR="0060169C">
        <w:rPr>
          <w:rFonts w:ascii="Calibri" w:hAnsi="Calibri" w:cs="Calibri"/>
          <w:color w:val="000000"/>
          <w:sz w:val="24"/>
          <w:szCs w:val="24"/>
        </w:rPr>
        <w:t>ve</w:t>
      </w:r>
      <w:r w:rsidR="001B6BD4" w:rsidRPr="001B6BD4">
        <w:rPr>
          <w:rFonts w:ascii="Calibri" w:hAnsi="Calibri" w:cs="Calibri"/>
          <w:color w:val="000000"/>
          <w:sz w:val="24"/>
          <w:szCs w:val="24"/>
        </w:rPr>
        <w:t xml:space="preserve"> the potential to be used nationally to positively </w:t>
      </w:r>
      <w:r w:rsidR="0060169C">
        <w:rPr>
          <w:rFonts w:ascii="Calibri" w:hAnsi="Calibri" w:cs="Calibri"/>
          <w:color w:val="000000"/>
          <w:sz w:val="24"/>
          <w:szCs w:val="24"/>
        </w:rPr>
        <w:t xml:space="preserve">influence CYPs behaviours </w:t>
      </w:r>
      <w:proofErr w:type="gramStart"/>
      <w:r w:rsidR="0060169C">
        <w:rPr>
          <w:rFonts w:ascii="Calibri" w:hAnsi="Calibri" w:cs="Calibri"/>
          <w:color w:val="000000"/>
          <w:sz w:val="24"/>
          <w:szCs w:val="24"/>
        </w:rPr>
        <w:t>with regard to</w:t>
      </w:r>
      <w:proofErr w:type="gramEnd"/>
      <w:r w:rsidR="0060169C">
        <w:rPr>
          <w:rFonts w:ascii="Calibri" w:hAnsi="Calibri" w:cs="Calibri"/>
          <w:color w:val="000000"/>
          <w:sz w:val="24"/>
          <w:szCs w:val="24"/>
        </w:rPr>
        <w:t xml:space="preserve"> healthcare. </w:t>
      </w:r>
      <w:r w:rsidR="00230425">
        <w:rPr>
          <w:rFonts w:ascii="Calibri" w:hAnsi="Calibri" w:cs="Calibri"/>
          <w:color w:val="000000"/>
          <w:sz w:val="24"/>
          <w:szCs w:val="24"/>
        </w:rPr>
        <w:t xml:space="preserve"> </w:t>
      </w:r>
    </w:p>
    <w:p w14:paraId="55FCFC55" w14:textId="635671F5" w:rsidR="002F7462" w:rsidRDefault="00FC6752" w:rsidP="002F7462">
      <w:pPr>
        <w:widowControl w:val="0"/>
        <w:autoSpaceDE w:val="0"/>
        <w:autoSpaceDN w:val="0"/>
        <w:adjustRightInd w:val="0"/>
        <w:spacing w:after="240" w:line="360" w:lineRule="auto"/>
        <w:rPr>
          <w:rFonts w:cs="Times"/>
          <w:sz w:val="24"/>
          <w:szCs w:val="24"/>
          <w:lang w:val="en-US"/>
        </w:rPr>
      </w:pPr>
      <w:r w:rsidRPr="001B6BD4">
        <w:rPr>
          <w:rFonts w:cs="Times"/>
          <w:sz w:val="24"/>
          <w:szCs w:val="24"/>
          <w:lang w:val="en-US"/>
        </w:rPr>
        <w:t>Limitation</w:t>
      </w:r>
      <w:r w:rsidR="00E44737" w:rsidRPr="001B6BD4">
        <w:rPr>
          <w:rFonts w:cs="Times"/>
          <w:sz w:val="24"/>
          <w:szCs w:val="24"/>
          <w:lang w:val="en-US"/>
        </w:rPr>
        <w:t xml:space="preserve">s of this work </w:t>
      </w:r>
      <w:r w:rsidR="007112D2">
        <w:rPr>
          <w:rFonts w:cs="Times"/>
          <w:sz w:val="24"/>
          <w:szCs w:val="24"/>
          <w:lang w:val="en-US"/>
        </w:rPr>
        <w:t>are</w:t>
      </w:r>
      <w:r w:rsidR="007112D2" w:rsidRPr="001B6BD4">
        <w:rPr>
          <w:rFonts w:cs="Times"/>
          <w:sz w:val="24"/>
          <w:szCs w:val="24"/>
          <w:lang w:val="en-US"/>
        </w:rPr>
        <w:t xml:space="preserve"> </w:t>
      </w:r>
      <w:r w:rsidRPr="001B6BD4">
        <w:rPr>
          <w:rFonts w:cs="Times"/>
          <w:sz w:val="24"/>
          <w:szCs w:val="24"/>
          <w:lang w:val="en-US"/>
        </w:rPr>
        <w:t xml:space="preserve">that </w:t>
      </w:r>
      <w:r w:rsidR="00E44737" w:rsidRPr="001B6BD4">
        <w:rPr>
          <w:rFonts w:cs="Times"/>
          <w:sz w:val="24"/>
          <w:szCs w:val="24"/>
          <w:lang w:val="en-US"/>
        </w:rPr>
        <w:t>i</w:t>
      </w:r>
      <w:r w:rsidR="007112D2">
        <w:rPr>
          <w:rFonts w:cs="Times"/>
          <w:sz w:val="24"/>
          <w:szCs w:val="24"/>
          <w:lang w:val="en-US"/>
        </w:rPr>
        <w:t>t</w:t>
      </w:r>
      <w:r w:rsidR="00E44737" w:rsidRPr="001B6BD4">
        <w:rPr>
          <w:rFonts w:cs="Times"/>
          <w:sz w:val="24"/>
          <w:szCs w:val="24"/>
          <w:lang w:val="en-US"/>
        </w:rPr>
        <w:t xml:space="preserve"> focuses on a UK’s spontaneous reporting system, and it may need some additional wo</w:t>
      </w:r>
      <w:r w:rsidR="0013747B" w:rsidRPr="001B6BD4">
        <w:rPr>
          <w:rFonts w:cs="Times"/>
          <w:sz w:val="24"/>
          <w:szCs w:val="24"/>
          <w:lang w:val="en-US"/>
        </w:rPr>
        <w:t>r</w:t>
      </w:r>
      <w:r w:rsidR="00E44737" w:rsidRPr="001B6BD4">
        <w:rPr>
          <w:rFonts w:cs="Times"/>
          <w:sz w:val="24"/>
          <w:szCs w:val="24"/>
          <w:lang w:val="en-US"/>
        </w:rPr>
        <w:t>k</w:t>
      </w:r>
      <w:r w:rsidR="0013747B" w:rsidRPr="001B6BD4">
        <w:rPr>
          <w:rFonts w:cs="Times"/>
          <w:sz w:val="24"/>
          <w:szCs w:val="24"/>
          <w:lang w:val="en-US"/>
        </w:rPr>
        <w:t xml:space="preserve"> to meet the needs of other populations</w:t>
      </w:r>
      <w:r w:rsidR="002F7462">
        <w:rPr>
          <w:rFonts w:cs="Times"/>
          <w:sz w:val="24"/>
          <w:szCs w:val="24"/>
          <w:lang w:val="en-US"/>
        </w:rPr>
        <w:t xml:space="preserve"> or spontaneous reporting schemes. However, there are many similarities between spontaneous reporting schemes worldwide, so this may provide a useful template to be adapted</w:t>
      </w:r>
      <w:r w:rsidR="0013747B" w:rsidRPr="001B6BD4">
        <w:rPr>
          <w:rFonts w:cs="Times"/>
          <w:sz w:val="24"/>
          <w:szCs w:val="24"/>
          <w:lang w:val="en-US"/>
        </w:rPr>
        <w:t xml:space="preserve">. </w:t>
      </w:r>
      <w:r w:rsidR="009211FC">
        <w:rPr>
          <w:rFonts w:cs="Times"/>
          <w:sz w:val="24"/>
          <w:szCs w:val="24"/>
          <w:lang w:val="en-US"/>
        </w:rPr>
        <w:t xml:space="preserve">Development of </w:t>
      </w:r>
      <w:r w:rsidR="00AC6073">
        <w:rPr>
          <w:rFonts w:cs="Times"/>
          <w:sz w:val="24"/>
          <w:szCs w:val="24"/>
          <w:lang w:val="en-US"/>
        </w:rPr>
        <w:t xml:space="preserve">this </w:t>
      </w:r>
      <w:r w:rsidR="009211FC">
        <w:rPr>
          <w:rFonts w:cs="Times"/>
          <w:sz w:val="24"/>
          <w:szCs w:val="24"/>
          <w:lang w:val="en-US"/>
        </w:rPr>
        <w:t xml:space="preserve">information for CYP </w:t>
      </w:r>
      <w:r w:rsidR="00AC6073">
        <w:rPr>
          <w:rFonts w:cs="Times"/>
          <w:sz w:val="24"/>
          <w:szCs w:val="24"/>
          <w:lang w:val="en-US"/>
        </w:rPr>
        <w:t xml:space="preserve">may </w:t>
      </w:r>
      <w:r w:rsidR="009211FC">
        <w:rPr>
          <w:rFonts w:cs="Times"/>
          <w:sz w:val="24"/>
          <w:szCs w:val="24"/>
          <w:lang w:val="en-US"/>
        </w:rPr>
        <w:t xml:space="preserve">also </w:t>
      </w:r>
      <w:r w:rsidR="00AF3552">
        <w:rPr>
          <w:rFonts w:cs="Times"/>
          <w:sz w:val="24"/>
          <w:szCs w:val="24"/>
          <w:lang w:val="en-US"/>
        </w:rPr>
        <w:t xml:space="preserve">provide </w:t>
      </w:r>
      <w:r w:rsidR="007112D2">
        <w:rPr>
          <w:rFonts w:cs="Times"/>
          <w:sz w:val="24"/>
          <w:szCs w:val="24"/>
          <w:lang w:val="en-US"/>
        </w:rPr>
        <w:t xml:space="preserve">be </w:t>
      </w:r>
      <w:r w:rsidR="009211FC">
        <w:rPr>
          <w:rFonts w:cs="Times"/>
          <w:sz w:val="24"/>
          <w:szCs w:val="24"/>
          <w:lang w:val="en-US"/>
        </w:rPr>
        <w:t xml:space="preserve">a platform for other potential </w:t>
      </w:r>
      <w:r w:rsidR="00AC6073">
        <w:rPr>
          <w:rFonts w:cs="Times"/>
          <w:sz w:val="24"/>
          <w:szCs w:val="24"/>
          <w:lang w:val="en-US"/>
        </w:rPr>
        <w:t>developments in CYP specific information</w:t>
      </w:r>
      <w:r w:rsidR="009211FC">
        <w:rPr>
          <w:rFonts w:cs="Times"/>
          <w:sz w:val="24"/>
          <w:szCs w:val="24"/>
          <w:lang w:val="en-US"/>
        </w:rPr>
        <w:t xml:space="preserve">, </w:t>
      </w:r>
      <w:r w:rsidR="009211FC" w:rsidRPr="001B6BD4">
        <w:rPr>
          <w:rFonts w:cs="Times"/>
          <w:sz w:val="24"/>
          <w:szCs w:val="24"/>
          <w:lang w:val="en-US"/>
        </w:rPr>
        <w:t xml:space="preserve">such as </w:t>
      </w:r>
      <w:r w:rsidR="009211FC">
        <w:rPr>
          <w:rFonts w:cs="Times"/>
          <w:sz w:val="24"/>
          <w:szCs w:val="24"/>
          <w:lang w:val="en-US"/>
        </w:rPr>
        <w:t xml:space="preserve">improving the communication about adverse events (AEs) and suspected ADRs in </w:t>
      </w:r>
      <w:r w:rsidR="009211FC" w:rsidRPr="001B6BD4">
        <w:rPr>
          <w:rFonts w:cs="Times"/>
          <w:sz w:val="24"/>
          <w:szCs w:val="24"/>
          <w:lang w:val="en-US"/>
        </w:rPr>
        <w:t>clinical trials.</w:t>
      </w:r>
    </w:p>
    <w:p w14:paraId="302D7A06" w14:textId="5B434147" w:rsidR="009211FC" w:rsidRPr="001B6BD4" w:rsidRDefault="002F7462" w:rsidP="009211FC">
      <w:pPr>
        <w:widowControl w:val="0"/>
        <w:autoSpaceDE w:val="0"/>
        <w:autoSpaceDN w:val="0"/>
        <w:adjustRightInd w:val="0"/>
        <w:spacing w:after="240" w:line="360" w:lineRule="auto"/>
        <w:rPr>
          <w:rFonts w:ascii="Times" w:hAnsi="Times" w:cs="Times"/>
          <w:color w:val="000000"/>
          <w:sz w:val="24"/>
          <w:szCs w:val="24"/>
        </w:rPr>
      </w:pPr>
      <w:r>
        <w:rPr>
          <w:rFonts w:cs="Times"/>
          <w:sz w:val="24"/>
          <w:szCs w:val="24"/>
          <w:lang w:val="en-US"/>
        </w:rPr>
        <w:t>Some of the CYP involved do have above average knowledge of healthcare</w:t>
      </w:r>
      <w:r w:rsidR="00E602AB">
        <w:rPr>
          <w:rFonts w:cs="Times"/>
          <w:sz w:val="24"/>
          <w:szCs w:val="24"/>
          <w:lang w:val="en-US"/>
        </w:rPr>
        <w:t>, advocacy and paediatric health research design</w:t>
      </w:r>
      <w:r>
        <w:rPr>
          <w:rFonts w:cs="Times"/>
          <w:sz w:val="24"/>
          <w:szCs w:val="24"/>
          <w:lang w:val="en-US"/>
        </w:rPr>
        <w:t xml:space="preserve"> </w:t>
      </w:r>
      <w:r w:rsidR="003F3235" w:rsidRPr="001B6BD4">
        <w:rPr>
          <w:rFonts w:cs="Times"/>
          <w:sz w:val="24"/>
          <w:szCs w:val="24"/>
          <w:lang w:val="en-US"/>
        </w:rPr>
        <w:t>(Liverpool YPAG</w:t>
      </w:r>
      <w:r w:rsidR="00E602AB">
        <w:rPr>
          <w:rFonts w:cs="Times"/>
          <w:sz w:val="24"/>
          <w:szCs w:val="24"/>
          <w:lang w:val="en-US"/>
        </w:rPr>
        <w:t xml:space="preserve">; </w:t>
      </w:r>
      <w:proofErr w:type="spellStart"/>
      <w:r w:rsidR="00E602AB">
        <w:rPr>
          <w:rFonts w:cs="Times"/>
          <w:sz w:val="24"/>
          <w:szCs w:val="24"/>
          <w:lang w:val="en-US"/>
        </w:rPr>
        <w:t>iCAN</w:t>
      </w:r>
      <w:proofErr w:type="spellEnd"/>
      <w:r w:rsidR="003F3235" w:rsidRPr="001B6BD4">
        <w:rPr>
          <w:rFonts w:cs="Times"/>
          <w:sz w:val="24"/>
          <w:szCs w:val="24"/>
          <w:lang w:val="en-US"/>
        </w:rPr>
        <w:t>). However</w:t>
      </w:r>
      <w:r>
        <w:rPr>
          <w:rFonts w:cs="Times"/>
          <w:sz w:val="24"/>
          <w:szCs w:val="24"/>
          <w:lang w:val="en-US"/>
        </w:rPr>
        <w:t>, other groups who are naïve to healthcare (e.g. schoolchildren) were also included, and when combined with t</w:t>
      </w:r>
      <w:r w:rsidR="003F3235" w:rsidRPr="001B6BD4">
        <w:rPr>
          <w:rFonts w:cs="Times"/>
          <w:sz w:val="24"/>
          <w:szCs w:val="24"/>
          <w:lang w:val="en-US"/>
        </w:rPr>
        <w:t xml:space="preserve">he </w:t>
      </w:r>
      <w:r>
        <w:rPr>
          <w:rFonts w:cs="Times"/>
          <w:sz w:val="24"/>
          <w:szCs w:val="24"/>
          <w:lang w:val="en-US"/>
        </w:rPr>
        <w:t>large</w:t>
      </w:r>
      <w:r w:rsidR="00B55A2A" w:rsidRPr="001B6BD4">
        <w:rPr>
          <w:rFonts w:cs="Times"/>
          <w:sz w:val="24"/>
          <w:szCs w:val="24"/>
          <w:lang w:val="en-US"/>
        </w:rPr>
        <w:t xml:space="preserve"> </w:t>
      </w:r>
      <w:r w:rsidR="003F3235" w:rsidRPr="001B6BD4">
        <w:rPr>
          <w:rFonts w:cs="Times"/>
          <w:sz w:val="24"/>
          <w:szCs w:val="24"/>
          <w:lang w:val="en-US"/>
        </w:rPr>
        <w:t xml:space="preserve">number of </w:t>
      </w:r>
      <w:r w:rsidR="00FC4ED4" w:rsidRPr="001B6BD4">
        <w:rPr>
          <w:rFonts w:cs="Times"/>
          <w:sz w:val="24"/>
          <w:szCs w:val="24"/>
          <w:lang w:val="en-US"/>
        </w:rPr>
        <w:t>participants</w:t>
      </w:r>
      <w:r>
        <w:rPr>
          <w:rFonts w:cs="Times"/>
          <w:sz w:val="24"/>
          <w:szCs w:val="24"/>
          <w:lang w:val="en-US"/>
        </w:rPr>
        <w:t xml:space="preserve"> (&gt;300)</w:t>
      </w:r>
      <w:r w:rsidR="00B55A2A" w:rsidRPr="001B6BD4">
        <w:rPr>
          <w:rFonts w:cs="Times"/>
          <w:sz w:val="24"/>
          <w:szCs w:val="24"/>
          <w:lang w:val="en-US"/>
        </w:rPr>
        <w:t>,</w:t>
      </w:r>
      <w:r w:rsidR="003F3235" w:rsidRPr="001B6BD4">
        <w:rPr>
          <w:rFonts w:cs="Times"/>
          <w:sz w:val="24"/>
          <w:szCs w:val="24"/>
          <w:lang w:val="en-US"/>
        </w:rPr>
        <w:t xml:space="preserve"> </w:t>
      </w:r>
      <w:r>
        <w:rPr>
          <w:rFonts w:cs="Times"/>
          <w:sz w:val="24"/>
          <w:szCs w:val="24"/>
          <w:lang w:val="en-US"/>
        </w:rPr>
        <w:t xml:space="preserve">with </w:t>
      </w:r>
      <w:r w:rsidR="00B55A2A" w:rsidRPr="001B6BD4">
        <w:rPr>
          <w:rFonts w:cs="Times"/>
          <w:sz w:val="24"/>
          <w:szCs w:val="24"/>
          <w:lang w:val="en-US"/>
        </w:rPr>
        <w:t>varying ages and comprehension levels</w:t>
      </w:r>
      <w:r>
        <w:rPr>
          <w:rFonts w:cs="Times"/>
          <w:sz w:val="24"/>
          <w:szCs w:val="24"/>
          <w:lang w:val="en-US"/>
        </w:rPr>
        <w:t xml:space="preserve">, we are confident that the information will be both comprehensible and useful to CYP across a broad </w:t>
      </w:r>
      <w:r w:rsidR="00AC6073">
        <w:rPr>
          <w:rFonts w:cs="Times"/>
          <w:sz w:val="24"/>
          <w:szCs w:val="24"/>
          <w:lang w:val="en-US"/>
        </w:rPr>
        <w:t xml:space="preserve">range of </w:t>
      </w:r>
      <w:r>
        <w:rPr>
          <w:rFonts w:cs="Times"/>
          <w:sz w:val="24"/>
          <w:szCs w:val="24"/>
          <w:lang w:val="en-US"/>
        </w:rPr>
        <w:t>age</w:t>
      </w:r>
      <w:r w:rsidR="00AC6073">
        <w:rPr>
          <w:rFonts w:cs="Times"/>
          <w:sz w:val="24"/>
          <w:szCs w:val="24"/>
          <w:lang w:val="en-US"/>
        </w:rPr>
        <w:t>s and experience with healthcare</w:t>
      </w:r>
      <w:r>
        <w:rPr>
          <w:rFonts w:cs="Times"/>
          <w:sz w:val="24"/>
          <w:szCs w:val="24"/>
          <w:lang w:val="en-US"/>
        </w:rPr>
        <w:t xml:space="preserve">. </w:t>
      </w:r>
      <w:r w:rsidR="00AF2105">
        <w:rPr>
          <w:rFonts w:cs="Times"/>
          <w:sz w:val="24"/>
          <w:szCs w:val="24"/>
          <w:lang w:val="en-US"/>
        </w:rPr>
        <w:t xml:space="preserve"> </w:t>
      </w:r>
    </w:p>
    <w:p w14:paraId="1C53A4F2" w14:textId="1B78DB38" w:rsidR="003F3235" w:rsidRPr="001B6BD4" w:rsidRDefault="00FC4ED4" w:rsidP="004F5638">
      <w:pPr>
        <w:widowControl w:val="0"/>
        <w:autoSpaceDE w:val="0"/>
        <w:autoSpaceDN w:val="0"/>
        <w:adjustRightInd w:val="0"/>
        <w:spacing w:after="240" w:line="360" w:lineRule="auto"/>
        <w:rPr>
          <w:rFonts w:cs="Times"/>
          <w:sz w:val="24"/>
          <w:szCs w:val="24"/>
          <w:lang w:val="en-US"/>
        </w:rPr>
      </w:pPr>
      <w:r w:rsidRPr="001B6BD4">
        <w:rPr>
          <w:rFonts w:cs="Times"/>
          <w:sz w:val="24"/>
          <w:szCs w:val="24"/>
          <w:lang w:val="en-US"/>
        </w:rPr>
        <w:t>The</w:t>
      </w:r>
      <w:r w:rsidR="001B6BD4" w:rsidRPr="001B6BD4">
        <w:rPr>
          <w:rFonts w:cs="Times"/>
          <w:sz w:val="24"/>
          <w:szCs w:val="24"/>
          <w:lang w:val="en-US"/>
        </w:rPr>
        <w:t xml:space="preserve"> importance of parent and patient engagement (patient led innovation) is undervalued and play</w:t>
      </w:r>
      <w:r w:rsidR="002F7462">
        <w:rPr>
          <w:rFonts w:cs="Times"/>
          <w:sz w:val="24"/>
          <w:szCs w:val="24"/>
          <w:lang w:val="en-US"/>
        </w:rPr>
        <w:t>s</w:t>
      </w:r>
      <w:r w:rsidR="001B6BD4" w:rsidRPr="001B6BD4">
        <w:rPr>
          <w:rFonts w:cs="Times"/>
          <w:sz w:val="24"/>
          <w:szCs w:val="24"/>
          <w:lang w:val="en-US"/>
        </w:rPr>
        <w:t xml:space="preserve"> a vital role in improving outcomes</w:t>
      </w:r>
      <w:r w:rsidR="002F7462">
        <w:rPr>
          <w:rFonts w:cs="Times"/>
          <w:sz w:val="24"/>
          <w:szCs w:val="24"/>
          <w:lang w:val="en-US"/>
        </w:rPr>
        <w:t xml:space="preserve">. However, it can be </w:t>
      </w:r>
      <w:r w:rsidRPr="001B6BD4">
        <w:rPr>
          <w:rFonts w:cs="Times"/>
          <w:sz w:val="24"/>
          <w:szCs w:val="24"/>
          <w:lang w:val="en-US"/>
        </w:rPr>
        <w:t>hard to measure</w:t>
      </w:r>
      <w:r w:rsidR="001B6BD4" w:rsidRPr="001B6BD4">
        <w:rPr>
          <w:rFonts w:cs="Times"/>
          <w:sz w:val="24"/>
          <w:szCs w:val="24"/>
          <w:lang w:val="en-US"/>
        </w:rPr>
        <w:t xml:space="preserve"> </w:t>
      </w:r>
      <w:r w:rsidR="002F7462">
        <w:rPr>
          <w:rFonts w:cs="Times"/>
          <w:sz w:val="24"/>
          <w:szCs w:val="24"/>
          <w:lang w:val="en-US"/>
        </w:rPr>
        <w:t xml:space="preserve">improvements in outcomes </w:t>
      </w:r>
      <w:r w:rsidR="001B6BD4" w:rsidRPr="001B6BD4">
        <w:rPr>
          <w:rFonts w:cs="Times"/>
          <w:sz w:val="24"/>
          <w:szCs w:val="24"/>
          <w:lang w:val="en-US"/>
        </w:rPr>
        <w:t xml:space="preserve">as quantifying </w:t>
      </w:r>
      <w:r w:rsidR="002F7462">
        <w:rPr>
          <w:rFonts w:cs="Times"/>
          <w:sz w:val="24"/>
          <w:szCs w:val="24"/>
          <w:lang w:val="en-US"/>
        </w:rPr>
        <w:t xml:space="preserve">how </w:t>
      </w:r>
      <w:r w:rsidR="000A1706">
        <w:rPr>
          <w:rFonts w:cs="Times"/>
          <w:sz w:val="24"/>
          <w:szCs w:val="24"/>
          <w:lang w:val="en-US"/>
        </w:rPr>
        <w:t>parent and patient</w:t>
      </w:r>
      <w:r w:rsidR="002F7462">
        <w:rPr>
          <w:rFonts w:cs="Times"/>
          <w:sz w:val="24"/>
          <w:szCs w:val="24"/>
          <w:lang w:val="en-US"/>
        </w:rPr>
        <w:t xml:space="preserve"> </w:t>
      </w:r>
      <w:r w:rsidR="001B6BD4" w:rsidRPr="001B6BD4">
        <w:rPr>
          <w:rFonts w:cs="Times"/>
          <w:sz w:val="24"/>
          <w:szCs w:val="24"/>
          <w:lang w:val="en-US"/>
        </w:rPr>
        <w:t xml:space="preserve">advice </w:t>
      </w:r>
      <w:r w:rsidR="002F7462">
        <w:rPr>
          <w:rFonts w:cs="Times"/>
          <w:sz w:val="24"/>
          <w:szCs w:val="24"/>
          <w:lang w:val="en-US"/>
        </w:rPr>
        <w:t xml:space="preserve">has improved the processes can be </w:t>
      </w:r>
      <w:r w:rsidR="001B6BD4" w:rsidRPr="001B6BD4">
        <w:rPr>
          <w:rFonts w:cs="Times"/>
          <w:sz w:val="24"/>
          <w:szCs w:val="24"/>
          <w:lang w:val="en-US"/>
        </w:rPr>
        <w:t>difficult</w:t>
      </w:r>
      <w:r w:rsidR="002F7462">
        <w:rPr>
          <w:rFonts w:cs="Times"/>
          <w:sz w:val="24"/>
          <w:szCs w:val="24"/>
          <w:lang w:val="en-US"/>
        </w:rPr>
        <w:t xml:space="preserve"> </w:t>
      </w:r>
      <w:r w:rsidR="002F7462">
        <w:rPr>
          <w:rFonts w:cs="Times"/>
          <w:sz w:val="24"/>
          <w:szCs w:val="24"/>
          <w:lang w:val="en-US"/>
        </w:rPr>
        <w:fldChar w:fldCharType="begin"/>
      </w:r>
      <w:r w:rsidR="000275EB">
        <w:rPr>
          <w:rFonts w:cs="Times"/>
          <w:sz w:val="24"/>
          <w:szCs w:val="24"/>
          <w:lang w:val="en-US"/>
        </w:rPr>
        <w:instrText xml:space="preserve"> ADDIN EN.CITE &lt;EndNote&gt;&lt;Cite&gt;&lt;Author&gt;Brett&lt;/Author&gt;&lt;Year&gt;2014&lt;/Year&gt;&lt;RecNum&gt;19&lt;/RecNum&gt;&lt;DisplayText&gt;[16]&lt;/DisplayText&gt;&lt;record&gt;&lt;rec-number&gt;19&lt;/rec-number&gt;&lt;foreign-keys&gt;&lt;key app="EN" db-id="9ptrrdwsstevfye5s9gx0eenzxrzps5ta2xd" timestamp="1541773188"&gt;19&lt;/key&gt;&lt;/foreign-keys&gt;&lt;ref-type name="Journal Article"&gt;17&lt;/ref-type&gt;&lt;contributors&gt;&lt;authors&gt;&lt;author&gt;Brett, Jo&lt;/author&gt;&lt;author&gt;Staniszewska, Sophie&lt;/author&gt;&lt;author&gt;Mockford, Carole&lt;/author&gt;&lt;author&gt;Herron-Marx, Sandra&lt;/author&gt;&lt;author&gt;Hughes, John&lt;/author&gt;&lt;author&gt;Tysall, Colin&lt;/author&gt;&lt;author&gt;Suleman, Rashida&lt;/author&gt;&lt;/authors&gt;&lt;/contributors&gt;&lt;titles&gt;&lt;title&gt;Mapping the impact of patient and public involvement on health and social care research: a systematic review&lt;/title&gt;&lt;secondary-title&gt;Health Expectations&lt;/secondary-title&gt;&lt;/titles&gt;&lt;periodical&gt;&lt;full-title&gt;Health Expectations&lt;/full-title&gt;&lt;/periodical&gt;&lt;pages&gt;637-650&lt;/pages&gt;&lt;volume&gt;17&lt;/volume&gt;&lt;number&gt;5&lt;/number&gt;&lt;dates&gt;&lt;year&gt;2014&lt;/year&gt;&lt;/dates&gt;&lt;urls&gt;&lt;related-urls&gt;&lt;url&gt;https://onlinelibrary.wiley.com/doi/abs/10.1111/j.1369-7625.2012.00795.x&lt;/url&gt;&lt;/related-urls&gt;&lt;/urls&gt;&lt;electronic-resource-num&gt;doi:10.1111/j.1369-7625.2012.00795.x&lt;/electronic-resource-num&gt;&lt;/record&gt;&lt;/Cite&gt;&lt;/EndNote&gt;</w:instrText>
      </w:r>
      <w:r w:rsidR="002F7462">
        <w:rPr>
          <w:rFonts w:cs="Times"/>
          <w:sz w:val="24"/>
          <w:szCs w:val="24"/>
          <w:lang w:val="en-US"/>
        </w:rPr>
        <w:fldChar w:fldCharType="separate"/>
      </w:r>
      <w:r w:rsidR="000275EB">
        <w:rPr>
          <w:rFonts w:cs="Times"/>
          <w:noProof/>
          <w:sz w:val="24"/>
          <w:szCs w:val="24"/>
          <w:lang w:val="en-US"/>
        </w:rPr>
        <w:t>[16]</w:t>
      </w:r>
      <w:r w:rsidR="002F7462">
        <w:rPr>
          <w:rFonts w:cs="Times"/>
          <w:sz w:val="24"/>
          <w:szCs w:val="24"/>
          <w:lang w:val="en-US"/>
        </w:rPr>
        <w:fldChar w:fldCharType="end"/>
      </w:r>
      <w:r w:rsidR="002F7462">
        <w:rPr>
          <w:rFonts w:cs="Times"/>
          <w:sz w:val="24"/>
          <w:szCs w:val="24"/>
          <w:lang w:val="en-US"/>
        </w:rPr>
        <w:t>.</w:t>
      </w:r>
      <w:r w:rsidR="00D517B7">
        <w:rPr>
          <w:rFonts w:cs="Times"/>
          <w:sz w:val="24"/>
          <w:szCs w:val="24"/>
          <w:lang w:val="en-US"/>
        </w:rPr>
        <w:t xml:space="preserve"> </w:t>
      </w:r>
      <w:r w:rsidR="004D0273">
        <w:rPr>
          <w:rFonts w:cs="Times"/>
          <w:sz w:val="24"/>
          <w:szCs w:val="24"/>
          <w:lang w:val="en-US"/>
        </w:rPr>
        <w:t>However</w:t>
      </w:r>
      <w:r w:rsidR="002F7462">
        <w:rPr>
          <w:rFonts w:cs="Times"/>
          <w:sz w:val="24"/>
          <w:szCs w:val="24"/>
          <w:lang w:val="en-US"/>
        </w:rPr>
        <w:t>,</w:t>
      </w:r>
      <w:r w:rsidR="004D0273">
        <w:rPr>
          <w:rFonts w:cs="Times"/>
          <w:sz w:val="24"/>
          <w:szCs w:val="24"/>
          <w:lang w:val="en-US"/>
        </w:rPr>
        <w:t xml:space="preserve"> th</w:t>
      </w:r>
      <w:r w:rsidR="002F7462">
        <w:rPr>
          <w:rFonts w:cs="Times"/>
          <w:sz w:val="24"/>
          <w:szCs w:val="24"/>
          <w:lang w:val="en-US"/>
        </w:rPr>
        <w:t xml:space="preserve">e development of these information resources to improve reporting by CYP to the </w:t>
      </w:r>
      <w:r w:rsidR="000D2CD1">
        <w:rPr>
          <w:rFonts w:cs="Times"/>
          <w:sz w:val="24"/>
          <w:szCs w:val="24"/>
          <w:lang w:val="en-US"/>
        </w:rPr>
        <w:t>YCS</w:t>
      </w:r>
      <w:r w:rsidR="002F7462">
        <w:rPr>
          <w:rFonts w:cs="Times"/>
          <w:sz w:val="24"/>
          <w:szCs w:val="24"/>
          <w:lang w:val="en-US"/>
        </w:rPr>
        <w:t xml:space="preserve"> represents an opportunity to measure impact in terms of quality and quantity of </w:t>
      </w:r>
      <w:r w:rsidR="009211FC">
        <w:rPr>
          <w:rFonts w:cs="Times"/>
          <w:sz w:val="24"/>
          <w:szCs w:val="24"/>
          <w:lang w:val="en-US"/>
        </w:rPr>
        <w:t>reports, p</w:t>
      </w:r>
      <w:r w:rsidR="004D0273">
        <w:rPr>
          <w:rFonts w:cs="Times"/>
          <w:sz w:val="24"/>
          <w:szCs w:val="24"/>
          <w:lang w:val="en-US"/>
        </w:rPr>
        <w:t>rovi</w:t>
      </w:r>
      <w:r w:rsidR="009211FC">
        <w:rPr>
          <w:rFonts w:cs="Times"/>
          <w:sz w:val="24"/>
          <w:szCs w:val="24"/>
          <w:lang w:val="en-US"/>
        </w:rPr>
        <w:t>ding evidence for</w:t>
      </w:r>
      <w:r w:rsidR="004D0273">
        <w:rPr>
          <w:rFonts w:cs="Times"/>
          <w:sz w:val="24"/>
          <w:szCs w:val="24"/>
          <w:lang w:val="en-US"/>
        </w:rPr>
        <w:t xml:space="preserve"> the importance and positive impact</w:t>
      </w:r>
      <w:r w:rsidR="009211FC">
        <w:rPr>
          <w:rFonts w:cs="Times"/>
          <w:sz w:val="24"/>
          <w:szCs w:val="24"/>
          <w:lang w:val="en-US"/>
        </w:rPr>
        <w:t xml:space="preserve"> </w:t>
      </w:r>
      <w:r w:rsidR="000A1706">
        <w:rPr>
          <w:rFonts w:cs="Times"/>
          <w:sz w:val="24"/>
          <w:szCs w:val="24"/>
          <w:lang w:val="en-US"/>
        </w:rPr>
        <w:t xml:space="preserve">involving CYP and their parents </w:t>
      </w:r>
      <w:r w:rsidR="009211FC">
        <w:rPr>
          <w:rFonts w:cs="Times"/>
          <w:sz w:val="24"/>
          <w:szCs w:val="24"/>
          <w:lang w:val="en-US"/>
        </w:rPr>
        <w:t>can make.</w:t>
      </w:r>
      <w:r w:rsidR="002F7462">
        <w:rPr>
          <w:rFonts w:cs="Times"/>
          <w:sz w:val="24"/>
          <w:szCs w:val="24"/>
          <w:lang w:val="en-US"/>
        </w:rPr>
        <w:t xml:space="preserve"> </w:t>
      </w:r>
    </w:p>
    <w:p w14:paraId="4C461F2F" w14:textId="02AABEDF" w:rsidR="00FC6752" w:rsidRPr="00230425" w:rsidRDefault="00FC6752" w:rsidP="004F5638">
      <w:pPr>
        <w:spacing w:line="360" w:lineRule="auto"/>
        <w:rPr>
          <w:rFonts w:cs="Times New Roman"/>
          <w:b/>
          <w:color w:val="000000" w:themeColor="text1"/>
          <w:sz w:val="24"/>
          <w:szCs w:val="24"/>
        </w:rPr>
      </w:pPr>
      <w:r w:rsidRPr="0013747B">
        <w:rPr>
          <w:rFonts w:cs="Times New Roman"/>
          <w:b/>
          <w:color w:val="000000" w:themeColor="text1"/>
          <w:sz w:val="24"/>
          <w:szCs w:val="24"/>
        </w:rPr>
        <w:t>Conclusion</w:t>
      </w:r>
    </w:p>
    <w:p w14:paraId="0600EF11" w14:textId="27467659" w:rsidR="00E54CF5" w:rsidRDefault="00E54CF5" w:rsidP="00E54CF5">
      <w:pPr>
        <w:spacing w:after="0" w:line="360" w:lineRule="auto"/>
        <w:rPr>
          <w:rFonts w:cstheme="minorHAnsi"/>
          <w:color w:val="000000" w:themeColor="text1"/>
          <w:sz w:val="24"/>
          <w:szCs w:val="24"/>
        </w:rPr>
      </w:pPr>
      <w:r>
        <w:rPr>
          <w:rFonts w:cstheme="minorHAnsi"/>
          <w:color w:val="000000" w:themeColor="text1"/>
          <w:sz w:val="24"/>
          <w:szCs w:val="24"/>
        </w:rPr>
        <w:t xml:space="preserve">CYPs contribution to the YCS is limited, </w:t>
      </w:r>
      <w:r w:rsidR="00C721A8">
        <w:rPr>
          <w:rFonts w:cstheme="minorHAnsi"/>
          <w:color w:val="000000" w:themeColor="text1"/>
          <w:sz w:val="24"/>
          <w:szCs w:val="24"/>
        </w:rPr>
        <w:t>but increasing, and</w:t>
      </w:r>
      <w:r>
        <w:rPr>
          <w:rFonts w:cstheme="minorHAnsi"/>
          <w:color w:val="000000" w:themeColor="text1"/>
          <w:sz w:val="24"/>
          <w:szCs w:val="24"/>
        </w:rPr>
        <w:t xml:space="preserve"> demonstrated distinct patterns of suspected medications and reactions.  A</w:t>
      </w:r>
      <w:r w:rsidRPr="005001DB">
        <w:rPr>
          <w:rFonts w:cstheme="minorHAnsi"/>
          <w:color w:val="000000" w:themeColor="text1"/>
          <w:sz w:val="24"/>
          <w:szCs w:val="24"/>
        </w:rPr>
        <w:t xml:space="preserve">ge appropriate information </w:t>
      </w:r>
      <w:r>
        <w:rPr>
          <w:rFonts w:cstheme="minorHAnsi"/>
          <w:color w:val="000000" w:themeColor="text1"/>
          <w:sz w:val="24"/>
          <w:szCs w:val="24"/>
        </w:rPr>
        <w:t>for</w:t>
      </w:r>
      <w:r w:rsidRPr="005001DB">
        <w:rPr>
          <w:rFonts w:cstheme="minorHAnsi"/>
          <w:color w:val="000000" w:themeColor="text1"/>
          <w:sz w:val="24"/>
          <w:szCs w:val="24"/>
        </w:rPr>
        <w:t xml:space="preserve"> </w:t>
      </w:r>
      <w:r>
        <w:rPr>
          <w:rFonts w:cstheme="minorHAnsi"/>
          <w:color w:val="000000" w:themeColor="text1"/>
          <w:sz w:val="24"/>
          <w:szCs w:val="24"/>
        </w:rPr>
        <w:t>CYP to aid reporting of suspected ADRs has been developed</w:t>
      </w:r>
      <w:r w:rsidRPr="005001DB">
        <w:rPr>
          <w:rFonts w:cstheme="minorHAnsi"/>
          <w:color w:val="000000" w:themeColor="text1"/>
          <w:sz w:val="24"/>
          <w:szCs w:val="24"/>
        </w:rPr>
        <w:t xml:space="preserve">. </w:t>
      </w:r>
      <w:r>
        <w:rPr>
          <w:rFonts w:cstheme="minorHAnsi"/>
          <w:color w:val="000000" w:themeColor="text1"/>
          <w:sz w:val="24"/>
          <w:szCs w:val="24"/>
        </w:rPr>
        <w:t xml:space="preserve"> </w:t>
      </w:r>
    </w:p>
    <w:p w14:paraId="34E4C6B1" w14:textId="61DDAFC4" w:rsidR="000C07A0" w:rsidRDefault="000C07A0" w:rsidP="000C07A0">
      <w:pPr>
        <w:spacing w:after="0" w:line="360" w:lineRule="auto"/>
        <w:rPr>
          <w:rFonts w:cstheme="minorHAnsi"/>
          <w:color w:val="000000" w:themeColor="text1"/>
          <w:sz w:val="24"/>
          <w:szCs w:val="24"/>
        </w:rPr>
      </w:pPr>
    </w:p>
    <w:p w14:paraId="766FCCC1" w14:textId="77777777" w:rsidR="00E56A67" w:rsidRPr="00FC6752" w:rsidRDefault="00E56A67" w:rsidP="004F5638">
      <w:pPr>
        <w:spacing w:after="0" w:line="360" w:lineRule="auto"/>
        <w:rPr>
          <w:rFonts w:cstheme="minorHAnsi"/>
          <w:sz w:val="24"/>
          <w:szCs w:val="24"/>
        </w:rPr>
      </w:pPr>
    </w:p>
    <w:p w14:paraId="1AE4CB44" w14:textId="41126886" w:rsidR="00BB5EC5" w:rsidRDefault="00BB5EC5" w:rsidP="004F5638">
      <w:pPr>
        <w:pStyle w:val="Heading1"/>
        <w:spacing w:line="360" w:lineRule="auto"/>
      </w:pPr>
      <w:r>
        <w:lastRenderedPageBreak/>
        <w:t>Acknowledgements</w:t>
      </w:r>
    </w:p>
    <w:p w14:paraId="0C5EB499" w14:textId="77777777" w:rsidR="00BB5EC5" w:rsidRDefault="00BB5EC5" w:rsidP="004F5638">
      <w:pPr>
        <w:spacing w:line="360" w:lineRule="auto"/>
      </w:pPr>
    </w:p>
    <w:p w14:paraId="28430BA8" w14:textId="64FE2DBF" w:rsidR="00BB5EC5" w:rsidRDefault="00BB5EC5" w:rsidP="004F5638">
      <w:pPr>
        <w:spacing w:line="360" w:lineRule="auto"/>
      </w:pPr>
      <w:r>
        <w:t>We would like to thank all of the young people who helped develop this information, from the Liverpool YPAG (</w:t>
      </w:r>
      <w:hyperlink r:id="rId8" w:history="1">
        <w:r w:rsidRPr="0047179A">
          <w:rPr>
            <w:rStyle w:val="Hyperlink"/>
          </w:rPr>
          <w:t>https://generationr.org.uk/liverpool/</w:t>
        </w:r>
      </w:hyperlink>
      <w:r>
        <w:t xml:space="preserve">), </w:t>
      </w:r>
      <w:r w:rsidR="002D126A">
        <w:t>Steep Hill School</w:t>
      </w:r>
      <w:r>
        <w:t xml:space="preserve">, and the International Children’s Advisory Network (ICAN, </w:t>
      </w:r>
      <w:hyperlink r:id="rId9" w:history="1">
        <w:r w:rsidRPr="0047179A">
          <w:rPr>
            <w:rStyle w:val="Hyperlink"/>
          </w:rPr>
          <w:t>https://icanresearch.org/</w:t>
        </w:r>
      </w:hyperlink>
      <w:r>
        <w:t>) as this would not have been possible without their help.</w:t>
      </w:r>
    </w:p>
    <w:p w14:paraId="59A243DD" w14:textId="5642FFC7" w:rsidR="00BB5EC5" w:rsidRDefault="00BB5EC5" w:rsidP="004F5638">
      <w:pPr>
        <w:spacing w:line="360" w:lineRule="auto"/>
        <w:rPr>
          <w:rFonts w:cstheme="minorHAnsi"/>
          <w:sz w:val="24"/>
          <w:szCs w:val="24"/>
        </w:rPr>
      </w:pPr>
      <w:r>
        <w:rPr>
          <w:color w:val="212121"/>
          <w:lang w:eastAsia="en-GB"/>
        </w:rPr>
        <w:t>This is a summary of independent research funded by University of Liverpool and carried out at the National Institute for Health Research (NIHR) Alder Hey Clinical Research Facility</w:t>
      </w:r>
      <w:r>
        <w:rPr>
          <w:i/>
          <w:iCs/>
          <w:color w:val="212121"/>
          <w:lang w:eastAsia="en-GB"/>
        </w:rPr>
        <w:t xml:space="preserve">. </w:t>
      </w:r>
      <w:r>
        <w:rPr>
          <w:color w:val="212121"/>
          <w:lang w:eastAsia="en-GB"/>
        </w:rPr>
        <w:t>The views expressed are those of the author(s) and not necessarily those of the University of Liverpool, NHS, the NIHR or the Department of Health</w:t>
      </w:r>
    </w:p>
    <w:p w14:paraId="56EC944B" w14:textId="77777777" w:rsidR="00BB5EC5" w:rsidRDefault="00BB5EC5" w:rsidP="000C5819">
      <w:pPr>
        <w:rPr>
          <w:rFonts w:cstheme="minorHAnsi"/>
          <w:sz w:val="24"/>
          <w:szCs w:val="24"/>
        </w:rPr>
      </w:pPr>
    </w:p>
    <w:p w14:paraId="0B79CF7D" w14:textId="03165F9D" w:rsidR="00BB5EC5" w:rsidRDefault="00BB5EC5" w:rsidP="00BB5EC5">
      <w:pPr>
        <w:pStyle w:val="Heading1"/>
      </w:pPr>
      <w:r>
        <w:t>References</w:t>
      </w:r>
    </w:p>
    <w:p w14:paraId="5B19AD33" w14:textId="77777777" w:rsidR="00BB5EC5" w:rsidRDefault="00BB5EC5" w:rsidP="000C5819">
      <w:pPr>
        <w:rPr>
          <w:rFonts w:cstheme="minorHAnsi"/>
          <w:sz w:val="24"/>
          <w:szCs w:val="24"/>
        </w:rPr>
      </w:pPr>
    </w:p>
    <w:p w14:paraId="6FB44B9F" w14:textId="77777777" w:rsidR="000275EB" w:rsidRPr="000275EB" w:rsidRDefault="00BB5EC5" w:rsidP="000275EB">
      <w:pPr>
        <w:pStyle w:val="EndNoteBibliography"/>
        <w:spacing w:after="0"/>
      </w:pPr>
      <w:r>
        <w:rPr>
          <w:rFonts w:cstheme="minorHAnsi"/>
          <w:sz w:val="24"/>
          <w:szCs w:val="24"/>
        </w:rPr>
        <w:fldChar w:fldCharType="begin"/>
      </w:r>
      <w:r>
        <w:rPr>
          <w:rFonts w:cstheme="minorHAnsi"/>
          <w:sz w:val="24"/>
          <w:szCs w:val="24"/>
        </w:rPr>
        <w:instrText xml:space="preserve"> ADDIN EN.REFLIST </w:instrText>
      </w:r>
      <w:r>
        <w:rPr>
          <w:rFonts w:cstheme="minorHAnsi"/>
          <w:sz w:val="24"/>
          <w:szCs w:val="24"/>
        </w:rPr>
        <w:fldChar w:fldCharType="separate"/>
      </w:r>
      <w:r w:rsidR="000275EB" w:rsidRPr="000275EB">
        <w:t>1.</w:t>
      </w:r>
      <w:r w:rsidR="000275EB" w:rsidRPr="000275EB">
        <w:tab/>
        <w:t>McLernon DJ, Bond CM, Hannaford PC, Watson MC, Lee AJ, Hazell L, Avery A, Collaboration YC. Adverse Drug Reaction Reporting in the UK. Drug Safety 2010; 33: 775-88.</w:t>
      </w:r>
    </w:p>
    <w:p w14:paraId="722D96E5" w14:textId="77777777" w:rsidR="000275EB" w:rsidRPr="000275EB" w:rsidRDefault="000275EB" w:rsidP="000275EB">
      <w:pPr>
        <w:pStyle w:val="EndNoteBibliography"/>
        <w:spacing w:after="0"/>
      </w:pPr>
      <w:r w:rsidRPr="000275EB">
        <w:t>2.</w:t>
      </w:r>
      <w:r w:rsidRPr="000275EB">
        <w:tab/>
        <w:t>Blenkinsopp A, Wilkie P, Wang M, Routledge PA. Patient reporting of suspected adverse drug reactions: a review of published literature and international experience. British journal of clinical pharmacology 2007; 63: 148-56.</w:t>
      </w:r>
    </w:p>
    <w:p w14:paraId="7A767EBC" w14:textId="77777777" w:rsidR="000275EB" w:rsidRPr="000275EB" w:rsidRDefault="000275EB" w:rsidP="000275EB">
      <w:pPr>
        <w:pStyle w:val="EndNoteBibliography"/>
        <w:spacing w:after="0"/>
      </w:pPr>
      <w:r w:rsidRPr="000275EB">
        <w:t>3.</w:t>
      </w:r>
      <w:r w:rsidRPr="000275EB">
        <w:tab/>
        <w:t>Avery AJ, Anderson C, Bond C, Fortnum H, Gifford A, Hannaford PC, Hazell L, Krska J, Lee A, Mclernon DJ. Evaluation of patient reporting of adverse drug reactions to the UK ‘Yellow Card Scheme’: literature review, descriptive and qualitative analyses, and questionnaire surveys. Health Technology Assessment 2011.</w:t>
      </w:r>
    </w:p>
    <w:p w14:paraId="71BA0B16" w14:textId="77777777" w:rsidR="000275EB" w:rsidRPr="000275EB" w:rsidRDefault="000275EB" w:rsidP="000275EB">
      <w:pPr>
        <w:pStyle w:val="EndNoteBibliography"/>
        <w:spacing w:after="0"/>
      </w:pPr>
      <w:r w:rsidRPr="000275EB">
        <w:t>4.</w:t>
      </w:r>
      <w:r w:rsidRPr="000275EB">
        <w:tab/>
        <w:t>Margraff F, Bertram D. Adverse Drug Reaction Reporting by Patients: An Overview of Fifty Countries. Drug Safety 2014; 37: 409-19.</w:t>
      </w:r>
    </w:p>
    <w:p w14:paraId="35401180" w14:textId="77777777" w:rsidR="000275EB" w:rsidRPr="000275EB" w:rsidRDefault="000275EB" w:rsidP="000275EB">
      <w:pPr>
        <w:pStyle w:val="EndNoteBibliography"/>
        <w:spacing w:after="0"/>
      </w:pPr>
      <w:r w:rsidRPr="000275EB">
        <w:t>5.</w:t>
      </w:r>
      <w:r w:rsidRPr="000275EB">
        <w:tab/>
        <w:t>Hazell L, Shakir SA. Under-reporting of adverse drug reactions. Drug safety 2006; 29: 385-96.</w:t>
      </w:r>
    </w:p>
    <w:p w14:paraId="78964D6A" w14:textId="77777777" w:rsidR="000275EB" w:rsidRPr="000275EB" w:rsidRDefault="000275EB" w:rsidP="000275EB">
      <w:pPr>
        <w:pStyle w:val="EndNoteBibliography"/>
        <w:spacing w:after="0"/>
      </w:pPr>
      <w:r w:rsidRPr="000275EB">
        <w:t>6.</w:t>
      </w:r>
      <w:r w:rsidRPr="000275EB">
        <w:tab/>
        <w:t>Gallagher RM, Mason JR, Bird KA, Kirkham JJ, Peak M, Williamson PR, Nunn AJ, Turner MA, Pirmohamed M, Smyth RL. Adverse drug reactions causing admission to a paediatric hospital. PLoS One 2012; 7: e50127.</w:t>
      </w:r>
    </w:p>
    <w:p w14:paraId="16839E2B" w14:textId="77777777" w:rsidR="000275EB" w:rsidRPr="000275EB" w:rsidRDefault="000275EB" w:rsidP="000275EB">
      <w:pPr>
        <w:pStyle w:val="EndNoteBibliography"/>
        <w:spacing w:after="0"/>
      </w:pPr>
      <w:r w:rsidRPr="000275EB">
        <w:t>7.</w:t>
      </w:r>
      <w:r w:rsidRPr="000275EB">
        <w:tab/>
        <w:t>Thiesen S, Conroy EJ, Bellis JR, Bracken LE, Mannix HL, Bird KA, Duncan JC, Cresswell L, Kirkham JJ, Peak M. Incidence, characteristics and risk factors of adverse drug reactions in hospitalized children–a prospective observational cohort study of 6,601 admissions. BMC medicine 2013; 11: 237.</w:t>
      </w:r>
    </w:p>
    <w:p w14:paraId="0C4F4B21" w14:textId="77777777" w:rsidR="000275EB" w:rsidRPr="000275EB" w:rsidRDefault="000275EB" w:rsidP="000275EB">
      <w:pPr>
        <w:pStyle w:val="EndNoteBibliography"/>
        <w:spacing w:after="0"/>
      </w:pPr>
      <w:r w:rsidRPr="000275EB">
        <w:t>8.</w:t>
      </w:r>
      <w:r w:rsidRPr="000275EB">
        <w:tab/>
        <w:t>Hawcutt DB, Mainie P, Riordan A, Smyth RL, Pirmohamed M. Reported paediatric adverse drug reactions in the UK 2000–2009. British journal of clinical pharmacology 2012; 73: 437-46.</w:t>
      </w:r>
    </w:p>
    <w:p w14:paraId="0067EDAF" w14:textId="77777777" w:rsidR="000275EB" w:rsidRPr="000275EB" w:rsidRDefault="000275EB" w:rsidP="000275EB">
      <w:pPr>
        <w:pStyle w:val="EndNoteBibliography"/>
        <w:spacing w:after="0"/>
      </w:pPr>
      <w:r w:rsidRPr="000275EB">
        <w:t>9.</w:t>
      </w:r>
      <w:r w:rsidRPr="000275EB">
        <w:tab/>
        <w:t>Kimland E, Rane A, Ufer M, Panagiotidis G. Paediatric adverse drug reactions reported in Sweden from 1987 to 2001. Pharmacoepidemiology and drug safety 2005; 14: 493-99.</w:t>
      </w:r>
    </w:p>
    <w:p w14:paraId="1DD353D2" w14:textId="77777777" w:rsidR="000275EB" w:rsidRPr="000275EB" w:rsidRDefault="000275EB" w:rsidP="000275EB">
      <w:pPr>
        <w:pStyle w:val="EndNoteBibliography"/>
        <w:spacing w:after="0"/>
      </w:pPr>
      <w:r w:rsidRPr="000275EB">
        <w:t>10.</w:t>
      </w:r>
      <w:r w:rsidRPr="000275EB">
        <w:tab/>
        <w:t>Le J, Nguyen T, Law AV, Hodding J. Adverse drug reactions among children over a 10-year period. Pediatrics 2006; 118: 555-62.</w:t>
      </w:r>
    </w:p>
    <w:p w14:paraId="08C4A443" w14:textId="77777777" w:rsidR="000275EB" w:rsidRPr="000275EB" w:rsidRDefault="000275EB" w:rsidP="000275EB">
      <w:pPr>
        <w:pStyle w:val="EndNoteBibliography"/>
        <w:spacing w:after="0"/>
      </w:pPr>
      <w:r w:rsidRPr="000275EB">
        <w:t>11.</w:t>
      </w:r>
      <w:r w:rsidRPr="000275EB">
        <w:tab/>
        <w:t>Aagaard L, Weber CB, Hansen EH. Adverse Drug Reactions in the paediatric population in Denmark. Drug safety 2010; 33: 327-39.</w:t>
      </w:r>
    </w:p>
    <w:p w14:paraId="406274AA" w14:textId="77777777" w:rsidR="000275EB" w:rsidRPr="000275EB" w:rsidRDefault="000275EB" w:rsidP="000275EB">
      <w:pPr>
        <w:pStyle w:val="EndNoteBibliography"/>
        <w:spacing w:after="0"/>
      </w:pPr>
      <w:r w:rsidRPr="000275EB">
        <w:lastRenderedPageBreak/>
        <w:t>12.</w:t>
      </w:r>
      <w:r w:rsidRPr="000275EB">
        <w:tab/>
        <w:t>Morales-Olivas F, Martınez-Mir I, Ferrer J, Rubio E, Palop V. Adverse drug reactions in children reported by means of the yellow card in Spain. Journal of clinical epidemiology 2000; 53: 1076-80.</w:t>
      </w:r>
    </w:p>
    <w:p w14:paraId="11A2BCD0" w14:textId="77777777" w:rsidR="000275EB" w:rsidRPr="000275EB" w:rsidRDefault="000275EB" w:rsidP="000275EB">
      <w:pPr>
        <w:pStyle w:val="EndNoteBibliography"/>
        <w:spacing w:after="0"/>
      </w:pPr>
      <w:r w:rsidRPr="000275EB">
        <w:t>13.</w:t>
      </w:r>
      <w:r w:rsidRPr="000275EB">
        <w:tab/>
        <w:t>Priyadharsini R, Surendiran A, Adithan C, Sreenivasan S, Sahoo FK. A study of adverse drug reactions in pediatric patients. Journal of pharmacology &amp; pharmacotherapeutics 2011; 2: 277.</w:t>
      </w:r>
    </w:p>
    <w:p w14:paraId="3F3939A5" w14:textId="77777777" w:rsidR="000275EB" w:rsidRPr="000275EB" w:rsidRDefault="000275EB" w:rsidP="000275EB">
      <w:pPr>
        <w:pStyle w:val="EndNoteBibliography"/>
        <w:spacing w:after="0"/>
      </w:pPr>
      <w:r w:rsidRPr="000275EB">
        <w:t>14.</w:t>
      </w:r>
      <w:r w:rsidRPr="000275EB">
        <w:tab/>
        <w:t>Cliff-Eribo KO, Sammons H, Choonara I. Systematic review of paediatric studies of adverse drug reactions from pharmacovigilance databases. Expert opinion on drug safety 2016; 15: 1321-28.</w:t>
      </w:r>
    </w:p>
    <w:p w14:paraId="753017A1" w14:textId="77777777" w:rsidR="000275EB" w:rsidRPr="000275EB" w:rsidRDefault="000275EB" w:rsidP="000275EB">
      <w:pPr>
        <w:pStyle w:val="EndNoteBibliography"/>
        <w:spacing w:after="0"/>
      </w:pPr>
      <w:r w:rsidRPr="000275EB">
        <w:t>15.</w:t>
      </w:r>
      <w:r w:rsidRPr="000275EB">
        <w:tab/>
        <w:t>Health RCoPaC. The State of Child Health. In, 2017.</w:t>
      </w:r>
    </w:p>
    <w:p w14:paraId="418AB3DA" w14:textId="77777777" w:rsidR="000275EB" w:rsidRPr="000275EB" w:rsidRDefault="000275EB" w:rsidP="000275EB">
      <w:pPr>
        <w:pStyle w:val="EndNoteBibliography"/>
      </w:pPr>
      <w:r w:rsidRPr="000275EB">
        <w:t>16.</w:t>
      </w:r>
      <w:r w:rsidRPr="000275EB">
        <w:tab/>
        <w:t>Brett J, Staniszewska S, Mockford C, Herron-Marx S, Hughes J, Tysall C, Suleman R. Mapping the impact of patient and public involvement on health and social care research: a systematic review. Health Expectations 2014; 17: 637-50.</w:t>
      </w:r>
    </w:p>
    <w:p w14:paraId="4857CC08" w14:textId="23A30F32" w:rsidR="00071AEE" w:rsidRDefault="00BB5EC5" w:rsidP="000C5819">
      <w:pPr>
        <w:rPr>
          <w:rFonts w:cstheme="minorHAnsi"/>
          <w:sz w:val="24"/>
          <w:szCs w:val="24"/>
        </w:rPr>
      </w:pPr>
      <w:r>
        <w:rPr>
          <w:rFonts w:cstheme="minorHAnsi"/>
          <w:sz w:val="24"/>
          <w:szCs w:val="24"/>
        </w:rPr>
        <w:fldChar w:fldCharType="end"/>
      </w:r>
    </w:p>
    <w:p w14:paraId="7A27AF10" w14:textId="77777777" w:rsidR="00782618" w:rsidRDefault="00782618">
      <w:pPr>
        <w:rPr>
          <w:rFonts w:cstheme="minorHAnsi"/>
          <w:sz w:val="24"/>
          <w:szCs w:val="24"/>
        </w:rPr>
      </w:pPr>
      <w:r>
        <w:rPr>
          <w:rFonts w:cstheme="minorHAnsi"/>
          <w:sz w:val="24"/>
          <w:szCs w:val="24"/>
        </w:rPr>
        <w:br w:type="page"/>
      </w:r>
    </w:p>
    <w:p w14:paraId="5800822F" w14:textId="77777777" w:rsidR="00AC275E" w:rsidRDefault="00AC275E" w:rsidP="00AC275E">
      <w:pPr>
        <w:pStyle w:val="Heading1"/>
        <w:rPr>
          <w:rFonts w:eastAsia="Arial"/>
        </w:rPr>
      </w:pPr>
      <w:r>
        <w:rPr>
          <w:rFonts w:eastAsia="Arial"/>
        </w:rPr>
        <w:lastRenderedPageBreak/>
        <w:t>Table 1</w:t>
      </w:r>
    </w:p>
    <w:p w14:paraId="268F2463" w14:textId="77777777" w:rsidR="00AC275E" w:rsidRPr="00185AF0" w:rsidRDefault="00AC275E" w:rsidP="00AC275E"/>
    <w:tbl>
      <w:tblPr>
        <w:tblStyle w:val="TableGrid"/>
        <w:tblW w:w="0" w:type="auto"/>
        <w:tblLook w:val="04A0" w:firstRow="1" w:lastRow="0" w:firstColumn="1" w:lastColumn="0" w:noHBand="0" w:noVBand="1"/>
      </w:tblPr>
      <w:tblGrid>
        <w:gridCol w:w="1619"/>
        <w:gridCol w:w="2143"/>
        <w:gridCol w:w="1784"/>
        <w:gridCol w:w="1546"/>
        <w:gridCol w:w="1924"/>
      </w:tblGrid>
      <w:tr w:rsidR="00AC275E" w14:paraId="5967F85F" w14:textId="77777777" w:rsidTr="00B1357B">
        <w:tc>
          <w:tcPr>
            <w:tcW w:w="1619" w:type="dxa"/>
            <w:vAlign w:val="center"/>
          </w:tcPr>
          <w:p w14:paraId="5C739F3D" w14:textId="77777777" w:rsidR="00AC275E" w:rsidRPr="00775B9E" w:rsidRDefault="00AC275E" w:rsidP="00B1357B">
            <w:pPr>
              <w:spacing w:line="360" w:lineRule="auto"/>
              <w:jc w:val="center"/>
              <w:outlineLvl w:val="0"/>
              <w:rPr>
                <w:rFonts w:eastAsia="Arial" w:cs="Times New Roman"/>
                <w:b/>
              </w:rPr>
            </w:pPr>
            <w:r w:rsidRPr="00775B9E">
              <w:rPr>
                <w:rFonts w:eastAsia="Arial" w:cs="Times New Roman"/>
                <w:b/>
              </w:rPr>
              <w:t>Phase</w:t>
            </w:r>
          </w:p>
        </w:tc>
        <w:tc>
          <w:tcPr>
            <w:tcW w:w="2143" w:type="dxa"/>
            <w:vAlign w:val="center"/>
          </w:tcPr>
          <w:p w14:paraId="5AB0C69E" w14:textId="77777777" w:rsidR="00AC275E" w:rsidRPr="00775B9E" w:rsidRDefault="00AC275E" w:rsidP="00B1357B">
            <w:pPr>
              <w:spacing w:line="360" w:lineRule="auto"/>
              <w:jc w:val="center"/>
              <w:outlineLvl w:val="0"/>
              <w:rPr>
                <w:rFonts w:eastAsia="Arial" w:cs="Times New Roman"/>
                <w:b/>
              </w:rPr>
            </w:pPr>
            <w:r w:rsidRPr="00775B9E">
              <w:rPr>
                <w:rFonts w:eastAsia="Arial" w:cs="Times New Roman"/>
                <w:b/>
              </w:rPr>
              <w:t>Reviewer</w:t>
            </w:r>
          </w:p>
        </w:tc>
        <w:tc>
          <w:tcPr>
            <w:tcW w:w="1784" w:type="dxa"/>
            <w:vAlign w:val="center"/>
          </w:tcPr>
          <w:p w14:paraId="4AC084F9" w14:textId="77777777" w:rsidR="00AC275E" w:rsidRPr="00775B9E" w:rsidRDefault="00AC275E" w:rsidP="00B1357B">
            <w:pPr>
              <w:spacing w:line="360" w:lineRule="auto"/>
              <w:jc w:val="center"/>
              <w:outlineLvl w:val="0"/>
              <w:rPr>
                <w:rFonts w:eastAsia="Arial" w:cs="Times New Roman"/>
                <w:b/>
              </w:rPr>
            </w:pPr>
            <w:r w:rsidRPr="00775B9E">
              <w:rPr>
                <w:rFonts w:eastAsia="Arial" w:cs="Times New Roman"/>
                <w:b/>
              </w:rPr>
              <w:t>Number of CYP present</w:t>
            </w:r>
          </w:p>
        </w:tc>
        <w:tc>
          <w:tcPr>
            <w:tcW w:w="1546" w:type="dxa"/>
            <w:vAlign w:val="center"/>
          </w:tcPr>
          <w:p w14:paraId="56BA1BAC" w14:textId="77777777" w:rsidR="00AC275E" w:rsidRPr="00775B9E" w:rsidRDefault="00AC275E" w:rsidP="00B1357B">
            <w:pPr>
              <w:spacing w:line="360" w:lineRule="auto"/>
              <w:jc w:val="center"/>
              <w:outlineLvl w:val="0"/>
              <w:rPr>
                <w:rFonts w:eastAsia="Arial" w:cs="Times New Roman"/>
                <w:b/>
              </w:rPr>
            </w:pPr>
            <w:r w:rsidRPr="00775B9E">
              <w:rPr>
                <w:rFonts w:eastAsia="Arial" w:cs="Times New Roman"/>
                <w:b/>
              </w:rPr>
              <w:t>Age range (years)</w:t>
            </w:r>
          </w:p>
        </w:tc>
        <w:tc>
          <w:tcPr>
            <w:tcW w:w="1924" w:type="dxa"/>
            <w:vAlign w:val="center"/>
          </w:tcPr>
          <w:p w14:paraId="3CC47FCF" w14:textId="77777777" w:rsidR="00AC275E" w:rsidRPr="00775B9E" w:rsidRDefault="00AC275E" w:rsidP="00B1357B">
            <w:pPr>
              <w:spacing w:line="360" w:lineRule="auto"/>
              <w:jc w:val="center"/>
              <w:outlineLvl w:val="0"/>
              <w:rPr>
                <w:rFonts w:eastAsia="Arial" w:cs="Times New Roman"/>
                <w:b/>
              </w:rPr>
            </w:pPr>
            <w:r w:rsidRPr="00775B9E">
              <w:rPr>
                <w:rFonts w:eastAsia="Arial" w:cs="Times New Roman"/>
                <w:b/>
              </w:rPr>
              <w:t>Date of meeting</w:t>
            </w:r>
          </w:p>
        </w:tc>
      </w:tr>
      <w:tr w:rsidR="00AC275E" w14:paraId="58A6F130" w14:textId="77777777" w:rsidTr="00B1357B">
        <w:tc>
          <w:tcPr>
            <w:tcW w:w="1619" w:type="dxa"/>
            <w:vAlign w:val="center"/>
          </w:tcPr>
          <w:p w14:paraId="04B03BFE" w14:textId="77777777" w:rsidR="00AC275E" w:rsidRDefault="00AC275E" w:rsidP="00B1357B">
            <w:pPr>
              <w:spacing w:line="360" w:lineRule="auto"/>
              <w:jc w:val="center"/>
              <w:outlineLvl w:val="0"/>
              <w:rPr>
                <w:rFonts w:eastAsia="Arial" w:cs="Times New Roman"/>
              </w:rPr>
            </w:pPr>
            <w:r>
              <w:rPr>
                <w:rFonts w:eastAsia="Arial" w:cs="Times New Roman"/>
              </w:rPr>
              <w:t>I</w:t>
            </w:r>
          </w:p>
        </w:tc>
        <w:tc>
          <w:tcPr>
            <w:tcW w:w="2143" w:type="dxa"/>
            <w:vAlign w:val="center"/>
          </w:tcPr>
          <w:p w14:paraId="77FA2CD4" w14:textId="77777777" w:rsidR="00AC275E" w:rsidRDefault="00AC275E" w:rsidP="00B1357B">
            <w:pPr>
              <w:spacing w:line="360" w:lineRule="auto"/>
              <w:jc w:val="center"/>
              <w:outlineLvl w:val="0"/>
              <w:rPr>
                <w:rFonts w:eastAsia="Arial" w:cs="Times New Roman"/>
              </w:rPr>
            </w:pPr>
            <w:r>
              <w:rPr>
                <w:rFonts w:eastAsia="Arial" w:cs="Times New Roman"/>
              </w:rPr>
              <w:t>Liverpool YPAG</w:t>
            </w:r>
          </w:p>
        </w:tc>
        <w:tc>
          <w:tcPr>
            <w:tcW w:w="1784" w:type="dxa"/>
            <w:vAlign w:val="center"/>
          </w:tcPr>
          <w:p w14:paraId="5396ABA3" w14:textId="77777777" w:rsidR="00AC275E" w:rsidRDefault="00AC275E" w:rsidP="00B1357B">
            <w:pPr>
              <w:spacing w:line="360" w:lineRule="auto"/>
              <w:jc w:val="center"/>
              <w:outlineLvl w:val="0"/>
              <w:rPr>
                <w:rFonts w:eastAsia="Arial" w:cs="Times New Roman"/>
              </w:rPr>
            </w:pPr>
            <w:r>
              <w:rPr>
                <w:rFonts w:eastAsia="Arial" w:cs="Times New Roman"/>
              </w:rPr>
              <w:t>20</w:t>
            </w:r>
          </w:p>
        </w:tc>
        <w:tc>
          <w:tcPr>
            <w:tcW w:w="1546" w:type="dxa"/>
            <w:vAlign w:val="center"/>
          </w:tcPr>
          <w:p w14:paraId="56437856" w14:textId="77777777" w:rsidR="00AC275E" w:rsidRDefault="00AC275E" w:rsidP="00B1357B">
            <w:pPr>
              <w:spacing w:line="360" w:lineRule="auto"/>
              <w:jc w:val="center"/>
              <w:outlineLvl w:val="0"/>
              <w:rPr>
                <w:rFonts w:eastAsia="Arial" w:cs="Times New Roman"/>
              </w:rPr>
            </w:pPr>
            <w:r>
              <w:rPr>
                <w:rFonts w:eastAsia="Arial" w:cs="Times New Roman"/>
              </w:rPr>
              <w:t>12-18</w:t>
            </w:r>
          </w:p>
        </w:tc>
        <w:tc>
          <w:tcPr>
            <w:tcW w:w="1924" w:type="dxa"/>
            <w:vAlign w:val="center"/>
          </w:tcPr>
          <w:p w14:paraId="756C5933" w14:textId="77777777" w:rsidR="00AC275E" w:rsidRDefault="00AC275E" w:rsidP="00B1357B">
            <w:pPr>
              <w:spacing w:line="360" w:lineRule="auto"/>
              <w:jc w:val="center"/>
              <w:outlineLvl w:val="0"/>
              <w:rPr>
                <w:rFonts w:eastAsia="Arial" w:cs="Times New Roman"/>
              </w:rPr>
            </w:pPr>
            <w:r>
              <w:rPr>
                <w:rFonts w:eastAsia="Arial" w:cs="Times New Roman"/>
              </w:rPr>
              <w:t>4</w:t>
            </w:r>
            <w:r w:rsidRPr="00EE4828">
              <w:rPr>
                <w:rFonts w:eastAsia="Arial" w:cs="Times New Roman"/>
                <w:vertAlign w:val="superscript"/>
              </w:rPr>
              <w:t>th</w:t>
            </w:r>
            <w:r>
              <w:rPr>
                <w:rFonts w:eastAsia="Arial" w:cs="Times New Roman"/>
              </w:rPr>
              <w:t xml:space="preserve"> November 2017</w:t>
            </w:r>
          </w:p>
        </w:tc>
      </w:tr>
      <w:tr w:rsidR="00AC275E" w14:paraId="3A590CCE" w14:textId="77777777" w:rsidTr="00B1357B">
        <w:tc>
          <w:tcPr>
            <w:tcW w:w="1619" w:type="dxa"/>
            <w:vAlign w:val="center"/>
          </w:tcPr>
          <w:p w14:paraId="177F9B6D" w14:textId="77777777" w:rsidR="00AC275E" w:rsidRPr="00E50345" w:rsidRDefault="00AC275E" w:rsidP="00B1357B">
            <w:pPr>
              <w:spacing w:line="360" w:lineRule="auto"/>
              <w:jc w:val="center"/>
              <w:outlineLvl w:val="0"/>
              <w:rPr>
                <w:rFonts w:eastAsia="Arial" w:cs="Times New Roman"/>
              </w:rPr>
            </w:pPr>
            <w:r>
              <w:rPr>
                <w:rFonts w:eastAsia="Arial" w:cs="Times New Roman"/>
              </w:rPr>
              <w:t>II</w:t>
            </w:r>
          </w:p>
        </w:tc>
        <w:tc>
          <w:tcPr>
            <w:tcW w:w="2143" w:type="dxa"/>
            <w:vAlign w:val="center"/>
          </w:tcPr>
          <w:p w14:paraId="157A6809" w14:textId="77777777" w:rsidR="00AC275E" w:rsidRDefault="00AC275E" w:rsidP="00B1357B">
            <w:pPr>
              <w:spacing w:line="360" w:lineRule="auto"/>
              <w:jc w:val="center"/>
              <w:outlineLvl w:val="0"/>
              <w:rPr>
                <w:rFonts w:eastAsia="Arial" w:cs="Times New Roman"/>
              </w:rPr>
            </w:pPr>
            <w:r w:rsidRPr="00E50345">
              <w:rPr>
                <w:rFonts w:eastAsia="Arial" w:cs="Times New Roman"/>
              </w:rPr>
              <w:t>Royal College of Paediatrics and Child Health Quality Improvement (QI) group</w:t>
            </w:r>
          </w:p>
        </w:tc>
        <w:tc>
          <w:tcPr>
            <w:tcW w:w="1784" w:type="dxa"/>
            <w:vAlign w:val="center"/>
          </w:tcPr>
          <w:p w14:paraId="13F5E708" w14:textId="77777777" w:rsidR="00AC275E" w:rsidRDefault="00AC275E" w:rsidP="00B1357B">
            <w:pPr>
              <w:spacing w:line="360" w:lineRule="auto"/>
              <w:jc w:val="center"/>
              <w:outlineLvl w:val="0"/>
              <w:rPr>
                <w:rFonts w:eastAsia="Arial" w:cs="Times New Roman"/>
              </w:rPr>
            </w:pPr>
            <w:r>
              <w:rPr>
                <w:rFonts w:eastAsia="Arial" w:cs="Times New Roman"/>
              </w:rPr>
              <w:t>56</w:t>
            </w:r>
          </w:p>
        </w:tc>
        <w:tc>
          <w:tcPr>
            <w:tcW w:w="1546" w:type="dxa"/>
            <w:vAlign w:val="center"/>
          </w:tcPr>
          <w:p w14:paraId="5BACD580" w14:textId="77777777" w:rsidR="00AC275E" w:rsidRDefault="00AC275E" w:rsidP="00B1357B">
            <w:pPr>
              <w:spacing w:line="360" w:lineRule="auto"/>
              <w:jc w:val="center"/>
              <w:outlineLvl w:val="0"/>
              <w:rPr>
                <w:rFonts w:eastAsia="Arial" w:cs="Times New Roman"/>
              </w:rPr>
            </w:pPr>
            <w:r>
              <w:rPr>
                <w:rFonts w:eastAsia="Arial" w:cs="Times New Roman"/>
              </w:rPr>
              <w:t>12-18</w:t>
            </w:r>
          </w:p>
        </w:tc>
        <w:tc>
          <w:tcPr>
            <w:tcW w:w="1924" w:type="dxa"/>
            <w:vAlign w:val="center"/>
          </w:tcPr>
          <w:p w14:paraId="1087872A" w14:textId="77777777" w:rsidR="00AC275E" w:rsidRDefault="00AC275E" w:rsidP="00B1357B">
            <w:pPr>
              <w:spacing w:line="360" w:lineRule="auto"/>
              <w:jc w:val="center"/>
              <w:outlineLvl w:val="0"/>
              <w:rPr>
                <w:rFonts w:eastAsia="Arial" w:cs="Times New Roman"/>
              </w:rPr>
            </w:pPr>
            <w:r>
              <w:rPr>
                <w:rFonts w:eastAsia="Arial" w:cs="Times New Roman"/>
              </w:rPr>
              <w:t>5</w:t>
            </w:r>
            <w:r w:rsidRPr="00A90122">
              <w:rPr>
                <w:rFonts w:eastAsia="Arial" w:cs="Times New Roman"/>
                <w:vertAlign w:val="superscript"/>
              </w:rPr>
              <w:t>th</w:t>
            </w:r>
            <w:r>
              <w:rPr>
                <w:rFonts w:eastAsia="Arial" w:cs="Times New Roman"/>
              </w:rPr>
              <w:t xml:space="preserve"> December 2017</w:t>
            </w:r>
          </w:p>
        </w:tc>
      </w:tr>
      <w:tr w:rsidR="00AC275E" w14:paraId="39B2EBD4" w14:textId="77777777" w:rsidTr="00B1357B">
        <w:tc>
          <w:tcPr>
            <w:tcW w:w="1619" w:type="dxa"/>
            <w:vAlign w:val="center"/>
          </w:tcPr>
          <w:p w14:paraId="054D1DAC" w14:textId="77777777" w:rsidR="00AC275E" w:rsidRDefault="00AC275E" w:rsidP="00B1357B">
            <w:pPr>
              <w:spacing w:line="360" w:lineRule="auto"/>
              <w:jc w:val="center"/>
              <w:outlineLvl w:val="0"/>
              <w:rPr>
                <w:rFonts w:eastAsia="Arial" w:cs="Times New Roman"/>
              </w:rPr>
            </w:pPr>
            <w:r>
              <w:rPr>
                <w:rFonts w:eastAsia="Arial" w:cs="Times New Roman"/>
              </w:rPr>
              <w:t>III</w:t>
            </w:r>
          </w:p>
        </w:tc>
        <w:tc>
          <w:tcPr>
            <w:tcW w:w="2143" w:type="dxa"/>
            <w:vAlign w:val="center"/>
          </w:tcPr>
          <w:p w14:paraId="7A77F2FF" w14:textId="77777777" w:rsidR="00AC275E" w:rsidRDefault="00AC275E" w:rsidP="00B1357B">
            <w:pPr>
              <w:spacing w:line="360" w:lineRule="auto"/>
              <w:jc w:val="center"/>
              <w:outlineLvl w:val="0"/>
              <w:rPr>
                <w:rFonts w:eastAsia="Arial" w:cs="Times New Roman"/>
              </w:rPr>
            </w:pPr>
            <w:r>
              <w:rPr>
                <w:rFonts w:eastAsia="Arial" w:cs="Times New Roman"/>
              </w:rPr>
              <w:t>Steep Hill School</w:t>
            </w:r>
          </w:p>
        </w:tc>
        <w:tc>
          <w:tcPr>
            <w:tcW w:w="1784" w:type="dxa"/>
            <w:vAlign w:val="center"/>
          </w:tcPr>
          <w:p w14:paraId="66B22495" w14:textId="77777777" w:rsidR="00AC275E" w:rsidRDefault="00AC275E" w:rsidP="00B1357B">
            <w:pPr>
              <w:spacing w:line="360" w:lineRule="auto"/>
              <w:jc w:val="center"/>
              <w:outlineLvl w:val="0"/>
              <w:rPr>
                <w:rFonts w:eastAsia="Arial" w:cs="Times New Roman"/>
              </w:rPr>
            </w:pPr>
            <w:r>
              <w:rPr>
                <w:rFonts w:eastAsia="Arial" w:cs="Times New Roman"/>
              </w:rPr>
              <w:t>40</w:t>
            </w:r>
          </w:p>
        </w:tc>
        <w:tc>
          <w:tcPr>
            <w:tcW w:w="1546" w:type="dxa"/>
            <w:vAlign w:val="center"/>
          </w:tcPr>
          <w:p w14:paraId="5B326362" w14:textId="77777777" w:rsidR="00AC275E" w:rsidRDefault="00AC275E" w:rsidP="00B1357B">
            <w:pPr>
              <w:spacing w:line="360" w:lineRule="auto"/>
              <w:jc w:val="center"/>
              <w:outlineLvl w:val="0"/>
              <w:rPr>
                <w:rFonts w:eastAsia="Arial" w:cs="Times New Roman"/>
              </w:rPr>
            </w:pPr>
            <w:r>
              <w:rPr>
                <w:rFonts w:eastAsia="Arial" w:cs="Times New Roman"/>
              </w:rPr>
              <w:t>9-11</w:t>
            </w:r>
          </w:p>
        </w:tc>
        <w:tc>
          <w:tcPr>
            <w:tcW w:w="1924" w:type="dxa"/>
            <w:vAlign w:val="center"/>
          </w:tcPr>
          <w:p w14:paraId="371B9F16" w14:textId="77777777" w:rsidR="00AC275E" w:rsidRDefault="00AC275E" w:rsidP="00B1357B">
            <w:pPr>
              <w:spacing w:line="360" w:lineRule="auto"/>
              <w:jc w:val="center"/>
              <w:outlineLvl w:val="0"/>
              <w:rPr>
                <w:rFonts w:eastAsia="Arial" w:cs="Times New Roman"/>
              </w:rPr>
            </w:pPr>
            <w:r>
              <w:rPr>
                <w:rFonts w:eastAsia="Arial" w:cs="Times New Roman"/>
              </w:rPr>
              <w:t>5</w:t>
            </w:r>
            <w:r w:rsidRPr="00A90122">
              <w:rPr>
                <w:rFonts w:eastAsia="Arial" w:cs="Times New Roman"/>
                <w:vertAlign w:val="superscript"/>
              </w:rPr>
              <w:t>th</w:t>
            </w:r>
            <w:r>
              <w:rPr>
                <w:rFonts w:eastAsia="Arial" w:cs="Times New Roman"/>
              </w:rPr>
              <w:t xml:space="preserve"> February 2018</w:t>
            </w:r>
          </w:p>
        </w:tc>
      </w:tr>
      <w:tr w:rsidR="00AC275E" w14:paraId="195FDB3A" w14:textId="77777777" w:rsidTr="00B1357B">
        <w:tc>
          <w:tcPr>
            <w:tcW w:w="1619" w:type="dxa"/>
            <w:vAlign w:val="center"/>
          </w:tcPr>
          <w:p w14:paraId="200DFFE1" w14:textId="77777777" w:rsidR="00AC275E" w:rsidRDefault="00AC275E" w:rsidP="00B1357B">
            <w:pPr>
              <w:spacing w:line="360" w:lineRule="auto"/>
              <w:jc w:val="center"/>
              <w:outlineLvl w:val="0"/>
              <w:rPr>
                <w:rFonts w:eastAsia="Arial" w:cs="Times New Roman"/>
              </w:rPr>
            </w:pPr>
            <w:r>
              <w:rPr>
                <w:rFonts w:eastAsia="Arial" w:cs="Times New Roman"/>
              </w:rPr>
              <w:t>IV</w:t>
            </w:r>
          </w:p>
        </w:tc>
        <w:tc>
          <w:tcPr>
            <w:tcW w:w="2143" w:type="dxa"/>
            <w:vAlign w:val="center"/>
          </w:tcPr>
          <w:p w14:paraId="541E28BD" w14:textId="77777777" w:rsidR="00AC275E" w:rsidRDefault="00AC275E" w:rsidP="00B1357B">
            <w:pPr>
              <w:spacing w:line="360" w:lineRule="auto"/>
              <w:jc w:val="center"/>
              <w:outlineLvl w:val="0"/>
              <w:rPr>
                <w:rFonts w:eastAsia="Arial" w:cs="Times New Roman"/>
              </w:rPr>
            </w:pPr>
            <w:r>
              <w:rPr>
                <w:rFonts w:eastAsia="Arial" w:cs="Times New Roman"/>
              </w:rPr>
              <w:t>Liverpool YPAG</w:t>
            </w:r>
          </w:p>
        </w:tc>
        <w:tc>
          <w:tcPr>
            <w:tcW w:w="1784" w:type="dxa"/>
            <w:vAlign w:val="center"/>
          </w:tcPr>
          <w:p w14:paraId="240DB7DF" w14:textId="77777777" w:rsidR="00AC275E" w:rsidRDefault="00AC275E" w:rsidP="00B1357B">
            <w:pPr>
              <w:spacing w:line="360" w:lineRule="auto"/>
              <w:jc w:val="center"/>
              <w:outlineLvl w:val="0"/>
              <w:rPr>
                <w:rFonts w:eastAsia="Arial" w:cs="Times New Roman"/>
              </w:rPr>
            </w:pPr>
            <w:r>
              <w:rPr>
                <w:rFonts w:eastAsia="Arial" w:cs="Times New Roman"/>
              </w:rPr>
              <w:t>21</w:t>
            </w:r>
          </w:p>
        </w:tc>
        <w:tc>
          <w:tcPr>
            <w:tcW w:w="1546" w:type="dxa"/>
            <w:vAlign w:val="center"/>
          </w:tcPr>
          <w:p w14:paraId="3D53BE5A" w14:textId="77777777" w:rsidR="00AC275E" w:rsidRDefault="00AC275E" w:rsidP="00B1357B">
            <w:pPr>
              <w:spacing w:line="360" w:lineRule="auto"/>
              <w:jc w:val="center"/>
              <w:outlineLvl w:val="0"/>
              <w:rPr>
                <w:rFonts w:eastAsia="Arial" w:cs="Times New Roman"/>
              </w:rPr>
            </w:pPr>
            <w:r>
              <w:rPr>
                <w:rFonts w:eastAsia="Arial" w:cs="Times New Roman"/>
              </w:rPr>
              <w:t>12-18</w:t>
            </w:r>
          </w:p>
        </w:tc>
        <w:tc>
          <w:tcPr>
            <w:tcW w:w="1924" w:type="dxa"/>
            <w:vAlign w:val="center"/>
          </w:tcPr>
          <w:p w14:paraId="50BA6274" w14:textId="77777777" w:rsidR="00AC275E" w:rsidRDefault="00AC275E" w:rsidP="00B1357B">
            <w:pPr>
              <w:spacing w:line="360" w:lineRule="auto"/>
              <w:jc w:val="center"/>
              <w:outlineLvl w:val="0"/>
              <w:rPr>
                <w:rFonts w:eastAsia="Arial" w:cs="Times New Roman"/>
              </w:rPr>
            </w:pPr>
            <w:r>
              <w:rPr>
                <w:rFonts w:eastAsia="Arial" w:cs="Times New Roman"/>
              </w:rPr>
              <w:t>22</w:t>
            </w:r>
            <w:r w:rsidRPr="00C3536D">
              <w:rPr>
                <w:rFonts w:eastAsia="Arial" w:cs="Times New Roman"/>
                <w:vertAlign w:val="superscript"/>
              </w:rPr>
              <w:t>th</w:t>
            </w:r>
            <w:r>
              <w:rPr>
                <w:rFonts w:eastAsia="Arial" w:cs="Times New Roman"/>
              </w:rPr>
              <w:t xml:space="preserve"> February 2018</w:t>
            </w:r>
          </w:p>
        </w:tc>
      </w:tr>
      <w:tr w:rsidR="00AC275E" w14:paraId="5B1E6891" w14:textId="77777777" w:rsidTr="00B1357B">
        <w:tc>
          <w:tcPr>
            <w:tcW w:w="1619" w:type="dxa"/>
            <w:vAlign w:val="center"/>
          </w:tcPr>
          <w:p w14:paraId="0D6A06CE" w14:textId="77777777" w:rsidR="00AC275E" w:rsidRDefault="00AC275E" w:rsidP="00B1357B">
            <w:pPr>
              <w:spacing w:line="360" w:lineRule="auto"/>
              <w:jc w:val="center"/>
              <w:outlineLvl w:val="0"/>
              <w:rPr>
                <w:rFonts w:eastAsia="Arial" w:cs="Times New Roman"/>
              </w:rPr>
            </w:pPr>
            <w:r>
              <w:rPr>
                <w:rFonts w:eastAsia="Arial" w:cs="Times New Roman"/>
              </w:rPr>
              <w:t>V</w:t>
            </w:r>
          </w:p>
        </w:tc>
        <w:tc>
          <w:tcPr>
            <w:tcW w:w="2143" w:type="dxa"/>
            <w:vAlign w:val="center"/>
          </w:tcPr>
          <w:p w14:paraId="3793D24C" w14:textId="77777777" w:rsidR="00AC275E" w:rsidRDefault="00AC275E" w:rsidP="00B1357B">
            <w:pPr>
              <w:spacing w:line="360" w:lineRule="auto"/>
              <w:jc w:val="center"/>
              <w:outlineLvl w:val="0"/>
              <w:rPr>
                <w:rFonts w:eastAsia="Arial" w:cs="Times New Roman"/>
              </w:rPr>
            </w:pPr>
            <w:r>
              <w:rPr>
                <w:rFonts w:eastAsia="Arial" w:cs="Times New Roman"/>
              </w:rPr>
              <w:t>Paediatric Pharmacology Physician</w:t>
            </w:r>
          </w:p>
        </w:tc>
        <w:tc>
          <w:tcPr>
            <w:tcW w:w="1784" w:type="dxa"/>
            <w:vAlign w:val="center"/>
          </w:tcPr>
          <w:p w14:paraId="3CF76FB2" w14:textId="77777777" w:rsidR="00AC275E" w:rsidRDefault="00AC275E" w:rsidP="00B1357B">
            <w:pPr>
              <w:spacing w:line="360" w:lineRule="auto"/>
              <w:jc w:val="center"/>
              <w:outlineLvl w:val="0"/>
              <w:rPr>
                <w:rFonts w:eastAsia="Arial" w:cs="Times New Roman"/>
              </w:rPr>
            </w:pPr>
            <w:r>
              <w:rPr>
                <w:rFonts w:eastAsia="Arial" w:cs="Times New Roman"/>
              </w:rPr>
              <w:t>N/A</w:t>
            </w:r>
          </w:p>
        </w:tc>
        <w:tc>
          <w:tcPr>
            <w:tcW w:w="1546" w:type="dxa"/>
            <w:vAlign w:val="center"/>
          </w:tcPr>
          <w:p w14:paraId="7B84E171" w14:textId="77777777" w:rsidR="00AC275E" w:rsidRDefault="00AC275E" w:rsidP="00B1357B">
            <w:pPr>
              <w:spacing w:line="360" w:lineRule="auto"/>
              <w:jc w:val="center"/>
              <w:outlineLvl w:val="0"/>
              <w:rPr>
                <w:rFonts w:eastAsia="Arial" w:cs="Times New Roman"/>
              </w:rPr>
            </w:pPr>
            <w:r>
              <w:rPr>
                <w:rFonts w:eastAsia="Arial" w:cs="Times New Roman"/>
              </w:rPr>
              <w:t>N/A</w:t>
            </w:r>
          </w:p>
        </w:tc>
        <w:tc>
          <w:tcPr>
            <w:tcW w:w="1924" w:type="dxa"/>
            <w:vAlign w:val="center"/>
          </w:tcPr>
          <w:p w14:paraId="33C9ADD4" w14:textId="77777777" w:rsidR="00AC275E" w:rsidRDefault="00AC275E" w:rsidP="00B1357B">
            <w:pPr>
              <w:spacing w:line="360" w:lineRule="auto"/>
              <w:jc w:val="center"/>
              <w:outlineLvl w:val="0"/>
              <w:rPr>
                <w:rFonts w:eastAsia="Arial" w:cs="Times New Roman"/>
              </w:rPr>
            </w:pPr>
            <w:r>
              <w:rPr>
                <w:rFonts w:eastAsia="Arial" w:cs="Times New Roman"/>
              </w:rPr>
              <w:t>8</w:t>
            </w:r>
            <w:r w:rsidRPr="00E50345">
              <w:rPr>
                <w:rFonts w:eastAsia="Arial" w:cs="Times New Roman"/>
                <w:vertAlign w:val="superscript"/>
              </w:rPr>
              <w:t>th</w:t>
            </w:r>
            <w:r>
              <w:rPr>
                <w:rFonts w:eastAsia="Arial" w:cs="Times New Roman"/>
              </w:rPr>
              <w:t xml:space="preserve"> June 2018</w:t>
            </w:r>
          </w:p>
        </w:tc>
      </w:tr>
      <w:tr w:rsidR="00AC275E" w14:paraId="076C8D47" w14:textId="77777777" w:rsidTr="00B1357B">
        <w:tc>
          <w:tcPr>
            <w:tcW w:w="1619" w:type="dxa"/>
            <w:vAlign w:val="center"/>
          </w:tcPr>
          <w:p w14:paraId="389E789D" w14:textId="77777777" w:rsidR="00AC275E" w:rsidRPr="00E50345" w:rsidRDefault="00AC275E" w:rsidP="00B1357B">
            <w:pPr>
              <w:spacing w:line="360" w:lineRule="auto"/>
              <w:jc w:val="center"/>
              <w:outlineLvl w:val="0"/>
              <w:rPr>
                <w:rFonts w:eastAsia="Arial" w:cs="Times New Roman"/>
              </w:rPr>
            </w:pPr>
            <w:r>
              <w:rPr>
                <w:rFonts w:eastAsia="Arial" w:cs="Times New Roman"/>
              </w:rPr>
              <w:t>VI</w:t>
            </w:r>
          </w:p>
        </w:tc>
        <w:tc>
          <w:tcPr>
            <w:tcW w:w="2143" w:type="dxa"/>
            <w:vAlign w:val="center"/>
          </w:tcPr>
          <w:p w14:paraId="3285F521" w14:textId="77777777" w:rsidR="00AC275E" w:rsidRDefault="00AC275E" w:rsidP="00B1357B">
            <w:pPr>
              <w:spacing w:line="360" w:lineRule="auto"/>
              <w:jc w:val="center"/>
              <w:outlineLvl w:val="0"/>
              <w:rPr>
                <w:rFonts w:eastAsia="Arial" w:cs="Times New Roman"/>
              </w:rPr>
            </w:pPr>
            <w:r w:rsidRPr="00E50345">
              <w:rPr>
                <w:rFonts w:eastAsia="Arial" w:cs="Times New Roman"/>
              </w:rPr>
              <w:t>ICAN conference and workshop</w:t>
            </w:r>
          </w:p>
        </w:tc>
        <w:tc>
          <w:tcPr>
            <w:tcW w:w="1784" w:type="dxa"/>
            <w:vAlign w:val="center"/>
          </w:tcPr>
          <w:p w14:paraId="5819C183" w14:textId="77777777" w:rsidR="00AC275E" w:rsidRDefault="00AC275E" w:rsidP="00B1357B">
            <w:pPr>
              <w:spacing w:line="360" w:lineRule="auto"/>
              <w:jc w:val="center"/>
              <w:outlineLvl w:val="0"/>
              <w:rPr>
                <w:rFonts w:eastAsia="Arial" w:cs="Times New Roman"/>
              </w:rPr>
            </w:pPr>
            <w:r>
              <w:rPr>
                <w:rFonts w:eastAsia="Arial" w:cs="Times New Roman"/>
              </w:rPr>
              <w:t>200</w:t>
            </w:r>
          </w:p>
        </w:tc>
        <w:tc>
          <w:tcPr>
            <w:tcW w:w="1546" w:type="dxa"/>
            <w:vAlign w:val="center"/>
          </w:tcPr>
          <w:p w14:paraId="6F21A637" w14:textId="77777777" w:rsidR="00AC275E" w:rsidRDefault="00AC275E" w:rsidP="00B1357B">
            <w:pPr>
              <w:spacing w:line="360" w:lineRule="auto"/>
              <w:jc w:val="center"/>
              <w:outlineLvl w:val="0"/>
              <w:rPr>
                <w:rFonts w:eastAsia="Arial" w:cs="Times New Roman"/>
              </w:rPr>
            </w:pPr>
            <w:r>
              <w:rPr>
                <w:rFonts w:eastAsia="Arial" w:cs="Times New Roman"/>
              </w:rPr>
              <w:t>12-18</w:t>
            </w:r>
          </w:p>
        </w:tc>
        <w:tc>
          <w:tcPr>
            <w:tcW w:w="1924" w:type="dxa"/>
            <w:vAlign w:val="center"/>
          </w:tcPr>
          <w:p w14:paraId="78F26DD5" w14:textId="77777777" w:rsidR="00AC275E" w:rsidRDefault="00AC275E" w:rsidP="00B1357B">
            <w:pPr>
              <w:spacing w:line="360" w:lineRule="auto"/>
              <w:jc w:val="center"/>
              <w:outlineLvl w:val="0"/>
              <w:rPr>
                <w:rFonts w:eastAsia="Arial" w:cs="Times New Roman"/>
              </w:rPr>
            </w:pPr>
            <w:r>
              <w:rPr>
                <w:rFonts w:eastAsia="Arial" w:cs="Times New Roman"/>
              </w:rPr>
              <w:t>12</w:t>
            </w:r>
            <w:r w:rsidRPr="0076099E">
              <w:rPr>
                <w:rFonts w:eastAsia="Arial" w:cs="Times New Roman"/>
                <w:vertAlign w:val="superscript"/>
              </w:rPr>
              <w:t>th</w:t>
            </w:r>
            <w:r>
              <w:rPr>
                <w:rFonts w:eastAsia="Arial" w:cs="Times New Roman"/>
              </w:rPr>
              <w:t xml:space="preserve"> July 2018</w:t>
            </w:r>
          </w:p>
        </w:tc>
      </w:tr>
    </w:tbl>
    <w:p w14:paraId="6A748ADF" w14:textId="77777777" w:rsidR="00AC275E" w:rsidRDefault="00AC275E" w:rsidP="00AC275E">
      <w:pPr>
        <w:pStyle w:val="Heading3"/>
        <w:rPr>
          <w:rFonts w:eastAsia="Arial"/>
        </w:rPr>
      </w:pPr>
      <w:r w:rsidRPr="000E1EEC">
        <w:rPr>
          <w:rFonts w:eastAsia="Arial"/>
        </w:rPr>
        <w:t xml:space="preserve">Table 1: Information on </w:t>
      </w:r>
      <w:r>
        <w:rPr>
          <w:rFonts w:eastAsia="Arial"/>
        </w:rPr>
        <w:t>the phases of information development and children and young people (CYP) present.</w:t>
      </w:r>
    </w:p>
    <w:p w14:paraId="1400820D" w14:textId="77777777" w:rsidR="00AC275E" w:rsidRDefault="00AC275E" w:rsidP="00AC275E">
      <w:pPr>
        <w:rPr>
          <w:rFonts w:eastAsia="Arial" w:cs="Times New Roman"/>
          <w:sz w:val="24"/>
          <w:szCs w:val="24"/>
          <w:u w:val="single"/>
        </w:rPr>
      </w:pPr>
    </w:p>
    <w:p w14:paraId="4B9DE054" w14:textId="77777777" w:rsidR="00AC275E" w:rsidRDefault="00AC275E">
      <w:pPr>
        <w:rPr>
          <w:rStyle w:val="Heading1Char"/>
        </w:rPr>
      </w:pPr>
    </w:p>
    <w:p w14:paraId="49D0E7C3" w14:textId="77777777" w:rsidR="00AC275E" w:rsidRDefault="00AC275E">
      <w:pPr>
        <w:rPr>
          <w:rStyle w:val="Heading1Char"/>
        </w:rPr>
      </w:pPr>
      <w:r>
        <w:rPr>
          <w:rStyle w:val="Heading1Char"/>
        </w:rPr>
        <w:br w:type="page"/>
      </w:r>
    </w:p>
    <w:p w14:paraId="6E18EF2A" w14:textId="514D38C8" w:rsidR="00DC45A6" w:rsidRDefault="00DC45A6">
      <w:pPr>
        <w:rPr>
          <w:rFonts w:cstheme="minorHAnsi"/>
          <w:sz w:val="24"/>
          <w:szCs w:val="24"/>
        </w:rPr>
      </w:pPr>
      <w:r w:rsidRPr="00DC45A6">
        <w:rPr>
          <w:rStyle w:val="Heading1Char"/>
        </w:rPr>
        <w:lastRenderedPageBreak/>
        <w:t xml:space="preserve">Table </w:t>
      </w:r>
      <w:r w:rsidR="00AC275E">
        <w:rPr>
          <w:rStyle w:val="Heading1Char"/>
        </w:rPr>
        <w:t>2</w:t>
      </w:r>
    </w:p>
    <w:tbl>
      <w:tblPr>
        <w:tblStyle w:val="GridTable4-Accent1"/>
        <w:tblpPr w:leftFromText="180" w:rightFromText="180" w:vertAnchor="page" w:horzAnchor="margin" w:tblpY="2142"/>
        <w:tblW w:w="0" w:type="auto"/>
        <w:tblLayout w:type="fixed"/>
        <w:tblLook w:val="04A0" w:firstRow="1" w:lastRow="0" w:firstColumn="1" w:lastColumn="0" w:noHBand="0" w:noVBand="1"/>
      </w:tblPr>
      <w:tblGrid>
        <w:gridCol w:w="3251"/>
        <w:gridCol w:w="1280"/>
        <w:gridCol w:w="2972"/>
        <w:gridCol w:w="1503"/>
      </w:tblGrid>
      <w:tr w:rsidR="00AC275E" w:rsidRPr="00782618" w14:paraId="13F74E46" w14:textId="77777777" w:rsidTr="00AC275E">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531" w:type="dxa"/>
            <w:gridSpan w:val="2"/>
            <w:tcBorders>
              <w:right w:val="single" w:sz="4" w:space="0" w:color="auto"/>
            </w:tcBorders>
            <w:shd w:val="clear" w:color="auto" w:fill="auto"/>
            <w:noWrap/>
          </w:tcPr>
          <w:p w14:paraId="0331A090" w14:textId="77777777" w:rsidR="00AC275E" w:rsidRPr="00DC45A6" w:rsidRDefault="00AC275E" w:rsidP="00AC275E">
            <w:pPr>
              <w:rPr>
                <w:rFonts w:ascii="Calibri" w:eastAsia="Times New Roman" w:hAnsi="Calibri" w:cs="Segoe UI"/>
                <w:bCs w:val="0"/>
                <w:color w:val="212121"/>
                <w:sz w:val="24"/>
                <w:szCs w:val="24"/>
                <w:lang w:eastAsia="en-GB"/>
              </w:rPr>
            </w:pPr>
            <w:r w:rsidRPr="00DC45A6">
              <w:rPr>
                <w:rFonts w:ascii="Calibri" w:eastAsia="Times New Roman" w:hAnsi="Calibri" w:cs="Segoe UI"/>
                <w:bCs w:val="0"/>
                <w:color w:val="212121"/>
                <w:sz w:val="24"/>
                <w:szCs w:val="24"/>
                <w:lang w:eastAsia="en-GB"/>
              </w:rPr>
              <w:t>Yellow Card Reports for patients &lt;19 years (all reporters)</w:t>
            </w:r>
          </w:p>
        </w:tc>
        <w:tc>
          <w:tcPr>
            <w:tcW w:w="4475" w:type="dxa"/>
            <w:gridSpan w:val="2"/>
            <w:tcBorders>
              <w:left w:val="single" w:sz="4" w:space="0" w:color="auto"/>
            </w:tcBorders>
            <w:shd w:val="clear" w:color="auto" w:fill="auto"/>
          </w:tcPr>
          <w:p w14:paraId="21E97341" w14:textId="2F676F19" w:rsidR="00AC275E" w:rsidRPr="00DC45A6" w:rsidRDefault="00AC275E" w:rsidP="00AC275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Segoe UI"/>
                <w:bCs w:val="0"/>
                <w:color w:val="212121"/>
                <w:sz w:val="24"/>
                <w:szCs w:val="24"/>
                <w:lang w:eastAsia="en-GB"/>
              </w:rPr>
            </w:pPr>
            <w:r w:rsidRPr="00DC45A6">
              <w:rPr>
                <w:rFonts w:ascii="Calibri" w:eastAsia="Times New Roman" w:hAnsi="Calibri" w:cs="Segoe UI"/>
                <w:bCs w:val="0"/>
                <w:color w:val="212121"/>
                <w:sz w:val="24"/>
                <w:szCs w:val="24"/>
                <w:lang w:eastAsia="en-GB"/>
              </w:rPr>
              <w:t>Yellow Card Reports from patients age &lt;19 years</w:t>
            </w:r>
          </w:p>
        </w:tc>
      </w:tr>
      <w:tr w:rsidR="00AC275E" w:rsidRPr="00782618" w14:paraId="062D68E4" w14:textId="77777777" w:rsidTr="00AC27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noWrap/>
            <w:hideMark/>
          </w:tcPr>
          <w:p w14:paraId="11828CC1" w14:textId="77777777" w:rsidR="00AC275E" w:rsidRPr="00782618" w:rsidRDefault="00AC275E" w:rsidP="00AC275E">
            <w:pPr>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Suspect Drug</w:t>
            </w:r>
          </w:p>
        </w:tc>
        <w:tc>
          <w:tcPr>
            <w:tcW w:w="1280" w:type="dxa"/>
            <w:shd w:val="clear" w:color="auto" w:fill="auto"/>
            <w:noWrap/>
            <w:hideMark/>
          </w:tcPr>
          <w:p w14:paraId="585E79DD"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b/>
                <w:bCs/>
                <w:color w:val="212121"/>
                <w:lang w:eastAsia="en-GB"/>
              </w:rPr>
              <w:t>Number of reports</w:t>
            </w:r>
          </w:p>
        </w:tc>
        <w:tc>
          <w:tcPr>
            <w:tcW w:w="2972" w:type="dxa"/>
            <w:shd w:val="clear" w:color="auto" w:fill="auto"/>
          </w:tcPr>
          <w:p w14:paraId="3B760481"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b/>
                <w:bCs/>
                <w:color w:val="212121"/>
                <w:lang w:eastAsia="en-GB"/>
              </w:rPr>
            </w:pPr>
            <w:r>
              <w:rPr>
                <w:rFonts w:ascii="Calibri" w:eastAsia="Times New Roman" w:hAnsi="Calibri" w:cs="Segoe UI"/>
                <w:b/>
                <w:bCs/>
                <w:color w:val="212121"/>
                <w:lang w:eastAsia="en-GB"/>
              </w:rPr>
              <w:t>Suspect Drug</w:t>
            </w:r>
          </w:p>
        </w:tc>
        <w:tc>
          <w:tcPr>
            <w:tcW w:w="1503" w:type="dxa"/>
            <w:shd w:val="clear" w:color="auto" w:fill="auto"/>
          </w:tcPr>
          <w:p w14:paraId="39978DF3"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b/>
                <w:bCs/>
                <w:color w:val="212121"/>
                <w:lang w:eastAsia="en-GB"/>
              </w:rPr>
            </w:pPr>
            <w:r>
              <w:rPr>
                <w:rFonts w:ascii="Calibri" w:eastAsia="Times New Roman" w:hAnsi="Calibri" w:cs="Segoe UI"/>
                <w:b/>
                <w:bCs/>
                <w:color w:val="212121"/>
                <w:lang w:eastAsia="en-GB"/>
              </w:rPr>
              <w:t>Number of reports</w:t>
            </w:r>
          </w:p>
        </w:tc>
      </w:tr>
      <w:tr w:rsidR="00AC275E" w:rsidRPr="00782618" w14:paraId="49E4410A" w14:textId="77777777" w:rsidTr="00AC275E">
        <w:trPr>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171D9C7E" w14:textId="461FDFD3" w:rsidR="00AC275E" w:rsidRPr="0055073C" w:rsidRDefault="00FC2914" w:rsidP="00AC275E">
            <w:pPr>
              <w:rPr>
                <w:rFonts w:ascii="Segoe UI" w:eastAsia="Times New Roman" w:hAnsi="Segoe UI" w:cs="Segoe UI"/>
                <w:color w:val="212121"/>
                <w:sz w:val="23"/>
                <w:szCs w:val="23"/>
                <w:lang w:eastAsia="en-GB"/>
              </w:rPr>
            </w:pPr>
            <w:r w:rsidRPr="0055073C">
              <w:rPr>
                <w:rFonts w:ascii="Calibri" w:eastAsia="Times New Roman" w:hAnsi="Calibri" w:cs="Segoe UI"/>
                <w:color w:val="212121"/>
                <w:lang w:eastAsia="en-GB"/>
              </w:rPr>
              <w:t>Human papilloma virus</w:t>
            </w:r>
          </w:p>
        </w:tc>
        <w:tc>
          <w:tcPr>
            <w:tcW w:w="1280" w:type="dxa"/>
            <w:shd w:val="clear" w:color="auto" w:fill="auto"/>
            <w:noWrap/>
            <w:hideMark/>
          </w:tcPr>
          <w:p w14:paraId="660940F3"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8703</w:t>
            </w:r>
          </w:p>
        </w:tc>
        <w:tc>
          <w:tcPr>
            <w:tcW w:w="2972" w:type="dxa"/>
            <w:shd w:val="clear" w:color="auto" w:fill="auto"/>
          </w:tcPr>
          <w:p w14:paraId="0C0D8671" w14:textId="0C69FAD2" w:rsidR="00AC275E" w:rsidRPr="00DC45A6" w:rsidRDefault="00FC2914"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b/>
                <w:color w:val="212121"/>
                <w:lang w:eastAsia="en-GB"/>
              </w:rPr>
            </w:pPr>
            <w:r w:rsidRPr="00DC45A6">
              <w:rPr>
                <w:b/>
              </w:rPr>
              <w:t>Human papilloma virus</w:t>
            </w:r>
          </w:p>
        </w:tc>
        <w:tc>
          <w:tcPr>
            <w:tcW w:w="1503" w:type="dxa"/>
            <w:shd w:val="clear" w:color="auto" w:fill="auto"/>
          </w:tcPr>
          <w:p w14:paraId="7DEB608F"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977E07">
              <w:t>69</w:t>
            </w:r>
          </w:p>
        </w:tc>
      </w:tr>
      <w:tr w:rsidR="00AC275E" w:rsidRPr="00782618" w14:paraId="76B7367B" w14:textId="77777777" w:rsidTr="00AC27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549FF679" w14:textId="095C9107"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Neisseria meningitidis</w:t>
            </w:r>
          </w:p>
        </w:tc>
        <w:tc>
          <w:tcPr>
            <w:tcW w:w="1280" w:type="dxa"/>
            <w:shd w:val="clear" w:color="auto" w:fill="auto"/>
            <w:noWrap/>
            <w:hideMark/>
          </w:tcPr>
          <w:p w14:paraId="17BF51A2"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2649</w:t>
            </w:r>
          </w:p>
        </w:tc>
        <w:tc>
          <w:tcPr>
            <w:tcW w:w="2972" w:type="dxa"/>
            <w:shd w:val="clear" w:color="auto" w:fill="auto"/>
          </w:tcPr>
          <w:p w14:paraId="21AB66E1" w14:textId="5A863C22" w:rsidR="00AC275E" w:rsidRPr="00782618" w:rsidRDefault="00FC2914"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proofErr w:type="spellStart"/>
            <w:r w:rsidRPr="00977E07">
              <w:t>Ethinyloestradiol</w:t>
            </w:r>
            <w:proofErr w:type="spellEnd"/>
            <w:r w:rsidRPr="00977E07">
              <w:t xml:space="preserve"> and levonorgestrel</w:t>
            </w:r>
          </w:p>
        </w:tc>
        <w:tc>
          <w:tcPr>
            <w:tcW w:w="1503" w:type="dxa"/>
            <w:shd w:val="clear" w:color="auto" w:fill="auto"/>
          </w:tcPr>
          <w:p w14:paraId="479693F7"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977E07">
              <w:t>50</w:t>
            </w:r>
          </w:p>
        </w:tc>
      </w:tr>
      <w:tr w:rsidR="00AC275E" w:rsidRPr="00782618" w14:paraId="5263900E" w14:textId="77777777" w:rsidTr="00AC275E">
        <w:trPr>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6DB1FF06" w14:textId="0C950B35"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Live influenza virus</w:t>
            </w:r>
          </w:p>
        </w:tc>
        <w:tc>
          <w:tcPr>
            <w:tcW w:w="1280" w:type="dxa"/>
            <w:shd w:val="clear" w:color="auto" w:fill="auto"/>
            <w:noWrap/>
            <w:hideMark/>
          </w:tcPr>
          <w:p w14:paraId="60916A36"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1989</w:t>
            </w:r>
          </w:p>
        </w:tc>
        <w:tc>
          <w:tcPr>
            <w:tcW w:w="2972" w:type="dxa"/>
            <w:shd w:val="clear" w:color="auto" w:fill="auto"/>
          </w:tcPr>
          <w:p w14:paraId="45A47C26" w14:textId="23B19140" w:rsidR="00AC275E" w:rsidRPr="00782618" w:rsidRDefault="00FC2914"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977E07">
              <w:t>Isotretinoin</w:t>
            </w:r>
          </w:p>
        </w:tc>
        <w:tc>
          <w:tcPr>
            <w:tcW w:w="1503" w:type="dxa"/>
            <w:shd w:val="clear" w:color="auto" w:fill="auto"/>
          </w:tcPr>
          <w:p w14:paraId="523B922C"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977E07">
              <w:t>44</w:t>
            </w:r>
          </w:p>
        </w:tc>
      </w:tr>
      <w:tr w:rsidR="00AC275E" w:rsidRPr="00782618" w14:paraId="4AA91C15" w14:textId="77777777" w:rsidTr="00AC27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509A3C68" w14:textId="47BA10C2"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Streptococcus pneumoniae</w:t>
            </w:r>
          </w:p>
        </w:tc>
        <w:tc>
          <w:tcPr>
            <w:tcW w:w="1280" w:type="dxa"/>
            <w:shd w:val="clear" w:color="auto" w:fill="auto"/>
            <w:noWrap/>
            <w:hideMark/>
          </w:tcPr>
          <w:p w14:paraId="480C3B05"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1730</w:t>
            </w:r>
          </w:p>
        </w:tc>
        <w:tc>
          <w:tcPr>
            <w:tcW w:w="2972" w:type="dxa"/>
            <w:shd w:val="clear" w:color="auto" w:fill="auto"/>
          </w:tcPr>
          <w:p w14:paraId="18411579" w14:textId="5233B63C" w:rsidR="00AC275E" w:rsidRPr="00DC45A6" w:rsidRDefault="00FC2914"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b/>
                <w:color w:val="212121"/>
                <w:lang w:eastAsia="en-GB"/>
              </w:rPr>
            </w:pPr>
            <w:r w:rsidRPr="00DC45A6">
              <w:rPr>
                <w:b/>
              </w:rPr>
              <w:t>Meningococcal a,c,w135,y vaccine</w:t>
            </w:r>
          </w:p>
        </w:tc>
        <w:tc>
          <w:tcPr>
            <w:tcW w:w="1503" w:type="dxa"/>
            <w:shd w:val="clear" w:color="auto" w:fill="auto"/>
          </w:tcPr>
          <w:p w14:paraId="13E17097"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977E07">
              <w:t>41</w:t>
            </w:r>
          </w:p>
        </w:tc>
      </w:tr>
      <w:tr w:rsidR="00AC275E" w:rsidRPr="00782618" w14:paraId="486A3D0A" w14:textId="77777777" w:rsidTr="00AC275E">
        <w:trPr>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54A7398E" w14:textId="3790578B"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MMR vaccine</w:t>
            </w:r>
          </w:p>
        </w:tc>
        <w:tc>
          <w:tcPr>
            <w:tcW w:w="1280" w:type="dxa"/>
            <w:shd w:val="clear" w:color="auto" w:fill="auto"/>
            <w:noWrap/>
            <w:hideMark/>
          </w:tcPr>
          <w:p w14:paraId="2E57D3F4"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1705</w:t>
            </w:r>
          </w:p>
        </w:tc>
        <w:tc>
          <w:tcPr>
            <w:tcW w:w="2972" w:type="dxa"/>
            <w:shd w:val="clear" w:color="auto" w:fill="auto"/>
          </w:tcPr>
          <w:p w14:paraId="7A6B0989" w14:textId="3C7EBC22" w:rsidR="00AC275E" w:rsidRPr="00782618" w:rsidRDefault="00FC2914"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977E07">
              <w:t>Fluoxetine</w:t>
            </w:r>
          </w:p>
        </w:tc>
        <w:tc>
          <w:tcPr>
            <w:tcW w:w="1503" w:type="dxa"/>
            <w:shd w:val="clear" w:color="auto" w:fill="auto"/>
          </w:tcPr>
          <w:p w14:paraId="7759BB10"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977E07">
              <w:t>36</w:t>
            </w:r>
          </w:p>
        </w:tc>
      </w:tr>
      <w:tr w:rsidR="00AC275E" w:rsidRPr="00782618" w14:paraId="51C0CF04" w14:textId="77777777" w:rsidTr="00AC27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2EB47596" w14:textId="70765C97" w:rsidR="00AC275E" w:rsidRPr="0055073C" w:rsidRDefault="00FC2914" w:rsidP="00AC275E">
            <w:pPr>
              <w:rPr>
                <w:rFonts w:ascii="Segoe UI" w:eastAsia="Times New Roman" w:hAnsi="Segoe UI" w:cs="Segoe UI"/>
                <w:color w:val="212121"/>
                <w:sz w:val="23"/>
                <w:szCs w:val="23"/>
                <w:lang w:eastAsia="en-GB"/>
              </w:rPr>
            </w:pPr>
            <w:r w:rsidRPr="0055073C">
              <w:rPr>
                <w:rFonts w:ascii="Calibri" w:eastAsia="Times New Roman" w:hAnsi="Calibri" w:cs="Segoe UI"/>
                <w:color w:val="212121"/>
                <w:lang w:eastAsia="en-GB"/>
              </w:rPr>
              <w:t>Meningococcal a,c,w135,y vaccine</w:t>
            </w:r>
          </w:p>
        </w:tc>
        <w:tc>
          <w:tcPr>
            <w:tcW w:w="1280" w:type="dxa"/>
            <w:shd w:val="clear" w:color="auto" w:fill="auto"/>
            <w:noWrap/>
            <w:hideMark/>
          </w:tcPr>
          <w:p w14:paraId="5C0FC3DF"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1406</w:t>
            </w:r>
          </w:p>
        </w:tc>
        <w:tc>
          <w:tcPr>
            <w:tcW w:w="2972" w:type="dxa"/>
            <w:shd w:val="clear" w:color="auto" w:fill="auto"/>
          </w:tcPr>
          <w:p w14:paraId="63DA2DAF" w14:textId="0FC1783D" w:rsidR="00AC275E" w:rsidRPr="00782618" w:rsidRDefault="00FC2914"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977E07">
              <w:t>Desogestrel</w:t>
            </w:r>
          </w:p>
        </w:tc>
        <w:tc>
          <w:tcPr>
            <w:tcW w:w="1503" w:type="dxa"/>
            <w:shd w:val="clear" w:color="auto" w:fill="auto"/>
          </w:tcPr>
          <w:p w14:paraId="44176D16"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977E07">
              <w:t>33</w:t>
            </w:r>
          </w:p>
        </w:tc>
      </w:tr>
      <w:tr w:rsidR="00AC275E" w:rsidRPr="00782618" w14:paraId="6745E9E0" w14:textId="77777777" w:rsidTr="00AC275E">
        <w:trPr>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6CD2A71D" w14:textId="761E9835"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DT IPV vaccine</w:t>
            </w:r>
          </w:p>
        </w:tc>
        <w:tc>
          <w:tcPr>
            <w:tcW w:w="1280" w:type="dxa"/>
            <w:shd w:val="clear" w:color="auto" w:fill="auto"/>
            <w:noWrap/>
            <w:hideMark/>
          </w:tcPr>
          <w:p w14:paraId="6861FB7E"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1254</w:t>
            </w:r>
          </w:p>
        </w:tc>
        <w:tc>
          <w:tcPr>
            <w:tcW w:w="2972" w:type="dxa"/>
            <w:shd w:val="clear" w:color="auto" w:fill="auto"/>
          </w:tcPr>
          <w:p w14:paraId="11FA09A3" w14:textId="398BDC91" w:rsidR="00AC275E" w:rsidRPr="00782618" w:rsidRDefault="00FC2914"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977E07">
              <w:t>Co-</w:t>
            </w:r>
            <w:proofErr w:type="spellStart"/>
            <w:r w:rsidRPr="00977E07">
              <w:t>cyprindiol</w:t>
            </w:r>
            <w:proofErr w:type="spellEnd"/>
          </w:p>
        </w:tc>
        <w:tc>
          <w:tcPr>
            <w:tcW w:w="1503" w:type="dxa"/>
            <w:shd w:val="clear" w:color="auto" w:fill="auto"/>
          </w:tcPr>
          <w:p w14:paraId="4050652B"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977E07">
              <w:t>21</w:t>
            </w:r>
          </w:p>
        </w:tc>
      </w:tr>
      <w:tr w:rsidR="00AC275E" w:rsidRPr="00782618" w14:paraId="4BD86CB2" w14:textId="77777777" w:rsidTr="00AC27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002A2C9E" w14:textId="48886051"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 xml:space="preserve">DTPA IPV </w:t>
            </w:r>
            <w:proofErr w:type="spellStart"/>
            <w:r w:rsidRPr="008136EF">
              <w:rPr>
                <w:rFonts w:ascii="Calibri" w:eastAsia="Times New Roman" w:hAnsi="Calibri" w:cs="Segoe UI"/>
                <w:b w:val="0"/>
                <w:color w:val="212121"/>
                <w:lang w:eastAsia="en-GB"/>
              </w:rPr>
              <w:t>hib</w:t>
            </w:r>
            <w:proofErr w:type="spellEnd"/>
            <w:r w:rsidRPr="008136EF">
              <w:rPr>
                <w:rFonts w:ascii="Calibri" w:eastAsia="Times New Roman" w:hAnsi="Calibri" w:cs="Segoe UI"/>
                <w:b w:val="0"/>
                <w:color w:val="212121"/>
                <w:lang w:eastAsia="en-GB"/>
              </w:rPr>
              <w:t xml:space="preserve"> vaccine</w:t>
            </w:r>
          </w:p>
        </w:tc>
        <w:tc>
          <w:tcPr>
            <w:tcW w:w="1280" w:type="dxa"/>
            <w:shd w:val="clear" w:color="auto" w:fill="auto"/>
            <w:noWrap/>
            <w:hideMark/>
          </w:tcPr>
          <w:p w14:paraId="6CFE4EA3"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1158</w:t>
            </w:r>
          </w:p>
        </w:tc>
        <w:tc>
          <w:tcPr>
            <w:tcW w:w="2972" w:type="dxa"/>
            <w:shd w:val="clear" w:color="auto" w:fill="auto"/>
          </w:tcPr>
          <w:p w14:paraId="731BA79E" w14:textId="789E298C" w:rsidR="00AC275E" w:rsidRPr="00DC45A6" w:rsidRDefault="00FC2914"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b/>
                <w:color w:val="212121"/>
                <w:lang w:eastAsia="en-GB"/>
              </w:rPr>
            </w:pPr>
            <w:r w:rsidRPr="00DC45A6">
              <w:rPr>
                <w:b/>
              </w:rPr>
              <w:t>Swine origin influenza virus</w:t>
            </w:r>
          </w:p>
        </w:tc>
        <w:tc>
          <w:tcPr>
            <w:tcW w:w="1503" w:type="dxa"/>
            <w:shd w:val="clear" w:color="auto" w:fill="auto"/>
          </w:tcPr>
          <w:p w14:paraId="06FA4FEA"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977E07">
              <w:t>17</w:t>
            </w:r>
          </w:p>
        </w:tc>
      </w:tr>
      <w:tr w:rsidR="00AC275E" w:rsidRPr="00782618" w14:paraId="05440047" w14:textId="77777777" w:rsidTr="00AC275E">
        <w:trPr>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48CEB457" w14:textId="12810787"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Rotavirus</w:t>
            </w:r>
          </w:p>
        </w:tc>
        <w:tc>
          <w:tcPr>
            <w:tcW w:w="1280" w:type="dxa"/>
            <w:shd w:val="clear" w:color="auto" w:fill="auto"/>
            <w:noWrap/>
            <w:hideMark/>
          </w:tcPr>
          <w:p w14:paraId="3CE958FA"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956</w:t>
            </w:r>
          </w:p>
        </w:tc>
        <w:tc>
          <w:tcPr>
            <w:tcW w:w="2972" w:type="dxa"/>
            <w:shd w:val="clear" w:color="auto" w:fill="auto"/>
          </w:tcPr>
          <w:p w14:paraId="5F0753D2" w14:textId="5B075EF2" w:rsidR="00AC275E" w:rsidRPr="00782618" w:rsidRDefault="00FC2914"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977E07">
              <w:t>Clotrimazole</w:t>
            </w:r>
          </w:p>
        </w:tc>
        <w:tc>
          <w:tcPr>
            <w:tcW w:w="1503" w:type="dxa"/>
            <w:shd w:val="clear" w:color="auto" w:fill="auto"/>
          </w:tcPr>
          <w:p w14:paraId="372799CC"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977E07">
              <w:t>17</w:t>
            </w:r>
          </w:p>
        </w:tc>
      </w:tr>
      <w:tr w:rsidR="00AC275E" w:rsidRPr="00782618" w14:paraId="7A94EFCF" w14:textId="77777777" w:rsidTr="00AC27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1CCB5D1E" w14:textId="38FFD406"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 xml:space="preserve">DTPA </w:t>
            </w:r>
            <w:proofErr w:type="spellStart"/>
            <w:r w:rsidRPr="008136EF">
              <w:rPr>
                <w:rFonts w:ascii="Calibri" w:eastAsia="Times New Roman" w:hAnsi="Calibri" w:cs="Segoe UI"/>
                <w:b w:val="0"/>
                <w:color w:val="212121"/>
                <w:lang w:eastAsia="en-GB"/>
              </w:rPr>
              <w:t>ipv</w:t>
            </w:r>
            <w:proofErr w:type="spellEnd"/>
            <w:r w:rsidRPr="008136EF">
              <w:rPr>
                <w:rFonts w:ascii="Calibri" w:eastAsia="Times New Roman" w:hAnsi="Calibri" w:cs="Segoe UI"/>
                <w:b w:val="0"/>
                <w:color w:val="212121"/>
                <w:lang w:eastAsia="en-GB"/>
              </w:rPr>
              <w:t xml:space="preserve"> vaccine</w:t>
            </w:r>
          </w:p>
        </w:tc>
        <w:tc>
          <w:tcPr>
            <w:tcW w:w="1280" w:type="dxa"/>
            <w:shd w:val="clear" w:color="auto" w:fill="auto"/>
            <w:noWrap/>
            <w:hideMark/>
          </w:tcPr>
          <w:p w14:paraId="40BFF9A7"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735</w:t>
            </w:r>
          </w:p>
        </w:tc>
        <w:tc>
          <w:tcPr>
            <w:tcW w:w="2972" w:type="dxa"/>
            <w:shd w:val="clear" w:color="auto" w:fill="auto"/>
          </w:tcPr>
          <w:p w14:paraId="1FD94686" w14:textId="113C518B" w:rsidR="00AC275E" w:rsidRPr="00782618" w:rsidRDefault="00FC2914"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977E07">
              <w:t>Sertraline</w:t>
            </w:r>
          </w:p>
        </w:tc>
        <w:tc>
          <w:tcPr>
            <w:tcW w:w="1503" w:type="dxa"/>
            <w:shd w:val="clear" w:color="auto" w:fill="auto"/>
          </w:tcPr>
          <w:p w14:paraId="6D7347C3"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977E07">
              <w:t>16</w:t>
            </w:r>
          </w:p>
        </w:tc>
      </w:tr>
      <w:tr w:rsidR="00AC275E" w:rsidRPr="00782618" w14:paraId="00D55E1A" w14:textId="77777777" w:rsidTr="00AC275E">
        <w:trPr>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3EC0CEA9" w14:textId="717B7024" w:rsidR="00AC275E" w:rsidRPr="0055073C" w:rsidRDefault="00FC2914" w:rsidP="00AC275E">
            <w:pPr>
              <w:rPr>
                <w:rFonts w:ascii="Segoe UI" w:eastAsia="Times New Roman" w:hAnsi="Segoe UI" w:cs="Segoe UI"/>
                <w:color w:val="212121"/>
                <w:sz w:val="23"/>
                <w:szCs w:val="23"/>
                <w:lang w:eastAsia="en-GB"/>
              </w:rPr>
            </w:pPr>
            <w:r w:rsidRPr="0055073C">
              <w:rPr>
                <w:rFonts w:ascii="Calibri" w:eastAsia="Times New Roman" w:hAnsi="Calibri" w:cs="Segoe UI"/>
                <w:color w:val="212121"/>
                <w:lang w:eastAsia="en-GB"/>
              </w:rPr>
              <w:t>Amoxycillin</w:t>
            </w:r>
          </w:p>
        </w:tc>
        <w:tc>
          <w:tcPr>
            <w:tcW w:w="1280" w:type="dxa"/>
            <w:shd w:val="clear" w:color="auto" w:fill="auto"/>
            <w:noWrap/>
            <w:hideMark/>
          </w:tcPr>
          <w:p w14:paraId="05C509FB"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723</w:t>
            </w:r>
          </w:p>
        </w:tc>
        <w:tc>
          <w:tcPr>
            <w:tcW w:w="2972" w:type="dxa"/>
            <w:shd w:val="clear" w:color="auto" w:fill="auto"/>
          </w:tcPr>
          <w:p w14:paraId="731C9AD4" w14:textId="75CCCF01" w:rsidR="00AC275E" w:rsidRPr="00782618" w:rsidRDefault="00FC2914"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977E07">
              <w:t>Flucloxacillin</w:t>
            </w:r>
          </w:p>
        </w:tc>
        <w:tc>
          <w:tcPr>
            <w:tcW w:w="1503" w:type="dxa"/>
            <w:shd w:val="clear" w:color="auto" w:fill="auto"/>
          </w:tcPr>
          <w:p w14:paraId="2B6C9D25"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977E07">
              <w:t>16</w:t>
            </w:r>
          </w:p>
        </w:tc>
      </w:tr>
      <w:tr w:rsidR="00AC275E" w:rsidRPr="00782618" w14:paraId="25CFF817" w14:textId="77777777" w:rsidTr="00AC27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1487ADC4" w14:textId="076273AA"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Valproic acid</w:t>
            </w:r>
          </w:p>
        </w:tc>
        <w:tc>
          <w:tcPr>
            <w:tcW w:w="1280" w:type="dxa"/>
            <w:shd w:val="clear" w:color="auto" w:fill="auto"/>
            <w:noWrap/>
            <w:hideMark/>
          </w:tcPr>
          <w:p w14:paraId="3421F306"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646</w:t>
            </w:r>
          </w:p>
        </w:tc>
        <w:tc>
          <w:tcPr>
            <w:tcW w:w="2972" w:type="dxa"/>
            <w:shd w:val="clear" w:color="auto" w:fill="auto"/>
          </w:tcPr>
          <w:p w14:paraId="157502B7" w14:textId="6A039CE8" w:rsidR="00AC275E" w:rsidRPr="00782618" w:rsidRDefault="00FC2914"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977E07">
              <w:t>Levonorgestrel</w:t>
            </w:r>
          </w:p>
        </w:tc>
        <w:tc>
          <w:tcPr>
            <w:tcW w:w="1503" w:type="dxa"/>
            <w:shd w:val="clear" w:color="auto" w:fill="auto"/>
          </w:tcPr>
          <w:p w14:paraId="44F5D3ED"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977E07">
              <w:t>15</w:t>
            </w:r>
          </w:p>
        </w:tc>
      </w:tr>
      <w:tr w:rsidR="00AC275E" w:rsidRPr="00782618" w14:paraId="69DE890D" w14:textId="77777777" w:rsidTr="00AC275E">
        <w:trPr>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366D4301" w14:textId="5C9901F8" w:rsidR="00AC275E" w:rsidRPr="0055073C" w:rsidRDefault="00FC2914" w:rsidP="00AC275E">
            <w:pPr>
              <w:rPr>
                <w:rFonts w:ascii="Segoe UI" w:eastAsia="Times New Roman" w:hAnsi="Segoe UI" w:cs="Segoe UI"/>
                <w:color w:val="212121"/>
                <w:sz w:val="23"/>
                <w:szCs w:val="23"/>
                <w:lang w:eastAsia="en-GB"/>
              </w:rPr>
            </w:pPr>
            <w:r w:rsidRPr="0055073C">
              <w:rPr>
                <w:rFonts w:ascii="Calibri" w:eastAsia="Times New Roman" w:hAnsi="Calibri" w:cs="Segoe UI"/>
                <w:color w:val="212121"/>
                <w:lang w:eastAsia="en-GB"/>
              </w:rPr>
              <w:t>Swine origin influenza virus</w:t>
            </w:r>
          </w:p>
        </w:tc>
        <w:tc>
          <w:tcPr>
            <w:tcW w:w="1280" w:type="dxa"/>
            <w:shd w:val="clear" w:color="auto" w:fill="auto"/>
            <w:noWrap/>
            <w:hideMark/>
          </w:tcPr>
          <w:p w14:paraId="18B03D21"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619</w:t>
            </w:r>
          </w:p>
        </w:tc>
        <w:tc>
          <w:tcPr>
            <w:tcW w:w="2972" w:type="dxa"/>
            <w:shd w:val="clear" w:color="auto" w:fill="auto"/>
          </w:tcPr>
          <w:p w14:paraId="3C25E492" w14:textId="53980C61" w:rsidR="00AC275E" w:rsidRPr="00782618" w:rsidRDefault="00FC2914"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977E07">
              <w:t>Citalopram</w:t>
            </w:r>
          </w:p>
        </w:tc>
        <w:tc>
          <w:tcPr>
            <w:tcW w:w="1503" w:type="dxa"/>
            <w:shd w:val="clear" w:color="auto" w:fill="auto"/>
          </w:tcPr>
          <w:p w14:paraId="14BE76C1"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Pr>
                <w:rFonts w:ascii="Calibri" w:eastAsia="Times New Roman" w:hAnsi="Calibri" w:cs="Segoe UI"/>
                <w:color w:val="212121"/>
                <w:lang w:eastAsia="en-GB"/>
              </w:rPr>
              <w:t>14</w:t>
            </w:r>
          </w:p>
        </w:tc>
      </w:tr>
      <w:tr w:rsidR="00AC275E" w:rsidRPr="00782618" w14:paraId="3D511A7C" w14:textId="77777777" w:rsidTr="00AC27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193CA7BE" w14:textId="5F844ACF"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Methylphenidate</w:t>
            </w:r>
          </w:p>
        </w:tc>
        <w:tc>
          <w:tcPr>
            <w:tcW w:w="1280" w:type="dxa"/>
            <w:shd w:val="clear" w:color="auto" w:fill="auto"/>
            <w:noWrap/>
            <w:hideMark/>
          </w:tcPr>
          <w:p w14:paraId="46FBECB4"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616</w:t>
            </w:r>
          </w:p>
        </w:tc>
        <w:tc>
          <w:tcPr>
            <w:tcW w:w="2972" w:type="dxa"/>
            <w:shd w:val="clear" w:color="auto" w:fill="auto"/>
          </w:tcPr>
          <w:p w14:paraId="49B49693" w14:textId="615B3778" w:rsidR="00AC275E" w:rsidRPr="00782618" w:rsidRDefault="00FC2914"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proofErr w:type="spellStart"/>
            <w:r w:rsidRPr="008136EF">
              <w:rPr>
                <w:rFonts w:ascii="Calibri" w:eastAsia="Times New Roman" w:hAnsi="Calibri" w:cs="Segoe UI"/>
                <w:color w:val="212121"/>
                <w:lang w:eastAsia="en-GB"/>
              </w:rPr>
              <w:t>Etonogestrel</w:t>
            </w:r>
            <w:proofErr w:type="spellEnd"/>
          </w:p>
        </w:tc>
        <w:tc>
          <w:tcPr>
            <w:tcW w:w="1503" w:type="dxa"/>
            <w:shd w:val="clear" w:color="auto" w:fill="auto"/>
          </w:tcPr>
          <w:p w14:paraId="30014F6F"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13</w:t>
            </w:r>
          </w:p>
        </w:tc>
      </w:tr>
      <w:tr w:rsidR="00AC275E" w:rsidRPr="00782618" w14:paraId="58B9BE99" w14:textId="77777777" w:rsidTr="00AC275E">
        <w:trPr>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6B71D39F" w14:textId="5CB76682" w:rsidR="00AC275E" w:rsidRPr="0055073C" w:rsidRDefault="00FC2914" w:rsidP="00AC275E">
            <w:pPr>
              <w:rPr>
                <w:rFonts w:ascii="Segoe UI" w:eastAsia="Times New Roman" w:hAnsi="Segoe UI" w:cs="Segoe UI"/>
                <w:color w:val="212121"/>
                <w:sz w:val="23"/>
                <w:szCs w:val="23"/>
                <w:lang w:eastAsia="en-GB"/>
              </w:rPr>
            </w:pPr>
            <w:r w:rsidRPr="0055073C">
              <w:rPr>
                <w:rFonts w:ascii="Calibri" w:eastAsia="Times New Roman" w:hAnsi="Calibri" w:cs="Segoe UI"/>
                <w:color w:val="212121"/>
                <w:lang w:eastAsia="en-GB"/>
              </w:rPr>
              <w:t>Phenoxymethylpenicillin</w:t>
            </w:r>
          </w:p>
        </w:tc>
        <w:tc>
          <w:tcPr>
            <w:tcW w:w="1280" w:type="dxa"/>
            <w:shd w:val="clear" w:color="auto" w:fill="auto"/>
            <w:noWrap/>
            <w:hideMark/>
          </w:tcPr>
          <w:p w14:paraId="08D06D08"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573</w:t>
            </w:r>
          </w:p>
        </w:tc>
        <w:tc>
          <w:tcPr>
            <w:tcW w:w="2972" w:type="dxa"/>
            <w:shd w:val="clear" w:color="auto" w:fill="auto"/>
          </w:tcPr>
          <w:p w14:paraId="3EF37F88" w14:textId="11937401" w:rsidR="00AC275E" w:rsidRPr="00782618" w:rsidRDefault="00FC2914"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Co-amoxiclav</w:t>
            </w:r>
          </w:p>
        </w:tc>
        <w:tc>
          <w:tcPr>
            <w:tcW w:w="1503" w:type="dxa"/>
            <w:shd w:val="clear" w:color="auto" w:fill="auto"/>
          </w:tcPr>
          <w:p w14:paraId="1E706404"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12</w:t>
            </w:r>
          </w:p>
        </w:tc>
      </w:tr>
      <w:tr w:rsidR="00AC275E" w:rsidRPr="00782618" w14:paraId="2158385E" w14:textId="77777777" w:rsidTr="00AC27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68D1E8EB" w14:textId="0AC31D71"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Paracetamol</w:t>
            </w:r>
          </w:p>
        </w:tc>
        <w:tc>
          <w:tcPr>
            <w:tcW w:w="1280" w:type="dxa"/>
            <w:shd w:val="clear" w:color="auto" w:fill="auto"/>
            <w:noWrap/>
            <w:hideMark/>
          </w:tcPr>
          <w:p w14:paraId="57E16A71"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534</w:t>
            </w:r>
          </w:p>
        </w:tc>
        <w:tc>
          <w:tcPr>
            <w:tcW w:w="2972" w:type="dxa"/>
            <w:shd w:val="clear" w:color="auto" w:fill="auto"/>
          </w:tcPr>
          <w:p w14:paraId="7DBD608A" w14:textId="7E018669" w:rsidR="00AC275E" w:rsidRPr="00782618" w:rsidRDefault="00FC2914"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Propranolol</w:t>
            </w:r>
          </w:p>
        </w:tc>
        <w:tc>
          <w:tcPr>
            <w:tcW w:w="1503" w:type="dxa"/>
            <w:shd w:val="clear" w:color="auto" w:fill="auto"/>
          </w:tcPr>
          <w:p w14:paraId="652D991F"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12</w:t>
            </w:r>
          </w:p>
        </w:tc>
      </w:tr>
      <w:tr w:rsidR="00AC275E" w:rsidRPr="00782618" w14:paraId="0FAC27CC" w14:textId="77777777" w:rsidTr="00AC275E">
        <w:trPr>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50773C86" w14:textId="3F31457F" w:rsidR="00AC275E" w:rsidRPr="008136EF" w:rsidRDefault="00FC2914" w:rsidP="00AC275E">
            <w:pPr>
              <w:rPr>
                <w:rFonts w:ascii="Segoe UI" w:eastAsia="Times New Roman" w:hAnsi="Segoe UI" w:cs="Segoe UI"/>
                <w:b w:val="0"/>
                <w:color w:val="212121"/>
                <w:sz w:val="23"/>
                <w:szCs w:val="23"/>
                <w:lang w:eastAsia="en-GB"/>
              </w:rPr>
            </w:pPr>
            <w:proofErr w:type="spellStart"/>
            <w:r w:rsidRPr="008136EF">
              <w:rPr>
                <w:rFonts w:ascii="Calibri" w:eastAsia="Times New Roman" w:hAnsi="Calibri" w:cs="Segoe UI"/>
                <w:b w:val="0"/>
                <w:color w:val="212121"/>
                <w:lang w:eastAsia="en-GB"/>
              </w:rPr>
              <w:t>Etonogestrel</w:t>
            </w:r>
            <w:proofErr w:type="spellEnd"/>
          </w:p>
        </w:tc>
        <w:tc>
          <w:tcPr>
            <w:tcW w:w="1280" w:type="dxa"/>
            <w:shd w:val="clear" w:color="auto" w:fill="auto"/>
            <w:noWrap/>
            <w:hideMark/>
          </w:tcPr>
          <w:p w14:paraId="0959BA5F"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410</w:t>
            </w:r>
          </w:p>
        </w:tc>
        <w:tc>
          <w:tcPr>
            <w:tcW w:w="2972" w:type="dxa"/>
            <w:shd w:val="clear" w:color="auto" w:fill="auto"/>
          </w:tcPr>
          <w:p w14:paraId="524F923F" w14:textId="2979D63F" w:rsidR="00AC275E" w:rsidRPr="00782618" w:rsidRDefault="00FC2914"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Lymecycline</w:t>
            </w:r>
          </w:p>
        </w:tc>
        <w:tc>
          <w:tcPr>
            <w:tcW w:w="1503" w:type="dxa"/>
            <w:shd w:val="clear" w:color="auto" w:fill="auto"/>
          </w:tcPr>
          <w:p w14:paraId="51AA5C84"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12</w:t>
            </w:r>
          </w:p>
        </w:tc>
      </w:tr>
      <w:tr w:rsidR="00AC275E" w:rsidRPr="00782618" w14:paraId="475C7E79" w14:textId="77777777" w:rsidTr="00AC275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5A7F698A" w14:textId="69BD349A"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Oseltamivir</w:t>
            </w:r>
          </w:p>
        </w:tc>
        <w:tc>
          <w:tcPr>
            <w:tcW w:w="1280" w:type="dxa"/>
            <w:shd w:val="clear" w:color="auto" w:fill="auto"/>
            <w:noWrap/>
            <w:hideMark/>
          </w:tcPr>
          <w:p w14:paraId="6500C852"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405</w:t>
            </w:r>
          </w:p>
        </w:tc>
        <w:tc>
          <w:tcPr>
            <w:tcW w:w="2972" w:type="dxa"/>
            <w:shd w:val="clear" w:color="auto" w:fill="auto"/>
          </w:tcPr>
          <w:p w14:paraId="6A11CEEC" w14:textId="4F09EA2A" w:rsidR="00AC275E" w:rsidRPr="00782618" w:rsidRDefault="00FC2914"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Doxycycline</w:t>
            </w:r>
          </w:p>
        </w:tc>
        <w:tc>
          <w:tcPr>
            <w:tcW w:w="1503" w:type="dxa"/>
            <w:shd w:val="clear" w:color="auto" w:fill="auto"/>
          </w:tcPr>
          <w:p w14:paraId="483C2B78"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12</w:t>
            </w:r>
          </w:p>
        </w:tc>
      </w:tr>
      <w:tr w:rsidR="00AC275E" w:rsidRPr="00782618" w14:paraId="0B6E493C" w14:textId="77777777" w:rsidTr="00AC275E">
        <w:trPr>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426CC6AB" w14:textId="3DB7AB25"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Atomoxetine</w:t>
            </w:r>
          </w:p>
        </w:tc>
        <w:tc>
          <w:tcPr>
            <w:tcW w:w="1280" w:type="dxa"/>
            <w:shd w:val="clear" w:color="auto" w:fill="auto"/>
            <w:noWrap/>
            <w:hideMark/>
          </w:tcPr>
          <w:p w14:paraId="620E5860"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403</w:t>
            </w:r>
          </w:p>
        </w:tc>
        <w:tc>
          <w:tcPr>
            <w:tcW w:w="2972" w:type="dxa"/>
            <w:shd w:val="clear" w:color="auto" w:fill="auto"/>
          </w:tcPr>
          <w:p w14:paraId="5B6134F0" w14:textId="4DE83EF5" w:rsidR="00AC275E" w:rsidRPr="00DC45A6" w:rsidRDefault="00FC2914"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b/>
                <w:color w:val="212121"/>
                <w:lang w:eastAsia="en-GB"/>
              </w:rPr>
            </w:pPr>
            <w:r w:rsidRPr="00DC45A6">
              <w:rPr>
                <w:rFonts w:ascii="Calibri" w:eastAsia="Times New Roman" w:hAnsi="Calibri" w:cs="Segoe UI"/>
                <w:b/>
                <w:color w:val="212121"/>
                <w:lang w:eastAsia="en-GB"/>
              </w:rPr>
              <w:t>Amoxycillin</w:t>
            </w:r>
          </w:p>
        </w:tc>
        <w:tc>
          <w:tcPr>
            <w:tcW w:w="1503" w:type="dxa"/>
            <w:shd w:val="clear" w:color="auto" w:fill="auto"/>
          </w:tcPr>
          <w:p w14:paraId="3B38C1C4"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11</w:t>
            </w:r>
          </w:p>
        </w:tc>
      </w:tr>
      <w:tr w:rsidR="00AC275E" w:rsidRPr="00782618" w14:paraId="63DD002F" w14:textId="77777777" w:rsidTr="00AC27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20FC2BC9" w14:textId="3DE06948" w:rsidR="00AC275E" w:rsidRPr="0055073C" w:rsidRDefault="00FC2914" w:rsidP="00AC275E">
            <w:pPr>
              <w:rPr>
                <w:rFonts w:ascii="Segoe UI" w:eastAsia="Times New Roman" w:hAnsi="Segoe UI" w:cs="Segoe UI"/>
                <w:color w:val="212121"/>
                <w:sz w:val="23"/>
                <w:szCs w:val="23"/>
                <w:lang w:eastAsia="en-GB"/>
              </w:rPr>
            </w:pPr>
            <w:r w:rsidRPr="0055073C">
              <w:rPr>
                <w:rFonts w:ascii="Calibri" w:eastAsia="Times New Roman" w:hAnsi="Calibri" w:cs="Segoe UI"/>
                <w:color w:val="212121"/>
                <w:lang w:eastAsia="en-GB"/>
              </w:rPr>
              <w:t>Ibuprofen</w:t>
            </w:r>
          </w:p>
        </w:tc>
        <w:tc>
          <w:tcPr>
            <w:tcW w:w="1280" w:type="dxa"/>
            <w:shd w:val="clear" w:color="auto" w:fill="auto"/>
            <w:noWrap/>
            <w:hideMark/>
          </w:tcPr>
          <w:p w14:paraId="05287F36"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402</w:t>
            </w:r>
          </w:p>
        </w:tc>
        <w:tc>
          <w:tcPr>
            <w:tcW w:w="2972" w:type="dxa"/>
            <w:shd w:val="clear" w:color="auto" w:fill="auto"/>
          </w:tcPr>
          <w:p w14:paraId="7DA4EF23" w14:textId="10D7B79C" w:rsidR="00AC275E" w:rsidRPr="00782618" w:rsidRDefault="00FC2914"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Clarithromycin</w:t>
            </w:r>
          </w:p>
        </w:tc>
        <w:tc>
          <w:tcPr>
            <w:tcW w:w="1503" w:type="dxa"/>
            <w:shd w:val="clear" w:color="auto" w:fill="auto"/>
          </w:tcPr>
          <w:p w14:paraId="3B771E95"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11</w:t>
            </w:r>
          </w:p>
        </w:tc>
      </w:tr>
      <w:tr w:rsidR="00AC275E" w:rsidRPr="00782618" w14:paraId="0CCC924D" w14:textId="77777777" w:rsidTr="00AC275E">
        <w:trPr>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305D04E9" w14:textId="50A05EE0"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HIB/MEN C conjugate vaccine</w:t>
            </w:r>
          </w:p>
        </w:tc>
        <w:tc>
          <w:tcPr>
            <w:tcW w:w="1280" w:type="dxa"/>
            <w:shd w:val="clear" w:color="auto" w:fill="auto"/>
            <w:noWrap/>
            <w:hideMark/>
          </w:tcPr>
          <w:p w14:paraId="7B921F74"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394</w:t>
            </w:r>
          </w:p>
        </w:tc>
        <w:tc>
          <w:tcPr>
            <w:tcW w:w="2972" w:type="dxa"/>
            <w:shd w:val="clear" w:color="auto" w:fill="auto"/>
          </w:tcPr>
          <w:p w14:paraId="2FCDA9EA" w14:textId="76863835" w:rsidR="00AC275E" w:rsidRPr="00782618" w:rsidRDefault="00FC2914"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Trimethoprim</w:t>
            </w:r>
          </w:p>
        </w:tc>
        <w:tc>
          <w:tcPr>
            <w:tcW w:w="1503" w:type="dxa"/>
            <w:shd w:val="clear" w:color="auto" w:fill="auto"/>
          </w:tcPr>
          <w:p w14:paraId="7FFC4AC0"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11</w:t>
            </w:r>
          </w:p>
        </w:tc>
      </w:tr>
      <w:tr w:rsidR="00AC275E" w:rsidRPr="00782618" w14:paraId="6FD2C8AB" w14:textId="77777777" w:rsidTr="00AC27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1F1552D7" w14:textId="79685FA2"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Montelukast</w:t>
            </w:r>
          </w:p>
        </w:tc>
        <w:tc>
          <w:tcPr>
            <w:tcW w:w="1280" w:type="dxa"/>
            <w:shd w:val="clear" w:color="auto" w:fill="auto"/>
            <w:noWrap/>
            <w:hideMark/>
          </w:tcPr>
          <w:p w14:paraId="1017C4CB"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362</w:t>
            </w:r>
          </w:p>
        </w:tc>
        <w:tc>
          <w:tcPr>
            <w:tcW w:w="2972" w:type="dxa"/>
            <w:shd w:val="clear" w:color="auto" w:fill="auto"/>
          </w:tcPr>
          <w:p w14:paraId="7AE56C8B" w14:textId="41F17024" w:rsidR="00AC275E" w:rsidRPr="00DC45A6" w:rsidRDefault="00FC2914"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b/>
                <w:color w:val="212121"/>
                <w:lang w:eastAsia="en-GB"/>
              </w:rPr>
            </w:pPr>
            <w:r w:rsidRPr="00DC45A6">
              <w:rPr>
                <w:rFonts w:ascii="Calibri" w:eastAsia="Times New Roman" w:hAnsi="Calibri" w:cs="Segoe UI"/>
                <w:b/>
                <w:color w:val="212121"/>
                <w:lang w:eastAsia="en-GB"/>
              </w:rPr>
              <w:t>Ibuprofen</w:t>
            </w:r>
          </w:p>
        </w:tc>
        <w:tc>
          <w:tcPr>
            <w:tcW w:w="1503" w:type="dxa"/>
            <w:shd w:val="clear" w:color="auto" w:fill="auto"/>
          </w:tcPr>
          <w:p w14:paraId="4E8217AB"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11</w:t>
            </w:r>
          </w:p>
        </w:tc>
      </w:tr>
      <w:tr w:rsidR="00AC275E" w:rsidRPr="00782618" w14:paraId="12398880" w14:textId="77777777" w:rsidTr="00AC275E">
        <w:trPr>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04694841" w14:textId="3C7C1C96"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Methotrexate</w:t>
            </w:r>
          </w:p>
        </w:tc>
        <w:tc>
          <w:tcPr>
            <w:tcW w:w="1280" w:type="dxa"/>
            <w:shd w:val="clear" w:color="auto" w:fill="auto"/>
            <w:noWrap/>
            <w:hideMark/>
          </w:tcPr>
          <w:p w14:paraId="56058A1A"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318</w:t>
            </w:r>
          </w:p>
        </w:tc>
        <w:tc>
          <w:tcPr>
            <w:tcW w:w="2972" w:type="dxa"/>
            <w:shd w:val="clear" w:color="auto" w:fill="auto"/>
          </w:tcPr>
          <w:p w14:paraId="2D8FF2E5" w14:textId="3737720B" w:rsidR="00AC275E" w:rsidRPr="00DC45A6" w:rsidRDefault="00FC2914"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b/>
                <w:color w:val="212121"/>
                <w:lang w:eastAsia="en-GB"/>
              </w:rPr>
            </w:pPr>
            <w:r w:rsidRPr="00DC45A6">
              <w:rPr>
                <w:rFonts w:ascii="Calibri" w:eastAsia="Times New Roman" w:hAnsi="Calibri" w:cs="Segoe UI"/>
                <w:b/>
                <w:color w:val="212121"/>
                <w:lang w:eastAsia="en-GB"/>
              </w:rPr>
              <w:t>Phenoxymethylpenicillin</w:t>
            </w:r>
          </w:p>
        </w:tc>
        <w:tc>
          <w:tcPr>
            <w:tcW w:w="1503" w:type="dxa"/>
            <w:shd w:val="clear" w:color="auto" w:fill="auto"/>
          </w:tcPr>
          <w:p w14:paraId="066600CE"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11</w:t>
            </w:r>
          </w:p>
        </w:tc>
      </w:tr>
      <w:tr w:rsidR="00AC275E" w:rsidRPr="00782618" w14:paraId="3A29CC32" w14:textId="77777777" w:rsidTr="00AC27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443649AD" w14:textId="6D59BE2B"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Influenza virus</w:t>
            </w:r>
          </w:p>
        </w:tc>
        <w:tc>
          <w:tcPr>
            <w:tcW w:w="1280" w:type="dxa"/>
            <w:shd w:val="clear" w:color="auto" w:fill="auto"/>
            <w:noWrap/>
            <w:hideMark/>
          </w:tcPr>
          <w:p w14:paraId="71B54E02"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308</w:t>
            </w:r>
          </w:p>
        </w:tc>
        <w:tc>
          <w:tcPr>
            <w:tcW w:w="2972" w:type="dxa"/>
            <w:shd w:val="clear" w:color="auto" w:fill="auto"/>
          </w:tcPr>
          <w:p w14:paraId="537E8C99" w14:textId="32AA8C3B" w:rsidR="00AC275E" w:rsidRPr="00782618" w:rsidRDefault="00FC2914"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Erythromycin</w:t>
            </w:r>
          </w:p>
        </w:tc>
        <w:tc>
          <w:tcPr>
            <w:tcW w:w="1503" w:type="dxa"/>
            <w:shd w:val="clear" w:color="auto" w:fill="auto"/>
          </w:tcPr>
          <w:p w14:paraId="38E4BCBF" w14:textId="77777777" w:rsidR="00AC275E" w:rsidRPr="00782618" w:rsidRDefault="00AC275E" w:rsidP="00AC275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11</w:t>
            </w:r>
          </w:p>
        </w:tc>
      </w:tr>
      <w:tr w:rsidR="00AC275E" w:rsidRPr="00782618" w14:paraId="53FD45C8" w14:textId="77777777" w:rsidTr="00AC275E">
        <w:trPr>
          <w:trHeight w:val="255"/>
        </w:trPr>
        <w:tc>
          <w:tcPr>
            <w:cnfStyle w:val="001000000000" w:firstRow="0" w:lastRow="0" w:firstColumn="1" w:lastColumn="0" w:oddVBand="0" w:evenVBand="0" w:oddHBand="0" w:evenHBand="0" w:firstRowFirstColumn="0" w:firstRowLastColumn="0" w:lastRowFirstColumn="0" w:lastRowLastColumn="0"/>
            <w:tcW w:w="3251" w:type="dxa"/>
            <w:shd w:val="clear" w:color="auto" w:fill="auto"/>
            <w:hideMark/>
          </w:tcPr>
          <w:p w14:paraId="708B67B6" w14:textId="4E04394D" w:rsidR="00AC275E" w:rsidRPr="008136EF" w:rsidRDefault="00FC2914" w:rsidP="00AC275E">
            <w:pPr>
              <w:rPr>
                <w:rFonts w:ascii="Segoe UI" w:eastAsia="Times New Roman" w:hAnsi="Segoe UI" w:cs="Segoe UI"/>
                <w:b w:val="0"/>
                <w:color w:val="212121"/>
                <w:sz w:val="23"/>
                <w:szCs w:val="23"/>
                <w:lang w:eastAsia="en-GB"/>
              </w:rPr>
            </w:pPr>
            <w:r w:rsidRPr="008136EF">
              <w:rPr>
                <w:rFonts w:ascii="Calibri" w:eastAsia="Times New Roman" w:hAnsi="Calibri" w:cs="Segoe UI"/>
                <w:b w:val="0"/>
                <w:color w:val="212121"/>
                <w:lang w:eastAsia="en-GB"/>
              </w:rPr>
              <w:t>Clozapine</w:t>
            </w:r>
          </w:p>
        </w:tc>
        <w:tc>
          <w:tcPr>
            <w:tcW w:w="1280" w:type="dxa"/>
            <w:shd w:val="clear" w:color="auto" w:fill="auto"/>
            <w:noWrap/>
            <w:hideMark/>
          </w:tcPr>
          <w:p w14:paraId="2F16B13F"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212121"/>
                <w:sz w:val="23"/>
                <w:szCs w:val="23"/>
                <w:lang w:eastAsia="en-GB"/>
              </w:rPr>
            </w:pPr>
            <w:r w:rsidRPr="00782618">
              <w:rPr>
                <w:rFonts w:ascii="Calibri" w:eastAsia="Times New Roman" w:hAnsi="Calibri" w:cs="Segoe UI"/>
                <w:color w:val="212121"/>
                <w:lang w:eastAsia="en-GB"/>
              </w:rPr>
              <w:t>308</w:t>
            </w:r>
          </w:p>
        </w:tc>
        <w:tc>
          <w:tcPr>
            <w:tcW w:w="2972" w:type="dxa"/>
            <w:shd w:val="clear" w:color="auto" w:fill="auto"/>
          </w:tcPr>
          <w:p w14:paraId="149A88BE" w14:textId="79B502FF" w:rsidR="00AC275E" w:rsidRPr="00782618" w:rsidRDefault="00FC2914"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Co-codamol</w:t>
            </w:r>
          </w:p>
        </w:tc>
        <w:tc>
          <w:tcPr>
            <w:tcW w:w="1503" w:type="dxa"/>
            <w:shd w:val="clear" w:color="auto" w:fill="auto"/>
          </w:tcPr>
          <w:p w14:paraId="077CA61C" w14:textId="77777777" w:rsidR="00AC275E" w:rsidRPr="00782618" w:rsidRDefault="00AC275E" w:rsidP="00AC275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Segoe UI"/>
                <w:color w:val="212121"/>
                <w:lang w:eastAsia="en-GB"/>
              </w:rPr>
            </w:pPr>
            <w:r w:rsidRPr="008136EF">
              <w:rPr>
                <w:rFonts w:ascii="Calibri" w:eastAsia="Times New Roman" w:hAnsi="Calibri" w:cs="Segoe UI"/>
                <w:color w:val="212121"/>
                <w:lang w:eastAsia="en-GB"/>
              </w:rPr>
              <w:t>10</w:t>
            </w:r>
          </w:p>
        </w:tc>
      </w:tr>
    </w:tbl>
    <w:p w14:paraId="306BF03B" w14:textId="77777777" w:rsidR="00DC45A6" w:rsidRDefault="00DC45A6">
      <w:pPr>
        <w:rPr>
          <w:rFonts w:cstheme="minorHAnsi"/>
          <w:sz w:val="24"/>
          <w:szCs w:val="24"/>
        </w:rPr>
      </w:pPr>
    </w:p>
    <w:p w14:paraId="70F624FE" w14:textId="68419C19" w:rsidR="00DC45A6" w:rsidRDefault="00DC45A6" w:rsidP="00DC45A6">
      <w:pPr>
        <w:rPr>
          <w:rFonts w:cstheme="minorHAnsi"/>
          <w:sz w:val="24"/>
          <w:szCs w:val="24"/>
        </w:rPr>
      </w:pPr>
      <w:r>
        <w:rPr>
          <w:rFonts w:cstheme="minorHAnsi"/>
          <w:sz w:val="24"/>
          <w:szCs w:val="24"/>
        </w:rPr>
        <w:t xml:space="preserve">Table </w:t>
      </w:r>
      <w:r w:rsidR="00AC275E">
        <w:rPr>
          <w:rFonts w:cstheme="minorHAnsi"/>
          <w:sz w:val="24"/>
          <w:szCs w:val="24"/>
        </w:rPr>
        <w:t>2</w:t>
      </w:r>
      <w:r>
        <w:rPr>
          <w:rFonts w:cstheme="minorHAnsi"/>
          <w:sz w:val="24"/>
          <w:szCs w:val="24"/>
        </w:rPr>
        <w:t xml:space="preserve">: Comparison of the 25 most reported drugs between patients &lt;19 years of age, and reporters age &lt;19 years of age. </w:t>
      </w:r>
      <w:r w:rsidRPr="00DC45A6">
        <w:rPr>
          <w:rFonts w:cstheme="minorHAnsi"/>
          <w:b/>
          <w:sz w:val="24"/>
          <w:szCs w:val="24"/>
        </w:rPr>
        <w:t>Bold</w:t>
      </w:r>
      <w:r>
        <w:rPr>
          <w:rFonts w:cstheme="minorHAnsi"/>
          <w:sz w:val="24"/>
          <w:szCs w:val="24"/>
        </w:rPr>
        <w:t>: present in both columns</w:t>
      </w:r>
      <w:r w:rsidR="0055073C">
        <w:rPr>
          <w:rFonts w:cstheme="minorHAnsi"/>
          <w:sz w:val="24"/>
          <w:szCs w:val="24"/>
        </w:rPr>
        <w:t>.</w:t>
      </w:r>
      <w:r>
        <w:rPr>
          <w:rFonts w:cstheme="minorHAnsi"/>
          <w:sz w:val="24"/>
          <w:szCs w:val="24"/>
        </w:rPr>
        <w:t xml:space="preserve"> MMR: Measles mumps and rubella. DT: </w:t>
      </w:r>
      <w:proofErr w:type="spellStart"/>
      <w:r>
        <w:rPr>
          <w:rFonts w:cstheme="minorHAnsi"/>
          <w:sz w:val="24"/>
          <w:szCs w:val="24"/>
        </w:rPr>
        <w:t>Diptheria</w:t>
      </w:r>
      <w:proofErr w:type="spellEnd"/>
      <w:r>
        <w:rPr>
          <w:rFonts w:cstheme="minorHAnsi"/>
          <w:sz w:val="24"/>
          <w:szCs w:val="24"/>
        </w:rPr>
        <w:t xml:space="preserve"> and Tetanus. IPV: inactivated poliovirus. DTPA: </w:t>
      </w:r>
      <w:proofErr w:type="spellStart"/>
      <w:proofErr w:type="gramStart"/>
      <w:r>
        <w:rPr>
          <w:rFonts w:cstheme="minorHAnsi"/>
          <w:sz w:val="24"/>
          <w:szCs w:val="24"/>
        </w:rPr>
        <w:t>DIptheria,Tetanus</w:t>
      </w:r>
      <w:proofErr w:type="spellEnd"/>
      <w:proofErr w:type="gramEnd"/>
      <w:r>
        <w:rPr>
          <w:rFonts w:cstheme="minorHAnsi"/>
          <w:sz w:val="24"/>
          <w:szCs w:val="24"/>
        </w:rPr>
        <w:t xml:space="preserve">, acellular pertussis. HIB: </w:t>
      </w:r>
      <w:proofErr w:type="spellStart"/>
      <w:r>
        <w:rPr>
          <w:rFonts w:cstheme="minorHAnsi"/>
          <w:sz w:val="24"/>
          <w:szCs w:val="24"/>
        </w:rPr>
        <w:t>Haemophilius</w:t>
      </w:r>
      <w:proofErr w:type="spellEnd"/>
      <w:r>
        <w:rPr>
          <w:rFonts w:cstheme="minorHAnsi"/>
          <w:sz w:val="24"/>
          <w:szCs w:val="24"/>
        </w:rPr>
        <w:t xml:space="preserve"> Influenza B. </w:t>
      </w:r>
    </w:p>
    <w:p w14:paraId="380E6C09" w14:textId="792ACBE5" w:rsidR="00B1357B" w:rsidRDefault="00B1357B">
      <w:pPr>
        <w:rPr>
          <w:rFonts w:cstheme="minorHAnsi"/>
          <w:sz w:val="24"/>
          <w:szCs w:val="24"/>
        </w:rPr>
      </w:pPr>
      <w:r>
        <w:rPr>
          <w:rFonts w:cstheme="minorHAnsi"/>
          <w:sz w:val="24"/>
          <w:szCs w:val="24"/>
        </w:rPr>
        <w:br w:type="page"/>
      </w:r>
    </w:p>
    <w:p w14:paraId="79DD005B" w14:textId="3E4E4A7D" w:rsidR="00B1357B" w:rsidRDefault="00B1357B" w:rsidP="00120680">
      <w:pPr>
        <w:pStyle w:val="Heading1"/>
      </w:pPr>
      <w:r>
        <w:lastRenderedPageBreak/>
        <w:t>Table 3</w:t>
      </w:r>
    </w:p>
    <w:p w14:paraId="5C8C63FE" w14:textId="132E0D53" w:rsidR="00B1357B" w:rsidRDefault="00B1357B" w:rsidP="00B1357B"/>
    <w:tbl>
      <w:tblPr>
        <w:tblW w:w="0" w:type="auto"/>
        <w:tblCellMar>
          <w:left w:w="0" w:type="dxa"/>
          <w:right w:w="0" w:type="dxa"/>
        </w:tblCellMar>
        <w:tblLook w:val="04A0" w:firstRow="1" w:lastRow="0" w:firstColumn="1" w:lastColumn="0" w:noHBand="0" w:noVBand="1"/>
      </w:tblPr>
      <w:tblGrid>
        <w:gridCol w:w="2532"/>
        <w:gridCol w:w="1969"/>
        <w:gridCol w:w="2536"/>
        <w:gridCol w:w="1969"/>
      </w:tblGrid>
      <w:tr w:rsidR="00120680" w14:paraId="5AB354E1" w14:textId="77777777" w:rsidTr="00120680">
        <w:tc>
          <w:tcPr>
            <w:tcW w:w="450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9BBA5B" w14:textId="342BE9B1" w:rsidR="00120680" w:rsidRPr="00120680" w:rsidRDefault="00120680" w:rsidP="00120680">
            <w:pPr>
              <w:jc w:val="center"/>
              <w:rPr>
                <w:b/>
                <w:bCs/>
              </w:rPr>
            </w:pPr>
            <w:r w:rsidRPr="00120680">
              <w:rPr>
                <w:rFonts w:ascii="Calibri" w:eastAsia="Times New Roman" w:hAnsi="Calibri" w:cs="Segoe UI"/>
                <w:b/>
                <w:bCs/>
                <w:color w:val="212121"/>
                <w:sz w:val="24"/>
                <w:szCs w:val="24"/>
                <w:lang w:eastAsia="en-GB"/>
              </w:rPr>
              <w:t>Yellow Card Reports for patients &lt;19 years (all reporters)</w:t>
            </w:r>
          </w:p>
        </w:tc>
        <w:tc>
          <w:tcPr>
            <w:tcW w:w="450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4914E4" w14:textId="1239A284" w:rsidR="00120680" w:rsidRPr="00120680" w:rsidRDefault="00120680" w:rsidP="00542598">
            <w:pPr>
              <w:jc w:val="center"/>
              <w:rPr>
                <w:b/>
                <w:bCs/>
              </w:rPr>
            </w:pPr>
            <w:r w:rsidRPr="00120680">
              <w:rPr>
                <w:rFonts w:ascii="Calibri" w:eastAsia="Times New Roman" w:hAnsi="Calibri" w:cs="Segoe UI"/>
                <w:b/>
                <w:bCs/>
                <w:color w:val="212121"/>
                <w:sz w:val="24"/>
                <w:szCs w:val="24"/>
                <w:lang w:eastAsia="en-GB"/>
              </w:rPr>
              <w:t>Yellow Card Reports from patients age &lt;19 years</w:t>
            </w:r>
          </w:p>
        </w:tc>
      </w:tr>
      <w:tr w:rsidR="00B1357B" w14:paraId="670A6910"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C24B7" w14:textId="77777777" w:rsidR="00B1357B" w:rsidRDefault="00B1357B">
            <w:pPr>
              <w:rPr>
                <w:b/>
                <w:bCs/>
              </w:rPr>
            </w:pPr>
            <w:r>
              <w:rPr>
                <w:b/>
                <w:bCs/>
              </w:rPr>
              <w:t>Suspected reaction (PT)</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2EA94651" w14:textId="77777777" w:rsidR="00B1357B" w:rsidRDefault="00B1357B">
            <w:pPr>
              <w:rPr>
                <w:b/>
                <w:bCs/>
              </w:rPr>
            </w:pPr>
            <w:r>
              <w:rPr>
                <w:b/>
                <w:bCs/>
              </w:rPr>
              <w:t>Number of reports</w:t>
            </w:r>
          </w:p>
        </w:tc>
        <w:tc>
          <w:tcPr>
            <w:tcW w:w="2536" w:type="dxa"/>
            <w:tcBorders>
              <w:top w:val="nil"/>
              <w:left w:val="nil"/>
              <w:bottom w:val="single" w:sz="8" w:space="0" w:color="auto"/>
              <w:right w:val="single" w:sz="8" w:space="0" w:color="auto"/>
            </w:tcBorders>
            <w:tcMar>
              <w:top w:w="0" w:type="dxa"/>
              <w:left w:w="108" w:type="dxa"/>
              <w:bottom w:w="0" w:type="dxa"/>
              <w:right w:w="108" w:type="dxa"/>
            </w:tcMar>
            <w:hideMark/>
          </w:tcPr>
          <w:p w14:paraId="2EFB4FFE" w14:textId="77777777" w:rsidR="00B1357B" w:rsidRDefault="00B1357B">
            <w:pPr>
              <w:rPr>
                <w:b/>
                <w:bCs/>
              </w:rPr>
            </w:pPr>
            <w:r>
              <w:rPr>
                <w:b/>
                <w:bCs/>
              </w:rPr>
              <w:t>Suspected reaction (PT)</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7A389072" w14:textId="77777777" w:rsidR="00B1357B" w:rsidRDefault="00B1357B">
            <w:pPr>
              <w:rPr>
                <w:b/>
                <w:bCs/>
              </w:rPr>
            </w:pPr>
            <w:r>
              <w:rPr>
                <w:b/>
                <w:bCs/>
              </w:rPr>
              <w:t>Number of reports</w:t>
            </w:r>
          </w:p>
        </w:tc>
      </w:tr>
      <w:tr w:rsidR="00B1357B" w14:paraId="1D00ED59"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56D6A33" w14:textId="77777777" w:rsidR="00B1357B" w:rsidRPr="00542598" w:rsidRDefault="00B1357B" w:rsidP="00120680">
            <w:pPr>
              <w:spacing w:after="0"/>
              <w:rPr>
                <w:b/>
                <w:color w:val="000000"/>
                <w:lang w:eastAsia="en-GB"/>
              </w:rPr>
            </w:pPr>
            <w:r w:rsidRPr="00542598">
              <w:rPr>
                <w:b/>
                <w:color w:val="000000"/>
              </w:rPr>
              <w:t>Pyrexia</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FE2C6" w14:textId="77777777" w:rsidR="00B1357B" w:rsidRDefault="00B1357B" w:rsidP="00120680">
            <w:pPr>
              <w:spacing w:after="0"/>
              <w:jc w:val="center"/>
              <w:rPr>
                <w:color w:val="000000"/>
              </w:rPr>
            </w:pPr>
            <w:r>
              <w:rPr>
                <w:color w:val="000000"/>
              </w:rPr>
              <w:t>3772</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FB7AE8" w14:textId="77777777" w:rsidR="00B1357B" w:rsidRPr="00542598" w:rsidRDefault="00B1357B" w:rsidP="00120680">
            <w:pPr>
              <w:spacing w:after="0"/>
              <w:rPr>
                <w:b/>
                <w:color w:val="000000"/>
              </w:rPr>
            </w:pPr>
            <w:r w:rsidRPr="00542598">
              <w:rPr>
                <w:b/>
                <w:color w:val="000000"/>
              </w:rPr>
              <w:t>Headache</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6D9DD" w14:textId="77777777" w:rsidR="00B1357B" w:rsidRDefault="00B1357B" w:rsidP="00120680">
            <w:pPr>
              <w:spacing w:after="0"/>
              <w:jc w:val="center"/>
              <w:rPr>
                <w:color w:val="000000"/>
              </w:rPr>
            </w:pPr>
            <w:r>
              <w:rPr>
                <w:color w:val="000000"/>
              </w:rPr>
              <w:t>107</w:t>
            </w:r>
          </w:p>
        </w:tc>
      </w:tr>
      <w:tr w:rsidR="00B1357B" w14:paraId="7BE294C4"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79E1EC3" w14:textId="77777777" w:rsidR="00B1357B" w:rsidRPr="00542598" w:rsidRDefault="00B1357B" w:rsidP="00120680">
            <w:pPr>
              <w:spacing w:after="0"/>
              <w:rPr>
                <w:b/>
                <w:color w:val="000000"/>
              </w:rPr>
            </w:pPr>
            <w:r w:rsidRPr="00542598">
              <w:rPr>
                <w:b/>
                <w:color w:val="000000"/>
              </w:rPr>
              <w:t>Headache</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0EF7DB" w14:textId="77777777" w:rsidR="00B1357B" w:rsidRDefault="00B1357B" w:rsidP="00120680">
            <w:pPr>
              <w:spacing w:after="0"/>
              <w:jc w:val="center"/>
              <w:rPr>
                <w:color w:val="000000"/>
              </w:rPr>
            </w:pPr>
            <w:r>
              <w:rPr>
                <w:color w:val="000000"/>
              </w:rPr>
              <w:t>3359</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475E4F" w14:textId="77777777" w:rsidR="00B1357B" w:rsidRPr="00542598" w:rsidRDefault="00B1357B" w:rsidP="00120680">
            <w:pPr>
              <w:spacing w:after="0"/>
              <w:rPr>
                <w:b/>
                <w:color w:val="000000"/>
              </w:rPr>
            </w:pPr>
            <w:r w:rsidRPr="00542598">
              <w:rPr>
                <w:b/>
                <w:color w:val="000000"/>
              </w:rPr>
              <w:t>Nausea</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9B6B1" w14:textId="77777777" w:rsidR="00B1357B" w:rsidRDefault="00B1357B" w:rsidP="00120680">
            <w:pPr>
              <w:spacing w:after="0"/>
              <w:jc w:val="center"/>
              <w:rPr>
                <w:color w:val="000000"/>
              </w:rPr>
            </w:pPr>
            <w:r>
              <w:rPr>
                <w:color w:val="000000"/>
              </w:rPr>
              <w:t>100</w:t>
            </w:r>
          </w:p>
        </w:tc>
      </w:tr>
      <w:tr w:rsidR="00B1357B" w14:paraId="35B541A7"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E7215C5" w14:textId="77777777" w:rsidR="00B1357B" w:rsidRPr="00542598" w:rsidRDefault="00B1357B" w:rsidP="00120680">
            <w:pPr>
              <w:spacing w:after="0"/>
              <w:rPr>
                <w:b/>
                <w:color w:val="000000"/>
              </w:rPr>
            </w:pPr>
            <w:r w:rsidRPr="00542598">
              <w:rPr>
                <w:b/>
                <w:color w:val="000000"/>
              </w:rPr>
              <w:t>Dizziness</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9F611" w14:textId="77777777" w:rsidR="00B1357B" w:rsidRDefault="00B1357B" w:rsidP="00120680">
            <w:pPr>
              <w:spacing w:after="0"/>
              <w:jc w:val="center"/>
              <w:rPr>
                <w:color w:val="000000"/>
              </w:rPr>
            </w:pPr>
            <w:r>
              <w:rPr>
                <w:color w:val="000000"/>
              </w:rPr>
              <w:t>3077</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21B94D" w14:textId="77777777" w:rsidR="00B1357B" w:rsidRPr="00542598" w:rsidRDefault="00B1357B" w:rsidP="00120680">
            <w:pPr>
              <w:spacing w:after="0"/>
              <w:rPr>
                <w:b/>
                <w:color w:val="000000"/>
              </w:rPr>
            </w:pPr>
            <w:r w:rsidRPr="00542598">
              <w:rPr>
                <w:b/>
                <w:color w:val="000000"/>
              </w:rPr>
              <w:t>Fatigue</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E919E" w14:textId="77777777" w:rsidR="00B1357B" w:rsidRDefault="00B1357B" w:rsidP="00120680">
            <w:pPr>
              <w:spacing w:after="0"/>
              <w:jc w:val="center"/>
              <w:rPr>
                <w:color w:val="000000"/>
              </w:rPr>
            </w:pPr>
            <w:r>
              <w:rPr>
                <w:color w:val="000000"/>
              </w:rPr>
              <w:t>86</w:t>
            </w:r>
          </w:p>
        </w:tc>
      </w:tr>
      <w:tr w:rsidR="00B1357B" w14:paraId="4670E5BB"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5A462B0" w14:textId="77777777" w:rsidR="00B1357B" w:rsidRPr="00542598" w:rsidRDefault="00B1357B" w:rsidP="00120680">
            <w:pPr>
              <w:spacing w:after="0"/>
              <w:rPr>
                <w:b/>
                <w:color w:val="000000"/>
              </w:rPr>
            </w:pPr>
            <w:r w:rsidRPr="00542598">
              <w:rPr>
                <w:b/>
                <w:color w:val="000000"/>
              </w:rPr>
              <w:t>Vomiting</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6AA433" w14:textId="77777777" w:rsidR="00B1357B" w:rsidRDefault="00B1357B" w:rsidP="00120680">
            <w:pPr>
              <w:spacing w:after="0"/>
              <w:jc w:val="center"/>
              <w:rPr>
                <w:color w:val="000000"/>
              </w:rPr>
            </w:pPr>
            <w:r>
              <w:rPr>
                <w:color w:val="000000"/>
              </w:rPr>
              <w:t>2992</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29FD17" w14:textId="77777777" w:rsidR="00B1357B" w:rsidRPr="00542598" w:rsidRDefault="00B1357B" w:rsidP="00120680">
            <w:pPr>
              <w:spacing w:after="0"/>
              <w:rPr>
                <w:b/>
                <w:color w:val="000000"/>
              </w:rPr>
            </w:pPr>
            <w:r w:rsidRPr="00542598">
              <w:rPr>
                <w:b/>
                <w:color w:val="000000"/>
              </w:rPr>
              <w:t>Dizziness</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DF168C" w14:textId="77777777" w:rsidR="00B1357B" w:rsidRDefault="00B1357B" w:rsidP="00120680">
            <w:pPr>
              <w:spacing w:after="0"/>
              <w:jc w:val="center"/>
              <w:rPr>
                <w:color w:val="000000"/>
              </w:rPr>
            </w:pPr>
            <w:r>
              <w:rPr>
                <w:color w:val="000000"/>
              </w:rPr>
              <w:t>81</w:t>
            </w:r>
          </w:p>
        </w:tc>
      </w:tr>
      <w:tr w:rsidR="00B1357B" w14:paraId="5AF144D8"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42A0DD9" w14:textId="77777777" w:rsidR="00B1357B" w:rsidRPr="00542598" w:rsidRDefault="00B1357B" w:rsidP="00120680">
            <w:pPr>
              <w:spacing w:after="0"/>
              <w:rPr>
                <w:b/>
                <w:color w:val="000000"/>
              </w:rPr>
            </w:pPr>
            <w:r w:rsidRPr="00542598">
              <w:rPr>
                <w:b/>
                <w:color w:val="000000"/>
              </w:rPr>
              <w:t>Nausea</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6232A6" w14:textId="77777777" w:rsidR="00B1357B" w:rsidRDefault="00B1357B" w:rsidP="00120680">
            <w:pPr>
              <w:spacing w:after="0"/>
              <w:jc w:val="center"/>
              <w:rPr>
                <w:color w:val="000000"/>
              </w:rPr>
            </w:pPr>
            <w:r>
              <w:rPr>
                <w:color w:val="000000"/>
              </w:rPr>
              <w:t>2631</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3DC4AD" w14:textId="77777777" w:rsidR="00B1357B" w:rsidRDefault="00B1357B" w:rsidP="00120680">
            <w:pPr>
              <w:spacing w:after="0"/>
              <w:rPr>
                <w:color w:val="000000"/>
              </w:rPr>
            </w:pPr>
            <w:r>
              <w:rPr>
                <w:color w:val="000000"/>
              </w:rPr>
              <w:t>Depression</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EE76F" w14:textId="77777777" w:rsidR="00B1357B" w:rsidRDefault="00B1357B" w:rsidP="00120680">
            <w:pPr>
              <w:spacing w:after="0"/>
              <w:jc w:val="center"/>
              <w:rPr>
                <w:color w:val="000000"/>
              </w:rPr>
            </w:pPr>
            <w:r>
              <w:rPr>
                <w:color w:val="000000"/>
              </w:rPr>
              <w:t>60</w:t>
            </w:r>
          </w:p>
        </w:tc>
      </w:tr>
      <w:tr w:rsidR="00B1357B" w14:paraId="067CE581"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4EB0328" w14:textId="77777777" w:rsidR="00B1357B" w:rsidRPr="00542598" w:rsidRDefault="00B1357B" w:rsidP="00120680">
            <w:pPr>
              <w:spacing w:after="0"/>
              <w:rPr>
                <w:b/>
                <w:color w:val="000000"/>
              </w:rPr>
            </w:pPr>
            <w:r w:rsidRPr="00542598">
              <w:rPr>
                <w:b/>
                <w:color w:val="000000"/>
              </w:rPr>
              <w:t>Malaise</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51CEC" w14:textId="77777777" w:rsidR="00B1357B" w:rsidRDefault="00B1357B" w:rsidP="00120680">
            <w:pPr>
              <w:spacing w:after="0"/>
              <w:jc w:val="center"/>
              <w:rPr>
                <w:color w:val="000000"/>
              </w:rPr>
            </w:pPr>
            <w:r>
              <w:rPr>
                <w:color w:val="000000"/>
              </w:rPr>
              <w:t>2414</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9392A1" w14:textId="77777777" w:rsidR="00B1357B" w:rsidRPr="00542598" w:rsidRDefault="00B1357B" w:rsidP="00120680">
            <w:pPr>
              <w:spacing w:after="0"/>
              <w:rPr>
                <w:b/>
                <w:color w:val="000000"/>
              </w:rPr>
            </w:pPr>
            <w:r w:rsidRPr="00542598">
              <w:rPr>
                <w:b/>
                <w:color w:val="000000"/>
              </w:rPr>
              <w:t>Vomiting</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6CFEF0" w14:textId="77777777" w:rsidR="00B1357B" w:rsidRDefault="00B1357B" w:rsidP="00120680">
            <w:pPr>
              <w:spacing w:after="0"/>
              <w:jc w:val="center"/>
              <w:rPr>
                <w:color w:val="000000"/>
              </w:rPr>
            </w:pPr>
            <w:r>
              <w:rPr>
                <w:color w:val="000000"/>
              </w:rPr>
              <w:t>53</w:t>
            </w:r>
          </w:p>
        </w:tc>
      </w:tr>
      <w:tr w:rsidR="00B1357B" w14:paraId="3B82759E"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7D2EB4" w14:textId="77777777" w:rsidR="00B1357B" w:rsidRPr="00542598" w:rsidRDefault="00B1357B" w:rsidP="00120680">
            <w:pPr>
              <w:spacing w:after="0"/>
              <w:rPr>
                <w:b/>
                <w:color w:val="000000"/>
              </w:rPr>
            </w:pPr>
            <w:r w:rsidRPr="00542598">
              <w:rPr>
                <w:b/>
                <w:color w:val="000000"/>
              </w:rPr>
              <w:t>Rash</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562A4" w14:textId="77777777" w:rsidR="00B1357B" w:rsidRDefault="00B1357B" w:rsidP="00120680">
            <w:pPr>
              <w:spacing w:after="0"/>
              <w:jc w:val="center"/>
              <w:rPr>
                <w:color w:val="000000"/>
              </w:rPr>
            </w:pPr>
            <w:r>
              <w:rPr>
                <w:color w:val="000000"/>
              </w:rPr>
              <w:t>2395</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5610B5" w14:textId="77777777" w:rsidR="00B1357B" w:rsidRPr="00542598" w:rsidRDefault="00B1357B" w:rsidP="00120680">
            <w:pPr>
              <w:spacing w:after="0"/>
              <w:rPr>
                <w:b/>
                <w:color w:val="000000"/>
              </w:rPr>
            </w:pPr>
            <w:r w:rsidRPr="00542598">
              <w:rPr>
                <w:b/>
                <w:color w:val="000000"/>
              </w:rPr>
              <w:t>Diarrhoea</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BE0F9" w14:textId="77777777" w:rsidR="00B1357B" w:rsidRDefault="00B1357B" w:rsidP="00120680">
            <w:pPr>
              <w:spacing w:after="0"/>
              <w:jc w:val="center"/>
              <w:rPr>
                <w:color w:val="000000"/>
              </w:rPr>
            </w:pPr>
            <w:r>
              <w:rPr>
                <w:color w:val="000000"/>
              </w:rPr>
              <w:t>52</w:t>
            </w:r>
          </w:p>
        </w:tc>
      </w:tr>
      <w:tr w:rsidR="00B1357B" w14:paraId="102DAB44"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6E6FAFA" w14:textId="77777777" w:rsidR="00B1357B" w:rsidRPr="00542598" w:rsidRDefault="00B1357B" w:rsidP="00120680">
            <w:pPr>
              <w:spacing w:after="0"/>
              <w:rPr>
                <w:b/>
                <w:color w:val="000000"/>
              </w:rPr>
            </w:pPr>
            <w:r w:rsidRPr="00542598">
              <w:rPr>
                <w:b/>
                <w:color w:val="000000"/>
              </w:rPr>
              <w:t>Pain in extremity</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714B9" w14:textId="77777777" w:rsidR="00B1357B" w:rsidRDefault="00B1357B" w:rsidP="00120680">
            <w:pPr>
              <w:spacing w:after="0"/>
              <w:jc w:val="center"/>
              <w:rPr>
                <w:color w:val="000000"/>
              </w:rPr>
            </w:pPr>
            <w:r>
              <w:rPr>
                <w:color w:val="000000"/>
              </w:rPr>
              <w:t>1655</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22D71E" w14:textId="77777777" w:rsidR="00B1357B" w:rsidRPr="00542598" w:rsidRDefault="00B1357B" w:rsidP="00120680">
            <w:pPr>
              <w:spacing w:after="0"/>
              <w:rPr>
                <w:b/>
                <w:color w:val="000000"/>
              </w:rPr>
            </w:pPr>
            <w:r w:rsidRPr="00542598">
              <w:rPr>
                <w:b/>
                <w:color w:val="000000"/>
              </w:rPr>
              <w:t>Malaise</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398E7" w14:textId="77777777" w:rsidR="00B1357B" w:rsidRDefault="00B1357B" w:rsidP="00120680">
            <w:pPr>
              <w:spacing w:after="0"/>
              <w:jc w:val="center"/>
              <w:rPr>
                <w:color w:val="000000"/>
              </w:rPr>
            </w:pPr>
            <w:r>
              <w:rPr>
                <w:color w:val="000000"/>
              </w:rPr>
              <w:t>47</w:t>
            </w:r>
          </w:p>
        </w:tc>
      </w:tr>
      <w:tr w:rsidR="00B1357B" w14:paraId="249E7539"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30FFEE8" w14:textId="77777777" w:rsidR="00B1357B" w:rsidRPr="00542598" w:rsidRDefault="00B1357B" w:rsidP="00120680">
            <w:pPr>
              <w:spacing w:after="0"/>
              <w:rPr>
                <w:b/>
                <w:color w:val="000000"/>
              </w:rPr>
            </w:pPr>
            <w:r w:rsidRPr="00542598">
              <w:rPr>
                <w:b/>
                <w:color w:val="000000"/>
              </w:rPr>
              <w:t>Erythema</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2F4C1" w14:textId="77777777" w:rsidR="00B1357B" w:rsidRDefault="00B1357B" w:rsidP="00120680">
            <w:pPr>
              <w:spacing w:after="0"/>
              <w:jc w:val="center"/>
              <w:rPr>
                <w:color w:val="000000"/>
              </w:rPr>
            </w:pPr>
            <w:r>
              <w:rPr>
                <w:color w:val="000000"/>
              </w:rPr>
              <w:t>1595</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646E3A" w14:textId="77777777" w:rsidR="00B1357B" w:rsidRDefault="00B1357B" w:rsidP="00120680">
            <w:pPr>
              <w:spacing w:after="0"/>
              <w:rPr>
                <w:color w:val="000000"/>
              </w:rPr>
            </w:pPr>
            <w:r>
              <w:rPr>
                <w:color w:val="000000"/>
              </w:rPr>
              <w:t>Abdominal pain upper</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E55FF1" w14:textId="77777777" w:rsidR="00B1357B" w:rsidRDefault="00B1357B" w:rsidP="00120680">
            <w:pPr>
              <w:spacing w:after="0"/>
              <w:jc w:val="center"/>
              <w:rPr>
                <w:color w:val="000000"/>
              </w:rPr>
            </w:pPr>
            <w:r>
              <w:rPr>
                <w:color w:val="000000"/>
              </w:rPr>
              <w:t>42</w:t>
            </w:r>
          </w:p>
        </w:tc>
      </w:tr>
      <w:tr w:rsidR="00B1357B" w14:paraId="365CAB0A"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E03C8EC" w14:textId="77777777" w:rsidR="00B1357B" w:rsidRPr="00542598" w:rsidRDefault="00B1357B" w:rsidP="00120680">
            <w:pPr>
              <w:spacing w:after="0"/>
              <w:rPr>
                <w:b/>
                <w:color w:val="000000"/>
              </w:rPr>
            </w:pPr>
            <w:r w:rsidRPr="00542598">
              <w:rPr>
                <w:b/>
                <w:color w:val="000000"/>
              </w:rPr>
              <w:t>Fatigue</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3FEEF0" w14:textId="77777777" w:rsidR="00B1357B" w:rsidRDefault="00B1357B" w:rsidP="00120680">
            <w:pPr>
              <w:spacing w:after="0"/>
              <w:jc w:val="center"/>
              <w:rPr>
                <w:color w:val="000000"/>
              </w:rPr>
            </w:pPr>
            <w:r>
              <w:rPr>
                <w:color w:val="000000"/>
              </w:rPr>
              <w:t>1396</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9BE2191" w14:textId="77777777" w:rsidR="00B1357B" w:rsidRPr="00542598" w:rsidRDefault="00B1357B" w:rsidP="00120680">
            <w:pPr>
              <w:spacing w:after="0"/>
              <w:rPr>
                <w:b/>
                <w:color w:val="000000"/>
              </w:rPr>
            </w:pPr>
            <w:r w:rsidRPr="00542598">
              <w:rPr>
                <w:b/>
                <w:color w:val="000000"/>
              </w:rPr>
              <w:t>Pyrexia</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1A69E0" w14:textId="77777777" w:rsidR="00B1357B" w:rsidRDefault="00B1357B" w:rsidP="00120680">
            <w:pPr>
              <w:spacing w:after="0"/>
              <w:jc w:val="center"/>
              <w:rPr>
                <w:color w:val="000000"/>
              </w:rPr>
            </w:pPr>
            <w:r>
              <w:rPr>
                <w:color w:val="000000"/>
              </w:rPr>
              <w:t>34</w:t>
            </w:r>
          </w:p>
        </w:tc>
      </w:tr>
      <w:tr w:rsidR="00B1357B" w14:paraId="66596C6D"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C1A715B" w14:textId="77777777" w:rsidR="00B1357B" w:rsidRDefault="00B1357B" w:rsidP="00120680">
            <w:pPr>
              <w:spacing w:after="0"/>
              <w:rPr>
                <w:color w:val="000000"/>
              </w:rPr>
            </w:pPr>
            <w:r>
              <w:rPr>
                <w:color w:val="000000"/>
              </w:rPr>
              <w:t>Syncope</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B77EA" w14:textId="77777777" w:rsidR="00B1357B" w:rsidRDefault="00B1357B" w:rsidP="00120680">
            <w:pPr>
              <w:spacing w:after="0"/>
              <w:jc w:val="center"/>
              <w:rPr>
                <w:color w:val="000000"/>
              </w:rPr>
            </w:pPr>
            <w:r>
              <w:rPr>
                <w:color w:val="000000"/>
              </w:rPr>
              <w:t>1357</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4B42D44" w14:textId="77777777" w:rsidR="00B1357B" w:rsidRPr="00542598" w:rsidRDefault="00B1357B" w:rsidP="00120680">
            <w:pPr>
              <w:spacing w:after="0"/>
              <w:rPr>
                <w:b/>
                <w:color w:val="000000"/>
              </w:rPr>
            </w:pPr>
            <w:r w:rsidRPr="00542598">
              <w:rPr>
                <w:b/>
                <w:color w:val="000000"/>
              </w:rPr>
              <w:t>Pruritus</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95AB3" w14:textId="77777777" w:rsidR="00B1357B" w:rsidRDefault="00B1357B" w:rsidP="00120680">
            <w:pPr>
              <w:spacing w:after="0"/>
              <w:jc w:val="center"/>
              <w:rPr>
                <w:color w:val="000000"/>
              </w:rPr>
            </w:pPr>
            <w:r>
              <w:rPr>
                <w:color w:val="000000"/>
              </w:rPr>
              <w:t>33</w:t>
            </w:r>
          </w:p>
        </w:tc>
      </w:tr>
      <w:tr w:rsidR="00B1357B" w14:paraId="48F51E98"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FA184EA" w14:textId="77777777" w:rsidR="00B1357B" w:rsidRPr="00542598" w:rsidRDefault="00B1357B" w:rsidP="00120680">
            <w:pPr>
              <w:spacing w:after="0"/>
              <w:rPr>
                <w:b/>
                <w:color w:val="000000"/>
              </w:rPr>
            </w:pPr>
            <w:r w:rsidRPr="00542598">
              <w:rPr>
                <w:b/>
                <w:color w:val="000000"/>
              </w:rPr>
              <w:t>Diarrhoea</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4CD64" w14:textId="77777777" w:rsidR="00B1357B" w:rsidRDefault="00B1357B" w:rsidP="00120680">
            <w:pPr>
              <w:spacing w:after="0"/>
              <w:jc w:val="center"/>
              <w:rPr>
                <w:color w:val="000000"/>
              </w:rPr>
            </w:pPr>
            <w:r>
              <w:rPr>
                <w:color w:val="000000"/>
              </w:rPr>
              <w:t>1283</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F83AA4" w14:textId="77777777" w:rsidR="00B1357B" w:rsidRDefault="00B1357B" w:rsidP="00120680">
            <w:pPr>
              <w:spacing w:after="0"/>
              <w:rPr>
                <w:color w:val="000000"/>
              </w:rPr>
            </w:pPr>
            <w:r>
              <w:rPr>
                <w:color w:val="000000"/>
              </w:rPr>
              <w:t>Dyspnoea</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EE59BA" w14:textId="77777777" w:rsidR="00B1357B" w:rsidRDefault="00B1357B" w:rsidP="00120680">
            <w:pPr>
              <w:spacing w:after="0"/>
              <w:jc w:val="center"/>
              <w:rPr>
                <w:color w:val="000000"/>
              </w:rPr>
            </w:pPr>
            <w:r>
              <w:rPr>
                <w:color w:val="000000"/>
              </w:rPr>
              <w:t>32</w:t>
            </w:r>
          </w:p>
        </w:tc>
      </w:tr>
      <w:tr w:rsidR="00B1357B" w14:paraId="4CA38727"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EA387F4" w14:textId="77777777" w:rsidR="00B1357B" w:rsidRDefault="00B1357B" w:rsidP="00120680">
            <w:pPr>
              <w:spacing w:after="0"/>
              <w:rPr>
                <w:color w:val="000000"/>
              </w:rPr>
            </w:pPr>
            <w:r>
              <w:rPr>
                <w:color w:val="000000"/>
              </w:rPr>
              <w:t>Urticaria</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39A91" w14:textId="77777777" w:rsidR="00B1357B" w:rsidRDefault="00B1357B" w:rsidP="00120680">
            <w:pPr>
              <w:spacing w:after="0"/>
              <w:jc w:val="center"/>
              <w:rPr>
                <w:color w:val="000000"/>
              </w:rPr>
            </w:pPr>
            <w:r>
              <w:rPr>
                <w:color w:val="000000"/>
              </w:rPr>
              <w:t>1218</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6DA17D" w14:textId="77777777" w:rsidR="00B1357B" w:rsidRDefault="00B1357B" w:rsidP="00120680">
            <w:pPr>
              <w:spacing w:after="0"/>
              <w:rPr>
                <w:color w:val="000000"/>
              </w:rPr>
            </w:pPr>
            <w:r>
              <w:rPr>
                <w:color w:val="000000"/>
              </w:rPr>
              <w:t>Anxiety</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D91911" w14:textId="77777777" w:rsidR="00B1357B" w:rsidRDefault="00B1357B" w:rsidP="00120680">
            <w:pPr>
              <w:spacing w:after="0"/>
              <w:jc w:val="center"/>
              <w:rPr>
                <w:color w:val="000000"/>
              </w:rPr>
            </w:pPr>
            <w:r>
              <w:rPr>
                <w:color w:val="000000"/>
              </w:rPr>
              <w:t>31</w:t>
            </w:r>
          </w:p>
        </w:tc>
      </w:tr>
      <w:tr w:rsidR="00B1357B" w14:paraId="507A1E8D"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884C52D" w14:textId="77777777" w:rsidR="00B1357B" w:rsidRDefault="00B1357B" w:rsidP="00120680">
            <w:pPr>
              <w:spacing w:after="0"/>
              <w:rPr>
                <w:color w:val="000000"/>
              </w:rPr>
            </w:pPr>
            <w:r>
              <w:rPr>
                <w:color w:val="000000"/>
              </w:rPr>
              <w:t>Pallor</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D194D" w14:textId="77777777" w:rsidR="00B1357B" w:rsidRDefault="00B1357B" w:rsidP="00120680">
            <w:pPr>
              <w:spacing w:after="0"/>
              <w:jc w:val="center"/>
              <w:rPr>
                <w:color w:val="000000"/>
              </w:rPr>
            </w:pPr>
            <w:r>
              <w:rPr>
                <w:color w:val="000000"/>
              </w:rPr>
              <w:t>989</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8108387" w14:textId="77777777" w:rsidR="00B1357B" w:rsidRPr="00542598" w:rsidRDefault="00B1357B" w:rsidP="00120680">
            <w:pPr>
              <w:spacing w:after="0"/>
              <w:rPr>
                <w:b/>
                <w:color w:val="000000"/>
              </w:rPr>
            </w:pPr>
            <w:r w:rsidRPr="00542598">
              <w:rPr>
                <w:b/>
                <w:color w:val="000000"/>
              </w:rPr>
              <w:t>Erythema</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2A2BD" w14:textId="77777777" w:rsidR="00B1357B" w:rsidRDefault="00B1357B" w:rsidP="00120680">
            <w:pPr>
              <w:spacing w:after="0"/>
              <w:jc w:val="center"/>
              <w:rPr>
                <w:color w:val="000000"/>
              </w:rPr>
            </w:pPr>
            <w:r>
              <w:rPr>
                <w:color w:val="000000"/>
              </w:rPr>
              <w:t>31</w:t>
            </w:r>
          </w:p>
        </w:tc>
      </w:tr>
      <w:tr w:rsidR="00B1357B" w14:paraId="0AE0B242"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7F2E4A8" w14:textId="77777777" w:rsidR="00B1357B" w:rsidRDefault="00B1357B" w:rsidP="00120680">
            <w:pPr>
              <w:spacing w:after="0"/>
              <w:rPr>
                <w:color w:val="000000"/>
              </w:rPr>
            </w:pPr>
            <w:r>
              <w:rPr>
                <w:color w:val="000000"/>
              </w:rPr>
              <w:t>Peripheral swelling</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3AEE47" w14:textId="77777777" w:rsidR="00B1357B" w:rsidRDefault="00B1357B" w:rsidP="00120680">
            <w:pPr>
              <w:spacing w:after="0"/>
              <w:jc w:val="center"/>
              <w:rPr>
                <w:color w:val="000000"/>
              </w:rPr>
            </w:pPr>
            <w:r>
              <w:rPr>
                <w:color w:val="000000"/>
              </w:rPr>
              <w:t>945</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D3ED57" w14:textId="77777777" w:rsidR="00B1357B" w:rsidRPr="00542598" w:rsidRDefault="00B1357B" w:rsidP="00120680">
            <w:pPr>
              <w:spacing w:after="0"/>
              <w:rPr>
                <w:b/>
                <w:color w:val="000000"/>
              </w:rPr>
            </w:pPr>
            <w:r w:rsidRPr="00542598">
              <w:rPr>
                <w:b/>
                <w:color w:val="000000"/>
              </w:rPr>
              <w:t>Abdominal pain</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4EA63" w14:textId="77777777" w:rsidR="00B1357B" w:rsidRDefault="00B1357B" w:rsidP="00120680">
            <w:pPr>
              <w:spacing w:after="0"/>
              <w:jc w:val="center"/>
              <w:rPr>
                <w:color w:val="000000"/>
              </w:rPr>
            </w:pPr>
            <w:r>
              <w:rPr>
                <w:color w:val="000000"/>
              </w:rPr>
              <w:t>28</w:t>
            </w:r>
          </w:p>
        </w:tc>
      </w:tr>
      <w:tr w:rsidR="00B1357B" w14:paraId="4C5D6A27"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9233CBB" w14:textId="77777777" w:rsidR="00B1357B" w:rsidRDefault="00B1357B" w:rsidP="00120680">
            <w:pPr>
              <w:spacing w:after="0"/>
              <w:rPr>
                <w:color w:val="000000"/>
              </w:rPr>
            </w:pPr>
            <w:r>
              <w:rPr>
                <w:color w:val="000000"/>
              </w:rPr>
              <w:t>Foetal exposure during pregnancy</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DB8F7" w14:textId="77777777" w:rsidR="00B1357B" w:rsidRDefault="00B1357B" w:rsidP="00120680">
            <w:pPr>
              <w:spacing w:after="0"/>
              <w:jc w:val="center"/>
              <w:rPr>
                <w:color w:val="000000"/>
              </w:rPr>
            </w:pPr>
            <w:r>
              <w:rPr>
                <w:color w:val="000000"/>
              </w:rPr>
              <w:t>854</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0D85D7" w14:textId="77777777" w:rsidR="00B1357B" w:rsidRPr="00542598" w:rsidRDefault="00B1357B" w:rsidP="00120680">
            <w:pPr>
              <w:spacing w:after="0"/>
              <w:rPr>
                <w:b/>
                <w:color w:val="000000"/>
              </w:rPr>
            </w:pPr>
            <w:r w:rsidRPr="00542598">
              <w:rPr>
                <w:b/>
                <w:color w:val="000000"/>
              </w:rPr>
              <w:t>Decreased appetite</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D46618" w14:textId="77777777" w:rsidR="00B1357B" w:rsidRDefault="00B1357B" w:rsidP="00120680">
            <w:pPr>
              <w:spacing w:after="0"/>
              <w:jc w:val="center"/>
              <w:rPr>
                <w:color w:val="000000"/>
              </w:rPr>
            </w:pPr>
            <w:r>
              <w:rPr>
                <w:color w:val="000000"/>
              </w:rPr>
              <w:t>28</w:t>
            </w:r>
          </w:p>
        </w:tc>
      </w:tr>
      <w:tr w:rsidR="00B1357B" w14:paraId="4F9B069D"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6BE464B" w14:textId="77777777" w:rsidR="00B1357B" w:rsidRPr="00542598" w:rsidRDefault="00B1357B" w:rsidP="00120680">
            <w:pPr>
              <w:spacing w:after="0"/>
              <w:rPr>
                <w:b/>
                <w:color w:val="000000"/>
              </w:rPr>
            </w:pPr>
            <w:r w:rsidRPr="00542598">
              <w:rPr>
                <w:b/>
                <w:color w:val="000000"/>
              </w:rPr>
              <w:t>Decreased appetite</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9B79D9" w14:textId="77777777" w:rsidR="00B1357B" w:rsidRDefault="00B1357B" w:rsidP="00120680">
            <w:pPr>
              <w:spacing w:after="0"/>
              <w:jc w:val="center"/>
              <w:rPr>
                <w:color w:val="000000"/>
              </w:rPr>
            </w:pPr>
            <w:r>
              <w:rPr>
                <w:color w:val="000000"/>
              </w:rPr>
              <w:t>830</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9E4210" w14:textId="77777777" w:rsidR="00B1357B" w:rsidRPr="00542598" w:rsidRDefault="00B1357B" w:rsidP="00120680">
            <w:pPr>
              <w:spacing w:after="0"/>
              <w:rPr>
                <w:b/>
                <w:color w:val="000000"/>
              </w:rPr>
            </w:pPr>
            <w:r w:rsidRPr="00542598">
              <w:rPr>
                <w:b/>
                <w:color w:val="000000"/>
              </w:rPr>
              <w:t>Pain in extremity</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593D8C" w14:textId="77777777" w:rsidR="00B1357B" w:rsidRDefault="00B1357B" w:rsidP="00120680">
            <w:pPr>
              <w:spacing w:after="0"/>
              <w:jc w:val="center"/>
              <w:rPr>
                <w:color w:val="000000"/>
              </w:rPr>
            </w:pPr>
            <w:r>
              <w:rPr>
                <w:color w:val="000000"/>
              </w:rPr>
              <w:t>26</w:t>
            </w:r>
          </w:p>
        </w:tc>
      </w:tr>
      <w:tr w:rsidR="00B1357B" w14:paraId="6C5B6196"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9599E50" w14:textId="77777777" w:rsidR="00B1357B" w:rsidRPr="00542598" w:rsidRDefault="00B1357B" w:rsidP="00120680">
            <w:pPr>
              <w:spacing w:after="0"/>
              <w:rPr>
                <w:b/>
                <w:color w:val="000000"/>
              </w:rPr>
            </w:pPr>
            <w:r w:rsidRPr="00542598">
              <w:rPr>
                <w:b/>
                <w:color w:val="000000"/>
              </w:rPr>
              <w:t>Pruritus</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B1E68" w14:textId="77777777" w:rsidR="00B1357B" w:rsidRDefault="00B1357B" w:rsidP="00120680">
            <w:pPr>
              <w:spacing w:after="0"/>
              <w:jc w:val="center"/>
              <w:rPr>
                <w:color w:val="000000"/>
              </w:rPr>
            </w:pPr>
            <w:r>
              <w:rPr>
                <w:color w:val="000000"/>
              </w:rPr>
              <w:t>809</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16A503B" w14:textId="77777777" w:rsidR="00B1357B" w:rsidRDefault="00B1357B" w:rsidP="00120680">
            <w:pPr>
              <w:spacing w:after="0"/>
              <w:rPr>
                <w:color w:val="000000"/>
              </w:rPr>
            </w:pPr>
            <w:r>
              <w:rPr>
                <w:color w:val="000000"/>
              </w:rPr>
              <w:t>Myalgia</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948FBE" w14:textId="77777777" w:rsidR="00B1357B" w:rsidRDefault="00B1357B" w:rsidP="00120680">
            <w:pPr>
              <w:spacing w:after="0"/>
              <w:jc w:val="center"/>
              <w:rPr>
                <w:color w:val="000000"/>
              </w:rPr>
            </w:pPr>
            <w:r>
              <w:rPr>
                <w:color w:val="000000"/>
              </w:rPr>
              <w:t>26</w:t>
            </w:r>
          </w:p>
        </w:tc>
      </w:tr>
      <w:tr w:rsidR="00B1357B" w14:paraId="6B99A9A4"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8BB9C93" w14:textId="77777777" w:rsidR="00B1357B" w:rsidRPr="00542598" w:rsidRDefault="00B1357B" w:rsidP="00120680">
            <w:pPr>
              <w:spacing w:after="0"/>
              <w:rPr>
                <w:b/>
                <w:color w:val="000000"/>
              </w:rPr>
            </w:pPr>
            <w:r w:rsidRPr="00542598">
              <w:rPr>
                <w:b/>
                <w:color w:val="000000"/>
              </w:rPr>
              <w:t>Pain</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2683B" w14:textId="77777777" w:rsidR="00B1357B" w:rsidRDefault="00B1357B" w:rsidP="00120680">
            <w:pPr>
              <w:spacing w:after="0"/>
              <w:jc w:val="center"/>
              <w:rPr>
                <w:color w:val="000000"/>
              </w:rPr>
            </w:pPr>
            <w:r>
              <w:rPr>
                <w:color w:val="000000"/>
              </w:rPr>
              <w:t>793</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155515" w14:textId="77777777" w:rsidR="00B1357B" w:rsidRDefault="00B1357B" w:rsidP="00120680">
            <w:pPr>
              <w:spacing w:after="0"/>
              <w:rPr>
                <w:color w:val="000000"/>
              </w:rPr>
            </w:pPr>
            <w:r>
              <w:rPr>
                <w:color w:val="000000"/>
              </w:rPr>
              <w:t>Vaginal haemorrhage</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6DE291" w14:textId="77777777" w:rsidR="00B1357B" w:rsidRDefault="00B1357B" w:rsidP="00120680">
            <w:pPr>
              <w:spacing w:after="0"/>
              <w:jc w:val="center"/>
              <w:rPr>
                <w:color w:val="000000"/>
              </w:rPr>
            </w:pPr>
            <w:r>
              <w:rPr>
                <w:color w:val="000000"/>
              </w:rPr>
              <w:t>26</w:t>
            </w:r>
          </w:p>
        </w:tc>
      </w:tr>
      <w:tr w:rsidR="00B1357B" w14:paraId="1B9204A5"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10DF809" w14:textId="77777777" w:rsidR="00B1357B" w:rsidRDefault="00B1357B" w:rsidP="00120680">
            <w:pPr>
              <w:spacing w:after="0"/>
              <w:rPr>
                <w:color w:val="000000"/>
              </w:rPr>
            </w:pPr>
            <w:r>
              <w:rPr>
                <w:color w:val="000000"/>
              </w:rPr>
              <w:t>Seizure</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123B3" w14:textId="77777777" w:rsidR="00B1357B" w:rsidRDefault="00B1357B" w:rsidP="00120680">
            <w:pPr>
              <w:spacing w:after="0"/>
              <w:jc w:val="center"/>
              <w:rPr>
                <w:color w:val="000000"/>
              </w:rPr>
            </w:pPr>
            <w:r>
              <w:rPr>
                <w:color w:val="000000"/>
              </w:rPr>
              <w:t>770</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F346DF" w14:textId="77777777" w:rsidR="00B1357B" w:rsidRDefault="00B1357B" w:rsidP="00120680">
            <w:pPr>
              <w:spacing w:after="0"/>
              <w:rPr>
                <w:color w:val="000000"/>
              </w:rPr>
            </w:pPr>
            <w:r>
              <w:rPr>
                <w:color w:val="000000"/>
              </w:rPr>
              <w:t>Suicidal ideation</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2AADE" w14:textId="77777777" w:rsidR="00B1357B" w:rsidRDefault="00B1357B" w:rsidP="00120680">
            <w:pPr>
              <w:spacing w:after="0"/>
              <w:jc w:val="center"/>
              <w:rPr>
                <w:color w:val="000000"/>
              </w:rPr>
            </w:pPr>
            <w:r>
              <w:rPr>
                <w:color w:val="000000"/>
              </w:rPr>
              <w:t>26</w:t>
            </w:r>
          </w:p>
        </w:tc>
      </w:tr>
      <w:tr w:rsidR="00B1357B" w14:paraId="4E4AFAA4"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BC8DEB8" w14:textId="77777777" w:rsidR="00B1357B" w:rsidRDefault="00B1357B" w:rsidP="00120680">
            <w:pPr>
              <w:spacing w:after="0"/>
              <w:rPr>
                <w:color w:val="000000"/>
              </w:rPr>
            </w:pPr>
            <w:r>
              <w:rPr>
                <w:color w:val="000000"/>
              </w:rPr>
              <w:t>Dyspnoea</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51C32" w14:textId="77777777" w:rsidR="00B1357B" w:rsidRDefault="00B1357B" w:rsidP="00120680">
            <w:pPr>
              <w:spacing w:after="0"/>
              <w:jc w:val="center"/>
              <w:rPr>
                <w:color w:val="000000"/>
              </w:rPr>
            </w:pPr>
            <w:r>
              <w:rPr>
                <w:color w:val="000000"/>
              </w:rPr>
              <w:t>767</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E7A4D2" w14:textId="77777777" w:rsidR="00B1357B" w:rsidRPr="00542598" w:rsidRDefault="00B1357B" w:rsidP="00120680">
            <w:pPr>
              <w:spacing w:after="0"/>
              <w:rPr>
                <w:b/>
                <w:color w:val="000000"/>
              </w:rPr>
            </w:pPr>
            <w:r w:rsidRPr="00542598">
              <w:rPr>
                <w:b/>
                <w:color w:val="000000"/>
              </w:rPr>
              <w:t>Somnolence</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AAF378" w14:textId="77777777" w:rsidR="00B1357B" w:rsidRDefault="00B1357B" w:rsidP="00120680">
            <w:pPr>
              <w:spacing w:after="0"/>
              <w:jc w:val="center"/>
              <w:rPr>
                <w:color w:val="000000"/>
              </w:rPr>
            </w:pPr>
            <w:r>
              <w:rPr>
                <w:color w:val="000000"/>
              </w:rPr>
              <w:t>26</w:t>
            </w:r>
          </w:p>
        </w:tc>
      </w:tr>
      <w:tr w:rsidR="00B1357B" w14:paraId="7810ECF5"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D7E3A53" w14:textId="77777777" w:rsidR="00B1357B" w:rsidRPr="00542598" w:rsidRDefault="00B1357B" w:rsidP="00120680">
            <w:pPr>
              <w:spacing w:after="0"/>
              <w:rPr>
                <w:b/>
                <w:color w:val="000000"/>
              </w:rPr>
            </w:pPr>
            <w:r w:rsidRPr="00542598">
              <w:rPr>
                <w:b/>
                <w:color w:val="000000"/>
              </w:rPr>
              <w:t>Abdominal pain</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04656" w14:textId="77777777" w:rsidR="00B1357B" w:rsidRDefault="00B1357B" w:rsidP="00120680">
            <w:pPr>
              <w:spacing w:after="0"/>
              <w:jc w:val="center"/>
              <w:rPr>
                <w:color w:val="000000"/>
              </w:rPr>
            </w:pPr>
            <w:r>
              <w:rPr>
                <w:color w:val="000000"/>
              </w:rPr>
              <w:t>741</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E73652" w14:textId="77777777" w:rsidR="00B1357B" w:rsidRPr="00542598" w:rsidRDefault="00B1357B" w:rsidP="00120680">
            <w:pPr>
              <w:spacing w:after="0"/>
              <w:rPr>
                <w:b/>
                <w:color w:val="000000"/>
              </w:rPr>
            </w:pPr>
            <w:r w:rsidRPr="00542598">
              <w:rPr>
                <w:b/>
                <w:color w:val="000000"/>
              </w:rPr>
              <w:t>Pain</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BC2E7" w14:textId="77777777" w:rsidR="00B1357B" w:rsidRDefault="00B1357B" w:rsidP="00120680">
            <w:pPr>
              <w:spacing w:after="0"/>
              <w:jc w:val="center"/>
              <w:rPr>
                <w:color w:val="000000"/>
              </w:rPr>
            </w:pPr>
            <w:r>
              <w:rPr>
                <w:color w:val="000000"/>
              </w:rPr>
              <w:t>25</w:t>
            </w:r>
          </w:p>
        </w:tc>
      </w:tr>
      <w:tr w:rsidR="00B1357B" w14:paraId="777A2412"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5F796D" w14:textId="77777777" w:rsidR="00B1357B" w:rsidRPr="00542598" w:rsidRDefault="00B1357B" w:rsidP="00120680">
            <w:pPr>
              <w:spacing w:after="0"/>
              <w:rPr>
                <w:b/>
                <w:color w:val="000000"/>
              </w:rPr>
            </w:pPr>
            <w:r w:rsidRPr="00542598">
              <w:rPr>
                <w:b/>
                <w:color w:val="000000"/>
              </w:rPr>
              <w:t>Somnolence</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C21F58" w14:textId="77777777" w:rsidR="00B1357B" w:rsidRDefault="00B1357B" w:rsidP="00120680">
            <w:pPr>
              <w:spacing w:after="0"/>
              <w:jc w:val="center"/>
              <w:rPr>
                <w:color w:val="000000"/>
              </w:rPr>
            </w:pPr>
            <w:r>
              <w:rPr>
                <w:color w:val="000000"/>
              </w:rPr>
              <w:t>723</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393727" w14:textId="77777777" w:rsidR="00B1357B" w:rsidRDefault="00B1357B" w:rsidP="00120680">
            <w:pPr>
              <w:spacing w:after="0"/>
              <w:rPr>
                <w:color w:val="000000"/>
              </w:rPr>
            </w:pPr>
            <w:r>
              <w:rPr>
                <w:color w:val="000000"/>
              </w:rPr>
              <w:t>Arthralgia</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5B83E" w14:textId="77777777" w:rsidR="00B1357B" w:rsidRDefault="00B1357B" w:rsidP="00120680">
            <w:pPr>
              <w:spacing w:after="0"/>
              <w:jc w:val="center"/>
              <w:rPr>
                <w:color w:val="000000"/>
              </w:rPr>
            </w:pPr>
            <w:r>
              <w:rPr>
                <w:color w:val="000000"/>
              </w:rPr>
              <w:t>24</w:t>
            </w:r>
          </w:p>
        </w:tc>
      </w:tr>
      <w:tr w:rsidR="00B1357B" w14:paraId="20788F17"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3C6C8FE" w14:textId="77777777" w:rsidR="00B1357B" w:rsidRDefault="00B1357B" w:rsidP="00120680">
            <w:pPr>
              <w:spacing w:after="0"/>
              <w:rPr>
                <w:color w:val="000000"/>
              </w:rPr>
            </w:pPr>
            <w:r>
              <w:rPr>
                <w:color w:val="000000"/>
              </w:rPr>
              <w:t>Lethargy</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1974E5" w14:textId="77777777" w:rsidR="00B1357B" w:rsidRDefault="00B1357B" w:rsidP="00120680">
            <w:pPr>
              <w:spacing w:after="0"/>
              <w:jc w:val="center"/>
              <w:rPr>
                <w:color w:val="000000"/>
              </w:rPr>
            </w:pPr>
            <w:r>
              <w:rPr>
                <w:color w:val="000000"/>
              </w:rPr>
              <w:t>702</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A626A6" w14:textId="77777777" w:rsidR="00B1357B" w:rsidRDefault="00B1357B" w:rsidP="00120680">
            <w:pPr>
              <w:spacing w:after="0"/>
              <w:rPr>
                <w:color w:val="000000"/>
              </w:rPr>
            </w:pPr>
            <w:r>
              <w:rPr>
                <w:color w:val="000000"/>
              </w:rPr>
              <w:t>Dry skin</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55D49" w14:textId="77777777" w:rsidR="00B1357B" w:rsidRDefault="00B1357B" w:rsidP="00120680">
            <w:pPr>
              <w:spacing w:after="0"/>
              <w:jc w:val="center"/>
              <w:rPr>
                <w:color w:val="000000"/>
              </w:rPr>
            </w:pPr>
            <w:r>
              <w:rPr>
                <w:color w:val="000000"/>
              </w:rPr>
              <w:t>23</w:t>
            </w:r>
          </w:p>
        </w:tc>
      </w:tr>
      <w:tr w:rsidR="00B1357B" w14:paraId="5EF70B82" w14:textId="77777777" w:rsidTr="00120680">
        <w:tc>
          <w:tcPr>
            <w:tcW w:w="2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C162977" w14:textId="77777777" w:rsidR="00B1357B" w:rsidRDefault="00B1357B" w:rsidP="00120680">
            <w:pPr>
              <w:spacing w:after="0"/>
              <w:rPr>
                <w:color w:val="000000"/>
              </w:rPr>
            </w:pPr>
            <w:r>
              <w:rPr>
                <w:color w:val="000000"/>
              </w:rPr>
              <w:t>Hypersensitivity</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419858" w14:textId="77777777" w:rsidR="00B1357B" w:rsidRDefault="00B1357B" w:rsidP="00120680">
            <w:pPr>
              <w:spacing w:after="0"/>
              <w:jc w:val="center"/>
              <w:rPr>
                <w:color w:val="000000"/>
              </w:rPr>
            </w:pPr>
            <w:r>
              <w:rPr>
                <w:color w:val="000000"/>
              </w:rPr>
              <w:t>659</w:t>
            </w:r>
          </w:p>
        </w:tc>
        <w:tc>
          <w:tcPr>
            <w:tcW w:w="2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7E20D7" w14:textId="77777777" w:rsidR="00B1357B" w:rsidRPr="00542598" w:rsidRDefault="00B1357B" w:rsidP="00120680">
            <w:pPr>
              <w:spacing w:after="0"/>
              <w:rPr>
                <w:b/>
                <w:color w:val="000000"/>
              </w:rPr>
            </w:pPr>
            <w:r w:rsidRPr="00542598">
              <w:rPr>
                <w:b/>
                <w:color w:val="000000"/>
              </w:rPr>
              <w:t>Rash</w:t>
            </w:r>
          </w:p>
        </w:tc>
        <w:tc>
          <w:tcPr>
            <w:tcW w:w="1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EACC6" w14:textId="77777777" w:rsidR="00B1357B" w:rsidRDefault="00B1357B" w:rsidP="00120680">
            <w:pPr>
              <w:spacing w:after="0"/>
              <w:jc w:val="center"/>
              <w:rPr>
                <w:color w:val="000000"/>
              </w:rPr>
            </w:pPr>
            <w:r>
              <w:rPr>
                <w:color w:val="000000"/>
              </w:rPr>
              <w:t>22</w:t>
            </w:r>
          </w:p>
        </w:tc>
      </w:tr>
    </w:tbl>
    <w:p w14:paraId="68C1ED1C" w14:textId="77777777" w:rsidR="00B1357B" w:rsidRPr="00B1357B" w:rsidRDefault="00B1357B" w:rsidP="00B1357B"/>
    <w:p w14:paraId="698CB853" w14:textId="6A1230C1" w:rsidR="00071AEE" w:rsidRDefault="00120680">
      <w:pPr>
        <w:rPr>
          <w:rFonts w:cstheme="minorHAnsi"/>
          <w:sz w:val="24"/>
          <w:szCs w:val="24"/>
        </w:rPr>
      </w:pPr>
      <w:r>
        <w:rPr>
          <w:rFonts w:cstheme="minorHAnsi"/>
          <w:sz w:val="24"/>
          <w:szCs w:val="24"/>
        </w:rPr>
        <w:t>Table 3</w:t>
      </w:r>
      <w:proofErr w:type="gramStart"/>
      <w:r>
        <w:rPr>
          <w:rFonts w:cstheme="minorHAnsi"/>
          <w:sz w:val="24"/>
          <w:szCs w:val="24"/>
        </w:rPr>
        <w:t>:</w:t>
      </w:r>
      <w:r w:rsidRPr="00120680">
        <w:rPr>
          <w:rFonts w:cstheme="minorHAnsi"/>
          <w:sz w:val="24"/>
          <w:szCs w:val="24"/>
        </w:rPr>
        <w:t xml:space="preserve"> </w:t>
      </w:r>
      <w:r>
        <w:rPr>
          <w:rFonts w:cstheme="minorHAnsi"/>
          <w:sz w:val="24"/>
          <w:szCs w:val="24"/>
        </w:rPr>
        <w:t>:</w:t>
      </w:r>
      <w:proofErr w:type="gramEnd"/>
      <w:r>
        <w:rPr>
          <w:rFonts w:cstheme="minorHAnsi"/>
          <w:sz w:val="24"/>
          <w:szCs w:val="24"/>
        </w:rPr>
        <w:t xml:space="preserve"> Comparison of the 25 most reported reactions between patients &lt;19 years of age, and reporters age &lt;19 years of age. </w:t>
      </w:r>
      <w:r w:rsidRPr="00DC45A6">
        <w:rPr>
          <w:rFonts w:cstheme="minorHAnsi"/>
          <w:b/>
          <w:sz w:val="24"/>
          <w:szCs w:val="24"/>
        </w:rPr>
        <w:t>Bold</w:t>
      </w:r>
      <w:r>
        <w:rPr>
          <w:rFonts w:cstheme="minorHAnsi"/>
          <w:sz w:val="24"/>
          <w:szCs w:val="24"/>
        </w:rPr>
        <w:t xml:space="preserve">: present in both columns. </w:t>
      </w:r>
    </w:p>
    <w:p w14:paraId="688FAD90" w14:textId="77777777" w:rsidR="00542598" w:rsidRDefault="00542598">
      <w:pPr>
        <w:rPr>
          <w:rFonts w:cstheme="minorHAnsi"/>
          <w:sz w:val="24"/>
          <w:szCs w:val="24"/>
        </w:rPr>
      </w:pPr>
    </w:p>
    <w:p w14:paraId="717B681D" w14:textId="77777777" w:rsidR="00542598" w:rsidRDefault="00542598">
      <w:pPr>
        <w:rPr>
          <w:rFonts w:asciiTheme="majorHAnsi" w:eastAsiaTheme="majorEastAsia" w:hAnsiTheme="majorHAnsi" w:cstheme="majorBidi"/>
          <w:color w:val="2E74B5" w:themeColor="accent1" w:themeShade="BF"/>
          <w:sz w:val="32"/>
          <w:szCs w:val="32"/>
        </w:rPr>
      </w:pPr>
      <w:r>
        <w:br w:type="page"/>
      </w:r>
    </w:p>
    <w:p w14:paraId="602AC4A7" w14:textId="7366FB1D" w:rsidR="000C5819" w:rsidRDefault="00071AEE" w:rsidP="00D20BB5">
      <w:pPr>
        <w:pStyle w:val="Heading1"/>
      </w:pPr>
      <w:r>
        <w:lastRenderedPageBreak/>
        <w:t xml:space="preserve">Table </w:t>
      </w:r>
      <w:r w:rsidR="00FE6DA1">
        <w:t>4</w:t>
      </w:r>
    </w:p>
    <w:p w14:paraId="216797C6" w14:textId="77777777" w:rsidR="00FB3BD5" w:rsidRPr="00FB3BD5" w:rsidRDefault="00FB3BD5" w:rsidP="00FB3BD5"/>
    <w:tbl>
      <w:tblPr>
        <w:tblStyle w:val="TableGrid"/>
        <w:tblW w:w="0" w:type="auto"/>
        <w:tblLook w:val="04A0" w:firstRow="1" w:lastRow="0" w:firstColumn="1" w:lastColumn="0" w:noHBand="0" w:noVBand="1"/>
      </w:tblPr>
      <w:tblGrid>
        <w:gridCol w:w="2972"/>
        <w:gridCol w:w="3119"/>
      </w:tblGrid>
      <w:tr w:rsidR="0060169C" w14:paraId="44C8D86D" w14:textId="77777777" w:rsidTr="00586971">
        <w:tc>
          <w:tcPr>
            <w:tcW w:w="2972" w:type="dxa"/>
            <w:vAlign w:val="center"/>
          </w:tcPr>
          <w:p w14:paraId="27440366" w14:textId="3470FE87" w:rsidR="0060169C" w:rsidRPr="00FB3BD5" w:rsidRDefault="0060169C" w:rsidP="00586971">
            <w:pPr>
              <w:jc w:val="center"/>
              <w:rPr>
                <w:rFonts w:eastAsia="Arial" w:cs="Times New Roman"/>
                <w:b/>
              </w:rPr>
            </w:pPr>
            <w:r w:rsidRPr="00FB3BD5">
              <w:rPr>
                <w:rFonts w:eastAsia="Arial" w:cs="Times New Roman"/>
                <w:b/>
              </w:rPr>
              <w:t xml:space="preserve">Year of </w:t>
            </w:r>
            <w:r>
              <w:rPr>
                <w:rFonts w:eastAsia="Arial" w:cs="Times New Roman"/>
                <w:b/>
              </w:rPr>
              <w:t xml:space="preserve">YCS </w:t>
            </w:r>
            <w:r w:rsidRPr="00FB3BD5">
              <w:rPr>
                <w:rFonts w:eastAsia="Arial" w:cs="Times New Roman"/>
                <w:b/>
              </w:rPr>
              <w:t>report</w:t>
            </w:r>
          </w:p>
        </w:tc>
        <w:tc>
          <w:tcPr>
            <w:tcW w:w="3119" w:type="dxa"/>
            <w:vAlign w:val="center"/>
          </w:tcPr>
          <w:p w14:paraId="77431D91" w14:textId="561935DA" w:rsidR="0060169C" w:rsidRPr="00FB3BD5" w:rsidRDefault="0060169C" w:rsidP="00586971">
            <w:pPr>
              <w:jc w:val="center"/>
              <w:rPr>
                <w:rFonts w:eastAsia="Arial" w:cs="Times New Roman"/>
                <w:b/>
              </w:rPr>
            </w:pPr>
            <w:r w:rsidRPr="00FB3BD5">
              <w:rPr>
                <w:rFonts w:eastAsia="Arial" w:cs="Times New Roman"/>
                <w:b/>
              </w:rPr>
              <w:t xml:space="preserve">Number of </w:t>
            </w:r>
            <w:r>
              <w:rPr>
                <w:rFonts w:eastAsia="Arial" w:cs="Times New Roman"/>
                <w:b/>
              </w:rPr>
              <w:t xml:space="preserve">YCS </w:t>
            </w:r>
            <w:r w:rsidRPr="00FB3BD5">
              <w:rPr>
                <w:rFonts w:eastAsia="Arial" w:cs="Times New Roman"/>
                <w:b/>
              </w:rPr>
              <w:t>reports</w:t>
            </w:r>
          </w:p>
        </w:tc>
      </w:tr>
      <w:tr w:rsidR="0060169C" w14:paraId="17DEC49B" w14:textId="77777777" w:rsidTr="0060169C">
        <w:tc>
          <w:tcPr>
            <w:tcW w:w="2972" w:type="dxa"/>
            <w:vAlign w:val="center"/>
          </w:tcPr>
          <w:p w14:paraId="6823B452" w14:textId="5FFF25C2" w:rsidR="0060169C" w:rsidRPr="00FB3BD5" w:rsidRDefault="0060169C" w:rsidP="0060169C">
            <w:pPr>
              <w:jc w:val="center"/>
              <w:rPr>
                <w:rFonts w:eastAsia="Arial" w:cs="Times New Roman"/>
              </w:rPr>
            </w:pPr>
            <w:r w:rsidRPr="00FB3BD5">
              <w:rPr>
                <w:rFonts w:eastAsia="Arial" w:cs="Times New Roman"/>
              </w:rPr>
              <w:t>2008</w:t>
            </w:r>
          </w:p>
        </w:tc>
        <w:tc>
          <w:tcPr>
            <w:tcW w:w="3119" w:type="dxa"/>
            <w:vAlign w:val="center"/>
          </w:tcPr>
          <w:p w14:paraId="3CC9AF1E" w14:textId="5D248573" w:rsidR="0060169C" w:rsidRPr="00FB3BD5" w:rsidRDefault="0060169C" w:rsidP="0060169C">
            <w:pPr>
              <w:jc w:val="center"/>
              <w:rPr>
                <w:rFonts w:eastAsia="Arial" w:cs="Times New Roman"/>
              </w:rPr>
            </w:pPr>
            <w:r w:rsidRPr="00FB3BD5">
              <w:rPr>
                <w:rFonts w:eastAsia="Arial" w:cs="Times New Roman"/>
              </w:rPr>
              <w:t>15</w:t>
            </w:r>
          </w:p>
        </w:tc>
      </w:tr>
      <w:tr w:rsidR="0060169C" w14:paraId="006EF837" w14:textId="77777777" w:rsidTr="0060169C">
        <w:tc>
          <w:tcPr>
            <w:tcW w:w="2972" w:type="dxa"/>
            <w:vAlign w:val="center"/>
          </w:tcPr>
          <w:p w14:paraId="58292B99" w14:textId="5D48803A" w:rsidR="0060169C" w:rsidRPr="00FB3BD5" w:rsidRDefault="0060169C" w:rsidP="0060169C">
            <w:pPr>
              <w:jc w:val="center"/>
              <w:rPr>
                <w:rFonts w:eastAsia="Arial" w:cs="Times New Roman"/>
              </w:rPr>
            </w:pPr>
            <w:r w:rsidRPr="00FB3BD5">
              <w:rPr>
                <w:rFonts w:eastAsia="Arial" w:cs="Times New Roman"/>
              </w:rPr>
              <w:t>2009</w:t>
            </w:r>
          </w:p>
        </w:tc>
        <w:tc>
          <w:tcPr>
            <w:tcW w:w="3119" w:type="dxa"/>
            <w:vAlign w:val="center"/>
          </w:tcPr>
          <w:p w14:paraId="3E7A7CC0" w14:textId="2A71DD02" w:rsidR="0060169C" w:rsidRPr="00FB3BD5" w:rsidRDefault="0060169C" w:rsidP="0060169C">
            <w:pPr>
              <w:jc w:val="center"/>
              <w:rPr>
                <w:rFonts w:eastAsia="Arial" w:cs="Times New Roman"/>
              </w:rPr>
            </w:pPr>
            <w:r w:rsidRPr="00FB3BD5">
              <w:rPr>
                <w:rFonts w:eastAsia="Arial" w:cs="Times New Roman"/>
              </w:rPr>
              <w:t>47</w:t>
            </w:r>
          </w:p>
        </w:tc>
      </w:tr>
      <w:tr w:rsidR="0060169C" w14:paraId="3B9B5A47" w14:textId="77777777" w:rsidTr="0060169C">
        <w:tc>
          <w:tcPr>
            <w:tcW w:w="2972" w:type="dxa"/>
            <w:vAlign w:val="center"/>
          </w:tcPr>
          <w:p w14:paraId="3C34F4B4" w14:textId="02E48409" w:rsidR="0060169C" w:rsidRPr="00FB3BD5" w:rsidRDefault="0060169C" w:rsidP="0060169C">
            <w:pPr>
              <w:jc w:val="center"/>
              <w:rPr>
                <w:rFonts w:eastAsia="Arial" w:cs="Times New Roman"/>
              </w:rPr>
            </w:pPr>
            <w:r w:rsidRPr="00FB3BD5">
              <w:rPr>
                <w:rFonts w:eastAsia="Arial" w:cs="Times New Roman"/>
              </w:rPr>
              <w:t>2010</w:t>
            </w:r>
          </w:p>
        </w:tc>
        <w:tc>
          <w:tcPr>
            <w:tcW w:w="3119" w:type="dxa"/>
            <w:vAlign w:val="center"/>
          </w:tcPr>
          <w:p w14:paraId="569C6300" w14:textId="6669886F" w:rsidR="0060169C" w:rsidRPr="00FB3BD5" w:rsidRDefault="0060169C" w:rsidP="0060169C">
            <w:pPr>
              <w:jc w:val="center"/>
              <w:rPr>
                <w:rFonts w:eastAsia="Arial" w:cs="Times New Roman"/>
              </w:rPr>
            </w:pPr>
            <w:r w:rsidRPr="00FB3BD5">
              <w:rPr>
                <w:rFonts w:eastAsia="Arial" w:cs="Times New Roman"/>
              </w:rPr>
              <w:t>28</w:t>
            </w:r>
          </w:p>
        </w:tc>
      </w:tr>
      <w:tr w:rsidR="0060169C" w14:paraId="2DF2845A" w14:textId="77777777" w:rsidTr="0060169C">
        <w:tc>
          <w:tcPr>
            <w:tcW w:w="2972" w:type="dxa"/>
            <w:vAlign w:val="center"/>
          </w:tcPr>
          <w:p w14:paraId="51E32C42" w14:textId="3F4983B1" w:rsidR="0060169C" w:rsidRPr="00FB3BD5" w:rsidRDefault="0060169C" w:rsidP="0060169C">
            <w:pPr>
              <w:jc w:val="center"/>
              <w:rPr>
                <w:rFonts w:eastAsia="Arial" w:cs="Times New Roman"/>
              </w:rPr>
            </w:pPr>
            <w:r w:rsidRPr="00FB3BD5">
              <w:rPr>
                <w:rFonts w:eastAsia="Arial" w:cs="Times New Roman"/>
              </w:rPr>
              <w:t>2011</w:t>
            </w:r>
          </w:p>
        </w:tc>
        <w:tc>
          <w:tcPr>
            <w:tcW w:w="3119" w:type="dxa"/>
            <w:vAlign w:val="center"/>
          </w:tcPr>
          <w:p w14:paraId="1325D159" w14:textId="7946ED16" w:rsidR="0060169C" w:rsidRPr="00FB3BD5" w:rsidRDefault="0060169C" w:rsidP="0060169C">
            <w:pPr>
              <w:jc w:val="center"/>
              <w:rPr>
                <w:rFonts w:eastAsia="Arial" w:cs="Times New Roman"/>
              </w:rPr>
            </w:pPr>
            <w:r w:rsidRPr="00FB3BD5">
              <w:rPr>
                <w:rFonts w:eastAsia="Arial" w:cs="Times New Roman"/>
              </w:rPr>
              <w:t>25</w:t>
            </w:r>
          </w:p>
        </w:tc>
      </w:tr>
      <w:tr w:rsidR="0060169C" w14:paraId="182AB542" w14:textId="77777777" w:rsidTr="0060169C">
        <w:tc>
          <w:tcPr>
            <w:tcW w:w="2972" w:type="dxa"/>
            <w:vAlign w:val="center"/>
          </w:tcPr>
          <w:p w14:paraId="4BCC4331" w14:textId="0B1D4BA0" w:rsidR="0060169C" w:rsidRPr="00FB3BD5" w:rsidRDefault="0060169C" w:rsidP="0060169C">
            <w:pPr>
              <w:jc w:val="center"/>
              <w:rPr>
                <w:rFonts w:eastAsia="Arial" w:cs="Times New Roman"/>
              </w:rPr>
            </w:pPr>
            <w:r w:rsidRPr="00FB3BD5">
              <w:rPr>
                <w:rFonts w:eastAsia="Arial" w:cs="Times New Roman"/>
              </w:rPr>
              <w:t>2012</w:t>
            </w:r>
          </w:p>
        </w:tc>
        <w:tc>
          <w:tcPr>
            <w:tcW w:w="3119" w:type="dxa"/>
            <w:vAlign w:val="center"/>
          </w:tcPr>
          <w:p w14:paraId="763A881D" w14:textId="127A383C" w:rsidR="0060169C" w:rsidRPr="00FB3BD5" w:rsidRDefault="0060169C" w:rsidP="0060169C">
            <w:pPr>
              <w:jc w:val="center"/>
              <w:rPr>
                <w:rFonts w:eastAsia="Arial" w:cs="Times New Roman"/>
              </w:rPr>
            </w:pPr>
            <w:r w:rsidRPr="00FB3BD5">
              <w:rPr>
                <w:rFonts w:eastAsia="Arial" w:cs="Times New Roman"/>
              </w:rPr>
              <w:t>38</w:t>
            </w:r>
          </w:p>
        </w:tc>
      </w:tr>
      <w:tr w:rsidR="0060169C" w14:paraId="4E37B962" w14:textId="77777777" w:rsidTr="0060169C">
        <w:tc>
          <w:tcPr>
            <w:tcW w:w="2972" w:type="dxa"/>
            <w:vAlign w:val="center"/>
          </w:tcPr>
          <w:p w14:paraId="39785EE6" w14:textId="74D2B1CF" w:rsidR="0060169C" w:rsidRPr="00FB3BD5" w:rsidRDefault="0060169C" w:rsidP="0060169C">
            <w:pPr>
              <w:jc w:val="center"/>
              <w:rPr>
                <w:rFonts w:eastAsia="Arial" w:cs="Times New Roman"/>
              </w:rPr>
            </w:pPr>
            <w:r w:rsidRPr="00FB3BD5">
              <w:rPr>
                <w:rFonts w:eastAsia="Arial" w:cs="Times New Roman"/>
              </w:rPr>
              <w:t>2013</w:t>
            </w:r>
          </w:p>
        </w:tc>
        <w:tc>
          <w:tcPr>
            <w:tcW w:w="3119" w:type="dxa"/>
            <w:vAlign w:val="center"/>
          </w:tcPr>
          <w:p w14:paraId="59DD77B1" w14:textId="1AB9FE6A" w:rsidR="0060169C" w:rsidRPr="00FB3BD5" w:rsidRDefault="0060169C" w:rsidP="0060169C">
            <w:pPr>
              <w:jc w:val="center"/>
              <w:rPr>
                <w:rFonts w:eastAsia="Arial" w:cs="Times New Roman"/>
              </w:rPr>
            </w:pPr>
            <w:r w:rsidRPr="00FB3BD5">
              <w:rPr>
                <w:rFonts w:eastAsia="Arial" w:cs="Times New Roman"/>
              </w:rPr>
              <w:t>48</w:t>
            </w:r>
          </w:p>
        </w:tc>
      </w:tr>
      <w:tr w:rsidR="0060169C" w14:paraId="6DA0AA22" w14:textId="77777777" w:rsidTr="0060169C">
        <w:tc>
          <w:tcPr>
            <w:tcW w:w="2972" w:type="dxa"/>
            <w:vAlign w:val="center"/>
          </w:tcPr>
          <w:p w14:paraId="4ACFC8A1" w14:textId="04CD2D98" w:rsidR="0060169C" w:rsidRPr="00FB3BD5" w:rsidRDefault="0060169C" w:rsidP="0060169C">
            <w:pPr>
              <w:jc w:val="center"/>
              <w:rPr>
                <w:rFonts w:eastAsia="Arial" w:cs="Times New Roman"/>
              </w:rPr>
            </w:pPr>
            <w:r w:rsidRPr="00FB3BD5">
              <w:rPr>
                <w:rFonts w:eastAsia="Arial" w:cs="Times New Roman"/>
              </w:rPr>
              <w:t>2014</w:t>
            </w:r>
          </w:p>
        </w:tc>
        <w:tc>
          <w:tcPr>
            <w:tcW w:w="3119" w:type="dxa"/>
            <w:vAlign w:val="center"/>
          </w:tcPr>
          <w:p w14:paraId="2050B523" w14:textId="26002FBC" w:rsidR="0060169C" w:rsidRPr="00FB3BD5" w:rsidRDefault="0060169C" w:rsidP="0060169C">
            <w:pPr>
              <w:jc w:val="center"/>
              <w:rPr>
                <w:rFonts w:eastAsia="Arial" w:cs="Times New Roman"/>
              </w:rPr>
            </w:pPr>
            <w:r w:rsidRPr="00FB3BD5">
              <w:rPr>
                <w:rFonts w:eastAsia="Arial" w:cs="Times New Roman"/>
              </w:rPr>
              <w:t>72</w:t>
            </w:r>
          </w:p>
        </w:tc>
      </w:tr>
      <w:tr w:rsidR="0060169C" w14:paraId="6B5A95C8" w14:textId="77777777" w:rsidTr="0060169C">
        <w:tc>
          <w:tcPr>
            <w:tcW w:w="2972" w:type="dxa"/>
            <w:vAlign w:val="center"/>
          </w:tcPr>
          <w:p w14:paraId="0F1CD1FA" w14:textId="44A7A905" w:rsidR="0060169C" w:rsidRPr="00FB3BD5" w:rsidRDefault="0060169C" w:rsidP="0060169C">
            <w:pPr>
              <w:jc w:val="center"/>
              <w:rPr>
                <w:rFonts w:eastAsia="Arial" w:cs="Times New Roman"/>
              </w:rPr>
            </w:pPr>
            <w:r w:rsidRPr="00FB3BD5">
              <w:rPr>
                <w:rFonts w:eastAsia="Arial" w:cs="Times New Roman"/>
              </w:rPr>
              <w:t>2015</w:t>
            </w:r>
          </w:p>
        </w:tc>
        <w:tc>
          <w:tcPr>
            <w:tcW w:w="3119" w:type="dxa"/>
            <w:vAlign w:val="center"/>
          </w:tcPr>
          <w:p w14:paraId="5FB01F50" w14:textId="26A20BCC" w:rsidR="0060169C" w:rsidRPr="00FB3BD5" w:rsidRDefault="0060169C" w:rsidP="0060169C">
            <w:pPr>
              <w:jc w:val="center"/>
              <w:rPr>
                <w:rFonts w:eastAsia="Arial" w:cs="Times New Roman"/>
              </w:rPr>
            </w:pPr>
            <w:r w:rsidRPr="00FB3BD5">
              <w:rPr>
                <w:rFonts w:eastAsia="Arial" w:cs="Times New Roman"/>
              </w:rPr>
              <w:t>118</w:t>
            </w:r>
          </w:p>
        </w:tc>
      </w:tr>
      <w:tr w:rsidR="0060169C" w14:paraId="0326C5E2" w14:textId="77777777" w:rsidTr="0060169C">
        <w:tc>
          <w:tcPr>
            <w:tcW w:w="2972" w:type="dxa"/>
            <w:vAlign w:val="center"/>
          </w:tcPr>
          <w:p w14:paraId="2393A5EA" w14:textId="308EF1B7" w:rsidR="0060169C" w:rsidRPr="00FB3BD5" w:rsidRDefault="0060169C" w:rsidP="0060169C">
            <w:pPr>
              <w:jc w:val="center"/>
              <w:rPr>
                <w:rFonts w:eastAsia="Arial" w:cs="Times New Roman"/>
              </w:rPr>
            </w:pPr>
            <w:r w:rsidRPr="00FB3BD5">
              <w:rPr>
                <w:rFonts w:eastAsia="Arial" w:cs="Times New Roman"/>
              </w:rPr>
              <w:t>2016</w:t>
            </w:r>
          </w:p>
        </w:tc>
        <w:tc>
          <w:tcPr>
            <w:tcW w:w="3119" w:type="dxa"/>
            <w:vAlign w:val="center"/>
          </w:tcPr>
          <w:p w14:paraId="7250CCB5" w14:textId="2AA2001C" w:rsidR="0060169C" w:rsidRPr="00FB3BD5" w:rsidRDefault="0060169C" w:rsidP="0060169C">
            <w:pPr>
              <w:jc w:val="center"/>
              <w:rPr>
                <w:rFonts w:eastAsia="Arial" w:cs="Times New Roman"/>
              </w:rPr>
            </w:pPr>
            <w:r w:rsidRPr="00FB3BD5">
              <w:rPr>
                <w:rFonts w:eastAsia="Arial" w:cs="Times New Roman"/>
              </w:rPr>
              <w:t>175</w:t>
            </w:r>
          </w:p>
        </w:tc>
      </w:tr>
      <w:tr w:rsidR="0060169C" w14:paraId="3A832E9F" w14:textId="77777777" w:rsidTr="0060169C">
        <w:tc>
          <w:tcPr>
            <w:tcW w:w="2972" w:type="dxa"/>
            <w:vAlign w:val="center"/>
          </w:tcPr>
          <w:p w14:paraId="119E4EE8" w14:textId="355D789A" w:rsidR="0060169C" w:rsidRPr="00FB3BD5" w:rsidRDefault="0060169C" w:rsidP="0060169C">
            <w:pPr>
              <w:jc w:val="center"/>
              <w:rPr>
                <w:rFonts w:eastAsia="Arial" w:cs="Times New Roman"/>
              </w:rPr>
            </w:pPr>
            <w:r w:rsidRPr="00FB3BD5">
              <w:rPr>
                <w:rFonts w:eastAsia="Arial" w:cs="Times New Roman"/>
              </w:rPr>
              <w:t>2017</w:t>
            </w:r>
          </w:p>
        </w:tc>
        <w:tc>
          <w:tcPr>
            <w:tcW w:w="3119" w:type="dxa"/>
            <w:vAlign w:val="center"/>
          </w:tcPr>
          <w:p w14:paraId="0145C8D1" w14:textId="1AF3B77E" w:rsidR="0060169C" w:rsidRPr="00FB3BD5" w:rsidRDefault="0060169C" w:rsidP="0060169C">
            <w:pPr>
              <w:jc w:val="center"/>
              <w:rPr>
                <w:rFonts w:eastAsia="Arial" w:cs="Times New Roman"/>
              </w:rPr>
            </w:pPr>
            <w:r w:rsidRPr="00FB3BD5">
              <w:rPr>
                <w:rFonts w:eastAsia="Arial" w:cs="Times New Roman"/>
              </w:rPr>
              <w:t>203</w:t>
            </w:r>
          </w:p>
        </w:tc>
      </w:tr>
      <w:tr w:rsidR="0060169C" w14:paraId="5A1A10BF" w14:textId="77777777" w:rsidTr="0060169C">
        <w:tc>
          <w:tcPr>
            <w:tcW w:w="2972" w:type="dxa"/>
            <w:vAlign w:val="center"/>
          </w:tcPr>
          <w:p w14:paraId="687B83D4" w14:textId="5C4BAEE1" w:rsidR="0060169C" w:rsidRPr="00FB3BD5" w:rsidRDefault="0060169C" w:rsidP="0060169C">
            <w:pPr>
              <w:jc w:val="center"/>
              <w:rPr>
                <w:rFonts w:eastAsia="Arial" w:cs="Times New Roman"/>
              </w:rPr>
            </w:pPr>
            <w:r w:rsidRPr="00FB3BD5">
              <w:rPr>
                <w:rFonts w:eastAsia="Arial" w:cs="Times New Roman"/>
              </w:rPr>
              <w:t>2018*</w:t>
            </w:r>
          </w:p>
        </w:tc>
        <w:tc>
          <w:tcPr>
            <w:tcW w:w="3119" w:type="dxa"/>
            <w:vAlign w:val="center"/>
          </w:tcPr>
          <w:p w14:paraId="657D4D75" w14:textId="44E17624" w:rsidR="0060169C" w:rsidRPr="00FB3BD5" w:rsidRDefault="0060169C" w:rsidP="0060169C">
            <w:pPr>
              <w:jc w:val="center"/>
              <w:rPr>
                <w:rFonts w:eastAsia="Arial" w:cs="Times New Roman"/>
              </w:rPr>
            </w:pPr>
            <w:r w:rsidRPr="00FB3BD5">
              <w:rPr>
                <w:rFonts w:eastAsia="Arial" w:cs="Times New Roman"/>
              </w:rPr>
              <w:t>179</w:t>
            </w:r>
          </w:p>
        </w:tc>
      </w:tr>
      <w:tr w:rsidR="0060169C" w14:paraId="44100A6D" w14:textId="77777777" w:rsidTr="00586971">
        <w:tc>
          <w:tcPr>
            <w:tcW w:w="2972" w:type="dxa"/>
            <w:vAlign w:val="center"/>
          </w:tcPr>
          <w:p w14:paraId="6F815C5A" w14:textId="1330293C" w:rsidR="0060169C" w:rsidRPr="00FB3BD5" w:rsidRDefault="0060169C" w:rsidP="00586971">
            <w:pPr>
              <w:jc w:val="center"/>
              <w:rPr>
                <w:rFonts w:eastAsia="Arial" w:cs="Times New Roman"/>
              </w:rPr>
            </w:pPr>
            <w:r w:rsidRPr="00FB3BD5">
              <w:rPr>
                <w:rFonts w:eastAsia="Arial" w:cs="Times New Roman"/>
                <w:b/>
              </w:rPr>
              <w:t>Age of reporter</w:t>
            </w:r>
            <w:r>
              <w:rPr>
                <w:rFonts w:eastAsia="Arial" w:cs="Times New Roman"/>
                <w:b/>
              </w:rPr>
              <w:t xml:space="preserve"> (years)</w:t>
            </w:r>
          </w:p>
        </w:tc>
        <w:tc>
          <w:tcPr>
            <w:tcW w:w="3119" w:type="dxa"/>
            <w:vAlign w:val="center"/>
          </w:tcPr>
          <w:p w14:paraId="50C0D45E" w14:textId="0781D662" w:rsidR="0060169C" w:rsidRPr="00FB3BD5" w:rsidRDefault="0060169C" w:rsidP="00586971">
            <w:pPr>
              <w:jc w:val="center"/>
              <w:rPr>
                <w:rFonts w:eastAsia="Arial" w:cs="Times New Roman"/>
              </w:rPr>
            </w:pPr>
            <w:r w:rsidRPr="00FB3BD5">
              <w:rPr>
                <w:rFonts w:eastAsia="Arial" w:cs="Times New Roman"/>
                <w:b/>
              </w:rPr>
              <w:t>Numbe</w:t>
            </w:r>
            <w:r>
              <w:rPr>
                <w:rFonts w:eastAsia="Arial" w:cs="Times New Roman"/>
                <w:b/>
              </w:rPr>
              <w:t>r</w:t>
            </w:r>
            <w:r w:rsidRPr="00FB3BD5">
              <w:rPr>
                <w:rFonts w:eastAsia="Arial" w:cs="Times New Roman"/>
                <w:b/>
              </w:rPr>
              <w:t xml:space="preserve"> of </w:t>
            </w:r>
            <w:r>
              <w:rPr>
                <w:rFonts w:eastAsia="Arial" w:cs="Times New Roman"/>
                <w:b/>
              </w:rPr>
              <w:t xml:space="preserve">YCS </w:t>
            </w:r>
            <w:r w:rsidRPr="00FB3BD5">
              <w:rPr>
                <w:rFonts w:eastAsia="Arial" w:cs="Times New Roman"/>
                <w:b/>
              </w:rPr>
              <w:t>reports</w:t>
            </w:r>
          </w:p>
        </w:tc>
      </w:tr>
      <w:tr w:rsidR="0060169C" w14:paraId="619F5B92" w14:textId="77777777" w:rsidTr="0060169C">
        <w:tc>
          <w:tcPr>
            <w:tcW w:w="2972" w:type="dxa"/>
            <w:vAlign w:val="center"/>
          </w:tcPr>
          <w:p w14:paraId="05770565" w14:textId="1B0A1EAF" w:rsidR="0060169C" w:rsidRPr="00FB3BD5" w:rsidRDefault="0060169C" w:rsidP="0060169C">
            <w:pPr>
              <w:jc w:val="center"/>
              <w:rPr>
                <w:rFonts w:eastAsia="Arial" w:cs="Times New Roman"/>
              </w:rPr>
            </w:pPr>
            <w:r w:rsidRPr="00FB3BD5">
              <w:rPr>
                <w:rFonts w:eastAsia="Arial" w:cs="Times New Roman"/>
              </w:rPr>
              <w:t>10</w:t>
            </w:r>
          </w:p>
        </w:tc>
        <w:tc>
          <w:tcPr>
            <w:tcW w:w="3119" w:type="dxa"/>
            <w:vAlign w:val="center"/>
          </w:tcPr>
          <w:p w14:paraId="4216A8AA" w14:textId="6E47D213" w:rsidR="0060169C" w:rsidRPr="00FB3BD5" w:rsidRDefault="0060169C" w:rsidP="0060169C">
            <w:pPr>
              <w:jc w:val="center"/>
              <w:rPr>
                <w:rFonts w:eastAsia="Arial" w:cs="Times New Roman"/>
              </w:rPr>
            </w:pPr>
            <w:r w:rsidRPr="00FB3BD5">
              <w:rPr>
                <w:rFonts w:eastAsia="Arial" w:cs="Times New Roman"/>
              </w:rPr>
              <w:t>2</w:t>
            </w:r>
          </w:p>
        </w:tc>
      </w:tr>
      <w:tr w:rsidR="0060169C" w14:paraId="69A2B326" w14:textId="77777777" w:rsidTr="0060169C">
        <w:tc>
          <w:tcPr>
            <w:tcW w:w="2972" w:type="dxa"/>
            <w:vAlign w:val="center"/>
          </w:tcPr>
          <w:p w14:paraId="1DF16555" w14:textId="54530D13" w:rsidR="0060169C" w:rsidRPr="00FB3BD5" w:rsidRDefault="0060169C" w:rsidP="0060169C">
            <w:pPr>
              <w:jc w:val="center"/>
              <w:rPr>
                <w:rFonts w:eastAsia="Arial" w:cs="Times New Roman"/>
              </w:rPr>
            </w:pPr>
            <w:r w:rsidRPr="00FB3BD5">
              <w:rPr>
                <w:rFonts w:eastAsia="Arial" w:cs="Times New Roman"/>
              </w:rPr>
              <w:t>11</w:t>
            </w:r>
          </w:p>
        </w:tc>
        <w:tc>
          <w:tcPr>
            <w:tcW w:w="3119" w:type="dxa"/>
            <w:vAlign w:val="center"/>
          </w:tcPr>
          <w:p w14:paraId="50C93655" w14:textId="11297A95" w:rsidR="0060169C" w:rsidRPr="00FB3BD5" w:rsidRDefault="0060169C" w:rsidP="0060169C">
            <w:pPr>
              <w:jc w:val="center"/>
              <w:rPr>
                <w:rFonts w:eastAsia="Arial" w:cs="Times New Roman"/>
              </w:rPr>
            </w:pPr>
            <w:r w:rsidRPr="00FB3BD5">
              <w:rPr>
                <w:rFonts w:eastAsia="Arial" w:cs="Times New Roman"/>
              </w:rPr>
              <w:t>1</w:t>
            </w:r>
          </w:p>
        </w:tc>
      </w:tr>
      <w:tr w:rsidR="0060169C" w14:paraId="0E5C5DD6" w14:textId="77777777" w:rsidTr="0060169C">
        <w:tc>
          <w:tcPr>
            <w:tcW w:w="2972" w:type="dxa"/>
            <w:vAlign w:val="center"/>
          </w:tcPr>
          <w:p w14:paraId="33EBDE0C" w14:textId="7F505016" w:rsidR="0060169C" w:rsidRPr="00FB3BD5" w:rsidRDefault="0060169C" w:rsidP="0060169C">
            <w:pPr>
              <w:jc w:val="center"/>
              <w:rPr>
                <w:rFonts w:eastAsia="Arial" w:cs="Times New Roman"/>
              </w:rPr>
            </w:pPr>
            <w:r w:rsidRPr="00FB3BD5">
              <w:rPr>
                <w:rFonts w:eastAsia="Arial" w:cs="Times New Roman"/>
              </w:rPr>
              <w:t>12</w:t>
            </w:r>
          </w:p>
        </w:tc>
        <w:tc>
          <w:tcPr>
            <w:tcW w:w="3119" w:type="dxa"/>
            <w:vAlign w:val="center"/>
          </w:tcPr>
          <w:p w14:paraId="7AB24B39" w14:textId="471D5168" w:rsidR="0060169C" w:rsidRPr="00FB3BD5" w:rsidRDefault="0060169C" w:rsidP="0060169C">
            <w:pPr>
              <w:jc w:val="center"/>
              <w:rPr>
                <w:rFonts w:eastAsia="Arial" w:cs="Times New Roman"/>
              </w:rPr>
            </w:pPr>
            <w:r w:rsidRPr="00FB3BD5">
              <w:rPr>
                <w:rFonts w:eastAsia="Arial" w:cs="Times New Roman"/>
              </w:rPr>
              <w:t>9</w:t>
            </w:r>
          </w:p>
        </w:tc>
      </w:tr>
      <w:tr w:rsidR="0060169C" w14:paraId="3FCEDF8E" w14:textId="77777777" w:rsidTr="0060169C">
        <w:tc>
          <w:tcPr>
            <w:tcW w:w="2972" w:type="dxa"/>
            <w:vAlign w:val="center"/>
          </w:tcPr>
          <w:p w14:paraId="7192AD26" w14:textId="4AC8CE89" w:rsidR="0060169C" w:rsidRPr="00FB3BD5" w:rsidRDefault="0060169C" w:rsidP="0060169C">
            <w:pPr>
              <w:jc w:val="center"/>
              <w:rPr>
                <w:rFonts w:eastAsia="Arial" w:cs="Times New Roman"/>
              </w:rPr>
            </w:pPr>
            <w:r w:rsidRPr="00FB3BD5">
              <w:rPr>
                <w:rFonts w:eastAsia="Arial" w:cs="Times New Roman"/>
              </w:rPr>
              <w:t>13</w:t>
            </w:r>
          </w:p>
        </w:tc>
        <w:tc>
          <w:tcPr>
            <w:tcW w:w="3119" w:type="dxa"/>
            <w:vAlign w:val="center"/>
          </w:tcPr>
          <w:p w14:paraId="23098637" w14:textId="14A829C0" w:rsidR="0060169C" w:rsidRPr="00FB3BD5" w:rsidRDefault="0060169C" w:rsidP="0060169C">
            <w:pPr>
              <w:jc w:val="center"/>
              <w:rPr>
                <w:rFonts w:eastAsia="Arial" w:cs="Times New Roman"/>
              </w:rPr>
            </w:pPr>
            <w:r w:rsidRPr="00FB3BD5">
              <w:rPr>
                <w:rFonts w:eastAsia="Arial" w:cs="Times New Roman"/>
              </w:rPr>
              <w:t>39</w:t>
            </w:r>
          </w:p>
        </w:tc>
      </w:tr>
      <w:tr w:rsidR="0060169C" w14:paraId="6778AD10" w14:textId="77777777" w:rsidTr="0060169C">
        <w:tc>
          <w:tcPr>
            <w:tcW w:w="2972" w:type="dxa"/>
            <w:vAlign w:val="center"/>
          </w:tcPr>
          <w:p w14:paraId="38238470" w14:textId="12566546" w:rsidR="0060169C" w:rsidRPr="00FB3BD5" w:rsidRDefault="0060169C" w:rsidP="0060169C">
            <w:pPr>
              <w:jc w:val="center"/>
              <w:rPr>
                <w:rFonts w:eastAsia="Arial" w:cs="Times New Roman"/>
              </w:rPr>
            </w:pPr>
            <w:r w:rsidRPr="00FB3BD5">
              <w:rPr>
                <w:rFonts w:eastAsia="Arial" w:cs="Times New Roman"/>
              </w:rPr>
              <w:t>14</w:t>
            </w:r>
          </w:p>
        </w:tc>
        <w:tc>
          <w:tcPr>
            <w:tcW w:w="3119" w:type="dxa"/>
            <w:vAlign w:val="center"/>
          </w:tcPr>
          <w:p w14:paraId="459C7C3A" w14:textId="1777DC97" w:rsidR="0060169C" w:rsidRPr="00FB3BD5" w:rsidRDefault="0060169C" w:rsidP="0060169C">
            <w:pPr>
              <w:jc w:val="center"/>
              <w:rPr>
                <w:rFonts w:eastAsia="Arial" w:cs="Times New Roman"/>
              </w:rPr>
            </w:pPr>
            <w:r w:rsidRPr="00FB3BD5">
              <w:rPr>
                <w:rFonts w:eastAsia="Arial" w:cs="Times New Roman"/>
              </w:rPr>
              <w:t>49</w:t>
            </w:r>
          </w:p>
        </w:tc>
      </w:tr>
      <w:tr w:rsidR="0060169C" w14:paraId="1C9E731B" w14:textId="77777777" w:rsidTr="0060169C">
        <w:tc>
          <w:tcPr>
            <w:tcW w:w="2972" w:type="dxa"/>
            <w:vAlign w:val="center"/>
          </w:tcPr>
          <w:p w14:paraId="1B17444B" w14:textId="6C563C22" w:rsidR="0060169C" w:rsidRPr="00FB3BD5" w:rsidRDefault="0060169C" w:rsidP="0060169C">
            <w:pPr>
              <w:jc w:val="center"/>
              <w:rPr>
                <w:rFonts w:eastAsia="Arial" w:cs="Times New Roman"/>
              </w:rPr>
            </w:pPr>
            <w:r w:rsidRPr="00FB3BD5">
              <w:rPr>
                <w:rFonts w:eastAsia="Arial" w:cs="Times New Roman"/>
              </w:rPr>
              <w:t>15</w:t>
            </w:r>
          </w:p>
        </w:tc>
        <w:tc>
          <w:tcPr>
            <w:tcW w:w="3119" w:type="dxa"/>
            <w:vAlign w:val="center"/>
          </w:tcPr>
          <w:p w14:paraId="66A3A1B9" w14:textId="434DD5CB" w:rsidR="0060169C" w:rsidRPr="00FB3BD5" w:rsidRDefault="0060169C" w:rsidP="0060169C">
            <w:pPr>
              <w:jc w:val="center"/>
              <w:rPr>
                <w:rFonts w:eastAsia="Arial" w:cs="Times New Roman"/>
              </w:rPr>
            </w:pPr>
            <w:r w:rsidRPr="00FB3BD5">
              <w:rPr>
                <w:rFonts w:eastAsia="Arial" w:cs="Times New Roman"/>
              </w:rPr>
              <w:t>87</w:t>
            </w:r>
          </w:p>
        </w:tc>
      </w:tr>
      <w:tr w:rsidR="0060169C" w14:paraId="039BD8CD" w14:textId="77777777" w:rsidTr="0060169C">
        <w:tc>
          <w:tcPr>
            <w:tcW w:w="2972" w:type="dxa"/>
            <w:vAlign w:val="center"/>
          </w:tcPr>
          <w:p w14:paraId="6ABE8CDB" w14:textId="1C0FA6E3" w:rsidR="0060169C" w:rsidRPr="00FB3BD5" w:rsidRDefault="0060169C" w:rsidP="0060169C">
            <w:pPr>
              <w:jc w:val="center"/>
              <w:rPr>
                <w:rFonts w:eastAsia="Arial" w:cs="Times New Roman"/>
              </w:rPr>
            </w:pPr>
            <w:r w:rsidRPr="00FB3BD5">
              <w:rPr>
                <w:rFonts w:eastAsia="Arial" w:cs="Times New Roman"/>
              </w:rPr>
              <w:t>16</w:t>
            </w:r>
          </w:p>
        </w:tc>
        <w:tc>
          <w:tcPr>
            <w:tcW w:w="3119" w:type="dxa"/>
            <w:vAlign w:val="center"/>
          </w:tcPr>
          <w:p w14:paraId="2B2EA7FE" w14:textId="1F8219A6" w:rsidR="0060169C" w:rsidRPr="00FB3BD5" w:rsidRDefault="0060169C" w:rsidP="0060169C">
            <w:pPr>
              <w:jc w:val="center"/>
              <w:rPr>
                <w:rFonts w:eastAsia="Arial" w:cs="Times New Roman"/>
              </w:rPr>
            </w:pPr>
            <w:r w:rsidRPr="00FB3BD5">
              <w:rPr>
                <w:rFonts w:eastAsia="Arial" w:cs="Times New Roman"/>
              </w:rPr>
              <w:t>16</w:t>
            </w:r>
          </w:p>
        </w:tc>
      </w:tr>
      <w:tr w:rsidR="0060169C" w14:paraId="007FF9E4" w14:textId="77777777" w:rsidTr="0060169C">
        <w:tc>
          <w:tcPr>
            <w:tcW w:w="2972" w:type="dxa"/>
            <w:vAlign w:val="center"/>
          </w:tcPr>
          <w:p w14:paraId="31802CDE" w14:textId="5D1EBE35" w:rsidR="0060169C" w:rsidRPr="00FB3BD5" w:rsidRDefault="0060169C" w:rsidP="0060169C">
            <w:pPr>
              <w:jc w:val="center"/>
              <w:rPr>
                <w:rFonts w:eastAsia="Arial" w:cs="Times New Roman"/>
              </w:rPr>
            </w:pPr>
            <w:r w:rsidRPr="00FB3BD5">
              <w:rPr>
                <w:rFonts w:eastAsia="Arial" w:cs="Times New Roman"/>
              </w:rPr>
              <w:t>17</w:t>
            </w:r>
          </w:p>
        </w:tc>
        <w:tc>
          <w:tcPr>
            <w:tcW w:w="3119" w:type="dxa"/>
            <w:vAlign w:val="center"/>
          </w:tcPr>
          <w:p w14:paraId="1D462115" w14:textId="7F73ED56" w:rsidR="0060169C" w:rsidRPr="00FB3BD5" w:rsidRDefault="0060169C" w:rsidP="0060169C">
            <w:pPr>
              <w:jc w:val="center"/>
              <w:rPr>
                <w:rFonts w:eastAsia="Arial" w:cs="Times New Roman"/>
              </w:rPr>
            </w:pPr>
            <w:r w:rsidRPr="00FB3BD5">
              <w:rPr>
                <w:rFonts w:eastAsia="Arial" w:cs="Times New Roman"/>
              </w:rPr>
              <w:t>236</w:t>
            </w:r>
          </w:p>
        </w:tc>
      </w:tr>
      <w:tr w:rsidR="0060169C" w14:paraId="6D99798C" w14:textId="77777777" w:rsidTr="0060169C">
        <w:tc>
          <w:tcPr>
            <w:tcW w:w="2972" w:type="dxa"/>
            <w:vAlign w:val="center"/>
          </w:tcPr>
          <w:p w14:paraId="41570028" w14:textId="33D8CECB" w:rsidR="0060169C" w:rsidRPr="00FB3BD5" w:rsidRDefault="0060169C" w:rsidP="0060169C">
            <w:pPr>
              <w:jc w:val="center"/>
              <w:rPr>
                <w:rFonts w:eastAsia="Arial" w:cs="Times New Roman"/>
              </w:rPr>
            </w:pPr>
            <w:r w:rsidRPr="00FB3BD5">
              <w:rPr>
                <w:rFonts w:eastAsia="Arial" w:cs="Times New Roman"/>
              </w:rPr>
              <w:t>18</w:t>
            </w:r>
          </w:p>
        </w:tc>
        <w:tc>
          <w:tcPr>
            <w:tcW w:w="3119" w:type="dxa"/>
            <w:vAlign w:val="center"/>
          </w:tcPr>
          <w:p w14:paraId="41ADC530" w14:textId="1F8220FB" w:rsidR="0060169C" w:rsidRPr="00FB3BD5" w:rsidRDefault="0060169C" w:rsidP="0060169C">
            <w:pPr>
              <w:jc w:val="center"/>
              <w:rPr>
                <w:rFonts w:eastAsia="Arial" w:cs="Times New Roman"/>
              </w:rPr>
            </w:pPr>
            <w:r w:rsidRPr="00FB3BD5">
              <w:rPr>
                <w:rFonts w:eastAsia="Arial" w:cs="Times New Roman"/>
              </w:rPr>
              <w:t>369</w:t>
            </w:r>
          </w:p>
        </w:tc>
      </w:tr>
    </w:tbl>
    <w:p w14:paraId="17180B1D" w14:textId="77777777" w:rsidR="00FB3BD5" w:rsidRDefault="00FB3BD5">
      <w:pPr>
        <w:rPr>
          <w:rFonts w:eastAsia="Arial" w:cs="Times New Roman"/>
          <w:sz w:val="24"/>
          <w:szCs w:val="24"/>
          <w:u w:val="single"/>
        </w:rPr>
      </w:pPr>
    </w:p>
    <w:p w14:paraId="7CAB2DA4" w14:textId="28BAA71B" w:rsidR="00185AF0" w:rsidRDefault="00FB3BD5">
      <w:pPr>
        <w:rPr>
          <w:rFonts w:eastAsia="Arial" w:cs="Times New Roman"/>
          <w:sz w:val="24"/>
          <w:szCs w:val="24"/>
        </w:rPr>
      </w:pPr>
      <w:r w:rsidRPr="00FB3BD5">
        <w:rPr>
          <w:rFonts w:eastAsia="Arial" w:cs="Times New Roman"/>
          <w:sz w:val="24"/>
          <w:szCs w:val="24"/>
        </w:rPr>
        <w:t xml:space="preserve">Table </w:t>
      </w:r>
      <w:r w:rsidR="00FC2914">
        <w:rPr>
          <w:rFonts w:eastAsia="Arial" w:cs="Times New Roman"/>
          <w:sz w:val="24"/>
          <w:szCs w:val="24"/>
        </w:rPr>
        <w:t>4</w:t>
      </w:r>
      <w:r w:rsidRPr="00FB3BD5">
        <w:rPr>
          <w:rFonts w:eastAsia="Arial" w:cs="Times New Roman"/>
          <w:sz w:val="24"/>
          <w:szCs w:val="24"/>
        </w:rPr>
        <w:t xml:space="preserve">: Number of reports per year, and age of CYP submitting YCS reports. *2018 data complete to 29/11/2018. </w:t>
      </w:r>
    </w:p>
    <w:p w14:paraId="25C4E125" w14:textId="77777777" w:rsidR="00FB3BD5" w:rsidRPr="00FB3BD5" w:rsidRDefault="00FB3BD5">
      <w:pPr>
        <w:rPr>
          <w:rFonts w:eastAsia="Arial" w:cs="Times New Roman"/>
          <w:sz w:val="24"/>
          <w:szCs w:val="24"/>
        </w:rPr>
      </w:pPr>
    </w:p>
    <w:p w14:paraId="0E745D42" w14:textId="46109BEE" w:rsidR="00156CDA" w:rsidRDefault="00156CDA" w:rsidP="00775B9E">
      <w:pPr>
        <w:sectPr w:rsidR="00156CDA" w:rsidSect="009C72B1">
          <w:headerReference w:type="default" r:id="rId10"/>
          <w:footerReference w:type="default" r:id="rId11"/>
          <w:pgSz w:w="11906" w:h="16838"/>
          <w:pgMar w:top="1440" w:right="1440" w:bottom="1440" w:left="1440" w:header="708" w:footer="708" w:gutter="0"/>
          <w:cols w:space="708"/>
          <w:docGrid w:linePitch="360"/>
        </w:sectPr>
      </w:pPr>
    </w:p>
    <w:tbl>
      <w:tblPr>
        <w:tblStyle w:val="TableGrid"/>
        <w:tblW w:w="14780" w:type="dxa"/>
        <w:tblInd w:w="-536" w:type="dxa"/>
        <w:tblLayout w:type="fixed"/>
        <w:tblLook w:val="04A0" w:firstRow="1" w:lastRow="0" w:firstColumn="1" w:lastColumn="0" w:noHBand="0" w:noVBand="1"/>
      </w:tblPr>
      <w:tblGrid>
        <w:gridCol w:w="3515"/>
        <w:gridCol w:w="3634"/>
        <w:gridCol w:w="3501"/>
        <w:gridCol w:w="4130"/>
      </w:tblGrid>
      <w:tr w:rsidR="00915895" w:rsidRPr="00B85E49" w14:paraId="555FE6B2" w14:textId="77777777" w:rsidTr="002F7462">
        <w:trPr>
          <w:trHeight w:val="841"/>
        </w:trPr>
        <w:tc>
          <w:tcPr>
            <w:tcW w:w="3515" w:type="dxa"/>
            <w:vAlign w:val="center"/>
          </w:tcPr>
          <w:p w14:paraId="39ADA8AA" w14:textId="77777777" w:rsidR="00915895" w:rsidRPr="00B85E49" w:rsidRDefault="00915895" w:rsidP="002F7462">
            <w:pPr>
              <w:jc w:val="center"/>
              <w:rPr>
                <w:b/>
              </w:rPr>
            </w:pPr>
            <w:r w:rsidRPr="00B85E49">
              <w:rPr>
                <w:b/>
              </w:rPr>
              <w:lastRenderedPageBreak/>
              <w:t>What are Side Effects, and Yellow Card Reports?</w:t>
            </w:r>
          </w:p>
        </w:tc>
        <w:tc>
          <w:tcPr>
            <w:tcW w:w="3634" w:type="dxa"/>
            <w:vAlign w:val="center"/>
          </w:tcPr>
          <w:p w14:paraId="562C415F" w14:textId="77777777" w:rsidR="00915895" w:rsidRPr="00B85E49" w:rsidRDefault="00915895" w:rsidP="002F7462">
            <w:pPr>
              <w:jc w:val="center"/>
              <w:rPr>
                <w:b/>
              </w:rPr>
            </w:pPr>
            <w:r w:rsidRPr="00B85E49">
              <w:rPr>
                <w:b/>
              </w:rPr>
              <w:t>What to Report?</w:t>
            </w:r>
          </w:p>
        </w:tc>
        <w:tc>
          <w:tcPr>
            <w:tcW w:w="3501" w:type="dxa"/>
            <w:vAlign w:val="center"/>
          </w:tcPr>
          <w:p w14:paraId="7AD4BB84" w14:textId="77777777" w:rsidR="00915895" w:rsidRPr="00B85E49" w:rsidRDefault="00915895" w:rsidP="002F7462">
            <w:pPr>
              <w:jc w:val="center"/>
              <w:rPr>
                <w:b/>
              </w:rPr>
            </w:pPr>
            <w:r w:rsidRPr="00B85E49">
              <w:rPr>
                <w:b/>
              </w:rPr>
              <w:t>When to Report?</w:t>
            </w:r>
          </w:p>
        </w:tc>
        <w:tc>
          <w:tcPr>
            <w:tcW w:w="4130" w:type="dxa"/>
            <w:vAlign w:val="center"/>
          </w:tcPr>
          <w:p w14:paraId="4E2AA745" w14:textId="77777777" w:rsidR="00915895" w:rsidRPr="00B85E49" w:rsidRDefault="00915895" w:rsidP="002F7462">
            <w:pPr>
              <w:jc w:val="center"/>
              <w:rPr>
                <w:b/>
              </w:rPr>
            </w:pPr>
            <w:r w:rsidRPr="00B85E49">
              <w:rPr>
                <w:b/>
              </w:rPr>
              <w:t>How to Report?</w:t>
            </w:r>
          </w:p>
        </w:tc>
      </w:tr>
      <w:tr w:rsidR="00915895" w14:paraId="3D88FF44" w14:textId="77777777" w:rsidTr="00F806CA">
        <w:trPr>
          <w:trHeight w:val="7784"/>
        </w:trPr>
        <w:tc>
          <w:tcPr>
            <w:tcW w:w="3515" w:type="dxa"/>
          </w:tcPr>
          <w:p w14:paraId="5B221254" w14:textId="77777777" w:rsidR="00915895" w:rsidRDefault="00915895" w:rsidP="00915895">
            <w:pPr>
              <w:pStyle w:val="ListParagraph"/>
              <w:numPr>
                <w:ilvl w:val="0"/>
                <w:numId w:val="4"/>
              </w:numPr>
              <w:spacing w:before="240"/>
            </w:pPr>
            <w:r>
              <w:t>Medicines may do more than just make you feel better.</w:t>
            </w:r>
          </w:p>
          <w:p w14:paraId="45260E49" w14:textId="77777777" w:rsidR="00915895" w:rsidRDefault="00915895" w:rsidP="00915895">
            <w:pPr>
              <w:pStyle w:val="ListParagraph"/>
              <w:numPr>
                <w:ilvl w:val="0"/>
                <w:numId w:val="4"/>
              </w:numPr>
              <w:spacing w:before="240"/>
            </w:pPr>
            <w:r>
              <w:t>They can sometimes cause other problems, which are called ‘Side Effects’ (see next page for examples).</w:t>
            </w:r>
          </w:p>
          <w:p w14:paraId="5FFEE454" w14:textId="77777777" w:rsidR="00915895" w:rsidRDefault="00915895" w:rsidP="00915895">
            <w:pPr>
              <w:pStyle w:val="ListParagraph"/>
              <w:numPr>
                <w:ilvl w:val="0"/>
                <w:numId w:val="4"/>
              </w:numPr>
              <w:spacing w:before="240"/>
            </w:pPr>
            <w:r>
              <w:t xml:space="preserve">It is important to find out which medicines are giving children side effects. </w:t>
            </w:r>
          </w:p>
          <w:p w14:paraId="508A543D" w14:textId="77777777" w:rsidR="00915895" w:rsidRPr="001E072B" w:rsidRDefault="00915895" w:rsidP="00915895">
            <w:pPr>
              <w:pStyle w:val="ListParagraph"/>
              <w:numPr>
                <w:ilvl w:val="0"/>
                <w:numId w:val="4"/>
              </w:numPr>
              <w:spacing w:before="240"/>
            </w:pPr>
            <w:r>
              <w:t xml:space="preserve">A </w:t>
            </w:r>
            <w:r w:rsidRPr="008A5918">
              <w:rPr>
                <w:b/>
              </w:rPr>
              <w:t xml:space="preserve">Yellow Card </w:t>
            </w:r>
            <w:r>
              <w:t xml:space="preserve">report about a medicine is a </w:t>
            </w:r>
            <w:r w:rsidRPr="008A5918">
              <w:rPr>
                <w:b/>
              </w:rPr>
              <w:t>WARNING</w:t>
            </w:r>
            <w:r>
              <w:t xml:space="preserve"> that it might cause side effects!</w:t>
            </w:r>
          </w:p>
          <w:p w14:paraId="65CE8D50" w14:textId="77777777" w:rsidR="00915895" w:rsidRDefault="00915895" w:rsidP="00915895">
            <w:pPr>
              <w:pStyle w:val="ListParagraph"/>
              <w:numPr>
                <w:ilvl w:val="0"/>
                <w:numId w:val="4"/>
              </w:numPr>
              <w:spacing w:before="240"/>
            </w:pPr>
            <w:r>
              <w:t>If you think you may have a side effect, tell an adult you trust.</w:t>
            </w:r>
          </w:p>
          <w:p w14:paraId="40101825" w14:textId="77777777" w:rsidR="00915895" w:rsidRDefault="00915895" w:rsidP="00915895">
            <w:pPr>
              <w:pStyle w:val="ListParagraph"/>
              <w:numPr>
                <w:ilvl w:val="0"/>
                <w:numId w:val="4"/>
              </w:numPr>
              <w:spacing w:before="240"/>
            </w:pPr>
            <w:r>
              <w:t xml:space="preserve">You, or an adult you trust, can help by filling out a </w:t>
            </w:r>
            <w:r w:rsidRPr="008A5918">
              <w:rPr>
                <w:b/>
              </w:rPr>
              <w:t>Yellow Card Report</w:t>
            </w:r>
            <w:r>
              <w:t xml:space="preserve"> about </w:t>
            </w:r>
            <w:r w:rsidRPr="008A5918">
              <w:rPr>
                <w:b/>
              </w:rPr>
              <w:t xml:space="preserve">ANY </w:t>
            </w:r>
            <w:r>
              <w:t>medicine you think may have given you a side effect.</w:t>
            </w:r>
          </w:p>
        </w:tc>
        <w:tc>
          <w:tcPr>
            <w:tcW w:w="3634" w:type="dxa"/>
          </w:tcPr>
          <w:p w14:paraId="447B145D" w14:textId="77777777" w:rsidR="00915895" w:rsidRDefault="00915895" w:rsidP="002F7462">
            <w:pPr>
              <w:pStyle w:val="ListParagraph"/>
              <w:spacing w:before="240"/>
            </w:pPr>
          </w:p>
          <w:p w14:paraId="40C91438" w14:textId="77777777" w:rsidR="00915895" w:rsidRDefault="00915895" w:rsidP="00915895">
            <w:pPr>
              <w:pStyle w:val="ListParagraph"/>
              <w:numPr>
                <w:ilvl w:val="0"/>
                <w:numId w:val="4"/>
              </w:numPr>
              <w:spacing w:before="240"/>
            </w:pPr>
            <w:r>
              <w:t>There are lots of different side effects, including:</w:t>
            </w:r>
          </w:p>
          <w:p w14:paraId="7D19796A" w14:textId="77777777" w:rsidR="00915895" w:rsidRPr="00F806CA" w:rsidRDefault="00915895" w:rsidP="002F7462">
            <w:pPr>
              <w:pStyle w:val="ListParagraph"/>
              <w:spacing w:before="240"/>
              <w:rPr>
                <w:sz w:val="16"/>
                <w:szCs w:val="16"/>
              </w:rPr>
            </w:pPr>
          </w:p>
          <w:p w14:paraId="5553C5E0" w14:textId="77777777" w:rsidR="00915895" w:rsidRDefault="00915895" w:rsidP="00915895">
            <w:pPr>
              <w:pStyle w:val="ListParagraph"/>
              <w:numPr>
                <w:ilvl w:val="0"/>
                <w:numId w:val="4"/>
              </w:numPr>
              <w:spacing w:before="240"/>
            </w:pPr>
            <w:r>
              <w:t>Diarrhoea</w:t>
            </w:r>
          </w:p>
          <w:p w14:paraId="09DB11A6" w14:textId="073AA239" w:rsidR="00915895" w:rsidRDefault="00915895" w:rsidP="00915895">
            <w:pPr>
              <w:pStyle w:val="ListParagraph"/>
              <w:numPr>
                <w:ilvl w:val="0"/>
                <w:numId w:val="4"/>
              </w:numPr>
              <w:spacing w:before="240"/>
            </w:pPr>
            <w:r>
              <w:t>Constipation</w:t>
            </w:r>
            <w:r w:rsidR="00DB524E">
              <w:t xml:space="preserve"> (difficult to poo)</w:t>
            </w:r>
          </w:p>
          <w:p w14:paraId="3440B6AB" w14:textId="77777777" w:rsidR="00915895" w:rsidRDefault="00915895" w:rsidP="00915895">
            <w:pPr>
              <w:pStyle w:val="ListParagraph"/>
              <w:numPr>
                <w:ilvl w:val="0"/>
                <w:numId w:val="4"/>
              </w:numPr>
              <w:spacing w:before="240"/>
            </w:pPr>
            <w:r>
              <w:t>Feeling/Being sick</w:t>
            </w:r>
          </w:p>
          <w:p w14:paraId="31AC7BCA" w14:textId="77777777" w:rsidR="00915895" w:rsidRDefault="00915895" w:rsidP="00915895">
            <w:pPr>
              <w:pStyle w:val="ListParagraph"/>
              <w:numPr>
                <w:ilvl w:val="0"/>
                <w:numId w:val="4"/>
              </w:numPr>
              <w:spacing w:before="240"/>
            </w:pPr>
            <w:r>
              <w:t>Rash/Itching</w:t>
            </w:r>
          </w:p>
          <w:p w14:paraId="4115BAAA" w14:textId="77777777" w:rsidR="00915895" w:rsidRDefault="00915895" w:rsidP="00915895">
            <w:pPr>
              <w:pStyle w:val="ListParagraph"/>
              <w:numPr>
                <w:ilvl w:val="0"/>
                <w:numId w:val="4"/>
              </w:numPr>
              <w:spacing w:before="240"/>
            </w:pPr>
            <w:r>
              <w:t xml:space="preserve">Tummy pain </w:t>
            </w:r>
          </w:p>
          <w:p w14:paraId="79A6F421" w14:textId="77777777" w:rsidR="00915895" w:rsidRDefault="00915895" w:rsidP="00915895">
            <w:pPr>
              <w:pStyle w:val="ListParagraph"/>
              <w:numPr>
                <w:ilvl w:val="0"/>
                <w:numId w:val="4"/>
              </w:numPr>
              <w:spacing w:before="240"/>
            </w:pPr>
            <w:r>
              <w:t>Pain in other parts of body</w:t>
            </w:r>
          </w:p>
          <w:p w14:paraId="14F0972B" w14:textId="77777777" w:rsidR="00915895" w:rsidRDefault="00915895" w:rsidP="00915895">
            <w:pPr>
              <w:pStyle w:val="ListParagraph"/>
              <w:numPr>
                <w:ilvl w:val="0"/>
                <w:numId w:val="4"/>
              </w:numPr>
              <w:spacing w:before="240"/>
            </w:pPr>
            <w:r>
              <w:t>Headache</w:t>
            </w:r>
          </w:p>
          <w:p w14:paraId="6CE405CA" w14:textId="77777777" w:rsidR="00915895" w:rsidRDefault="00915895" w:rsidP="00915895">
            <w:pPr>
              <w:pStyle w:val="ListParagraph"/>
              <w:numPr>
                <w:ilvl w:val="0"/>
                <w:numId w:val="4"/>
              </w:numPr>
              <w:spacing w:before="240"/>
            </w:pPr>
            <w:r>
              <w:t>Sweating</w:t>
            </w:r>
          </w:p>
          <w:p w14:paraId="02BF06EE" w14:textId="77777777" w:rsidR="00915895" w:rsidRDefault="00915895" w:rsidP="00915895">
            <w:pPr>
              <w:pStyle w:val="ListParagraph"/>
              <w:numPr>
                <w:ilvl w:val="0"/>
                <w:numId w:val="4"/>
              </w:numPr>
              <w:spacing w:before="240"/>
            </w:pPr>
            <w:r>
              <w:t>Eating less or more than usual</w:t>
            </w:r>
          </w:p>
          <w:p w14:paraId="75798557" w14:textId="77777777" w:rsidR="00915895" w:rsidRDefault="00915895" w:rsidP="00915895">
            <w:pPr>
              <w:pStyle w:val="ListParagraph"/>
              <w:numPr>
                <w:ilvl w:val="0"/>
                <w:numId w:val="4"/>
              </w:numPr>
              <w:spacing w:before="240"/>
            </w:pPr>
            <w:r>
              <w:t>Feel your own heartbeat</w:t>
            </w:r>
          </w:p>
          <w:p w14:paraId="51FD533E" w14:textId="77777777" w:rsidR="00915895" w:rsidRDefault="00915895" w:rsidP="00915895">
            <w:pPr>
              <w:pStyle w:val="ListParagraph"/>
              <w:numPr>
                <w:ilvl w:val="0"/>
                <w:numId w:val="4"/>
              </w:numPr>
              <w:spacing w:before="240"/>
            </w:pPr>
            <w:r>
              <w:t>High temperature</w:t>
            </w:r>
          </w:p>
          <w:p w14:paraId="7E6F4D02" w14:textId="77777777" w:rsidR="00915895" w:rsidRDefault="00915895" w:rsidP="00915895">
            <w:pPr>
              <w:pStyle w:val="ListParagraph"/>
              <w:numPr>
                <w:ilvl w:val="0"/>
                <w:numId w:val="4"/>
              </w:numPr>
              <w:spacing w:before="240"/>
            </w:pPr>
            <w:r>
              <w:t>More or less sleepy</w:t>
            </w:r>
          </w:p>
          <w:p w14:paraId="0EEA3D9D" w14:textId="77777777" w:rsidR="00915895" w:rsidRDefault="00915895" w:rsidP="00915895">
            <w:pPr>
              <w:pStyle w:val="ListParagraph"/>
              <w:numPr>
                <w:ilvl w:val="0"/>
                <w:numId w:val="4"/>
              </w:numPr>
              <w:spacing w:before="240"/>
            </w:pPr>
            <w:r>
              <w:t>Feeling very sad</w:t>
            </w:r>
          </w:p>
          <w:p w14:paraId="4B4A7B7D" w14:textId="77777777" w:rsidR="00915895" w:rsidRDefault="00915895" w:rsidP="00915895">
            <w:pPr>
              <w:pStyle w:val="ListParagraph"/>
              <w:numPr>
                <w:ilvl w:val="0"/>
                <w:numId w:val="4"/>
              </w:numPr>
              <w:spacing w:before="240"/>
            </w:pPr>
            <w:r>
              <w:t xml:space="preserve">Fainting </w:t>
            </w:r>
          </w:p>
          <w:p w14:paraId="0475C2BF" w14:textId="2667F376" w:rsidR="00915895" w:rsidRPr="00DB524E" w:rsidRDefault="00915895" w:rsidP="00DB524E">
            <w:pPr>
              <w:pStyle w:val="ListParagraph"/>
              <w:numPr>
                <w:ilvl w:val="0"/>
                <w:numId w:val="4"/>
              </w:numPr>
              <w:spacing w:before="240"/>
            </w:pPr>
            <w:r>
              <w:t>Bad dreams/nightmares</w:t>
            </w:r>
          </w:p>
          <w:p w14:paraId="34BCC60C" w14:textId="77777777" w:rsidR="00915895" w:rsidRDefault="00915895" w:rsidP="00915895">
            <w:pPr>
              <w:pStyle w:val="ListParagraph"/>
              <w:numPr>
                <w:ilvl w:val="0"/>
                <w:numId w:val="4"/>
              </w:numPr>
              <w:spacing w:before="240"/>
            </w:pPr>
            <w:r>
              <w:t>The side effect you are worried about may not be on the leaflet in the medicine box, that is ok, you can still report.</w:t>
            </w:r>
          </w:p>
        </w:tc>
        <w:tc>
          <w:tcPr>
            <w:tcW w:w="3501" w:type="dxa"/>
          </w:tcPr>
          <w:p w14:paraId="490677BA" w14:textId="77777777" w:rsidR="00915895" w:rsidRDefault="00915895" w:rsidP="002F7462">
            <w:pPr>
              <w:pStyle w:val="ListParagraph"/>
              <w:spacing w:before="240"/>
            </w:pPr>
          </w:p>
          <w:p w14:paraId="182BEB59" w14:textId="77777777" w:rsidR="00915895" w:rsidRDefault="00915895" w:rsidP="00915895">
            <w:pPr>
              <w:pStyle w:val="ListParagraph"/>
              <w:numPr>
                <w:ilvl w:val="0"/>
                <w:numId w:val="4"/>
              </w:numPr>
              <w:spacing w:before="240"/>
            </w:pPr>
            <w:r>
              <w:t>If you use a medicine that you (or your family) think has given you ‘side effects’.</w:t>
            </w:r>
          </w:p>
          <w:p w14:paraId="67F06176" w14:textId="77777777" w:rsidR="00915895" w:rsidRDefault="00915895" w:rsidP="00915895">
            <w:pPr>
              <w:pStyle w:val="ListParagraph"/>
              <w:numPr>
                <w:ilvl w:val="0"/>
                <w:numId w:val="4"/>
              </w:numPr>
              <w:spacing w:before="240"/>
            </w:pPr>
            <w:r>
              <w:t>The medicine may have come from a doctor, pharmacy, or a shop, it doesn’t matter, all can be reported.</w:t>
            </w:r>
          </w:p>
          <w:p w14:paraId="0BD7EB8C" w14:textId="77777777" w:rsidR="00915895" w:rsidRDefault="00915895" w:rsidP="00915895">
            <w:pPr>
              <w:pStyle w:val="ListParagraph"/>
              <w:numPr>
                <w:ilvl w:val="0"/>
                <w:numId w:val="4"/>
              </w:numPr>
              <w:spacing w:before="240"/>
            </w:pPr>
            <w:r>
              <w:t>If you take more than one medicine, and are not sure which one caused the side effect, you can put the names of all the medicines on the report.</w:t>
            </w:r>
          </w:p>
          <w:p w14:paraId="7574211D" w14:textId="77777777" w:rsidR="00915895" w:rsidRDefault="00915895" w:rsidP="00915895">
            <w:pPr>
              <w:pStyle w:val="ListParagraph"/>
              <w:numPr>
                <w:ilvl w:val="0"/>
                <w:numId w:val="4"/>
              </w:numPr>
              <w:spacing w:before="240"/>
            </w:pPr>
            <w:r>
              <w:t xml:space="preserve">Reporting side effects can help doctors, by letting them know about new side effects. </w:t>
            </w:r>
          </w:p>
          <w:p w14:paraId="03274BC7" w14:textId="77777777" w:rsidR="00915895" w:rsidRDefault="00915895" w:rsidP="00915895">
            <w:pPr>
              <w:pStyle w:val="ListParagraph"/>
              <w:numPr>
                <w:ilvl w:val="0"/>
                <w:numId w:val="4"/>
              </w:numPr>
              <w:spacing w:before="240"/>
            </w:pPr>
            <w:r>
              <w:t xml:space="preserve">Medicines that cause unwanted side effects may need to be checked again! </w:t>
            </w:r>
          </w:p>
          <w:p w14:paraId="1592B6AF" w14:textId="77777777" w:rsidR="00915895" w:rsidRDefault="00915895" w:rsidP="002F7462">
            <w:pPr>
              <w:spacing w:before="240"/>
            </w:pPr>
          </w:p>
        </w:tc>
        <w:tc>
          <w:tcPr>
            <w:tcW w:w="4130" w:type="dxa"/>
          </w:tcPr>
          <w:p w14:paraId="3877238E" w14:textId="6978F604" w:rsidR="00915895" w:rsidRDefault="00915895" w:rsidP="00915895">
            <w:pPr>
              <w:pStyle w:val="ListParagraph"/>
              <w:numPr>
                <w:ilvl w:val="0"/>
                <w:numId w:val="4"/>
              </w:numPr>
              <w:spacing w:before="240"/>
            </w:pPr>
            <w:r>
              <w:t>You should get the help of an adult you trust</w:t>
            </w:r>
            <w:r w:rsidR="00AC275E">
              <w:t>,</w:t>
            </w:r>
            <w:r>
              <w:t xml:space="preserve"> who knows a lot about you. They need to know about why you use medicines, which medicines you use, and what side effect you are worried about.</w:t>
            </w:r>
          </w:p>
          <w:p w14:paraId="4D9BD01B" w14:textId="77777777" w:rsidR="00915895" w:rsidRDefault="00915895" w:rsidP="002F7462">
            <w:pPr>
              <w:pStyle w:val="ListParagraph"/>
              <w:spacing w:before="240"/>
            </w:pPr>
          </w:p>
          <w:p w14:paraId="6D8B8D9F" w14:textId="77777777" w:rsidR="00915895" w:rsidRDefault="00915895" w:rsidP="00915895">
            <w:pPr>
              <w:pStyle w:val="ListParagraph"/>
              <w:numPr>
                <w:ilvl w:val="0"/>
                <w:numId w:val="4"/>
              </w:numPr>
              <w:spacing w:before="240"/>
            </w:pPr>
            <w:r>
              <w:t>The Yellow Card report can be filled in a number of different ways:</w:t>
            </w:r>
          </w:p>
          <w:p w14:paraId="1DC50998" w14:textId="77777777" w:rsidR="00915895" w:rsidRDefault="00915895" w:rsidP="002F7462">
            <w:pPr>
              <w:pStyle w:val="ListParagraph"/>
              <w:spacing w:before="240"/>
            </w:pPr>
          </w:p>
          <w:p w14:paraId="2B0DD760" w14:textId="6E14F201" w:rsidR="00915895" w:rsidRDefault="00915895" w:rsidP="00915895">
            <w:pPr>
              <w:pStyle w:val="ListParagraph"/>
              <w:numPr>
                <w:ilvl w:val="0"/>
                <w:numId w:val="5"/>
              </w:numPr>
              <w:spacing w:before="240"/>
            </w:pPr>
            <w:r>
              <w:t>Using a computer</w:t>
            </w:r>
            <w:r w:rsidR="00DB524E">
              <w:t xml:space="preserve"> (with permission)</w:t>
            </w:r>
            <w:r>
              <w:t xml:space="preserve">, go to </w:t>
            </w:r>
          </w:p>
          <w:p w14:paraId="68DF2F14" w14:textId="19439A07" w:rsidR="00915895" w:rsidRDefault="00915895" w:rsidP="00915895">
            <w:pPr>
              <w:pStyle w:val="ListParagraph"/>
              <w:spacing w:before="240"/>
            </w:pPr>
            <w:r w:rsidRPr="00915895">
              <w:rPr>
                <w:rStyle w:val="Hyperlink"/>
              </w:rPr>
              <w:t>www.mhra.gov.uk/yellowcard</w:t>
            </w:r>
          </w:p>
          <w:p w14:paraId="7C78459E" w14:textId="310534D9" w:rsidR="00915895" w:rsidRPr="00915895" w:rsidRDefault="00915895" w:rsidP="00915895">
            <w:pPr>
              <w:pStyle w:val="ListParagraph"/>
              <w:numPr>
                <w:ilvl w:val="0"/>
                <w:numId w:val="5"/>
              </w:numPr>
              <w:spacing w:before="240"/>
            </w:pPr>
            <w:r>
              <w:t>Using the Yellow card app on a mobile phone</w:t>
            </w:r>
          </w:p>
          <w:p w14:paraId="2D13BB3B" w14:textId="77777777" w:rsidR="00915895" w:rsidRDefault="00915895" w:rsidP="00915895">
            <w:pPr>
              <w:pStyle w:val="ListParagraph"/>
              <w:numPr>
                <w:ilvl w:val="0"/>
                <w:numId w:val="5"/>
              </w:numPr>
              <w:spacing w:before="240"/>
            </w:pPr>
            <w:r>
              <w:t xml:space="preserve">By going to tell your doctor, nurse or pharmacist about it </w:t>
            </w:r>
          </w:p>
          <w:p w14:paraId="69029196" w14:textId="77777777" w:rsidR="00915895" w:rsidRDefault="00915895" w:rsidP="002F7462">
            <w:pPr>
              <w:pStyle w:val="ListParagraph"/>
              <w:spacing w:before="240"/>
            </w:pPr>
          </w:p>
          <w:p w14:paraId="22980874" w14:textId="77777777" w:rsidR="00915895" w:rsidRDefault="00915895" w:rsidP="00915895">
            <w:pPr>
              <w:pStyle w:val="ListParagraph"/>
              <w:numPr>
                <w:ilvl w:val="0"/>
                <w:numId w:val="6"/>
              </w:numPr>
              <w:spacing w:before="240"/>
            </w:pPr>
            <w:r>
              <w:t>All Yellow Card Reports go to the Medicines and Healthcare Regulatory Agency (MHRA), who make sure medicines in the UK are safe.</w:t>
            </w:r>
          </w:p>
        </w:tc>
      </w:tr>
    </w:tbl>
    <w:p w14:paraId="73D309DA" w14:textId="19604302" w:rsidR="00B56EE8" w:rsidRPr="00915895" w:rsidRDefault="00915895" w:rsidP="00B56EE8">
      <w:pPr>
        <w:pStyle w:val="Heading3"/>
        <w:rPr>
          <w:sz w:val="22"/>
          <w:szCs w:val="22"/>
        </w:rPr>
      </w:pPr>
      <w:r w:rsidRPr="00915895">
        <w:rPr>
          <w:sz w:val="22"/>
          <w:szCs w:val="22"/>
        </w:rPr>
        <w:t>Figure 1</w:t>
      </w:r>
      <w:r w:rsidR="00B56EE8" w:rsidRPr="00915895">
        <w:rPr>
          <w:sz w:val="22"/>
          <w:szCs w:val="22"/>
        </w:rPr>
        <w:t>: Final text of information for children and young people age &lt;11 years old</w:t>
      </w:r>
    </w:p>
    <w:p w14:paraId="3A68589B" w14:textId="77777777" w:rsidR="00B56EE8" w:rsidRDefault="00B56EE8" w:rsidP="00775B9E">
      <w:pPr>
        <w:sectPr w:rsidR="00B56EE8" w:rsidSect="00787D54">
          <w:pgSz w:w="16838" w:h="11906" w:orient="landscape"/>
          <w:pgMar w:top="1440" w:right="1440" w:bottom="1440" w:left="1440" w:header="708" w:footer="708" w:gutter="0"/>
          <w:cols w:space="708"/>
          <w:docGrid w:linePitch="360"/>
        </w:sectPr>
      </w:pPr>
    </w:p>
    <w:tbl>
      <w:tblPr>
        <w:tblStyle w:val="TableGrid"/>
        <w:tblW w:w="14070" w:type="dxa"/>
        <w:tblLayout w:type="fixed"/>
        <w:tblLook w:val="04A0" w:firstRow="1" w:lastRow="0" w:firstColumn="1" w:lastColumn="0" w:noHBand="0" w:noVBand="1"/>
      </w:tblPr>
      <w:tblGrid>
        <w:gridCol w:w="3517"/>
        <w:gridCol w:w="3518"/>
        <w:gridCol w:w="3517"/>
        <w:gridCol w:w="3518"/>
      </w:tblGrid>
      <w:tr w:rsidR="00915895" w:rsidRPr="00B85E49" w14:paraId="734784DA" w14:textId="77777777" w:rsidTr="002F7462">
        <w:trPr>
          <w:trHeight w:val="841"/>
        </w:trPr>
        <w:tc>
          <w:tcPr>
            <w:tcW w:w="3517" w:type="dxa"/>
            <w:vAlign w:val="center"/>
          </w:tcPr>
          <w:p w14:paraId="018E23C0" w14:textId="77777777" w:rsidR="00915895" w:rsidRPr="00B85E49" w:rsidRDefault="00915895" w:rsidP="002F7462">
            <w:pPr>
              <w:jc w:val="center"/>
              <w:rPr>
                <w:b/>
              </w:rPr>
            </w:pPr>
            <w:r w:rsidRPr="00B85E49">
              <w:rPr>
                <w:b/>
              </w:rPr>
              <w:lastRenderedPageBreak/>
              <w:t>What are Side Effects, and Yellow Card Reports?</w:t>
            </w:r>
          </w:p>
        </w:tc>
        <w:tc>
          <w:tcPr>
            <w:tcW w:w="3518" w:type="dxa"/>
            <w:vAlign w:val="center"/>
          </w:tcPr>
          <w:p w14:paraId="44FE22E3" w14:textId="77777777" w:rsidR="00915895" w:rsidRPr="00B85E49" w:rsidRDefault="00915895" w:rsidP="002F7462">
            <w:pPr>
              <w:jc w:val="center"/>
              <w:rPr>
                <w:b/>
              </w:rPr>
            </w:pPr>
            <w:r w:rsidRPr="00B85E49">
              <w:rPr>
                <w:b/>
              </w:rPr>
              <w:t>What to Report?</w:t>
            </w:r>
          </w:p>
        </w:tc>
        <w:tc>
          <w:tcPr>
            <w:tcW w:w="3517" w:type="dxa"/>
            <w:vAlign w:val="center"/>
          </w:tcPr>
          <w:p w14:paraId="648D49C3" w14:textId="77777777" w:rsidR="00915895" w:rsidRPr="00B85E49" w:rsidRDefault="00915895" w:rsidP="002F7462">
            <w:pPr>
              <w:jc w:val="center"/>
              <w:rPr>
                <w:b/>
              </w:rPr>
            </w:pPr>
            <w:r w:rsidRPr="00B85E49">
              <w:rPr>
                <w:b/>
              </w:rPr>
              <w:t>When to Report?</w:t>
            </w:r>
          </w:p>
        </w:tc>
        <w:tc>
          <w:tcPr>
            <w:tcW w:w="3518" w:type="dxa"/>
            <w:vAlign w:val="center"/>
          </w:tcPr>
          <w:p w14:paraId="1B53A757" w14:textId="77777777" w:rsidR="00915895" w:rsidRPr="00B85E49" w:rsidRDefault="00915895" w:rsidP="002F7462">
            <w:pPr>
              <w:jc w:val="center"/>
              <w:rPr>
                <w:b/>
              </w:rPr>
            </w:pPr>
            <w:r w:rsidRPr="00B85E49">
              <w:rPr>
                <w:b/>
              </w:rPr>
              <w:t>How to Report?</w:t>
            </w:r>
          </w:p>
        </w:tc>
      </w:tr>
      <w:tr w:rsidR="00915895" w14:paraId="6615EFF2" w14:textId="77777777" w:rsidTr="00F806CA">
        <w:trPr>
          <w:trHeight w:val="7784"/>
        </w:trPr>
        <w:tc>
          <w:tcPr>
            <w:tcW w:w="3517" w:type="dxa"/>
          </w:tcPr>
          <w:p w14:paraId="19C08DA4" w14:textId="77777777" w:rsidR="00915895" w:rsidRDefault="00915895" w:rsidP="00915895">
            <w:pPr>
              <w:pStyle w:val="ListParagraph"/>
              <w:numPr>
                <w:ilvl w:val="0"/>
                <w:numId w:val="7"/>
              </w:numPr>
              <w:spacing w:before="240"/>
            </w:pPr>
            <w:r>
              <w:t xml:space="preserve">If a medicine causes you problems (symptoms) or makes you feel unwell, this may be a ‘Side Effect’. </w:t>
            </w:r>
          </w:p>
          <w:p w14:paraId="0B069C88" w14:textId="77777777" w:rsidR="00915895" w:rsidRDefault="00915895" w:rsidP="00915895">
            <w:pPr>
              <w:pStyle w:val="ListParagraph"/>
              <w:numPr>
                <w:ilvl w:val="0"/>
                <w:numId w:val="7"/>
              </w:numPr>
              <w:spacing w:before="240"/>
            </w:pPr>
            <w:r>
              <w:t>Side effects that are already known are on the information sheet that comes with your medicine.</w:t>
            </w:r>
          </w:p>
          <w:p w14:paraId="17AFB99E" w14:textId="77777777" w:rsidR="00915895" w:rsidRDefault="00915895" w:rsidP="00915895">
            <w:pPr>
              <w:pStyle w:val="ListParagraph"/>
              <w:numPr>
                <w:ilvl w:val="0"/>
                <w:numId w:val="7"/>
              </w:numPr>
              <w:spacing w:before="240"/>
            </w:pPr>
            <w:r>
              <w:t xml:space="preserve">You can report </w:t>
            </w:r>
            <w:r w:rsidRPr="00B85E49">
              <w:rPr>
                <w:b/>
              </w:rPr>
              <w:t>ANY</w:t>
            </w:r>
            <w:r>
              <w:t xml:space="preserve"> side effect, serious or not, from </w:t>
            </w:r>
            <w:r w:rsidRPr="00B85E49">
              <w:rPr>
                <w:b/>
              </w:rPr>
              <w:t>ANY</w:t>
            </w:r>
            <w:r>
              <w:t xml:space="preserve"> medicine, using a</w:t>
            </w:r>
            <w:r w:rsidRPr="00AA1993">
              <w:t xml:space="preserve"> Y</w:t>
            </w:r>
            <w:r>
              <w:t xml:space="preserve">ellow </w:t>
            </w:r>
            <w:r w:rsidRPr="00AA1993">
              <w:t>C</w:t>
            </w:r>
            <w:r>
              <w:t>ard</w:t>
            </w:r>
            <w:r w:rsidRPr="00AA1993">
              <w:t xml:space="preserve"> report. By reporting a side effect</w:t>
            </w:r>
            <w:r>
              <w:t>,</w:t>
            </w:r>
            <w:r w:rsidRPr="00AA1993">
              <w:t xml:space="preserve"> you help make medicines safer.</w:t>
            </w:r>
            <w:r w:rsidRPr="0067446A">
              <w:t xml:space="preserve"> </w:t>
            </w:r>
          </w:p>
          <w:p w14:paraId="4B709C51" w14:textId="77777777" w:rsidR="00915895" w:rsidRDefault="00915895" w:rsidP="00915895">
            <w:pPr>
              <w:pStyle w:val="ListParagraph"/>
              <w:numPr>
                <w:ilvl w:val="0"/>
                <w:numId w:val="7"/>
              </w:numPr>
              <w:spacing w:before="240"/>
            </w:pPr>
            <w:r w:rsidRPr="00760D7A">
              <w:rPr>
                <w:b/>
              </w:rPr>
              <w:t>Yellow Card</w:t>
            </w:r>
            <w:r>
              <w:rPr>
                <w:b/>
              </w:rPr>
              <w:t xml:space="preserve"> r</w:t>
            </w:r>
            <w:r>
              <w:t>eports help discover new, sometimes serious, side effects from medicines.</w:t>
            </w:r>
          </w:p>
          <w:p w14:paraId="3A29B8ED" w14:textId="77777777" w:rsidR="00915895" w:rsidRDefault="00915895" w:rsidP="00915895">
            <w:pPr>
              <w:pStyle w:val="ListParagraph"/>
              <w:numPr>
                <w:ilvl w:val="0"/>
                <w:numId w:val="7"/>
              </w:numPr>
              <w:spacing w:before="240"/>
            </w:pPr>
            <w:r>
              <w:t>Some medicines are used differently, or not used anymore at all, because of Yellow Card Reports.</w:t>
            </w:r>
          </w:p>
        </w:tc>
        <w:tc>
          <w:tcPr>
            <w:tcW w:w="3518" w:type="dxa"/>
          </w:tcPr>
          <w:p w14:paraId="6DA82C58" w14:textId="77777777" w:rsidR="00915895" w:rsidRPr="00B85E49" w:rsidRDefault="00915895" w:rsidP="002F7462">
            <w:pPr>
              <w:pStyle w:val="ListParagraph"/>
              <w:spacing w:before="240"/>
            </w:pPr>
          </w:p>
          <w:p w14:paraId="67BA1A69" w14:textId="77777777" w:rsidR="00915895" w:rsidRDefault="00915895" w:rsidP="00915895">
            <w:pPr>
              <w:pStyle w:val="ListParagraph"/>
              <w:numPr>
                <w:ilvl w:val="0"/>
                <w:numId w:val="7"/>
              </w:numPr>
              <w:spacing w:before="240"/>
            </w:pPr>
            <w:r w:rsidRPr="00B85E49">
              <w:rPr>
                <w:b/>
              </w:rPr>
              <w:t>ANY</w:t>
            </w:r>
            <w:r>
              <w:t xml:space="preserve"> of your medicines that you think gives you a side effect.</w:t>
            </w:r>
          </w:p>
          <w:p w14:paraId="69942474" w14:textId="77777777" w:rsidR="00915895" w:rsidRDefault="00915895" w:rsidP="00915895">
            <w:pPr>
              <w:pStyle w:val="ListParagraph"/>
              <w:numPr>
                <w:ilvl w:val="0"/>
                <w:numId w:val="7"/>
              </w:numPr>
              <w:spacing w:before="240"/>
            </w:pPr>
            <w:r>
              <w:t>It doesn’t matter what the side effect is, or how serious it is, it is ok complete a Yellow card.</w:t>
            </w:r>
          </w:p>
          <w:p w14:paraId="73476F12" w14:textId="77777777" w:rsidR="00915895" w:rsidRDefault="00915895" w:rsidP="00915895">
            <w:pPr>
              <w:pStyle w:val="ListParagraph"/>
              <w:numPr>
                <w:ilvl w:val="0"/>
                <w:numId w:val="7"/>
              </w:numPr>
              <w:spacing w:before="240"/>
            </w:pPr>
            <w:r>
              <w:t xml:space="preserve">It is especially important if the side effect you have is </w:t>
            </w:r>
            <w:r w:rsidRPr="00340C33">
              <w:rPr>
                <w:b/>
              </w:rPr>
              <w:t>not</w:t>
            </w:r>
            <w:r>
              <w:t xml:space="preserve"> already in the medicine’s information leaflet.</w:t>
            </w:r>
          </w:p>
          <w:p w14:paraId="167D0C30" w14:textId="77777777" w:rsidR="00915895" w:rsidRDefault="00915895" w:rsidP="00915895">
            <w:pPr>
              <w:pStyle w:val="ListParagraph"/>
              <w:numPr>
                <w:ilvl w:val="0"/>
                <w:numId w:val="7"/>
              </w:numPr>
              <w:spacing w:before="240"/>
            </w:pPr>
            <w:r w:rsidRPr="0067446A">
              <w:t>Side effects to medicines bought in shops, over the counter in pharmacies and to herbal remedies can be reported.</w:t>
            </w:r>
            <w:r w:rsidDel="0067446A">
              <w:t xml:space="preserve"> </w:t>
            </w:r>
          </w:p>
          <w:p w14:paraId="564950A6" w14:textId="77777777" w:rsidR="00915895" w:rsidRDefault="00915895" w:rsidP="00915895">
            <w:pPr>
              <w:pStyle w:val="ListParagraph"/>
              <w:numPr>
                <w:ilvl w:val="0"/>
                <w:numId w:val="7"/>
              </w:numPr>
              <w:spacing w:before="240"/>
            </w:pPr>
            <w:r>
              <w:t>If you are taking more than one medication, or have more than one side effect, you can report them all on a single Yellow Card Report.</w:t>
            </w:r>
          </w:p>
          <w:p w14:paraId="55A7C785" w14:textId="77777777" w:rsidR="00915895" w:rsidRDefault="00915895" w:rsidP="002F7462">
            <w:pPr>
              <w:pStyle w:val="ListParagraph"/>
              <w:spacing w:before="240"/>
            </w:pPr>
          </w:p>
        </w:tc>
        <w:tc>
          <w:tcPr>
            <w:tcW w:w="3517" w:type="dxa"/>
          </w:tcPr>
          <w:p w14:paraId="209E23A4" w14:textId="77777777" w:rsidR="00915895" w:rsidRDefault="00915895" w:rsidP="002F7462">
            <w:pPr>
              <w:pStyle w:val="ListParagraph"/>
              <w:spacing w:before="240"/>
            </w:pPr>
          </w:p>
          <w:p w14:paraId="6DCA1AC0" w14:textId="77777777" w:rsidR="00915895" w:rsidRDefault="00915895" w:rsidP="00915895">
            <w:pPr>
              <w:pStyle w:val="ListParagraph"/>
              <w:numPr>
                <w:ilvl w:val="0"/>
                <w:numId w:val="7"/>
              </w:numPr>
              <w:spacing w:before="240"/>
            </w:pPr>
            <w:r>
              <w:t>The most important thing is to look after your health, so arrange to see a doctor, or phone 111 for advice, if you are worried you might have a side effect.</w:t>
            </w:r>
          </w:p>
          <w:p w14:paraId="7D711F39" w14:textId="77777777" w:rsidR="00915895" w:rsidRDefault="00915895" w:rsidP="00915895">
            <w:pPr>
              <w:pStyle w:val="ListParagraph"/>
              <w:numPr>
                <w:ilvl w:val="0"/>
                <w:numId w:val="7"/>
              </w:numPr>
              <w:spacing w:before="240"/>
            </w:pPr>
            <w:r>
              <w:t xml:space="preserve">You can report a suspected side effect from a medicine you are taking now or after you have stopped it. </w:t>
            </w:r>
          </w:p>
          <w:p w14:paraId="77C7C810" w14:textId="77777777" w:rsidR="00915895" w:rsidRDefault="00915895" w:rsidP="00915895">
            <w:pPr>
              <w:pStyle w:val="ListParagraph"/>
              <w:numPr>
                <w:ilvl w:val="0"/>
                <w:numId w:val="7"/>
              </w:numPr>
              <w:spacing w:before="240"/>
            </w:pPr>
            <w:r>
              <w:t>You can report the side effect you are worried about if you are responsible for that person, or any other person you are close to e.g. your sibling.</w:t>
            </w:r>
          </w:p>
          <w:p w14:paraId="4652FF7B" w14:textId="77777777" w:rsidR="00915895" w:rsidRDefault="00915895" w:rsidP="002F7462">
            <w:pPr>
              <w:pStyle w:val="ListParagraph"/>
              <w:spacing w:before="240"/>
            </w:pPr>
          </w:p>
        </w:tc>
        <w:tc>
          <w:tcPr>
            <w:tcW w:w="3518" w:type="dxa"/>
          </w:tcPr>
          <w:p w14:paraId="791FDA49" w14:textId="77777777" w:rsidR="00915895" w:rsidRDefault="00915895" w:rsidP="002F7462">
            <w:pPr>
              <w:pStyle w:val="ListParagraph"/>
              <w:spacing w:before="240"/>
            </w:pPr>
          </w:p>
          <w:p w14:paraId="07EFDF86" w14:textId="77777777" w:rsidR="00111754" w:rsidRDefault="00915895" w:rsidP="00111754">
            <w:pPr>
              <w:pStyle w:val="ListParagraph"/>
              <w:numPr>
                <w:ilvl w:val="0"/>
                <w:numId w:val="7"/>
              </w:numPr>
              <w:spacing w:before="240"/>
            </w:pPr>
            <w:r>
              <w:t>Call: 0808 100 3352</w:t>
            </w:r>
          </w:p>
          <w:p w14:paraId="447D443B" w14:textId="0C2BD0A4" w:rsidR="00915895" w:rsidRPr="00111754" w:rsidRDefault="00915895" w:rsidP="00111754">
            <w:pPr>
              <w:pStyle w:val="ListParagraph"/>
              <w:numPr>
                <w:ilvl w:val="0"/>
                <w:numId w:val="7"/>
              </w:numPr>
              <w:spacing w:before="240"/>
            </w:pPr>
            <w:r w:rsidRPr="00111754">
              <w:t xml:space="preserve">Online: </w:t>
            </w:r>
            <w:r w:rsidRPr="00111754">
              <w:rPr>
                <w:rStyle w:val="Hyperlink"/>
              </w:rPr>
              <w:t>www.mhra.gov.uk/yellowcard</w:t>
            </w:r>
          </w:p>
          <w:p w14:paraId="14AF7696" w14:textId="0247FF85" w:rsidR="00915895" w:rsidRDefault="00915895" w:rsidP="00915895">
            <w:pPr>
              <w:pStyle w:val="ListParagraph"/>
              <w:numPr>
                <w:ilvl w:val="0"/>
                <w:numId w:val="7"/>
              </w:numPr>
              <w:spacing w:before="240"/>
            </w:pPr>
            <w:r>
              <w:t>Y</w:t>
            </w:r>
            <w:r w:rsidR="00111754">
              <w:t xml:space="preserve">ellow </w:t>
            </w:r>
            <w:r>
              <w:t>C</w:t>
            </w:r>
            <w:r w:rsidR="00111754">
              <w:t>ard</w:t>
            </w:r>
            <w:r>
              <w:t xml:space="preserve"> </w:t>
            </w:r>
            <w:r w:rsidR="00111754">
              <w:t>app</w:t>
            </w:r>
            <w:r>
              <w:t xml:space="preserve"> Download via apple app store/google play</w:t>
            </w:r>
          </w:p>
          <w:p w14:paraId="2A65023B" w14:textId="77777777" w:rsidR="00915895" w:rsidRDefault="00915895" w:rsidP="00915895">
            <w:pPr>
              <w:pStyle w:val="ListParagraph"/>
              <w:numPr>
                <w:ilvl w:val="0"/>
                <w:numId w:val="7"/>
              </w:numPr>
              <w:spacing w:before="240"/>
            </w:pPr>
            <w:r>
              <w:t>Paper form (found in pharmacies).</w:t>
            </w:r>
          </w:p>
          <w:p w14:paraId="00134B95" w14:textId="77777777" w:rsidR="00915895" w:rsidRDefault="00915895" w:rsidP="002F7462">
            <w:pPr>
              <w:spacing w:before="240"/>
            </w:pPr>
          </w:p>
          <w:p w14:paraId="7F4744CE" w14:textId="77777777" w:rsidR="00915895" w:rsidRDefault="00915895" w:rsidP="00915895">
            <w:pPr>
              <w:pStyle w:val="ListParagraph"/>
              <w:numPr>
                <w:ilvl w:val="0"/>
                <w:numId w:val="7"/>
              </w:numPr>
              <w:spacing w:before="240"/>
            </w:pPr>
            <w:r w:rsidRPr="009409F2">
              <w:rPr>
                <w:b/>
              </w:rPr>
              <w:t>Always</w:t>
            </w:r>
            <w:r>
              <w:t xml:space="preserve"> contact a doctor if you are worried about symptoms.</w:t>
            </w:r>
          </w:p>
          <w:p w14:paraId="6C277D15" w14:textId="69EFC10A" w:rsidR="00915895" w:rsidRDefault="00915895" w:rsidP="00915895">
            <w:pPr>
              <w:pStyle w:val="ListParagraph"/>
              <w:numPr>
                <w:ilvl w:val="0"/>
                <w:numId w:val="7"/>
              </w:numPr>
              <w:spacing w:before="240"/>
              <w:rPr>
                <w:b/>
              </w:rPr>
            </w:pPr>
            <w:r>
              <w:t xml:space="preserve">Alternatively contact </w:t>
            </w:r>
            <w:r w:rsidRPr="009409F2">
              <w:rPr>
                <w:b/>
              </w:rPr>
              <w:t xml:space="preserve">NHS England 111. </w:t>
            </w:r>
          </w:p>
          <w:p w14:paraId="41F68BFC" w14:textId="06357531" w:rsidR="00915895" w:rsidRPr="00985B1E" w:rsidRDefault="00985B1E" w:rsidP="00985B1E">
            <w:pPr>
              <w:pStyle w:val="ListParagraph"/>
              <w:numPr>
                <w:ilvl w:val="0"/>
                <w:numId w:val="7"/>
              </w:numPr>
              <w:spacing w:before="240"/>
            </w:pPr>
            <w:r w:rsidRPr="00985B1E">
              <w:rPr>
                <w:b/>
              </w:rPr>
              <w:t xml:space="preserve">It may help to talk to an adult you trust. </w:t>
            </w:r>
          </w:p>
          <w:p w14:paraId="2A65180B" w14:textId="77777777" w:rsidR="00915895" w:rsidRDefault="00915895" w:rsidP="002F7462">
            <w:pPr>
              <w:pStyle w:val="ListParagraph"/>
              <w:spacing w:before="240"/>
            </w:pPr>
          </w:p>
          <w:p w14:paraId="03581B24" w14:textId="77777777" w:rsidR="00915895" w:rsidRDefault="00915895" w:rsidP="00915895">
            <w:pPr>
              <w:pStyle w:val="ListParagraph"/>
              <w:numPr>
                <w:ilvl w:val="0"/>
                <w:numId w:val="7"/>
              </w:numPr>
              <w:spacing w:before="240"/>
            </w:pPr>
            <w:r>
              <w:t xml:space="preserve">More information on what/when/why to report found here: </w:t>
            </w:r>
            <w:hyperlink r:id="rId12" w:history="1">
              <w:r w:rsidRPr="00F2453E">
                <w:rPr>
                  <w:rStyle w:val="Hyperlink"/>
                </w:rPr>
                <w:t>www.mhra.gov.uk/yellowcard</w:t>
              </w:r>
            </w:hyperlink>
            <w:r>
              <w:t xml:space="preserve"> </w:t>
            </w:r>
          </w:p>
        </w:tc>
      </w:tr>
    </w:tbl>
    <w:p w14:paraId="5C66C375" w14:textId="27BA33ED" w:rsidR="00B56EE8" w:rsidRPr="00775B9E" w:rsidRDefault="00915895" w:rsidP="00B56EE8">
      <w:pPr>
        <w:pStyle w:val="Heading3"/>
      </w:pPr>
      <w:r w:rsidRPr="00111754">
        <w:rPr>
          <w:sz w:val="22"/>
          <w:szCs w:val="22"/>
        </w:rPr>
        <w:t>Figure 2</w:t>
      </w:r>
      <w:r w:rsidR="00AF2105" w:rsidRPr="00111754">
        <w:rPr>
          <w:sz w:val="22"/>
          <w:szCs w:val="22"/>
        </w:rPr>
        <w:t>: Final text of information for children and young people age 12-18 years old</w:t>
      </w:r>
    </w:p>
    <w:sectPr w:rsidR="00B56EE8" w:rsidRPr="00775B9E" w:rsidSect="00787D5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7AB68" w14:textId="77777777" w:rsidR="00B434B8" w:rsidRDefault="00B434B8" w:rsidP="00496450">
      <w:pPr>
        <w:spacing w:after="0" w:line="240" w:lineRule="auto"/>
      </w:pPr>
      <w:r>
        <w:separator/>
      </w:r>
    </w:p>
  </w:endnote>
  <w:endnote w:type="continuationSeparator" w:id="0">
    <w:p w14:paraId="282012DC" w14:textId="77777777" w:rsidR="00B434B8" w:rsidRDefault="00B434B8" w:rsidP="00496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307313"/>
      <w:docPartObj>
        <w:docPartGallery w:val="Page Numbers (Bottom of Page)"/>
        <w:docPartUnique/>
      </w:docPartObj>
    </w:sdtPr>
    <w:sdtEndPr/>
    <w:sdtContent>
      <w:p w14:paraId="71331EA1" w14:textId="147CB72C" w:rsidR="000275EB" w:rsidRDefault="000275EB">
        <w:pPr>
          <w:pStyle w:val="Footer"/>
        </w:pPr>
        <w:r>
          <w:rPr>
            <w:noProof/>
            <w:lang w:eastAsia="en-GB"/>
          </w:rPr>
          <mc:AlternateContent>
            <mc:Choice Requires="wps">
              <w:drawing>
                <wp:anchor distT="0" distB="0" distL="114300" distR="114300" simplePos="0" relativeHeight="251660288" behindDoc="0" locked="0" layoutInCell="1" allowOverlap="1" wp14:anchorId="4333A859" wp14:editId="0703088D">
                  <wp:simplePos x="0" y="0"/>
                  <wp:positionH relativeFrom="margin">
                    <wp:align>center</wp:align>
                  </wp:positionH>
                  <wp:positionV relativeFrom="bottomMargin">
                    <wp:align>center</wp:align>
                  </wp:positionV>
                  <wp:extent cx="551815" cy="238760"/>
                  <wp:effectExtent l="19050" t="19050" r="19685" b="1841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384B639" w14:textId="54B369E2" w:rsidR="000275EB" w:rsidRDefault="000275EB">
                              <w:pPr>
                                <w:jc w:val="center"/>
                              </w:pPr>
                              <w:r>
                                <w:fldChar w:fldCharType="begin"/>
                              </w:r>
                              <w:r>
                                <w:instrText xml:space="preserve"> PAGE    \* MERGEFORMAT </w:instrText>
                              </w:r>
                              <w:r>
                                <w:fldChar w:fldCharType="separate"/>
                              </w:r>
                              <w:r w:rsidR="00622349">
                                <w:rPr>
                                  <w:noProof/>
                                </w:rPr>
                                <w:t>6</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333A8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dtsJkzgCAABqBAAADgAAAAAAAAAA&#10;AAAAAAAuAgAAZHJzL2Uyb0RvYy54bWxQSwECLQAUAAYACAAAACEA/y8q6t4AAAADAQAADwAAAAAA&#10;AAAAAAAAAACSBAAAZHJzL2Rvd25yZXYueG1sUEsFBgAAAAAEAAQA8wAAAJ0FAAAAAA==&#10;" filled="t" strokecolor="gray" strokeweight="2.25pt">
                  <v:textbox inset=",0,,0">
                    <w:txbxContent>
                      <w:p w14:paraId="1384B639" w14:textId="54B369E2" w:rsidR="000275EB" w:rsidRDefault="000275EB">
                        <w:pPr>
                          <w:jc w:val="center"/>
                        </w:pPr>
                        <w:r>
                          <w:fldChar w:fldCharType="begin"/>
                        </w:r>
                        <w:r>
                          <w:instrText xml:space="preserve"> PAGE    \* MERGEFORMAT </w:instrText>
                        </w:r>
                        <w:r>
                          <w:fldChar w:fldCharType="separate"/>
                        </w:r>
                        <w:r w:rsidR="00622349">
                          <w:rPr>
                            <w:noProof/>
                          </w:rPr>
                          <w:t>6</w:t>
                        </w:r>
                        <w:r>
                          <w:rPr>
                            <w:noProof/>
                          </w:rPr>
                          <w:fldChar w:fldCharType="end"/>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FCE2C42" wp14:editId="6C73F664">
                  <wp:simplePos x="0" y="0"/>
                  <wp:positionH relativeFrom="margin">
                    <wp:align>center</wp:align>
                  </wp:positionH>
                  <wp:positionV relativeFrom="bottomMargin">
                    <wp:align>center</wp:align>
                  </wp:positionV>
                  <wp:extent cx="5518150" cy="0"/>
                  <wp:effectExtent l="9525" t="9525" r="635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mo="http://schemas.microsoft.com/office/mac/office/2008/main" xmlns:mv="urn:schemas-microsoft-com:mac:vml">
              <w:pict>
                <v:shapetype w14:anchorId="0AA93B85" id="_x0000_t32" coordsize="21600,21600" o:spt="32" o:oned="t" path="m,l21600,21600e" filled="f">
                  <v:path arrowok="t" fillok="f" o:connecttype="none"/>
                  <o:lock v:ext="edit" shapetype="t"/>
                </v:shapetype>
                <v:shape id="Straight Arrow Connector 3"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a+iB2C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05548" w14:textId="77777777" w:rsidR="00B434B8" w:rsidRDefault="00B434B8" w:rsidP="00496450">
      <w:pPr>
        <w:spacing w:after="0" w:line="240" w:lineRule="auto"/>
      </w:pPr>
      <w:r>
        <w:separator/>
      </w:r>
    </w:p>
  </w:footnote>
  <w:footnote w:type="continuationSeparator" w:id="0">
    <w:p w14:paraId="3803E8A7" w14:textId="77777777" w:rsidR="00B434B8" w:rsidRDefault="00B434B8" w:rsidP="00496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5DE" w14:textId="0129E1DF" w:rsidR="000275EB" w:rsidRDefault="000275EB" w:rsidP="007C1343">
    <w:pPr>
      <w:pStyle w:val="Header"/>
      <w:tabs>
        <w:tab w:val="left" w:pos="7275"/>
      </w:tabs>
    </w:pPr>
    <w:r>
      <w:t>Version 4.0</w:t>
    </w:r>
    <w:r>
      <w:tab/>
    </w:r>
    <w:r>
      <w:tab/>
      <w:t>23</w:t>
    </w:r>
    <w:r w:rsidRPr="006118A4">
      <w:rPr>
        <w:vertAlign w:val="superscript"/>
      </w:rPr>
      <w:t>rd</w:t>
    </w:r>
    <w:r>
      <w:t xml:space="preserve"> January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D248D"/>
    <w:multiLevelType w:val="hybridMultilevel"/>
    <w:tmpl w:val="C6E6E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9A5"/>
    <w:multiLevelType w:val="hybridMultilevel"/>
    <w:tmpl w:val="BDF6375E"/>
    <w:lvl w:ilvl="0" w:tplc="1DDCD264">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67DD1"/>
    <w:multiLevelType w:val="hybridMultilevel"/>
    <w:tmpl w:val="B178D0FE"/>
    <w:lvl w:ilvl="0" w:tplc="A816C1BA">
      <w:start w:val="1"/>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04818"/>
    <w:multiLevelType w:val="hybridMultilevel"/>
    <w:tmpl w:val="4580A70C"/>
    <w:lvl w:ilvl="0" w:tplc="49E2B5B4">
      <w:start w:val="1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8625A"/>
    <w:multiLevelType w:val="hybridMultilevel"/>
    <w:tmpl w:val="BE5C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781F0C"/>
    <w:multiLevelType w:val="hybridMultilevel"/>
    <w:tmpl w:val="A47C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D703B"/>
    <w:multiLevelType w:val="hybridMultilevel"/>
    <w:tmpl w:val="7DB2A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5D11C1"/>
    <w:multiLevelType w:val="hybridMultilevel"/>
    <w:tmpl w:val="5F0808BC"/>
    <w:lvl w:ilvl="0" w:tplc="D10684B4">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7"/>
  </w:num>
  <w:num w:numId="6">
    <w:abstractNumId w:val="1"/>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J Clinical Phar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z5x9saseddeqea0zrx2z0idp0sx02e5t9t&quot;&gt;My EndNote Library&lt;record-ids&gt;&lt;item&gt;1&lt;/item&gt;&lt;item&gt;2&lt;/item&gt;&lt;item&gt;3&lt;/item&gt;&lt;item&gt;4&lt;/item&gt;&lt;item&gt;5&lt;/item&gt;&lt;item&gt;6&lt;/item&gt;&lt;item&gt;7&lt;/item&gt;&lt;item&gt;9&lt;/item&gt;&lt;item&gt;10&lt;/item&gt;&lt;item&gt;11&lt;/item&gt;&lt;item&gt;12&lt;/item&gt;&lt;item&gt;13&lt;/item&gt;&lt;item&gt;14&lt;/item&gt;&lt;item&gt;51&lt;/item&gt;&lt;item&gt;78&lt;/item&gt;&lt;/record-ids&gt;&lt;/item&gt;&lt;/Libraries&gt;"/>
  </w:docVars>
  <w:rsids>
    <w:rsidRoot w:val="000C5819"/>
    <w:rsid w:val="00001E1D"/>
    <w:rsid w:val="00014BD3"/>
    <w:rsid w:val="000275EB"/>
    <w:rsid w:val="0004679C"/>
    <w:rsid w:val="00050AF6"/>
    <w:rsid w:val="00071A79"/>
    <w:rsid w:val="00071AEE"/>
    <w:rsid w:val="000825F2"/>
    <w:rsid w:val="00084318"/>
    <w:rsid w:val="0009146C"/>
    <w:rsid w:val="000A1706"/>
    <w:rsid w:val="000B59B0"/>
    <w:rsid w:val="000C07A0"/>
    <w:rsid w:val="000C3CFA"/>
    <w:rsid w:val="000C5819"/>
    <w:rsid w:val="000D2831"/>
    <w:rsid w:val="000D2CD1"/>
    <w:rsid w:val="000E1EEC"/>
    <w:rsid w:val="000F76A6"/>
    <w:rsid w:val="00107B5B"/>
    <w:rsid w:val="00111754"/>
    <w:rsid w:val="00120680"/>
    <w:rsid w:val="00120F01"/>
    <w:rsid w:val="0013747B"/>
    <w:rsid w:val="00146CA7"/>
    <w:rsid w:val="001512BB"/>
    <w:rsid w:val="001557E5"/>
    <w:rsid w:val="00156CDA"/>
    <w:rsid w:val="00160C0C"/>
    <w:rsid w:val="00160F07"/>
    <w:rsid w:val="00162480"/>
    <w:rsid w:val="001659B1"/>
    <w:rsid w:val="00167CB5"/>
    <w:rsid w:val="00171CC3"/>
    <w:rsid w:val="0017353B"/>
    <w:rsid w:val="00185AF0"/>
    <w:rsid w:val="0019231E"/>
    <w:rsid w:val="001B6BD4"/>
    <w:rsid w:val="001D00CA"/>
    <w:rsid w:val="001F7A53"/>
    <w:rsid w:val="002035DF"/>
    <w:rsid w:val="0021644A"/>
    <w:rsid w:val="00221E2C"/>
    <w:rsid w:val="00226097"/>
    <w:rsid w:val="00230425"/>
    <w:rsid w:val="00252108"/>
    <w:rsid w:val="002636E8"/>
    <w:rsid w:val="00264B15"/>
    <w:rsid w:val="00267238"/>
    <w:rsid w:val="0028619F"/>
    <w:rsid w:val="002964A7"/>
    <w:rsid w:val="002A3F3E"/>
    <w:rsid w:val="002A478B"/>
    <w:rsid w:val="002C23B7"/>
    <w:rsid w:val="002C5021"/>
    <w:rsid w:val="002D126A"/>
    <w:rsid w:val="002F7462"/>
    <w:rsid w:val="0031311C"/>
    <w:rsid w:val="0032105F"/>
    <w:rsid w:val="00337BC2"/>
    <w:rsid w:val="00362520"/>
    <w:rsid w:val="00365622"/>
    <w:rsid w:val="00366202"/>
    <w:rsid w:val="003853E6"/>
    <w:rsid w:val="00396036"/>
    <w:rsid w:val="003B3481"/>
    <w:rsid w:val="003C2B23"/>
    <w:rsid w:val="003D5BAE"/>
    <w:rsid w:val="003F3235"/>
    <w:rsid w:val="003F67F3"/>
    <w:rsid w:val="00421E94"/>
    <w:rsid w:val="00436B0C"/>
    <w:rsid w:val="00443948"/>
    <w:rsid w:val="00447CB8"/>
    <w:rsid w:val="0045654E"/>
    <w:rsid w:val="00496450"/>
    <w:rsid w:val="004B1494"/>
    <w:rsid w:val="004D0273"/>
    <w:rsid w:val="004D5C79"/>
    <w:rsid w:val="004D5F8D"/>
    <w:rsid w:val="004E21A3"/>
    <w:rsid w:val="004E6D73"/>
    <w:rsid w:val="004F32DC"/>
    <w:rsid w:val="004F5638"/>
    <w:rsid w:val="005001DB"/>
    <w:rsid w:val="00504906"/>
    <w:rsid w:val="00507335"/>
    <w:rsid w:val="00514AB9"/>
    <w:rsid w:val="00515E1F"/>
    <w:rsid w:val="0052578C"/>
    <w:rsid w:val="00526BC3"/>
    <w:rsid w:val="00541F43"/>
    <w:rsid w:val="00542598"/>
    <w:rsid w:val="0055073C"/>
    <w:rsid w:val="00560368"/>
    <w:rsid w:val="00581B1B"/>
    <w:rsid w:val="00586971"/>
    <w:rsid w:val="005A1F17"/>
    <w:rsid w:val="005B7EF2"/>
    <w:rsid w:val="005C04FC"/>
    <w:rsid w:val="005C1E41"/>
    <w:rsid w:val="005D1AB6"/>
    <w:rsid w:val="005F41B2"/>
    <w:rsid w:val="0060169C"/>
    <w:rsid w:val="006038BF"/>
    <w:rsid w:val="006118A4"/>
    <w:rsid w:val="0061711C"/>
    <w:rsid w:val="00622349"/>
    <w:rsid w:val="00624CBC"/>
    <w:rsid w:val="006262DC"/>
    <w:rsid w:val="006304D2"/>
    <w:rsid w:val="00644FC4"/>
    <w:rsid w:val="00651937"/>
    <w:rsid w:val="00660570"/>
    <w:rsid w:val="006660D0"/>
    <w:rsid w:val="00672A86"/>
    <w:rsid w:val="00685E84"/>
    <w:rsid w:val="006B0C67"/>
    <w:rsid w:val="006C3F1C"/>
    <w:rsid w:val="006C53D0"/>
    <w:rsid w:val="006D0A61"/>
    <w:rsid w:val="006E7390"/>
    <w:rsid w:val="006F0CBF"/>
    <w:rsid w:val="006F2FE0"/>
    <w:rsid w:val="006F3913"/>
    <w:rsid w:val="00701639"/>
    <w:rsid w:val="00706E17"/>
    <w:rsid w:val="0070783D"/>
    <w:rsid w:val="007112D2"/>
    <w:rsid w:val="00717398"/>
    <w:rsid w:val="00721966"/>
    <w:rsid w:val="00722D50"/>
    <w:rsid w:val="00734860"/>
    <w:rsid w:val="00737FB3"/>
    <w:rsid w:val="0076099E"/>
    <w:rsid w:val="00775B9E"/>
    <w:rsid w:val="00776737"/>
    <w:rsid w:val="00782618"/>
    <w:rsid w:val="00787D54"/>
    <w:rsid w:val="00792835"/>
    <w:rsid w:val="00794EAF"/>
    <w:rsid w:val="007953BC"/>
    <w:rsid w:val="00795D99"/>
    <w:rsid w:val="007B2AA2"/>
    <w:rsid w:val="007B2D97"/>
    <w:rsid w:val="007B3392"/>
    <w:rsid w:val="007C0F34"/>
    <w:rsid w:val="007C1343"/>
    <w:rsid w:val="007C179F"/>
    <w:rsid w:val="007C3953"/>
    <w:rsid w:val="007E3A67"/>
    <w:rsid w:val="007F4DE2"/>
    <w:rsid w:val="00811D04"/>
    <w:rsid w:val="008136EF"/>
    <w:rsid w:val="00825266"/>
    <w:rsid w:val="0082748D"/>
    <w:rsid w:val="008411F4"/>
    <w:rsid w:val="008467D0"/>
    <w:rsid w:val="008660E1"/>
    <w:rsid w:val="00873952"/>
    <w:rsid w:val="00885650"/>
    <w:rsid w:val="008A0501"/>
    <w:rsid w:val="008A719D"/>
    <w:rsid w:val="008B1251"/>
    <w:rsid w:val="008E0E40"/>
    <w:rsid w:val="008E1817"/>
    <w:rsid w:val="008E4689"/>
    <w:rsid w:val="008F10B7"/>
    <w:rsid w:val="008F4D01"/>
    <w:rsid w:val="008F7FE3"/>
    <w:rsid w:val="00903777"/>
    <w:rsid w:val="00906F71"/>
    <w:rsid w:val="009130E8"/>
    <w:rsid w:val="00915895"/>
    <w:rsid w:val="009211FC"/>
    <w:rsid w:val="00924F92"/>
    <w:rsid w:val="009416EC"/>
    <w:rsid w:val="00951A0B"/>
    <w:rsid w:val="00964F2C"/>
    <w:rsid w:val="00972687"/>
    <w:rsid w:val="00973F44"/>
    <w:rsid w:val="009754A1"/>
    <w:rsid w:val="0097585E"/>
    <w:rsid w:val="00982F57"/>
    <w:rsid w:val="00985B1E"/>
    <w:rsid w:val="009864E7"/>
    <w:rsid w:val="009C72B1"/>
    <w:rsid w:val="009D65A1"/>
    <w:rsid w:val="009E76FA"/>
    <w:rsid w:val="00A02318"/>
    <w:rsid w:val="00A04629"/>
    <w:rsid w:val="00A04CF0"/>
    <w:rsid w:val="00A20DF9"/>
    <w:rsid w:val="00A247A9"/>
    <w:rsid w:val="00A26521"/>
    <w:rsid w:val="00A47985"/>
    <w:rsid w:val="00A50D41"/>
    <w:rsid w:val="00A7215E"/>
    <w:rsid w:val="00A7522B"/>
    <w:rsid w:val="00A77BC9"/>
    <w:rsid w:val="00A80E74"/>
    <w:rsid w:val="00A83AC4"/>
    <w:rsid w:val="00A90073"/>
    <w:rsid w:val="00A90122"/>
    <w:rsid w:val="00A95152"/>
    <w:rsid w:val="00A967B4"/>
    <w:rsid w:val="00AB2CC9"/>
    <w:rsid w:val="00AC275E"/>
    <w:rsid w:val="00AC6073"/>
    <w:rsid w:val="00AC6469"/>
    <w:rsid w:val="00AE53AC"/>
    <w:rsid w:val="00AF2105"/>
    <w:rsid w:val="00AF2D8C"/>
    <w:rsid w:val="00AF3552"/>
    <w:rsid w:val="00AF3D1F"/>
    <w:rsid w:val="00B07E10"/>
    <w:rsid w:val="00B1357B"/>
    <w:rsid w:val="00B2553B"/>
    <w:rsid w:val="00B4045B"/>
    <w:rsid w:val="00B420C5"/>
    <w:rsid w:val="00B434B8"/>
    <w:rsid w:val="00B47206"/>
    <w:rsid w:val="00B51538"/>
    <w:rsid w:val="00B55A2A"/>
    <w:rsid w:val="00B56EE8"/>
    <w:rsid w:val="00B76F4D"/>
    <w:rsid w:val="00B87641"/>
    <w:rsid w:val="00BB42F0"/>
    <w:rsid w:val="00BB4DD3"/>
    <w:rsid w:val="00BB5EC5"/>
    <w:rsid w:val="00BD6B94"/>
    <w:rsid w:val="00BE3F91"/>
    <w:rsid w:val="00BF1CB0"/>
    <w:rsid w:val="00C0042B"/>
    <w:rsid w:val="00C04B19"/>
    <w:rsid w:val="00C23311"/>
    <w:rsid w:val="00C24853"/>
    <w:rsid w:val="00C26DE3"/>
    <w:rsid w:val="00C3536D"/>
    <w:rsid w:val="00C44195"/>
    <w:rsid w:val="00C5064B"/>
    <w:rsid w:val="00C508A6"/>
    <w:rsid w:val="00C71237"/>
    <w:rsid w:val="00C721A8"/>
    <w:rsid w:val="00C721FA"/>
    <w:rsid w:val="00C77C4E"/>
    <w:rsid w:val="00C8443A"/>
    <w:rsid w:val="00C867F4"/>
    <w:rsid w:val="00C93201"/>
    <w:rsid w:val="00C94EC4"/>
    <w:rsid w:val="00CB766F"/>
    <w:rsid w:val="00CC1820"/>
    <w:rsid w:val="00CD5817"/>
    <w:rsid w:val="00CE6398"/>
    <w:rsid w:val="00CF19E5"/>
    <w:rsid w:val="00D20BB5"/>
    <w:rsid w:val="00D25926"/>
    <w:rsid w:val="00D359D7"/>
    <w:rsid w:val="00D517B7"/>
    <w:rsid w:val="00D5435F"/>
    <w:rsid w:val="00D54649"/>
    <w:rsid w:val="00D715E0"/>
    <w:rsid w:val="00D86328"/>
    <w:rsid w:val="00D87F46"/>
    <w:rsid w:val="00DB524D"/>
    <w:rsid w:val="00DB524E"/>
    <w:rsid w:val="00DC0C0E"/>
    <w:rsid w:val="00DC45A6"/>
    <w:rsid w:val="00DE54FC"/>
    <w:rsid w:val="00E126A6"/>
    <w:rsid w:val="00E12BFE"/>
    <w:rsid w:val="00E44737"/>
    <w:rsid w:val="00E50345"/>
    <w:rsid w:val="00E54CF5"/>
    <w:rsid w:val="00E56A67"/>
    <w:rsid w:val="00E602AB"/>
    <w:rsid w:val="00E7442F"/>
    <w:rsid w:val="00E7631A"/>
    <w:rsid w:val="00E7761B"/>
    <w:rsid w:val="00E81DC9"/>
    <w:rsid w:val="00E90C22"/>
    <w:rsid w:val="00E910C5"/>
    <w:rsid w:val="00EA365B"/>
    <w:rsid w:val="00EB1957"/>
    <w:rsid w:val="00EB2EB1"/>
    <w:rsid w:val="00EC29AB"/>
    <w:rsid w:val="00EC332E"/>
    <w:rsid w:val="00ED5799"/>
    <w:rsid w:val="00EE4828"/>
    <w:rsid w:val="00EE7E4D"/>
    <w:rsid w:val="00EF2E94"/>
    <w:rsid w:val="00F0169B"/>
    <w:rsid w:val="00F05782"/>
    <w:rsid w:val="00F061AF"/>
    <w:rsid w:val="00F07354"/>
    <w:rsid w:val="00F07B4C"/>
    <w:rsid w:val="00F32B19"/>
    <w:rsid w:val="00F3594E"/>
    <w:rsid w:val="00F40F09"/>
    <w:rsid w:val="00F50099"/>
    <w:rsid w:val="00F5478C"/>
    <w:rsid w:val="00F61C55"/>
    <w:rsid w:val="00F64887"/>
    <w:rsid w:val="00F672F4"/>
    <w:rsid w:val="00F806CA"/>
    <w:rsid w:val="00FA0A1B"/>
    <w:rsid w:val="00FB3BD5"/>
    <w:rsid w:val="00FB66BE"/>
    <w:rsid w:val="00FC0A75"/>
    <w:rsid w:val="00FC2914"/>
    <w:rsid w:val="00FC4ED4"/>
    <w:rsid w:val="00FC6752"/>
    <w:rsid w:val="00FE4147"/>
    <w:rsid w:val="00FE6DA1"/>
    <w:rsid w:val="00FF7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361FA"/>
  <w15:chartTrackingRefBased/>
  <w15:docId w15:val="{2BBA4708-4456-45F9-95E6-18C75169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35"/>
  </w:style>
  <w:style w:type="paragraph" w:styleId="Heading1">
    <w:name w:val="heading 1"/>
    <w:basedOn w:val="Normal"/>
    <w:next w:val="Normal"/>
    <w:link w:val="Heading1Char"/>
    <w:uiPriority w:val="9"/>
    <w:qFormat/>
    <w:rsid w:val="00BB5E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5E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72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4F92"/>
    <w:rPr>
      <w:sz w:val="16"/>
      <w:szCs w:val="16"/>
    </w:rPr>
  </w:style>
  <w:style w:type="paragraph" w:styleId="ListParagraph">
    <w:name w:val="List Paragraph"/>
    <w:basedOn w:val="Normal"/>
    <w:uiPriority w:val="34"/>
    <w:qFormat/>
    <w:rsid w:val="00B4045B"/>
    <w:pPr>
      <w:spacing w:after="0" w:line="240" w:lineRule="auto"/>
      <w:ind w:left="720"/>
      <w:contextualSpacing/>
    </w:pPr>
    <w:rPr>
      <w:rFonts w:eastAsiaTheme="minorEastAsia"/>
      <w:sz w:val="24"/>
      <w:szCs w:val="24"/>
      <w:lang w:eastAsia="en-GB"/>
    </w:rPr>
  </w:style>
  <w:style w:type="table" w:styleId="TableGrid">
    <w:name w:val="Table Grid"/>
    <w:basedOn w:val="TableNormal"/>
    <w:uiPriority w:val="39"/>
    <w:rsid w:val="00B4045B"/>
    <w:pPr>
      <w:spacing w:after="0" w:line="240" w:lineRule="auto"/>
    </w:pPr>
    <w:rPr>
      <w:rFonts w:eastAsiaTheme="minorEastAsia"/>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B5EC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B5EC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BB5E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E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5EC5"/>
    <w:rPr>
      <w:rFonts w:eastAsiaTheme="minorEastAsia"/>
      <w:color w:val="5A5A5A" w:themeColor="text1" w:themeTint="A5"/>
      <w:spacing w:val="15"/>
    </w:rPr>
  </w:style>
  <w:style w:type="paragraph" w:customStyle="1" w:styleId="EndNoteBibliographyTitle">
    <w:name w:val="EndNote Bibliography Title"/>
    <w:basedOn w:val="Normal"/>
    <w:link w:val="EndNoteBibliographyTitleChar"/>
    <w:rsid w:val="00BB5EC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B5EC5"/>
    <w:rPr>
      <w:rFonts w:ascii="Calibri" w:hAnsi="Calibri" w:cs="Calibri"/>
      <w:noProof/>
      <w:lang w:val="en-US"/>
    </w:rPr>
  </w:style>
  <w:style w:type="paragraph" w:customStyle="1" w:styleId="EndNoteBibliography">
    <w:name w:val="EndNote Bibliography"/>
    <w:basedOn w:val="Normal"/>
    <w:link w:val="EndNoteBibliographyChar"/>
    <w:rsid w:val="00BB5EC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B5EC5"/>
    <w:rPr>
      <w:rFonts w:ascii="Calibri" w:hAnsi="Calibri" w:cs="Calibri"/>
      <w:noProof/>
      <w:lang w:val="en-US"/>
    </w:rPr>
  </w:style>
  <w:style w:type="character" w:styleId="Hyperlink">
    <w:name w:val="Hyperlink"/>
    <w:basedOn w:val="DefaultParagraphFont"/>
    <w:uiPriority w:val="99"/>
    <w:unhideWhenUsed/>
    <w:rsid w:val="00BB5EC5"/>
    <w:rPr>
      <w:color w:val="0563C1" w:themeColor="hyperlink"/>
      <w:u w:val="single"/>
    </w:rPr>
  </w:style>
  <w:style w:type="character" w:customStyle="1" w:styleId="Heading3Char">
    <w:name w:val="Heading 3 Char"/>
    <w:basedOn w:val="DefaultParagraphFont"/>
    <w:link w:val="Heading3"/>
    <w:uiPriority w:val="9"/>
    <w:rsid w:val="00B4720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964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450"/>
  </w:style>
  <w:style w:type="paragraph" w:styleId="Footer">
    <w:name w:val="footer"/>
    <w:basedOn w:val="Normal"/>
    <w:link w:val="FooterChar"/>
    <w:uiPriority w:val="99"/>
    <w:unhideWhenUsed/>
    <w:rsid w:val="00496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450"/>
  </w:style>
  <w:style w:type="paragraph" w:styleId="CommentText">
    <w:name w:val="annotation text"/>
    <w:basedOn w:val="Normal"/>
    <w:link w:val="CommentTextChar"/>
    <w:uiPriority w:val="99"/>
    <w:semiHidden/>
    <w:unhideWhenUsed/>
    <w:rsid w:val="00906F71"/>
    <w:pPr>
      <w:spacing w:line="240" w:lineRule="auto"/>
    </w:pPr>
    <w:rPr>
      <w:sz w:val="20"/>
      <w:szCs w:val="20"/>
    </w:rPr>
  </w:style>
  <w:style w:type="character" w:customStyle="1" w:styleId="CommentTextChar">
    <w:name w:val="Comment Text Char"/>
    <w:basedOn w:val="DefaultParagraphFont"/>
    <w:link w:val="CommentText"/>
    <w:uiPriority w:val="99"/>
    <w:semiHidden/>
    <w:rsid w:val="00906F71"/>
    <w:rPr>
      <w:sz w:val="20"/>
      <w:szCs w:val="20"/>
    </w:rPr>
  </w:style>
  <w:style w:type="paragraph" w:styleId="CommentSubject">
    <w:name w:val="annotation subject"/>
    <w:basedOn w:val="CommentText"/>
    <w:next w:val="CommentText"/>
    <w:link w:val="CommentSubjectChar"/>
    <w:uiPriority w:val="99"/>
    <w:semiHidden/>
    <w:unhideWhenUsed/>
    <w:rsid w:val="00906F71"/>
    <w:rPr>
      <w:b/>
      <w:bCs/>
    </w:rPr>
  </w:style>
  <w:style w:type="character" w:customStyle="1" w:styleId="CommentSubjectChar">
    <w:name w:val="Comment Subject Char"/>
    <w:basedOn w:val="CommentTextChar"/>
    <w:link w:val="CommentSubject"/>
    <w:uiPriority w:val="99"/>
    <w:semiHidden/>
    <w:rsid w:val="00906F71"/>
    <w:rPr>
      <w:b/>
      <w:bCs/>
      <w:sz w:val="20"/>
      <w:szCs w:val="20"/>
    </w:rPr>
  </w:style>
  <w:style w:type="paragraph" w:styleId="BalloonText">
    <w:name w:val="Balloon Text"/>
    <w:basedOn w:val="Normal"/>
    <w:link w:val="BalloonTextChar"/>
    <w:uiPriority w:val="99"/>
    <w:semiHidden/>
    <w:unhideWhenUsed/>
    <w:rsid w:val="00906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F71"/>
    <w:rPr>
      <w:rFonts w:ascii="Segoe UI" w:hAnsi="Segoe UI" w:cs="Segoe UI"/>
      <w:sz w:val="18"/>
      <w:szCs w:val="18"/>
    </w:rPr>
  </w:style>
  <w:style w:type="character" w:styleId="FollowedHyperlink">
    <w:name w:val="FollowedHyperlink"/>
    <w:basedOn w:val="DefaultParagraphFont"/>
    <w:uiPriority w:val="99"/>
    <w:semiHidden/>
    <w:unhideWhenUsed/>
    <w:rsid w:val="00717398"/>
    <w:rPr>
      <w:color w:val="954F72" w:themeColor="followedHyperlink"/>
      <w:u w:val="single"/>
    </w:rPr>
  </w:style>
  <w:style w:type="table" w:styleId="GridTable4-Accent1">
    <w:name w:val="Grid Table 4 Accent 1"/>
    <w:basedOn w:val="TableNormal"/>
    <w:uiPriority w:val="49"/>
    <w:rsid w:val="008136E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8136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330821">
      <w:bodyDiv w:val="1"/>
      <w:marLeft w:val="0"/>
      <w:marRight w:val="0"/>
      <w:marTop w:val="0"/>
      <w:marBottom w:val="0"/>
      <w:divBdr>
        <w:top w:val="none" w:sz="0" w:space="0" w:color="auto"/>
        <w:left w:val="none" w:sz="0" w:space="0" w:color="auto"/>
        <w:bottom w:val="none" w:sz="0" w:space="0" w:color="auto"/>
        <w:right w:val="none" w:sz="0" w:space="0" w:color="auto"/>
      </w:divBdr>
    </w:div>
    <w:div w:id="1257522052">
      <w:bodyDiv w:val="1"/>
      <w:marLeft w:val="0"/>
      <w:marRight w:val="0"/>
      <w:marTop w:val="0"/>
      <w:marBottom w:val="0"/>
      <w:divBdr>
        <w:top w:val="none" w:sz="0" w:space="0" w:color="auto"/>
        <w:left w:val="none" w:sz="0" w:space="0" w:color="auto"/>
        <w:bottom w:val="none" w:sz="0" w:space="0" w:color="auto"/>
        <w:right w:val="none" w:sz="0" w:space="0" w:color="auto"/>
      </w:divBdr>
      <w:divsChild>
        <w:div w:id="905648301">
          <w:marLeft w:val="0"/>
          <w:marRight w:val="0"/>
          <w:marTop w:val="0"/>
          <w:marBottom w:val="0"/>
          <w:divBdr>
            <w:top w:val="none" w:sz="0" w:space="0" w:color="auto"/>
            <w:left w:val="none" w:sz="0" w:space="0" w:color="auto"/>
            <w:bottom w:val="none" w:sz="0" w:space="0" w:color="auto"/>
            <w:right w:val="none" w:sz="0" w:space="0" w:color="auto"/>
          </w:divBdr>
        </w:div>
        <w:div w:id="970745986">
          <w:marLeft w:val="0"/>
          <w:marRight w:val="0"/>
          <w:marTop w:val="0"/>
          <w:marBottom w:val="0"/>
          <w:divBdr>
            <w:top w:val="none" w:sz="0" w:space="0" w:color="auto"/>
            <w:left w:val="none" w:sz="0" w:space="0" w:color="auto"/>
            <w:bottom w:val="none" w:sz="0" w:space="0" w:color="auto"/>
            <w:right w:val="none" w:sz="0" w:space="0" w:color="auto"/>
          </w:divBdr>
        </w:div>
        <w:div w:id="2008173506">
          <w:marLeft w:val="0"/>
          <w:marRight w:val="0"/>
          <w:marTop w:val="0"/>
          <w:marBottom w:val="0"/>
          <w:divBdr>
            <w:top w:val="none" w:sz="0" w:space="0" w:color="auto"/>
            <w:left w:val="none" w:sz="0" w:space="0" w:color="auto"/>
            <w:bottom w:val="none" w:sz="0" w:space="0" w:color="auto"/>
            <w:right w:val="none" w:sz="0" w:space="0" w:color="auto"/>
          </w:divBdr>
        </w:div>
        <w:div w:id="1917350997">
          <w:marLeft w:val="0"/>
          <w:marRight w:val="0"/>
          <w:marTop w:val="0"/>
          <w:marBottom w:val="0"/>
          <w:divBdr>
            <w:top w:val="none" w:sz="0" w:space="0" w:color="auto"/>
            <w:left w:val="none" w:sz="0" w:space="0" w:color="auto"/>
            <w:bottom w:val="none" w:sz="0" w:space="0" w:color="auto"/>
            <w:right w:val="none" w:sz="0" w:space="0" w:color="auto"/>
          </w:divBdr>
        </w:div>
        <w:div w:id="2112241736">
          <w:marLeft w:val="0"/>
          <w:marRight w:val="0"/>
          <w:marTop w:val="0"/>
          <w:marBottom w:val="0"/>
          <w:divBdr>
            <w:top w:val="none" w:sz="0" w:space="0" w:color="auto"/>
            <w:left w:val="none" w:sz="0" w:space="0" w:color="auto"/>
            <w:bottom w:val="none" w:sz="0" w:space="0" w:color="auto"/>
            <w:right w:val="none" w:sz="0" w:space="0" w:color="auto"/>
          </w:divBdr>
        </w:div>
        <w:div w:id="380792243">
          <w:marLeft w:val="0"/>
          <w:marRight w:val="0"/>
          <w:marTop w:val="0"/>
          <w:marBottom w:val="0"/>
          <w:divBdr>
            <w:top w:val="none" w:sz="0" w:space="0" w:color="auto"/>
            <w:left w:val="none" w:sz="0" w:space="0" w:color="auto"/>
            <w:bottom w:val="none" w:sz="0" w:space="0" w:color="auto"/>
            <w:right w:val="none" w:sz="0" w:space="0" w:color="auto"/>
          </w:divBdr>
        </w:div>
        <w:div w:id="45759029">
          <w:marLeft w:val="0"/>
          <w:marRight w:val="0"/>
          <w:marTop w:val="0"/>
          <w:marBottom w:val="0"/>
          <w:divBdr>
            <w:top w:val="none" w:sz="0" w:space="0" w:color="auto"/>
            <w:left w:val="none" w:sz="0" w:space="0" w:color="auto"/>
            <w:bottom w:val="none" w:sz="0" w:space="0" w:color="auto"/>
            <w:right w:val="none" w:sz="0" w:space="0" w:color="auto"/>
          </w:divBdr>
        </w:div>
        <w:div w:id="425155757">
          <w:marLeft w:val="0"/>
          <w:marRight w:val="0"/>
          <w:marTop w:val="0"/>
          <w:marBottom w:val="0"/>
          <w:divBdr>
            <w:top w:val="none" w:sz="0" w:space="0" w:color="auto"/>
            <w:left w:val="none" w:sz="0" w:space="0" w:color="auto"/>
            <w:bottom w:val="none" w:sz="0" w:space="0" w:color="auto"/>
            <w:right w:val="none" w:sz="0" w:space="0" w:color="auto"/>
          </w:divBdr>
        </w:div>
        <w:div w:id="1778521423">
          <w:marLeft w:val="0"/>
          <w:marRight w:val="0"/>
          <w:marTop w:val="0"/>
          <w:marBottom w:val="0"/>
          <w:divBdr>
            <w:top w:val="none" w:sz="0" w:space="0" w:color="auto"/>
            <w:left w:val="none" w:sz="0" w:space="0" w:color="auto"/>
            <w:bottom w:val="none" w:sz="0" w:space="0" w:color="auto"/>
            <w:right w:val="none" w:sz="0" w:space="0" w:color="auto"/>
          </w:divBdr>
        </w:div>
        <w:div w:id="72968936">
          <w:marLeft w:val="0"/>
          <w:marRight w:val="0"/>
          <w:marTop w:val="0"/>
          <w:marBottom w:val="0"/>
          <w:divBdr>
            <w:top w:val="none" w:sz="0" w:space="0" w:color="auto"/>
            <w:left w:val="none" w:sz="0" w:space="0" w:color="auto"/>
            <w:bottom w:val="none" w:sz="0" w:space="0" w:color="auto"/>
            <w:right w:val="none" w:sz="0" w:space="0" w:color="auto"/>
          </w:divBdr>
        </w:div>
        <w:div w:id="2024891565">
          <w:marLeft w:val="0"/>
          <w:marRight w:val="0"/>
          <w:marTop w:val="0"/>
          <w:marBottom w:val="0"/>
          <w:divBdr>
            <w:top w:val="none" w:sz="0" w:space="0" w:color="auto"/>
            <w:left w:val="none" w:sz="0" w:space="0" w:color="auto"/>
            <w:bottom w:val="none" w:sz="0" w:space="0" w:color="auto"/>
            <w:right w:val="none" w:sz="0" w:space="0" w:color="auto"/>
          </w:divBdr>
        </w:div>
        <w:div w:id="1839036062">
          <w:marLeft w:val="0"/>
          <w:marRight w:val="0"/>
          <w:marTop w:val="0"/>
          <w:marBottom w:val="0"/>
          <w:divBdr>
            <w:top w:val="none" w:sz="0" w:space="0" w:color="auto"/>
            <w:left w:val="none" w:sz="0" w:space="0" w:color="auto"/>
            <w:bottom w:val="none" w:sz="0" w:space="0" w:color="auto"/>
            <w:right w:val="none" w:sz="0" w:space="0" w:color="auto"/>
          </w:divBdr>
        </w:div>
        <w:div w:id="1157111152">
          <w:marLeft w:val="0"/>
          <w:marRight w:val="0"/>
          <w:marTop w:val="0"/>
          <w:marBottom w:val="0"/>
          <w:divBdr>
            <w:top w:val="none" w:sz="0" w:space="0" w:color="auto"/>
            <w:left w:val="none" w:sz="0" w:space="0" w:color="auto"/>
            <w:bottom w:val="none" w:sz="0" w:space="0" w:color="auto"/>
            <w:right w:val="none" w:sz="0" w:space="0" w:color="auto"/>
          </w:divBdr>
        </w:div>
        <w:div w:id="1682005365">
          <w:marLeft w:val="0"/>
          <w:marRight w:val="0"/>
          <w:marTop w:val="0"/>
          <w:marBottom w:val="0"/>
          <w:divBdr>
            <w:top w:val="none" w:sz="0" w:space="0" w:color="auto"/>
            <w:left w:val="none" w:sz="0" w:space="0" w:color="auto"/>
            <w:bottom w:val="none" w:sz="0" w:space="0" w:color="auto"/>
            <w:right w:val="none" w:sz="0" w:space="0" w:color="auto"/>
          </w:divBdr>
        </w:div>
        <w:div w:id="2081443912">
          <w:marLeft w:val="0"/>
          <w:marRight w:val="0"/>
          <w:marTop w:val="0"/>
          <w:marBottom w:val="0"/>
          <w:divBdr>
            <w:top w:val="none" w:sz="0" w:space="0" w:color="auto"/>
            <w:left w:val="none" w:sz="0" w:space="0" w:color="auto"/>
            <w:bottom w:val="none" w:sz="0" w:space="0" w:color="auto"/>
            <w:right w:val="none" w:sz="0" w:space="0" w:color="auto"/>
          </w:divBdr>
        </w:div>
        <w:div w:id="2129348438">
          <w:marLeft w:val="0"/>
          <w:marRight w:val="0"/>
          <w:marTop w:val="0"/>
          <w:marBottom w:val="0"/>
          <w:divBdr>
            <w:top w:val="none" w:sz="0" w:space="0" w:color="auto"/>
            <w:left w:val="none" w:sz="0" w:space="0" w:color="auto"/>
            <w:bottom w:val="none" w:sz="0" w:space="0" w:color="auto"/>
            <w:right w:val="none" w:sz="0" w:space="0" w:color="auto"/>
          </w:divBdr>
        </w:div>
        <w:div w:id="1344015444">
          <w:marLeft w:val="0"/>
          <w:marRight w:val="0"/>
          <w:marTop w:val="0"/>
          <w:marBottom w:val="0"/>
          <w:divBdr>
            <w:top w:val="none" w:sz="0" w:space="0" w:color="auto"/>
            <w:left w:val="none" w:sz="0" w:space="0" w:color="auto"/>
            <w:bottom w:val="none" w:sz="0" w:space="0" w:color="auto"/>
            <w:right w:val="none" w:sz="0" w:space="0" w:color="auto"/>
          </w:divBdr>
        </w:div>
        <w:div w:id="2138058952">
          <w:marLeft w:val="0"/>
          <w:marRight w:val="0"/>
          <w:marTop w:val="0"/>
          <w:marBottom w:val="0"/>
          <w:divBdr>
            <w:top w:val="none" w:sz="0" w:space="0" w:color="auto"/>
            <w:left w:val="none" w:sz="0" w:space="0" w:color="auto"/>
            <w:bottom w:val="none" w:sz="0" w:space="0" w:color="auto"/>
            <w:right w:val="none" w:sz="0" w:space="0" w:color="auto"/>
          </w:divBdr>
        </w:div>
        <w:div w:id="1821189141">
          <w:marLeft w:val="0"/>
          <w:marRight w:val="0"/>
          <w:marTop w:val="0"/>
          <w:marBottom w:val="0"/>
          <w:divBdr>
            <w:top w:val="none" w:sz="0" w:space="0" w:color="auto"/>
            <w:left w:val="none" w:sz="0" w:space="0" w:color="auto"/>
            <w:bottom w:val="none" w:sz="0" w:space="0" w:color="auto"/>
            <w:right w:val="none" w:sz="0" w:space="0" w:color="auto"/>
          </w:divBdr>
        </w:div>
        <w:div w:id="1319070248">
          <w:marLeft w:val="0"/>
          <w:marRight w:val="0"/>
          <w:marTop w:val="0"/>
          <w:marBottom w:val="0"/>
          <w:divBdr>
            <w:top w:val="none" w:sz="0" w:space="0" w:color="auto"/>
            <w:left w:val="none" w:sz="0" w:space="0" w:color="auto"/>
            <w:bottom w:val="none" w:sz="0" w:space="0" w:color="auto"/>
            <w:right w:val="none" w:sz="0" w:space="0" w:color="auto"/>
          </w:divBdr>
        </w:div>
        <w:div w:id="431514068">
          <w:marLeft w:val="0"/>
          <w:marRight w:val="0"/>
          <w:marTop w:val="0"/>
          <w:marBottom w:val="0"/>
          <w:divBdr>
            <w:top w:val="none" w:sz="0" w:space="0" w:color="auto"/>
            <w:left w:val="none" w:sz="0" w:space="0" w:color="auto"/>
            <w:bottom w:val="none" w:sz="0" w:space="0" w:color="auto"/>
            <w:right w:val="none" w:sz="0" w:space="0" w:color="auto"/>
          </w:divBdr>
        </w:div>
        <w:div w:id="662002815">
          <w:marLeft w:val="0"/>
          <w:marRight w:val="0"/>
          <w:marTop w:val="0"/>
          <w:marBottom w:val="0"/>
          <w:divBdr>
            <w:top w:val="none" w:sz="0" w:space="0" w:color="auto"/>
            <w:left w:val="none" w:sz="0" w:space="0" w:color="auto"/>
            <w:bottom w:val="none" w:sz="0" w:space="0" w:color="auto"/>
            <w:right w:val="none" w:sz="0" w:space="0" w:color="auto"/>
          </w:divBdr>
        </w:div>
        <w:div w:id="472336522">
          <w:marLeft w:val="0"/>
          <w:marRight w:val="0"/>
          <w:marTop w:val="0"/>
          <w:marBottom w:val="0"/>
          <w:divBdr>
            <w:top w:val="none" w:sz="0" w:space="0" w:color="auto"/>
            <w:left w:val="none" w:sz="0" w:space="0" w:color="auto"/>
            <w:bottom w:val="none" w:sz="0" w:space="0" w:color="auto"/>
            <w:right w:val="none" w:sz="0" w:space="0" w:color="auto"/>
          </w:divBdr>
        </w:div>
        <w:div w:id="25177415">
          <w:marLeft w:val="0"/>
          <w:marRight w:val="0"/>
          <w:marTop w:val="0"/>
          <w:marBottom w:val="0"/>
          <w:divBdr>
            <w:top w:val="none" w:sz="0" w:space="0" w:color="auto"/>
            <w:left w:val="none" w:sz="0" w:space="0" w:color="auto"/>
            <w:bottom w:val="none" w:sz="0" w:space="0" w:color="auto"/>
            <w:right w:val="none" w:sz="0" w:space="0" w:color="auto"/>
          </w:divBdr>
        </w:div>
        <w:div w:id="289241714">
          <w:marLeft w:val="0"/>
          <w:marRight w:val="0"/>
          <w:marTop w:val="0"/>
          <w:marBottom w:val="0"/>
          <w:divBdr>
            <w:top w:val="none" w:sz="0" w:space="0" w:color="auto"/>
            <w:left w:val="none" w:sz="0" w:space="0" w:color="auto"/>
            <w:bottom w:val="none" w:sz="0" w:space="0" w:color="auto"/>
            <w:right w:val="none" w:sz="0" w:space="0" w:color="auto"/>
          </w:divBdr>
        </w:div>
        <w:div w:id="315114899">
          <w:marLeft w:val="0"/>
          <w:marRight w:val="0"/>
          <w:marTop w:val="0"/>
          <w:marBottom w:val="0"/>
          <w:divBdr>
            <w:top w:val="none" w:sz="0" w:space="0" w:color="auto"/>
            <w:left w:val="none" w:sz="0" w:space="0" w:color="auto"/>
            <w:bottom w:val="none" w:sz="0" w:space="0" w:color="auto"/>
            <w:right w:val="none" w:sz="0" w:space="0" w:color="auto"/>
          </w:divBdr>
        </w:div>
        <w:div w:id="798719130">
          <w:marLeft w:val="0"/>
          <w:marRight w:val="0"/>
          <w:marTop w:val="0"/>
          <w:marBottom w:val="0"/>
          <w:divBdr>
            <w:top w:val="none" w:sz="0" w:space="0" w:color="auto"/>
            <w:left w:val="none" w:sz="0" w:space="0" w:color="auto"/>
            <w:bottom w:val="none" w:sz="0" w:space="0" w:color="auto"/>
            <w:right w:val="none" w:sz="0" w:space="0" w:color="auto"/>
          </w:divBdr>
        </w:div>
        <w:div w:id="1428965108">
          <w:marLeft w:val="0"/>
          <w:marRight w:val="0"/>
          <w:marTop w:val="0"/>
          <w:marBottom w:val="0"/>
          <w:divBdr>
            <w:top w:val="none" w:sz="0" w:space="0" w:color="auto"/>
            <w:left w:val="none" w:sz="0" w:space="0" w:color="auto"/>
            <w:bottom w:val="none" w:sz="0" w:space="0" w:color="auto"/>
            <w:right w:val="none" w:sz="0" w:space="0" w:color="auto"/>
          </w:divBdr>
        </w:div>
        <w:div w:id="465124622">
          <w:marLeft w:val="0"/>
          <w:marRight w:val="0"/>
          <w:marTop w:val="0"/>
          <w:marBottom w:val="0"/>
          <w:divBdr>
            <w:top w:val="none" w:sz="0" w:space="0" w:color="auto"/>
            <w:left w:val="none" w:sz="0" w:space="0" w:color="auto"/>
            <w:bottom w:val="none" w:sz="0" w:space="0" w:color="auto"/>
            <w:right w:val="none" w:sz="0" w:space="0" w:color="auto"/>
          </w:divBdr>
        </w:div>
        <w:div w:id="1600945830">
          <w:marLeft w:val="0"/>
          <w:marRight w:val="0"/>
          <w:marTop w:val="0"/>
          <w:marBottom w:val="0"/>
          <w:divBdr>
            <w:top w:val="none" w:sz="0" w:space="0" w:color="auto"/>
            <w:left w:val="none" w:sz="0" w:space="0" w:color="auto"/>
            <w:bottom w:val="none" w:sz="0" w:space="0" w:color="auto"/>
            <w:right w:val="none" w:sz="0" w:space="0" w:color="auto"/>
          </w:divBdr>
        </w:div>
        <w:div w:id="1456603410">
          <w:marLeft w:val="0"/>
          <w:marRight w:val="0"/>
          <w:marTop w:val="0"/>
          <w:marBottom w:val="0"/>
          <w:divBdr>
            <w:top w:val="none" w:sz="0" w:space="0" w:color="auto"/>
            <w:left w:val="none" w:sz="0" w:space="0" w:color="auto"/>
            <w:bottom w:val="none" w:sz="0" w:space="0" w:color="auto"/>
            <w:right w:val="none" w:sz="0" w:space="0" w:color="auto"/>
          </w:divBdr>
        </w:div>
        <w:div w:id="551576562">
          <w:marLeft w:val="0"/>
          <w:marRight w:val="0"/>
          <w:marTop w:val="0"/>
          <w:marBottom w:val="0"/>
          <w:divBdr>
            <w:top w:val="none" w:sz="0" w:space="0" w:color="auto"/>
            <w:left w:val="none" w:sz="0" w:space="0" w:color="auto"/>
            <w:bottom w:val="none" w:sz="0" w:space="0" w:color="auto"/>
            <w:right w:val="none" w:sz="0" w:space="0" w:color="auto"/>
          </w:divBdr>
        </w:div>
        <w:div w:id="1590235565">
          <w:marLeft w:val="0"/>
          <w:marRight w:val="0"/>
          <w:marTop w:val="0"/>
          <w:marBottom w:val="0"/>
          <w:divBdr>
            <w:top w:val="none" w:sz="0" w:space="0" w:color="auto"/>
            <w:left w:val="none" w:sz="0" w:space="0" w:color="auto"/>
            <w:bottom w:val="none" w:sz="0" w:space="0" w:color="auto"/>
            <w:right w:val="none" w:sz="0" w:space="0" w:color="auto"/>
          </w:divBdr>
        </w:div>
        <w:div w:id="418336092">
          <w:marLeft w:val="0"/>
          <w:marRight w:val="0"/>
          <w:marTop w:val="0"/>
          <w:marBottom w:val="0"/>
          <w:divBdr>
            <w:top w:val="none" w:sz="0" w:space="0" w:color="auto"/>
            <w:left w:val="none" w:sz="0" w:space="0" w:color="auto"/>
            <w:bottom w:val="none" w:sz="0" w:space="0" w:color="auto"/>
            <w:right w:val="none" w:sz="0" w:space="0" w:color="auto"/>
          </w:divBdr>
        </w:div>
        <w:div w:id="1501848071">
          <w:marLeft w:val="0"/>
          <w:marRight w:val="0"/>
          <w:marTop w:val="0"/>
          <w:marBottom w:val="0"/>
          <w:divBdr>
            <w:top w:val="none" w:sz="0" w:space="0" w:color="auto"/>
            <w:left w:val="none" w:sz="0" w:space="0" w:color="auto"/>
            <w:bottom w:val="none" w:sz="0" w:space="0" w:color="auto"/>
            <w:right w:val="none" w:sz="0" w:space="0" w:color="auto"/>
          </w:divBdr>
        </w:div>
        <w:div w:id="1522206398">
          <w:marLeft w:val="0"/>
          <w:marRight w:val="0"/>
          <w:marTop w:val="0"/>
          <w:marBottom w:val="0"/>
          <w:divBdr>
            <w:top w:val="none" w:sz="0" w:space="0" w:color="auto"/>
            <w:left w:val="none" w:sz="0" w:space="0" w:color="auto"/>
            <w:bottom w:val="none" w:sz="0" w:space="0" w:color="auto"/>
            <w:right w:val="none" w:sz="0" w:space="0" w:color="auto"/>
          </w:divBdr>
        </w:div>
        <w:div w:id="950471653">
          <w:marLeft w:val="0"/>
          <w:marRight w:val="0"/>
          <w:marTop w:val="0"/>
          <w:marBottom w:val="0"/>
          <w:divBdr>
            <w:top w:val="none" w:sz="0" w:space="0" w:color="auto"/>
            <w:left w:val="none" w:sz="0" w:space="0" w:color="auto"/>
            <w:bottom w:val="none" w:sz="0" w:space="0" w:color="auto"/>
            <w:right w:val="none" w:sz="0" w:space="0" w:color="auto"/>
          </w:divBdr>
        </w:div>
        <w:div w:id="1732117710">
          <w:marLeft w:val="0"/>
          <w:marRight w:val="0"/>
          <w:marTop w:val="0"/>
          <w:marBottom w:val="0"/>
          <w:divBdr>
            <w:top w:val="none" w:sz="0" w:space="0" w:color="auto"/>
            <w:left w:val="none" w:sz="0" w:space="0" w:color="auto"/>
            <w:bottom w:val="none" w:sz="0" w:space="0" w:color="auto"/>
            <w:right w:val="none" w:sz="0" w:space="0" w:color="auto"/>
          </w:divBdr>
        </w:div>
        <w:div w:id="1478113565">
          <w:marLeft w:val="0"/>
          <w:marRight w:val="0"/>
          <w:marTop w:val="0"/>
          <w:marBottom w:val="0"/>
          <w:divBdr>
            <w:top w:val="none" w:sz="0" w:space="0" w:color="auto"/>
            <w:left w:val="none" w:sz="0" w:space="0" w:color="auto"/>
            <w:bottom w:val="none" w:sz="0" w:space="0" w:color="auto"/>
            <w:right w:val="none" w:sz="0" w:space="0" w:color="auto"/>
          </w:divBdr>
        </w:div>
        <w:div w:id="733359497">
          <w:marLeft w:val="0"/>
          <w:marRight w:val="0"/>
          <w:marTop w:val="0"/>
          <w:marBottom w:val="0"/>
          <w:divBdr>
            <w:top w:val="none" w:sz="0" w:space="0" w:color="auto"/>
            <w:left w:val="none" w:sz="0" w:space="0" w:color="auto"/>
            <w:bottom w:val="none" w:sz="0" w:space="0" w:color="auto"/>
            <w:right w:val="none" w:sz="0" w:space="0" w:color="auto"/>
          </w:divBdr>
        </w:div>
        <w:div w:id="2093700436">
          <w:marLeft w:val="0"/>
          <w:marRight w:val="0"/>
          <w:marTop w:val="0"/>
          <w:marBottom w:val="0"/>
          <w:divBdr>
            <w:top w:val="none" w:sz="0" w:space="0" w:color="auto"/>
            <w:left w:val="none" w:sz="0" w:space="0" w:color="auto"/>
            <w:bottom w:val="none" w:sz="0" w:space="0" w:color="auto"/>
            <w:right w:val="none" w:sz="0" w:space="0" w:color="auto"/>
          </w:divBdr>
        </w:div>
        <w:div w:id="212886641">
          <w:marLeft w:val="0"/>
          <w:marRight w:val="0"/>
          <w:marTop w:val="0"/>
          <w:marBottom w:val="0"/>
          <w:divBdr>
            <w:top w:val="none" w:sz="0" w:space="0" w:color="auto"/>
            <w:left w:val="none" w:sz="0" w:space="0" w:color="auto"/>
            <w:bottom w:val="none" w:sz="0" w:space="0" w:color="auto"/>
            <w:right w:val="none" w:sz="0" w:space="0" w:color="auto"/>
          </w:divBdr>
        </w:div>
        <w:div w:id="1662733135">
          <w:marLeft w:val="0"/>
          <w:marRight w:val="0"/>
          <w:marTop w:val="0"/>
          <w:marBottom w:val="0"/>
          <w:divBdr>
            <w:top w:val="none" w:sz="0" w:space="0" w:color="auto"/>
            <w:left w:val="none" w:sz="0" w:space="0" w:color="auto"/>
            <w:bottom w:val="none" w:sz="0" w:space="0" w:color="auto"/>
            <w:right w:val="none" w:sz="0" w:space="0" w:color="auto"/>
          </w:divBdr>
        </w:div>
        <w:div w:id="700786198">
          <w:marLeft w:val="0"/>
          <w:marRight w:val="0"/>
          <w:marTop w:val="0"/>
          <w:marBottom w:val="0"/>
          <w:divBdr>
            <w:top w:val="none" w:sz="0" w:space="0" w:color="auto"/>
            <w:left w:val="none" w:sz="0" w:space="0" w:color="auto"/>
            <w:bottom w:val="none" w:sz="0" w:space="0" w:color="auto"/>
            <w:right w:val="none" w:sz="0" w:space="0" w:color="auto"/>
          </w:divBdr>
        </w:div>
        <w:div w:id="571814497">
          <w:marLeft w:val="0"/>
          <w:marRight w:val="0"/>
          <w:marTop w:val="0"/>
          <w:marBottom w:val="0"/>
          <w:divBdr>
            <w:top w:val="none" w:sz="0" w:space="0" w:color="auto"/>
            <w:left w:val="none" w:sz="0" w:space="0" w:color="auto"/>
            <w:bottom w:val="none" w:sz="0" w:space="0" w:color="auto"/>
            <w:right w:val="none" w:sz="0" w:space="0" w:color="auto"/>
          </w:divBdr>
        </w:div>
        <w:div w:id="1492285770">
          <w:marLeft w:val="0"/>
          <w:marRight w:val="0"/>
          <w:marTop w:val="0"/>
          <w:marBottom w:val="0"/>
          <w:divBdr>
            <w:top w:val="none" w:sz="0" w:space="0" w:color="auto"/>
            <w:left w:val="none" w:sz="0" w:space="0" w:color="auto"/>
            <w:bottom w:val="none" w:sz="0" w:space="0" w:color="auto"/>
            <w:right w:val="none" w:sz="0" w:space="0" w:color="auto"/>
          </w:divBdr>
        </w:div>
        <w:div w:id="687557811">
          <w:marLeft w:val="0"/>
          <w:marRight w:val="0"/>
          <w:marTop w:val="0"/>
          <w:marBottom w:val="0"/>
          <w:divBdr>
            <w:top w:val="none" w:sz="0" w:space="0" w:color="auto"/>
            <w:left w:val="none" w:sz="0" w:space="0" w:color="auto"/>
            <w:bottom w:val="none" w:sz="0" w:space="0" w:color="auto"/>
            <w:right w:val="none" w:sz="0" w:space="0" w:color="auto"/>
          </w:divBdr>
        </w:div>
        <w:div w:id="92365852">
          <w:marLeft w:val="0"/>
          <w:marRight w:val="0"/>
          <w:marTop w:val="0"/>
          <w:marBottom w:val="0"/>
          <w:divBdr>
            <w:top w:val="none" w:sz="0" w:space="0" w:color="auto"/>
            <w:left w:val="none" w:sz="0" w:space="0" w:color="auto"/>
            <w:bottom w:val="none" w:sz="0" w:space="0" w:color="auto"/>
            <w:right w:val="none" w:sz="0" w:space="0" w:color="auto"/>
          </w:divBdr>
        </w:div>
        <w:div w:id="908002032">
          <w:marLeft w:val="0"/>
          <w:marRight w:val="0"/>
          <w:marTop w:val="0"/>
          <w:marBottom w:val="0"/>
          <w:divBdr>
            <w:top w:val="none" w:sz="0" w:space="0" w:color="auto"/>
            <w:left w:val="none" w:sz="0" w:space="0" w:color="auto"/>
            <w:bottom w:val="none" w:sz="0" w:space="0" w:color="auto"/>
            <w:right w:val="none" w:sz="0" w:space="0" w:color="auto"/>
          </w:divBdr>
        </w:div>
        <w:div w:id="1288776623">
          <w:marLeft w:val="0"/>
          <w:marRight w:val="0"/>
          <w:marTop w:val="0"/>
          <w:marBottom w:val="0"/>
          <w:divBdr>
            <w:top w:val="none" w:sz="0" w:space="0" w:color="auto"/>
            <w:left w:val="none" w:sz="0" w:space="0" w:color="auto"/>
            <w:bottom w:val="none" w:sz="0" w:space="0" w:color="auto"/>
            <w:right w:val="none" w:sz="0" w:space="0" w:color="auto"/>
          </w:divBdr>
        </w:div>
        <w:div w:id="1604607259">
          <w:marLeft w:val="0"/>
          <w:marRight w:val="0"/>
          <w:marTop w:val="0"/>
          <w:marBottom w:val="0"/>
          <w:divBdr>
            <w:top w:val="none" w:sz="0" w:space="0" w:color="auto"/>
            <w:left w:val="none" w:sz="0" w:space="0" w:color="auto"/>
            <w:bottom w:val="none" w:sz="0" w:space="0" w:color="auto"/>
            <w:right w:val="none" w:sz="0" w:space="0" w:color="auto"/>
          </w:divBdr>
        </w:div>
        <w:div w:id="1940285519">
          <w:marLeft w:val="0"/>
          <w:marRight w:val="0"/>
          <w:marTop w:val="0"/>
          <w:marBottom w:val="0"/>
          <w:divBdr>
            <w:top w:val="none" w:sz="0" w:space="0" w:color="auto"/>
            <w:left w:val="none" w:sz="0" w:space="0" w:color="auto"/>
            <w:bottom w:val="none" w:sz="0" w:space="0" w:color="auto"/>
            <w:right w:val="none" w:sz="0" w:space="0" w:color="auto"/>
          </w:divBdr>
        </w:div>
      </w:divsChild>
    </w:div>
    <w:div w:id="170651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erationr.org.uk/liverpoo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ra.gov.uk/yellowcar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anresearc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AD550E7-16B8-49F3-8EFF-8AD24CCC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4979</Words>
  <Characters>28381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Bhoombla, Nikita</dc:creator>
  <cp:keywords/>
  <dc:description/>
  <cp:lastModifiedBy>Hawcutt, Daniel</cp:lastModifiedBy>
  <cp:revision>12</cp:revision>
  <dcterms:created xsi:type="dcterms:W3CDTF">2019-09-24T13:19:00Z</dcterms:created>
  <dcterms:modified xsi:type="dcterms:W3CDTF">2019-11-20T12:23:00Z</dcterms:modified>
</cp:coreProperties>
</file>