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781BF" w14:textId="77777777" w:rsidR="00E87F08" w:rsidRPr="00295676" w:rsidRDefault="00E87F08" w:rsidP="00C42838">
      <w:pPr>
        <w:pStyle w:val="Heading1"/>
      </w:pPr>
      <w:bookmarkStart w:id="0" w:name="_Hlk22820379"/>
      <w:bookmarkStart w:id="1" w:name="_GoBack"/>
      <w:bookmarkEnd w:id="1"/>
      <w:r w:rsidRPr="00295676">
        <w:t>Etiologic workup in cases of cryptogenic stroke: a systematic review of international clinical practice guidelines</w:t>
      </w:r>
    </w:p>
    <w:bookmarkEnd w:id="0"/>
    <w:p w14:paraId="2EB93496" w14:textId="77777777" w:rsidR="00E87F08" w:rsidRPr="00295676" w:rsidRDefault="00E87F08" w:rsidP="00C42838">
      <w:pPr>
        <w:spacing w:line="360" w:lineRule="auto"/>
        <w:rPr>
          <w:color w:val="000000" w:themeColor="text1"/>
        </w:rPr>
      </w:pPr>
      <w:r w:rsidRPr="00295676">
        <w:rPr>
          <w:color w:val="000000" w:themeColor="text1"/>
        </w:rPr>
        <w:t>Naoimh E. McMahon</w:t>
      </w:r>
      <w:r w:rsidRPr="00295676">
        <w:rPr>
          <w:color w:val="000000" w:themeColor="text1"/>
          <w:vertAlign w:val="superscript"/>
        </w:rPr>
        <w:t>1</w:t>
      </w:r>
      <w:r w:rsidRPr="00295676">
        <w:rPr>
          <w:color w:val="000000" w:themeColor="text1"/>
        </w:rPr>
        <w:t xml:space="preserve"> PhD, Munirah Bangee</w:t>
      </w:r>
      <w:r w:rsidRPr="00295676">
        <w:rPr>
          <w:color w:val="000000" w:themeColor="text1"/>
          <w:vertAlign w:val="superscript"/>
        </w:rPr>
        <w:t xml:space="preserve">1 </w:t>
      </w:r>
      <w:r w:rsidRPr="00295676">
        <w:rPr>
          <w:color w:val="000000" w:themeColor="text1"/>
        </w:rPr>
        <w:t>PhD, Valerio Benedetto</w:t>
      </w:r>
      <w:r w:rsidRPr="00295676">
        <w:rPr>
          <w:color w:val="000000" w:themeColor="text1"/>
          <w:vertAlign w:val="superscript"/>
        </w:rPr>
        <w:t xml:space="preserve">1 </w:t>
      </w:r>
      <w:r w:rsidRPr="00295676">
        <w:rPr>
          <w:color w:val="000000" w:themeColor="text1"/>
        </w:rPr>
        <w:t>PhD, Emma P. Bray</w:t>
      </w:r>
      <w:r w:rsidRPr="00295676">
        <w:rPr>
          <w:color w:val="000000" w:themeColor="text1"/>
          <w:vertAlign w:val="superscript"/>
        </w:rPr>
        <w:t>1</w:t>
      </w:r>
      <w:r w:rsidRPr="00295676">
        <w:rPr>
          <w:color w:val="000000" w:themeColor="text1"/>
        </w:rPr>
        <w:t xml:space="preserve"> PhD, Rachel F. Georgiou</w:t>
      </w:r>
      <w:r w:rsidRPr="00295676">
        <w:rPr>
          <w:color w:val="000000" w:themeColor="text1"/>
          <w:vertAlign w:val="superscript"/>
        </w:rPr>
        <w:t>1</w:t>
      </w:r>
      <w:r w:rsidRPr="00295676">
        <w:rPr>
          <w:color w:val="000000" w:themeColor="text1"/>
        </w:rPr>
        <w:t xml:space="preserve"> MSc, Josephine Gibson</w:t>
      </w:r>
      <w:r w:rsidRPr="00295676">
        <w:rPr>
          <w:color w:val="000000" w:themeColor="text1"/>
          <w:vertAlign w:val="superscript"/>
        </w:rPr>
        <w:t>1</w:t>
      </w:r>
      <w:r w:rsidRPr="00295676">
        <w:rPr>
          <w:color w:val="000000" w:themeColor="text1"/>
        </w:rPr>
        <w:t xml:space="preserve"> PhD, Deirdre A. Lane</w:t>
      </w:r>
      <w:r w:rsidRPr="00295676">
        <w:rPr>
          <w:color w:val="000000" w:themeColor="text1"/>
          <w:vertAlign w:val="superscript"/>
        </w:rPr>
        <w:t>2,3</w:t>
      </w:r>
      <w:r w:rsidRPr="00295676">
        <w:rPr>
          <w:color w:val="000000" w:themeColor="text1"/>
        </w:rPr>
        <w:t xml:space="preserve"> PhD, </w:t>
      </w:r>
      <w:r w:rsidRPr="00295676">
        <w:rPr>
          <w:lang w:val="de-DE"/>
        </w:rPr>
        <w:t>A. Hakam Al-Khalidi</w:t>
      </w:r>
      <w:r w:rsidRPr="00295676">
        <w:rPr>
          <w:vertAlign w:val="superscript"/>
          <w:lang w:val="de-DE"/>
        </w:rPr>
        <w:t>4</w:t>
      </w:r>
      <w:r w:rsidRPr="00295676">
        <w:rPr>
          <w:lang w:val="de-DE"/>
        </w:rPr>
        <w:t xml:space="preserve"> PhD, </w:t>
      </w:r>
      <w:r w:rsidRPr="00295676">
        <w:rPr>
          <w:color w:val="000000" w:themeColor="text1"/>
        </w:rPr>
        <w:t>Kausik Chatterjee</w:t>
      </w:r>
      <w:r w:rsidRPr="00295676">
        <w:rPr>
          <w:color w:val="000000" w:themeColor="text1"/>
          <w:vertAlign w:val="superscript"/>
        </w:rPr>
        <w:t>5</w:t>
      </w:r>
      <w:r w:rsidRPr="00295676">
        <w:rPr>
          <w:color w:val="000000" w:themeColor="text1"/>
        </w:rPr>
        <w:t xml:space="preserve"> MD, Umesh Chauhan</w:t>
      </w:r>
      <w:r w:rsidRPr="00295676">
        <w:rPr>
          <w:color w:val="000000" w:themeColor="text1"/>
          <w:vertAlign w:val="superscript"/>
        </w:rPr>
        <w:t>6</w:t>
      </w:r>
      <w:r w:rsidRPr="00295676">
        <w:rPr>
          <w:color w:val="000000" w:themeColor="text1"/>
        </w:rPr>
        <w:t xml:space="preserve"> PhD, Andrew J. Clegg</w:t>
      </w:r>
      <w:r w:rsidRPr="00295676">
        <w:rPr>
          <w:color w:val="000000" w:themeColor="text1"/>
          <w:vertAlign w:val="superscript"/>
        </w:rPr>
        <w:t>1</w:t>
      </w:r>
      <w:r w:rsidRPr="00295676">
        <w:rPr>
          <w:color w:val="000000" w:themeColor="text1"/>
        </w:rPr>
        <w:t xml:space="preserve"> PhD, Elizabeth Lightbody</w:t>
      </w:r>
      <w:r w:rsidRPr="00295676">
        <w:rPr>
          <w:color w:val="000000" w:themeColor="text1"/>
          <w:vertAlign w:val="superscript"/>
        </w:rPr>
        <w:t>1</w:t>
      </w:r>
      <w:r w:rsidRPr="00295676">
        <w:rPr>
          <w:color w:val="000000" w:themeColor="text1"/>
        </w:rPr>
        <w:t xml:space="preserve"> PhD, Gregory Y. H. Lip</w:t>
      </w:r>
      <w:r w:rsidRPr="00295676">
        <w:rPr>
          <w:color w:val="000000" w:themeColor="text1"/>
          <w:vertAlign w:val="superscript"/>
        </w:rPr>
        <w:t xml:space="preserve">2,3 </w:t>
      </w:r>
      <w:r w:rsidRPr="00295676">
        <w:rPr>
          <w:color w:val="000000" w:themeColor="text1"/>
        </w:rPr>
        <w:t xml:space="preserve">MD, </w:t>
      </w:r>
      <w:proofErr w:type="spellStart"/>
      <w:r w:rsidRPr="00295676">
        <w:rPr>
          <w:color w:val="000000" w:themeColor="text1"/>
        </w:rPr>
        <w:t>Alakendu</w:t>
      </w:r>
      <w:proofErr w:type="spellEnd"/>
      <w:r w:rsidRPr="00295676">
        <w:rPr>
          <w:color w:val="000000" w:themeColor="text1"/>
        </w:rPr>
        <w:t xml:space="preserve"> Sekhar</w:t>
      </w:r>
      <w:r w:rsidRPr="00295676">
        <w:rPr>
          <w:color w:val="000000" w:themeColor="text1"/>
          <w:vertAlign w:val="superscript"/>
        </w:rPr>
        <w:t xml:space="preserve">7 </w:t>
      </w:r>
      <w:r w:rsidRPr="00295676">
        <w:t xml:space="preserve">FRCP </w:t>
      </w:r>
      <w:proofErr w:type="spellStart"/>
      <w:r w:rsidRPr="00295676">
        <w:t>Edin</w:t>
      </w:r>
      <w:proofErr w:type="spellEnd"/>
      <w:r w:rsidRPr="00295676">
        <w:rPr>
          <w:color w:val="000000" w:themeColor="text1"/>
        </w:rPr>
        <w:t>, Caroline L. Watkins</w:t>
      </w:r>
      <w:r w:rsidRPr="00295676">
        <w:rPr>
          <w:color w:val="000000" w:themeColor="text1"/>
          <w:vertAlign w:val="superscript"/>
        </w:rPr>
        <w:t xml:space="preserve">1 </w:t>
      </w:r>
      <w:r w:rsidRPr="00295676">
        <w:rPr>
          <w:color w:val="000000" w:themeColor="text1"/>
        </w:rPr>
        <w:t>PhD</w:t>
      </w:r>
    </w:p>
    <w:p w14:paraId="12231AD0" w14:textId="77777777" w:rsidR="00E87F08" w:rsidRPr="00295676" w:rsidRDefault="00E87F08" w:rsidP="00C42838">
      <w:pPr>
        <w:spacing w:after="0" w:line="360" w:lineRule="auto"/>
        <w:rPr>
          <w:color w:val="000000" w:themeColor="text1"/>
        </w:rPr>
      </w:pPr>
      <w:r w:rsidRPr="00295676">
        <w:rPr>
          <w:color w:val="000000" w:themeColor="text1"/>
          <w:vertAlign w:val="superscript"/>
        </w:rPr>
        <w:t>1</w:t>
      </w:r>
      <w:r w:rsidRPr="00295676">
        <w:t xml:space="preserve">Faculty of Health and Wellbeing, University of Central </w:t>
      </w:r>
      <w:r w:rsidRPr="00295676">
        <w:rPr>
          <w:color w:val="000000" w:themeColor="text1"/>
        </w:rPr>
        <w:t>Lancashire</w:t>
      </w:r>
    </w:p>
    <w:p w14:paraId="67C85981" w14:textId="77777777" w:rsidR="00E87F08" w:rsidRPr="00295676" w:rsidRDefault="00E87F08" w:rsidP="00C42838">
      <w:pPr>
        <w:spacing w:after="0" w:line="360" w:lineRule="auto"/>
      </w:pPr>
      <w:r w:rsidRPr="00295676">
        <w:rPr>
          <w:color w:val="000000" w:themeColor="text1"/>
          <w:vertAlign w:val="superscript"/>
        </w:rPr>
        <w:t>2</w:t>
      </w:r>
      <w:r w:rsidRPr="00295676">
        <w:t>Liverpool Centre for Cardiovascular Science, University of Liverpool &amp; Liverpool Heart and Chest Hospital</w:t>
      </w:r>
    </w:p>
    <w:p w14:paraId="0C1E8FB2" w14:textId="77777777" w:rsidR="00E87F08" w:rsidRPr="00295676" w:rsidRDefault="00E87F08" w:rsidP="00C42838">
      <w:pPr>
        <w:spacing w:after="0" w:line="360" w:lineRule="auto"/>
      </w:pPr>
      <w:r w:rsidRPr="00295676">
        <w:rPr>
          <w:vertAlign w:val="superscript"/>
        </w:rPr>
        <w:t>3</w:t>
      </w:r>
      <w:r w:rsidRPr="00295676">
        <w:t>Department of Clinical Medicine, Aalborg University</w:t>
      </w:r>
    </w:p>
    <w:p w14:paraId="0B7B4D60" w14:textId="77777777" w:rsidR="00E87F08" w:rsidRPr="00295676" w:rsidRDefault="00E87F08" w:rsidP="00C42838">
      <w:pPr>
        <w:spacing w:after="0" w:line="360" w:lineRule="auto"/>
      </w:pPr>
      <w:r w:rsidRPr="00295676">
        <w:rPr>
          <w:color w:val="000000" w:themeColor="text1"/>
          <w:vertAlign w:val="superscript"/>
        </w:rPr>
        <w:t>4</w:t>
      </w:r>
      <w:r w:rsidRPr="00295676">
        <w:t>Medtronic Limited, UK</w:t>
      </w:r>
    </w:p>
    <w:p w14:paraId="145407B6" w14:textId="77777777" w:rsidR="00E87F08" w:rsidRPr="00295676" w:rsidRDefault="00E87F08" w:rsidP="00C42838">
      <w:pPr>
        <w:spacing w:after="0" w:line="360" w:lineRule="auto"/>
      </w:pPr>
      <w:r w:rsidRPr="00295676">
        <w:rPr>
          <w:color w:val="000000" w:themeColor="text1"/>
          <w:vertAlign w:val="superscript"/>
        </w:rPr>
        <w:t>5</w:t>
      </w:r>
      <w:r w:rsidRPr="00295676">
        <w:t xml:space="preserve">Countess of Chester Hospital, Chester, </w:t>
      </w:r>
    </w:p>
    <w:p w14:paraId="76B88E8E" w14:textId="77777777" w:rsidR="00E87F08" w:rsidRPr="00295676" w:rsidRDefault="00E87F08" w:rsidP="00C42838">
      <w:pPr>
        <w:spacing w:after="0" w:line="360" w:lineRule="auto"/>
      </w:pPr>
      <w:bookmarkStart w:id="2" w:name="_Hlk22298529"/>
      <w:r w:rsidRPr="00295676">
        <w:rPr>
          <w:color w:val="000000" w:themeColor="text1"/>
          <w:vertAlign w:val="superscript"/>
        </w:rPr>
        <w:t>6</w:t>
      </w:r>
      <w:r w:rsidRPr="00295676">
        <w:t>Faculty of Clinical and Biomedical Sciences, University of Central Lancashire</w:t>
      </w:r>
    </w:p>
    <w:p w14:paraId="2141DBB1" w14:textId="77777777" w:rsidR="00E87F08" w:rsidRPr="00295676" w:rsidRDefault="00E87F08" w:rsidP="00C42838">
      <w:pPr>
        <w:spacing w:after="0" w:line="360" w:lineRule="auto"/>
      </w:pPr>
      <w:bookmarkStart w:id="3" w:name="_Hlk22298720"/>
      <w:bookmarkEnd w:id="2"/>
      <w:r w:rsidRPr="00295676">
        <w:rPr>
          <w:color w:val="000000" w:themeColor="text1"/>
          <w:vertAlign w:val="superscript"/>
        </w:rPr>
        <w:t>7</w:t>
      </w:r>
      <w:r w:rsidRPr="00295676">
        <w:t>The Walton Centre NHS Foundation Trust, Liverpool</w:t>
      </w:r>
    </w:p>
    <w:bookmarkEnd w:id="3"/>
    <w:p w14:paraId="7695E3BF" w14:textId="77777777" w:rsidR="00E87F08" w:rsidRPr="00295676" w:rsidRDefault="00E87F08" w:rsidP="00C42838">
      <w:pPr>
        <w:spacing w:after="0" w:line="360" w:lineRule="auto"/>
        <w:rPr>
          <w:b/>
        </w:rPr>
      </w:pPr>
    </w:p>
    <w:p w14:paraId="6F4F1D68" w14:textId="77777777" w:rsidR="00E87F08" w:rsidRPr="00295676" w:rsidRDefault="00E87F08" w:rsidP="00C42838">
      <w:pPr>
        <w:spacing w:after="0" w:line="360" w:lineRule="auto"/>
        <w:rPr>
          <w:b/>
        </w:rPr>
      </w:pPr>
      <w:r w:rsidRPr="00295676">
        <w:rPr>
          <w:b/>
        </w:rPr>
        <w:t xml:space="preserve">Corresponding author: </w:t>
      </w:r>
    </w:p>
    <w:p w14:paraId="492804E9" w14:textId="77777777" w:rsidR="00E87F08" w:rsidRPr="00295676" w:rsidRDefault="00E87F08" w:rsidP="00C42838">
      <w:pPr>
        <w:spacing w:after="0" w:line="360" w:lineRule="auto"/>
      </w:pPr>
      <w:r w:rsidRPr="00295676">
        <w:t xml:space="preserve">Professor Dame Caroline Watkins, </w:t>
      </w:r>
    </w:p>
    <w:p w14:paraId="1F51284D" w14:textId="77777777" w:rsidR="00E87F08" w:rsidRPr="00295676" w:rsidRDefault="00E87F08" w:rsidP="00C42838">
      <w:pPr>
        <w:spacing w:after="0" w:line="360" w:lineRule="auto"/>
      </w:pPr>
      <w:r w:rsidRPr="00295676">
        <w:t>Faculty of Health and Wellbeing,</w:t>
      </w:r>
    </w:p>
    <w:p w14:paraId="0783DAA8" w14:textId="77777777" w:rsidR="00E87F08" w:rsidRPr="00295676" w:rsidRDefault="00E87F08" w:rsidP="00C42838">
      <w:pPr>
        <w:spacing w:after="0" w:line="360" w:lineRule="auto"/>
      </w:pPr>
      <w:r w:rsidRPr="00295676">
        <w:t>University of Central Lancashire,</w:t>
      </w:r>
    </w:p>
    <w:p w14:paraId="686819D9" w14:textId="77777777" w:rsidR="00E87F08" w:rsidRPr="00295676" w:rsidRDefault="00E87F08" w:rsidP="00C42838">
      <w:pPr>
        <w:spacing w:after="0" w:line="360" w:lineRule="auto"/>
      </w:pPr>
      <w:r w:rsidRPr="00295676">
        <w:t>Preston,</w:t>
      </w:r>
    </w:p>
    <w:p w14:paraId="7CB48A39" w14:textId="77777777" w:rsidR="00E87F08" w:rsidRPr="00295676" w:rsidRDefault="00E87F08" w:rsidP="00C42838">
      <w:pPr>
        <w:spacing w:after="0" w:line="360" w:lineRule="auto"/>
      </w:pPr>
      <w:r w:rsidRPr="00295676">
        <w:t>PR1 2HE</w:t>
      </w:r>
    </w:p>
    <w:p w14:paraId="3527983B" w14:textId="77777777" w:rsidR="00E87F08" w:rsidRPr="00295676" w:rsidRDefault="00E87F08" w:rsidP="00C42838">
      <w:pPr>
        <w:spacing w:after="0" w:line="360" w:lineRule="auto"/>
      </w:pPr>
      <w:r w:rsidRPr="00295676">
        <w:t>01772 895542</w:t>
      </w:r>
    </w:p>
    <w:p w14:paraId="4B07DC16" w14:textId="77777777" w:rsidR="00E87F08" w:rsidRPr="00295676" w:rsidRDefault="00E51D67" w:rsidP="00C42838">
      <w:pPr>
        <w:spacing w:after="0" w:line="360" w:lineRule="auto"/>
        <w:rPr>
          <w:rStyle w:val="Hyperlink"/>
        </w:rPr>
      </w:pPr>
      <w:hyperlink r:id="rId7" w:history="1">
        <w:r w:rsidR="00E87F08" w:rsidRPr="00295676">
          <w:rPr>
            <w:rStyle w:val="Hyperlink"/>
          </w:rPr>
          <w:t>clwatkins@uclan.ac.uk</w:t>
        </w:r>
      </w:hyperlink>
    </w:p>
    <w:p w14:paraId="07930ADE" w14:textId="77777777" w:rsidR="00E87F08" w:rsidRPr="00295676" w:rsidRDefault="00E87F08" w:rsidP="00C42838">
      <w:pPr>
        <w:spacing w:after="160" w:line="360" w:lineRule="auto"/>
        <w:rPr>
          <w:b/>
        </w:rPr>
      </w:pPr>
    </w:p>
    <w:p w14:paraId="2F149614" w14:textId="77777777" w:rsidR="00E87F08" w:rsidRPr="00295676" w:rsidRDefault="00E87F08" w:rsidP="00C42838">
      <w:pPr>
        <w:spacing w:after="0" w:line="360" w:lineRule="auto"/>
      </w:pPr>
      <w:r w:rsidRPr="00295676">
        <w:rPr>
          <w:b/>
        </w:rPr>
        <w:t xml:space="preserve">Cover title: </w:t>
      </w:r>
      <w:r w:rsidRPr="00295676">
        <w:t>Etiologic workup in cases of cryptogenic stroke</w:t>
      </w:r>
    </w:p>
    <w:p w14:paraId="43CE5648" w14:textId="77777777" w:rsidR="00E87F08" w:rsidRPr="00295676" w:rsidRDefault="00E87F08" w:rsidP="00C42838">
      <w:pPr>
        <w:spacing w:after="0" w:line="360" w:lineRule="auto"/>
      </w:pPr>
      <w:r w:rsidRPr="00295676">
        <w:rPr>
          <w:b/>
        </w:rPr>
        <w:t xml:space="preserve">Total number of tables and figures: </w:t>
      </w:r>
      <w:r w:rsidRPr="00295676">
        <w:t>Tables: 3; Figures: 1</w:t>
      </w:r>
    </w:p>
    <w:p w14:paraId="5DD0D9E7" w14:textId="77777777" w:rsidR="00E87F08" w:rsidRPr="00295676" w:rsidRDefault="00E87F08" w:rsidP="00C42838">
      <w:pPr>
        <w:spacing w:after="0" w:line="360" w:lineRule="auto"/>
      </w:pPr>
      <w:r w:rsidRPr="00295676">
        <w:rPr>
          <w:b/>
        </w:rPr>
        <w:t>Keywords:</w:t>
      </w:r>
      <w:r w:rsidRPr="00295676">
        <w:t xml:space="preserve"> stroke, diagnosis, imaging, cryptogenic, secondary prevention </w:t>
      </w:r>
    </w:p>
    <w:p w14:paraId="30445347" w14:textId="77777777" w:rsidR="00E87F08" w:rsidRPr="00295676" w:rsidRDefault="00E87F08" w:rsidP="00C42838">
      <w:pPr>
        <w:spacing w:after="0" w:line="360" w:lineRule="auto"/>
      </w:pPr>
      <w:r w:rsidRPr="00295676">
        <w:rPr>
          <w:b/>
        </w:rPr>
        <w:t xml:space="preserve">Subject Terms: </w:t>
      </w:r>
      <w:r w:rsidRPr="00295676">
        <w:t>diagnostic testing, imaging</w:t>
      </w:r>
    </w:p>
    <w:p w14:paraId="483B94E6" w14:textId="77777777" w:rsidR="00E87F08" w:rsidRDefault="00E87F08" w:rsidP="00C42838">
      <w:pPr>
        <w:spacing w:after="0" w:line="360" w:lineRule="auto"/>
      </w:pPr>
      <w:r w:rsidRPr="00295676">
        <w:rPr>
          <w:b/>
        </w:rPr>
        <w:t xml:space="preserve">Word count: </w:t>
      </w:r>
      <w:r w:rsidRPr="00295676">
        <w:t>5499</w:t>
      </w:r>
    </w:p>
    <w:p w14:paraId="30CC07AF" w14:textId="77777777" w:rsidR="00E87F08" w:rsidRPr="00295676" w:rsidRDefault="00E87F08" w:rsidP="00C42838">
      <w:pPr>
        <w:spacing w:after="0" w:line="360" w:lineRule="auto"/>
        <w:rPr>
          <w:b/>
        </w:rPr>
      </w:pPr>
      <w:r>
        <w:rPr>
          <w:b/>
        </w:rPr>
        <w:t xml:space="preserve">Twitter handle: </w:t>
      </w:r>
      <w:r w:rsidRPr="008150FC">
        <w:t>@</w:t>
      </w:r>
      <w:proofErr w:type="spellStart"/>
      <w:r w:rsidRPr="008150FC">
        <w:t>UCLanHealth</w:t>
      </w:r>
      <w:proofErr w:type="spellEnd"/>
      <w:r w:rsidRPr="00295676">
        <w:br w:type="page"/>
      </w:r>
    </w:p>
    <w:p w14:paraId="1E4F8D08" w14:textId="77777777" w:rsidR="00E87F08" w:rsidRPr="00295676" w:rsidRDefault="00E87F08" w:rsidP="00C42838">
      <w:pPr>
        <w:pStyle w:val="Heading1"/>
        <w:spacing w:line="360" w:lineRule="auto"/>
      </w:pPr>
      <w:r w:rsidRPr="00295676">
        <w:lastRenderedPageBreak/>
        <w:t>Abstract</w:t>
      </w:r>
    </w:p>
    <w:p w14:paraId="6CE2382E" w14:textId="77777777" w:rsidR="00E87F08" w:rsidRPr="00295676" w:rsidRDefault="00E87F08" w:rsidP="00C42838">
      <w:pPr>
        <w:pStyle w:val="Heading2"/>
        <w:spacing w:before="0" w:line="360" w:lineRule="auto"/>
        <w:rPr>
          <w:bCs/>
        </w:rPr>
      </w:pPr>
      <w:r w:rsidRPr="00295676">
        <w:rPr>
          <w:bCs/>
        </w:rPr>
        <w:t>Background and purpose</w:t>
      </w:r>
    </w:p>
    <w:p w14:paraId="3D923978" w14:textId="77777777" w:rsidR="00E87F08" w:rsidRPr="00295676" w:rsidRDefault="00E87F08" w:rsidP="00C42838">
      <w:pPr>
        <w:spacing w:line="360" w:lineRule="auto"/>
      </w:pPr>
      <w:r w:rsidRPr="00295676">
        <w:t xml:space="preserve">Identifying the </w:t>
      </w:r>
      <w:proofErr w:type="spellStart"/>
      <w:r w:rsidRPr="00295676">
        <w:t>etiology</w:t>
      </w:r>
      <w:proofErr w:type="spellEnd"/>
      <w:r w:rsidRPr="00295676">
        <w:t xml:space="preserve"> of acute ischemic stroke is essential for effective secondary prevention. However, in at least one third of ischemic strokes, existing investigative protocols fail to determine the underlying cause. Establishing </w:t>
      </w:r>
      <w:proofErr w:type="spellStart"/>
      <w:r w:rsidRPr="00295676">
        <w:t>etiology</w:t>
      </w:r>
      <w:proofErr w:type="spellEnd"/>
      <w:r w:rsidRPr="00295676">
        <w:t xml:space="preserve"> is complicated by variation in clinical practice, often reflecting preferences of treating clinicians and variable availability of investigative techniques. In this review, we systematically assess the extent to which there exists consensus, disagreement, and gaps in clinical practice recommendations on etiologic workup in acute ischemic stroke. </w:t>
      </w:r>
    </w:p>
    <w:p w14:paraId="2DB374B4" w14:textId="77777777" w:rsidR="00E87F08" w:rsidRPr="00295676" w:rsidRDefault="00E87F08" w:rsidP="00C42838">
      <w:pPr>
        <w:pStyle w:val="Heading2"/>
        <w:spacing w:line="360" w:lineRule="auto"/>
        <w:rPr>
          <w:bCs/>
        </w:rPr>
      </w:pPr>
      <w:r w:rsidRPr="00295676">
        <w:rPr>
          <w:bCs/>
        </w:rPr>
        <w:t>Methods</w:t>
      </w:r>
    </w:p>
    <w:p w14:paraId="5890FB80" w14:textId="77777777" w:rsidR="00E87F08" w:rsidRPr="00295676" w:rsidRDefault="00E87F08" w:rsidP="00C42838">
      <w:pPr>
        <w:spacing w:line="360" w:lineRule="auto"/>
      </w:pPr>
      <w:r w:rsidRPr="00295676">
        <w:t xml:space="preserve">We identified clinical practice guidelines (CPGs)/consensus statements through searches of four electronic databases, and hand-searching of websites/reference lists. Two reviewers independently assessed reports for eligibility. We extracted data on report characteristics and recommendations relating to etiologic workup in acute ischemic stroke, and in cases of cryptogenic stroke. Quality was assessed using the AGREE II tool (Appraisal of </w:t>
      </w:r>
      <w:proofErr w:type="gramStart"/>
      <w:r w:rsidRPr="00295676">
        <w:t>Guidelines  for</w:t>
      </w:r>
      <w:proofErr w:type="gramEnd"/>
      <w:r w:rsidRPr="00295676">
        <w:t xml:space="preserve"> Research &amp; Evaluation). Recommendations were synthesised according to a published algorithm for diagnostic evaluation in cryptogenic stroke. </w:t>
      </w:r>
    </w:p>
    <w:p w14:paraId="4D0D3CBC" w14:textId="77777777" w:rsidR="00E87F08" w:rsidRPr="00295676" w:rsidRDefault="00E87F08" w:rsidP="00C42838">
      <w:pPr>
        <w:pStyle w:val="Heading2"/>
        <w:spacing w:line="360" w:lineRule="auto"/>
        <w:rPr>
          <w:bCs/>
        </w:rPr>
      </w:pPr>
      <w:r w:rsidRPr="00295676">
        <w:rPr>
          <w:bCs/>
        </w:rPr>
        <w:t>Results</w:t>
      </w:r>
    </w:p>
    <w:p w14:paraId="0FDFCCF8" w14:textId="77777777" w:rsidR="00E87F08" w:rsidRPr="00295676" w:rsidRDefault="00E87F08" w:rsidP="00C42838">
      <w:pPr>
        <w:spacing w:line="360" w:lineRule="auto"/>
      </w:pPr>
      <w:bookmarkStart w:id="4" w:name="_Hlk22820621"/>
      <w:r w:rsidRPr="00295676">
        <w:t>We retrieved sixteen CPGs and seven consensus statements addressing acute stroke management (n=12), atrial fibrillation (n=5), imaging (n=5), and secondary prevention (n=1). Five reports were of overall high quality. For all patients, guidelines recommended routine brain imaging, non-invasive vascular imaging, a 12-lead electrocardiogram (ECG), and routine blood tests/laboratory investigations. Additionally, ECG monitoring (&gt;24 hours) was recommended for patients with suspected embolic stroke, and echocardiography for patients with suspected cardiac source. Three reports recommended investigations for rarer causes of stroke. None of the reports provided guidance on the extent of investigation needed prior to classifying a stroke as ‘cryptogenic’.</w:t>
      </w:r>
    </w:p>
    <w:p w14:paraId="17C70350" w14:textId="77777777" w:rsidR="00E87F08" w:rsidRPr="00295676" w:rsidRDefault="00E87F08" w:rsidP="00C42838">
      <w:pPr>
        <w:pStyle w:val="Heading2"/>
        <w:spacing w:line="360" w:lineRule="auto"/>
        <w:rPr>
          <w:bCs/>
        </w:rPr>
      </w:pPr>
      <w:r w:rsidRPr="00295676">
        <w:rPr>
          <w:bCs/>
        </w:rPr>
        <w:t xml:space="preserve">Conclusions </w:t>
      </w:r>
    </w:p>
    <w:p w14:paraId="48D6D6E6" w14:textId="77777777" w:rsidR="00E87F08" w:rsidRPr="00295676" w:rsidRDefault="00E87F08" w:rsidP="00C42838">
      <w:pPr>
        <w:spacing w:line="360" w:lineRule="auto"/>
      </w:pPr>
      <w:r w:rsidRPr="00295676">
        <w:t xml:space="preserve">While consensus exists surrounding ‘standard’ etiologic workup, there is little agreement on more advanced investigations for rarer causes of acute ischemic stroke. This gap in guidance, and in the underpinning evidence, demonstrates missed opportunities to better understand and protect against ongoing stroke risk. </w:t>
      </w:r>
    </w:p>
    <w:bookmarkEnd w:id="4"/>
    <w:p w14:paraId="74FF104A" w14:textId="77777777" w:rsidR="00E87F08" w:rsidRPr="00295676" w:rsidRDefault="00E87F08" w:rsidP="00C42838">
      <w:pPr>
        <w:pStyle w:val="Heading2"/>
      </w:pPr>
      <w:r w:rsidRPr="00295676">
        <w:lastRenderedPageBreak/>
        <w:t xml:space="preserve">Systematic review registration </w:t>
      </w:r>
    </w:p>
    <w:p w14:paraId="7820E5CF" w14:textId="77777777" w:rsidR="00E87F08" w:rsidRPr="00295676" w:rsidRDefault="00E87F08" w:rsidP="00C42838">
      <w:r w:rsidRPr="00295676">
        <w:t xml:space="preserve">PROSPERO Registration: </w:t>
      </w:r>
      <w:hyperlink r:id="rId8" w:history="1">
        <w:r w:rsidRPr="00295676">
          <w:rPr>
            <w:rStyle w:val="Hyperlink"/>
          </w:rPr>
          <w:t>https://www.crd.york.ac.uk/prospero/display_record.php?RecordID=127822</w:t>
        </w:r>
      </w:hyperlink>
      <w:r w:rsidRPr="00295676">
        <w:rPr>
          <w:rStyle w:val="Hyperlink"/>
        </w:rPr>
        <w:t>;</w:t>
      </w:r>
      <w:r w:rsidRPr="00295676">
        <w:t xml:space="preserve"> Unique Identifier: CRD42019127822</w:t>
      </w:r>
      <w:r w:rsidRPr="00295676">
        <w:br w:type="page"/>
      </w:r>
    </w:p>
    <w:p w14:paraId="211D2B04" w14:textId="77777777" w:rsidR="00E87F08" w:rsidRPr="00295676" w:rsidRDefault="00E87F08" w:rsidP="00C42838">
      <w:pPr>
        <w:pStyle w:val="Heading1"/>
      </w:pPr>
      <w:r w:rsidRPr="00295676">
        <w:lastRenderedPageBreak/>
        <w:t>Introduction</w:t>
      </w:r>
    </w:p>
    <w:p w14:paraId="7707F2D2" w14:textId="77777777" w:rsidR="00E87F08" w:rsidRPr="00295676" w:rsidRDefault="00E87F08" w:rsidP="00C42838">
      <w:r w:rsidRPr="00295676">
        <w:t>In at least one third of acute ischemic strokes, investigative protocols fail to establish the exact etiology</w:t>
      </w:r>
      <w:r w:rsidRPr="00295676">
        <w:rPr>
          <w:noProof/>
          <w:vertAlign w:val="superscript"/>
        </w:rPr>
        <w:t>1, 2</w:t>
      </w:r>
      <w:r w:rsidRPr="00295676">
        <w:t>. Etiologic workup in such cases of ‘cryptogenic’ stroke, or stroke of unknown origin, is complicated by the varied emphasis of clinicians on establishing underlying cause due to the lack of evidence-based secondary prevention strategies</w:t>
      </w:r>
      <w:r w:rsidRPr="00295676">
        <w:rPr>
          <w:noProof/>
          <w:vertAlign w:val="superscript"/>
        </w:rPr>
        <w:t>3-5</w:t>
      </w:r>
      <w:r w:rsidRPr="00295676">
        <w:t>, and variable availability of different investigative techniques. Recent efforts to facilitate trials of secondary prevention strategies have resulted in the development of the ESUS construct (‘embolic stroke of unknown source’), which describes the subgroup of non-lacunar cryptogenic ischemic strokes in which embolism is considered the likely mechanism</w:t>
      </w:r>
      <w:r w:rsidRPr="00295676">
        <w:rPr>
          <w:noProof/>
          <w:vertAlign w:val="superscript"/>
        </w:rPr>
        <w:t>6</w:t>
      </w:r>
      <w:r w:rsidRPr="00295676">
        <w:t>. Two trials of non-vitamin K antagonist oral anticoagulants (NOACs) in ESUS populations however failed to show a reduction in recurrent stroke when compared to aspirin</w:t>
      </w:r>
      <w:r w:rsidRPr="00295676">
        <w:rPr>
          <w:noProof/>
          <w:vertAlign w:val="superscript"/>
        </w:rPr>
        <w:t>7, 8</w:t>
      </w:r>
      <w:r w:rsidRPr="00295676">
        <w:t>, with one trial showing possible harm with an excess of bleeding</w:t>
      </w:r>
      <w:r w:rsidRPr="00295676">
        <w:rPr>
          <w:noProof/>
          <w:vertAlign w:val="superscript"/>
        </w:rPr>
        <w:t>7</w:t>
      </w:r>
      <w:r w:rsidRPr="00295676">
        <w:t>. This may be due to unidentified heterogeneity even within the ESUS subgroup, resulting in the inclusion of patients who were unlikely to benefit from anticoagulation as a secondary prevention strategy</w:t>
      </w:r>
      <w:r w:rsidRPr="00295676">
        <w:rPr>
          <w:noProof/>
          <w:vertAlign w:val="superscript"/>
        </w:rPr>
        <w:t>9</w:t>
      </w:r>
      <w:r w:rsidRPr="00295676">
        <w:t>. These trials have demonstrated that one size does not fit all and further highlighted the importance of systematic and evidence-based investigation of cryptogenic stroke to facilitate the development and implementation of personalised secondary prevention strategies. In this review, we employ Saver’s (2016)</w:t>
      </w:r>
      <w:r w:rsidRPr="00295676">
        <w:rPr>
          <w:noProof/>
          <w:vertAlign w:val="superscript"/>
        </w:rPr>
        <w:t>10</w:t>
      </w:r>
      <w:r w:rsidRPr="00295676">
        <w:t xml:space="preserve"> algorithm for etiologic workup in cryptogenic stroke to systematically assess the extent to which there exists consensus, disagreement, and gaps in clinical practice recommendations on etiologic workup in acute ischemic stroke. The review findings highlight priorities for future research to inform more standardised approaches to evaluating cryptogenic stroke.</w:t>
      </w:r>
    </w:p>
    <w:p w14:paraId="06FB4F3D" w14:textId="77777777" w:rsidR="00E87F08" w:rsidRPr="00295676" w:rsidRDefault="00E87F08" w:rsidP="00C42838">
      <w:pPr>
        <w:pStyle w:val="Heading1"/>
        <w:tabs>
          <w:tab w:val="left" w:pos="1521"/>
        </w:tabs>
      </w:pPr>
      <w:r w:rsidRPr="00295676">
        <w:t>Methods</w:t>
      </w:r>
    </w:p>
    <w:p w14:paraId="721B8ED4" w14:textId="77777777" w:rsidR="00E87F08" w:rsidRPr="00295676" w:rsidRDefault="00E87F08" w:rsidP="00C42838">
      <w:r w:rsidRPr="00295676">
        <w:t xml:space="preserve">The review was designed in accordance with the Preferred Reporting Items for Systematic review and Meta-Analysis (PRISMA) guidance. A PRISMA checklist is provided in </w:t>
      </w:r>
      <w:r w:rsidRPr="00295676">
        <w:lastRenderedPageBreak/>
        <w:t xml:space="preserve">Appendix A in the online supplement (please see </w:t>
      </w:r>
      <w:hyperlink r:id="rId9" w:history="1">
        <w:r w:rsidRPr="00295676">
          <w:rPr>
            <w:rStyle w:val="Hyperlink"/>
          </w:rPr>
          <w:t>https://www.ahajournals.org/journal/str</w:t>
        </w:r>
      </w:hyperlink>
      <w:r w:rsidRPr="00295676">
        <w:rPr>
          <w:rStyle w:val="Hyperlink"/>
        </w:rPr>
        <w:t>)</w:t>
      </w:r>
      <w:r w:rsidRPr="00295676">
        <w:t xml:space="preserve">. The protocol was prospectively registered on PROSPERO: CRD42019127822. </w:t>
      </w:r>
    </w:p>
    <w:p w14:paraId="264359A5" w14:textId="77777777" w:rsidR="00E87F08" w:rsidRPr="00295676" w:rsidRDefault="00E87F08" w:rsidP="00C42838">
      <w:pPr>
        <w:pStyle w:val="Heading2"/>
      </w:pPr>
      <w:r w:rsidRPr="00295676">
        <w:t>Eligibility criteria</w:t>
      </w:r>
    </w:p>
    <w:p w14:paraId="00D2E7E3" w14:textId="77777777" w:rsidR="00E87F08" w:rsidRPr="00295676" w:rsidRDefault="00E87F08" w:rsidP="00C42838">
      <w:r w:rsidRPr="00295676">
        <w:t>Clinical practice guidelines (CPGs) were included if they: (</w:t>
      </w:r>
      <w:proofErr w:type="spellStart"/>
      <w:r w:rsidRPr="00295676">
        <w:t>i</w:t>
      </w:r>
      <w:proofErr w:type="spellEnd"/>
      <w:r w:rsidRPr="00295676">
        <w:t>) were endorsed by a national and/or international organisation (e.g. governmental, charitable, professional practice), (ii) included recommendations about etiologic workup in acute ischemic stroke, (iii) were published from January 2009 onwards (to ensure only the most up-to-date guidelines were included), and (iv) were available in English. During our searches, we also identified scientific statements and consensus documents. Although these reports used less robust methods to search for and synthesise the underpinning evidence, the content was sufficiently relevant to the objectives of the review to merit inclusion. For transparency, recommendations from these publications are presented separately throughout.</w:t>
      </w:r>
    </w:p>
    <w:p w14:paraId="361693E2" w14:textId="77777777" w:rsidR="00E87F08" w:rsidRPr="00295676" w:rsidRDefault="00E87F08" w:rsidP="00C42838">
      <w:pPr>
        <w:pStyle w:val="Heading2"/>
      </w:pPr>
      <w:r w:rsidRPr="00295676">
        <w:t>Search strategy and guideline selection</w:t>
      </w:r>
    </w:p>
    <w:p w14:paraId="1B340339" w14:textId="77777777" w:rsidR="00E87F08" w:rsidRPr="00295676" w:rsidRDefault="00E87F08" w:rsidP="00C42838">
      <w:r w:rsidRPr="00295676">
        <w:rPr>
          <w:color w:val="000000" w:themeColor="text1"/>
        </w:rPr>
        <w:t xml:space="preserve">We searched four electronic databases (MEDLINE, Health Management Information Consortium (HMIC), </w:t>
      </w:r>
      <w:proofErr w:type="spellStart"/>
      <w:r w:rsidRPr="00295676">
        <w:rPr>
          <w:color w:val="000000" w:themeColor="text1"/>
        </w:rPr>
        <w:t>Embase</w:t>
      </w:r>
      <w:proofErr w:type="spellEnd"/>
      <w:r w:rsidRPr="00295676">
        <w:rPr>
          <w:color w:val="000000" w:themeColor="text1"/>
        </w:rPr>
        <w:t xml:space="preserve">, and CINAHL) </w:t>
      </w:r>
      <w:bookmarkStart w:id="5" w:name="_Hlk29894387"/>
      <w:r w:rsidRPr="00295676">
        <w:rPr>
          <w:color w:val="000000" w:themeColor="text1"/>
        </w:rPr>
        <w:t>from their inception to the 4</w:t>
      </w:r>
      <w:r w:rsidRPr="00295676">
        <w:rPr>
          <w:color w:val="000000" w:themeColor="text1"/>
          <w:vertAlign w:val="superscript"/>
        </w:rPr>
        <w:t>th</w:t>
      </w:r>
      <w:r w:rsidRPr="00295676">
        <w:rPr>
          <w:color w:val="000000" w:themeColor="text1"/>
        </w:rPr>
        <w:t xml:space="preserve"> of March 2019 </w:t>
      </w:r>
      <w:bookmarkEnd w:id="5"/>
      <w:r w:rsidRPr="00295676">
        <w:rPr>
          <w:color w:val="000000" w:themeColor="text1"/>
        </w:rPr>
        <w:t>using a combination of Medical Subject Headings and keywords. As CPGs are often not indexed by electronic databases, we also systematically searched for guidelines on relevant websites including, but not limited to, the Guidelines International Network (</w:t>
      </w:r>
      <w:hyperlink r:id="rId10" w:history="1">
        <w:r w:rsidRPr="00295676">
          <w:rPr>
            <w:rStyle w:val="Hyperlink"/>
          </w:rPr>
          <w:t>www.g-i-n.net</w:t>
        </w:r>
      </w:hyperlink>
      <w:r w:rsidRPr="00295676">
        <w:rPr>
          <w:color w:val="000000" w:themeColor="text1"/>
        </w:rPr>
        <w:t>); The American Academy of Neurology (</w:t>
      </w:r>
      <w:hyperlink r:id="rId11" w:history="1">
        <w:r w:rsidRPr="00295676">
          <w:rPr>
            <w:rStyle w:val="Hyperlink"/>
          </w:rPr>
          <w:t>www.aan.com/</w:t>
        </w:r>
      </w:hyperlink>
      <w:r w:rsidRPr="00295676">
        <w:rPr>
          <w:color w:val="000000" w:themeColor="text1"/>
        </w:rPr>
        <w:t>); The World Stroke Organisation (</w:t>
      </w:r>
      <w:hyperlink r:id="rId12" w:history="1">
        <w:r w:rsidRPr="00295676">
          <w:rPr>
            <w:rStyle w:val="Hyperlink"/>
          </w:rPr>
          <w:t>www.world-stroke.org</w:t>
        </w:r>
      </w:hyperlink>
      <w:r w:rsidRPr="00295676">
        <w:rPr>
          <w:color w:val="000000" w:themeColor="text1"/>
        </w:rPr>
        <w:t>); and Open Grey (</w:t>
      </w:r>
      <w:hyperlink r:id="rId13" w:history="1">
        <w:r w:rsidRPr="00295676">
          <w:rPr>
            <w:rStyle w:val="Hyperlink"/>
          </w:rPr>
          <w:t>www.opengrey.eu/</w:t>
        </w:r>
      </w:hyperlink>
      <w:r w:rsidRPr="00295676">
        <w:rPr>
          <w:color w:val="000000" w:themeColor="text1"/>
        </w:rPr>
        <w:t xml:space="preserve">). Additionally, we reviewed the reference lists of included CPGs to identify relevant guidelines. The final list of CPGs/consensus statements was reviewed by all authors to confirm that no relevant documents, of which the team were already aware, had been omitted. The complete search strategy is </w:t>
      </w:r>
      <w:r w:rsidRPr="00295676">
        <w:t xml:space="preserve">provided in Appendix B in the online supplement, (please see </w:t>
      </w:r>
      <w:hyperlink r:id="rId14" w:history="1">
        <w:r w:rsidRPr="00295676">
          <w:rPr>
            <w:rStyle w:val="Hyperlink"/>
          </w:rPr>
          <w:t>https://www.ahajournals.org/journal/str</w:t>
        </w:r>
      </w:hyperlink>
      <w:r w:rsidRPr="00295676">
        <w:rPr>
          <w:rStyle w:val="Hyperlink"/>
        </w:rPr>
        <w:t>)</w:t>
      </w:r>
      <w:r w:rsidRPr="00295676">
        <w:t>.</w:t>
      </w:r>
      <w:r w:rsidRPr="00295676">
        <w:rPr>
          <w:color w:val="000000" w:themeColor="text1"/>
        </w:rPr>
        <w:t xml:space="preserve"> </w:t>
      </w:r>
      <w:r w:rsidRPr="00295676">
        <w:t>Two reviewers (</w:t>
      </w:r>
      <w:proofErr w:type="spellStart"/>
      <w:r w:rsidRPr="00295676">
        <w:t>NMcM</w:t>
      </w:r>
      <w:proofErr w:type="spellEnd"/>
      <w:r w:rsidRPr="00295676">
        <w:t xml:space="preserve">/MB) independently screened all retrieved citations for eligibility. Full texts of potentially relevant citations were obtained and independently assessed by both reviewers. Uncertainty was resolved through discussions with the review group. </w:t>
      </w:r>
    </w:p>
    <w:p w14:paraId="356C508A" w14:textId="77777777" w:rsidR="00E87F08" w:rsidRPr="00295676" w:rsidRDefault="00E87F08" w:rsidP="00C42838">
      <w:pPr>
        <w:pStyle w:val="Heading2"/>
      </w:pPr>
      <w:r w:rsidRPr="00295676">
        <w:t>Data collection and quality appraisal</w:t>
      </w:r>
    </w:p>
    <w:p w14:paraId="175A85C4" w14:textId="77777777" w:rsidR="00E87F08" w:rsidRPr="00295676" w:rsidRDefault="00E87F08" w:rsidP="00C42838">
      <w:r w:rsidRPr="00295676">
        <w:t xml:space="preserve">A bespoke data extraction form was piloted prior to being finalised. For each guideline, one reviewer extracted all relevant information using this form which was then fully checked by a second reviewer for completeness and accuracy. We extracted the following information: authors; organisation; year of publication; country/region; development approach, evidence-assessment scales, and approach to producing recommendations; funding and disclosures; any content relating to the level of etiologic workup required in acute ischemic stroke. Relevant supplementary material cited in the guidelines was also retrieved and used to inform data extraction and quality appraisal. </w:t>
      </w:r>
    </w:p>
    <w:p w14:paraId="06CA7C8F" w14:textId="77777777" w:rsidR="00E87F08" w:rsidRPr="00295676" w:rsidRDefault="00E87F08" w:rsidP="00C42838">
      <w:r w:rsidRPr="00295676">
        <w:t>The Appraisal of Guidelines Research and Evaluation II</w:t>
      </w:r>
      <w:r w:rsidRPr="00295676">
        <w:rPr>
          <w:noProof/>
          <w:vertAlign w:val="superscript"/>
        </w:rPr>
        <w:t>11</w:t>
      </w:r>
      <w:r w:rsidRPr="00295676">
        <w:t xml:space="preserve"> (AGREE II) tool was used to assess and illustrate the quality of the included publications. This tool includes six quality domains: scope and purpose; stakeholder involvement; rigor of development; clarity and presentation; applicability; and editorial independence. Each guideline was independently assessed by four appraisers from the review team (</w:t>
      </w:r>
      <w:proofErr w:type="spellStart"/>
      <w:r w:rsidRPr="00295676">
        <w:t>NMcM</w:t>
      </w:r>
      <w:proofErr w:type="spellEnd"/>
      <w:r w:rsidRPr="00295676">
        <w:t>/MB/EB/JG/RG/VB/DL) and a quality score calculated for each domain as per the AGREE II formula.</w:t>
      </w:r>
      <w:r w:rsidRPr="00295676">
        <w:rPr>
          <w:noProof/>
          <w:vertAlign w:val="superscript"/>
        </w:rPr>
        <w:t>12</w:t>
      </w:r>
      <w:r w:rsidRPr="00295676">
        <w:t xml:space="preserve"> In line with similar reviews, we assessed agreement for each domain item and collectively reviewed items where appraisers scores were &gt;1.5 standard deviations (SD) from the mean item score</w:t>
      </w:r>
      <w:r w:rsidRPr="00295676">
        <w:rPr>
          <w:noProof/>
          <w:vertAlign w:val="superscript"/>
        </w:rPr>
        <w:t>13</w:t>
      </w:r>
      <w:r w:rsidRPr="00295676">
        <w:t xml:space="preserve">. A domain was considered to be adequately addressed if scoring </w:t>
      </w:r>
      <w:r w:rsidRPr="00295676">
        <w:rPr>
          <w:rFonts w:cs="Times New Roman"/>
        </w:rPr>
        <w:t>≥</w:t>
      </w:r>
      <w:r w:rsidRPr="00295676">
        <w:t>60%</w:t>
      </w:r>
      <w:r w:rsidRPr="00295676">
        <w:rPr>
          <w:noProof/>
          <w:vertAlign w:val="superscript"/>
        </w:rPr>
        <w:t>13-16</w:t>
      </w:r>
      <w:r w:rsidRPr="00295676">
        <w:t xml:space="preserve">. </w:t>
      </w:r>
      <w:r w:rsidRPr="00295676">
        <w:rPr>
          <w:color w:val="000000" w:themeColor="text1"/>
        </w:rPr>
        <w:t xml:space="preserve">The data extraction and quality appraisal forms are </w:t>
      </w:r>
      <w:r w:rsidRPr="00295676">
        <w:t xml:space="preserve">provided in Appendix C in the online supplement, (please see </w:t>
      </w:r>
      <w:hyperlink r:id="rId15" w:history="1">
        <w:r w:rsidRPr="00295676">
          <w:rPr>
            <w:rStyle w:val="Hyperlink"/>
          </w:rPr>
          <w:t>https://www.ahajournals.org/journal/str</w:t>
        </w:r>
      </w:hyperlink>
      <w:r w:rsidRPr="00295676">
        <w:rPr>
          <w:rStyle w:val="Hyperlink"/>
        </w:rPr>
        <w:t>)</w:t>
      </w:r>
      <w:r w:rsidRPr="00295676">
        <w:t>.</w:t>
      </w:r>
    </w:p>
    <w:p w14:paraId="211930F3" w14:textId="77777777" w:rsidR="00E87F08" w:rsidRPr="00295676" w:rsidRDefault="00E87F08" w:rsidP="00C42838">
      <w:pPr>
        <w:pStyle w:val="Heading2"/>
      </w:pPr>
      <w:r w:rsidRPr="00295676">
        <w:lastRenderedPageBreak/>
        <w:t>Synthesis</w:t>
      </w:r>
    </w:p>
    <w:p w14:paraId="5E779A31" w14:textId="77777777" w:rsidR="00E87F08" w:rsidRPr="00295676" w:rsidRDefault="00E87F08" w:rsidP="00C42838">
      <w:r w:rsidRPr="00295676">
        <w:t>All recommendations describing etiologic workup in acute ischemic stroke were collated in a spreadsheet and synthesised according to Saver’s (2016) algorithm for etiologic workup in cryptogenic stroke</w:t>
      </w:r>
      <w:r w:rsidRPr="00295676">
        <w:rPr>
          <w:noProof/>
          <w:vertAlign w:val="superscript"/>
        </w:rPr>
        <w:t>10</w:t>
      </w:r>
      <w:r w:rsidRPr="00295676">
        <w:t xml:space="preserve">. Additional informal commentary was similarly collated in a spreadsheet and content analysis performed. These stages of refining and synthesising the data were regularly discussed with the review team, particularly practising clinicians, to determine the consistency and appropriateness of the process and decision-making. </w:t>
      </w:r>
    </w:p>
    <w:p w14:paraId="2D632152" w14:textId="77777777" w:rsidR="00E87F08" w:rsidRPr="00295676" w:rsidRDefault="00E87F08" w:rsidP="00C42838">
      <w:pPr>
        <w:pStyle w:val="Heading1"/>
      </w:pPr>
      <w:r w:rsidRPr="00295676">
        <w:t>Results</w:t>
      </w:r>
    </w:p>
    <w:p w14:paraId="4F020042" w14:textId="77777777" w:rsidR="00E87F08" w:rsidRPr="00295676" w:rsidRDefault="00E87F08" w:rsidP="00C42838">
      <w:r w:rsidRPr="00295676">
        <w:t>The electronic search strategy retrieved a total of 8442 citations. After the removal of duplicates and pre-2009 publications, 4566 were screened on title and abstract. We assessed 124 full texts for eligibility, of which 23 were included in the review (Figure 1</w:t>
      </w:r>
      <w:r>
        <w:t xml:space="preserve">. </w:t>
      </w:r>
      <w:r w:rsidRPr="00E90C29">
        <w:t>PRISMA flow diagram</w:t>
      </w:r>
      <w:r w:rsidRPr="00295676">
        <w:t xml:space="preserve">). </w:t>
      </w:r>
      <w:r w:rsidRPr="00295676">
        <w:rPr>
          <w:color w:val="000000" w:themeColor="text1"/>
        </w:rPr>
        <w:t>A full list of excluded records with reasons is provided in</w:t>
      </w:r>
      <w:r w:rsidRPr="00295676">
        <w:t xml:space="preserve"> Appendix D in the online supplement, (please see </w:t>
      </w:r>
      <w:hyperlink r:id="rId16" w:history="1">
        <w:r w:rsidRPr="00295676">
          <w:rPr>
            <w:rStyle w:val="Hyperlink"/>
          </w:rPr>
          <w:t>https://www.ahajournals.org/journal/str</w:t>
        </w:r>
      </w:hyperlink>
      <w:r w:rsidRPr="00295676">
        <w:rPr>
          <w:rStyle w:val="Hyperlink"/>
        </w:rPr>
        <w:t>)</w:t>
      </w:r>
      <w:r w:rsidRPr="00295676">
        <w:t xml:space="preserve">. </w:t>
      </w:r>
    </w:p>
    <w:p w14:paraId="1AD0CA08" w14:textId="77777777" w:rsidR="00E87F08" w:rsidRPr="00295676" w:rsidRDefault="00E87F08" w:rsidP="00C42838">
      <w:pPr>
        <w:jc w:val="center"/>
      </w:pPr>
      <w:r w:rsidRPr="00295676">
        <w:t>&lt;Insert Figure 1</w:t>
      </w:r>
      <w:r>
        <w:t xml:space="preserve">. </w:t>
      </w:r>
      <w:r w:rsidRPr="00E90C29">
        <w:t>PRISMA flow diagram</w:t>
      </w:r>
      <w:r w:rsidRPr="00295676">
        <w:t xml:space="preserve"> about here&gt;</w:t>
      </w:r>
    </w:p>
    <w:p w14:paraId="56E35784" w14:textId="77777777" w:rsidR="00E87F08" w:rsidRPr="00295676" w:rsidRDefault="00E87F08" w:rsidP="00C42838">
      <w:pPr>
        <w:pStyle w:val="Heading2"/>
      </w:pPr>
      <w:r w:rsidRPr="00295676">
        <w:t xml:space="preserve">Characteristics and quality of the included guidelines/statements </w:t>
      </w:r>
    </w:p>
    <w:p w14:paraId="6AA14F26" w14:textId="77777777" w:rsidR="00E87F08" w:rsidRDefault="00E87F08" w:rsidP="00C42838">
      <w:r w:rsidRPr="00295676">
        <w:t>An overview of the included guidelines/statements is provided in Table 1.</w:t>
      </w:r>
    </w:p>
    <w:p w14:paraId="496649BC" w14:textId="77777777" w:rsidR="00E87F08" w:rsidRPr="00295676" w:rsidRDefault="00E87F08" w:rsidP="00C42838">
      <w:pPr>
        <w:jc w:val="center"/>
      </w:pPr>
      <w:r w:rsidRPr="00295676">
        <w:t>&lt;Insert Table 1 about here&gt;</w:t>
      </w:r>
    </w:p>
    <w:p w14:paraId="74277E78" w14:textId="77777777" w:rsidR="00E87F08" w:rsidRDefault="00E87F08" w:rsidP="00C42838">
      <w:r w:rsidRPr="00295676">
        <w:t>There were sixteen clinical practice guidelines</w:t>
      </w:r>
      <w:r w:rsidRPr="00295676">
        <w:rPr>
          <w:noProof/>
          <w:vertAlign w:val="superscript"/>
        </w:rPr>
        <w:t>17-32</w:t>
      </w:r>
      <w:r w:rsidRPr="00295676">
        <w:t>, and seven organisational statements or consensus documents</w:t>
      </w:r>
      <w:r w:rsidRPr="00295676">
        <w:rPr>
          <w:noProof/>
          <w:vertAlign w:val="superscript"/>
        </w:rPr>
        <w:t>33-39</w:t>
      </w:r>
      <w:r w:rsidRPr="00295676">
        <w:t>. Most publications came from American (n=5)</w:t>
      </w:r>
      <w:r w:rsidRPr="00902C82">
        <w:rPr>
          <w:noProof/>
          <w:vertAlign w:val="superscript"/>
        </w:rPr>
        <w:t>18, 23, 35, 38, 39</w:t>
      </w:r>
      <w:r w:rsidRPr="00295676">
        <w:t>, European (n=3)</w:t>
      </w:r>
      <w:r w:rsidRPr="00902C82">
        <w:rPr>
          <w:noProof/>
          <w:vertAlign w:val="superscript"/>
        </w:rPr>
        <w:t>25, 33, 36, 37</w:t>
      </w:r>
      <w:r w:rsidRPr="00295676">
        <w:t>, Canadian (n=3)</w:t>
      </w:r>
      <w:r w:rsidRPr="00902C82">
        <w:rPr>
          <w:noProof/>
          <w:vertAlign w:val="superscript"/>
        </w:rPr>
        <w:t>19, 20, 27</w:t>
      </w:r>
      <w:r w:rsidRPr="00295676">
        <w:t>, and British organisations (n=3)</w:t>
      </w:r>
      <w:r w:rsidRPr="00902C82">
        <w:rPr>
          <w:noProof/>
          <w:vertAlign w:val="superscript"/>
        </w:rPr>
        <w:t>17, 24, 28</w:t>
      </w:r>
      <w:r w:rsidRPr="00295676">
        <w:t>. Topics included acute stroke management (n=12)</w:t>
      </w:r>
      <w:r w:rsidRPr="00902C82">
        <w:rPr>
          <w:noProof/>
          <w:vertAlign w:val="superscript"/>
        </w:rPr>
        <w:t>17-19, 22, 24, 26, 29-32, 34, 38</w:t>
      </w:r>
      <w:r w:rsidRPr="00295676">
        <w:t>, atrial fibrillation and tachyarrhythmias (n=5)</w:t>
      </w:r>
      <w:r w:rsidRPr="00902C82">
        <w:rPr>
          <w:noProof/>
          <w:vertAlign w:val="superscript"/>
        </w:rPr>
        <w:t>21, 25, 27, 28, 33</w:t>
      </w:r>
      <w:r w:rsidRPr="00295676">
        <w:t>, imaging in acute stroke (n=5)</w:t>
      </w:r>
      <w:r w:rsidRPr="00902C82">
        <w:rPr>
          <w:noProof/>
          <w:vertAlign w:val="superscript"/>
        </w:rPr>
        <w:t>23, 35-37, 39</w:t>
      </w:r>
      <w:r w:rsidRPr="00295676">
        <w:t xml:space="preserve">, and secondary </w:t>
      </w:r>
      <w:r w:rsidRPr="00295676">
        <w:lastRenderedPageBreak/>
        <w:t>prevention (n=1)</w:t>
      </w:r>
      <w:r w:rsidRPr="00295676">
        <w:rPr>
          <w:noProof/>
          <w:vertAlign w:val="superscript"/>
        </w:rPr>
        <w:t>20</w:t>
      </w:r>
      <w:r w:rsidRPr="00295676">
        <w:t>. Just under half (n=11) were published from 2016 onwards</w:t>
      </w:r>
      <w:r w:rsidRPr="00902C82">
        <w:rPr>
          <w:noProof/>
          <w:vertAlign w:val="superscript"/>
        </w:rPr>
        <w:t>17-26, 33</w:t>
      </w:r>
      <w:r w:rsidRPr="00295676">
        <w:t>. Two guidelines disclosed industry support in the production of the guidelines</w:t>
      </w:r>
      <w:r w:rsidRPr="00902C82">
        <w:rPr>
          <w:noProof/>
          <w:vertAlign w:val="superscript"/>
        </w:rPr>
        <w:t>30, 31</w:t>
      </w:r>
      <w:r w:rsidRPr="00295676">
        <w:t xml:space="preserve">. </w:t>
      </w:r>
    </w:p>
    <w:p w14:paraId="2A2BC53F" w14:textId="77777777" w:rsidR="00E87F08" w:rsidRPr="00295676" w:rsidRDefault="00E87F08" w:rsidP="00C42838">
      <w:r w:rsidRPr="00295676">
        <w:t xml:space="preserve">The mean quality appraisal scores of four reviewers for each domain of the AGREE II are shown in Table 2, where green indicates domains which were adequately addressed (i.e. </w:t>
      </w:r>
      <w:r w:rsidRPr="00295676">
        <w:rPr>
          <w:rFonts w:cs="Times New Roman"/>
        </w:rPr>
        <w:t>≥</w:t>
      </w:r>
      <w:r w:rsidRPr="00295676">
        <w:t xml:space="preserve">60%). For completeness, we also appraised the included consensus statements, which, as expected, scored less favourably than the CPGs. Almost all documents adequately addressed Domain 4 (clarity of presentation), which was the highest scoring domain followed by Domain 1 (scope &amp; purpose). Applicability (Domain 5) scored most poorly, with this domain also noted to have the poorest agreement across </w:t>
      </w:r>
      <w:proofErr w:type="spellStart"/>
      <w:r w:rsidRPr="00295676">
        <w:t>raters</w:t>
      </w:r>
      <w:proofErr w:type="spellEnd"/>
      <w:r w:rsidRPr="00295676">
        <w:t xml:space="preserve">. Five reports were of high quality overall, scoring </w:t>
      </w:r>
      <w:r w:rsidRPr="00295676">
        <w:rPr>
          <w:rFonts w:cs="Times New Roman"/>
        </w:rPr>
        <w:t>≥</w:t>
      </w:r>
      <w:r w:rsidRPr="00295676">
        <w:t xml:space="preserve"> 60% across all five domains</w:t>
      </w:r>
      <w:r w:rsidRPr="00902C82">
        <w:rPr>
          <w:noProof/>
          <w:vertAlign w:val="superscript"/>
        </w:rPr>
        <w:t>17, 19, 20, 22, 28</w:t>
      </w:r>
      <w:r w:rsidRPr="00295676">
        <w:t>.</w:t>
      </w:r>
    </w:p>
    <w:p w14:paraId="6C3ABAE8" w14:textId="77777777" w:rsidR="004559AD" w:rsidRDefault="00E87F08" w:rsidP="004559AD">
      <w:pPr>
        <w:jc w:val="center"/>
      </w:pPr>
      <w:r w:rsidRPr="00295676">
        <w:t>&lt;Insert Table 2 about here</w:t>
      </w:r>
    </w:p>
    <w:p w14:paraId="242138E4" w14:textId="77777777" w:rsidR="00E87F08" w:rsidRPr="00295676" w:rsidRDefault="00E87F08" w:rsidP="004559AD">
      <w:pPr>
        <w:pStyle w:val="Heading2"/>
      </w:pPr>
      <w:r w:rsidRPr="00295676">
        <w:t xml:space="preserve">Establishing stroke </w:t>
      </w:r>
      <w:proofErr w:type="spellStart"/>
      <w:r w:rsidRPr="00295676">
        <w:t>etiology</w:t>
      </w:r>
      <w:proofErr w:type="spellEnd"/>
    </w:p>
    <w:p w14:paraId="299037CE" w14:textId="77777777" w:rsidR="00E87F08" w:rsidRPr="00295676" w:rsidRDefault="00E87F08" w:rsidP="00C42838">
      <w:r w:rsidRPr="00295676">
        <w:t>Of the guidelines/statements specific to acute stroke management (n=12), seven explicitly highlighted the importance of establishing stroke etiology</w:t>
      </w:r>
      <w:r w:rsidRPr="00902C82">
        <w:rPr>
          <w:noProof/>
          <w:vertAlign w:val="superscript"/>
        </w:rPr>
        <w:t>19, 22, 24, 30-32, 34</w:t>
      </w:r>
      <w:r w:rsidRPr="00295676">
        <w:t xml:space="preserve"> (Table I in the online supplement, </w:t>
      </w:r>
      <w:hyperlink r:id="rId17" w:history="1">
        <w:r w:rsidRPr="00295676">
          <w:rPr>
            <w:rStyle w:val="Hyperlink"/>
          </w:rPr>
          <w:t>https://www.ahajournals.org/journal/str</w:t>
        </w:r>
      </w:hyperlink>
      <w:r w:rsidRPr="00295676">
        <w:rPr>
          <w:rStyle w:val="Hyperlink"/>
        </w:rPr>
        <w:t>)</w:t>
      </w:r>
      <w:r w:rsidRPr="00295676">
        <w:t>. Two made recommendations on additional investigations to be performed for ESUS patients</w:t>
      </w:r>
      <w:r w:rsidRPr="00295676">
        <w:rPr>
          <w:noProof/>
          <w:vertAlign w:val="superscript"/>
        </w:rPr>
        <w:t>19, 22</w:t>
      </w:r>
      <w:r w:rsidRPr="00295676">
        <w:t>, with a further four reports providing recommendations on tests which should be considered in selected patients where cause has not been established through standard workup</w:t>
      </w:r>
      <w:r w:rsidRPr="00902C82">
        <w:rPr>
          <w:noProof/>
          <w:vertAlign w:val="superscript"/>
        </w:rPr>
        <w:t>24, 30, 31, 34</w:t>
      </w:r>
      <w:r w:rsidRPr="00295676">
        <w:t xml:space="preserve">. </w:t>
      </w:r>
    </w:p>
    <w:p w14:paraId="1CB99D6C" w14:textId="77777777" w:rsidR="00E87F08" w:rsidRPr="00295676" w:rsidRDefault="00E87F08" w:rsidP="00C42838">
      <w:r w:rsidRPr="00295676">
        <w:t>Reflective of Saver’s algorithm</w:t>
      </w:r>
      <w:r w:rsidRPr="00295676">
        <w:rPr>
          <w:noProof/>
          <w:vertAlign w:val="superscript"/>
        </w:rPr>
        <w:t>10</w:t>
      </w:r>
      <w:r w:rsidRPr="00295676">
        <w:t>, we organised recommendations into six categories of investigation: (</w:t>
      </w:r>
      <w:proofErr w:type="spellStart"/>
      <w:r w:rsidRPr="00295676">
        <w:t>i</w:t>
      </w:r>
      <w:proofErr w:type="spellEnd"/>
      <w:r w:rsidRPr="00295676">
        <w:t xml:space="preserve">) brain imaging, (ii) vascular imaging, (iii) cardiac rhythm, (iv) cardiac structure, (v) laboratory and (vi) other investigations (Table 3). </w:t>
      </w:r>
      <w:bookmarkStart w:id="6" w:name="_Hlk29893323"/>
      <w:r w:rsidRPr="00295676">
        <w:t xml:space="preserve">Full details of all guideline recommendations </w:t>
      </w:r>
      <w:r w:rsidRPr="00825F35">
        <w:rPr>
          <w:iCs/>
        </w:rPr>
        <w:t>with respect to these six categories of investigations</w:t>
      </w:r>
      <w:r w:rsidRPr="00825F35">
        <w:rPr>
          <w:i/>
          <w:iCs/>
        </w:rPr>
        <w:t xml:space="preserve"> </w:t>
      </w:r>
      <w:r w:rsidRPr="00295676">
        <w:t xml:space="preserve">are provided in Tables II-VII in the online supplement, please see </w:t>
      </w:r>
      <w:hyperlink r:id="rId18" w:history="1">
        <w:r w:rsidRPr="00295676">
          <w:rPr>
            <w:rStyle w:val="Hyperlink"/>
          </w:rPr>
          <w:t>https://www.ahajournals.org/journal/str</w:t>
        </w:r>
      </w:hyperlink>
      <w:r w:rsidRPr="00295676">
        <w:rPr>
          <w:rStyle w:val="Hyperlink"/>
        </w:rPr>
        <w:t xml:space="preserve">), </w:t>
      </w:r>
      <w:r w:rsidRPr="00825F35">
        <w:rPr>
          <w:rStyle w:val="Hyperlink"/>
        </w:rPr>
        <w:t>whilst a summary</w:t>
      </w:r>
      <w:r w:rsidRPr="00825F35">
        <w:rPr>
          <w:rFonts w:eastAsia="Times New Roman"/>
        </w:rPr>
        <w:t xml:space="preserve"> of the </w:t>
      </w:r>
      <w:r w:rsidRPr="00825F35">
        <w:t xml:space="preserve">recommendations for diagnostic workup in acute ischemic stroke can be </w:t>
      </w:r>
      <w:r w:rsidRPr="00825F35">
        <w:lastRenderedPageBreak/>
        <w:t>found in Table 3</w:t>
      </w:r>
      <w:r w:rsidRPr="00295676">
        <w:t>.</w:t>
      </w:r>
      <w:bookmarkEnd w:id="6"/>
      <w:r w:rsidRPr="00295676">
        <w:t xml:space="preserve"> </w:t>
      </w:r>
      <w:r>
        <w:t xml:space="preserve">For reference purposes, the different evidence assessment scales, and class of recommendations used in the included guidelines can also be found in Appendix E. </w:t>
      </w:r>
      <w:r w:rsidRPr="00295676">
        <w:t xml:space="preserve">For all patients with suspected acute stroke, guidelines recommend that they routinely undergo brain imaging, non-invasive vascular imaging, a 12-lead ECG, and routine blood tests/laboratory investigations. Recommendations on additional investigations included ECG monitoring for more than 24-hours for patients being investigated for embolic stroke (extended if atrial fibrillation is not detected but a cardioembolic source is suspected), and echocardiography for patients where </w:t>
      </w:r>
      <w:proofErr w:type="spellStart"/>
      <w:r w:rsidRPr="00295676">
        <w:t>etiology</w:t>
      </w:r>
      <w:proofErr w:type="spellEnd"/>
      <w:r w:rsidRPr="00295676">
        <w:t xml:space="preserve"> has not been established but a cardiac source is suspected. Three guidelines provided recommendations of further investigations for more unusual causes of stroke. These investigations included serology for Chagas’ disease and syphilis</w:t>
      </w:r>
      <w:r w:rsidRPr="00902C82">
        <w:rPr>
          <w:noProof/>
          <w:vertAlign w:val="superscript"/>
        </w:rPr>
        <w:t>29</w:t>
      </w:r>
      <w:r w:rsidRPr="00295676">
        <w:t>, and, in younger people specifically, evaluation of autoimmune diseases, prothrombotic states (e.g. antiphospholipid syndrome)</w:t>
      </w:r>
      <w:r w:rsidRPr="00902C82">
        <w:rPr>
          <w:noProof/>
          <w:vertAlign w:val="superscript"/>
        </w:rPr>
        <w:t>24, 29</w:t>
      </w:r>
      <w:r w:rsidRPr="00295676">
        <w:t>, Fabry disease</w:t>
      </w:r>
      <w:r w:rsidRPr="00902C82">
        <w:rPr>
          <w:noProof/>
          <w:vertAlign w:val="superscript"/>
        </w:rPr>
        <w:t>24</w:t>
      </w:r>
      <w:r w:rsidRPr="00295676">
        <w:t>, and thrombophilia</w:t>
      </w:r>
      <w:r w:rsidRPr="00902C82">
        <w:rPr>
          <w:noProof/>
          <w:vertAlign w:val="superscript"/>
        </w:rPr>
        <w:t>26, 29</w:t>
      </w:r>
      <w:r w:rsidRPr="00295676">
        <w:t xml:space="preserve">. </w:t>
      </w:r>
    </w:p>
    <w:p w14:paraId="17D90BEF" w14:textId="77777777" w:rsidR="00E87F08" w:rsidRDefault="00E87F08" w:rsidP="00C42838">
      <w:pPr>
        <w:jc w:val="center"/>
      </w:pPr>
      <w:r w:rsidRPr="00295676">
        <w:t>&lt; Insert Table 3 about here&gt;</w:t>
      </w:r>
    </w:p>
    <w:p w14:paraId="7CAB7F2D" w14:textId="77777777" w:rsidR="00E87F08" w:rsidRPr="00295676" w:rsidRDefault="00E87F08" w:rsidP="00C42838">
      <w:r w:rsidRPr="00295676">
        <w:t>While cryptogenic stroke was often discussed in the context of established classification systems (notably TOAST</w:t>
      </w:r>
      <w:r w:rsidRPr="00902C82">
        <w:rPr>
          <w:noProof/>
          <w:vertAlign w:val="superscript"/>
        </w:rPr>
        <w:t>21, 23, 25-27, 37</w:t>
      </w:r>
      <w:r w:rsidRPr="00295676">
        <w:t xml:space="preserve">), none of the included guidelines/statements went beyond the TOAST categories to specifically identify when a stroke should be classified as cryptogenic (Tables VIII in the online supplement, please see </w:t>
      </w:r>
      <w:hyperlink r:id="rId19" w:history="1">
        <w:r w:rsidRPr="00295676">
          <w:rPr>
            <w:rStyle w:val="Hyperlink"/>
          </w:rPr>
          <w:t>https://www.ahajournals.org/journal/str</w:t>
        </w:r>
      </w:hyperlink>
      <w:r w:rsidRPr="00295676">
        <w:t>). More recently published guidelines using the ESUS construct included recommendations on prolonged cardiac monitoring, but lacked guidance on investigating other stroke mechanisms, and the extent to which investigation which should be undertaken to establish stroke cause.</w:t>
      </w:r>
    </w:p>
    <w:p w14:paraId="5A3AD9C2" w14:textId="77777777" w:rsidR="00E87F08" w:rsidRPr="00295676" w:rsidRDefault="00E87F08" w:rsidP="00C42838">
      <w:pPr>
        <w:pStyle w:val="Heading1"/>
      </w:pPr>
      <w:r w:rsidRPr="00295676">
        <w:t>Discussion</w:t>
      </w:r>
    </w:p>
    <w:p w14:paraId="1EC0BD6C" w14:textId="77777777" w:rsidR="00E87F08" w:rsidRPr="00295676" w:rsidRDefault="00E87F08" w:rsidP="00C42838">
      <w:r w:rsidRPr="00295676">
        <w:t xml:space="preserve">We have presented a systematic assessment of recommendations from international CPGs and consensus statements detailing etiologic workup in acute ischemic stroke. The review </w:t>
      </w:r>
      <w:r w:rsidRPr="00295676">
        <w:lastRenderedPageBreak/>
        <w:t>demonstrates that clear consensus exists on investigations which should be routinely performed for all acute ischemic stroke patients (‘standard evaluation’</w:t>
      </w:r>
      <w:r w:rsidRPr="00295676">
        <w:rPr>
          <w:noProof/>
          <w:vertAlign w:val="superscript"/>
        </w:rPr>
        <w:t>10</w:t>
      </w:r>
      <w:r w:rsidRPr="00295676">
        <w:t xml:space="preserve">), but highlights the lack of consistency and detail on additional investigations for patients in whom a cause is not identified through standard evaluation. While recently published high quality guidelines employing the ESUS construct included recommendations for advanced evaluation focusing on prolonged ECG monitoring (i.e. &gt; 24hours), they do not yet provide guidance on the optimum or desired duration of monitoring. </w:t>
      </w:r>
      <w:bookmarkStart w:id="7" w:name="_Hlk29894529"/>
      <w:r w:rsidRPr="00295676">
        <w:t>Indeed, the most recent update of the American Heart Association/American Stroke Association Guidelines for the Early Management of Acute Ischemic Stroke, published following the completion of this review, further reiterate that the effectiveness of prolonged cardiac monitoring for the purposes of guiding secondary prevention remains uncertain</w:t>
      </w:r>
      <w:r w:rsidRPr="00295676">
        <w:rPr>
          <w:noProof/>
          <w:vertAlign w:val="superscript"/>
        </w:rPr>
        <w:t>40</w:t>
      </w:r>
      <w:r w:rsidRPr="00295676">
        <w:t xml:space="preserve">. </w:t>
      </w:r>
      <w:bookmarkEnd w:id="7"/>
      <w:r w:rsidRPr="00295676">
        <w:t xml:space="preserve">Additionally, as ESUS represents only a subgroup of cryptogenic stroke, guidance is still lacking for those patients where the stroke mechanism is not embolic. Indeed, consideration of more unusual causes of stroke was limited to just three reports, all of which were published in 2016 or earlier </w:t>
      </w:r>
      <w:r w:rsidRPr="00902C82">
        <w:rPr>
          <w:noProof/>
          <w:vertAlign w:val="superscript"/>
        </w:rPr>
        <w:t>24, 26, 29</w:t>
      </w:r>
      <w:r w:rsidRPr="00295676">
        <w:t>. It was therefore not possible to identify a standardised evaluation approach from current guidelines, suggesting that practice variability in investigating cryptogenic stroke is inevitable. Practice variability is likely to be further compounded by the limited attention paid to the applicability of recommendations across included reports, a limitation of CPGs often highlighted in published reviews</w:t>
      </w:r>
      <w:r w:rsidRPr="00295676">
        <w:rPr>
          <w:noProof/>
          <w:vertAlign w:val="superscript"/>
        </w:rPr>
        <w:t>13, 14</w:t>
      </w:r>
      <w:r w:rsidRPr="00295676">
        <w:t>.</w:t>
      </w:r>
    </w:p>
    <w:p w14:paraId="632F98D2" w14:textId="77777777" w:rsidR="00E87F08" w:rsidRPr="00295676" w:rsidRDefault="00E87F08" w:rsidP="00C42838">
      <w:r w:rsidRPr="00295676">
        <w:t xml:space="preserve">This review has highlighted the need for well-designed primary research to identify an optimal pathway to expedite the identification of rare and very rare stroke </w:t>
      </w:r>
      <w:proofErr w:type="spellStart"/>
      <w:r w:rsidRPr="00295676">
        <w:t>etiologies</w:t>
      </w:r>
      <w:proofErr w:type="spellEnd"/>
      <w:r w:rsidRPr="00295676">
        <w:t xml:space="preserve"> in a timely and cost-effective manner. A significant challenge to further clinically-based research is however the rarity of these causes. Additionally, as treating healthcare professionals are deeply engaged in dealing with the consequences of the current stroke, advanced etiologic workup often takes a back seat. While the TOAST classification acts as a useful starting point, it is evident that further research is needed to underpin and guide investigation in </w:t>
      </w:r>
      <w:r w:rsidRPr="00295676">
        <w:lastRenderedPageBreak/>
        <w:t xml:space="preserve">clinical practice. However, due to the lack of individualized secondary prevention strategies, such research should include economic analysis to compare the costs, risks and benefits of less or more exhaustive approaches, while also exploring variation in stroke subtype by race and ethnicity, along with genetic differences. Importantly, the perspectives of stroke survivors and family members are paramount and should guide future research and implementation, enabling a personalised approach for each individual based not only on their clinical presentation, but also on their values, needs and preferences. </w:t>
      </w:r>
    </w:p>
    <w:p w14:paraId="3406A028" w14:textId="77777777" w:rsidR="00E87F08" w:rsidRPr="00295676" w:rsidRDefault="00E87F08" w:rsidP="00C42838">
      <w:pPr>
        <w:pStyle w:val="Heading1"/>
      </w:pPr>
      <w:r w:rsidRPr="00295676">
        <w:t>Conclusion</w:t>
      </w:r>
    </w:p>
    <w:p w14:paraId="7D3AFFA3" w14:textId="77777777" w:rsidR="00E87F08" w:rsidRPr="00295676" w:rsidRDefault="00E87F08" w:rsidP="00C42838">
      <w:r w:rsidRPr="00295676">
        <w:t xml:space="preserve">Current clinical practice guidelines on the etiologic workup of acute ischemic stroke are of variable quality, but largely reach consensus about appropriate ‘standard’ investigations. There is, however, little agreement and a lack of underpinning evidence for more advanced or specialised investigations for rarer causes of stroke. This lack of evidence and consensus, along with poor applicability of many of the existing guidelines, is likely to contribute to variability of access to investigations, inappropriate use of costly and specialised resources and skills, along with delays or lack of diagnosis of </w:t>
      </w:r>
      <w:proofErr w:type="spellStart"/>
      <w:r w:rsidRPr="00295676">
        <w:t>etiologies</w:t>
      </w:r>
      <w:proofErr w:type="spellEnd"/>
      <w:r w:rsidRPr="00295676">
        <w:t>. Unless addressed, this gap in knowledge will continue to result in missed opportunities to identify and implement necessary secondary prevention measures and provide high quality clinical and psychological advice and support to stroke survivors and their families in relation to ongoing stroke risk.</w:t>
      </w:r>
    </w:p>
    <w:p w14:paraId="5B6DF9A3" w14:textId="77777777" w:rsidR="00E87F08" w:rsidRPr="00295676" w:rsidRDefault="00E87F08" w:rsidP="00C42838">
      <w:pPr>
        <w:pStyle w:val="Heading1"/>
      </w:pPr>
      <w:r w:rsidRPr="00295676">
        <w:t>Sources of Funding</w:t>
      </w:r>
    </w:p>
    <w:p w14:paraId="250ED1EF" w14:textId="77777777" w:rsidR="00E87F08" w:rsidRPr="00295676" w:rsidRDefault="00E87F08" w:rsidP="00C42838">
      <w:pPr>
        <w:rPr>
          <w:lang w:eastAsia="en-GB"/>
        </w:rPr>
      </w:pPr>
      <w:r w:rsidRPr="00295676">
        <w:rPr>
          <w:lang w:eastAsia="en-GB"/>
        </w:rPr>
        <w:t>This work is funded by a Liverpool Clinical Commissioning Group (LCCG) Research Capability Funding grant (</w:t>
      </w:r>
      <w:r w:rsidRPr="00295676">
        <w:rPr>
          <w:u w:val="single"/>
          <w:lang w:eastAsia="en-GB"/>
        </w:rPr>
        <w:t>I</w:t>
      </w:r>
      <w:r w:rsidRPr="00295676">
        <w:rPr>
          <w:lang w:eastAsia="en-GB"/>
        </w:rPr>
        <w:t xml:space="preserve">nvestigating the </w:t>
      </w:r>
      <w:r w:rsidRPr="00295676">
        <w:rPr>
          <w:u w:val="single"/>
          <w:lang w:eastAsia="en-GB"/>
        </w:rPr>
        <w:t>D</w:t>
      </w:r>
      <w:r w:rsidRPr="00295676">
        <w:rPr>
          <w:lang w:eastAsia="en-GB"/>
        </w:rPr>
        <w:t xml:space="preserve">etection of </w:t>
      </w:r>
      <w:proofErr w:type="spellStart"/>
      <w:r w:rsidRPr="00295676">
        <w:rPr>
          <w:u w:val="single"/>
          <w:lang w:eastAsia="en-GB"/>
        </w:rPr>
        <w:t>CRYPT</w:t>
      </w:r>
      <w:r w:rsidRPr="00295676">
        <w:rPr>
          <w:lang w:eastAsia="en-GB"/>
        </w:rPr>
        <w:t>ogenic</w:t>
      </w:r>
      <w:proofErr w:type="spellEnd"/>
      <w:r w:rsidRPr="00295676">
        <w:rPr>
          <w:lang w:eastAsia="en-GB"/>
        </w:rPr>
        <w:t xml:space="preserve"> stroke </w:t>
      </w:r>
      <w:r w:rsidRPr="00295676">
        <w:rPr>
          <w:u w:val="single"/>
          <w:lang w:eastAsia="en-GB"/>
        </w:rPr>
        <w:t>(ID-CRYPT</w:t>
      </w:r>
      <w:r w:rsidRPr="00295676">
        <w:rPr>
          <w:lang w:eastAsia="en-GB"/>
        </w:rPr>
        <w:t xml:space="preserve">)) awarded to Professor Dame Caroline Watkins. CW, NM, VB, and AC are part-funded by the National Institute for Health Research Applied Research Collaboration North West Coast </w:t>
      </w:r>
      <w:r w:rsidRPr="00295676">
        <w:rPr>
          <w:lang w:eastAsia="en-GB"/>
        </w:rPr>
        <w:lastRenderedPageBreak/>
        <w:t>(NIHR ARC NWC). The views expressed are those of the author(s) and not necessarily those of the NIHR or the Department of Health and Social Care.</w:t>
      </w:r>
    </w:p>
    <w:p w14:paraId="449890FF" w14:textId="77777777" w:rsidR="00E87F08" w:rsidRPr="00295676" w:rsidRDefault="00E87F08" w:rsidP="00C42838">
      <w:pPr>
        <w:pStyle w:val="Heading1"/>
      </w:pPr>
      <w:r w:rsidRPr="00295676">
        <w:t>Disclosures</w:t>
      </w:r>
    </w:p>
    <w:p w14:paraId="2BFF51F1" w14:textId="77777777" w:rsidR="00E87F08" w:rsidRPr="00295676" w:rsidRDefault="00E87F08" w:rsidP="00C42838">
      <w:pPr>
        <w:rPr>
          <w:rStyle w:val="apple-converted-space"/>
          <w:szCs w:val="24"/>
        </w:rPr>
      </w:pPr>
      <w:r w:rsidRPr="00295676">
        <w:rPr>
          <w:szCs w:val="24"/>
        </w:rPr>
        <w:t xml:space="preserve">DL has received investigator-initiated educational grants from Bristol-Myers Squibb and Boehringer Ingelheim; has been a speaker for Boehringer Ingelheim, Bayer, and Bristol-Myers Squibb/Pfizer; and has consulted for Bristol-Myers Squibb, Bayer, Boehringer Ingelheim, and Daiichi-Sankyo. GYHL has Consulted for Bayer/Janssen, BMS/Pfizer, Medtronic, </w:t>
      </w:r>
      <w:proofErr w:type="spellStart"/>
      <w:r w:rsidRPr="00295676">
        <w:rPr>
          <w:szCs w:val="24"/>
        </w:rPr>
        <w:t>Boehringer</w:t>
      </w:r>
      <w:proofErr w:type="spellEnd"/>
      <w:r w:rsidRPr="00295676">
        <w:rPr>
          <w:szCs w:val="24"/>
        </w:rPr>
        <w:t xml:space="preserve"> </w:t>
      </w:r>
      <w:proofErr w:type="spellStart"/>
      <w:r w:rsidRPr="00295676">
        <w:rPr>
          <w:szCs w:val="24"/>
        </w:rPr>
        <w:t>Ingelheim</w:t>
      </w:r>
      <w:proofErr w:type="spellEnd"/>
      <w:r w:rsidRPr="00295676">
        <w:rPr>
          <w:szCs w:val="24"/>
        </w:rPr>
        <w:t xml:space="preserve">, Novartis, </w:t>
      </w:r>
      <w:proofErr w:type="spellStart"/>
      <w:r w:rsidRPr="00295676">
        <w:rPr>
          <w:szCs w:val="24"/>
        </w:rPr>
        <w:t>Verseon</w:t>
      </w:r>
      <w:proofErr w:type="spellEnd"/>
      <w:r w:rsidRPr="00295676">
        <w:rPr>
          <w:szCs w:val="24"/>
        </w:rPr>
        <w:t xml:space="preserve"> and Daiichi-Sankyo and has been a speaker for Bayer, BMS/Pfizer, Medtronic, Boehringer Ingelheim, and Daiichi-Sankyo. No fees are directly received personally.</w:t>
      </w:r>
      <w:r w:rsidRPr="00295676">
        <w:rPr>
          <w:rStyle w:val="apple-converted-space"/>
          <w:szCs w:val="24"/>
        </w:rPr>
        <w:t xml:space="preserve"> AA-K Receives a salary from Medtronic Ltd, UK.</w:t>
      </w:r>
      <w:r w:rsidRPr="00295676">
        <w:rPr>
          <w:rStyle w:val="apple-converted-space"/>
          <w:szCs w:val="24"/>
        </w:rPr>
        <w:br w:type="page"/>
      </w:r>
    </w:p>
    <w:p w14:paraId="7CF75314" w14:textId="77777777" w:rsidR="00E87F08" w:rsidRPr="00295676" w:rsidRDefault="00E87F08" w:rsidP="00C42838">
      <w:pPr>
        <w:pStyle w:val="Heading1"/>
      </w:pPr>
      <w:r w:rsidRPr="00295676">
        <w:lastRenderedPageBreak/>
        <w:t>References</w:t>
      </w:r>
      <w:r w:rsidR="00C42838">
        <w:t xml:space="preserve"> </w:t>
      </w:r>
    </w:p>
    <w:p w14:paraId="373B1FE0" w14:textId="77777777" w:rsidR="00E87F08" w:rsidRPr="001F099A" w:rsidRDefault="00E87F08" w:rsidP="00C42838">
      <w:pPr>
        <w:pStyle w:val="EndNoteBibliography"/>
        <w:spacing w:after="0"/>
      </w:pPr>
      <w:r w:rsidRPr="001F099A">
        <w:t>1.</w:t>
      </w:r>
      <w:r w:rsidRPr="001F099A">
        <w:tab/>
        <w:t>Yaghi S, Bernstein RA, Passman R, Okin PM, Furie KL. Cryptogenic stroke: research and practice. Circ Res. 2017;120:527-540.</w:t>
      </w:r>
    </w:p>
    <w:p w14:paraId="7242A6B8" w14:textId="77777777" w:rsidR="00E87F08" w:rsidRPr="001F099A" w:rsidRDefault="00E87F08" w:rsidP="00C42838">
      <w:pPr>
        <w:pStyle w:val="EndNoteBibliography"/>
        <w:spacing w:after="0"/>
      </w:pPr>
      <w:r w:rsidRPr="001F099A">
        <w:t>2.</w:t>
      </w:r>
      <w:r w:rsidRPr="001F099A">
        <w:tab/>
        <w:t>Li L, Yiin GS, Geraghty OC, Schulz UG, Kuker W, Mehta Z, et al. Incidence, outcome, risk factors, and long-term prognosis of cryptogenic transient ischaemic attack and ischaemic stroke: a population-based study. Lancet Neurol. 2015;14:903-913.</w:t>
      </w:r>
    </w:p>
    <w:p w14:paraId="0202D297" w14:textId="77777777" w:rsidR="00E87F08" w:rsidRPr="001F099A" w:rsidRDefault="00E87F08" w:rsidP="00C42838">
      <w:pPr>
        <w:pStyle w:val="EndNoteBibliography"/>
        <w:spacing w:after="0"/>
      </w:pPr>
      <w:r w:rsidRPr="001F099A">
        <w:t>3.</w:t>
      </w:r>
      <w:r w:rsidRPr="001F099A">
        <w:tab/>
        <w:t>Diener HC, Bernstein R, Hart R. Secondary Stroke Prevention in Cryptogenic Stroke and Embolic Stroke of Undetermined Source (ESUS). Curr Neurol Neurosci Rep. 2017;17:64.</w:t>
      </w:r>
    </w:p>
    <w:p w14:paraId="41559424" w14:textId="77777777" w:rsidR="00E87F08" w:rsidRPr="001F099A" w:rsidRDefault="00E87F08" w:rsidP="00C42838">
      <w:pPr>
        <w:pStyle w:val="EndNoteBibliography"/>
        <w:spacing w:after="0"/>
      </w:pPr>
      <w:r w:rsidRPr="001F099A">
        <w:t>4.</w:t>
      </w:r>
      <w:r w:rsidRPr="001F099A">
        <w:tab/>
        <w:t>Hart RG, Catanese L, Perera KS, Ntaios G, Connolly SJ. Embolic Stroke of Undetermined Source: A Systematic Review and Clinical Update. Stroke. 2017;48:867-872.</w:t>
      </w:r>
    </w:p>
    <w:p w14:paraId="0B210625" w14:textId="77777777" w:rsidR="00E87F08" w:rsidRPr="001F099A" w:rsidRDefault="00E87F08" w:rsidP="00C42838">
      <w:pPr>
        <w:pStyle w:val="EndNoteBibliography"/>
        <w:spacing w:after="0"/>
      </w:pPr>
      <w:r w:rsidRPr="001F099A">
        <w:t>5.</w:t>
      </w:r>
      <w:r w:rsidRPr="001F099A">
        <w:tab/>
        <w:t>Schulz UG. Cryptogenic stroke - How to make sense of a non-diagnostic entity. Maturitas. 2019;122:44-50.</w:t>
      </w:r>
    </w:p>
    <w:p w14:paraId="0CF5747D" w14:textId="77777777" w:rsidR="00E87F08" w:rsidRPr="001F099A" w:rsidRDefault="00E87F08" w:rsidP="00C42838">
      <w:pPr>
        <w:pStyle w:val="EndNoteBibliography"/>
        <w:spacing w:after="0"/>
      </w:pPr>
      <w:r w:rsidRPr="001F099A">
        <w:t>6.</w:t>
      </w:r>
      <w:r w:rsidRPr="001F099A">
        <w:tab/>
        <w:t>Hart RG, Diener H-C, Coutts SB, Easton JD, Granger CB, O'Donnell MJ, et al. Embolic strokes of undetermined source: the case for a new clinical construct. Lancet Neurol. 2014;13:429-438.</w:t>
      </w:r>
    </w:p>
    <w:p w14:paraId="3F8297FB" w14:textId="77777777" w:rsidR="00E87F08" w:rsidRPr="001F099A" w:rsidRDefault="00E87F08" w:rsidP="00C42838">
      <w:pPr>
        <w:pStyle w:val="EndNoteBibliography"/>
        <w:spacing w:after="0"/>
      </w:pPr>
      <w:r w:rsidRPr="001F099A">
        <w:t>7.</w:t>
      </w:r>
      <w:r w:rsidRPr="001F099A">
        <w:tab/>
        <w:t>Hart RG, Sharma M, Mundl H, Kasner SE, Bangdiwala SI, Berkowitz SD, et al. Rivaroxaban for Stroke Prevention after Embolic Stroke of Undetermined Source. N Engl J Med. 2018;378:2191-2201.</w:t>
      </w:r>
    </w:p>
    <w:p w14:paraId="100D5759" w14:textId="77777777" w:rsidR="00E87F08" w:rsidRPr="001F099A" w:rsidRDefault="00E87F08" w:rsidP="00C42838">
      <w:pPr>
        <w:pStyle w:val="EndNoteBibliography"/>
        <w:spacing w:after="0"/>
      </w:pPr>
      <w:r w:rsidRPr="001F099A">
        <w:t>8.</w:t>
      </w:r>
      <w:r w:rsidRPr="001F099A">
        <w:tab/>
        <w:t>Diener HC, Sacco RL, Easton JD, Granger CB, Bernstein RA, Uchiyama S, et al. Dabigatran for Prevention of Stroke after Embolic Stroke of Undetermined Source. N Engl J Med. 2019;380:1906-1917.</w:t>
      </w:r>
    </w:p>
    <w:p w14:paraId="6ADC98AB" w14:textId="77777777" w:rsidR="00E87F08" w:rsidRPr="001F099A" w:rsidRDefault="00E87F08" w:rsidP="00C42838">
      <w:pPr>
        <w:pStyle w:val="EndNoteBibliography"/>
        <w:spacing w:after="0"/>
      </w:pPr>
      <w:r w:rsidRPr="001F099A">
        <w:t>9.</w:t>
      </w:r>
      <w:r w:rsidRPr="001F099A">
        <w:tab/>
        <w:t>Paciaroni M, Kamel H. Do the Results of RE-SPECT ESUS Call for a Revision of the Embolic Stroke of Undetermined Source Definition? Stroke. 2019;50:1032-1033.</w:t>
      </w:r>
    </w:p>
    <w:p w14:paraId="2BD9BFD3" w14:textId="77777777" w:rsidR="00E87F08" w:rsidRPr="001F099A" w:rsidRDefault="00E87F08" w:rsidP="00C42838">
      <w:pPr>
        <w:pStyle w:val="EndNoteBibliography"/>
        <w:spacing w:after="0"/>
      </w:pPr>
      <w:r w:rsidRPr="001F099A">
        <w:t>10.</w:t>
      </w:r>
      <w:r w:rsidRPr="001F099A">
        <w:tab/>
        <w:t>Saver JL. Cryptogenic stroke. N Engl J Med. 2016;374:2065-2074.</w:t>
      </w:r>
    </w:p>
    <w:p w14:paraId="5BA0C41D" w14:textId="77777777" w:rsidR="00E87F08" w:rsidRPr="001F099A" w:rsidRDefault="00E87F08" w:rsidP="00C42838">
      <w:pPr>
        <w:pStyle w:val="EndNoteBibliography"/>
        <w:spacing w:after="0"/>
      </w:pPr>
      <w:r w:rsidRPr="001F099A">
        <w:t>11.</w:t>
      </w:r>
      <w:r w:rsidRPr="001F099A">
        <w:tab/>
        <w:t>Brouwers M KM, Browman GP, Cluzeau F, Feder G, Fervers B, Hanna S, Makarski J on behalf of the AGREE Next Steps Consortium. AGREE II: Advancing guideline development, reporting and evaluation in healthcare. CMAJ. 2010;182:E839-</w:t>
      </w:r>
      <w:r w:rsidR="0061044C">
        <w:t>E</w:t>
      </w:r>
      <w:r w:rsidRPr="001F099A">
        <w:t>842.</w:t>
      </w:r>
    </w:p>
    <w:p w14:paraId="41906ACC" w14:textId="77777777" w:rsidR="00E87F08" w:rsidRPr="001F099A" w:rsidRDefault="00E87F08" w:rsidP="00C42838">
      <w:pPr>
        <w:pStyle w:val="EndNoteBibliography"/>
        <w:spacing w:after="0"/>
      </w:pPr>
      <w:r w:rsidRPr="001F099A">
        <w:lastRenderedPageBreak/>
        <w:t>12.</w:t>
      </w:r>
      <w:r w:rsidRPr="001F099A">
        <w:tab/>
        <w:t>The AGREE Collaboration. Development and validation of an international appraisal instrument for assessing the quality of clinical practice guidelines: the AGREE project. Qual Saf Health Care. 2003;12:18-23.</w:t>
      </w:r>
    </w:p>
    <w:p w14:paraId="5C5DDAEA" w14:textId="77777777" w:rsidR="00E87F08" w:rsidRPr="001F099A" w:rsidRDefault="00E87F08" w:rsidP="00C42838">
      <w:pPr>
        <w:pStyle w:val="EndNoteBibliography"/>
        <w:spacing w:after="0"/>
      </w:pPr>
      <w:r w:rsidRPr="001F099A">
        <w:t>13.</w:t>
      </w:r>
      <w:r w:rsidRPr="001F099A">
        <w:tab/>
        <w:t>Johnston A, Hsieh SC, Carrier M, Kelly SE, Bai Z, Skidmore B, et al. A systematic review of clinical practice guidelines on the use of low molecular weight heparin and fondaparinux for the treatment and prevention of venous thromboembolism: Implications for research and policy decision-making. PLoS One. 2018;13:e0207410.</w:t>
      </w:r>
    </w:p>
    <w:p w14:paraId="17A435CD" w14:textId="77777777" w:rsidR="00E87F08" w:rsidRPr="001F099A" w:rsidRDefault="00E87F08" w:rsidP="00C42838">
      <w:pPr>
        <w:pStyle w:val="EndNoteBibliography"/>
        <w:spacing w:after="0"/>
      </w:pPr>
      <w:r w:rsidRPr="001F099A">
        <w:t>14.</w:t>
      </w:r>
      <w:r w:rsidRPr="001F099A">
        <w:tab/>
        <w:t>Fortin M, Contant E, Savard C, Hudon C, Poitras ME, Almirall J. Canadian guidelines for clinical practice: an analysis of their quality and relevance to the care of adults with comorbidity. BMC Fam Pract. 2011;12:74.</w:t>
      </w:r>
    </w:p>
    <w:p w14:paraId="11B0B771" w14:textId="77777777" w:rsidR="00E87F08" w:rsidRPr="001F099A" w:rsidRDefault="00E87F08" w:rsidP="00C42838">
      <w:pPr>
        <w:pStyle w:val="EndNoteBibliography"/>
        <w:spacing w:after="0"/>
      </w:pPr>
      <w:r w:rsidRPr="001F099A">
        <w:t>15.</w:t>
      </w:r>
      <w:r w:rsidRPr="001F099A">
        <w:tab/>
        <w:t>Hurkmans EJ, Jones A, Li LC, Vliet Vlieland TP. Quality appraisal of clinical practice guidelines on the use of physiotherapy in rheumatoid arthritis: a systematic review. Rheumatology (Oxford). 2011;50:1879-1888.</w:t>
      </w:r>
    </w:p>
    <w:p w14:paraId="437A25D8" w14:textId="77777777" w:rsidR="00E87F08" w:rsidRPr="001F099A" w:rsidRDefault="00E87F08" w:rsidP="00C42838">
      <w:pPr>
        <w:pStyle w:val="EndNoteBibliography"/>
        <w:spacing w:after="0"/>
      </w:pPr>
      <w:r w:rsidRPr="001F099A">
        <w:t>16.</w:t>
      </w:r>
      <w:r w:rsidRPr="001F099A">
        <w:tab/>
        <w:t>Poitras S, Avouac J, Rossignol M, Avouac B, Cedraschi C, Nordin M, et al. A critical appraisal of guidelines for the management of knee osteoarthritis using Appraisal of Guidelines Research and Evaluation criteria. Arthritis Res Ther. 2007;9:R126.</w:t>
      </w:r>
    </w:p>
    <w:p w14:paraId="400AA75C" w14:textId="77777777" w:rsidR="00E87F08" w:rsidRPr="001F099A" w:rsidRDefault="00E87F08" w:rsidP="00C42838">
      <w:pPr>
        <w:pStyle w:val="EndNoteBibliography"/>
        <w:spacing w:after="0"/>
      </w:pPr>
      <w:r w:rsidRPr="001F099A">
        <w:t>17.</w:t>
      </w:r>
      <w:r w:rsidRPr="001F099A">
        <w:tab/>
        <w:t xml:space="preserve">National Institute for Health and Care Excellence. Stroke and transient ischaemic attack in over 16s: diagnosis and initial management 2019. Available from: </w:t>
      </w:r>
      <w:hyperlink r:id="rId20" w:history="1">
        <w:r w:rsidR="00C42838" w:rsidRPr="008A4FEA">
          <w:rPr>
            <w:rStyle w:val="Hyperlink"/>
          </w:rPr>
          <w:t>https://www.nice.org.uk/guidance/ng128</w:t>
        </w:r>
      </w:hyperlink>
      <w:r w:rsidR="00D160DA">
        <w:t xml:space="preserve">. </w:t>
      </w:r>
      <w:r w:rsidR="00D160DA" w:rsidRPr="00D160DA">
        <w:t>Accessed Feb 21, 2020</w:t>
      </w:r>
      <w:r w:rsidR="00D160DA">
        <w:t>.</w:t>
      </w:r>
    </w:p>
    <w:p w14:paraId="73C350BB" w14:textId="77777777" w:rsidR="00E87F08" w:rsidRPr="001F099A" w:rsidRDefault="00E87F08" w:rsidP="00C42838">
      <w:pPr>
        <w:pStyle w:val="EndNoteBibliography"/>
        <w:spacing w:after="0"/>
      </w:pPr>
      <w:r w:rsidRPr="001F099A">
        <w:t>18.</w:t>
      </w:r>
      <w:r w:rsidRPr="001F099A">
        <w:tab/>
        <w:t>Powers WJ, Rabinstein AA, Ackerson T, Adeoye OM, Bambakidis NC, Becker K, et al. 2018 guidelines for the early management of patients with acute ischemic stroke: a guideline for healthcare professionals from the American Heart Association/American Stroke Association. Stroke. 2018;49:e46-e99.</w:t>
      </w:r>
    </w:p>
    <w:p w14:paraId="26FD0DBF" w14:textId="77777777" w:rsidR="00E87F08" w:rsidRPr="001F099A" w:rsidRDefault="00E87F08" w:rsidP="00C42838">
      <w:pPr>
        <w:pStyle w:val="EndNoteBibliography"/>
        <w:spacing w:after="0"/>
      </w:pPr>
      <w:r w:rsidRPr="001F099A">
        <w:t>19.</w:t>
      </w:r>
      <w:r w:rsidRPr="001F099A">
        <w:tab/>
        <w:t>Boulanger JM, Lindsay MP, Gubitz G, Smith EE, Stotts G, Foley N, et al. Canadian Stroke Best Practice Recommendations for Acute Stroke Management: Prehospital, Emergency Department, and Acute Inpatient Stroke Care, 6th Edition, Update 2018. Int J Stroke. 2018;13:949-984.</w:t>
      </w:r>
    </w:p>
    <w:p w14:paraId="55051CF2" w14:textId="77777777" w:rsidR="00E87F08" w:rsidRPr="001F099A" w:rsidRDefault="00E87F08" w:rsidP="00C42838">
      <w:pPr>
        <w:pStyle w:val="EndNoteBibliography"/>
        <w:spacing w:after="0"/>
      </w:pPr>
      <w:r w:rsidRPr="001F099A">
        <w:lastRenderedPageBreak/>
        <w:t>20.</w:t>
      </w:r>
      <w:r w:rsidRPr="001F099A">
        <w:tab/>
        <w:t>Wein T, Lindsay MP, Côté R, Foley N, Berlingieri J, Bhogal S, et al. Canadian stroke best practice recommendations: Secondary prevention of stroke, practice guidelines, update 2017. Int J Stroke. 2018;13:420-443.</w:t>
      </w:r>
    </w:p>
    <w:p w14:paraId="40345179" w14:textId="77777777" w:rsidR="00E87F08" w:rsidRPr="001F099A" w:rsidRDefault="00E87F08" w:rsidP="00C42838">
      <w:pPr>
        <w:pStyle w:val="EndNoteBibliography"/>
        <w:spacing w:after="0"/>
      </w:pPr>
      <w:r w:rsidRPr="001F099A">
        <w:t>21.</w:t>
      </w:r>
      <w:r w:rsidRPr="001F099A">
        <w:tab/>
        <w:t>Joung B, Lee JM, Lee KH, Kim T-H, Choi E-K, Lim W-H, et al. 2018 Korean guideline of atrial fibrillation management. Korean Circ J. 2018;48:1033-1080.</w:t>
      </w:r>
    </w:p>
    <w:p w14:paraId="32265577" w14:textId="77777777" w:rsidR="00E87F08" w:rsidRPr="001F099A" w:rsidRDefault="00E87F08" w:rsidP="00C42838">
      <w:pPr>
        <w:pStyle w:val="EndNoteBibliography"/>
        <w:spacing w:after="0"/>
      </w:pPr>
      <w:r w:rsidRPr="001F099A">
        <w:t>22.</w:t>
      </w:r>
      <w:r w:rsidRPr="001F099A">
        <w:tab/>
        <w:t>Stroke Foundation. Clinical Guidelines for Stroke Management. Melbourne, Australia; 2019.</w:t>
      </w:r>
    </w:p>
    <w:p w14:paraId="03A98D27" w14:textId="77777777" w:rsidR="00E87F08" w:rsidRPr="001F099A" w:rsidRDefault="00E87F08" w:rsidP="00C42838">
      <w:pPr>
        <w:pStyle w:val="EndNoteBibliography"/>
        <w:spacing w:after="0"/>
      </w:pPr>
      <w:r w:rsidRPr="001F099A">
        <w:t>23.</w:t>
      </w:r>
      <w:r w:rsidRPr="001F099A">
        <w:tab/>
        <w:t>Saric M, Armour AC, Arnaout MS, Chaudhry FA, Grimm RA, Kronzon I, et al. Guidelines for the use of echocardiography in the evaluation of a cardiac source of embolism. J Am Soc Echocardiogr. 2016;29:1-42.</w:t>
      </w:r>
    </w:p>
    <w:p w14:paraId="1A98B942" w14:textId="77777777" w:rsidR="00E87F08" w:rsidRPr="001F099A" w:rsidRDefault="00E87F08" w:rsidP="00C42838">
      <w:pPr>
        <w:pStyle w:val="EndNoteBibliography"/>
        <w:spacing w:after="0"/>
      </w:pPr>
      <w:r w:rsidRPr="001F099A">
        <w:t>24.</w:t>
      </w:r>
      <w:r w:rsidRPr="001F099A">
        <w:tab/>
        <w:t>Intercollegiate Stroke Working Party. National clinical guideline for stroke. London: Royal College of Physicians; 2016.</w:t>
      </w:r>
    </w:p>
    <w:p w14:paraId="7007D345" w14:textId="77777777" w:rsidR="00E87F08" w:rsidRPr="001F099A" w:rsidRDefault="00E87F08" w:rsidP="00C42838">
      <w:pPr>
        <w:pStyle w:val="EndNoteBibliography"/>
        <w:spacing w:after="0"/>
      </w:pPr>
      <w:r w:rsidRPr="001F099A">
        <w:t>25.</w:t>
      </w:r>
      <w:r w:rsidRPr="001F099A">
        <w:tab/>
        <w:t>Kirchhof P, Benussi S, Kotecha D, Ahlsson A, Atar D, Casadei B, et al. 2016 ESC Guidelines for the management of atrial fibrillation developed in collaboration with EACTS. Eur Heart J. 2016;37:2893-2962.</w:t>
      </w:r>
    </w:p>
    <w:p w14:paraId="7740E40A" w14:textId="77777777" w:rsidR="00E87F08" w:rsidRPr="001F099A" w:rsidRDefault="00E87F08" w:rsidP="00C42838">
      <w:pPr>
        <w:pStyle w:val="EndNoteBibliography"/>
        <w:spacing w:after="0"/>
      </w:pPr>
      <w:r w:rsidRPr="001F099A">
        <w:t>26.</w:t>
      </w:r>
      <w:r w:rsidRPr="001F099A">
        <w:tab/>
        <w:t>Ministry of Public Health. Clinical Guidelines for the State of Qatar: The diagnosis and management of stroke and transient ischaemic attack. Qatar: Ministry of Public Health; 2016.</w:t>
      </w:r>
    </w:p>
    <w:p w14:paraId="0F795C15" w14:textId="77777777" w:rsidR="00E87F08" w:rsidRPr="001F099A" w:rsidRDefault="00E87F08" w:rsidP="00C42838">
      <w:pPr>
        <w:pStyle w:val="EndNoteBibliography"/>
        <w:spacing w:after="0"/>
      </w:pPr>
      <w:r w:rsidRPr="001F099A">
        <w:t>27.</w:t>
      </w:r>
      <w:r w:rsidRPr="001F099A">
        <w:tab/>
        <w:t>Verma A, Cairns JA, Mitchell LB, Macle L, Stiell IG, Gladstone D, et al. 2014 focused update of the Canadian cardiovascular society guidelines for the management of atrial fibrillation. Can J Cardiol. 2014;30:1114-1130.</w:t>
      </w:r>
    </w:p>
    <w:p w14:paraId="3DCE3C43" w14:textId="77777777" w:rsidR="00E87F08" w:rsidRPr="001F099A" w:rsidRDefault="00E87F08" w:rsidP="00C42838">
      <w:pPr>
        <w:pStyle w:val="EndNoteBibliography"/>
        <w:spacing w:after="0"/>
      </w:pPr>
      <w:r w:rsidRPr="001F099A">
        <w:t>28.</w:t>
      </w:r>
      <w:r w:rsidRPr="001F099A">
        <w:tab/>
        <w:t xml:space="preserve">National Institute for Health and Care Excellence. Atrial fibrillation: management 2014. Available from: </w:t>
      </w:r>
      <w:hyperlink r:id="rId21" w:history="1">
        <w:r w:rsidR="00D160DA" w:rsidRPr="008A4FEA">
          <w:rPr>
            <w:rStyle w:val="Hyperlink"/>
          </w:rPr>
          <w:t>https://www.nice.org.uk/guidance/cg180</w:t>
        </w:r>
      </w:hyperlink>
      <w:r w:rsidRPr="001F099A">
        <w:t>.</w:t>
      </w:r>
      <w:r w:rsidR="00D160DA">
        <w:t xml:space="preserve"> </w:t>
      </w:r>
      <w:r w:rsidR="00D160DA" w:rsidRPr="00D160DA">
        <w:t>Accessed Feb 21, 2020</w:t>
      </w:r>
      <w:r w:rsidR="00D160DA">
        <w:t>.</w:t>
      </w:r>
    </w:p>
    <w:p w14:paraId="2BEABDBE" w14:textId="77777777" w:rsidR="00E87F08" w:rsidRPr="001F099A" w:rsidRDefault="00E87F08" w:rsidP="00C42838">
      <w:pPr>
        <w:pStyle w:val="EndNoteBibliography"/>
        <w:spacing w:after="0"/>
      </w:pPr>
      <w:r w:rsidRPr="001F099A">
        <w:t>29.</w:t>
      </w:r>
      <w:r w:rsidRPr="001F099A">
        <w:tab/>
        <w:t>Oliveira-Filho J, Martins SCO, Pontes-Neto OM, Longo A, Evaristo EF, Carvalho JJFd, et al. Guidelines for acute ischemic stroke treatment: part I. Arq Neuropsiquiatr. 2012;70:621-629.</w:t>
      </w:r>
    </w:p>
    <w:p w14:paraId="677DEEF9" w14:textId="77777777" w:rsidR="00E87F08" w:rsidRPr="001F099A" w:rsidRDefault="00E87F08" w:rsidP="00C42838">
      <w:pPr>
        <w:pStyle w:val="EndNoteBibliography"/>
        <w:spacing w:after="0"/>
      </w:pPr>
      <w:r w:rsidRPr="001F099A">
        <w:t>30.</w:t>
      </w:r>
      <w:r w:rsidRPr="001F099A">
        <w:tab/>
        <w:t>Malaysian Society of Neurosciences. Clinical Practice Guidelines: Management of Acute Ischaemic Stroke. Malaysia: Ministry of Health; 2012.</w:t>
      </w:r>
    </w:p>
    <w:p w14:paraId="6545B533" w14:textId="77777777" w:rsidR="00E87F08" w:rsidRPr="001F099A" w:rsidRDefault="00E87F08" w:rsidP="00C42838">
      <w:pPr>
        <w:pStyle w:val="EndNoteBibliography"/>
        <w:spacing w:after="0"/>
      </w:pPr>
      <w:r w:rsidRPr="001F099A">
        <w:t>31.</w:t>
      </w:r>
      <w:r w:rsidRPr="001F099A">
        <w:tab/>
        <w:t>Bryer A, Connor M, Haug P, Cheyip B, Staub H, Tipping B, et al. South African guideline for management of ischaemic stroke and transient ischaemic attack 2010: a guideline from the South African Stroke Society (SASS) and the SASS Writing Committee. S Afr Med J. 2010;100:747-778.</w:t>
      </w:r>
    </w:p>
    <w:p w14:paraId="3E455133" w14:textId="77777777" w:rsidR="00E87F08" w:rsidRPr="00D160DA" w:rsidRDefault="00E87F08" w:rsidP="00C42838">
      <w:pPr>
        <w:pStyle w:val="EndNoteBibliography"/>
        <w:spacing w:after="0"/>
        <w:rPr>
          <w:b/>
          <w:bCs/>
        </w:rPr>
      </w:pPr>
      <w:r w:rsidRPr="001F099A">
        <w:lastRenderedPageBreak/>
        <w:t>32.</w:t>
      </w:r>
      <w:r w:rsidRPr="001F099A">
        <w:tab/>
        <w:t xml:space="preserve">Ministry of Health. Stroke and Transient Ischaemic Attacks Assessment, Investigation, Immediate Management and Secondary Prevention 2009. Available from: </w:t>
      </w:r>
      <w:hyperlink r:id="rId22" w:history="1">
        <w:r w:rsidR="00D160DA" w:rsidRPr="008A4FEA">
          <w:rPr>
            <w:rStyle w:val="Hyperlink"/>
          </w:rPr>
          <w:t>https://www.moh.gov.sg/docs/librariesprovider4/guidelines/cpg_stroke-and-transient-ischaemic-attacks.pdf</w:t>
        </w:r>
      </w:hyperlink>
      <w:r w:rsidRPr="001F099A">
        <w:t>.</w:t>
      </w:r>
      <w:r w:rsidR="00D160DA">
        <w:t xml:space="preserve"> </w:t>
      </w:r>
      <w:r w:rsidR="00D160DA" w:rsidRPr="00D160DA">
        <w:t>Accessed Feb 21, 2020</w:t>
      </w:r>
      <w:r w:rsidR="00D160DA">
        <w:t>.</w:t>
      </w:r>
    </w:p>
    <w:p w14:paraId="0448EC0B" w14:textId="77777777" w:rsidR="00E87F08" w:rsidRPr="001F099A" w:rsidRDefault="00E87F08" w:rsidP="00C42838">
      <w:pPr>
        <w:pStyle w:val="EndNoteBibliography"/>
        <w:spacing w:after="0"/>
      </w:pPr>
      <w:r w:rsidRPr="001F099A">
        <w:t>33.</w:t>
      </w:r>
      <w:r w:rsidRPr="001F099A">
        <w:tab/>
        <w:t>Gorenek B, Bax J, Boriani G, Chen S-A, Dagres N, Glotzer TV, et al. Device-detected subclinical atrial tachyarrhythmias: definition, implications and management—an European Heart Rhythm Association (EHRA) consensus document, endorsed by Heart Rhythm Society (HRS), Asia Pacific Heart Rhythm Society (APHRS) and Sociedad Latinoamericana de Estimulación Cardíaca y Electrofisiología (SOLEACE). Europace. 2017;19:1556-1578.</w:t>
      </w:r>
    </w:p>
    <w:p w14:paraId="7C9425A7" w14:textId="77777777" w:rsidR="00E87F08" w:rsidRPr="00D160DA" w:rsidRDefault="00E87F08" w:rsidP="00C42838">
      <w:pPr>
        <w:pStyle w:val="EndNoteBibliography"/>
        <w:spacing w:after="0"/>
        <w:rPr>
          <w:b/>
          <w:bCs/>
        </w:rPr>
      </w:pPr>
      <w:r w:rsidRPr="001F099A">
        <w:t>34.</w:t>
      </w:r>
      <w:r w:rsidRPr="001F099A">
        <w:tab/>
        <w:t xml:space="preserve">Indian Stroke Association. Recommendations for the Early Management of Acute Ischemic Stroke: A Consensus Statement for Healthcare Professionals from the Indian Stroke Association 2014. Available from: </w:t>
      </w:r>
      <w:hyperlink r:id="rId23" w:history="1">
        <w:r w:rsidR="00D160DA" w:rsidRPr="008A4FEA">
          <w:rPr>
            <w:rStyle w:val="Hyperlink"/>
          </w:rPr>
          <w:t>http://www.stroke-india.org/downloads/stroke.pdf</w:t>
        </w:r>
      </w:hyperlink>
      <w:r w:rsidRPr="001F099A">
        <w:t>.</w:t>
      </w:r>
      <w:r w:rsidR="00D160DA">
        <w:t xml:space="preserve"> </w:t>
      </w:r>
      <w:r w:rsidR="00D160DA" w:rsidRPr="00D160DA">
        <w:t>Accessed Feb 21, 2020</w:t>
      </w:r>
      <w:r w:rsidR="00D160DA">
        <w:t>.</w:t>
      </w:r>
    </w:p>
    <w:p w14:paraId="5A7578B1" w14:textId="77777777" w:rsidR="00E87F08" w:rsidRPr="001F099A" w:rsidRDefault="00E87F08" w:rsidP="00C42838">
      <w:pPr>
        <w:pStyle w:val="EndNoteBibliography"/>
        <w:spacing w:after="0"/>
      </w:pPr>
      <w:r w:rsidRPr="001F099A">
        <w:t>35.</w:t>
      </w:r>
      <w:r w:rsidRPr="001F099A">
        <w:tab/>
        <w:t>Wintermark M, Sanelli PC, Albers GW, Bello JA, Derdeyn CP, Hetts SW, et al. Imaging recommendations for acute stroke and transient ischemic attack patients: a joint statement by the American Society of Neuroradiology, the American College of Radiology and the Society of NeuroInterventional Surgery. J Am Coll Radiol. 2013;10:828-832.</w:t>
      </w:r>
    </w:p>
    <w:p w14:paraId="67A41669" w14:textId="77777777" w:rsidR="00E87F08" w:rsidRPr="001F099A" w:rsidRDefault="00E87F08" w:rsidP="00C42838">
      <w:pPr>
        <w:pStyle w:val="EndNoteBibliography"/>
        <w:spacing w:after="0"/>
      </w:pPr>
      <w:r w:rsidRPr="001F099A">
        <w:t>36.</w:t>
      </w:r>
      <w:r w:rsidRPr="001F099A">
        <w:tab/>
        <w:t>Irimia P, Asenbaum S, Brainin M, Chabriat H, Martínez-Vila E, Niederkorn K, et al. Use of imaging in cerebrovascular disease. In: Gilhus N, Barnes M, Brainin M, editors. European Handbook of Neurological Management. 2nd Edition ed. UK: Blackwell Publishing; 2011.</w:t>
      </w:r>
    </w:p>
    <w:p w14:paraId="1CFC9A81" w14:textId="77777777" w:rsidR="00E87F08" w:rsidRPr="001F099A" w:rsidRDefault="00E87F08" w:rsidP="00C42838">
      <w:pPr>
        <w:pStyle w:val="EndNoteBibliography"/>
        <w:spacing w:after="0"/>
      </w:pPr>
      <w:r w:rsidRPr="001F099A">
        <w:t>37.</w:t>
      </w:r>
      <w:r w:rsidRPr="001F099A">
        <w:tab/>
        <w:t>Pepi M, Evangelista A, Nihoyannopoulos P, Flachskampf FA, Athanassopoulos G, Colonna P, et al. Recommendations for echocardiography use in the diagnosis and management of cardiac sources of embolism: European Association of Echocardiography (EAE)</w:t>
      </w:r>
      <w:r w:rsidR="0061044C">
        <w:t xml:space="preserve"> </w:t>
      </w:r>
      <w:r w:rsidRPr="001F099A">
        <w:t>(a registered branch of the ESC). Eur J Echocardiogr. 2010;11:461-476.</w:t>
      </w:r>
    </w:p>
    <w:p w14:paraId="21C010F8" w14:textId="77777777" w:rsidR="00E87F08" w:rsidRPr="001F099A" w:rsidRDefault="00E87F08" w:rsidP="00C42838">
      <w:pPr>
        <w:pStyle w:val="EndNoteBibliography"/>
        <w:spacing w:after="0"/>
      </w:pPr>
      <w:r w:rsidRPr="001F099A">
        <w:t>38.</w:t>
      </w:r>
      <w:r w:rsidRPr="001F099A">
        <w:tab/>
        <w:t>Summers D, Leonard A, Wentworth D, Saver JL, Simpson J, Spilker JA, et al. Comprehensive overview of nursing and interdisciplinary care of the acute ischemic stroke patient: a scientific statement from the American Heart Association. Stroke. 2009;40:2911-2944.</w:t>
      </w:r>
    </w:p>
    <w:p w14:paraId="6057C638" w14:textId="77777777" w:rsidR="00E87F08" w:rsidRPr="001F099A" w:rsidRDefault="00E87F08" w:rsidP="00C42838">
      <w:pPr>
        <w:pStyle w:val="EndNoteBibliography"/>
        <w:spacing w:after="0"/>
      </w:pPr>
      <w:r w:rsidRPr="001F099A">
        <w:lastRenderedPageBreak/>
        <w:t>39.</w:t>
      </w:r>
      <w:r w:rsidRPr="001F099A">
        <w:tab/>
        <w:t>Latchaw RE, Alberts MJ, Lev MH, Connors JJ, Harbaugh RE, Higashida RT, et al. Recommendations for imaging of acute ischemic stroke: a scientific statement from the American Heart Association. Stroke. 2009;40:3646-3678.</w:t>
      </w:r>
    </w:p>
    <w:p w14:paraId="225C412A" w14:textId="77777777" w:rsidR="00E87F08" w:rsidRPr="001F099A" w:rsidRDefault="00E87F08" w:rsidP="00C42838">
      <w:pPr>
        <w:pStyle w:val="EndNoteBibliography"/>
      </w:pPr>
      <w:r w:rsidRPr="001F099A">
        <w:t>40.</w:t>
      </w:r>
      <w:r w:rsidRPr="001F099A">
        <w:tab/>
        <w:t>Powers WJ, Rabinstein AA, Ackerson T, Adeoye OM, Bambakidis NC, Becker K, et al. Guidelines for the Early Management of Patients With Acute Ischemic Stroke: 2019 Update to the 2018 Guidelines for the Early Management of Acute Ischemic Stroke: A Guideline for Healthcare Professionals From the American Heart Association/American Stroke Association. Stroke. 2019;50:e344-e418.</w:t>
      </w:r>
    </w:p>
    <w:p w14:paraId="483CB489" w14:textId="77777777" w:rsidR="00E87F08" w:rsidRPr="00295676" w:rsidRDefault="00E87F08" w:rsidP="00C42838">
      <w:pPr>
        <w:sectPr w:rsidR="00E87F08" w:rsidRPr="00295676" w:rsidSect="00C42838">
          <w:footerReference w:type="default" r:id="rId24"/>
          <w:pgSz w:w="11906" w:h="16838"/>
          <w:pgMar w:top="1440" w:right="1440" w:bottom="1440" w:left="1440" w:header="708" w:footer="708" w:gutter="0"/>
          <w:lnNumType w:countBy="1" w:restart="continuous"/>
          <w:pgNumType w:start="1"/>
          <w:cols w:space="708"/>
          <w:docGrid w:linePitch="360"/>
        </w:sectPr>
      </w:pPr>
    </w:p>
    <w:p w14:paraId="5BE6C229" w14:textId="77777777" w:rsidR="00E87F08" w:rsidRPr="00295676" w:rsidRDefault="00E87F08" w:rsidP="00C42838">
      <w:pPr>
        <w:pStyle w:val="Heading1"/>
      </w:pPr>
      <w:r w:rsidRPr="00295676">
        <w:lastRenderedPageBreak/>
        <w:t>Tables</w:t>
      </w:r>
    </w:p>
    <w:p w14:paraId="3EB3894B" w14:textId="77777777" w:rsidR="004559AD" w:rsidRPr="00295676" w:rsidRDefault="004559AD" w:rsidP="004559AD">
      <w:pPr>
        <w:pStyle w:val="Heading2"/>
      </w:pPr>
      <w:r w:rsidRPr="00295676">
        <w:t xml:space="preserve">Table 1. Characteristics of included guidelines and consensus statements </w:t>
      </w:r>
    </w:p>
    <w:tbl>
      <w:tblPr>
        <w:tblStyle w:val="TableGrid"/>
        <w:tblW w:w="0" w:type="auto"/>
        <w:tblLayout w:type="fixed"/>
        <w:tblLook w:val="04A0" w:firstRow="1" w:lastRow="0" w:firstColumn="1" w:lastColumn="0" w:noHBand="0" w:noVBand="1"/>
      </w:tblPr>
      <w:tblGrid>
        <w:gridCol w:w="1190"/>
        <w:gridCol w:w="3058"/>
        <w:gridCol w:w="1701"/>
        <w:gridCol w:w="4394"/>
        <w:gridCol w:w="3512"/>
      </w:tblGrid>
      <w:tr w:rsidR="004559AD" w:rsidRPr="00295676" w14:paraId="680874BD" w14:textId="77777777" w:rsidTr="00C42838">
        <w:tc>
          <w:tcPr>
            <w:tcW w:w="1190" w:type="dxa"/>
            <w:vAlign w:val="center"/>
          </w:tcPr>
          <w:p w14:paraId="08A6D964" w14:textId="77777777" w:rsidR="004559AD" w:rsidRPr="00295676" w:rsidRDefault="004559AD" w:rsidP="00C42838">
            <w:pPr>
              <w:spacing w:line="240" w:lineRule="auto"/>
              <w:jc w:val="center"/>
              <w:rPr>
                <w:b/>
              </w:rPr>
            </w:pPr>
            <w:r w:rsidRPr="00295676">
              <w:rPr>
                <w:b/>
              </w:rPr>
              <w:t>Country/ region</w:t>
            </w:r>
          </w:p>
        </w:tc>
        <w:tc>
          <w:tcPr>
            <w:tcW w:w="3058" w:type="dxa"/>
            <w:vAlign w:val="center"/>
          </w:tcPr>
          <w:p w14:paraId="03EE8E53" w14:textId="77777777" w:rsidR="004559AD" w:rsidRPr="00295676" w:rsidRDefault="004559AD" w:rsidP="00C42838">
            <w:pPr>
              <w:spacing w:line="240" w:lineRule="auto"/>
              <w:jc w:val="center"/>
              <w:rPr>
                <w:b/>
              </w:rPr>
            </w:pPr>
            <w:r w:rsidRPr="00295676">
              <w:rPr>
                <w:b/>
              </w:rPr>
              <w:t>Organisation</w:t>
            </w:r>
          </w:p>
        </w:tc>
        <w:tc>
          <w:tcPr>
            <w:tcW w:w="1701" w:type="dxa"/>
            <w:vAlign w:val="center"/>
          </w:tcPr>
          <w:p w14:paraId="71D6B415" w14:textId="77777777" w:rsidR="004559AD" w:rsidRPr="00295676" w:rsidRDefault="004559AD" w:rsidP="00C42838">
            <w:pPr>
              <w:spacing w:line="240" w:lineRule="auto"/>
              <w:jc w:val="center"/>
              <w:rPr>
                <w:b/>
              </w:rPr>
            </w:pPr>
            <w:r w:rsidRPr="00295676">
              <w:rPr>
                <w:b/>
              </w:rPr>
              <w:t>Lead author (year)</w:t>
            </w:r>
          </w:p>
        </w:tc>
        <w:tc>
          <w:tcPr>
            <w:tcW w:w="4394" w:type="dxa"/>
            <w:vAlign w:val="center"/>
          </w:tcPr>
          <w:p w14:paraId="54C770BB" w14:textId="77777777" w:rsidR="004559AD" w:rsidRPr="00295676" w:rsidRDefault="004559AD" w:rsidP="00C42838">
            <w:pPr>
              <w:spacing w:line="240" w:lineRule="auto"/>
              <w:jc w:val="center"/>
              <w:rPr>
                <w:b/>
              </w:rPr>
            </w:pPr>
            <w:r w:rsidRPr="00295676">
              <w:rPr>
                <w:b/>
              </w:rPr>
              <w:t>Title</w:t>
            </w:r>
          </w:p>
        </w:tc>
        <w:tc>
          <w:tcPr>
            <w:tcW w:w="3512" w:type="dxa"/>
            <w:vAlign w:val="center"/>
          </w:tcPr>
          <w:p w14:paraId="023C8D61" w14:textId="77777777" w:rsidR="004559AD" w:rsidRPr="00295676" w:rsidRDefault="004559AD" w:rsidP="00C42838">
            <w:pPr>
              <w:spacing w:line="240" w:lineRule="auto"/>
              <w:jc w:val="center"/>
              <w:rPr>
                <w:b/>
              </w:rPr>
            </w:pPr>
            <w:r w:rsidRPr="00295676">
              <w:rPr>
                <w:b/>
              </w:rPr>
              <w:t>Development approach</w:t>
            </w:r>
          </w:p>
        </w:tc>
      </w:tr>
      <w:tr w:rsidR="004559AD" w:rsidRPr="00295676" w14:paraId="1056CAFC" w14:textId="77777777" w:rsidTr="00C42838">
        <w:tc>
          <w:tcPr>
            <w:tcW w:w="13855" w:type="dxa"/>
            <w:gridSpan w:val="5"/>
          </w:tcPr>
          <w:p w14:paraId="277360D6" w14:textId="77777777" w:rsidR="004559AD" w:rsidRPr="00295676" w:rsidRDefault="004559AD" w:rsidP="00C42838">
            <w:pPr>
              <w:spacing w:line="240" w:lineRule="auto"/>
              <w:rPr>
                <w:b/>
              </w:rPr>
            </w:pPr>
            <w:r w:rsidRPr="00295676">
              <w:rPr>
                <w:b/>
              </w:rPr>
              <w:t>Clinical practice guidelines</w:t>
            </w:r>
          </w:p>
        </w:tc>
      </w:tr>
      <w:tr w:rsidR="004559AD" w:rsidRPr="00295676" w14:paraId="4F854B9D" w14:textId="77777777" w:rsidTr="00C42838">
        <w:tc>
          <w:tcPr>
            <w:tcW w:w="1190" w:type="dxa"/>
          </w:tcPr>
          <w:p w14:paraId="6CB5E5D5" w14:textId="77777777" w:rsidR="004559AD" w:rsidRPr="00295676" w:rsidRDefault="004559AD" w:rsidP="00C42838">
            <w:pPr>
              <w:spacing w:line="240" w:lineRule="auto"/>
            </w:pPr>
            <w:r w:rsidRPr="00295676">
              <w:t>UK</w:t>
            </w:r>
          </w:p>
        </w:tc>
        <w:tc>
          <w:tcPr>
            <w:tcW w:w="3058" w:type="dxa"/>
          </w:tcPr>
          <w:p w14:paraId="193F16BD" w14:textId="77777777" w:rsidR="004559AD" w:rsidRPr="00295676" w:rsidRDefault="004559AD" w:rsidP="00C42838">
            <w:pPr>
              <w:spacing w:line="240" w:lineRule="auto"/>
              <w:rPr>
                <w:rFonts w:cs="Arial"/>
              </w:rPr>
            </w:pPr>
            <w:r w:rsidRPr="00295676">
              <w:rPr>
                <w:rFonts w:cs="Arial"/>
              </w:rPr>
              <w:t>National Institute for Health and Care Excellence</w:t>
            </w:r>
          </w:p>
        </w:tc>
        <w:tc>
          <w:tcPr>
            <w:tcW w:w="1701" w:type="dxa"/>
          </w:tcPr>
          <w:p w14:paraId="24581BF7" w14:textId="77777777" w:rsidR="004559AD" w:rsidRPr="00295676" w:rsidRDefault="004559AD" w:rsidP="00C42838">
            <w:pPr>
              <w:spacing w:line="240" w:lineRule="auto"/>
              <w:rPr>
                <w:rFonts w:cs="Arial"/>
              </w:rPr>
            </w:pPr>
            <w:r w:rsidRPr="00295676">
              <w:rPr>
                <w:rFonts w:cs="Arial"/>
              </w:rPr>
              <w:t>n/a (2019)</w:t>
            </w:r>
            <w:r w:rsidRPr="003B75B0">
              <w:rPr>
                <w:rFonts w:cs="Arial"/>
                <w:noProof/>
                <w:vertAlign w:val="superscript"/>
              </w:rPr>
              <w:t>17</w:t>
            </w:r>
          </w:p>
        </w:tc>
        <w:tc>
          <w:tcPr>
            <w:tcW w:w="4394" w:type="dxa"/>
          </w:tcPr>
          <w:p w14:paraId="63359B42" w14:textId="77777777" w:rsidR="004559AD" w:rsidRPr="00295676" w:rsidRDefault="004559AD" w:rsidP="00C42838">
            <w:pPr>
              <w:spacing w:line="240" w:lineRule="auto"/>
              <w:rPr>
                <w:rFonts w:cs="Arial"/>
              </w:rPr>
            </w:pPr>
            <w:r w:rsidRPr="00295676">
              <w:rPr>
                <w:rFonts w:cs="Arial"/>
              </w:rPr>
              <w:t>Stroke and transient ischaemic attack in over 16s: diagnosis and initial management (NG128)</w:t>
            </w:r>
          </w:p>
        </w:tc>
        <w:tc>
          <w:tcPr>
            <w:tcW w:w="3512" w:type="dxa"/>
          </w:tcPr>
          <w:p w14:paraId="1A922C96" w14:textId="77777777" w:rsidR="004559AD" w:rsidRPr="00295676" w:rsidRDefault="004559AD" w:rsidP="00C42838">
            <w:pPr>
              <w:spacing w:line="240" w:lineRule="auto"/>
            </w:pPr>
            <w:r w:rsidRPr="00295676">
              <w:t>Systematic search.</w:t>
            </w:r>
          </w:p>
          <w:p w14:paraId="74C548C3" w14:textId="77777777" w:rsidR="004559AD" w:rsidRPr="00295676" w:rsidRDefault="004559AD" w:rsidP="00C42838">
            <w:pPr>
              <w:spacing w:line="240" w:lineRule="auto"/>
            </w:pPr>
            <w:r w:rsidRPr="00295676">
              <w:t>GRADE framework.</w:t>
            </w:r>
          </w:p>
        </w:tc>
      </w:tr>
      <w:tr w:rsidR="004559AD" w:rsidRPr="00295676" w14:paraId="44A1090D" w14:textId="77777777" w:rsidTr="00C42838">
        <w:tc>
          <w:tcPr>
            <w:tcW w:w="1190" w:type="dxa"/>
          </w:tcPr>
          <w:p w14:paraId="47B299BB" w14:textId="77777777" w:rsidR="004559AD" w:rsidRPr="00295676" w:rsidRDefault="004559AD" w:rsidP="00C42838">
            <w:pPr>
              <w:spacing w:line="240" w:lineRule="auto"/>
            </w:pPr>
            <w:r w:rsidRPr="00295676">
              <w:t>USA</w:t>
            </w:r>
          </w:p>
        </w:tc>
        <w:tc>
          <w:tcPr>
            <w:tcW w:w="3058" w:type="dxa"/>
          </w:tcPr>
          <w:p w14:paraId="29C070A7" w14:textId="77777777" w:rsidR="004559AD" w:rsidRPr="00295676" w:rsidRDefault="004559AD" w:rsidP="00C42838">
            <w:pPr>
              <w:spacing w:line="240" w:lineRule="auto"/>
            </w:pPr>
            <w:r w:rsidRPr="00295676">
              <w:rPr>
                <w:rFonts w:cs="Arial"/>
              </w:rPr>
              <w:t>American Heart Association/ American Stroke Association</w:t>
            </w:r>
          </w:p>
        </w:tc>
        <w:tc>
          <w:tcPr>
            <w:tcW w:w="1701" w:type="dxa"/>
          </w:tcPr>
          <w:p w14:paraId="56AE88B7" w14:textId="77777777" w:rsidR="004559AD" w:rsidRPr="00295676" w:rsidRDefault="004559AD" w:rsidP="00C42838">
            <w:pPr>
              <w:spacing w:line="240" w:lineRule="auto"/>
            </w:pPr>
            <w:r w:rsidRPr="00295676">
              <w:rPr>
                <w:rFonts w:cs="Arial"/>
              </w:rPr>
              <w:t>Powers (2018)</w:t>
            </w:r>
            <w:r w:rsidRPr="003B75B0">
              <w:rPr>
                <w:rFonts w:cs="Arial"/>
                <w:noProof/>
                <w:vertAlign w:val="superscript"/>
              </w:rPr>
              <w:t>18</w:t>
            </w:r>
          </w:p>
        </w:tc>
        <w:tc>
          <w:tcPr>
            <w:tcW w:w="4394" w:type="dxa"/>
          </w:tcPr>
          <w:p w14:paraId="00BFAA5A" w14:textId="77777777" w:rsidR="004559AD" w:rsidRPr="00295676" w:rsidRDefault="004559AD" w:rsidP="00C42838">
            <w:pPr>
              <w:spacing w:line="240" w:lineRule="auto"/>
            </w:pPr>
            <w:r w:rsidRPr="00295676">
              <w:rPr>
                <w:rFonts w:cs="Arial"/>
              </w:rPr>
              <w:t xml:space="preserve">2018 Guidelines for the Early Management of Patients </w:t>
            </w:r>
            <w:proofErr w:type="gramStart"/>
            <w:r w:rsidRPr="00295676">
              <w:rPr>
                <w:rFonts w:cs="Arial"/>
              </w:rPr>
              <w:t>With</w:t>
            </w:r>
            <w:proofErr w:type="gramEnd"/>
            <w:r w:rsidRPr="00295676">
              <w:rPr>
                <w:rFonts w:cs="Arial"/>
              </w:rPr>
              <w:t xml:space="preserve"> Acute Ischemic Stroke A Guideline for Healthcare Professionals From the American Heart Association/American Stroke Association</w:t>
            </w:r>
          </w:p>
        </w:tc>
        <w:tc>
          <w:tcPr>
            <w:tcW w:w="3512" w:type="dxa"/>
          </w:tcPr>
          <w:p w14:paraId="53F6F850" w14:textId="77777777" w:rsidR="004559AD" w:rsidRPr="00295676" w:rsidRDefault="004559AD" w:rsidP="00C42838">
            <w:pPr>
              <w:spacing w:line="240" w:lineRule="auto"/>
            </w:pPr>
            <w:r w:rsidRPr="00295676">
              <w:t>Systematic search.</w:t>
            </w:r>
          </w:p>
        </w:tc>
      </w:tr>
      <w:tr w:rsidR="004559AD" w:rsidRPr="00295676" w14:paraId="01C37C86" w14:textId="77777777" w:rsidTr="00C42838">
        <w:tc>
          <w:tcPr>
            <w:tcW w:w="1190" w:type="dxa"/>
          </w:tcPr>
          <w:p w14:paraId="70E523EB" w14:textId="77777777" w:rsidR="004559AD" w:rsidRPr="00295676" w:rsidRDefault="004559AD" w:rsidP="00C42838">
            <w:pPr>
              <w:spacing w:line="240" w:lineRule="auto"/>
            </w:pPr>
            <w:r w:rsidRPr="00295676">
              <w:t>Canada</w:t>
            </w:r>
          </w:p>
        </w:tc>
        <w:tc>
          <w:tcPr>
            <w:tcW w:w="3058" w:type="dxa"/>
          </w:tcPr>
          <w:p w14:paraId="219FD34D" w14:textId="77777777" w:rsidR="004559AD" w:rsidRPr="00295676" w:rsidRDefault="004559AD" w:rsidP="00C42838">
            <w:pPr>
              <w:spacing w:line="240" w:lineRule="auto"/>
            </w:pPr>
            <w:r w:rsidRPr="00295676">
              <w:t>Acute Stroke Management Best Practice Writing Group, and the Canadian Stroke Best Practices and Quality Advisory Committees; in collaboration with the Canadian Stroke Consortium and the Canadian Association of Emergency Physicians</w:t>
            </w:r>
          </w:p>
        </w:tc>
        <w:tc>
          <w:tcPr>
            <w:tcW w:w="1701" w:type="dxa"/>
          </w:tcPr>
          <w:p w14:paraId="0B79FE3A" w14:textId="77777777" w:rsidR="004559AD" w:rsidRPr="00295676" w:rsidRDefault="004559AD" w:rsidP="00C42838">
            <w:pPr>
              <w:spacing w:line="240" w:lineRule="auto"/>
            </w:pPr>
            <w:r w:rsidRPr="00295676">
              <w:rPr>
                <w:rFonts w:cs="Arial"/>
              </w:rPr>
              <w:t>Boulanger (2018)</w:t>
            </w:r>
            <w:r w:rsidRPr="003B75B0">
              <w:rPr>
                <w:rFonts w:cs="Arial"/>
                <w:noProof/>
                <w:vertAlign w:val="superscript"/>
              </w:rPr>
              <w:t>19</w:t>
            </w:r>
            <w:r w:rsidRPr="00295676">
              <w:t xml:space="preserve"> </w:t>
            </w:r>
          </w:p>
        </w:tc>
        <w:tc>
          <w:tcPr>
            <w:tcW w:w="4394" w:type="dxa"/>
          </w:tcPr>
          <w:p w14:paraId="621AB4F6" w14:textId="77777777" w:rsidR="004559AD" w:rsidRPr="00295676" w:rsidRDefault="004559AD" w:rsidP="00C42838">
            <w:pPr>
              <w:spacing w:line="240" w:lineRule="auto"/>
              <w:rPr>
                <w:rFonts w:cs="Arial"/>
              </w:rPr>
            </w:pPr>
            <w:r w:rsidRPr="00295676">
              <w:rPr>
                <w:rFonts w:cs="Arial"/>
              </w:rPr>
              <w:t>Canadian Stroke Best Practice Recommendations for Acute Stroke Management: Prehospital, Emergency Department, and Acute Inpatient Stroke Care, 6th Edition, Update 2018</w:t>
            </w:r>
          </w:p>
        </w:tc>
        <w:tc>
          <w:tcPr>
            <w:tcW w:w="3512" w:type="dxa"/>
          </w:tcPr>
          <w:p w14:paraId="359D1C8E" w14:textId="77777777" w:rsidR="004559AD" w:rsidRPr="00295676" w:rsidRDefault="004559AD" w:rsidP="00C42838">
            <w:pPr>
              <w:spacing w:line="240" w:lineRule="auto"/>
            </w:pPr>
            <w:r w:rsidRPr="00295676">
              <w:t xml:space="preserve">Systematic </w:t>
            </w:r>
            <w:proofErr w:type="gramStart"/>
            <w:r w:rsidRPr="00295676">
              <w:t>search .</w:t>
            </w:r>
            <w:proofErr w:type="gramEnd"/>
          </w:p>
          <w:p w14:paraId="675D4F99" w14:textId="77777777" w:rsidR="004559AD" w:rsidRPr="00295676" w:rsidRDefault="004559AD" w:rsidP="00C42838">
            <w:pPr>
              <w:spacing w:line="240" w:lineRule="auto"/>
            </w:pPr>
            <w:r w:rsidRPr="00295676">
              <w:t>Framework adapted from the Practice Guideline Evaluation and Adaptation Cycle.</w:t>
            </w:r>
          </w:p>
        </w:tc>
      </w:tr>
      <w:tr w:rsidR="004559AD" w:rsidRPr="00295676" w14:paraId="7C59BC64" w14:textId="77777777" w:rsidTr="00C42838">
        <w:tc>
          <w:tcPr>
            <w:tcW w:w="1190" w:type="dxa"/>
          </w:tcPr>
          <w:p w14:paraId="438CCF49" w14:textId="77777777" w:rsidR="004559AD" w:rsidRPr="00295676" w:rsidRDefault="004559AD" w:rsidP="00C42838">
            <w:pPr>
              <w:spacing w:line="240" w:lineRule="auto"/>
            </w:pPr>
            <w:r w:rsidRPr="00295676">
              <w:lastRenderedPageBreak/>
              <w:t>Canada</w:t>
            </w:r>
          </w:p>
        </w:tc>
        <w:tc>
          <w:tcPr>
            <w:tcW w:w="3058" w:type="dxa"/>
          </w:tcPr>
          <w:p w14:paraId="0BF8FC9D" w14:textId="77777777" w:rsidR="004559AD" w:rsidRPr="00295676" w:rsidRDefault="004559AD" w:rsidP="00C42838">
            <w:pPr>
              <w:spacing w:line="240" w:lineRule="auto"/>
            </w:pPr>
            <w:r w:rsidRPr="00295676">
              <w:t>Heart and Stroke Foundation Canadian Stroke Best Practice Committees</w:t>
            </w:r>
          </w:p>
        </w:tc>
        <w:tc>
          <w:tcPr>
            <w:tcW w:w="1701" w:type="dxa"/>
          </w:tcPr>
          <w:p w14:paraId="69FFDC63" w14:textId="77777777" w:rsidR="004559AD" w:rsidRPr="00295676" w:rsidRDefault="004559AD" w:rsidP="00C42838">
            <w:pPr>
              <w:spacing w:line="240" w:lineRule="auto"/>
            </w:pPr>
            <w:r w:rsidRPr="00295676">
              <w:rPr>
                <w:rFonts w:cs="Arial"/>
              </w:rPr>
              <w:t>Wein (2018)</w:t>
            </w:r>
            <w:r w:rsidRPr="003B75B0">
              <w:rPr>
                <w:rFonts w:cs="Arial"/>
                <w:noProof/>
                <w:vertAlign w:val="superscript"/>
              </w:rPr>
              <w:t>20</w:t>
            </w:r>
          </w:p>
        </w:tc>
        <w:tc>
          <w:tcPr>
            <w:tcW w:w="4394" w:type="dxa"/>
          </w:tcPr>
          <w:p w14:paraId="17B6BB80" w14:textId="77777777" w:rsidR="004559AD" w:rsidRPr="00295676" w:rsidRDefault="004559AD" w:rsidP="00C42838">
            <w:pPr>
              <w:spacing w:line="240" w:lineRule="auto"/>
              <w:rPr>
                <w:rFonts w:cs="Arial"/>
              </w:rPr>
            </w:pPr>
            <w:r w:rsidRPr="00295676">
              <w:rPr>
                <w:rFonts w:cs="Arial"/>
              </w:rPr>
              <w:t>Canadian stroke best practice recommendations: Secondary prevention of stroke, sixth edition practice guidelines, update 2017</w:t>
            </w:r>
          </w:p>
        </w:tc>
        <w:tc>
          <w:tcPr>
            <w:tcW w:w="3512" w:type="dxa"/>
          </w:tcPr>
          <w:p w14:paraId="5843E8CD" w14:textId="77777777" w:rsidR="004559AD" w:rsidRPr="00295676" w:rsidRDefault="004559AD" w:rsidP="00C42838">
            <w:pPr>
              <w:spacing w:line="240" w:lineRule="auto"/>
            </w:pPr>
            <w:r w:rsidRPr="00295676">
              <w:t>Systematic search.</w:t>
            </w:r>
          </w:p>
          <w:p w14:paraId="4046EF5E" w14:textId="77777777" w:rsidR="004559AD" w:rsidRPr="00295676" w:rsidRDefault="004559AD" w:rsidP="00C42838">
            <w:pPr>
              <w:spacing w:line="240" w:lineRule="auto"/>
            </w:pPr>
            <w:r w:rsidRPr="00295676">
              <w:t>Framework adapted from the Practice Guideline Evaluation and Adaptation Cycle.</w:t>
            </w:r>
          </w:p>
        </w:tc>
      </w:tr>
      <w:tr w:rsidR="004559AD" w:rsidRPr="00295676" w14:paraId="62335FA3" w14:textId="77777777" w:rsidTr="00C42838">
        <w:tc>
          <w:tcPr>
            <w:tcW w:w="1190" w:type="dxa"/>
          </w:tcPr>
          <w:p w14:paraId="199D40F7" w14:textId="77777777" w:rsidR="004559AD" w:rsidRPr="00295676" w:rsidRDefault="004559AD" w:rsidP="00C42838">
            <w:pPr>
              <w:spacing w:line="240" w:lineRule="auto"/>
            </w:pPr>
            <w:r w:rsidRPr="00295676">
              <w:t>Korea</w:t>
            </w:r>
          </w:p>
        </w:tc>
        <w:tc>
          <w:tcPr>
            <w:tcW w:w="3058" w:type="dxa"/>
          </w:tcPr>
          <w:p w14:paraId="40D2084A" w14:textId="77777777" w:rsidR="004559AD" w:rsidRPr="00295676" w:rsidRDefault="004559AD" w:rsidP="00C42838">
            <w:pPr>
              <w:spacing w:line="240" w:lineRule="auto"/>
              <w:rPr>
                <w:rFonts w:cs="Arial"/>
              </w:rPr>
            </w:pPr>
            <w:r w:rsidRPr="00295676">
              <w:rPr>
                <w:rFonts w:cs="Arial"/>
              </w:rPr>
              <w:t>Korean Heart Rhythm Society (KHRS) Committee</w:t>
            </w:r>
          </w:p>
          <w:p w14:paraId="5494E070" w14:textId="77777777" w:rsidR="004559AD" w:rsidRPr="00295676" w:rsidRDefault="004559AD" w:rsidP="00C42838">
            <w:pPr>
              <w:spacing w:line="240" w:lineRule="auto"/>
              <w:rPr>
                <w:rFonts w:cs="Arial"/>
              </w:rPr>
            </w:pPr>
          </w:p>
        </w:tc>
        <w:tc>
          <w:tcPr>
            <w:tcW w:w="1701" w:type="dxa"/>
          </w:tcPr>
          <w:p w14:paraId="6E73158E" w14:textId="77777777" w:rsidR="004559AD" w:rsidRPr="00295676" w:rsidRDefault="004559AD" w:rsidP="00C42838">
            <w:pPr>
              <w:spacing w:line="240" w:lineRule="auto"/>
              <w:rPr>
                <w:rFonts w:cs="Arial"/>
              </w:rPr>
            </w:pPr>
            <w:proofErr w:type="spellStart"/>
            <w:r w:rsidRPr="00295676">
              <w:rPr>
                <w:rFonts w:cs="Arial"/>
              </w:rPr>
              <w:t>Joung</w:t>
            </w:r>
            <w:proofErr w:type="spellEnd"/>
            <w:r w:rsidRPr="00295676">
              <w:rPr>
                <w:rFonts w:cs="Arial"/>
              </w:rPr>
              <w:t xml:space="preserve"> (2018)</w:t>
            </w:r>
            <w:r w:rsidRPr="003B75B0">
              <w:rPr>
                <w:rFonts w:cs="Arial"/>
                <w:noProof/>
                <w:vertAlign w:val="superscript"/>
              </w:rPr>
              <w:t>21</w:t>
            </w:r>
          </w:p>
        </w:tc>
        <w:tc>
          <w:tcPr>
            <w:tcW w:w="4394" w:type="dxa"/>
          </w:tcPr>
          <w:p w14:paraId="500EE5DE" w14:textId="77777777" w:rsidR="004559AD" w:rsidRPr="00295676" w:rsidRDefault="004559AD" w:rsidP="00C42838">
            <w:pPr>
              <w:spacing w:line="240" w:lineRule="auto"/>
              <w:rPr>
                <w:rFonts w:cs="Arial"/>
              </w:rPr>
            </w:pPr>
            <w:r w:rsidRPr="00295676">
              <w:rPr>
                <w:rFonts w:cs="Arial"/>
              </w:rPr>
              <w:t>2018 Korean Guideline of Atrial Fibrillation Management</w:t>
            </w:r>
          </w:p>
        </w:tc>
        <w:tc>
          <w:tcPr>
            <w:tcW w:w="3512" w:type="dxa"/>
          </w:tcPr>
          <w:p w14:paraId="66954419" w14:textId="77777777" w:rsidR="004559AD" w:rsidRPr="00295676" w:rsidRDefault="004559AD" w:rsidP="00C42838">
            <w:pPr>
              <w:spacing w:line="240" w:lineRule="auto"/>
            </w:pPr>
            <w:r w:rsidRPr="00295676">
              <w:t>Systematic search.</w:t>
            </w:r>
          </w:p>
          <w:p w14:paraId="076253BE" w14:textId="77777777" w:rsidR="004559AD" w:rsidRPr="00295676" w:rsidRDefault="004559AD" w:rsidP="00C42838">
            <w:pPr>
              <w:spacing w:line="240" w:lineRule="auto"/>
            </w:pPr>
            <w:r w:rsidRPr="00295676">
              <w:t>Based on recent data of the Korean population and the recent guidelines of the European Society of Cardiology, European Association for Cardio-Thoracic Surgery, American Heart Association, and Asia Pacific Heart Rhythm Society.</w:t>
            </w:r>
          </w:p>
        </w:tc>
      </w:tr>
      <w:tr w:rsidR="004559AD" w:rsidRPr="00295676" w14:paraId="710FB32B" w14:textId="77777777" w:rsidTr="00C42838">
        <w:tc>
          <w:tcPr>
            <w:tcW w:w="1190" w:type="dxa"/>
          </w:tcPr>
          <w:p w14:paraId="67E8D238" w14:textId="77777777" w:rsidR="004559AD" w:rsidRPr="00295676" w:rsidRDefault="004559AD" w:rsidP="00C42838">
            <w:pPr>
              <w:spacing w:line="240" w:lineRule="auto"/>
            </w:pPr>
            <w:r w:rsidRPr="00295676">
              <w:t>Australia</w:t>
            </w:r>
          </w:p>
        </w:tc>
        <w:tc>
          <w:tcPr>
            <w:tcW w:w="3058" w:type="dxa"/>
          </w:tcPr>
          <w:p w14:paraId="69D59EA9" w14:textId="77777777" w:rsidR="004559AD" w:rsidRPr="00295676" w:rsidRDefault="004559AD" w:rsidP="00C42838">
            <w:pPr>
              <w:spacing w:line="240" w:lineRule="auto"/>
            </w:pPr>
            <w:r w:rsidRPr="00295676">
              <w:rPr>
                <w:rFonts w:cs="Arial"/>
              </w:rPr>
              <w:t>Stroke Foundation/ Australian Department of Health</w:t>
            </w:r>
          </w:p>
        </w:tc>
        <w:tc>
          <w:tcPr>
            <w:tcW w:w="1701" w:type="dxa"/>
          </w:tcPr>
          <w:p w14:paraId="43349DF3" w14:textId="77777777" w:rsidR="004559AD" w:rsidRPr="00295676" w:rsidRDefault="004559AD" w:rsidP="00C42838">
            <w:pPr>
              <w:spacing w:line="240" w:lineRule="auto"/>
            </w:pPr>
            <w:r w:rsidRPr="00295676">
              <w:t>n/a (2017)</w:t>
            </w:r>
            <w:r w:rsidRPr="003B75B0">
              <w:rPr>
                <w:noProof/>
                <w:vertAlign w:val="superscript"/>
              </w:rPr>
              <w:t>22</w:t>
            </w:r>
          </w:p>
        </w:tc>
        <w:tc>
          <w:tcPr>
            <w:tcW w:w="4394" w:type="dxa"/>
          </w:tcPr>
          <w:p w14:paraId="549C43F9" w14:textId="77777777" w:rsidR="004559AD" w:rsidRPr="00295676" w:rsidRDefault="004559AD" w:rsidP="00C42838">
            <w:pPr>
              <w:spacing w:line="240" w:lineRule="auto"/>
              <w:rPr>
                <w:rFonts w:cs="Arial"/>
              </w:rPr>
            </w:pPr>
            <w:r w:rsidRPr="00295676">
              <w:rPr>
                <w:rFonts w:cs="Arial"/>
              </w:rPr>
              <w:t>Clinical Guidelines for Stroke Management 2017</w:t>
            </w:r>
          </w:p>
          <w:p w14:paraId="09E8995A" w14:textId="77777777" w:rsidR="004559AD" w:rsidRPr="00295676" w:rsidRDefault="004559AD" w:rsidP="00C42838">
            <w:pPr>
              <w:spacing w:line="240" w:lineRule="auto"/>
            </w:pPr>
          </w:p>
        </w:tc>
        <w:tc>
          <w:tcPr>
            <w:tcW w:w="3512" w:type="dxa"/>
          </w:tcPr>
          <w:p w14:paraId="3B4FC8C5" w14:textId="77777777" w:rsidR="004559AD" w:rsidRPr="00295676" w:rsidRDefault="004559AD" w:rsidP="00C42838">
            <w:pPr>
              <w:spacing w:line="240" w:lineRule="auto"/>
            </w:pPr>
            <w:r w:rsidRPr="00295676">
              <w:t>Systematic search.</w:t>
            </w:r>
          </w:p>
          <w:p w14:paraId="7ED5F472" w14:textId="77777777" w:rsidR="004559AD" w:rsidRPr="00295676" w:rsidRDefault="004559AD" w:rsidP="00C42838">
            <w:pPr>
              <w:spacing w:line="240" w:lineRule="auto"/>
            </w:pPr>
            <w:r w:rsidRPr="00295676">
              <w:t>GRADE framework.</w:t>
            </w:r>
          </w:p>
        </w:tc>
      </w:tr>
      <w:tr w:rsidR="004559AD" w:rsidRPr="00295676" w14:paraId="08C2121B" w14:textId="77777777" w:rsidTr="00C42838">
        <w:tc>
          <w:tcPr>
            <w:tcW w:w="1190" w:type="dxa"/>
          </w:tcPr>
          <w:p w14:paraId="02597F45" w14:textId="77777777" w:rsidR="004559AD" w:rsidRPr="00295676" w:rsidRDefault="004559AD" w:rsidP="00C42838">
            <w:pPr>
              <w:spacing w:line="240" w:lineRule="auto"/>
            </w:pPr>
            <w:r w:rsidRPr="00295676">
              <w:t>USA</w:t>
            </w:r>
          </w:p>
        </w:tc>
        <w:tc>
          <w:tcPr>
            <w:tcW w:w="3058" w:type="dxa"/>
          </w:tcPr>
          <w:p w14:paraId="3E743D47" w14:textId="77777777" w:rsidR="004559AD" w:rsidRPr="00295676" w:rsidRDefault="004559AD" w:rsidP="00C42838">
            <w:pPr>
              <w:spacing w:line="240" w:lineRule="auto"/>
            </w:pPr>
            <w:r w:rsidRPr="00295676">
              <w:rPr>
                <w:rFonts w:cs="Arial"/>
              </w:rPr>
              <w:t>American Society of Echocardiography (ASE)</w:t>
            </w:r>
          </w:p>
        </w:tc>
        <w:tc>
          <w:tcPr>
            <w:tcW w:w="1701" w:type="dxa"/>
          </w:tcPr>
          <w:p w14:paraId="0C5FA404" w14:textId="77777777" w:rsidR="004559AD" w:rsidRPr="00295676" w:rsidRDefault="004559AD" w:rsidP="00C42838">
            <w:pPr>
              <w:spacing w:line="240" w:lineRule="auto"/>
            </w:pPr>
            <w:proofErr w:type="spellStart"/>
            <w:r w:rsidRPr="00295676">
              <w:rPr>
                <w:rFonts w:cs="Arial"/>
              </w:rPr>
              <w:t>Saric</w:t>
            </w:r>
            <w:proofErr w:type="spellEnd"/>
            <w:r w:rsidRPr="00295676">
              <w:rPr>
                <w:rFonts w:cs="Arial"/>
              </w:rPr>
              <w:t xml:space="preserve"> (2016)</w:t>
            </w:r>
            <w:r w:rsidRPr="003B75B0">
              <w:rPr>
                <w:rFonts w:cs="Arial"/>
                <w:noProof/>
                <w:vertAlign w:val="superscript"/>
              </w:rPr>
              <w:t>23</w:t>
            </w:r>
          </w:p>
        </w:tc>
        <w:tc>
          <w:tcPr>
            <w:tcW w:w="4394" w:type="dxa"/>
          </w:tcPr>
          <w:p w14:paraId="4C23E20D" w14:textId="77777777" w:rsidR="004559AD" w:rsidRPr="00295676" w:rsidRDefault="004559AD" w:rsidP="00C42838">
            <w:pPr>
              <w:spacing w:line="240" w:lineRule="auto"/>
            </w:pPr>
            <w:r w:rsidRPr="00295676">
              <w:rPr>
                <w:rFonts w:cs="Arial"/>
              </w:rPr>
              <w:t>Guidelines for the Use of Echocardiography in the Evaluation of a Cardiac Source of Embolism</w:t>
            </w:r>
          </w:p>
        </w:tc>
        <w:tc>
          <w:tcPr>
            <w:tcW w:w="3512" w:type="dxa"/>
          </w:tcPr>
          <w:p w14:paraId="17A3FA32" w14:textId="77777777" w:rsidR="004559AD" w:rsidRPr="00295676" w:rsidRDefault="004559AD" w:rsidP="00C42838">
            <w:pPr>
              <w:spacing w:line="240" w:lineRule="auto"/>
            </w:pPr>
            <w:r w:rsidRPr="00295676">
              <w:t>Based on an extensive literature review including all other relevant guidelines from the ASE and other national and international medical societies.</w:t>
            </w:r>
          </w:p>
        </w:tc>
      </w:tr>
      <w:tr w:rsidR="004559AD" w:rsidRPr="00295676" w14:paraId="05E0BD4B" w14:textId="77777777" w:rsidTr="00C42838">
        <w:tc>
          <w:tcPr>
            <w:tcW w:w="1190" w:type="dxa"/>
          </w:tcPr>
          <w:p w14:paraId="183D434B" w14:textId="77777777" w:rsidR="004559AD" w:rsidRPr="00295676" w:rsidRDefault="004559AD" w:rsidP="00C42838">
            <w:pPr>
              <w:spacing w:line="240" w:lineRule="auto"/>
            </w:pPr>
            <w:r w:rsidRPr="00295676">
              <w:t>UK</w:t>
            </w:r>
          </w:p>
        </w:tc>
        <w:tc>
          <w:tcPr>
            <w:tcW w:w="3058" w:type="dxa"/>
          </w:tcPr>
          <w:p w14:paraId="014B518B" w14:textId="77777777" w:rsidR="004559AD" w:rsidRPr="00295676" w:rsidRDefault="004559AD" w:rsidP="00C42838">
            <w:pPr>
              <w:spacing w:line="240" w:lineRule="auto"/>
              <w:rPr>
                <w:rFonts w:cs="Arial"/>
              </w:rPr>
            </w:pPr>
            <w:r w:rsidRPr="00295676">
              <w:rPr>
                <w:rFonts w:cs="Arial"/>
              </w:rPr>
              <w:t>Royal College of Physicians</w:t>
            </w:r>
          </w:p>
        </w:tc>
        <w:tc>
          <w:tcPr>
            <w:tcW w:w="1701" w:type="dxa"/>
          </w:tcPr>
          <w:p w14:paraId="4183E4F0" w14:textId="77777777" w:rsidR="004559AD" w:rsidRPr="00295676" w:rsidRDefault="004559AD" w:rsidP="00C42838">
            <w:pPr>
              <w:spacing w:line="240" w:lineRule="auto"/>
              <w:rPr>
                <w:rFonts w:cs="Arial"/>
              </w:rPr>
            </w:pPr>
            <w:r w:rsidRPr="00295676">
              <w:rPr>
                <w:rFonts w:cs="Arial"/>
              </w:rPr>
              <w:t>Intercollegiate Stroke Working Party (2016)</w:t>
            </w:r>
            <w:r w:rsidRPr="00902C82">
              <w:rPr>
                <w:rFonts w:cs="Arial"/>
                <w:noProof/>
                <w:vertAlign w:val="superscript"/>
              </w:rPr>
              <w:t>24</w:t>
            </w:r>
          </w:p>
        </w:tc>
        <w:tc>
          <w:tcPr>
            <w:tcW w:w="4394" w:type="dxa"/>
          </w:tcPr>
          <w:p w14:paraId="7BF2A1CD" w14:textId="77777777" w:rsidR="004559AD" w:rsidRPr="00295676" w:rsidRDefault="004559AD" w:rsidP="00C42838">
            <w:pPr>
              <w:spacing w:line="240" w:lineRule="auto"/>
              <w:rPr>
                <w:rFonts w:cs="Arial"/>
              </w:rPr>
            </w:pPr>
            <w:r w:rsidRPr="00295676">
              <w:rPr>
                <w:rFonts w:cs="Arial"/>
              </w:rPr>
              <w:t>National Clinical Guideline for Stroke</w:t>
            </w:r>
          </w:p>
          <w:p w14:paraId="2636403E" w14:textId="77777777" w:rsidR="004559AD" w:rsidRPr="00295676" w:rsidRDefault="004559AD" w:rsidP="00C42838">
            <w:pPr>
              <w:spacing w:line="240" w:lineRule="auto"/>
              <w:rPr>
                <w:rFonts w:cs="Arial"/>
              </w:rPr>
            </w:pPr>
          </w:p>
        </w:tc>
        <w:tc>
          <w:tcPr>
            <w:tcW w:w="3512" w:type="dxa"/>
          </w:tcPr>
          <w:p w14:paraId="0A4B4D4A" w14:textId="77777777" w:rsidR="004559AD" w:rsidRPr="00295676" w:rsidRDefault="004559AD" w:rsidP="00C42838">
            <w:pPr>
              <w:spacing w:line="240" w:lineRule="auto"/>
            </w:pPr>
            <w:r w:rsidRPr="00295676">
              <w:t>Systematic search.</w:t>
            </w:r>
          </w:p>
        </w:tc>
      </w:tr>
      <w:tr w:rsidR="004559AD" w:rsidRPr="00295676" w14:paraId="3ABC0FCB" w14:textId="77777777" w:rsidTr="00C42838">
        <w:tc>
          <w:tcPr>
            <w:tcW w:w="1190" w:type="dxa"/>
          </w:tcPr>
          <w:p w14:paraId="19CA9C92" w14:textId="77777777" w:rsidR="004559AD" w:rsidRPr="00295676" w:rsidRDefault="004559AD" w:rsidP="00C42838">
            <w:pPr>
              <w:spacing w:line="240" w:lineRule="auto"/>
            </w:pPr>
            <w:r w:rsidRPr="00295676">
              <w:lastRenderedPageBreak/>
              <w:t>Europe</w:t>
            </w:r>
          </w:p>
        </w:tc>
        <w:tc>
          <w:tcPr>
            <w:tcW w:w="3058" w:type="dxa"/>
          </w:tcPr>
          <w:p w14:paraId="0CE55AF8" w14:textId="77777777" w:rsidR="004559AD" w:rsidRPr="00295676" w:rsidRDefault="004559AD" w:rsidP="00C42838">
            <w:pPr>
              <w:spacing w:line="240" w:lineRule="auto"/>
            </w:pPr>
            <w:r w:rsidRPr="00295676">
              <w:rPr>
                <w:rFonts w:cs="Arial"/>
              </w:rPr>
              <w:t>European Society of Cardiology</w:t>
            </w:r>
          </w:p>
        </w:tc>
        <w:tc>
          <w:tcPr>
            <w:tcW w:w="1701" w:type="dxa"/>
          </w:tcPr>
          <w:p w14:paraId="55DF8BF9" w14:textId="77777777" w:rsidR="004559AD" w:rsidRPr="00295676" w:rsidRDefault="004559AD" w:rsidP="00C42838">
            <w:pPr>
              <w:spacing w:line="240" w:lineRule="auto"/>
              <w:rPr>
                <w:rFonts w:cs="Arial"/>
              </w:rPr>
            </w:pPr>
            <w:proofErr w:type="spellStart"/>
            <w:r w:rsidRPr="00295676">
              <w:rPr>
                <w:rFonts w:cs="Arial"/>
              </w:rPr>
              <w:t>Kirchhof</w:t>
            </w:r>
            <w:proofErr w:type="spellEnd"/>
            <w:r w:rsidRPr="00295676">
              <w:rPr>
                <w:rFonts w:cs="Arial"/>
              </w:rPr>
              <w:t xml:space="preserve"> (2016)</w:t>
            </w:r>
            <w:r w:rsidRPr="00902C82">
              <w:rPr>
                <w:rFonts w:cs="Arial"/>
                <w:noProof/>
                <w:vertAlign w:val="superscript"/>
              </w:rPr>
              <w:t>25</w:t>
            </w:r>
          </w:p>
        </w:tc>
        <w:tc>
          <w:tcPr>
            <w:tcW w:w="4394" w:type="dxa"/>
          </w:tcPr>
          <w:p w14:paraId="7C09ABEA" w14:textId="77777777" w:rsidR="004559AD" w:rsidRPr="00295676" w:rsidRDefault="004559AD" w:rsidP="00C42838">
            <w:pPr>
              <w:spacing w:line="240" w:lineRule="auto"/>
              <w:rPr>
                <w:rFonts w:cs="Arial"/>
              </w:rPr>
            </w:pPr>
            <w:r w:rsidRPr="00295676">
              <w:rPr>
                <w:rFonts w:cs="Arial"/>
              </w:rPr>
              <w:t>2016 ESC Guidelines for the management of atrial fibrillation developed in collaboration with EACTS</w:t>
            </w:r>
          </w:p>
        </w:tc>
        <w:tc>
          <w:tcPr>
            <w:tcW w:w="3512" w:type="dxa"/>
          </w:tcPr>
          <w:p w14:paraId="1A1535C2" w14:textId="77777777" w:rsidR="004559AD" w:rsidRPr="00295676" w:rsidRDefault="004559AD" w:rsidP="00C42838">
            <w:pPr>
              <w:spacing w:line="240" w:lineRule="auto"/>
            </w:pPr>
            <w:r w:rsidRPr="00295676">
              <w:t>Based on a comprehensive review of the published evidence for management (including diagnosis, treatment, prevention and rehabilitation) of a given condition.</w:t>
            </w:r>
          </w:p>
        </w:tc>
      </w:tr>
      <w:tr w:rsidR="004559AD" w:rsidRPr="00295676" w14:paraId="58BBCBCF" w14:textId="77777777" w:rsidTr="00C42838">
        <w:tc>
          <w:tcPr>
            <w:tcW w:w="1190" w:type="dxa"/>
          </w:tcPr>
          <w:p w14:paraId="5BB6C10D" w14:textId="77777777" w:rsidR="004559AD" w:rsidRPr="00295676" w:rsidRDefault="004559AD" w:rsidP="00C42838">
            <w:pPr>
              <w:spacing w:line="240" w:lineRule="auto"/>
            </w:pPr>
            <w:r w:rsidRPr="00295676">
              <w:t>Qatar</w:t>
            </w:r>
          </w:p>
        </w:tc>
        <w:tc>
          <w:tcPr>
            <w:tcW w:w="3058" w:type="dxa"/>
          </w:tcPr>
          <w:p w14:paraId="0D18F58E" w14:textId="77777777" w:rsidR="004559AD" w:rsidRPr="00295676" w:rsidRDefault="004559AD" w:rsidP="00C42838">
            <w:pPr>
              <w:spacing w:line="240" w:lineRule="auto"/>
              <w:rPr>
                <w:rFonts w:cs="Arial"/>
              </w:rPr>
            </w:pPr>
            <w:r w:rsidRPr="00295676">
              <w:rPr>
                <w:rFonts w:cs="Arial"/>
              </w:rPr>
              <w:t>Ministry of Public Health</w:t>
            </w:r>
          </w:p>
        </w:tc>
        <w:tc>
          <w:tcPr>
            <w:tcW w:w="1701" w:type="dxa"/>
          </w:tcPr>
          <w:p w14:paraId="1190F64C" w14:textId="77777777" w:rsidR="004559AD" w:rsidRPr="00295676" w:rsidRDefault="004559AD" w:rsidP="00C42838">
            <w:pPr>
              <w:spacing w:line="240" w:lineRule="auto"/>
              <w:rPr>
                <w:rFonts w:cs="Arial"/>
              </w:rPr>
            </w:pPr>
            <w:r w:rsidRPr="00295676">
              <w:rPr>
                <w:rFonts w:cs="Arial"/>
              </w:rPr>
              <w:t>n/a (2016)</w:t>
            </w:r>
            <w:r w:rsidRPr="00902C82">
              <w:rPr>
                <w:rFonts w:cs="Arial"/>
                <w:noProof/>
                <w:vertAlign w:val="superscript"/>
              </w:rPr>
              <w:t>26</w:t>
            </w:r>
          </w:p>
        </w:tc>
        <w:tc>
          <w:tcPr>
            <w:tcW w:w="4394" w:type="dxa"/>
          </w:tcPr>
          <w:p w14:paraId="01456D72" w14:textId="77777777" w:rsidR="004559AD" w:rsidRPr="00295676" w:rsidRDefault="004559AD" w:rsidP="00C42838">
            <w:pPr>
              <w:spacing w:line="240" w:lineRule="auto"/>
              <w:rPr>
                <w:rFonts w:cs="Arial"/>
              </w:rPr>
            </w:pPr>
            <w:r w:rsidRPr="00295676">
              <w:rPr>
                <w:rFonts w:cs="Arial"/>
              </w:rPr>
              <w:t>Clinical Guidelines for the State of Qatar: The diagnosis and management of Stroke and transient ischemic attack</w:t>
            </w:r>
          </w:p>
          <w:p w14:paraId="5F846BDB" w14:textId="77777777" w:rsidR="004559AD" w:rsidRPr="00295676" w:rsidRDefault="004559AD" w:rsidP="00C42838">
            <w:pPr>
              <w:spacing w:line="240" w:lineRule="auto"/>
              <w:rPr>
                <w:rFonts w:cs="Arial"/>
              </w:rPr>
            </w:pPr>
          </w:p>
        </w:tc>
        <w:tc>
          <w:tcPr>
            <w:tcW w:w="3512" w:type="dxa"/>
          </w:tcPr>
          <w:p w14:paraId="762A884C" w14:textId="77777777" w:rsidR="004559AD" w:rsidRPr="00295676" w:rsidRDefault="004559AD" w:rsidP="00C42838">
            <w:pPr>
              <w:spacing w:line="240" w:lineRule="auto"/>
            </w:pPr>
            <w:r w:rsidRPr="00295676">
              <w:t>Systematic search.</w:t>
            </w:r>
          </w:p>
        </w:tc>
      </w:tr>
      <w:tr w:rsidR="004559AD" w:rsidRPr="00295676" w14:paraId="57393277" w14:textId="77777777" w:rsidTr="00C42838">
        <w:tc>
          <w:tcPr>
            <w:tcW w:w="1190" w:type="dxa"/>
          </w:tcPr>
          <w:p w14:paraId="3786BC4F" w14:textId="77777777" w:rsidR="004559AD" w:rsidRPr="00295676" w:rsidRDefault="004559AD" w:rsidP="00C42838">
            <w:pPr>
              <w:spacing w:line="240" w:lineRule="auto"/>
            </w:pPr>
            <w:r w:rsidRPr="00295676">
              <w:t>Canada</w:t>
            </w:r>
          </w:p>
        </w:tc>
        <w:tc>
          <w:tcPr>
            <w:tcW w:w="3058" w:type="dxa"/>
          </w:tcPr>
          <w:p w14:paraId="46F3030F" w14:textId="77777777" w:rsidR="004559AD" w:rsidRPr="00295676" w:rsidRDefault="004559AD" w:rsidP="00C42838">
            <w:pPr>
              <w:spacing w:line="240" w:lineRule="auto"/>
            </w:pPr>
            <w:r w:rsidRPr="00295676">
              <w:rPr>
                <w:rFonts w:cs="Arial"/>
              </w:rPr>
              <w:t>Canadian Cardiovascular Society</w:t>
            </w:r>
          </w:p>
        </w:tc>
        <w:tc>
          <w:tcPr>
            <w:tcW w:w="1701" w:type="dxa"/>
          </w:tcPr>
          <w:p w14:paraId="73C9208D" w14:textId="77777777" w:rsidR="004559AD" w:rsidRPr="00295676" w:rsidRDefault="004559AD" w:rsidP="00C42838">
            <w:pPr>
              <w:spacing w:line="240" w:lineRule="auto"/>
            </w:pPr>
            <w:r w:rsidRPr="00295676">
              <w:rPr>
                <w:rFonts w:cs="Arial"/>
              </w:rPr>
              <w:t>Verma (2014)</w:t>
            </w:r>
            <w:r w:rsidRPr="00902C82">
              <w:rPr>
                <w:rFonts w:cs="Arial"/>
                <w:noProof/>
                <w:vertAlign w:val="superscript"/>
              </w:rPr>
              <w:t>27</w:t>
            </w:r>
          </w:p>
        </w:tc>
        <w:tc>
          <w:tcPr>
            <w:tcW w:w="4394" w:type="dxa"/>
          </w:tcPr>
          <w:p w14:paraId="05F2B3B8" w14:textId="77777777" w:rsidR="004559AD" w:rsidRPr="00295676" w:rsidRDefault="004559AD" w:rsidP="00C42838">
            <w:pPr>
              <w:spacing w:line="240" w:lineRule="auto"/>
              <w:rPr>
                <w:rFonts w:cs="Arial"/>
              </w:rPr>
            </w:pPr>
            <w:r w:rsidRPr="00295676">
              <w:rPr>
                <w:rFonts w:cs="Arial"/>
              </w:rPr>
              <w:t>2014 Focused Update of the Canadian Cardiovascular Society Guidelines for the Management of Atrial Fibrillation</w:t>
            </w:r>
          </w:p>
        </w:tc>
        <w:tc>
          <w:tcPr>
            <w:tcW w:w="3512" w:type="dxa"/>
          </w:tcPr>
          <w:p w14:paraId="4AE53BF0" w14:textId="77777777" w:rsidR="004559AD" w:rsidRPr="00295676" w:rsidRDefault="004559AD" w:rsidP="00C42838">
            <w:pPr>
              <w:spacing w:line="240" w:lineRule="auto"/>
            </w:pPr>
            <w:r w:rsidRPr="00295676">
              <w:t>Based on a thorough consideration of medical literature and the best available evidence and clinical experience.</w:t>
            </w:r>
          </w:p>
        </w:tc>
      </w:tr>
      <w:tr w:rsidR="004559AD" w:rsidRPr="00295676" w14:paraId="3CCF53E6" w14:textId="77777777" w:rsidTr="00C42838">
        <w:tc>
          <w:tcPr>
            <w:tcW w:w="1190" w:type="dxa"/>
          </w:tcPr>
          <w:p w14:paraId="4851D59F" w14:textId="77777777" w:rsidR="004559AD" w:rsidRPr="00295676" w:rsidRDefault="004559AD" w:rsidP="00C42838">
            <w:pPr>
              <w:spacing w:line="240" w:lineRule="auto"/>
            </w:pPr>
            <w:r w:rsidRPr="00295676">
              <w:t>UK</w:t>
            </w:r>
          </w:p>
        </w:tc>
        <w:tc>
          <w:tcPr>
            <w:tcW w:w="3058" w:type="dxa"/>
          </w:tcPr>
          <w:p w14:paraId="067D1F2A" w14:textId="77777777" w:rsidR="004559AD" w:rsidRPr="00295676" w:rsidRDefault="004559AD" w:rsidP="00C42838">
            <w:pPr>
              <w:spacing w:line="240" w:lineRule="auto"/>
              <w:rPr>
                <w:rFonts w:cs="Arial"/>
              </w:rPr>
            </w:pPr>
            <w:r w:rsidRPr="00295676">
              <w:rPr>
                <w:rFonts w:cs="Arial"/>
              </w:rPr>
              <w:t>National Institute for Health and Care Excellence</w:t>
            </w:r>
          </w:p>
        </w:tc>
        <w:tc>
          <w:tcPr>
            <w:tcW w:w="1701" w:type="dxa"/>
          </w:tcPr>
          <w:p w14:paraId="09213F0A" w14:textId="77777777" w:rsidR="004559AD" w:rsidRPr="00295676" w:rsidRDefault="004559AD" w:rsidP="00C42838">
            <w:pPr>
              <w:spacing w:line="240" w:lineRule="auto"/>
              <w:rPr>
                <w:rFonts w:cs="Arial"/>
              </w:rPr>
            </w:pPr>
            <w:r w:rsidRPr="00295676">
              <w:rPr>
                <w:rFonts w:cs="Arial"/>
              </w:rPr>
              <w:t>n/a (2014)</w:t>
            </w:r>
            <w:r w:rsidRPr="00902C82">
              <w:rPr>
                <w:rFonts w:cs="Arial"/>
                <w:noProof/>
                <w:vertAlign w:val="superscript"/>
              </w:rPr>
              <w:t>28</w:t>
            </w:r>
          </w:p>
        </w:tc>
        <w:tc>
          <w:tcPr>
            <w:tcW w:w="4394" w:type="dxa"/>
          </w:tcPr>
          <w:p w14:paraId="5B7C1FA0" w14:textId="77777777" w:rsidR="004559AD" w:rsidRPr="00295676" w:rsidRDefault="004559AD" w:rsidP="00C42838">
            <w:pPr>
              <w:spacing w:line="240" w:lineRule="auto"/>
              <w:rPr>
                <w:rFonts w:cs="Arial"/>
              </w:rPr>
            </w:pPr>
            <w:r w:rsidRPr="00295676">
              <w:rPr>
                <w:rFonts w:cs="Arial"/>
              </w:rPr>
              <w:t>Atrial fibrillation: management (CG180)</w:t>
            </w:r>
          </w:p>
        </w:tc>
        <w:tc>
          <w:tcPr>
            <w:tcW w:w="3512" w:type="dxa"/>
          </w:tcPr>
          <w:p w14:paraId="43D6116B" w14:textId="77777777" w:rsidR="004559AD" w:rsidRPr="00295676" w:rsidRDefault="004559AD" w:rsidP="00C42838">
            <w:pPr>
              <w:spacing w:line="240" w:lineRule="auto"/>
            </w:pPr>
            <w:r w:rsidRPr="00295676">
              <w:t>Systematic search.</w:t>
            </w:r>
          </w:p>
          <w:p w14:paraId="06671CFA" w14:textId="77777777" w:rsidR="004559AD" w:rsidRPr="00295676" w:rsidRDefault="004559AD" w:rsidP="00C42838">
            <w:pPr>
              <w:spacing w:line="240" w:lineRule="auto"/>
            </w:pPr>
            <w:r w:rsidRPr="00295676">
              <w:t>GRADE framework.</w:t>
            </w:r>
          </w:p>
        </w:tc>
      </w:tr>
      <w:tr w:rsidR="004559AD" w:rsidRPr="00295676" w14:paraId="18608101" w14:textId="77777777" w:rsidTr="00C42838">
        <w:tc>
          <w:tcPr>
            <w:tcW w:w="1190" w:type="dxa"/>
          </w:tcPr>
          <w:p w14:paraId="78D2776B" w14:textId="77777777" w:rsidR="004559AD" w:rsidRPr="00295676" w:rsidRDefault="004559AD" w:rsidP="00C42838">
            <w:pPr>
              <w:spacing w:line="240" w:lineRule="auto"/>
            </w:pPr>
            <w:r w:rsidRPr="00295676">
              <w:t>Brazil</w:t>
            </w:r>
          </w:p>
        </w:tc>
        <w:tc>
          <w:tcPr>
            <w:tcW w:w="3058" w:type="dxa"/>
          </w:tcPr>
          <w:p w14:paraId="3D3C2E0C" w14:textId="77777777" w:rsidR="004559AD" w:rsidRPr="00295676" w:rsidRDefault="004559AD" w:rsidP="00C42838">
            <w:pPr>
              <w:spacing w:line="240" w:lineRule="auto"/>
            </w:pPr>
            <w:r w:rsidRPr="00295676">
              <w:rPr>
                <w:rFonts w:cs="Arial"/>
              </w:rPr>
              <w:t>Brazilian Academy of Neurology</w:t>
            </w:r>
          </w:p>
        </w:tc>
        <w:tc>
          <w:tcPr>
            <w:tcW w:w="1701" w:type="dxa"/>
          </w:tcPr>
          <w:p w14:paraId="48BF44AC" w14:textId="77777777" w:rsidR="004559AD" w:rsidRPr="00295676" w:rsidRDefault="004559AD" w:rsidP="00C42838">
            <w:pPr>
              <w:spacing w:line="240" w:lineRule="auto"/>
            </w:pPr>
            <w:r w:rsidRPr="00295676">
              <w:rPr>
                <w:rFonts w:cs="Arial"/>
              </w:rPr>
              <w:t>Oliveira-Filho (2012)</w:t>
            </w:r>
            <w:r w:rsidRPr="00902C82">
              <w:rPr>
                <w:rFonts w:cs="Arial"/>
                <w:noProof/>
                <w:vertAlign w:val="superscript"/>
              </w:rPr>
              <w:t>29</w:t>
            </w:r>
          </w:p>
        </w:tc>
        <w:tc>
          <w:tcPr>
            <w:tcW w:w="4394" w:type="dxa"/>
          </w:tcPr>
          <w:p w14:paraId="6CBA4ACE" w14:textId="77777777" w:rsidR="004559AD" w:rsidRPr="00295676" w:rsidRDefault="004559AD" w:rsidP="00C42838">
            <w:pPr>
              <w:spacing w:line="240" w:lineRule="auto"/>
              <w:rPr>
                <w:rFonts w:cs="Arial"/>
              </w:rPr>
            </w:pPr>
            <w:r w:rsidRPr="00295676">
              <w:rPr>
                <w:rFonts w:cs="Arial"/>
              </w:rPr>
              <w:t>Guidelines for acute ischemic stroke treatment - part I</w:t>
            </w:r>
          </w:p>
        </w:tc>
        <w:tc>
          <w:tcPr>
            <w:tcW w:w="3512" w:type="dxa"/>
          </w:tcPr>
          <w:p w14:paraId="41D4B640" w14:textId="77777777" w:rsidR="004559AD" w:rsidRPr="00295676" w:rsidRDefault="004559AD" w:rsidP="00C42838">
            <w:pPr>
              <w:spacing w:line="240" w:lineRule="auto"/>
            </w:pPr>
            <w:r w:rsidRPr="00295676">
              <w:t>Members from Brazilian stroke society participated in web-based discussion forum with pre-defined themes, followed by a formal onsite meeting.</w:t>
            </w:r>
          </w:p>
        </w:tc>
      </w:tr>
      <w:tr w:rsidR="004559AD" w:rsidRPr="00295676" w14:paraId="49399474" w14:textId="77777777" w:rsidTr="00C42838">
        <w:tc>
          <w:tcPr>
            <w:tcW w:w="1190" w:type="dxa"/>
          </w:tcPr>
          <w:p w14:paraId="4941CF57" w14:textId="77777777" w:rsidR="004559AD" w:rsidRPr="00295676" w:rsidRDefault="004559AD" w:rsidP="00C42838">
            <w:pPr>
              <w:spacing w:line="240" w:lineRule="auto"/>
            </w:pPr>
            <w:r w:rsidRPr="00295676">
              <w:t>Malaysia</w:t>
            </w:r>
          </w:p>
        </w:tc>
        <w:tc>
          <w:tcPr>
            <w:tcW w:w="3058" w:type="dxa"/>
          </w:tcPr>
          <w:p w14:paraId="7CBC1D7C" w14:textId="77777777" w:rsidR="004559AD" w:rsidRPr="00295676" w:rsidRDefault="004559AD" w:rsidP="00C42838">
            <w:pPr>
              <w:spacing w:line="240" w:lineRule="auto"/>
              <w:rPr>
                <w:rFonts w:cs="Arial"/>
              </w:rPr>
            </w:pPr>
            <w:r w:rsidRPr="00295676">
              <w:rPr>
                <w:rFonts w:cs="Arial"/>
              </w:rPr>
              <w:t>Ministry of Health Malaysia, Academy of Medicine Malaysia, Malaysian Society of Neurosciences</w:t>
            </w:r>
          </w:p>
        </w:tc>
        <w:tc>
          <w:tcPr>
            <w:tcW w:w="1701" w:type="dxa"/>
          </w:tcPr>
          <w:p w14:paraId="57C418EE" w14:textId="77777777" w:rsidR="004559AD" w:rsidRPr="00295676" w:rsidRDefault="004559AD" w:rsidP="00C42838">
            <w:pPr>
              <w:spacing w:line="240" w:lineRule="auto"/>
              <w:rPr>
                <w:rFonts w:cs="Arial"/>
              </w:rPr>
            </w:pPr>
            <w:r w:rsidRPr="00295676">
              <w:rPr>
                <w:rFonts w:cs="Arial"/>
              </w:rPr>
              <w:t>n/a (2012)</w:t>
            </w:r>
            <w:r w:rsidRPr="00902C82">
              <w:rPr>
                <w:rFonts w:cs="Arial"/>
                <w:noProof/>
                <w:vertAlign w:val="superscript"/>
              </w:rPr>
              <w:t>30</w:t>
            </w:r>
          </w:p>
        </w:tc>
        <w:tc>
          <w:tcPr>
            <w:tcW w:w="4394" w:type="dxa"/>
          </w:tcPr>
          <w:p w14:paraId="18FD381B" w14:textId="77777777" w:rsidR="004559AD" w:rsidRPr="00295676" w:rsidRDefault="004559AD" w:rsidP="00C42838">
            <w:pPr>
              <w:spacing w:line="240" w:lineRule="auto"/>
              <w:rPr>
                <w:rFonts w:cs="Arial"/>
              </w:rPr>
            </w:pPr>
            <w:r w:rsidRPr="00295676">
              <w:rPr>
                <w:rFonts w:cs="Arial"/>
              </w:rPr>
              <w:t xml:space="preserve">Management </w:t>
            </w:r>
            <w:proofErr w:type="gramStart"/>
            <w:r w:rsidRPr="00295676">
              <w:rPr>
                <w:rFonts w:cs="Arial"/>
              </w:rPr>
              <w:t>Of</w:t>
            </w:r>
            <w:proofErr w:type="gramEnd"/>
            <w:r w:rsidRPr="00295676">
              <w:rPr>
                <w:rFonts w:cs="Arial"/>
              </w:rPr>
              <w:t xml:space="preserve"> Ischaemic Stroke (2nd Edition)</w:t>
            </w:r>
          </w:p>
        </w:tc>
        <w:tc>
          <w:tcPr>
            <w:tcW w:w="3512" w:type="dxa"/>
          </w:tcPr>
          <w:p w14:paraId="455E2EE3" w14:textId="77777777" w:rsidR="004559AD" w:rsidRPr="00295676" w:rsidRDefault="004559AD" w:rsidP="00C42838">
            <w:pPr>
              <w:spacing w:line="240" w:lineRule="auto"/>
            </w:pPr>
            <w:r w:rsidRPr="00295676">
              <w:t>A standard methodology based on a systematic review of current evidence was used to look at the literature.</w:t>
            </w:r>
          </w:p>
        </w:tc>
      </w:tr>
      <w:tr w:rsidR="004559AD" w:rsidRPr="00295676" w14:paraId="5B8CC3A6" w14:textId="77777777" w:rsidTr="00C42838">
        <w:tc>
          <w:tcPr>
            <w:tcW w:w="1190" w:type="dxa"/>
          </w:tcPr>
          <w:p w14:paraId="410105C0" w14:textId="77777777" w:rsidR="004559AD" w:rsidRPr="00295676" w:rsidRDefault="004559AD" w:rsidP="00C42838">
            <w:pPr>
              <w:spacing w:line="240" w:lineRule="auto"/>
            </w:pPr>
            <w:r w:rsidRPr="00295676">
              <w:lastRenderedPageBreak/>
              <w:t>South Africa</w:t>
            </w:r>
          </w:p>
        </w:tc>
        <w:tc>
          <w:tcPr>
            <w:tcW w:w="3058" w:type="dxa"/>
          </w:tcPr>
          <w:p w14:paraId="5F4667E5" w14:textId="77777777" w:rsidR="004559AD" w:rsidRPr="00295676" w:rsidRDefault="004559AD" w:rsidP="00C42838">
            <w:pPr>
              <w:spacing w:line="240" w:lineRule="auto"/>
              <w:rPr>
                <w:rFonts w:cs="Arial"/>
              </w:rPr>
            </w:pPr>
            <w:r w:rsidRPr="00295676">
              <w:rPr>
                <w:rFonts w:cs="Arial"/>
              </w:rPr>
              <w:t>South African Stroke Society (SASS) and the SASS Writing Committee</w:t>
            </w:r>
          </w:p>
        </w:tc>
        <w:tc>
          <w:tcPr>
            <w:tcW w:w="1701" w:type="dxa"/>
          </w:tcPr>
          <w:p w14:paraId="2B0CB188" w14:textId="77777777" w:rsidR="004559AD" w:rsidRPr="00295676" w:rsidRDefault="004559AD" w:rsidP="00C42838">
            <w:pPr>
              <w:spacing w:line="240" w:lineRule="auto"/>
              <w:rPr>
                <w:rFonts w:cs="Arial"/>
              </w:rPr>
            </w:pPr>
            <w:proofErr w:type="spellStart"/>
            <w:r w:rsidRPr="00295676">
              <w:rPr>
                <w:rFonts w:cs="Arial"/>
              </w:rPr>
              <w:t>Bryer</w:t>
            </w:r>
            <w:proofErr w:type="spellEnd"/>
            <w:r w:rsidRPr="00295676">
              <w:rPr>
                <w:rFonts w:cs="Arial"/>
              </w:rPr>
              <w:t xml:space="preserve"> (2010)</w:t>
            </w:r>
            <w:r w:rsidRPr="00902C82">
              <w:rPr>
                <w:rFonts w:cs="Arial"/>
                <w:noProof/>
                <w:vertAlign w:val="superscript"/>
              </w:rPr>
              <w:t>31</w:t>
            </w:r>
          </w:p>
        </w:tc>
        <w:tc>
          <w:tcPr>
            <w:tcW w:w="4394" w:type="dxa"/>
          </w:tcPr>
          <w:p w14:paraId="2103731E" w14:textId="77777777" w:rsidR="004559AD" w:rsidRPr="00295676" w:rsidRDefault="004559AD" w:rsidP="00C42838">
            <w:pPr>
              <w:spacing w:line="240" w:lineRule="auto"/>
              <w:rPr>
                <w:rFonts w:cs="Arial"/>
              </w:rPr>
            </w:pPr>
            <w:r w:rsidRPr="00295676">
              <w:rPr>
                <w:rFonts w:cs="Arial"/>
              </w:rPr>
              <w:t>South African guideline for management of ischaemic stroke and transient ischaemic attack 2010: a guideline from the South African Stroke Society (SASS) and the SASS Writing Committee.</w:t>
            </w:r>
          </w:p>
          <w:p w14:paraId="1C640F08" w14:textId="77777777" w:rsidR="004559AD" w:rsidRPr="00295676" w:rsidRDefault="004559AD" w:rsidP="00C42838">
            <w:pPr>
              <w:spacing w:line="240" w:lineRule="auto"/>
              <w:rPr>
                <w:rFonts w:cs="Arial"/>
              </w:rPr>
            </w:pPr>
          </w:p>
        </w:tc>
        <w:tc>
          <w:tcPr>
            <w:tcW w:w="3512" w:type="dxa"/>
          </w:tcPr>
          <w:p w14:paraId="45A1642C" w14:textId="77777777" w:rsidR="004559AD" w:rsidRPr="00295676" w:rsidRDefault="004559AD" w:rsidP="00C42838">
            <w:pPr>
              <w:spacing w:line="240" w:lineRule="auto"/>
            </w:pPr>
            <w:r w:rsidRPr="00295676">
              <w:t>Authors were nominated by consensus to write chapters of the Guideline. Submissions were first discussed in a meeting of the Stroke Guideline Writing Committee.</w:t>
            </w:r>
          </w:p>
        </w:tc>
      </w:tr>
      <w:tr w:rsidR="004559AD" w:rsidRPr="00295676" w14:paraId="7693055E" w14:textId="77777777" w:rsidTr="00C42838">
        <w:tc>
          <w:tcPr>
            <w:tcW w:w="1190" w:type="dxa"/>
          </w:tcPr>
          <w:p w14:paraId="423AA513" w14:textId="77777777" w:rsidR="004559AD" w:rsidRPr="00295676" w:rsidRDefault="004559AD" w:rsidP="00C42838">
            <w:pPr>
              <w:spacing w:line="240" w:lineRule="auto"/>
            </w:pPr>
            <w:r w:rsidRPr="00295676">
              <w:t>Singapore</w:t>
            </w:r>
          </w:p>
        </w:tc>
        <w:tc>
          <w:tcPr>
            <w:tcW w:w="3058" w:type="dxa"/>
          </w:tcPr>
          <w:p w14:paraId="5EDBA7B6" w14:textId="77777777" w:rsidR="004559AD" w:rsidRPr="00295676" w:rsidRDefault="004559AD" w:rsidP="00C42838">
            <w:pPr>
              <w:spacing w:line="240" w:lineRule="auto"/>
              <w:rPr>
                <w:rFonts w:cs="Arial"/>
              </w:rPr>
            </w:pPr>
            <w:r w:rsidRPr="00295676">
              <w:rPr>
                <w:rFonts w:cs="Arial"/>
              </w:rPr>
              <w:t>Ministry of Health</w:t>
            </w:r>
          </w:p>
        </w:tc>
        <w:tc>
          <w:tcPr>
            <w:tcW w:w="1701" w:type="dxa"/>
          </w:tcPr>
          <w:p w14:paraId="2BBDDAD8" w14:textId="77777777" w:rsidR="004559AD" w:rsidRPr="00295676" w:rsidRDefault="004559AD" w:rsidP="00C42838">
            <w:pPr>
              <w:spacing w:line="240" w:lineRule="auto"/>
              <w:rPr>
                <w:rFonts w:cs="Arial"/>
              </w:rPr>
            </w:pPr>
            <w:r w:rsidRPr="00295676">
              <w:rPr>
                <w:rFonts w:cs="Arial"/>
              </w:rPr>
              <w:t>n/a (2009)</w:t>
            </w:r>
            <w:r w:rsidRPr="00902C82">
              <w:rPr>
                <w:rFonts w:cs="Arial"/>
                <w:noProof/>
                <w:vertAlign w:val="superscript"/>
              </w:rPr>
              <w:t>32</w:t>
            </w:r>
          </w:p>
        </w:tc>
        <w:tc>
          <w:tcPr>
            <w:tcW w:w="4394" w:type="dxa"/>
          </w:tcPr>
          <w:p w14:paraId="2D814F43" w14:textId="77777777" w:rsidR="004559AD" w:rsidRPr="00295676" w:rsidRDefault="004559AD" w:rsidP="00C42838">
            <w:pPr>
              <w:spacing w:line="240" w:lineRule="auto"/>
              <w:rPr>
                <w:rFonts w:cs="Arial"/>
              </w:rPr>
            </w:pPr>
            <w:r w:rsidRPr="00295676">
              <w:rPr>
                <w:rFonts w:cs="Arial"/>
              </w:rPr>
              <w:t>Stroke and Transient Ischaemic Attacks. Assessment, Investigation, Immediate Management and Secondary Prevention.</w:t>
            </w:r>
          </w:p>
        </w:tc>
        <w:tc>
          <w:tcPr>
            <w:tcW w:w="3512" w:type="dxa"/>
          </w:tcPr>
          <w:p w14:paraId="54CA790F" w14:textId="77777777" w:rsidR="004559AD" w:rsidRPr="00295676" w:rsidRDefault="004559AD" w:rsidP="00C42838">
            <w:pPr>
              <w:spacing w:line="240" w:lineRule="auto"/>
            </w:pPr>
            <w:r w:rsidRPr="00295676">
              <w:t>Based on the Scottish Intercollegiate Guidelines Network’s Clinical Practice Guidelines on the Management of Patients with Stroke. These guidelines were reviewed and modified to meet local needs.</w:t>
            </w:r>
          </w:p>
        </w:tc>
      </w:tr>
      <w:tr w:rsidR="004559AD" w:rsidRPr="00295676" w14:paraId="59522E0F" w14:textId="77777777" w:rsidTr="00C42838">
        <w:tc>
          <w:tcPr>
            <w:tcW w:w="13855" w:type="dxa"/>
            <w:gridSpan w:val="5"/>
          </w:tcPr>
          <w:p w14:paraId="0141EDF3" w14:textId="77777777" w:rsidR="004559AD" w:rsidRPr="00295676" w:rsidRDefault="004559AD" w:rsidP="00C42838">
            <w:pPr>
              <w:spacing w:line="240" w:lineRule="auto"/>
              <w:rPr>
                <w:b/>
              </w:rPr>
            </w:pPr>
            <w:r w:rsidRPr="00295676">
              <w:rPr>
                <w:b/>
              </w:rPr>
              <w:t>Scientific statements and consensus documents</w:t>
            </w:r>
          </w:p>
        </w:tc>
      </w:tr>
      <w:tr w:rsidR="004559AD" w:rsidRPr="00295676" w14:paraId="2055D6A3" w14:textId="77777777" w:rsidTr="00C42838">
        <w:tc>
          <w:tcPr>
            <w:tcW w:w="1190" w:type="dxa"/>
          </w:tcPr>
          <w:p w14:paraId="40BDEACA" w14:textId="77777777" w:rsidR="004559AD" w:rsidRPr="00295676" w:rsidRDefault="004559AD" w:rsidP="00C42838">
            <w:pPr>
              <w:spacing w:line="240" w:lineRule="auto"/>
            </w:pPr>
            <w:r w:rsidRPr="00295676">
              <w:t>Europe</w:t>
            </w:r>
          </w:p>
        </w:tc>
        <w:tc>
          <w:tcPr>
            <w:tcW w:w="3058" w:type="dxa"/>
          </w:tcPr>
          <w:p w14:paraId="50E5178E" w14:textId="77777777" w:rsidR="004559AD" w:rsidRPr="00295676" w:rsidRDefault="004559AD" w:rsidP="00C42838">
            <w:pPr>
              <w:spacing w:line="240" w:lineRule="auto"/>
              <w:rPr>
                <w:rFonts w:cs="Arial"/>
              </w:rPr>
            </w:pPr>
            <w:r w:rsidRPr="00295676">
              <w:rPr>
                <w:rFonts w:cs="Arial"/>
              </w:rPr>
              <w:t>European Heart Rhythm Association</w:t>
            </w:r>
          </w:p>
        </w:tc>
        <w:tc>
          <w:tcPr>
            <w:tcW w:w="1701" w:type="dxa"/>
          </w:tcPr>
          <w:p w14:paraId="7FC58A0F" w14:textId="77777777" w:rsidR="004559AD" w:rsidRPr="00295676" w:rsidRDefault="004559AD" w:rsidP="00C42838">
            <w:pPr>
              <w:spacing w:line="240" w:lineRule="auto"/>
              <w:rPr>
                <w:rFonts w:cs="Arial"/>
              </w:rPr>
            </w:pPr>
            <w:proofErr w:type="spellStart"/>
            <w:r w:rsidRPr="00295676">
              <w:rPr>
                <w:rFonts w:cs="Arial"/>
              </w:rPr>
              <w:t>Gorenek</w:t>
            </w:r>
            <w:proofErr w:type="spellEnd"/>
            <w:r w:rsidRPr="00295676">
              <w:rPr>
                <w:rFonts w:cs="Arial"/>
              </w:rPr>
              <w:t xml:space="preserve"> (2017)</w:t>
            </w:r>
            <w:r w:rsidRPr="003B75B0">
              <w:rPr>
                <w:rFonts w:cs="Arial"/>
                <w:noProof/>
                <w:vertAlign w:val="superscript"/>
              </w:rPr>
              <w:t>33</w:t>
            </w:r>
          </w:p>
        </w:tc>
        <w:tc>
          <w:tcPr>
            <w:tcW w:w="4394" w:type="dxa"/>
          </w:tcPr>
          <w:p w14:paraId="584E5BBB" w14:textId="77777777" w:rsidR="004559AD" w:rsidRPr="00295676" w:rsidRDefault="004559AD" w:rsidP="00C42838">
            <w:pPr>
              <w:spacing w:line="240" w:lineRule="auto"/>
              <w:rPr>
                <w:rFonts w:cs="Arial"/>
              </w:rPr>
            </w:pPr>
            <w:r w:rsidRPr="00295676">
              <w:rPr>
                <w:rFonts w:cs="Arial"/>
              </w:rPr>
              <w:t>Device-detected subclinical atrial tachyarrhythmias: definition, implications and management—</w:t>
            </w:r>
            <w:proofErr w:type="gramStart"/>
            <w:r w:rsidRPr="00295676">
              <w:rPr>
                <w:rFonts w:cs="Arial"/>
              </w:rPr>
              <w:t>an</w:t>
            </w:r>
            <w:proofErr w:type="gramEnd"/>
            <w:r w:rsidRPr="00295676">
              <w:rPr>
                <w:rFonts w:cs="Arial"/>
              </w:rPr>
              <w:t xml:space="preserve"> European Heart Rhythm Association (EHRA) consensus document, endorsed by Heart </w:t>
            </w:r>
            <w:proofErr w:type="spellStart"/>
            <w:r w:rsidRPr="00295676">
              <w:rPr>
                <w:rFonts w:cs="Arial"/>
              </w:rPr>
              <w:t>RhythmSociety</w:t>
            </w:r>
            <w:proofErr w:type="spellEnd"/>
            <w:r w:rsidRPr="00295676">
              <w:rPr>
                <w:rFonts w:cs="Arial"/>
              </w:rPr>
              <w:t xml:space="preserve"> (HRS), Asia Pacific Heart Rhythm Society (APHRS) and </w:t>
            </w:r>
            <w:proofErr w:type="spellStart"/>
            <w:r w:rsidRPr="00295676">
              <w:rPr>
                <w:rFonts w:cs="Arial"/>
              </w:rPr>
              <w:t>Sociedad</w:t>
            </w:r>
            <w:proofErr w:type="spellEnd"/>
            <w:r w:rsidRPr="00295676">
              <w:rPr>
                <w:rFonts w:cs="Arial"/>
              </w:rPr>
              <w:t xml:space="preserve"> </w:t>
            </w:r>
            <w:proofErr w:type="spellStart"/>
            <w:r w:rsidRPr="00295676">
              <w:rPr>
                <w:rFonts w:cs="Arial"/>
              </w:rPr>
              <w:t>Latinoamericana</w:t>
            </w:r>
            <w:proofErr w:type="spellEnd"/>
            <w:r w:rsidRPr="00295676">
              <w:rPr>
                <w:rFonts w:cs="Arial"/>
              </w:rPr>
              <w:t xml:space="preserve"> de </w:t>
            </w:r>
            <w:proofErr w:type="spellStart"/>
            <w:r w:rsidRPr="00295676">
              <w:rPr>
                <w:rFonts w:cs="Arial"/>
              </w:rPr>
              <w:t>Estimulaci</w:t>
            </w:r>
            <w:r w:rsidRPr="00295676">
              <w:rPr>
                <w:rFonts w:cs="Times New Roman"/>
              </w:rPr>
              <w:t>óí</w:t>
            </w:r>
            <w:r w:rsidRPr="00295676">
              <w:rPr>
                <w:rFonts w:cs="Arial"/>
              </w:rPr>
              <w:t>n</w:t>
            </w:r>
            <w:proofErr w:type="spellEnd"/>
            <w:r w:rsidRPr="00295676">
              <w:rPr>
                <w:rFonts w:cs="Arial"/>
              </w:rPr>
              <w:t xml:space="preserve"> </w:t>
            </w:r>
            <w:proofErr w:type="spellStart"/>
            <w:r w:rsidRPr="00295676">
              <w:rPr>
                <w:rFonts w:cs="Arial"/>
              </w:rPr>
              <w:t>Card</w:t>
            </w:r>
            <w:r w:rsidRPr="00295676">
              <w:rPr>
                <w:rFonts w:cs="Times New Roman"/>
              </w:rPr>
              <w:t>í</w:t>
            </w:r>
            <w:r w:rsidRPr="00295676">
              <w:rPr>
                <w:rFonts w:cs="Arial"/>
              </w:rPr>
              <w:t>aca</w:t>
            </w:r>
            <w:proofErr w:type="spellEnd"/>
            <w:r w:rsidRPr="00295676">
              <w:rPr>
                <w:rFonts w:cs="Arial"/>
              </w:rPr>
              <w:t xml:space="preserve"> y </w:t>
            </w:r>
            <w:proofErr w:type="spellStart"/>
            <w:r w:rsidRPr="00295676">
              <w:rPr>
                <w:rFonts w:cs="Arial"/>
              </w:rPr>
              <w:t>Electrofisiolog</w:t>
            </w:r>
            <w:r w:rsidRPr="00295676">
              <w:rPr>
                <w:rFonts w:cs="Times New Roman"/>
              </w:rPr>
              <w:t>í</w:t>
            </w:r>
            <w:r w:rsidRPr="00295676">
              <w:rPr>
                <w:rFonts w:cs="Arial"/>
              </w:rPr>
              <w:t>a</w:t>
            </w:r>
            <w:proofErr w:type="spellEnd"/>
            <w:r w:rsidRPr="00295676">
              <w:rPr>
                <w:rFonts w:cs="Arial"/>
              </w:rPr>
              <w:t xml:space="preserve"> (SOLEACE)</w:t>
            </w:r>
          </w:p>
        </w:tc>
        <w:tc>
          <w:tcPr>
            <w:tcW w:w="3512" w:type="dxa"/>
          </w:tcPr>
          <w:p w14:paraId="5121FF8E" w14:textId="77777777" w:rsidR="004559AD" w:rsidRPr="00295676" w:rsidRDefault="004559AD" w:rsidP="00C42838">
            <w:pPr>
              <w:spacing w:line="240" w:lineRule="auto"/>
            </w:pPr>
            <w:r w:rsidRPr="00295676">
              <w:t>This is evidence-based, and derived primarily from published data.</w:t>
            </w:r>
          </w:p>
        </w:tc>
      </w:tr>
      <w:tr w:rsidR="004559AD" w:rsidRPr="00295676" w14:paraId="63F811A9" w14:textId="77777777" w:rsidTr="00C42838">
        <w:tc>
          <w:tcPr>
            <w:tcW w:w="1190" w:type="dxa"/>
          </w:tcPr>
          <w:p w14:paraId="1817DBD9" w14:textId="77777777" w:rsidR="004559AD" w:rsidRPr="00295676" w:rsidRDefault="004559AD" w:rsidP="00C42838">
            <w:pPr>
              <w:spacing w:line="240" w:lineRule="auto"/>
            </w:pPr>
            <w:r w:rsidRPr="00295676">
              <w:t>India</w:t>
            </w:r>
          </w:p>
        </w:tc>
        <w:tc>
          <w:tcPr>
            <w:tcW w:w="3058" w:type="dxa"/>
          </w:tcPr>
          <w:p w14:paraId="6659C2E3" w14:textId="77777777" w:rsidR="004559AD" w:rsidRPr="00295676" w:rsidRDefault="004559AD" w:rsidP="00C42838">
            <w:pPr>
              <w:spacing w:line="240" w:lineRule="auto"/>
              <w:rPr>
                <w:rFonts w:cs="Arial"/>
              </w:rPr>
            </w:pPr>
            <w:r w:rsidRPr="00295676">
              <w:rPr>
                <w:rFonts w:cs="Arial"/>
              </w:rPr>
              <w:t>Indian Stroke Association</w:t>
            </w:r>
          </w:p>
          <w:p w14:paraId="1C965B01" w14:textId="77777777" w:rsidR="004559AD" w:rsidRPr="00295676" w:rsidRDefault="004559AD" w:rsidP="00C42838">
            <w:pPr>
              <w:spacing w:line="240" w:lineRule="auto"/>
            </w:pPr>
          </w:p>
        </w:tc>
        <w:tc>
          <w:tcPr>
            <w:tcW w:w="1701" w:type="dxa"/>
          </w:tcPr>
          <w:p w14:paraId="4F2DF55A" w14:textId="77777777" w:rsidR="004559AD" w:rsidRPr="00295676" w:rsidRDefault="004559AD" w:rsidP="00C42838">
            <w:pPr>
              <w:spacing w:line="240" w:lineRule="auto"/>
              <w:rPr>
                <w:rFonts w:cs="Arial"/>
              </w:rPr>
            </w:pPr>
            <w:r w:rsidRPr="00295676">
              <w:rPr>
                <w:rFonts w:cs="Arial"/>
              </w:rPr>
              <w:t>Prasad (2014)</w:t>
            </w:r>
            <w:r w:rsidRPr="00902C82">
              <w:rPr>
                <w:rFonts w:cs="Arial"/>
                <w:noProof/>
                <w:vertAlign w:val="superscript"/>
              </w:rPr>
              <w:t>34</w:t>
            </w:r>
          </w:p>
        </w:tc>
        <w:tc>
          <w:tcPr>
            <w:tcW w:w="4394" w:type="dxa"/>
          </w:tcPr>
          <w:p w14:paraId="312A5C2E" w14:textId="77777777" w:rsidR="004559AD" w:rsidRPr="00295676" w:rsidRDefault="004559AD" w:rsidP="00C42838">
            <w:pPr>
              <w:spacing w:line="240" w:lineRule="auto"/>
              <w:rPr>
                <w:rFonts w:cs="Arial"/>
              </w:rPr>
            </w:pPr>
            <w:r w:rsidRPr="00295676">
              <w:rPr>
                <w:rFonts w:cs="Arial"/>
              </w:rPr>
              <w:t xml:space="preserve">Recommendations for the Early Management of Acute Ischemic Stroke: A Consensus Statement for Healthcare </w:t>
            </w:r>
            <w:r w:rsidRPr="00295676">
              <w:rPr>
                <w:rFonts w:cs="Arial"/>
              </w:rPr>
              <w:lastRenderedPageBreak/>
              <w:t>Professionals from the Indian Stroke Association</w:t>
            </w:r>
          </w:p>
        </w:tc>
        <w:tc>
          <w:tcPr>
            <w:tcW w:w="3512" w:type="dxa"/>
          </w:tcPr>
          <w:p w14:paraId="411F2C6C" w14:textId="77777777" w:rsidR="004559AD" w:rsidRPr="00295676" w:rsidRDefault="004559AD" w:rsidP="00C42838">
            <w:pPr>
              <w:spacing w:line="240" w:lineRule="auto"/>
            </w:pPr>
            <w:r w:rsidRPr="00295676">
              <w:lastRenderedPageBreak/>
              <w:t xml:space="preserve">Systematic literature reviews, clinical and epidemiology study publications, and clinical and public health guidelines were used to summarize the existing </w:t>
            </w:r>
            <w:r w:rsidRPr="00295676">
              <w:lastRenderedPageBreak/>
              <w:t>evidence and indicate gaps in the current knowledge and, when appropriate, formulate the recommendations.</w:t>
            </w:r>
          </w:p>
        </w:tc>
      </w:tr>
      <w:tr w:rsidR="004559AD" w:rsidRPr="00295676" w14:paraId="7FA8110C" w14:textId="77777777" w:rsidTr="00C42838">
        <w:tc>
          <w:tcPr>
            <w:tcW w:w="1190" w:type="dxa"/>
          </w:tcPr>
          <w:p w14:paraId="3ECA65D9" w14:textId="77777777" w:rsidR="004559AD" w:rsidRPr="00295676" w:rsidRDefault="004559AD" w:rsidP="00C42838">
            <w:pPr>
              <w:spacing w:line="240" w:lineRule="auto"/>
            </w:pPr>
            <w:r w:rsidRPr="00295676">
              <w:lastRenderedPageBreak/>
              <w:t>USA</w:t>
            </w:r>
          </w:p>
        </w:tc>
        <w:tc>
          <w:tcPr>
            <w:tcW w:w="3058" w:type="dxa"/>
          </w:tcPr>
          <w:p w14:paraId="75B20D6C" w14:textId="77777777" w:rsidR="004559AD" w:rsidRPr="00295676" w:rsidRDefault="004559AD" w:rsidP="00C42838">
            <w:pPr>
              <w:spacing w:line="240" w:lineRule="auto"/>
              <w:rPr>
                <w:rFonts w:cs="Arial"/>
              </w:rPr>
            </w:pPr>
            <w:r w:rsidRPr="00295676">
              <w:rPr>
                <w:rFonts w:cs="Arial"/>
              </w:rPr>
              <w:t>American Society of Neuroradiology</w:t>
            </w:r>
          </w:p>
        </w:tc>
        <w:tc>
          <w:tcPr>
            <w:tcW w:w="1701" w:type="dxa"/>
          </w:tcPr>
          <w:p w14:paraId="4AB9CF09" w14:textId="77777777" w:rsidR="004559AD" w:rsidRPr="00295676" w:rsidRDefault="004559AD" w:rsidP="00C42838">
            <w:pPr>
              <w:spacing w:line="240" w:lineRule="auto"/>
              <w:rPr>
                <w:rFonts w:cs="Arial"/>
              </w:rPr>
            </w:pPr>
            <w:proofErr w:type="spellStart"/>
            <w:r w:rsidRPr="00295676">
              <w:rPr>
                <w:rFonts w:cs="Arial"/>
              </w:rPr>
              <w:t>Wintermark</w:t>
            </w:r>
            <w:proofErr w:type="spellEnd"/>
            <w:r w:rsidRPr="00295676">
              <w:rPr>
                <w:rFonts w:cs="Arial"/>
              </w:rPr>
              <w:t xml:space="preserve"> (2013)</w:t>
            </w:r>
            <w:r w:rsidRPr="00902C82">
              <w:rPr>
                <w:rFonts w:cs="Arial"/>
                <w:noProof/>
                <w:vertAlign w:val="superscript"/>
              </w:rPr>
              <w:t>35</w:t>
            </w:r>
          </w:p>
        </w:tc>
        <w:tc>
          <w:tcPr>
            <w:tcW w:w="4394" w:type="dxa"/>
          </w:tcPr>
          <w:p w14:paraId="55486E33" w14:textId="77777777" w:rsidR="004559AD" w:rsidRPr="00295676" w:rsidRDefault="004559AD" w:rsidP="00C42838">
            <w:pPr>
              <w:spacing w:line="240" w:lineRule="auto"/>
              <w:rPr>
                <w:rFonts w:cs="Arial"/>
              </w:rPr>
            </w:pPr>
            <w:r w:rsidRPr="00295676">
              <w:rPr>
                <w:rFonts w:cs="Arial"/>
              </w:rPr>
              <w:t xml:space="preserve">Imaging Recommendations for Acute Stroke and Transient Ischemic Attack Patients: A Joint Statement by the American Society of Neuroradiology, the American College of Radiology and the Society of </w:t>
            </w:r>
            <w:proofErr w:type="spellStart"/>
            <w:r w:rsidRPr="00295676">
              <w:rPr>
                <w:rFonts w:cs="Arial"/>
              </w:rPr>
              <w:t>NeuroInterventional</w:t>
            </w:r>
            <w:proofErr w:type="spellEnd"/>
            <w:r w:rsidRPr="00295676">
              <w:rPr>
                <w:rFonts w:cs="Arial"/>
              </w:rPr>
              <w:t xml:space="preserve"> Surgery</w:t>
            </w:r>
          </w:p>
        </w:tc>
        <w:tc>
          <w:tcPr>
            <w:tcW w:w="3512" w:type="dxa"/>
          </w:tcPr>
          <w:p w14:paraId="56B883E0" w14:textId="77777777" w:rsidR="004559AD" w:rsidRPr="00295676" w:rsidRDefault="004559AD" w:rsidP="00C42838">
            <w:pPr>
              <w:spacing w:line="240" w:lineRule="auto"/>
            </w:pPr>
            <w:r w:rsidRPr="00295676">
              <w:t>Based on a review of the evidence in the literature on the utility of various imaging techniques in acute stroke and TIA patients.</w:t>
            </w:r>
          </w:p>
        </w:tc>
      </w:tr>
      <w:tr w:rsidR="004559AD" w:rsidRPr="00295676" w14:paraId="54F3DE67" w14:textId="77777777" w:rsidTr="00C42838">
        <w:tc>
          <w:tcPr>
            <w:tcW w:w="1190" w:type="dxa"/>
          </w:tcPr>
          <w:p w14:paraId="6DA2F00B" w14:textId="77777777" w:rsidR="004559AD" w:rsidRPr="00295676" w:rsidRDefault="004559AD" w:rsidP="00C42838">
            <w:pPr>
              <w:spacing w:line="240" w:lineRule="auto"/>
            </w:pPr>
            <w:r w:rsidRPr="00295676">
              <w:t>Europe</w:t>
            </w:r>
          </w:p>
        </w:tc>
        <w:tc>
          <w:tcPr>
            <w:tcW w:w="3058" w:type="dxa"/>
          </w:tcPr>
          <w:p w14:paraId="1EDFCB69" w14:textId="77777777" w:rsidR="004559AD" w:rsidRPr="00295676" w:rsidRDefault="004559AD" w:rsidP="00C42838">
            <w:pPr>
              <w:spacing w:line="240" w:lineRule="auto"/>
              <w:rPr>
                <w:rFonts w:cs="Arial"/>
              </w:rPr>
            </w:pPr>
            <w:r w:rsidRPr="00295676">
              <w:rPr>
                <w:rFonts w:cs="Arial"/>
              </w:rPr>
              <w:t>European Federation of Neurological Societies –</w:t>
            </w:r>
          </w:p>
        </w:tc>
        <w:tc>
          <w:tcPr>
            <w:tcW w:w="1701" w:type="dxa"/>
          </w:tcPr>
          <w:p w14:paraId="0A8B46E7" w14:textId="77777777" w:rsidR="004559AD" w:rsidRPr="00295676" w:rsidRDefault="004559AD" w:rsidP="00C42838">
            <w:pPr>
              <w:spacing w:line="240" w:lineRule="auto"/>
              <w:rPr>
                <w:rFonts w:cs="Arial"/>
              </w:rPr>
            </w:pPr>
            <w:r w:rsidRPr="00295676">
              <w:rPr>
                <w:rFonts w:cs="Arial"/>
              </w:rPr>
              <w:t>Irimia (2011)</w:t>
            </w:r>
            <w:r w:rsidRPr="00902C82">
              <w:rPr>
                <w:rFonts w:cs="Arial"/>
                <w:noProof/>
                <w:vertAlign w:val="superscript"/>
              </w:rPr>
              <w:t>36</w:t>
            </w:r>
          </w:p>
        </w:tc>
        <w:tc>
          <w:tcPr>
            <w:tcW w:w="4394" w:type="dxa"/>
          </w:tcPr>
          <w:p w14:paraId="1C2BB189" w14:textId="77777777" w:rsidR="004559AD" w:rsidRPr="00295676" w:rsidRDefault="004559AD" w:rsidP="00C42838">
            <w:pPr>
              <w:spacing w:line="240" w:lineRule="auto"/>
              <w:rPr>
                <w:rFonts w:cs="Arial"/>
              </w:rPr>
            </w:pPr>
            <w:r w:rsidRPr="00295676">
              <w:rPr>
                <w:rFonts w:cs="Arial"/>
              </w:rPr>
              <w:t>Use of imaging in cerebrovascular disease</w:t>
            </w:r>
          </w:p>
        </w:tc>
        <w:tc>
          <w:tcPr>
            <w:tcW w:w="3512" w:type="dxa"/>
          </w:tcPr>
          <w:p w14:paraId="53468F4A" w14:textId="77777777" w:rsidR="004559AD" w:rsidRPr="00295676" w:rsidRDefault="004559AD" w:rsidP="00C42838">
            <w:pPr>
              <w:spacing w:line="240" w:lineRule="auto"/>
            </w:pPr>
            <w:r w:rsidRPr="00295676">
              <w:t>A comprehensive literature review using the MEDLINE database search the period 1965 – 2009. Relevant literature in English, including existing guidelines, meta-analyses, systematic reviews, randomized controlled trials, and observational studies have been critically assessed.</w:t>
            </w:r>
          </w:p>
        </w:tc>
      </w:tr>
      <w:tr w:rsidR="004559AD" w:rsidRPr="00295676" w14:paraId="39064A6C" w14:textId="77777777" w:rsidTr="00C42838">
        <w:tc>
          <w:tcPr>
            <w:tcW w:w="1190" w:type="dxa"/>
          </w:tcPr>
          <w:p w14:paraId="2AA7EB10" w14:textId="77777777" w:rsidR="004559AD" w:rsidRPr="00295676" w:rsidRDefault="004559AD" w:rsidP="00C42838">
            <w:pPr>
              <w:spacing w:line="240" w:lineRule="auto"/>
            </w:pPr>
            <w:r w:rsidRPr="00295676">
              <w:t>Europe</w:t>
            </w:r>
          </w:p>
        </w:tc>
        <w:tc>
          <w:tcPr>
            <w:tcW w:w="3058" w:type="dxa"/>
          </w:tcPr>
          <w:p w14:paraId="06F18FE5" w14:textId="77777777" w:rsidR="004559AD" w:rsidRPr="00295676" w:rsidRDefault="004559AD" w:rsidP="00C42838">
            <w:pPr>
              <w:spacing w:line="240" w:lineRule="auto"/>
              <w:rPr>
                <w:rFonts w:cs="Arial"/>
              </w:rPr>
            </w:pPr>
            <w:r w:rsidRPr="00295676">
              <w:rPr>
                <w:rFonts w:cs="Arial"/>
              </w:rPr>
              <w:t>European Association of Echocardiography (EAE)</w:t>
            </w:r>
          </w:p>
        </w:tc>
        <w:tc>
          <w:tcPr>
            <w:tcW w:w="1701" w:type="dxa"/>
          </w:tcPr>
          <w:p w14:paraId="7C29F7D0" w14:textId="77777777" w:rsidR="004559AD" w:rsidRPr="00295676" w:rsidRDefault="004559AD" w:rsidP="00C42838">
            <w:pPr>
              <w:spacing w:line="240" w:lineRule="auto"/>
              <w:rPr>
                <w:rFonts w:cs="Arial"/>
              </w:rPr>
            </w:pPr>
            <w:proofErr w:type="spellStart"/>
            <w:r w:rsidRPr="00295676">
              <w:rPr>
                <w:rFonts w:cs="Arial"/>
              </w:rPr>
              <w:t>Pepi</w:t>
            </w:r>
            <w:proofErr w:type="spellEnd"/>
            <w:r w:rsidRPr="00295676">
              <w:rPr>
                <w:rFonts w:cs="Arial"/>
              </w:rPr>
              <w:t xml:space="preserve"> (2010)</w:t>
            </w:r>
            <w:r w:rsidRPr="00902C82">
              <w:rPr>
                <w:rFonts w:cs="Arial"/>
                <w:noProof/>
                <w:vertAlign w:val="superscript"/>
              </w:rPr>
              <w:t>37</w:t>
            </w:r>
          </w:p>
        </w:tc>
        <w:tc>
          <w:tcPr>
            <w:tcW w:w="4394" w:type="dxa"/>
          </w:tcPr>
          <w:p w14:paraId="7114EC88" w14:textId="77777777" w:rsidR="004559AD" w:rsidRPr="00295676" w:rsidRDefault="004559AD" w:rsidP="00C42838">
            <w:pPr>
              <w:spacing w:line="240" w:lineRule="auto"/>
              <w:rPr>
                <w:rFonts w:cs="Arial"/>
              </w:rPr>
            </w:pPr>
            <w:r w:rsidRPr="00295676">
              <w:rPr>
                <w:rFonts w:cs="Arial"/>
              </w:rPr>
              <w:t>Recommendations for echocardiography use in the diagnosis and management of cardiac sources of embolism</w:t>
            </w:r>
          </w:p>
        </w:tc>
        <w:tc>
          <w:tcPr>
            <w:tcW w:w="3512" w:type="dxa"/>
          </w:tcPr>
          <w:p w14:paraId="4AC314EB" w14:textId="77777777" w:rsidR="004559AD" w:rsidRPr="00295676" w:rsidRDefault="004559AD" w:rsidP="00C42838">
            <w:pPr>
              <w:spacing w:line="240" w:lineRule="auto"/>
            </w:pPr>
            <w:r w:rsidRPr="00295676">
              <w:t>Based on a literature review conducted using Medline (PubMed) for peer-reviewed publications and focuses on the studies published mainly in the last 10 years.</w:t>
            </w:r>
          </w:p>
        </w:tc>
      </w:tr>
      <w:tr w:rsidR="004559AD" w:rsidRPr="00295676" w14:paraId="03EF8FEA" w14:textId="77777777" w:rsidTr="00C42838">
        <w:tc>
          <w:tcPr>
            <w:tcW w:w="1190" w:type="dxa"/>
          </w:tcPr>
          <w:p w14:paraId="4161DCEA" w14:textId="77777777" w:rsidR="004559AD" w:rsidRPr="00295676" w:rsidRDefault="004559AD" w:rsidP="00C42838">
            <w:pPr>
              <w:spacing w:line="240" w:lineRule="auto"/>
            </w:pPr>
            <w:r w:rsidRPr="00295676">
              <w:t>USA</w:t>
            </w:r>
          </w:p>
        </w:tc>
        <w:tc>
          <w:tcPr>
            <w:tcW w:w="3058" w:type="dxa"/>
          </w:tcPr>
          <w:p w14:paraId="6264C204" w14:textId="77777777" w:rsidR="004559AD" w:rsidRPr="00295676" w:rsidRDefault="004559AD" w:rsidP="00C42838">
            <w:pPr>
              <w:spacing w:line="240" w:lineRule="auto"/>
            </w:pPr>
            <w:r w:rsidRPr="00295676">
              <w:rPr>
                <w:rFonts w:cs="Arial"/>
              </w:rPr>
              <w:t>American Heart Association</w:t>
            </w:r>
          </w:p>
        </w:tc>
        <w:tc>
          <w:tcPr>
            <w:tcW w:w="1701" w:type="dxa"/>
          </w:tcPr>
          <w:p w14:paraId="4E73F875" w14:textId="77777777" w:rsidR="004559AD" w:rsidRPr="00295676" w:rsidRDefault="004559AD" w:rsidP="00C42838">
            <w:pPr>
              <w:spacing w:line="240" w:lineRule="auto"/>
            </w:pPr>
            <w:r w:rsidRPr="00295676">
              <w:rPr>
                <w:rFonts w:cs="Arial"/>
              </w:rPr>
              <w:t>Summers</w:t>
            </w:r>
            <w:r>
              <w:rPr>
                <w:rFonts w:cs="Arial"/>
              </w:rPr>
              <w:t xml:space="preserve"> </w:t>
            </w:r>
            <w:r w:rsidRPr="00295676">
              <w:rPr>
                <w:rFonts w:cs="Arial"/>
              </w:rPr>
              <w:t>(2009)</w:t>
            </w:r>
            <w:r w:rsidRPr="003B75B0">
              <w:rPr>
                <w:rFonts w:cs="Arial"/>
                <w:noProof/>
                <w:vertAlign w:val="superscript"/>
              </w:rPr>
              <w:t>38</w:t>
            </w:r>
          </w:p>
        </w:tc>
        <w:tc>
          <w:tcPr>
            <w:tcW w:w="4394" w:type="dxa"/>
          </w:tcPr>
          <w:p w14:paraId="520F74A6" w14:textId="77777777" w:rsidR="004559AD" w:rsidRPr="00295676" w:rsidRDefault="004559AD" w:rsidP="00C42838">
            <w:pPr>
              <w:spacing w:line="240" w:lineRule="auto"/>
              <w:rPr>
                <w:rFonts w:cs="Arial"/>
              </w:rPr>
            </w:pPr>
            <w:r w:rsidRPr="00295676">
              <w:rPr>
                <w:rFonts w:cs="Arial"/>
              </w:rPr>
              <w:t xml:space="preserve">Comprehensive Overview of Nursing and Interdisciplinary Care of the Acute Ischemic Stroke Patient: A Scientific </w:t>
            </w:r>
            <w:r w:rsidRPr="00295676">
              <w:rPr>
                <w:rFonts w:cs="Arial"/>
              </w:rPr>
              <w:lastRenderedPageBreak/>
              <w:t xml:space="preserve">Statement </w:t>
            </w:r>
            <w:proofErr w:type="gramStart"/>
            <w:r w:rsidRPr="00295676">
              <w:rPr>
                <w:rFonts w:cs="Arial"/>
              </w:rPr>
              <w:t>From</w:t>
            </w:r>
            <w:proofErr w:type="gramEnd"/>
            <w:r w:rsidRPr="00295676">
              <w:rPr>
                <w:rFonts w:cs="Arial"/>
              </w:rPr>
              <w:t xml:space="preserve"> the American Heart Association</w:t>
            </w:r>
          </w:p>
        </w:tc>
        <w:tc>
          <w:tcPr>
            <w:tcW w:w="3512" w:type="dxa"/>
          </w:tcPr>
          <w:p w14:paraId="35FADD78" w14:textId="77777777" w:rsidR="004559AD" w:rsidRPr="00295676" w:rsidRDefault="004559AD" w:rsidP="00C42838">
            <w:pPr>
              <w:spacing w:line="240" w:lineRule="auto"/>
            </w:pPr>
            <w:r w:rsidRPr="00295676">
              <w:lastRenderedPageBreak/>
              <w:t>No systematic search reported</w:t>
            </w:r>
          </w:p>
          <w:p w14:paraId="740F2446" w14:textId="77777777" w:rsidR="004559AD" w:rsidRPr="00295676" w:rsidRDefault="004559AD" w:rsidP="00C42838">
            <w:pPr>
              <w:spacing w:line="240" w:lineRule="auto"/>
            </w:pPr>
          </w:p>
        </w:tc>
      </w:tr>
      <w:tr w:rsidR="004559AD" w:rsidRPr="00295676" w14:paraId="1F1F9477" w14:textId="77777777" w:rsidTr="00C42838">
        <w:tc>
          <w:tcPr>
            <w:tcW w:w="1190" w:type="dxa"/>
          </w:tcPr>
          <w:p w14:paraId="1870A880" w14:textId="77777777" w:rsidR="004559AD" w:rsidRPr="00295676" w:rsidRDefault="004559AD" w:rsidP="00C42838">
            <w:pPr>
              <w:spacing w:line="240" w:lineRule="auto"/>
            </w:pPr>
            <w:r w:rsidRPr="00295676">
              <w:lastRenderedPageBreak/>
              <w:t>USA</w:t>
            </w:r>
          </w:p>
        </w:tc>
        <w:tc>
          <w:tcPr>
            <w:tcW w:w="3058" w:type="dxa"/>
          </w:tcPr>
          <w:p w14:paraId="34FCFB96" w14:textId="77777777" w:rsidR="004559AD" w:rsidRPr="00295676" w:rsidRDefault="004559AD" w:rsidP="00C42838">
            <w:pPr>
              <w:spacing w:line="240" w:lineRule="auto"/>
            </w:pPr>
            <w:r w:rsidRPr="00295676">
              <w:rPr>
                <w:rFonts w:cs="Arial"/>
              </w:rPr>
              <w:t>American Heart Association</w:t>
            </w:r>
          </w:p>
        </w:tc>
        <w:tc>
          <w:tcPr>
            <w:tcW w:w="1701" w:type="dxa"/>
          </w:tcPr>
          <w:p w14:paraId="684C6F19" w14:textId="77777777" w:rsidR="004559AD" w:rsidRPr="00295676" w:rsidRDefault="004559AD" w:rsidP="00C42838">
            <w:pPr>
              <w:spacing w:line="240" w:lineRule="auto"/>
            </w:pPr>
            <w:proofErr w:type="spellStart"/>
            <w:r w:rsidRPr="00295676">
              <w:rPr>
                <w:rFonts w:cs="Arial"/>
              </w:rPr>
              <w:t>Latchaw</w:t>
            </w:r>
            <w:proofErr w:type="spellEnd"/>
            <w:r w:rsidRPr="00295676">
              <w:rPr>
                <w:rFonts w:cs="Arial"/>
              </w:rPr>
              <w:t xml:space="preserve"> (2009)</w:t>
            </w:r>
            <w:r w:rsidRPr="003B75B0">
              <w:rPr>
                <w:rFonts w:cs="Arial"/>
                <w:noProof/>
                <w:vertAlign w:val="superscript"/>
              </w:rPr>
              <w:t>39</w:t>
            </w:r>
            <w:r>
              <w:rPr>
                <w:rFonts w:cs="Arial"/>
              </w:rPr>
              <w:t xml:space="preserve"> </w:t>
            </w:r>
          </w:p>
        </w:tc>
        <w:tc>
          <w:tcPr>
            <w:tcW w:w="4394" w:type="dxa"/>
          </w:tcPr>
          <w:p w14:paraId="574F0878" w14:textId="77777777" w:rsidR="004559AD" w:rsidRPr="00295676" w:rsidRDefault="004559AD" w:rsidP="00C42838">
            <w:pPr>
              <w:spacing w:line="240" w:lineRule="auto"/>
              <w:rPr>
                <w:rFonts w:cs="Arial"/>
              </w:rPr>
            </w:pPr>
            <w:r w:rsidRPr="00295676">
              <w:rPr>
                <w:rFonts w:cs="Arial"/>
              </w:rPr>
              <w:t xml:space="preserve">Recommendations for Imaging of Acute Ischemic Stroke: A Scientific Statement </w:t>
            </w:r>
            <w:proofErr w:type="gramStart"/>
            <w:r w:rsidRPr="00295676">
              <w:rPr>
                <w:rFonts w:cs="Arial"/>
              </w:rPr>
              <w:t>From</w:t>
            </w:r>
            <w:proofErr w:type="gramEnd"/>
            <w:r w:rsidRPr="00295676">
              <w:rPr>
                <w:rFonts w:cs="Arial"/>
              </w:rPr>
              <w:t xml:space="preserve"> the American Heart Association</w:t>
            </w:r>
          </w:p>
          <w:p w14:paraId="0E04BD23" w14:textId="77777777" w:rsidR="004559AD" w:rsidRPr="00295676" w:rsidRDefault="004559AD" w:rsidP="00C42838">
            <w:pPr>
              <w:spacing w:line="240" w:lineRule="auto"/>
            </w:pPr>
          </w:p>
        </w:tc>
        <w:tc>
          <w:tcPr>
            <w:tcW w:w="3512" w:type="dxa"/>
          </w:tcPr>
          <w:p w14:paraId="66D89D83" w14:textId="77777777" w:rsidR="004559AD" w:rsidRPr="00295676" w:rsidRDefault="004559AD" w:rsidP="00C42838">
            <w:pPr>
              <w:spacing w:line="240" w:lineRule="auto"/>
            </w:pPr>
            <w:r w:rsidRPr="00295676">
              <w:t>The review has been confined to literature in English and includes all relevant articles but focuses on the literature from 2000 to 2006, with some more recent.</w:t>
            </w:r>
          </w:p>
        </w:tc>
      </w:tr>
    </w:tbl>
    <w:p w14:paraId="198F65F6" w14:textId="77777777" w:rsidR="004559AD" w:rsidRPr="00295676" w:rsidRDefault="004559AD" w:rsidP="004559AD">
      <w:pPr>
        <w:spacing w:after="0" w:line="240" w:lineRule="auto"/>
      </w:pPr>
      <w:r w:rsidRPr="00295676">
        <w:t>EACTS: European Association for Cardio-Thoracic Surgery</w:t>
      </w:r>
    </w:p>
    <w:p w14:paraId="2D4741D8" w14:textId="77777777" w:rsidR="004559AD" w:rsidRPr="00295676" w:rsidRDefault="004559AD" w:rsidP="004559AD">
      <w:pPr>
        <w:spacing w:after="0" w:line="240" w:lineRule="auto"/>
      </w:pPr>
      <w:r w:rsidRPr="00295676">
        <w:t>GRADE: Grading of Recommendations Assessment, Development and Evaluation</w:t>
      </w:r>
    </w:p>
    <w:p w14:paraId="21B5CD25" w14:textId="77777777" w:rsidR="004559AD" w:rsidRPr="00295676" w:rsidRDefault="004559AD" w:rsidP="004559AD">
      <w:pPr>
        <w:spacing w:after="0" w:line="240" w:lineRule="auto"/>
      </w:pPr>
      <w:r w:rsidRPr="00295676">
        <w:t>TIA: Transient Ischaemic Attack</w:t>
      </w:r>
    </w:p>
    <w:p w14:paraId="568BB777" w14:textId="77777777" w:rsidR="004559AD" w:rsidRPr="00295676" w:rsidRDefault="004559AD" w:rsidP="004559AD"/>
    <w:p w14:paraId="490A44D2" w14:textId="77777777" w:rsidR="004559AD" w:rsidRDefault="004559AD">
      <w:pPr>
        <w:spacing w:after="160" w:line="259" w:lineRule="auto"/>
      </w:pPr>
      <w:r>
        <w:br w:type="page"/>
      </w:r>
    </w:p>
    <w:p w14:paraId="29FEF80B" w14:textId="77777777" w:rsidR="004559AD" w:rsidRPr="00295676" w:rsidRDefault="004559AD" w:rsidP="004559AD">
      <w:pPr>
        <w:pStyle w:val="Heading2"/>
      </w:pPr>
      <w:r w:rsidRPr="00295676">
        <w:lastRenderedPageBreak/>
        <w:t xml:space="preserve">Table 2. AGREE II appraisal of included studies (Domain adequately addressed if green: </w:t>
      </w:r>
      <w:r w:rsidRPr="00295676">
        <w:rPr>
          <w:rFonts w:cs="Times New Roman"/>
        </w:rPr>
        <w:t>≥</w:t>
      </w:r>
      <w:r w:rsidRPr="00295676">
        <w:t>60%)</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1410"/>
        <w:gridCol w:w="1470"/>
        <w:gridCol w:w="1606"/>
        <w:gridCol w:w="1496"/>
        <w:gridCol w:w="1608"/>
        <w:gridCol w:w="1617"/>
      </w:tblGrid>
      <w:tr w:rsidR="004559AD" w:rsidRPr="00295676" w14:paraId="40D9B530" w14:textId="77777777" w:rsidTr="00C42838">
        <w:trPr>
          <w:trHeight w:val="1245"/>
        </w:trPr>
        <w:tc>
          <w:tcPr>
            <w:tcW w:w="4828" w:type="dxa"/>
            <w:shd w:val="clear" w:color="auto" w:fill="E7E6E6" w:themeFill="background2"/>
            <w:vAlign w:val="center"/>
            <w:hideMark/>
          </w:tcPr>
          <w:p w14:paraId="357E89F9" w14:textId="77777777" w:rsidR="004559AD" w:rsidRPr="00295676" w:rsidRDefault="004559AD" w:rsidP="00C42838">
            <w:pPr>
              <w:spacing w:after="0" w:line="276" w:lineRule="auto"/>
              <w:jc w:val="center"/>
              <w:rPr>
                <w:rFonts w:eastAsia="Times New Roman" w:cs="Times New Roman"/>
                <w:b/>
                <w:bCs/>
                <w:color w:val="000000"/>
                <w:szCs w:val="24"/>
                <w:lang w:eastAsia="en-GB"/>
              </w:rPr>
            </w:pPr>
            <w:bookmarkStart w:id="8" w:name="RANGE!A1"/>
            <w:r w:rsidRPr="00295676">
              <w:rPr>
                <w:rFonts w:eastAsia="Times New Roman" w:cs="Times New Roman"/>
                <w:b/>
                <w:bCs/>
                <w:color w:val="000000"/>
                <w:szCs w:val="24"/>
                <w:lang w:eastAsia="en-GB"/>
              </w:rPr>
              <w:t>Guideline</w:t>
            </w:r>
            <w:r w:rsidRPr="00295676">
              <w:rPr>
                <w:rFonts w:ascii="Arial" w:eastAsia="Times New Roman" w:hAnsi="Arial" w:cs="Arial"/>
                <w:color w:val="000000"/>
                <w:sz w:val="16"/>
                <w:szCs w:val="16"/>
                <w:lang w:eastAsia="en-GB"/>
              </w:rPr>
              <w:t> </w:t>
            </w:r>
            <w:bookmarkEnd w:id="8"/>
          </w:p>
        </w:tc>
        <w:tc>
          <w:tcPr>
            <w:tcW w:w="1410" w:type="dxa"/>
            <w:shd w:val="clear" w:color="auto" w:fill="E7E6E6" w:themeFill="background2"/>
            <w:vAlign w:val="center"/>
            <w:hideMark/>
          </w:tcPr>
          <w:p w14:paraId="527FF657" w14:textId="77777777" w:rsidR="004559AD" w:rsidRPr="00295676" w:rsidRDefault="004559AD" w:rsidP="00C42838">
            <w:pPr>
              <w:spacing w:after="0" w:line="276" w:lineRule="auto"/>
              <w:jc w:val="center"/>
              <w:rPr>
                <w:rFonts w:eastAsia="Times New Roman" w:cs="Times New Roman"/>
                <w:b/>
                <w:bCs/>
                <w:color w:val="000000"/>
                <w:szCs w:val="24"/>
                <w:lang w:eastAsia="en-GB"/>
              </w:rPr>
            </w:pPr>
            <w:r w:rsidRPr="00295676">
              <w:rPr>
                <w:rFonts w:eastAsia="Times New Roman" w:cs="Times New Roman"/>
                <w:b/>
                <w:bCs/>
                <w:color w:val="000000"/>
                <w:szCs w:val="24"/>
                <w:lang w:eastAsia="en-GB"/>
              </w:rPr>
              <w:t>Domain 1: Scope &amp; Purpose</w:t>
            </w:r>
          </w:p>
        </w:tc>
        <w:tc>
          <w:tcPr>
            <w:tcW w:w="1470" w:type="dxa"/>
            <w:shd w:val="clear" w:color="auto" w:fill="E7E6E6" w:themeFill="background2"/>
            <w:vAlign w:val="center"/>
            <w:hideMark/>
          </w:tcPr>
          <w:p w14:paraId="121A3C21" w14:textId="77777777" w:rsidR="004559AD" w:rsidRPr="00295676" w:rsidRDefault="004559AD" w:rsidP="00C42838">
            <w:pPr>
              <w:spacing w:after="0" w:line="276" w:lineRule="auto"/>
              <w:jc w:val="center"/>
              <w:rPr>
                <w:rFonts w:eastAsia="Times New Roman" w:cs="Times New Roman"/>
                <w:b/>
                <w:bCs/>
                <w:color w:val="000000"/>
                <w:szCs w:val="24"/>
                <w:lang w:eastAsia="en-GB"/>
              </w:rPr>
            </w:pPr>
            <w:r w:rsidRPr="00295676">
              <w:rPr>
                <w:rFonts w:eastAsia="Times New Roman" w:cs="Times New Roman"/>
                <w:b/>
                <w:bCs/>
                <w:color w:val="000000"/>
                <w:szCs w:val="24"/>
                <w:lang w:eastAsia="en-GB"/>
              </w:rPr>
              <w:t>Domain 2: Stakeholder involvement</w:t>
            </w:r>
          </w:p>
        </w:tc>
        <w:tc>
          <w:tcPr>
            <w:tcW w:w="1606" w:type="dxa"/>
            <w:shd w:val="clear" w:color="auto" w:fill="E7E6E6" w:themeFill="background2"/>
            <w:vAlign w:val="center"/>
            <w:hideMark/>
          </w:tcPr>
          <w:p w14:paraId="13816D45" w14:textId="77777777" w:rsidR="004559AD" w:rsidRPr="00295676" w:rsidRDefault="004559AD" w:rsidP="00C42838">
            <w:pPr>
              <w:spacing w:after="0" w:line="276" w:lineRule="auto"/>
              <w:jc w:val="center"/>
              <w:rPr>
                <w:rFonts w:eastAsia="Times New Roman" w:cs="Times New Roman"/>
                <w:b/>
                <w:bCs/>
                <w:color w:val="000000"/>
                <w:szCs w:val="24"/>
                <w:lang w:eastAsia="en-GB"/>
              </w:rPr>
            </w:pPr>
            <w:r w:rsidRPr="00295676">
              <w:rPr>
                <w:rFonts w:eastAsia="Times New Roman" w:cs="Times New Roman"/>
                <w:b/>
                <w:bCs/>
                <w:color w:val="000000"/>
                <w:szCs w:val="24"/>
                <w:lang w:eastAsia="en-GB"/>
              </w:rPr>
              <w:t>Domain 3: Rigour of development</w:t>
            </w:r>
          </w:p>
        </w:tc>
        <w:tc>
          <w:tcPr>
            <w:tcW w:w="1496" w:type="dxa"/>
            <w:shd w:val="clear" w:color="auto" w:fill="E7E6E6" w:themeFill="background2"/>
            <w:vAlign w:val="center"/>
            <w:hideMark/>
          </w:tcPr>
          <w:p w14:paraId="6749BB24" w14:textId="77777777" w:rsidR="004559AD" w:rsidRPr="00295676" w:rsidRDefault="004559AD" w:rsidP="00C42838">
            <w:pPr>
              <w:spacing w:after="0" w:line="276" w:lineRule="auto"/>
              <w:jc w:val="center"/>
              <w:rPr>
                <w:rFonts w:eastAsia="Times New Roman" w:cs="Times New Roman"/>
                <w:b/>
                <w:bCs/>
                <w:color w:val="000000"/>
                <w:szCs w:val="24"/>
                <w:lang w:eastAsia="en-GB"/>
              </w:rPr>
            </w:pPr>
            <w:r w:rsidRPr="00295676">
              <w:rPr>
                <w:rFonts w:eastAsia="Times New Roman" w:cs="Times New Roman"/>
                <w:b/>
                <w:bCs/>
                <w:color w:val="000000"/>
                <w:szCs w:val="24"/>
                <w:lang w:eastAsia="en-GB"/>
              </w:rPr>
              <w:t>Domain 4: Clarity of presentation</w:t>
            </w:r>
          </w:p>
        </w:tc>
        <w:tc>
          <w:tcPr>
            <w:tcW w:w="1608" w:type="dxa"/>
            <w:shd w:val="clear" w:color="auto" w:fill="E7E6E6" w:themeFill="background2"/>
            <w:vAlign w:val="center"/>
            <w:hideMark/>
          </w:tcPr>
          <w:p w14:paraId="129D546F" w14:textId="77777777" w:rsidR="004559AD" w:rsidRPr="00295676" w:rsidRDefault="004559AD" w:rsidP="00C42838">
            <w:pPr>
              <w:spacing w:after="0" w:line="276" w:lineRule="auto"/>
              <w:jc w:val="center"/>
              <w:rPr>
                <w:rFonts w:eastAsia="Times New Roman" w:cs="Times New Roman"/>
                <w:b/>
                <w:bCs/>
                <w:color w:val="000000"/>
                <w:szCs w:val="24"/>
                <w:lang w:eastAsia="en-GB"/>
              </w:rPr>
            </w:pPr>
            <w:r w:rsidRPr="00295676">
              <w:rPr>
                <w:rFonts w:eastAsia="Times New Roman" w:cs="Times New Roman"/>
                <w:b/>
                <w:bCs/>
                <w:color w:val="000000"/>
                <w:szCs w:val="24"/>
                <w:lang w:eastAsia="en-GB"/>
              </w:rPr>
              <w:t>Domain 5: Applicability</w:t>
            </w:r>
          </w:p>
        </w:tc>
        <w:tc>
          <w:tcPr>
            <w:tcW w:w="1617" w:type="dxa"/>
            <w:shd w:val="clear" w:color="auto" w:fill="E7E6E6" w:themeFill="background2"/>
            <w:vAlign w:val="center"/>
            <w:hideMark/>
          </w:tcPr>
          <w:p w14:paraId="38BCDF92" w14:textId="77777777" w:rsidR="004559AD" w:rsidRPr="00295676" w:rsidRDefault="004559AD" w:rsidP="00C42838">
            <w:pPr>
              <w:spacing w:after="0" w:line="276" w:lineRule="auto"/>
              <w:jc w:val="center"/>
              <w:rPr>
                <w:rFonts w:eastAsia="Times New Roman" w:cs="Times New Roman"/>
                <w:b/>
                <w:bCs/>
                <w:color w:val="000000"/>
                <w:szCs w:val="24"/>
                <w:lang w:eastAsia="en-GB"/>
              </w:rPr>
            </w:pPr>
            <w:r w:rsidRPr="00295676">
              <w:rPr>
                <w:rFonts w:eastAsia="Times New Roman" w:cs="Times New Roman"/>
                <w:b/>
                <w:bCs/>
                <w:color w:val="000000"/>
                <w:szCs w:val="24"/>
                <w:lang w:eastAsia="en-GB"/>
              </w:rPr>
              <w:t>Domain 6: Editorial independence</w:t>
            </w:r>
          </w:p>
        </w:tc>
      </w:tr>
      <w:tr w:rsidR="004559AD" w:rsidRPr="00295676" w14:paraId="19F0C438" w14:textId="77777777" w:rsidTr="00C42838">
        <w:trPr>
          <w:trHeight w:val="300"/>
        </w:trPr>
        <w:tc>
          <w:tcPr>
            <w:tcW w:w="14035" w:type="dxa"/>
            <w:gridSpan w:val="7"/>
            <w:shd w:val="clear" w:color="auto" w:fill="E7E6E6" w:themeFill="background2"/>
            <w:vAlign w:val="center"/>
          </w:tcPr>
          <w:p w14:paraId="7B08C169" w14:textId="77777777" w:rsidR="004559AD" w:rsidRPr="00295676" w:rsidRDefault="004559AD" w:rsidP="00C42838">
            <w:pPr>
              <w:spacing w:after="0" w:line="276" w:lineRule="auto"/>
              <w:rPr>
                <w:rFonts w:eastAsia="Times New Roman" w:cs="Times New Roman"/>
                <w:b/>
                <w:bCs/>
                <w:color w:val="000000"/>
                <w:szCs w:val="24"/>
                <w:lang w:eastAsia="en-GB"/>
              </w:rPr>
            </w:pPr>
            <w:r w:rsidRPr="00295676">
              <w:rPr>
                <w:rFonts w:eastAsia="Times New Roman" w:cs="Times New Roman"/>
                <w:b/>
                <w:bCs/>
                <w:color w:val="000000"/>
                <w:szCs w:val="24"/>
                <w:lang w:eastAsia="en-GB"/>
              </w:rPr>
              <w:t>Clinical practice guidelines</w:t>
            </w:r>
          </w:p>
        </w:tc>
      </w:tr>
      <w:tr w:rsidR="004559AD" w:rsidRPr="00295676" w14:paraId="4832EEB4" w14:textId="77777777" w:rsidTr="00C42838">
        <w:trPr>
          <w:trHeight w:val="261"/>
        </w:trPr>
        <w:tc>
          <w:tcPr>
            <w:tcW w:w="4828" w:type="dxa"/>
            <w:shd w:val="clear" w:color="auto" w:fill="auto"/>
            <w:vAlign w:val="center"/>
            <w:hideMark/>
          </w:tcPr>
          <w:p w14:paraId="44A4618C"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National Institute for Health and Care Excellence (2019)</w:t>
            </w:r>
            <w:r w:rsidRPr="003B75B0">
              <w:rPr>
                <w:rFonts w:eastAsia="Times New Roman" w:cs="Times New Roman"/>
                <w:noProof/>
                <w:color w:val="000000"/>
                <w:szCs w:val="24"/>
                <w:vertAlign w:val="superscript"/>
                <w:lang w:eastAsia="en-GB"/>
              </w:rPr>
              <w:t>17</w:t>
            </w:r>
            <w:r w:rsidRPr="00295676">
              <w:rPr>
                <w:rFonts w:eastAsia="Times New Roman" w:cs="Times New Roman"/>
                <w:color w:val="000000"/>
                <w:szCs w:val="24"/>
                <w:lang w:eastAsia="en-GB"/>
              </w:rPr>
              <w:t xml:space="preserve"> </w:t>
            </w:r>
          </w:p>
        </w:tc>
        <w:tc>
          <w:tcPr>
            <w:tcW w:w="1410" w:type="dxa"/>
            <w:shd w:val="clear" w:color="000000" w:fill="A9D08E"/>
            <w:vAlign w:val="center"/>
            <w:hideMark/>
          </w:tcPr>
          <w:p w14:paraId="713F2374"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88</w:t>
            </w:r>
          </w:p>
        </w:tc>
        <w:tc>
          <w:tcPr>
            <w:tcW w:w="1470" w:type="dxa"/>
            <w:shd w:val="clear" w:color="000000" w:fill="A9D08E"/>
            <w:vAlign w:val="center"/>
            <w:hideMark/>
          </w:tcPr>
          <w:p w14:paraId="1E40130D"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99</w:t>
            </w:r>
          </w:p>
        </w:tc>
        <w:tc>
          <w:tcPr>
            <w:tcW w:w="1606" w:type="dxa"/>
            <w:shd w:val="clear" w:color="000000" w:fill="A9D08E"/>
            <w:vAlign w:val="center"/>
            <w:hideMark/>
          </w:tcPr>
          <w:p w14:paraId="1B27A195"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90</w:t>
            </w:r>
          </w:p>
        </w:tc>
        <w:tc>
          <w:tcPr>
            <w:tcW w:w="1496" w:type="dxa"/>
            <w:shd w:val="clear" w:color="000000" w:fill="A9D08E"/>
            <w:vAlign w:val="center"/>
            <w:hideMark/>
          </w:tcPr>
          <w:p w14:paraId="5A6E8C05"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86</w:t>
            </w:r>
          </w:p>
        </w:tc>
        <w:tc>
          <w:tcPr>
            <w:tcW w:w="1608" w:type="dxa"/>
            <w:shd w:val="clear" w:color="000000" w:fill="A9D08E"/>
            <w:vAlign w:val="center"/>
            <w:hideMark/>
          </w:tcPr>
          <w:p w14:paraId="5DFE932D"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78</w:t>
            </w:r>
          </w:p>
        </w:tc>
        <w:tc>
          <w:tcPr>
            <w:tcW w:w="1617" w:type="dxa"/>
            <w:shd w:val="clear" w:color="000000" w:fill="A9D08E"/>
            <w:vAlign w:val="center"/>
            <w:hideMark/>
          </w:tcPr>
          <w:p w14:paraId="0A610CC1"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77</w:t>
            </w:r>
          </w:p>
        </w:tc>
      </w:tr>
      <w:tr w:rsidR="004559AD" w:rsidRPr="00295676" w14:paraId="3C77012A" w14:textId="77777777" w:rsidTr="00C42838">
        <w:trPr>
          <w:trHeight w:val="70"/>
        </w:trPr>
        <w:tc>
          <w:tcPr>
            <w:tcW w:w="4828" w:type="dxa"/>
            <w:shd w:val="clear" w:color="auto" w:fill="auto"/>
            <w:vAlign w:val="center"/>
            <w:hideMark/>
          </w:tcPr>
          <w:p w14:paraId="64FC37C5"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Powers (2018)</w:t>
            </w:r>
            <w:r w:rsidRPr="003B75B0">
              <w:rPr>
                <w:rFonts w:eastAsia="Times New Roman" w:cs="Times New Roman"/>
                <w:noProof/>
                <w:color w:val="000000"/>
                <w:szCs w:val="24"/>
                <w:vertAlign w:val="superscript"/>
                <w:lang w:eastAsia="en-GB"/>
              </w:rPr>
              <w:t>18</w:t>
            </w:r>
            <w:r w:rsidRPr="00295676">
              <w:rPr>
                <w:rFonts w:eastAsia="Times New Roman" w:cs="Times New Roman"/>
                <w:color w:val="000000"/>
                <w:szCs w:val="24"/>
                <w:lang w:eastAsia="en-GB"/>
              </w:rPr>
              <w:t xml:space="preserve"> </w:t>
            </w:r>
          </w:p>
        </w:tc>
        <w:tc>
          <w:tcPr>
            <w:tcW w:w="1410" w:type="dxa"/>
            <w:shd w:val="clear" w:color="auto" w:fill="A9D08E"/>
            <w:vAlign w:val="center"/>
            <w:hideMark/>
          </w:tcPr>
          <w:p w14:paraId="3AF46C3D"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88</w:t>
            </w:r>
          </w:p>
        </w:tc>
        <w:tc>
          <w:tcPr>
            <w:tcW w:w="1470" w:type="dxa"/>
            <w:shd w:val="clear" w:color="auto" w:fill="FF8181"/>
            <w:vAlign w:val="center"/>
            <w:hideMark/>
          </w:tcPr>
          <w:p w14:paraId="4DE93AAC"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50</w:t>
            </w:r>
          </w:p>
        </w:tc>
        <w:tc>
          <w:tcPr>
            <w:tcW w:w="1606" w:type="dxa"/>
            <w:shd w:val="clear" w:color="000000" w:fill="A9D08E"/>
            <w:vAlign w:val="center"/>
            <w:hideMark/>
          </w:tcPr>
          <w:p w14:paraId="077CC283"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74</w:t>
            </w:r>
          </w:p>
        </w:tc>
        <w:tc>
          <w:tcPr>
            <w:tcW w:w="1496" w:type="dxa"/>
            <w:shd w:val="clear" w:color="000000" w:fill="A9D08E"/>
            <w:vAlign w:val="center"/>
            <w:hideMark/>
          </w:tcPr>
          <w:p w14:paraId="583ECFE3"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99</w:t>
            </w:r>
          </w:p>
        </w:tc>
        <w:tc>
          <w:tcPr>
            <w:tcW w:w="1608" w:type="dxa"/>
            <w:shd w:val="clear" w:color="000000" w:fill="FF8181"/>
            <w:vAlign w:val="center"/>
            <w:hideMark/>
          </w:tcPr>
          <w:p w14:paraId="7CBA2F6C"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25</w:t>
            </w:r>
          </w:p>
        </w:tc>
        <w:tc>
          <w:tcPr>
            <w:tcW w:w="1617" w:type="dxa"/>
            <w:shd w:val="clear" w:color="000000" w:fill="FF8181"/>
            <w:vAlign w:val="center"/>
            <w:hideMark/>
          </w:tcPr>
          <w:p w14:paraId="0DBA3B06"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52</w:t>
            </w:r>
          </w:p>
        </w:tc>
      </w:tr>
      <w:tr w:rsidR="004559AD" w:rsidRPr="00295676" w14:paraId="16E00615" w14:textId="77777777" w:rsidTr="00C42838">
        <w:trPr>
          <w:trHeight w:val="70"/>
        </w:trPr>
        <w:tc>
          <w:tcPr>
            <w:tcW w:w="4828" w:type="dxa"/>
            <w:shd w:val="clear" w:color="auto" w:fill="auto"/>
            <w:vAlign w:val="center"/>
            <w:hideMark/>
          </w:tcPr>
          <w:p w14:paraId="3C7473A3"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Boulanger (2018)</w:t>
            </w:r>
            <w:r w:rsidRPr="003B75B0">
              <w:rPr>
                <w:rFonts w:eastAsia="Times New Roman" w:cs="Times New Roman"/>
                <w:noProof/>
                <w:color w:val="000000"/>
                <w:szCs w:val="24"/>
                <w:vertAlign w:val="superscript"/>
                <w:lang w:eastAsia="en-GB"/>
              </w:rPr>
              <w:t>19</w:t>
            </w:r>
            <w:r w:rsidRPr="00295676">
              <w:rPr>
                <w:rFonts w:eastAsia="Times New Roman" w:cs="Times New Roman"/>
                <w:color w:val="000000"/>
                <w:szCs w:val="24"/>
                <w:lang w:eastAsia="en-GB"/>
              </w:rPr>
              <w:t xml:space="preserve"> </w:t>
            </w:r>
          </w:p>
        </w:tc>
        <w:tc>
          <w:tcPr>
            <w:tcW w:w="1410" w:type="dxa"/>
            <w:shd w:val="clear" w:color="000000" w:fill="A9D08E"/>
            <w:vAlign w:val="center"/>
            <w:hideMark/>
          </w:tcPr>
          <w:p w14:paraId="5A8503B6"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74</w:t>
            </w:r>
          </w:p>
        </w:tc>
        <w:tc>
          <w:tcPr>
            <w:tcW w:w="1470" w:type="dxa"/>
            <w:shd w:val="clear" w:color="000000" w:fill="A9D08E"/>
            <w:vAlign w:val="center"/>
            <w:hideMark/>
          </w:tcPr>
          <w:p w14:paraId="3BEC529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94</w:t>
            </w:r>
          </w:p>
        </w:tc>
        <w:tc>
          <w:tcPr>
            <w:tcW w:w="1606" w:type="dxa"/>
            <w:shd w:val="clear" w:color="000000" w:fill="A9D08E"/>
            <w:vAlign w:val="center"/>
            <w:hideMark/>
          </w:tcPr>
          <w:p w14:paraId="7429D6F4"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70</w:t>
            </w:r>
          </w:p>
        </w:tc>
        <w:tc>
          <w:tcPr>
            <w:tcW w:w="1496" w:type="dxa"/>
            <w:shd w:val="clear" w:color="000000" w:fill="A9D08E"/>
            <w:vAlign w:val="center"/>
            <w:hideMark/>
          </w:tcPr>
          <w:p w14:paraId="042835E5"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90</w:t>
            </w:r>
          </w:p>
        </w:tc>
        <w:tc>
          <w:tcPr>
            <w:tcW w:w="1608" w:type="dxa"/>
            <w:shd w:val="clear" w:color="000000" w:fill="A9D08E"/>
            <w:vAlign w:val="center"/>
            <w:hideMark/>
          </w:tcPr>
          <w:p w14:paraId="15A8515C"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74</w:t>
            </w:r>
          </w:p>
        </w:tc>
        <w:tc>
          <w:tcPr>
            <w:tcW w:w="1617" w:type="dxa"/>
            <w:shd w:val="clear" w:color="000000" w:fill="A9D08E"/>
            <w:vAlign w:val="center"/>
            <w:hideMark/>
          </w:tcPr>
          <w:p w14:paraId="7545EE9D"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92</w:t>
            </w:r>
          </w:p>
        </w:tc>
      </w:tr>
      <w:tr w:rsidR="004559AD" w:rsidRPr="00295676" w14:paraId="2FF182BF" w14:textId="77777777" w:rsidTr="00C42838">
        <w:trPr>
          <w:trHeight w:val="85"/>
        </w:trPr>
        <w:tc>
          <w:tcPr>
            <w:tcW w:w="4828" w:type="dxa"/>
            <w:shd w:val="clear" w:color="auto" w:fill="auto"/>
            <w:vAlign w:val="center"/>
            <w:hideMark/>
          </w:tcPr>
          <w:p w14:paraId="2B560FA6"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Wein (2018)</w:t>
            </w:r>
            <w:r w:rsidRPr="003B75B0">
              <w:rPr>
                <w:rFonts w:eastAsia="Times New Roman" w:cs="Times New Roman"/>
                <w:noProof/>
                <w:color w:val="000000"/>
                <w:szCs w:val="24"/>
                <w:vertAlign w:val="superscript"/>
                <w:lang w:eastAsia="en-GB"/>
              </w:rPr>
              <w:t>20</w:t>
            </w:r>
            <w:r w:rsidRPr="00295676">
              <w:rPr>
                <w:rFonts w:eastAsia="Times New Roman" w:cs="Times New Roman"/>
                <w:color w:val="000000"/>
                <w:szCs w:val="24"/>
                <w:lang w:eastAsia="en-GB"/>
              </w:rPr>
              <w:t xml:space="preserve"> </w:t>
            </w:r>
          </w:p>
        </w:tc>
        <w:tc>
          <w:tcPr>
            <w:tcW w:w="1410" w:type="dxa"/>
            <w:shd w:val="clear" w:color="auto" w:fill="A9D08E"/>
            <w:vAlign w:val="center"/>
            <w:hideMark/>
          </w:tcPr>
          <w:p w14:paraId="1FA319BD"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60</w:t>
            </w:r>
          </w:p>
        </w:tc>
        <w:tc>
          <w:tcPr>
            <w:tcW w:w="1470" w:type="dxa"/>
            <w:shd w:val="clear" w:color="000000" w:fill="A9D08E"/>
            <w:vAlign w:val="center"/>
            <w:hideMark/>
          </w:tcPr>
          <w:p w14:paraId="4F1F379C"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90</w:t>
            </w:r>
          </w:p>
        </w:tc>
        <w:tc>
          <w:tcPr>
            <w:tcW w:w="1606" w:type="dxa"/>
            <w:shd w:val="clear" w:color="000000" w:fill="A9D08E"/>
            <w:vAlign w:val="center"/>
            <w:hideMark/>
          </w:tcPr>
          <w:p w14:paraId="7BA52E3D"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71</w:t>
            </w:r>
          </w:p>
        </w:tc>
        <w:tc>
          <w:tcPr>
            <w:tcW w:w="1496" w:type="dxa"/>
            <w:shd w:val="clear" w:color="000000" w:fill="A9D08E"/>
            <w:vAlign w:val="center"/>
            <w:hideMark/>
          </w:tcPr>
          <w:p w14:paraId="0AEBE0CF"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69</w:t>
            </w:r>
          </w:p>
        </w:tc>
        <w:tc>
          <w:tcPr>
            <w:tcW w:w="1608" w:type="dxa"/>
            <w:shd w:val="clear" w:color="000000" w:fill="A9D08E"/>
            <w:vAlign w:val="center"/>
            <w:hideMark/>
          </w:tcPr>
          <w:p w14:paraId="161C286A"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71</w:t>
            </w:r>
          </w:p>
        </w:tc>
        <w:tc>
          <w:tcPr>
            <w:tcW w:w="1617" w:type="dxa"/>
            <w:shd w:val="clear" w:color="000000" w:fill="A9D08E"/>
            <w:vAlign w:val="center"/>
            <w:hideMark/>
          </w:tcPr>
          <w:p w14:paraId="51471B5C"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85</w:t>
            </w:r>
          </w:p>
        </w:tc>
      </w:tr>
      <w:tr w:rsidR="004559AD" w:rsidRPr="00295676" w14:paraId="136F83F5" w14:textId="77777777" w:rsidTr="00C42838">
        <w:trPr>
          <w:trHeight w:val="375"/>
        </w:trPr>
        <w:tc>
          <w:tcPr>
            <w:tcW w:w="4828" w:type="dxa"/>
            <w:shd w:val="clear" w:color="auto" w:fill="auto"/>
            <w:vAlign w:val="center"/>
            <w:hideMark/>
          </w:tcPr>
          <w:p w14:paraId="5F31A98F" w14:textId="77777777" w:rsidR="004559AD" w:rsidRPr="00295676" w:rsidRDefault="004559AD" w:rsidP="00C42838">
            <w:pPr>
              <w:spacing w:after="0" w:line="276" w:lineRule="auto"/>
              <w:rPr>
                <w:rFonts w:eastAsia="Times New Roman" w:cs="Times New Roman"/>
                <w:color w:val="000000"/>
                <w:szCs w:val="24"/>
                <w:lang w:eastAsia="en-GB"/>
              </w:rPr>
            </w:pPr>
            <w:proofErr w:type="spellStart"/>
            <w:r w:rsidRPr="00295676">
              <w:rPr>
                <w:rFonts w:eastAsia="Times New Roman" w:cs="Times New Roman"/>
                <w:color w:val="000000"/>
                <w:szCs w:val="24"/>
                <w:lang w:eastAsia="en-GB"/>
              </w:rPr>
              <w:t>Joung</w:t>
            </w:r>
            <w:proofErr w:type="spellEnd"/>
            <w:r w:rsidRPr="00295676">
              <w:rPr>
                <w:rFonts w:eastAsia="Times New Roman" w:cs="Times New Roman"/>
                <w:color w:val="000000"/>
                <w:szCs w:val="24"/>
                <w:lang w:eastAsia="en-GB"/>
              </w:rPr>
              <w:t xml:space="preserve"> (2018)</w:t>
            </w:r>
            <w:r w:rsidRPr="003B75B0">
              <w:rPr>
                <w:rFonts w:eastAsia="Times New Roman" w:cs="Times New Roman"/>
                <w:noProof/>
                <w:color w:val="000000"/>
                <w:szCs w:val="24"/>
                <w:vertAlign w:val="superscript"/>
                <w:lang w:eastAsia="en-GB"/>
              </w:rPr>
              <w:t>21</w:t>
            </w:r>
            <w:r w:rsidRPr="00295676">
              <w:rPr>
                <w:rFonts w:eastAsia="Times New Roman" w:cs="Times New Roman"/>
                <w:color w:val="000000"/>
                <w:szCs w:val="24"/>
                <w:lang w:eastAsia="en-GB"/>
              </w:rPr>
              <w:t xml:space="preserve"> </w:t>
            </w:r>
          </w:p>
        </w:tc>
        <w:tc>
          <w:tcPr>
            <w:tcW w:w="1410" w:type="dxa"/>
            <w:shd w:val="clear" w:color="000000" w:fill="FF8181"/>
            <w:vAlign w:val="center"/>
            <w:hideMark/>
          </w:tcPr>
          <w:p w14:paraId="0F42BA6E"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56</w:t>
            </w:r>
          </w:p>
        </w:tc>
        <w:tc>
          <w:tcPr>
            <w:tcW w:w="1470" w:type="dxa"/>
            <w:shd w:val="clear" w:color="000000" w:fill="FF8181"/>
            <w:vAlign w:val="center"/>
            <w:hideMark/>
          </w:tcPr>
          <w:p w14:paraId="0DF6BB85"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11</w:t>
            </w:r>
          </w:p>
        </w:tc>
        <w:tc>
          <w:tcPr>
            <w:tcW w:w="1606" w:type="dxa"/>
            <w:shd w:val="clear" w:color="000000" w:fill="FF8181"/>
            <w:vAlign w:val="center"/>
            <w:hideMark/>
          </w:tcPr>
          <w:p w14:paraId="4D84A193"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32</w:t>
            </w:r>
          </w:p>
        </w:tc>
        <w:tc>
          <w:tcPr>
            <w:tcW w:w="1496" w:type="dxa"/>
            <w:shd w:val="clear" w:color="000000" w:fill="A9D08E"/>
            <w:vAlign w:val="center"/>
            <w:hideMark/>
          </w:tcPr>
          <w:p w14:paraId="74377072"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81</w:t>
            </w:r>
          </w:p>
        </w:tc>
        <w:tc>
          <w:tcPr>
            <w:tcW w:w="1608" w:type="dxa"/>
            <w:shd w:val="clear" w:color="000000" w:fill="FF8181"/>
            <w:vAlign w:val="center"/>
            <w:hideMark/>
          </w:tcPr>
          <w:p w14:paraId="0DE1C2C6"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w:t>
            </w:r>
          </w:p>
        </w:tc>
        <w:tc>
          <w:tcPr>
            <w:tcW w:w="1617" w:type="dxa"/>
            <w:shd w:val="clear" w:color="000000" w:fill="FF8181"/>
            <w:vAlign w:val="center"/>
            <w:hideMark/>
          </w:tcPr>
          <w:p w14:paraId="28F9D510"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56</w:t>
            </w:r>
          </w:p>
        </w:tc>
      </w:tr>
      <w:tr w:rsidR="004559AD" w:rsidRPr="00295676" w14:paraId="76DEE8E1" w14:textId="77777777" w:rsidTr="00C42838">
        <w:trPr>
          <w:trHeight w:val="525"/>
        </w:trPr>
        <w:tc>
          <w:tcPr>
            <w:tcW w:w="4828" w:type="dxa"/>
            <w:shd w:val="clear" w:color="auto" w:fill="auto"/>
            <w:vAlign w:val="center"/>
            <w:hideMark/>
          </w:tcPr>
          <w:p w14:paraId="382609DF"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Stroke Foundation/Australian Department of Health (2017)</w:t>
            </w:r>
            <w:r w:rsidRPr="003B75B0">
              <w:rPr>
                <w:rFonts w:eastAsia="Times New Roman" w:cs="Times New Roman"/>
                <w:noProof/>
                <w:color w:val="000000"/>
                <w:szCs w:val="24"/>
                <w:vertAlign w:val="superscript"/>
                <w:lang w:eastAsia="en-GB"/>
              </w:rPr>
              <w:t>22</w:t>
            </w:r>
            <w:r w:rsidRPr="00295676">
              <w:rPr>
                <w:rFonts w:eastAsia="Times New Roman" w:cs="Times New Roman"/>
                <w:color w:val="000000"/>
                <w:szCs w:val="24"/>
                <w:lang w:eastAsia="en-GB"/>
              </w:rPr>
              <w:t xml:space="preserve"> </w:t>
            </w:r>
          </w:p>
        </w:tc>
        <w:tc>
          <w:tcPr>
            <w:tcW w:w="1410" w:type="dxa"/>
            <w:shd w:val="clear" w:color="000000" w:fill="A9D08E"/>
            <w:vAlign w:val="center"/>
            <w:hideMark/>
          </w:tcPr>
          <w:p w14:paraId="26558EDF"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100</w:t>
            </w:r>
          </w:p>
        </w:tc>
        <w:tc>
          <w:tcPr>
            <w:tcW w:w="1470" w:type="dxa"/>
            <w:shd w:val="clear" w:color="000000" w:fill="A9D08E"/>
            <w:vAlign w:val="center"/>
            <w:hideMark/>
          </w:tcPr>
          <w:p w14:paraId="3B56D934"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94</w:t>
            </w:r>
          </w:p>
        </w:tc>
        <w:tc>
          <w:tcPr>
            <w:tcW w:w="1606" w:type="dxa"/>
            <w:shd w:val="clear" w:color="000000" w:fill="A9D08E"/>
            <w:vAlign w:val="center"/>
            <w:hideMark/>
          </w:tcPr>
          <w:p w14:paraId="0DD771B7"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91</w:t>
            </w:r>
          </w:p>
        </w:tc>
        <w:tc>
          <w:tcPr>
            <w:tcW w:w="1496" w:type="dxa"/>
            <w:shd w:val="clear" w:color="000000" w:fill="A9D08E"/>
            <w:vAlign w:val="center"/>
            <w:hideMark/>
          </w:tcPr>
          <w:p w14:paraId="1D323A72"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93</w:t>
            </w:r>
          </w:p>
        </w:tc>
        <w:tc>
          <w:tcPr>
            <w:tcW w:w="1608" w:type="dxa"/>
            <w:shd w:val="clear" w:color="000000" w:fill="A9D08E"/>
            <w:vAlign w:val="center"/>
            <w:hideMark/>
          </w:tcPr>
          <w:p w14:paraId="2AF8ED66"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81</w:t>
            </w:r>
          </w:p>
        </w:tc>
        <w:tc>
          <w:tcPr>
            <w:tcW w:w="1617" w:type="dxa"/>
            <w:shd w:val="clear" w:color="000000" w:fill="A9D08E"/>
            <w:vAlign w:val="center"/>
            <w:hideMark/>
          </w:tcPr>
          <w:p w14:paraId="2AB82E8F"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100</w:t>
            </w:r>
          </w:p>
        </w:tc>
      </w:tr>
      <w:tr w:rsidR="004559AD" w:rsidRPr="00295676" w14:paraId="78C76F39" w14:textId="77777777" w:rsidTr="00C42838">
        <w:trPr>
          <w:trHeight w:val="70"/>
        </w:trPr>
        <w:tc>
          <w:tcPr>
            <w:tcW w:w="4828" w:type="dxa"/>
            <w:shd w:val="clear" w:color="auto" w:fill="auto"/>
            <w:vAlign w:val="center"/>
            <w:hideMark/>
          </w:tcPr>
          <w:p w14:paraId="60990423" w14:textId="77777777" w:rsidR="004559AD" w:rsidRPr="00295676" w:rsidRDefault="004559AD" w:rsidP="00C42838">
            <w:pPr>
              <w:spacing w:after="0" w:line="276" w:lineRule="auto"/>
              <w:rPr>
                <w:rFonts w:eastAsia="Times New Roman" w:cs="Times New Roman"/>
                <w:color w:val="000000"/>
                <w:szCs w:val="24"/>
                <w:lang w:eastAsia="en-GB"/>
              </w:rPr>
            </w:pPr>
            <w:proofErr w:type="spellStart"/>
            <w:r w:rsidRPr="00295676">
              <w:rPr>
                <w:rFonts w:eastAsia="Times New Roman" w:cs="Times New Roman"/>
                <w:color w:val="000000"/>
                <w:szCs w:val="24"/>
                <w:lang w:eastAsia="en-GB"/>
              </w:rPr>
              <w:t>Saric</w:t>
            </w:r>
            <w:proofErr w:type="spellEnd"/>
            <w:r w:rsidRPr="00295676">
              <w:rPr>
                <w:rFonts w:eastAsia="Times New Roman" w:cs="Times New Roman"/>
                <w:color w:val="000000"/>
                <w:szCs w:val="24"/>
                <w:lang w:eastAsia="en-GB"/>
              </w:rPr>
              <w:t xml:space="preserve"> (2016)</w:t>
            </w:r>
            <w:r w:rsidRPr="003B75B0">
              <w:rPr>
                <w:rFonts w:eastAsia="Times New Roman" w:cs="Times New Roman"/>
                <w:noProof/>
                <w:color w:val="000000"/>
                <w:szCs w:val="24"/>
                <w:vertAlign w:val="superscript"/>
                <w:lang w:eastAsia="en-GB"/>
              </w:rPr>
              <w:t>23</w:t>
            </w:r>
            <w:r w:rsidRPr="00295676">
              <w:rPr>
                <w:rFonts w:eastAsia="Times New Roman" w:cs="Times New Roman"/>
                <w:color w:val="000000"/>
                <w:szCs w:val="24"/>
                <w:lang w:eastAsia="en-GB"/>
              </w:rPr>
              <w:t xml:space="preserve"> </w:t>
            </w:r>
          </w:p>
        </w:tc>
        <w:tc>
          <w:tcPr>
            <w:tcW w:w="1410" w:type="dxa"/>
            <w:shd w:val="clear" w:color="000000" w:fill="A9D08E"/>
            <w:vAlign w:val="center"/>
            <w:hideMark/>
          </w:tcPr>
          <w:p w14:paraId="69408B0E"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71</w:t>
            </w:r>
          </w:p>
        </w:tc>
        <w:tc>
          <w:tcPr>
            <w:tcW w:w="1470" w:type="dxa"/>
            <w:shd w:val="clear" w:color="000000" w:fill="FF8181"/>
            <w:vAlign w:val="center"/>
            <w:hideMark/>
          </w:tcPr>
          <w:p w14:paraId="6C2377D8"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15</w:t>
            </w:r>
          </w:p>
        </w:tc>
        <w:tc>
          <w:tcPr>
            <w:tcW w:w="1606" w:type="dxa"/>
            <w:shd w:val="clear" w:color="000000" w:fill="FF8181"/>
            <w:vAlign w:val="center"/>
            <w:hideMark/>
          </w:tcPr>
          <w:p w14:paraId="27B9788E"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24</w:t>
            </w:r>
          </w:p>
        </w:tc>
        <w:tc>
          <w:tcPr>
            <w:tcW w:w="1496" w:type="dxa"/>
            <w:shd w:val="clear" w:color="000000" w:fill="A9D08E"/>
            <w:vAlign w:val="center"/>
            <w:hideMark/>
          </w:tcPr>
          <w:p w14:paraId="1152A665"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63</w:t>
            </w:r>
          </w:p>
        </w:tc>
        <w:tc>
          <w:tcPr>
            <w:tcW w:w="1608" w:type="dxa"/>
            <w:shd w:val="clear" w:color="000000" w:fill="FF8181"/>
            <w:vAlign w:val="center"/>
            <w:hideMark/>
          </w:tcPr>
          <w:p w14:paraId="2AC63D1F"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w:t>
            </w:r>
          </w:p>
        </w:tc>
        <w:tc>
          <w:tcPr>
            <w:tcW w:w="1617" w:type="dxa"/>
            <w:shd w:val="clear" w:color="000000" w:fill="FF8181"/>
            <w:vAlign w:val="center"/>
            <w:hideMark/>
          </w:tcPr>
          <w:p w14:paraId="12238C3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38</w:t>
            </w:r>
          </w:p>
        </w:tc>
      </w:tr>
      <w:tr w:rsidR="004559AD" w:rsidRPr="00295676" w14:paraId="08314C76" w14:textId="77777777" w:rsidTr="00C42838">
        <w:trPr>
          <w:trHeight w:val="286"/>
        </w:trPr>
        <w:tc>
          <w:tcPr>
            <w:tcW w:w="4828" w:type="dxa"/>
            <w:shd w:val="clear" w:color="auto" w:fill="auto"/>
            <w:vAlign w:val="center"/>
            <w:hideMark/>
          </w:tcPr>
          <w:p w14:paraId="1602DBF7"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Intercollegiate Stroke Working Party (2016)</w:t>
            </w:r>
            <w:r w:rsidRPr="00902C82">
              <w:rPr>
                <w:rFonts w:eastAsia="Times New Roman" w:cs="Times New Roman"/>
                <w:noProof/>
                <w:color w:val="000000"/>
                <w:szCs w:val="24"/>
                <w:vertAlign w:val="superscript"/>
                <w:lang w:eastAsia="en-GB"/>
              </w:rPr>
              <w:t>24</w:t>
            </w:r>
            <w:r w:rsidRPr="00295676">
              <w:rPr>
                <w:rFonts w:eastAsia="Times New Roman" w:cs="Times New Roman"/>
                <w:color w:val="000000"/>
                <w:szCs w:val="24"/>
                <w:lang w:eastAsia="en-GB"/>
              </w:rPr>
              <w:t xml:space="preserve"> </w:t>
            </w:r>
          </w:p>
        </w:tc>
        <w:tc>
          <w:tcPr>
            <w:tcW w:w="1410" w:type="dxa"/>
            <w:shd w:val="clear" w:color="000000" w:fill="A9D08E"/>
            <w:vAlign w:val="center"/>
            <w:hideMark/>
          </w:tcPr>
          <w:p w14:paraId="06BD48C2"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86</w:t>
            </w:r>
          </w:p>
        </w:tc>
        <w:tc>
          <w:tcPr>
            <w:tcW w:w="1470" w:type="dxa"/>
            <w:shd w:val="clear" w:color="000000" w:fill="A9D08E"/>
            <w:vAlign w:val="center"/>
            <w:hideMark/>
          </w:tcPr>
          <w:p w14:paraId="269CEC88"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67</w:t>
            </w:r>
          </w:p>
        </w:tc>
        <w:tc>
          <w:tcPr>
            <w:tcW w:w="1606" w:type="dxa"/>
            <w:shd w:val="clear" w:color="auto" w:fill="A9D08E"/>
            <w:vAlign w:val="center"/>
            <w:hideMark/>
          </w:tcPr>
          <w:p w14:paraId="6D2ADDC4"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60</w:t>
            </w:r>
          </w:p>
        </w:tc>
        <w:tc>
          <w:tcPr>
            <w:tcW w:w="1496" w:type="dxa"/>
            <w:shd w:val="clear" w:color="000000" w:fill="A9D08E"/>
            <w:vAlign w:val="center"/>
            <w:hideMark/>
          </w:tcPr>
          <w:p w14:paraId="208AA988"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88</w:t>
            </w:r>
          </w:p>
        </w:tc>
        <w:tc>
          <w:tcPr>
            <w:tcW w:w="1608" w:type="dxa"/>
            <w:shd w:val="clear" w:color="000000" w:fill="FF8181"/>
            <w:vAlign w:val="center"/>
            <w:hideMark/>
          </w:tcPr>
          <w:p w14:paraId="02968DA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57</w:t>
            </w:r>
          </w:p>
        </w:tc>
        <w:tc>
          <w:tcPr>
            <w:tcW w:w="1617" w:type="dxa"/>
            <w:shd w:val="clear" w:color="000000" w:fill="A9D08E"/>
            <w:vAlign w:val="center"/>
            <w:hideMark/>
          </w:tcPr>
          <w:p w14:paraId="64C582A1"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94</w:t>
            </w:r>
          </w:p>
        </w:tc>
      </w:tr>
      <w:tr w:rsidR="004559AD" w:rsidRPr="00295676" w14:paraId="25A0AECA" w14:textId="77777777" w:rsidTr="00C42838">
        <w:trPr>
          <w:trHeight w:val="293"/>
        </w:trPr>
        <w:tc>
          <w:tcPr>
            <w:tcW w:w="4828" w:type="dxa"/>
            <w:shd w:val="clear" w:color="auto" w:fill="auto"/>
            <w:vAlign w:val="center"/>
            <w:hideMark/>
          </w:tcPr>
          <w:p w14:paraId="664EF98C" w14:textId="77777777" w:rsidR="004559AD" w:rsidRPr="00295676" w:rsidRDefault="004559AD" w:rsidP="00C42838">
            <w:pPr>
              <w:spacing w:after="0" w:line="276" w:lineRule="auto"/>
              <w:rPr>
                <w:rFonts w:eastAsia="Times New Roman" w:cs="Times New Roman"/>
                <w:color w:val="000000"/>
                <w:szCs w:val="24"/>
                <w:lang w:eastAsia="en-GB"/>
              </w:rPr>
            </w:pPr>
            <w:proofErr w:type="spellStart"/>
            <w:r w:rsidRPr="00295676">
              <w:rPr>
                <w:rFonts w:eastAsia="Times New Roman" w:cs="Times New Roman"/>
                <w:color w:val="000000"/>
                <w:szCs w:val="24"/>
                <w:lang w:eastAsia="en-GB"/>
              </w:rPr>
              <w:t>Kirchhof</w:t>
            </w:r>
            <w:proofErr w:type="spellEnd"/>
            <w:r w:rsidRPr="00295676">
              <w:rPr>
                <w:rFonts w:eastAsia="Times New Roman" w:cs="Times New Roman"/>
                <w:color w:val="000000"/>
                <w:szCs w:val="24"/>
                <w:lang w:eastAsia="en-GB"/>
              </w:rPr>
              <w:t xml:space="preserve"> (2016)</w:t>
            </w:r>
            <w:r w:rsidRPr="00902C82">
              <w:rPr>
                <w:rFonts w:eastAsia="Times New Roman" w:cs="Times New Roman"/>
                <w:noProof/>
                <w:color w:val="000000"/>
                <w:szCs w:val="24"/>
                <w:vertAlign w:val="superscript"/>
                <w:lang w:eastAsia="en-GB"/>
              </w:rPr>
              <w:t>25</w:t>
            </w:r>
            <w:r w:rsidRPr="00295676">
              <w:rPr>
                <w:rFonts w:eastAsia="Times New Roman" w:cs="Times New Roman"/>
                <w:color w:val="000000"/>
                <w:szCs w:val="24"/>
                <w:lang w:eastAsia="en-GB"/>
              </w:rPr>
              <w:t xml:space="preserve"> </w:t>
            </w:r>
          </w:p>
        </w:tc>
        <w:tc>
          <w:tcPr>
            <w:tcW w:w="1410" w:type="dxa"/>
            <w:shd w:val="clear" w:color="000000" w:fill="FF8181"/>
            <w:vAlign w:val="center"/>
            <w:hideMark/>
          </w:tcPr>
          <w:p w14:paraId="7EC84FEA"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58</w:t>
            </w:r>
          </w:p>
        </w:tc>
        <w:tc>
          <w:tcPr>
            <w:tcW w:w="1470" w:type="dxa"/>
            <w:shd w:val="clear" w:color="000000" w:fill="FF8181"/>
            <w:vAlign w:val="center"/>
            <w:hideMark/>
          </w:tcPr>
          <w:p w14:paraId="65AEBEF7"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33</w:t>
            </w:r>
          </w:p>
        </w:tc>
        <w:tc>
          <w:tcPr>
            <w:tcW w:w="1606" w:type="dxa"/>
            <w:shd w:val="clear" w:color="000000" w:fill="A9D08E"/>
            <w:vAlign w:val="center"/>
            <w:hideMark/>
          </w:tcPr>
          <w:p w14:paraId="7BE0E66A"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67</w:t>
            </w:r>
          </w:p>
        </w:tc>
        <w:tc>
          <w:tcPr>
            <w:tcW w:w="1496" w:type="dxa"/>
            <w:shd w:val="clear" w:color="000000" w:fill="A9D08E"/>
            <w:vAlign w:val="center"/>
            <w:hideMark/>
          </w:tcPr>
          <w:p w14:paraId="7DF464C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89</w:t>
            </w:r>
          </w:p>
        </w:tc>
        <w:tc>
          <w:tcPr>
            <w:tcW w:w="1608" w:type="dxa"/>
            <w:shd w:val="clear" w:color="000000" w:fill="FF8181"/>
            <w:vAlign w:val="center"/>
            <w:hideMark/>
          </w:tcPr>
          <w:p w14:paraId="23CBBC5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33</w:t>
            </w:r>
          </w:p>
        </w:tc>
        <w:tc>
          <w:tcPr>
            <w:tcW w:w="1617" w:type="dxa"/>
            <w:shd w:val="clear" w:color="000000" w:fill="A9D08E"/>
            <w:vAlign w:val="center"/>
            <w:hideMark/>
          </w:tcPr>
          <w:p w14:paraId="5A05A53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65</w:t>
            </w:r>
          </w:p>
        </w:tc>
      </w:tr>
      <w:tr w:rsidR="004559AD" w:rsidRPr="00295676" w14:paraId="69EBCAAF" w14:textId="77777777" w:rsidTr="00C42838">
        <w:trPr>
          <w:trHeight w:val="291"/>
        </w:trPr>
        <w:tc>
          <w:tcPr>
            <w:tcW w:w="4828" w:type="dxa"/>
            <w:shd w:val="clear" w:color="auto" w:fill="auto"/>
            <w:vAlign w:val="center"/>
            <w:hideMark/>
          </w:tcPr>
          <w:p w14:paraId="205E3382"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Ministry of Public Health (2016) [Qatar]</w:t>
            </w:r>
            <w:r w:rsidRPr="00902C82">
              <w:rPr>
                <w:rFonts w:eastAsia="Times New Roman" w:cs="Times New Roman"/>
                <w:noProof/>
                <w:color w:val="000000"/>
                <w:szCs w:val="24"/>
                <w:vertAlign w:val="superscript"/>
                <w:lang w:eastAsia="en-GB"/>
              </w:rPr>
              <w:t>26</w:t>
            </w:r>
          </w:p>
        </w:tc>
        <w:tc>
          <w:tcPr>
            <w:tcW w:w="1410" w:type="dxa"/>
            <w:shd w:val="clear" w:color="000000" w:fill="A9D08E"/>
            <w:vAlign w:val="center"/>
            <w:hideMark/>
          </w:tcPr>
          <w:p w14:paraId="58EAB793"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65</w:t>
            </w:r>
          </w:p>
        </w:tc>
        <w:tc>
          <w:tcPr>
            <w:tcW w:w="1470" w:type="dxa"/>
            <w:shd w:val="clear" w:color="000000" w:fill="FF8181"/>
            <w:vAlign w:val="center"/>
            <w:hideMark/>
          </w:tcPr>
          <w:p w14:paraId="3F9168D4"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49</w:t>
            </w:r>
          </w:p>
        </w:tc>
        <w:tc>
          <w:tcPr>
            <w:tcW w:w="1606" w:type="dxa"/>
            <w:shd w:val="clear" w:color="000000" w:fill="FF8181"/>
            <w:vAlign w:val="center"/>
            <w:hideMark/>
          </w:tcPr>
          <w:p w14:paraId="486F7278"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31</w:t>
            </w:r>
          </w:p>
        </w:tc>
        <w:tc>
          <w:tcPr>
            <w:tcW w:w="1496" w:type="dxa"/>
            <w:shd w:val="clear" w:color="000000" w:fill="A9D08E"/>
            <w:vAlign w:val="center"/>
            <w:hideMark/>
          </w:tcPr>
          <w:p w14:paraId="76873D2F"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81</w:t>
            </w:r>
          </w:p>
        </w:tc>
        <w:tc>
          <w:tcPr>
            <w:tcW w:w="1608" w:type="dxa"/>
            <w:shd w:val="clear" w:color="000000" w:fill="FF8181"/>
            <w:vAlign w:val="center"/>
            <w:hideMark/>
          </w:tcPr>
          <w:p w14:paraId="3D431AE0"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w:t>
            </w:r>
          </w:p>
        </w:tc>
        <w:tc>
          <w:tcPr>
            <w:tcW w:w="1617" w:type="dxa"/>
            <w:shd w:val="clear" w:color="000000" w:fill="A9D08E"/>
            <w:vAlign w:val="center"/>
            <w:hideMark/>
          </w:tcPr>
          <w:p w14:paraId="526AE54E"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73</w:t>
            </w:r>
          </w:p>
        </w:tc>
      </w:tr>
      <w:tr w:rsidR="004559AD" w:rsidRPr="00295676" w14:paraId="2D6EBC2D" w14:textId="77777777" w:rsidTr="00C42838">
        <w:trPr>
          <w:trHeight w:val="70"/>
        </w:trPr>
        <w:tc>
          <w:tcPr>
            <w:tcW w:w="4828" w:type="dxa"/>
            <w:shd w:val="clear" w:color="auto" w:fill="auto"/>
            <w:vAlign w:val="center"/>
            <w:hideMark/>
          </w:tcPr>
          <w:p w14:paraId="15CB8440"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Verma (2014)</w:t>
            </w:r>
            <w:r w:rsidRPr="00902C82">
              <w:rPr>
                <w:rFonts w:eastAsia="Times New Roman" w:cs="Times New Roman"/>
                <w:noProof/>
                <w:color w:val="000000"/>
                <w:szCs w:val="24"/>
                <w:vertAlign w:val="superscript"/>
                <w:lang w:eastAsia="en-GB"/>
              </w:rPr>
              <w:t>27</w:t>
            </w:r>
            <w:r w:rsidRPr="00295676">
              <w:rPr>
                <w:rFonts w:eastAsia="Times New Roman" w:cs="Times New Roman"/>
                <w:color w:val="000000"/>
                <w:szCs w:val="24"/>
                <w:lang w:eastAsia="en-GB"/>
              </w:rPr>
              <w:t xml:space="preserve"> </w:t>
            </w:r>
          </w:p>
        </w:tc>
        <w:tc>
          <w:tcPr>
            <w:tcW w:w="1410" w:type="dxa"/>
            <w:shd w:val="clear" w:color="000000" w:fill="FF8181"/>
            <w:vAlign w:val="center"/>
            <w:hideMark/>
          </w:tcPr>
          <w:p w14:paraId="3B9D5B93"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50</w:t>
            </w:r>
          </w:p>
        </w:tc>
        <w:tc>
          <w:tcPr>
            <w:tcW w:w="1470" w:type="dxa"/>
            <w:shd w:val="clear" w:color="000000" w:fill="FF8181"/>
            <w:vAlign w:val="center"/>
            <w:hideMark/>
          </w:tcPr>
          <w:p w14:paraId="1ECEE574"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42</w:t>
            </w:r>
          </w:p>
        </w:tc>
        <w:tc>
          <w:tcPr>
            <w:tcW w:w="1606" w:type="dxa"/>
            <w:shd w:val="clear" w:color="000000" w:fill="FF8181"/>
            <w:vAlign w:val="center"/>
            <w:hideMark/>
          </w:tcPr>
          <w:p w14:paraId="02455ED3"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10</w:t>
            </w:r>
          </w:p>
        </w:tc>
        <w:tc>
          <w:tcPr>
            <w:tcW w:w="1496" w:type="dxa"/>
            <w:shd w:val="clear" w:color="000000" w:fill="A9D08E"/>
            <w:vAlign w:val="center"/>
            <w:hideMark/>
          </w:tcPr>
          <w:p w14:paraId="3A53634C"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82</w:t>
            </w:r>
          </w:p>
        </w:tc>
        <w:tc>
          <w:tcPr>
            <w:tcW w:w="1608" w:type="dxa"/>
            <w:shd w:val="clear" w:color="000000" w:fill="FF8181"/>
            <w:vAlign w:val="center"/>
            <w:hideMark/>
          </w:tcPr>
          <w:p w14:paraId="2C153F9E"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35</w:t>
            </w:r>
          </w:p>
        </w:tc>
        <w:tc>
          <w:tcPr>
            <w:tcW w:w="1617" w:type="dxa"/>
            <w:shd w:val="clear" w:color="000000" w:fill="FF8181"/>
            <w:vAlign w:val="center"/>
            <w:hideMark/>
          </w:tcPr>
          <w:p w14:paraId="4636552F"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40</w:t>
            </w:r>
          </w:p>
        </w:tc>
      </w:tr>
      <w:tr w:rsidR="004559AD" w:rsidRPr="00295676" w14:paraId="3CE2DABE" w14:textId="77777777" w:rsidTr="00C42838">
        <w:trPr>
          <w:trHeight w:val="452"/>
        </w:trPr>
        <w:tc>
          <w:tcPr>
            <w:tcW w:w="4828" w:type="dxa"/>
            <w:shd w:val="clear" w:color="auto" w:fill="auto"/>
            <w:vAlign w:val="center"/>
            <w:hideMark/>
          </w:tcPr>
          <w:p w14:paraId="0C35C47F"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National Institute for Health and Care Excellence (2014)</w:t>
            </w:r>
            <w:r w:rsidRPr="00902C82">
              <w:rPr>
                <w:rFonts w:eastAsia="Times New Roman" w:cs="Times New Roman"/>
                <w:noProof/>
                <w:color w:val="000000"/>
                <w:szCs w:val="24"/>
                <w:vertAlign w:val="superscript"/>
                <w:lang w:eastAsia="en-GB"/>
              </w:rPr>
              <w:t>28</w:t>
            </w:r>
            <w:r w:rsidRPr="00295676">
              <w:rPr>
                <w:rFonts w:eastAsia="Times New Roman" w:cs="Times New Roman"/>
                <w:color w:val="000000"/>
                <w:szCs w:val="24"/>
                <w:lang w:eastAsia="en-GB"/>
              </w:rPr>
              <w:t xml:space="preserve"> </w:t>
            </w:r>
          </w:p>
        </w:tc>
        <w:tc>
          <w:tcPr>
            <w:tcW w:w="1410" w:type="dxa"/>
            <w:shd w:val="clear" w:color="000000" w:fill="A9D08E"/>
            <w:vAlign w:val="center"/>
            <w:hideMark/>
          </w:tcPr>
          <w:p w14:paraId="05BFEDD1"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88</w:t>
            </w:r>
          </w:p>
        </w:tc>
        <w:tc>
          <w:tcPr>
            <w:tcW w:w="1470" w:type="dxa"/>
            <w:shd w:val="clear" w:color="000000" w:fill="A9D08E"/>
            <w:vAlign w:val="center"/>
            <w:hideMark/>
          </w:tcPr>
          <w:p w14:paraId="2F132ED0"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94</w:t>
            </w:r>
          </w:p>
        </w:tc>
        <w:tc>
          <w:tcPr>
            <w:tcW w:w="1606" w:type="dxa"/>
            <w:shd w:val="clear" w:color="000000" w:fill="A9D08E"/>
            <w:vAlign w:val="center"/>
            <w:hideMark/>
          </w:tcPr>
          <w:p w14:paraId="0DF7AAC5"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91</w:t>
            </w:r>
          </w:p>
        </w:tc>
        <w:tc>
          <w:tcPr>
            <w:tcW w:w="1496" w:type="dxa"/>
            <w:shd w:val="clear" w:color="000000" w:fill="A9D08E"/>
            <w:vAlign w:val="center"/>
            <w:hideMark/>
          </w:tcPr>
          <w:p w14:paraId="715F0CCC"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89</w:t>
            </w:r>
          </w:p>
        </w:tc>
        <w:tc>
          <w:tcPr>
            <w:tcW w:w="1608" w:type="dxa"/>
            <w:shd w:val="clear" w:color="000000" w:fill="A9D08E"/>
            <w:vAlign w:val="center"/>
            <w:hideMark/>
          </w:tcPr>
          <w:p w14:paraId="667AE804"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90</w:t>
            </w:r>
          </w:p>
        </w:tc>
        <w:tc>
          <w:tcPr>
            <w:tcW w:w="1617" w:type="dxa"/>
            <w:shd w:val="clear" w:color="000000" w:fill="A9D08E"/>
            <w:vAlign w:val="center"/>
            <w:hideMark/>
          </w:tcPr>
          <w:p w14:paraId="1423CFAD"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79</w:t>
            </w:r>
          </w:p>
        </w:tc>
      </w:tr>
      <w:tr w:rsidR="004559AD" w:rsidRPr="00295676" w14:paraId="0BC791B0" w14:textId="77777777" w:rsidTr="00C42838">
        <w:trPr>
          <w:trHeight w:val="70"/>
        </w:trPr>
        <w:tc>
          <w:tcPr>
            <w:tcW w:w="4828" w:type="dxa"/>
            <w:shd w:val="clear" w:color="auto" w:fill="auto"/>
            <w:vAlign w:val="center"/>
            <w:hideMark/>
          </w:tcPr>
          <w:p w14:paraId="65EE7C05"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Oliveira-Filho (2012)</w:t>
            </w:r>
            <w:r w:rsidRPr="00902C82">
              <w:rPr>
                <w:rFonts w:eastAsia="Times New Roman" w:cs="Times New Roman"/>
                <w:noProof/>
                <w:color w:val="000000"/>
                <w:szCs w:val="24"/>
                <w:vertAlign w:val="superscript"/>
                <w:lang w:eastAsia="en-GB"/>
              </w:rPr>
              <w:t>29</w:t>
            </w:r>
            <w:r w:rsidRPr="00295676">
              <w:rPr>
                <w:rFonts w:eastAsia="Times New Roman" w:cs="Times New Roman"/>
                <w:color w:val="000000"/>
                <w:szCs w:val="24"/>
                <w:lang w:eastAsia="en-GB"/>
              </w:rPr>
              <w:t xml:space="preserve"> </w:t>
            </w:r>
          </w:p>
        </w:tc>
        <w:tc>
          <w:tcPr>
            <w:tcW w:w="1410" w:type="dxa"/>
            <w:shd w:val="clear" w:color="000000" w:fill="FF8181"/>
            <w:vAlign w:val="center"/>
            <w:hideMark/>
          </w:tcPr>
          <w:p w14:paraId="0918B339"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43</w:t>
            </w:r>
          </w:p>
        </w:tc>
        <w:tc>
          <w:tcPr>
            <w:tcW w:w="1470" w:type="dxa"/>
            <w:shd w:val="clear" w:color="000000" w:fill="FF8181"/>
            <w:vAlign w:val="center"/>
            <w:hideMark/>
          </w:tcPr>
          <w:p w14:paraId="13A0384C"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26</w:t>
            </w:r>
          </w:p>
        </w:tc>
        <w:tc>
          <w:tcPr>
            <w:tcW w:w="1606" w:type="dxa"/>
            <w:shd w:val="clear" w:color="000000" w:fill="FF8181"/>
            <w:vAlign w:val="center"/>
            <w:hideMark/>
          </w:tcPr>
          <w:p w14:paraId="049C83FE"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w:t>
            </w:r>
          </w:p>
        </w:tc>
        <w:tc>
          <w:tcPr>
            <w:tcW w:w="1496" w:type="dxa"/>
            <w:shd w:val="clear" w:color="000000" w:fill="FF8181"/>
            <w:vAlign w:val="center"/>
            <w:hideMark/>
          </w:tcPr>
          <w:p w14:paraId="03806C96"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57</w:t>
            </w:r>
          </w:p>
        </w:tc>
        <w:tc>
          <w:tcPr>
            <w:tcW w:w="1608" w:type="dxa"/>
            <w:shd w:val="clear" w:color="000000" w:fill="FF8181"/>
            <w:vAlign w:val="center"/>
            <w:hideMark/>
          </w:tcPr>
          <w:p w14:paraId="70D26AA4"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w:t>
            </w:r>
          </w:p>
        </w:tc>
        <w:tc>
          <w:tcPr>
            <w:tcW w:w="1617" w:type="dxa"/>
            <w:shd w:val="clear" w:color="000000" w:fill="FF8181"/>
            <w:vAlign w:val="center"/>
            <w:hideMark/>
          </w:tcPr>
          <w:p w14:paraId="5351FF9A"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17</w:t>
            </w:r>
          </w:p>
        </w:tc>
      </w:tr>
      <w:tr w:rsidR="004559AD" w:rsidRPr="00295676" w14:paraId="2AC3BDB2" w14:textId="77777777" w:rsidTr="00C42838">
        <w:trPr>
          <w:trHeight w:val="770"/>
        </w:trPr>
        <w:tc>
          <w:tcPr>
            <w:tcW w:w="4828" w:type="dxa"/>
            <w:shd w:val="clear" w:color="auto" w:fill="auto"/>
            <w:vAlign w:val="center"/>
            <w:hideMark/>
          </w:tcPr>
          <w:p w14:paraId="022CBF25"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Ministry of Health Malaysia, Academy of Medicine Malaysia, Malaysian Society of Neurosciences (201</w:t>
            </w:r>
            <w:r>
              <w:rPr>
                <w:rFonts w:eastAsia="Times New Roman" w:cs="Times New Roman"/>
                <w:color w:val="000000"/>
                <w:szCs w:val="24"/>
                <w:lang w:eastAsia="en-GB"/>
              </w:rPr>
              <w:t>2</w:t>
            </w:r>
            <w:r w:rsidRPr="00295676">
              <w:rPr>
                <w:rFonts w:eastAsia="Times New Roman" w:cs="Times New Roman"/>
                <w:color w:val="000000"/>
                <w:szCs w:val="24"/>
                <w:lang w:eastAsia="en-GB"/>
              </w:rPr>
              <w:t>)</w:t>
            </w:r>
            <w:r w:rsidRPr="00902C82">
              <w:rPr>
                <w:rFonts w:eastAsia="Times New Roman" w:cs="Times New Roman"/>
                <w:noProof/>
                <w:color w:val="000000"/>
                <w:szCs w:val="24"/>
                <w:vertAlign w:val="superscript"/>
                <w:lang w:eastAsia="en-GB"/>
              </w:rPr>
              <w:t>30</w:t>
            </w:r>
            <w:r w:rsidRPr="00295676">
              <w:rPr>
                <w:rFonts w:eastAsia="Times New Roman" w:cs="Times New Roman"/>
                <w:color w:val="000000"/>
                <w:szCs w:val="24"/>
                <w:lang w:eastAsia="en-GB"/>
              </w:rPr>
              <w:t xml:space="preserve"> </w:t>
            </w:r>
          </w:p>
        </w:tc>
        <w:tc>
          <w:tcPr>
            <w:tcW w:w="1410" w:type="dxa"/>
            <w:shd w:val="clear" w:color="000000" w:fill="A9D08E"/>
            <w:vAlign w:val="center"/>
            <w:hideMark/>
          </w:tcPr>
          <w:p w14:paraId="09AD9662"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94</w:t>
            </w:r>
          </w:p>
        </w:tc>
        <w:tc>
          <w:tcPr>
            <w:tcW w:w="1470" w:type="dxa"/>
            <w:shd w:val="clear" w:color="000000" w:fill="FF8181"/>
            <w:vAlign w:val="center"/>
            <w:hideMark/>
          </w:tcPr>
          <w:p w14:paraId="636ED9F6"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56</w:t>
            </w:r>
          </w:p>
        </w:tc>
        <w:tc>
          <w:tcPr>
            <w:tcW w:w="1606" w:type="dxa"/>
            <w:shd w:val="clear" w:color="000000" w:fill="FF8181"/>
            <w:vAlign w:val="center"/>
            <w:hideMark/>
          </w:tcPr>
          <w:p w14:paraId="2EAC9138"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41</w:t>
            </w:r>
          </w:p>
        </w:tc>
        <w:tc>
          <w:tcPr>
            <w:tcW w:w="1496" w:type="dxa"/>
            <w:shd w:val="clear" w:color="000000" w:fill="A9D08E"/>
            <w:vAlign w:val="center"/>
            <w:hideMark/>
          </w:tcPr>
          <w:p w14:paraId="2D4BDA40"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89</w:t>
            </w:r>
          </w:p>
        </w:tc>
        <w:tc>
          <w:tcPr>
            <w:tcW w:w="1608" w:type="dxa"/>
            <w:shd w:val="clear" w:color="000000" w:fill="A9D08E"/>
            <w:vAlign w:val="center"/>
            <w:hideMark/>
          </w:tcPr>
          <w:p w14:paraId="520098F9"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61</w:t>
            </w:r>
          </w:p>
        </w:tc>
        <w:tc>
          <w:tcPr>
            <w:tcW w:w="1617" w:type="dxa"/>
            <w:shd w:val="clear" w:color="000000" w:fill="FF8181"/>
            <w:vAlign w:val="center"/>
            <w:hideMark/>
          </w:tcPr>
          <w:p w14:paraId="7BF96C7C"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23</w:t>
            </w:r>
          </w:p>
        </w:tc>
      </w:tr>
      <w:tr w:rsidR="004559AD" w:rsidRPr="00295676" w14:paraId="510C2587" w14:textId="77777777" w:rsidTr="00C42838">
        <w:trPr>
          <w:trHeight w:val="361"/>
        </w:trPr>
        <w:tc>
          <w:tcPr>
            <w:tcW w:w="4828" w:type="dxa"/>
            <w:shd w:val="clear" w:color="auto" w:fill="auto"/>
            <w:vAlign w:val="center"/>
            <w:hideMark/>
          </w:tcPr>
          <w:p w14:paraId="325117D4" w14:textId="77777777" w:rsidR="004559AD" w:rsidRPr="00295676" w:rsidRDefault="004559AD" w:rsidP="00C42838">
            <w:pPr>
              <w:spacing w:after="0" w:line="276" w:lineRule="auto"/>
              <w:rPr>
                <w:rFonts w:eastAsia="Times New Roman" w:cs="Times New Roman"/>
                <w:color w:val="000000"/>
                <w:szCs w:val="24"/>
                <w:lang w:eastAsia="en-GB"/>
              </w:rPr>
            </w:pPr>
            <w:proofErr w:type="spellStart"/>
            <w:r w:rsidRPr="00295676">
              <w:rPr>
                <w:rFonts w:eastAsia="Times New Roman" w:cs="Times New Roman"/>
                <w:color w:val="000000"/>
                <w:szCs w:val="24"/>
                <w:lang w:eastAsia="en-GB"/>
              </w:rPr>
              <w:t>Bryer</w:t>
            </w:r>
            <w:proofErr w:type="spellEnd"/>
            <w:r w:rsidRPr="00295676">
              <w:rPr>
                <w:rFonts w:eastAsia="Times New Roman" w:cs="Times New Roman"/>
                <w:color w:val="000000"/>
                <w:szCs w:val="24"/>
                <w:lang w:eastAsia="en-GB"/>
              </w:rPr>
              <w:t xml:space="preserve"> (2010)</w:t>
            </w:r>
            <w:r w:rsidRPr="00902C82">
              <w:rPr>
                <w:rFonts w:eastAsia="Times New Roman" w:cs="Times New Roman"/>
                <w:noProof/>
                <w:color w:val="000000"/>
                <w:szCs w:val="24"/>
                <w:vertAlign w:val="superscript"/>
                <w:lang w:eastAsia="en-GB"/>
              </w:rPr>
              <w:t>31</w:t>
            </w:r>
          </w:p>
        </w:tc>
        <w:tc>
          <w:tcPr>
            <w:tcW w:w="1410" w:type="dxa"/>
            <w:shd w:val="clear" w:color="000000" w:fill="FF8181"/>
            <w:vAlign w:val="center"/>
            <w:hideMark/>
          </w:tcPr>
          <w:p w14:paraId="6C0BE266"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50</w:t>
            </w:r>
          </w:p>
        </w:tc>
        <w:tc>
          <w:tcPr>
            <w:tcW w:w="1470" w:type="dxa"/>
            <w:shd w:val="clear" w:color="000000" w:fill="FF8181"/>
            <w:vAlign w:val="center"/>
            <w:hideMark/>
          </w:tcPr>
          <w:p w14:paraId="1EF960B6"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47</w:t>
            </w:r>
          </w:p>
        </w:tc>
        <w:tc>
          <w:tcPr>
            <w:tcW w:w="1606" w:type="dxa"/>
            <w:shd w:val="clear" w:color="000000" w:fill="FF8181"/>
            <w:vAlign w:val="center"/>
            <w:hideMark/>
          </w:tcPr>
          <w:p w14:paraId="5FFFF11E"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28</w:t>
            </w:r>
          </w:p>
        </w:tc>
        <w:tc>
          <w:tcPr>
            <w:tcW w:w="1496" w:type="dxa"/>
            <w:shd w:val="clear" w:color="000000" w:fill="A9D08E"/>
            <w:vAlign w:val="center"/>
            <w:hideMark/>
          </w:tcPr>
          <w:p w14:paraId="78D20547"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83</w:t>
            </w:r>
          </w:p>
        </w:tc>
        <w:tc>
          <w:tcPr>
            <w:tcW w:w="1608" w:type="dxa"/>
            <w:shd w:val="clear" w:color="000000" w:fill="FF8181"/>
            <w:vAlign w:val="center"/>
            <w:hideMark/>
          </w:tcPr>
          <w:p w14:paraId="2C217EE3"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53</w:t>
            </w:r>
          </w:p>
        </w:tc>
        <w:tc>
          <w:tcPr>
            <w:tcW w:w="1617" w:type="dxa"/>
            <w:shd w:val="clear" w:color="000000" w:fill="A9D08E"/>
            <w:vAlign w:val="center"/>
            <w:hideMark/>
          </w:tcPr>
          <w:p w14:paraId="1C0D9B51"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73</w:t>
            </w:r>
          </w:p>
        </w:tc>
      </w:tr>
      <w:tr w:rsidR="004559AD" w:rsidRPr="00295676" w14:paraId="532805B6" w14:textId="77777777" w:rsidTr="00C42838">
        <w:trPr>
          <w:trHeight w:val="70"/>
        </w:trPr>
        <w:tc>
          <w:tcPr>
            <w:tcW w:w="4828" w:type="dxa"/>
            <w:shd w:val="clear" w:color="auto" w:fill="auto"/>
            <w:vAlign w:val="center"/>
            <w:hideMark/>
          </w:tcPr>
          <w:p w14:paraId="5A08813C"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lastRenderedPageBreak/>
              <w:t>Ministry of Health (2009) [Singapore]</w:t>
            </w:r>
            <w:r w:rsidRPr="00902C82">
              <w:rPr>
                <w:rFonts w:eastAsia="Times New Roman" w:cs="Times New Roman"/>
                <w:noProof/>
                <w:color w:val="000000"/>
                <w:szCs w:val="24"/>
                <w:vertAlign w:val="superscript"/>
                <w:lang w:eastAsia="en-GB"/>
              </w:rPr>
              <w:t>32</w:t>
            </w:r>
          </w:p>
        </w:tc>
        <w:tc>
          <w:tcPr>
            <w:tcW w:w="1410" w:type="dxa"/>
            <w:shd w:val="clear" w:color="auto" w:fill="A9D08E"/>
            <w:vAlign w:val="center"/>
            <w:hideMark/>
          </w:tcPr>
          <w:p w14:paraId="1352C8C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60</w:t>
            </w:r>
          </w:p>
        </w:tc>
        <w:tc>
          <w:tcPr>
            <w:tcW w:w="1470" w:type="dxa"/>
            <w:shd w:val="clear" w:color="000000" w:fill="A9D08E"/>
            <w:vAlign w:val="center"/>
            <w:hideMark/>
          </w:tcPr>
          <w:p w14:paraId="69EDE019"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69</w:t>
            </w:r>
          </w:p>
        </w:tc>
        <w:tc>
          <w:tcPr>
            <w:tcW w:w="1606" w:type="dxa"/>
            <w:shd w:val="clear" w:color="000000" w:fill="FF8181"/>
            <w:vAlign w:val="center"/>
            <w:hideMark/>
          </w:tcPr>
          <w:p w14:paraId="65BAFC71"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20</w:t>
            </w:r>
          </w:p>
        </w:tc>
        <w:tc>
          <w:tcPr>
            <w:tcW w:w="1496" w:type="dxa"/>
            <w:shd w:val="clear" w:color="000000" w:fill="A9D08E"/>
            <w:vAlign w:val="center"/>
            <w:hideMark/>
          </w:tcPr>
          <w:p w14:paraId="51736154"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83</w:t>
            </w:r>
          </w:p>
        </w:tc>
        <w:tc>
          <w:tcPr>
            <w:tcW w:w="1608" w:type="dxa"/>
            <w:shd w:val="clear" w:color="000000" w:fill="FF8181"/>
            <w:vAlign w:val="center"/>
            <w:hideMark/>
          </w:tcPr>
          <w:p w14:paraId="5269AB08"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20</w:t>
            </w:r>
          </w:p>
        </w:tc>
        <w:tc>
          <w:tcPr>
            <w:tcW w:w="1617" w:type="dxa"/>
            <w:shd w:val="clear" w:color="000000" w:fill="FF8181"/>
            <w:vAlign w:val="center"/>
            <w:hideMark/>
          </w:tcPr>
          <w:p w14:paraId="3AD331BD"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4</w:t>
            </w:r>
          </w:p>
        </w:tc>
      </w:tr>
      <w:tr w:rsidR="004559AD" w:rsidRPr="00295676" w14:paraId="00C05E8E" w14:textId="77777777" w:rsidTr="00C42838">
        <w:trPr>
          <w:trHeight w:val="379"/>
        </w:trPr>
        <w:tc>
          <w:tcPr>
            <w:tcW w:w="14035" w:type="dxa"/>
            <w:gridSpan w:val="7"/>
            <w:shd w:val="clear" w:color="auto" w:fill="E7E6E6" w:themeFill="background2"/>
            <w:vAlign w:val="center"/>
          </w:tcPr>
          <w:p w14:paraId="41700018" w14:textId="77777777" w:rsidR="004559AD" w:rsidRPr="00295676" w:rsidRDefault="004559AD" w:rsidP="00C42838">
            <w:pPr>
              <w:spacing w:after="0" w:line="276" w:lineRule="auto"/>
              <w:rPr>
                <w:rFonts w:eastAsia="Times New Roman" w:cs="Times New Roman"/>
                <w:b/>
                <w:color w:val="000000"/>
                <w:szCs w:val="24"/>
                <w:lang w:eastAsia="en-GB"/>
              </w:rPr>
            </w:pPr>
            <w:r w:rsidRPr="00295676">
              <w:rPr>
                <w:rFonts w:eastAsia="Times New Roman" w:cs="Times New Roman"/>
                <w:b/>
                <w:color w:val="000000"/>
                <w:szCs w:val="24"/>
                <w:lang w:eastAsia="en-GB"/>
              </w:rPr>
              <w:t>Scientific statements and consensus documents</w:t>
            </w:r>
          </w:p>
        </w:tc>
      </w:tr>
      <w:tr w:rsidR="004559AD" w:rsidRPr="00295676" w14:paraId="11130BEF" w14:textId="77777777" w:rsidTr="00C42838">
        <w:trPr>
          <w:trHeight w:val="70"/>
        </w:trPr>
        <w:tc>
          <w:tcPr>
            <w:tcW w:w="4828" w:type="dxa"/>
            <w:shd w:val="clear" w:color="auto" w:fill="auto"/>
            <w:vAlign w:val="center"/>
            <w:hideMark/>
          </w:tcPr>
          <w:p w14:paraId="6EF82C26" w14:textId="77777777" w:rsidR="004559AD" w:rsidRPr="00295676" w:rsidRDefault="004559AD" w:rsidP="00C42838">
            <w:pPr>
              <w:spacing w:after="0" w:line="276" w:lineRule="auto"/>
              <w:rPr>
                <w:rFonts w:eastAsia="Times New Roman" w:cs="Times New Roman"/>
                <w:color w:val="000000"/>
                <w:szCs w:val="24"/>
                <w:lang w:eastAsia="en-GB"/>
              </w:rPr>
            </w:pPr>
            <w:proofErr w:type="spellStart"/>
            <w:r w:rsidRPr="00295676">
              <w:rPr>
                <w:rFonts w:eastAsia="Times New Roman" w:cs="Times New Roman"/>
                <w:color w:val="000000"/>
                <w:szCs w:val="24"/>
                <w:lang w:eastAsia="en-GB"/>
              </w:rPr>
              <w:t>Gorenek</w:t>
            </w:r>
            <w:proofErr w:type="spellEnd"/>
            <w:r w:rsidRPr="00295676">
              <w:rPr>
                <w:rFonts w:eastAsia="Times New Roman" w:cs="Times New Roman"/>
                <w:color w:val="000000"/>
                <w:szCs w:val="24"/>
                <w:lang w:eastAsia="en-GB"/>
              </w:rPr>
              <w:t xml:space="preserve"> (2017)</w:t>
            </w:r>
            <w:r w:rsidRPr="003B75B0">
              <w:rPr>
                <w:rFonts w:eastAsia="Times New Roman" w:cs="Times New Roman"/>
                <w:noProof/>
                <w:color w:val="000000"/>
                <w:szCs w:val="24"/>
                <w:vertAlign w:val="superscript"/>
                <w:lang w:eastAsia="en-GB"/>
              </w:rPr>
              <w:t>33</w:t>
            </w:r>
            <w:r w:rsidRPr="00295676">
              <w:rPr>
                <w:rFonts w:eastAsia="Times New Roman" w:cs="Times New Roman"/>
                <w:color w:val="000000"/>
                <w:szCs w:val="24"/>
                <w:lang w:eastAsia="en-GB"/>
              </w:rPr>
              <w:t xml:space="preserve"> </w:t>
            </w:r>
          </w:p>
        </w:tc>
        <w:tc>
          <w:tcPr>
            <w:tcW w:w="1410" w:type="dxa"/>
            <w:shd w:val="clear" w:color="000000" w:fill="A9D08E"/>
            <w:vAlign w:val="center"/>
            <w:hideMark/>
          </w:tcPr>
          <w:p w14:paraId="41C2A158"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65</w:t>
            </w:r>
          </w:p>
        </w:tc>
        <w:tc>
          <w:tcPr>
            <w:tcW w:w="1470" w:type="dxa"/>
            <w:shd w:val="clear" w:color="000000" w:fill="FF8181"/>
            <w:vAlign w:val="center"/>
            <w:hideMark/>
          </w:tcPr>
          <w:p w14:paraId="62B495C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32</w:t>
            </w:r>
          </w:p>
        </w:tc>
        <w:tc>
          <w:tcPr>
            <w:tcW w:w="1606" w:type="dxa"/>
            <w:shd w:val="clear" w:color="000000" w:fill="FF8181"/>
            <w:vAlign w:val="center"/>
            <w:hideMark/>
          </w:tcPr>
          <w:p w14:paraId="44E36B02"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31</w:t>
            </w:r>
          </w:p>
        </w:tc>
        <w:tc>
          <w:tcPr>
            <w:tcW w:w="1496" w:type="dxa"/>
            <w:shd w:val="clear" w:color="000000" w:fill="A9D08E"/>
            <w:vAlign w:val="center"/>
            <w:hideMark/>
          </w:tcPr>
          <w:p w14:paraId="638CF288"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85</w:t>
            </w:r>
          </w:p>
        </w:tc>
        <w:tc>
          <w:tcPr>
            <w:tcW w:w="1608" w:type="dxa"/>
            <w:shd w:val="clear" w:color="000000" w:fill="FF8181"/>
            <w:vAlign w:val="center"/>
            <w:hideMark/>
          </w:tcPr>
          <w:p w14:paraId="31413E33"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15</w:t>
            </w:r>
          </w:p>
        </w:tc>
        <w:tc>
          <w:tcPr>
            <w:tcW w:w="1617" w:type="dxa"/>
            <w:shd w:val="clear" w:color="000000" w:fill="FF8181"/>
            <w:vAlign w:val="center"/>
            <w:hideMark/>
          </w:tcPr>
          <w:p w14:paraId="2EFBE87F"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52</w:t>
            </w:r>
          </w:p>
        </w:tc>
      </w:tr>
      <w:tr w:rsidR="004559AD" w:rsidRPr="00295676" w14:paraId="0AE925BA" w14:textId="77777777" w:rsidTr="00C42838">
        <w:trPr>
          <w:trHeight w:val="70"/>
        </w:trPr>
        <w:tc>
          <w:tcPr>
            <w:tcW w:w="4828" w:type="dxa"/>
            <w:shd w:val="clear" w:color="auto" w:fill="auto"/>
            <w:vAlign w:val="center"/>
            <w:hideMark/>
          </w:tcPr>
          <w:p w14:paraId="22BD815B"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Prasad (2014)</w:t>
            </w:r>
            <w:r w:rsidRPr="00902C82">
              <w:rPr>
                <w:rFonts w:eastAsia="Times New Roman" w:cs="Times New Roman"/>
                <w:noProof/>
                <w:color w:val="000000"/>
                <w:szCs w:val="24"/>
                <w:vertAlign w:val="superscript"/>
                <w:lang w:eastAsia="en-GB"/>
              </w:rPr>
              <w:t>34</w:t>
            </w:r>
            <w:r w:rsidRPr="00295676">
              <w:rPr>
                <w:rFonts w:eastAsia="Times New Roman" w:cs="Times New Roman"/>
                <w:color w:val="000000"/>
                <w:szCs w:val="24"/>
                <w:lang w:eastAsia="en-GB"/>
              </w:rPr>
              <w:t xml:space="preserve"> </w:t>
            </w:r>
          </w:p>
        </w:tc>
        <w:tc>
          <w:tcPr>
            <w:tcW w:w="1410" w:type="dxa"/>
            <w:shd w:val="clear" w:color="000000" w:fill="A9D08E"/>
            <w:vAlign w:val="center"/>
            <w:hideMark/>
          </w:tcPr>
          <w:p w14:paraId="5B183601"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72</w:t>
            </w:r>
          </w:p>
        </w:tc>
        <w:tc>
          <w:tcPr>
            <w:tcW w:w="1470" w:type="dxa"/>
            <w:shd w:val="clear" w:color="000000" w:fill="FF8181"/>
            <w:vAlign w:val="center"/>
            <w:hideMark/>
          </w:tcPr>
          <w:p w14:paraId="4ADCBC2C"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32</w:t>
            </w:r>
          </w:p>
        </w:tc>
        <w:tc>
          <w:tcPr>
            <w:tcW w:w="1606" w:type="dxa"/>
            <w:shd w:val="clear" w:color="000000" w:fill="FF8181"/>
            <w:vAlign w:val="center"/>
            <w:hideMark/>
          </w:tcPr>
          <w:p w14:paraId="112BCED6"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w:t>
            </w:r>
          </w:p>
        </w:tc>
        <w:tc>
          <w:tcPr>
            <w:tcW w:w="1496" w:type="dxa"/>
            <w:shd w:val="clear" w:color="000000" w:fill="A9D08E"/>
            <w:vAlign w:val="center"/>
            <w:hideMark/>
          </w:tcPr>
          <w:p w14:paraId="58AA9BF7"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75</w:t>
            </w:r>
          </w:p>
        </w:tc>
        <w:tc>
          <w:tcPr>
            <w:tcW w:w="1608" w:type="dxa"/>
            <w:shd w:val="clear" w:color="000000" w:fill="FF8181"/>
            <w:vAlign w:val="center"/>
            <w:hideMark/>
          </w:tcPr>
          <w:p w14:paraId="242E43B9"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23</w:t>
            </w:r>
          </w:p>
        </w:tc>
        <w:tc>
          <w:tcPr>
            <w:tcW w:w="1617" w:type="dxa"/>
            <w:shd w:val="clear" w:color="000000" w:fill="FF8181"/>
            <w:vAlign w:val="center"/>
            <w:hideMark/>
          </w:tcPr>
          <w:p w14:paraId="1DE8E6C0"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w:t>
            </w:r>
          </w:p>
        </w:tc>
      </w:tr>
      <w:tr w:rsidR="004559AD" w:rsidRPr="00295676" w14:paraId="2D8C979E" w14:textId="77777777" w:rsidTr="00C42838">
        <w:trPr>
          <w:trHeight w:val="70"/>
        </w:trPr>
        <w:tc>
          <w:tcPr>
            <w:tcW w:w="4828" w:type="dxa"/>
            <w:shd w:val="clear" w:color="auto" w:fill="auto"/>
            <w:vAlign w:val="center"/>
            <w:hideMark/>
          </w:tcPr>
          <w:p w14:paraId="2D58F91C" w14:textId="77777777" w:rsidR="004559AD" w:rsidRPr="00295676" w:rsidRDefault="004559AD" w:rsidP="00C42838">
            <w:pPr>
              <w:spacing w:after="0" w:line="276" w:lineRule="auto"/>
              <w:rPr>
                <w:rFonts w:eastAsia="Times New Roman" w:cs="Times New Roman"/>
                <w:color w:val="000000"/>
                <w:szCs w:val="24"/>
                <w:lang w:eastAsia="en-GB"/>
              </w:rPr>
            </w:pPr>
            <w:proofErr w:type="spellStart"/>
            <w:r w:rsidRPr="00295676">
              <w:rPr>
                <w:rFonts w:eastAsia="Times New Roman" w:cs="Times New Roman"/>
                <w:color w:val="000000"/>
                <w:szCs w:val="24"/>
                <w:lang w:eastAsia="en-GB"/>
              </w:rPr>
              <w:t>Wintermark</w:t>
            </w:r>
            <w:proofErr w:type="spellEnd"/>
            <w:r w:rsidRPr="00295676">
              <w:rPr>
                <w:rFonts w:eastAsia="Times New Roman" w:cs="Times New Roman"/>
                <w:color w:val="000000"/>
                <w:szCs w:val="24"/>
                <w:lang w:eastAsia="en-GB"/>
              </w:rPr>
              <w:t xml:space="preserve"> (2013)</w:t>
            </w:r>
            <w:r w:rsidRPr="00902C82">
              <w:rPr>
                <w:rFonts w:eastAsia="Times New Roman" w:cs="Times New Roman"/>
                <w:noProof/>
                <w:color w:val="000000"/>
                <w:szCs w:val="24"/>
                <w:vertAlign w:val="superscript"/>
                <w:lang w:eastAsia="en-GB"/>
              </w:rPr>
              <w:t>35</w:t>
            </w:r>
            <w:r w:rsidRPr="00295676">
              <w:rPr>
                <w:rFonts w:eastAsia="Times New Roman" w:cs="Times New Roman"/>
                <w:color w:val="000000"/>
                <w:szCs w:val="24"/>
                <w:lang w:eastAsia="en-GB"/>
              </w:rPr>
              <w:t xml:space="preserve"> </w:t>
            </w:r>
          </w:p>
        </w:tc>
        <w:tc>
          <w:tcPr>
            <w:tcW w:w="1410" w:type="dxa"/>
            <w:shd w:val="clear" w:color="000000" w:fill="FF8181"/>
            <w:vAlign w:val="center"/>
            <w:hideMark/>
          </w:tcPr>
          <w:p w14:paraId="495964EA"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54</w:t>
            </w:r>
          </w:p>
        </w:tc>
        <w:tc>
          <w:tcPr>
            <w:tcW w:w="1470" w:type="dxa"/>
            <w:shd w:val="clear" w:color="000000" w:fill="FF8181"/>
            <w:vAlign w:val="center"/>
            <w:hideMark/>
          </w:tcPr>
          <w:p w14:paraId="05813243"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11</w:t>
            </w:r>
          </w:p>
        </w:tc>
        <w:tc>
          <w:tcPr>
            <w:tcW w:w="1606" w:type="dxa"/>
            <w:shd w:val="clear" w:color="000000" w:fill="FF8181"/>
            <w:vAlign w:val="center"/>
            <w:hideMark/>
          </w:tcPr>
          <w:p w14:paraId="4871F23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13</w:t>
            </w:r>
          </w:p>
        </w:tc>
        <w:tc>
          <w:tcPr>
            <w:tcW w:w="1496" w:type="dxa"/>
            <w:shd w:val="clear" w:color="000000" w:fill="FF8181"/>
            <w:vAlign w:val="center"/>
            <w:hideMark/>
          </w:tcPr>
          <w:p w14:paraId="56669C9F"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54</w:t>
            </w:r>
          </w:p>
        </w:tc>
        <w:tc>
          <w:tcPr>
            <w:tcW w:w="1608" w:type="dxa"/>
            <w:shd w:val="clear" w:color="000000" w:fill="FF8181"/>
            <w:vAlign w:val="center"/>
            <w:hideMark/>
          </w:tcPr>
          <w:p w14:paraId="39935BC6"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32</w:t>
            </w:r>
          </w:p>
        </w:tc>
        <w:tc>
          <w:tcPr>
            <w:tcW w:w="1617" w:type="dxa"/>
            <w:shd w:val="clear" w:color="000000" w:fill="FF8181"/>
            <w:vAlign w:val="center"/>
            <w:hideMark/>
          </w:tcPr>
          <w:p w14:paraId="653496DD"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w:t>
            </w:r>
          </w:p>
        </w:tc>
      </w:tr>
      <w:tr w:rsidR="004559AD" w:rsidRPr="00295676" w14:paraId="12614E2F" w14:textId="77777777" w:rsidTr="00C42838">
        <w:trPr>
          <w:trHeight w:val="425"/>
        </w:trPr>
        <w:tc>
          <w:tcPr>
            <w:tcW w:w="4828" w:type="dxa"/>
            <w:shd w:val="clear" w:color="auto" w:fill="auto"/>
            <w:vAlign w:val="center"/>
            <w:hideMark/>
          </w:tcPr>
          <w:p w14:paraId="05A1617E"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Ir</w:t>
            </w:r>
            <w:r>
              <w:rPr>
                <w:rFonts w:eastAsia="Times New Roman" w:cs="Times New Roman"/>
                <w:color w:val="000000"/>
                <w:szCs w:val="24"/>
                <w:lang w:eastAsia="en-GB"/>
              </w:rPr>
              <w:t>i</w:t>
            </w:r>
            <w:r w:rsidRPr="00295676">
              <w:rPr>
                <w:rFonts w:eastAsia="Times New Roman" w:cs="Times New Roman"/>
                <w:color w:val="000000"/>
                <w:szCs w:val="24"/>
                <w:lang w:eastAsia="en-GB"/>
              </w:rPr>
              <w:t>mia (201</w:t>
            </w:r>
            <w:r>
              <w:rPr>
                <w:rFonts w:eastAsia="Times New Roman" w:cs="Times New Roman"/>
                <w:color w:val="000000"/>
                <w:szCs w:val="24"/>
                <w:lang w:eastAsia="en-GB"/>
              </w:rPr>
              <w:t>1</w:t>
            </w:r>
            <w:r w:rsidRPr="00295676">
              <w:rPr>
                <w:rFonts w:eastAsia="Times New Roman" w:cs="Times New Roman"/>
                <w:color w:val="000000"/>
                <w:szCs w:val="24"/>
                <w:lang w:eastAsia="en-GB"/>
              </w:rPr>
              <w:t>)</w:t>
            </w:r>
            <w:r w:rsidRPr="00902C82">
              <w:rPr>
                <w:rFonts w:eastAsia="Times New Roman" w:cs="Times New Roman"/>
                <w:noProof/>
                <w:color w:val="000000"/>
                <w:szCs w:val="24"/>
                <w:vertAlign w:val="superscript"/>
                <w:lang w:eastAsia="en-GB"/>
              </w:rPr>
              <w:t>36</w:t>
            </w:r>
            <w:r w:rsidRPr="00295676">
              <w:rPr>
                <w:rFonts w:eastAsia="Times New Roman" w:cs="Times New Roman"/>
                <w:color w:val="000000"/>
                <w:szCs w:val="24"/>
                <w:lang w:eastAsia="en-GB"/>
              </w:rPr>
              <w:t xml:space="preserve"> </w:t>
            </w:r>
          </w:p>
        </w:tc>
        <w:tc>
          <w:tcPr>
            <w:tcW w:w="1410" w:type="dxa"/>
            <w:shd w:val="clear" w:color="000000" w:fill="A9D08E"/>
            <w:vAlign w:val="center"/>
            <w:hideMark/>
          </w:tcPr>
          <w:p w14:paraId="1B25D121"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75</w:t>
            </w:r>
          </w:p>
        </w:tc>
        <w:tc>
          <w:tcPr>
            <w:tcW w:w="1470" w:type="dxa"/>
            <w:shd w:val="clear" w:color="000000" w:fill="FF8181"/>
            <w:vAlign w:val="center"/>
            <w:hideMark/>
          </w:tcPr>
          <w:p w14:paraId="14D494DD"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44</w:t>
            </w:r>
          </w:p>
        </w:tc>
        <w:tc>
          <w:tcPr>
            <w:tcW w:w="1606" w:type="dxa"/>
            <w:shd w:val="clear" w:color="000000" w:fill="FF8181"/>
            <w:vAlign w:val="center"/>
            <w:hideMark/>
          </w:tcPr>
          <w:p w14:paraId="3A5FACC4"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38</w:t>
            </w:r>
          </w:p>
        </w:tc>
        <w:tc>
          <w:tcPr>
            <w:tcW w:w="1496" w:type="dxa"/>
            <w:shd w:val="clear" w:color="000000" w:fill="A9D08E"/>
            <w:vAlign w:val="center"/>
            <w:hideMark/>
          </w:tcPr>
          <w:p w14:paraId="0373A3D0"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76</w:t>
            </w:r>
          </w:p>
        </w:tc>
        <w:tc>
          <w:tcPr>
            <w:tcW w:w="1608" w:type="dxa"/>
            <w:shd w:val="clear" w:color="000000" w:fill="FF8181"/>
            <w:vAlign w:val="center"/>
            <w:hideMark/>
          </w:tcPr>
          <w:p w14:paraId="0660166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13</w:t>
            </w:r>
          </w:p>
        </w:tc>
        <w:tc>
          <w:tcPr>
            <w:tcW w:w="1617" w:type="dxa"/>
            <w:shd w:val="clear" w:color="000000" w:fill="FF8181"/>
            <w:vAlign w:val="center"/>
            <w:hideMark/>
          </w:tcPr>
          <w:p w14:paraId="2F48AEA9"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31</w:t>
            </w:r>
          </w:p>
        </w:tc>
      </w:tr>
      <w:tr w:rsidR="004559AD" w:rsidRPr="00295676" w14:paraId="2EE88FF8" w14:textId="77777777" w:rsidTr="00C42838">
        <w:trPr>
          <w:trHeight w:val="398"/>
        </w:trPr>
        <w:tc>
          <w:tcPr>
            <w:tcW w:w="4828" w:type="dxa"/>
            <w:shd w:val="clear" w:color="auto" w:fill="auto"/>
            <w:vAlign w:val="center"/>
            <w:hideMark/>
          </w:tcPr>
          <w:p w14:paraId="3A010ACF" w14:textId="77777777" w:rsidR="004559AD" w:rsidRPr="00295676" w:rsidRDefault="004559AD" w:rsidP="00C42838">
            <w:pPr>
              <w:spacing w:after="0" w:line="276" w:lineRule="auto"/>
              <w:rPr>
                <w:rFonts w:eastAsia="Times New Roman" w:cs="Times New Roman"/>
                <w:color w:val="000000"/>
                <w:szCs w:val="24"/>
                <w:lang w:eastAsia="en-GB"/>
              </w:rPr>
            </w:pPr>
            <w:proofErr w:type="spellStart"/>
            <w:r w:rsidRPr="00295676">
              <w:rPr>
                <w:rFonts w:eastAsia="Times New Roman" w:cs="Times New Roman"/>
                <w:color w:val="000000"/>
                <w:szCs w:val="24"/>
                <w:lang w:eastAsia="en-GB"/>
              </w:rPr>
              <w:t>Pepi</w:t>
            </w:r>
            <w:proofErr w:type="spellEnd"/>
            <w:r w:rsidRPr="00295676">
              <w:rPr>
                <w:rFonts w:eastAsia="Times New Roman" w:cs="Times New Roman"/>
                <w:color w:val="000000"/>
                <w:szCs w:val="24"/>
                <w:lang w:eastAsia="en-GB"/>
              </w:rPr>
              <w:t xml:space="preserve"> (2010)</w:t>
            </w:r>
            <w:r w:rsidRPr="00902C82">
              <w:rPr>
                <w:rFonts w:eastAsia="Times New Roman" w:cs="Times New Roman"/>
                <w:noProof/>
                <w:color w:val="000000"/>
                <w:szCs w:val="24"/>
                <w:vertAlign w:val="superscript"/>
                <w:lang w:eastAsia="en-GB"/>
              </w:rPr>
              <w:t>37</w:t>
            </w:r>
            <w:r w:rsidRPr="00295676">
              <w:rPr>
                <w:rFonts w:eastAsia="Times New Roman" w:cs="Times New Roman"/>
                <w:color w:val="000000"/>
                <w:szCs w:val="24"/>
                <w:lang w:eastAsia="en-GB"/>
              </w:rPr>
              <w:t xml:space="preserve"> </w:t>
            </w:r>
          </w:p>
        </w:tc>
        <w:tc>
          <w:tcPr>
            <w:tcW w:w="1410" w:type="dxa"/>
            <w:shd w:val="clear" w:color="000000" w:fill="A9D08E"/>
            <w:vAlign w:val="center"/>
            <w:hideMark/>
          </w:tcPr>
          <w:p w14:paraId="550887B5"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65</w:t>
            </w:r>
          </w:p>
        </w:tc>
        <w:tc>
          <w:tcPr>
            <w:tcW w:w="1470" w:type="dxa"/>
            <w:shd w:val="clear" w:color="000000" w:fill="FF8181"/>
            <w:vAlign w:val="center"/>
            <w:hideMark/>
          </w:tcPr>
          <w:p w14:paraId="434B02C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4</w:t>
            </w:r>
          </w:p>
        </w:tc>
        <w:tc>
          <w:tcPr>
            <w:tcW w:w="1606" w:type="dxa"/>
            <w:shd w:val="clear" w:color="000000" w:fill="FF8181"/>
            <w:vAlign w:val="center"/>
            <w:hideMark/>
          </w:tcPr>
          <w:p w14:paraId="2FB70FFF"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30</w:t>
            </w:r>
          </w:p>
        </w:tc>
        <w:tc>
          <w:tcPr>
            <w:tcW w:w="1496" w:type="dxa"/>
            <w:shd w:val="clear" w:color="000000" w:fill="A9D08E"/>
            <w:vAlign w:val="center"/>
            <w:hideMark/>
          </w:tcPr>
          <w:p w14:paraId="1CED72D8"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79</w:t>
            </w:r>
          </w:p>
        </w:tc>
        <w:tc>
          <w:tcPr>
            <w:tcW w:w="1608" w:type="dxa"/>
            <w:shd w:val="clear" w:color="000000" w:fill="FF8181"/>
            <w:vAlign w:val="center"/>
            <w:hideMark/>
          </w:tcPr>
          <w:p w14:paraId="5C5B8DB3"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9</w:t>
            </w:r>
          </w:p>
        </w:tc>
        <w:tc>
          <w:tcPr>
            <w:tcW w:w="1617" w:type="dxa"/>
            <w:shd w:val="clear" w:color="000000" w:fill="FF8181"/>
            <w:vAlign w:val="center"/>
            <w:hideMark/>
          </w:tcPr>
          <w:p w14:paraId="3F5805F0"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21</w:t>
            </w:r>
          </w:p>
        </w:tc>
      </w:tr>
      <w:tr w:rsidR="004559AD" w:rsidRPr="00295676" w14:paraId="75093D8C" w14:textId="77777777" w:rsidTr="00C42838">
        <w:trPr>
          <w:trHeight w:val="70"/>
        </w:trPr>
        <w:tc>
          <w:tcPr>
            <w:tcW w:w="4828" w:type="dxa"/>
            <w:shd w:val="clear" w:color="auto" w:fill="auto"/>
            <w:vAlign w:val="center"/>
            <w:hideMark/>
          </w:tcPr>
          <w:p w14:paraId="2AE7F762" w14:textId="77777777" w:rsidR="004559AD" w:rsidRPr="00295676" w:rsidRDefault="004559AD" w:rsidP="00C42838">
            <w:pPr>
              <w:spacing w:after="0" w:line="276" w:lineRule="auto"/>
              <w:rPr>
                <w:rFonts w:eastAsia="Times New Roman" w:cs="Times New Roman"/>
                <w:color w:val="000000"/>
                <w:szCs w:val="24"/>
                <w:lang w:eastAsia="en-GB"/>
              </w:rPr>
            </w:pPr>
            <w:r w:rsidRPr="00295676">
              <w:rPr>
                <w:rFonts w:eastAsia="Times New Roman" w:cs="Times New Roman"/>
                <w:color w:val="000000"/>
                <w:szCs w:val="24"/>
                <w:lang w:eastAsia="en-GB"/>
              </w:rPr>
              <w:t>Summers (2009)</w:t>
            </w:r>
            <w:r w:rsidRPr="003B75B0">
              <w:rPr>
                <w:rFonts w:eastAsia="Times New Roman" w:cs="Times New Roman"/>
                <w:noProof/>
                <w:color w:val="000000"/>
                <w:szCs w:val="24"/>
                <w:vertAlign w:val="superscript"/>
                <w:lang w:eastAsia="en-GB"/>
              </w:rPr>
              <w:t>38</w:t>
            </w:r>
            <w:r w:rsidRPr="00295676">
              <w:rPr>
                <w:rFonts w:eastAsia="Times New Roman" w:cs="Times New Roman"/>
                <w:color w:val="000000"/>
                <w:szCs w:val="24"/>
                <w:lang w:eastAsia="en-GB"/>
              </w:rPr>
              <w:t xml:space="preserve"> </w:t>
            </w:r>
          </w:p>
        </w:tc>
        <w:tc>
          <w:tcPr>
            <w:tcW w:w="1410" w:type="dxa"/>
            <w:shd w:val="clear" w:color="000000" w:fill="FF8181"/>
            <w:vAlign w:val="center"/>
            <w:hideMark/>
          </w:tcPr>
          <w:p w14:paraId="200A3FB9"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50</w:t>
            </w:r>
          </w:p>
        </w:tc>
        <w:tc>
          <w:tcPr>
            <w:tcW w:w="1470" w:type="dxa"/>
            <w:shd w:val="clear" w:color="000000" w:fill="FF8181"/>
            <w:vAlign w:val="center"/>
            <w:hideMark/>
          </w:tcPr>
          <w:p w14:paraId="443B5CDF"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32</w:t>
            </w:r>
          </w:p>
        </w:tc>
        <w:tc>
          <w:tcPr>
            <w:tcW w:w="1606" w:type="dxa"/>
            <w:shd w:val="clear" w:color="000000" w:fill="FF8181"/>
            <w:vAlign w:val="center"/>
            <w:hideMark/>
          </w:tcPr>
          <w:p w14:paraId="3466A77C"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20</w:t>
            </w:r>
          </w:p>
        </w:tc>
        <w:tc>
          <w:tcPr>
            <w:tcW w:w="1496" w:type="dxa"/>
            <w:shd w:val="clear" w:color="000000" w:fill="A9D08E"/>
            <w:vAlign w:val="center"/>
            <w:hideMark/>
          </w:tcPr>
          <w:p w14:paraId="61341D08"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85</w:t>
            </w:r>
          </w:p>
        </w:tc>
        <w:tc>
          <w:tcPr>
            <w:tcW w:w="1608" w:type="dxa"/>
            <w:shd w:val="clear" w:color="000000" w:fill="FF8181"/>
            <w:vAlign w:val="center"/>
            <w:hideMark/>
          </w:tcPr>
          <w:p w14:paraId="274AA5B5"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13</w:t>
            </w:r>
          </w:p>
        </w:tc>
        <w:tc>
          <w:tcPr>
            <w:tcW w:w="1617" w:type="dxa"/>
            <w:shd w:val="clear" w:color="000000" w:fill="FF8181"/>
            <w:vAlign w:val="center"/>
            <w:hideMark/>
          </w:tcPr>
          <w:p w14:paraId="75C3D682"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46</w:t>
            </w:r>
          </w:p>
        </w:tc>
      </w:tr>
      <w:tr w:rsidR="004559AD" w:rsidRPr="00295676" w14:paraId="1E60E3C9" w14:textId="77777777" w:rsidTr="00C42838">
        <w:trPr>
          <w:trHeight w:val="70"/>
        </w:trPr>
        <w:tc>
          <w:tcPr>
            <w:tcW w:w="4828" w:type="dxa"/>
            <w:shd w:val="clear" w:color="auto" w:fill="auto"/>
            <w:vAlign w:val="center"/>
            <w:hideMark/>
          </w:tcPr>
          <w:p w14:paraId="7E8B1BAB" w14:textId="77777777" w:rsidR="004559AD" w:rsidRPr="00295676" w:rsidRDefault="004559AD" w:rsidP="00C42838">
            <w:pPr>
              <w:spacing w:after="0" w:line="276" w:lineRule="auto"/>
              <w:rPr>
                <w:rFonts w:eastAsia="Times New Roman" w:cs="Times New Roman"/>
                <w:color w:val="000000"/>
                <w:szCs w:val="24"/>
                <w:lang w:eastAsia="en-GB"/>
              </w:rPr>
            </w:pPr>
            <w:proofErr w:type="spellStart"/>
            <w:r w:rsidRPr="00295676">
              <w:rPr>
                <w:rFonts w:eastAsia="Times New Roman" w:cs="Times New Roman"/>
                <w:color w:val="000000"/>
                <w:szCs w:val="24"/>
                <w:lang w:eastAsia="en-GB"/>
              </w:rPr>
              <w:t>Latchaw</w:t>
            </w:r>
            <w:proofErr w:type="spellEnd"/>
            <w:r w:rsidRPr="00295676">
              <w:rPr>
                <w:rFonts w:eastAsia="Times New Roman" w:cs="Times New Roman"/>
                <w:color w:val="000000"/>
                <w:szCs w:val="24"/>
                <w:lang w:eastAsia="en-GB"/>
              </w:rPr>
              <w:t xml:space="preserve"> (2009)</w:t>
            </w:r>
            <w:r w:rsidRPr="003B75B0">
              <w:rPr>
                <w:rFonts w:eastAsia="Times New Roman" w:cs="Times New Roman"/>
                <w:noProof/>
                <w:color w:val="000000"/>
                <w:szCs w:val="24"/>
                <w:vertAlign w:val="superscript"/>
                <w:lang w:eastAsia="en-GB"/>
              </w:rPr>
              <w:t>39</w:t>
            </w:r>
            <w:r w:rsidRPr="00295676">
              <w:rPr>
                <w:rFonts w:eastAsia="Times New Roman" w:cs="Times New Roman"/>
                <w:color w:val="000000"/>
                <w:szCs w:val="24"/>
                <w:lang w:eastAsia="en-GB"/>
              </w:rPr>
              <w:t xml:space="preserve"> </w:t>
            </w:r>
          </w:p>
        </w:tc>
        <w:tc>
          <w:tcPr>
            <w:tcW w:w="1410" w:type="dxa"/>
            <w:shd w:val="clear" w:color="auto" w:fill="A9D08E"/>
            <w:vAlign w:val="center"/>
            <w:hideMark/>
          </w:tcPr>
          <w:p w14:paraId="39B15A0B"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60</w:t>
            </w:r>
          </w:p>
        </w:tc>
        <w:tc>
          <w:tcPr>
            <w:tcW w:w="1470" w:type="dxa"/>
            <w:shd w:val="clear" w:color="000000" w:fill="FF8181"/>
            <w:vAlign w:val="center"/>
            <w:hideMark/>
          </w:tcPr>
          <w:p w14:paraId="63D839A0"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8</w:t>
            </w:r>
          </w:p>
        </w:tc>
        <w:tc>
          <w:tcPr>
            <w:tcW w:w="1606" w:type="dxa"/>
            <w:shd w:val="clear" w:color="000000" w:fill="FF8181"/>
            <w:vAlign w:val="center"/>
            <w:hideMark/>
          </w:tcPr>
          <w:p w14:paraId="7927A2F6"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38</w:t>
            </w:r>
          </w:p>
        </w:tc>
        <w:tc>
          <w:tcPr>
            <w:tcW w:w="1496" w:type="dxa"/>
            <w:shd w:val="clear" w:color="000000" w:fill="A9D08E"/>
            <w:vAlign w:val="center"/>
            <w:hideMark/>
          </w:tcPr>
          <w:p w14:paraId="00A3B088"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75</w:t>
            </w:r>
          </w:p>
        </w:tc>
        <w:tc>
          <w:tcPr>
            <w:tcW w:w="1608" w:type="dxa"/>
            <w:shd w:val="clear" w:color="000000" w:fill="FF8181"/>
            <w:vAlign w:val="center"/>
            <w:hideMark/>
          </w:tcPr>
          <w:p w14:paraId="22B7F9F2"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13</w:t>
            </w:r>
          </w:p>
        </w:tc>
        <w:tc>
          <w:tcPr>
            <w:tcW w:w="1617" w:type="dxa"/>
            <w:shd w:val="clear" w:color="000000" w:fill="FF8181"/>
            <w:vAlign w:val="center"/>
            <w:hideMark/>
          </w:tcPr>
          <w:p w14:paraId="06FC76A9" w14:textId="77777777" w:rsidR="004559AD" w:rsidRPr="00295676" w:rsidRDefault="004559AD" w:rsidP="00C42838">
            <w:pPr>
              <w:spacing w:after="0" w:line="276" w:lineRule="auto"/>
              <w:jc w:val="center"/>
              <w:rPr>
                <w:rFonts w:eastAsia="Times New Roman" w:cs="Times New Roman"/>
                <w:color w:val="000000"/>
                <w:szCs w:val="24"/>
                <w:lang w:eastAsia="en-GB"/>
              </w:rPr>
            </w:pPr>
            <w:r w:rsidRPr="00295676">
              <w:rPr>
                <w:rFonts w:eastAsia="Times New Roman" w:cs="Times New Roman"/>
                <w:color w:val="000000"/>
                <w:szCs w:val="24"/>
                <w:lang w:eastAsia="en-GB"/>
              </w:rPr>
              <w:t>46</w:t>
            </w:r>
          </w:p>
        </w:tc>
      </w:tr>
    </w:tbl>
    <w:p w14:paraId="060F6290" w14:textId="77777777" w:rsidR="004559AD" w:rsidRPr="00295676" w:rsidRDefault="004559AD" w:rsidP="004559AD">
      <w:pPr>
        <w:spacing w:after="160" w:line="259" w:lineRule="auto"/>
        <w:sectPr w:rsidR="004559AD" w:rsidRPr="00295676" w:rsidSect="00C42838">
          <w:pgSz w:w="16838" w:h="11906" w:orient="landscape"/>
          <w:pgMar w:top="1440" w:right="1440" w:bottom="1440" w:left="1440" w:header="708" w:footer="708" w:gutter="0"/>
          <w:lnNumType w:countBy="1" w:restart="continuous"/>
          <w:cols w:space="708"/>
          <w:docGrid w:linePitch="360"/>
        </w:sectPr>
      </w:pPr>
      <w:r w:rsidRPr="00295676">
        <w:rPr>
          <w:rFonts w:cs="Times New Roman"/>
        </w:rPr>
        <w:t>≥</w:t>
      </w:r>
      <w:r w:rsidRPr="00295676">
        <w:t>60% shown</w:t>
      </w:r>
      <w:r w:rsidRPr="00EC00D0">
        <w:t xml:space="preserve"> </w:t>
      </w:r>
      <w:r w:rsidRPr="00295676">
        <w:t>in green</w:t>
      </w:r>
    </w:p>
    <w:p w14:paraId="1744E38D" w14:textId="77777777" w:rsidR="004559AD" w:rsidRPr="00295676" w:rsidRDefault="004559AD" w:rsidP="004559AD">
      <w:pPr>
        <w:rPr>
          <w:b/>
        </w:rPr>
      </w:pPr>
      <w:r w:rsidRPr="00295676">
        <w:rPr>
          <w:b/>
        </w:rPr>
        <w:lastRenderedPageBreak/>
        <w:t>Table 3. Overview of recommendations for diagnostic workup in acute ischemic stroke</w:t>
      </w:r>
    </w:p>
    <w:tbl>
      <w:tblPr>
        <w:tblStyle w:val="TableGrid"/>
        <w:tblW w:w="9016" w:type="dxa"/>
        <w:jc w:val="center"/>
        <w:tblLook w:val="04A0" w:firstRow="1" w:lastRow="0" w:firstColumn="1" w:lastColumn="0" w:noHBand="0" w:noVBand="1"/>
      </w:tblPr>
      <w:tblGrid>
        <w:gridCol w:w="2373"/>
        <w:gridCol w:w="3221"/>
        <w:gridCol w:w="3422"/>
      </w:tblGrid>
      <w:tr w:rsidR="004559AD" w:rsidRPr="00295676" w14:paraId="006E1FDF" w14:textId="77777777" w:rsidTr="00C42838">
        <w:trPr>
          <w:jc w:val="center"/>
        </w:trPr>
        <w:tc>
          <w:tcPr>
            <w:tcW w:w="2373" w:type="dxa"/>
          </w:tcPr>
          <w:p w14:paraId="48DA6104" w14:textId="77777777" w:rsidR="004559AD" w:rsidRPr="00295676" w:rsidRDefault="004559AD" w:rsidP="00C42838">
            <w:pPr>
              <w:spacing w:after="0" w:line="240" w:lineRule="auto"/>
              <w:rPr>
                <w:b/>
              </w:rPr>
            </w:pPr>
            <w:r w:rsidRPr="00295676">
              <w:rPr>
                <w:b/>
              </w:rPr>
              <w:t>Type of investigation</w:t>
            </w:r>
          </w:p>
        </w:tc>
        <w:tc>
          <w:tcPr>
            <w:tcW w:w="3221" w:type="dxa"/>
          </w:tcPr>
          <w:p w14:paraId="7CC8AEE7" w14:textId="77777777" w:rsidR="004559AD" w:rsidRPr="00295676" w:rsidRDefault="004559AD" w:rsidP="00C42838">
            <w:pPr>
              <w:spacing w:after="0" w:line="240" w:lineRule="auto"/>
              <w:rPr>
                <w:b/>
              </w:rPr>
            </w:pPr>
            <w:r w:rsidRPr="00295676">
              <w:rPr>
                <w:b/>
              </w:rPr>
              <w:t>Patient group</w:t>
            </w:r>
          </w:p>
        </w:tc>
        <w:tc>
          <w:tcPr>
            <w:tcW w:w="3422" w:type="dxa"/>
          </w:tcPr>
          <w:p w14:paraId="39EAD159" w14:textId="77777777" w:rsidR="004559AD" w:rsidRPr="00295676" w:rsidRDefault="004559AD" w:rsidP="00C42838">
            <w:pPr>
              <w:spacing w:after="0" w:line="240" w:lineRule="auto"/>
              <w:rPr>
                <w:b/>
              </w:rPr>
            </w:pPr>
            <w:r w:rsidRPr="00295676">
              <w:rPr>
                <w:b/>
              </w:rPr>
              <w:t>Investigative technique</w:t>
            </w:r>
          </w:p>
        </w:tc>
      </w:tr>
      <w:tr w:rsidR="004559AD" w:rsidRPr="00295676" w14:paraId="6F550E08" w14:textId="77777777" w:rsidTr="00C42838">
        <w:trPr>
          <w:jc w:val="center"/>
        </w:trPr>
        <w:tc>
          <w:tcPr>
            <w:tcW w:w="2373" w:type="dxa"/>
          </w:tcPr>
          <w:p w14:paraId="1BC96E01" w14:textId="77777777" w:rsidR="004559AD" w:rsidRPr="00295676" w:rsidRDefault="004559AD" w:rsidP="00C42838">
            <w:pPr>
              <w:spacing w:after="0" w:line="240" w:lineRule="auto"/>
            </w:pPr>
            <w:r w:rsidRPr="00295676">
              <w:t>Brain imaging</w:t>
            </w:r>
          </w:p>
        </w:tc>
        <w:tc>
          <w:tcPr>
            <w:tcW w:w="3221" w:type="dxa"/>
          </w:tcPr>
          <w:p w14:paraId="198DD47D" w14:textId="77777777" w:rsidR="004559AD" w:rsidRPr="00295676" w:rsidRDefault="004559AD" w:rsidP="00C42838">
            <w:pPr>
              <w:spacing w:after="0" w:line="240" w:lineRule="auto"/>
            </w:pPr>
            <w:r w:rsidRPr="00295676">
              <w:t>All patients</w:t>
            </w:r>
          </w:p>
        </w:tc>
        <w:tc>
          <w:tcPr>
            <w:tcW w:w="3422" w:type="dxa"/>
          </w:tcPr>
          <w:p w14:paraId="711D8042" w14:textId="77777777" w:rsidR="004559AD" w:rsidRPr="00295676" w:rsidRDefault="004559AD" w:rsidP="00C42838">
            <w:pPr>
              <w:spacing w:after="0" w:line="240" w:lineRule="auto"/>
            </w:pPr>
            <w:r w:rsidRPr="00295676">
              <w:t>Non-contrast CT as soon as possible</w:t>
            </w:r>
          </w:p>
          <w:p w14:paraId="13CE590E" w14:textId="77777777" w:rsidR="004559AD" w:rsidRPr="00295676" w:rsidRDefault="004559AD" w:rsidP="00C42838">
            <w:pPr>
              <w:spacing w:after="0" w:line="240" w:lineRule="auto"/>
            </w:pPr>
          </w:p>
          <w:p w14:paraId="6E3B2DB3" w14:textId="77777777" w:rsidR="004559AD" w:rsidRPr="00295676" w:rsidRDefault="004559AD" w:rsidP="00C42838">
            <w:pPr>
              <w:spacing w:after="0" w:line="240" w:lineRule="auto"/>
            </w:pPr>
            <w:r w:rsidRPr="00295676">
              <w:t xml:space="preserve">MRI is superior to CT scan in terms of diagnostic sensitivity and identifying the </w:t>
            </w:r>
            <w:proofErr w:type="spellStart"/>
            <w:r w:rsidRPr="00295676">
              <w:t>etiology</w:t>
            </w:r>
            <w:proofErr w:type="spellEnd"/>
            <w:r w:rsidRPr="00295676">
              <w:t xml:space="preserve"> of the stroke</w:t>
            </w:r>
          </w:p>
        </w:tc>
      </w:tr>
      <w:tr w:rsidR="004559AD" w:rsidRPr="00295676" w14:paraId="76475D29" w14:textId="77777777" w:rsidTr="00C42838">
        <w:trPr>
          <w:jc w:val="center"/>
        </w:trPr>
        <w:tc>
          <w:tcPr>
            <w:tcW w:w="2373" w:type="dxa"/>
          </w:tcPr>
          <w:p w14:paraId="2D08393A" w14:textId="77777777" w:rsidR="004559AD" w:rsidRPr="00295676" w:rsidRDefault="004559AD" w:rsidP="00C42838">
            <w:pPr>
              <w:spacing w:after="0" w:line="240" w:lineRule="auto"/>
            </w:pPr>
            <w:r w:rsidRPr="00295676">
              <w:t>Vascular imaging</w:t>
            </w:r>
          </w:p>
        </w:tc>
        <w:tc>
          <w:tcPr>
            <w:tcW w:w="3221" w:type="dxa"/>
          </w:tcPr>
          <w:p w14:paraId="2F882456" w14:textId="77777777" w:rsidR="004559AD" w:rsidRPr="00295676" w:rsidRDefault="004559AD" w:rsidP="00C42838">
            <w:pPr>
              <w:spacing w:after="0" w:line="240" w:lineRule="auto"/>
            </w:pPr>
            <w:r w:rsidRPr="00295676">
              <w:t>All patients (and especially those who are potentially eligible for endovascular treatment)</w:t>
            </w:r>
          </w:p>
        </w:tc>
        <w:tc>
          <w:tcPr>
            <w:tcW w:w="3422" w:type="dxa"/>
          </w:tcPr>
          <w:p w14:paraId="14E6CEE9" w14:textId="77777777" w:rsidR="004559AD" w:rsidRPr="00295676" w:rsidRDefault="004559AD" w:rsidP="00C42838">
            <w:pPr>
              <w:spacing w:after="0" w:line="240" w:lineRule="auto"/>
            </w:pPr>
            <w:r w:rsidRPr="00295676">
              <w:t>CTA or MRA from aortic arch to vertex</w:t>
            </w:r>
          </w:p>
          <w:p w14:paraId="759C880C" w14:textId="77777777" w:rsidR="004559AD" w:rsidRPr="00295676" w:rsidRDefault="004559AD" w:rsidP="00C42838">
            <w:pPr>
              <w:spacing w:after="0" w:line="240" w:lineRule="auto"/>
            </w:pPr>
          </w:p>
          <w:p w14:paraId="111C3889" w14:textId="77777777" w:rsidR="004559AD" w:rsidRPr="00295676" w:rsidRDefault="004559AD" w:rsidP="00C42838">
            <w:pPr>
              <w:spacing w:after="0" w:line="240" w:lineRule="auto"/>
            </w:pPr>
            <w:r w:rsidRPr="00295676">
              <w:t>Or doppler ultrasound, or carotid duplex ultrasound</w:t>
            </w:r>
          </w:p>
          <w:p w14:paraId="02B1A322" w14:textId="77777777" w:rsidR="004559AD" w:rsidRPr="00295676" w:rsidRDefault="004559AD" w:rsidP="00C42838">
            <w:pPr>
              <w:spacing w:after="0" w:line="240" w:lineRule="auto"/>
            </w:pPr>
          </w:p>
          <w:p w14:paraId="73CC0E23" w14:textId="77777777" w:rsidR="004559AD" w:rsidRPr="00295676" w:rsidRDefault="004559AD" w:rsidP="00C42838">
            <w:pPr>
              <w:spacing w:after="0" w:line="240" w:lineRule="auto"/>
            </w:pPr>
            <w:r w:rsidRPr="00295676">
              <w:t>TCD is the only imaging technique that allows detection of circulating emboli</w:t>
            </w:r>
          </w:p>
        </w:tc>
      </w:tr>
      <w:tr w:rsidR="004559AD" w:rsidRPr="00295676" w14:paraId="2B209A71" w14:textId="77777777" w:rsidTr="00C42838">
        <w:trPr>
          <w:jc w:val="center"/>
        </w:trPr>
        <w:tc>
          <w:tcPr>
            <w:tcW w:w="2373" w:type="dxa"/>
          </w:tcPr>
          <w:p w14:paraId="2ACDD5D2" w14:textId="77777777" w:rsidR="004559AD" w:rsidRPr="00295676" w:rsidRDefault="004559AD" w:rsidP="00C42838">
            <w:pPr>
              <w:spacing w:after="0" w:line="240" w:lineRule="auto"/>
            </w:pPr>
            <w:r w:rsidRPr="00295676">
              <w:t>Cardiac rhythm</w:t>
            </w:r>
          </w:p>
          <w:p w14:paraId="3590B0BB" w14:textId="77777777" w:rsidR="004559AD" w:rsidRPr="00295676" w:rsidRDefault="004559AD" w:rsidP="00C42838">
            <w:pPr>
              <w:spacing w:after="0" w:line="240" w:lineRule="auto"/>
            </w:pPr>
          </w:p>
          <w:p w14:paraId="0AD8CECD" w14:textId="77777777" w:rsidR="004559AD" w:rsidRPr="00295676" w:rsidRDefault="004559AD" w:rsidP="00C42838">
            <w:pPr>
              <w:spacing w:after="0" w:line="240" w:lineRule="auto"/>
            </w:pPr>
            <w:r w:rsidRPr="00295676">
              <w:t>Cardiac rhythm</w:t>
            </w:r>
          </w:p>
          <w:p w14:paraId="3A825249" w14:textId="77777777" w:rsidR="004559AD" w:rsidRPr="00295676" w:rsidRDefault="004559AD" w:rsidP="00C42838">
            <w:pPr>
              <w:spacing w:after="0" w:line="240" w:lineRule="auto"/>
            </w:pPr>
          </w:p>
          <w:p w14:paraId="349B7CC2" w14:textId="77777777" w:rsidR="004559AD" w:rsidRPr="00295676" w:rsidRDefault="004559AD" w:rsidP="00C42838">
            <w:pPr>
              <w:spacing w:after="0" w:line="240" w:lineRule="auto"/>
            </w:pPr>
          </w:p>
          <w:p w14:paraId="4C0DE7D5" w14:textId="77777777" w:rsidR="004559AD" w:rsidRPr="00295676" w:rsidRDefault="004559AD" w:rsidP="00C42838">
            <w:pPr>
              <w:spacing w:after="0" w:line="240" w:lineRule="auto"/>
            </w:pPr>
          </w:p>
          <w:p w14:paraId="4C83A98D" w14:textId="77777777" w:rsidR="004559AD" w:rsidRPr="00295676" w:rsidRDefault="004559AD" w:rsidP="00C42838">
            <w:pPr>
              <w:spacing w:after="0" w:line="240" w:lineRule="auto"/>
            </w:pPr>
          </w:p>
          <w:p w14:paraId="720C5186" w14:textId="77777777" w:rsidR="004559AD" w:rsidRPr="00295676" w:rsidRDefault="004559AD" w:rsidP="00C42838">
            <w:pPr>
              <w:spacing w:after="0" w:line="240" w:lineRule="auto"/>
            </w:pPr>
            <w:r w:rsidRPr="00295676">
              <w:t>Cardiac rhythm</w:t>
            </w:r>
          </w:p>
        </w:tc>
        <w:tc>
          <w:tcPr>
            <w:tcW w:w="3221" w:type="dxa"/>
          </w:tcPr>
          <w:p w14:paraId="5DA07092" w14:textId="77777777" w:rsidR="004559AD" w:rsidRPr="00295676" w:rsidRDefault="004559AD" w:rsidP="00C42838">
            <w:pPr>
              <w:spacing w:after="0" w:line="240" w:lineRule="auto"/>
            </w:pPr>
            <w:r w:rsidRPr="00295676">
              <w:t>All patients</w:t>
            </w:r>
          </w:p>
          <w:p w14:paraId="6F0B8AA5" w14:textId="77777777" w:rsidR="004559AD" w:rsidRPr="00295676" w:rsidRDefault="004559AD" w:rsidP="00C42838">
            <w:pPr>
              <w:spacing w:after="0" w:line="240" w:lineRule="auto"/>
            </w:pPr>
          </w:p>
          <w:p w14:paraId="28D2D494" w14:textId="77777777" w:rsidR="004559AD" w:rsidRPr="00295676" w:rsidRDefault="004559AD" w:rsidP="00C42838">
            <w:pPr>
              <w:spacing w:after="0" w:line="240" w:lineRule="auto"/>
            </w:pPr>
            <w:r w:rsidRPr="00295676">
              <w:t>For patients being investigated for an acute embolic ischemic stroke or TIA</w:t>
            </w:r>
          </w:p>
          <w:p w14:paraId="3B31F653" w14:textId="77777777" w:rsidR="004559AD" w:rsidRPr="00295676" w:rsidRDefault="004559AD" w:rsidP="00C42838">
            <w:pPr>
              <w:spacing w:after="0" w:line="240" w:lineRule="auto"/>
            </w:pPr>
          </w:p>
          <w:p w14:paraId="06C3AFB6" w14:textId="77777777" w:rsidR="004559AD" w:rsidRPr="00295676" w:rsidRDefault="004559AD" w:rsidP="00C42838">
            <w:pPr>
              <w:spacing w:after="0" w:line="240" w:lineRule="auto"/>
            </w:pPr>
          </w:p>
          <w:p w14:paraId="1C389FA1" w14:textId="77777777" w:rsidR="004559AD" w:rsidRPr="00295676" w:rsidRDefault="004559AD" w:rsidP="00C42838">
            <w:pPr>
              <w:spacing w:after="0" w:line="240" w:lineRule="auto"/>
              <w:rPr>
                <w:rFonts w:cs="Arial"/>
              </w:rPr>
            </w:pPr>
            <w:r w:rsidRPr="00295676">
              <w:t>For patients being investigated for an acute embolic ischemic stroke or TIA of undetermined source whose initial short-term ECG monitoring does not reveal atrial fibrillation but a cardioembolic mechanism is suspected</w:t>
            </w:r>
          </w:p>
        </w:tc>
        <w:tc>
          <w:tcPr>
            <w:tcW w:w="3422" w:type="dxa"/>
          </w:tcPr>
          <w:p w14:paraId="4350940B" w14:textId="77777777" w:rsidR="004559AD" w:rsidRPr="00295676" w:rsidRDefault="004559AD" w:rsidP="00C42838">
            <w:pPr>
              <w:spacing w:after="0" w:line="240" w:lineRule="auto"/>
              <w:rPr>
                <w:rFonts w:cs="Arial"/>
              </w:rPr>
            </w:pPr>
            <w:r w:rsidRPr="00295676">
              <w:rPr>
                <w:rFonts w:cs="Arial"/>
              </w:rPr>
              <w:t>12-lead ECG</w:t>
            </w:r>
          </w:p>
          <w:p w14:paraId="054C3873" w14:textId="77777777" w:rsidR="004559AD" w:rsidRPr="00295676" w:rsidRDefault="004559AD" w:rsidP="00C42838">
            <w:pPr>
              <w:spacing w:after="0" w:line="240" w:lineRule="auto"/>
              <w:rPr>
                <w:rFonts w:cs="Arial"/>
              </w:rPr>
            </w:pPr>
          </w:p>
          <w:p w14:paraId="581E4E12" w14:textId="77777777" w:rsidR="004559AD" w:rsidRPr="00295676" w:rsidRDefault="004559AD" w:rsidP="00C42838">
            <w:pPr>
              <w:spacing w:after="0" w:line="240" w:lineRule="auto"/>
              <w:rPr>
                <w:rFonts w:cs="Arial"/>
              </w:rPr>
            </w:pPr>
            <w:r w:rsidRPr="00295676">
              <w:rPr>
                <w:rFonts w:cs="Arial"/>
              </w:rPr>
              <w:t>24-hour ECG monitoring</w:t>
            </w:r>
          </w:p>
          <w:p w14:paraId="1DA5EE85" w14:textId="77777777" w:rsidR="004559AD" w:rsidRPr="00295676" w:rsidRDefault="004559AD" w:rsidP="00C42838">
            <w:pPr>
              <w:spacing w:after="0" w:line="240" w:lineRule="auto"/>
              <w:rPr>
                <w:rFonts w:cs="Arial"/>
              </w:rPr>
            </w:pPr>
          </w:p>
          <w:p w14:paraId="01BC1FF7" w14:textId="77777777" w:rsidR="004559AD" w:rsidRPr="00295676" w:rsidRDefault="004559AD" w:rsidP="00C42838">
            <w:pPr>
              <w:spacing w:after="0" w:line="240" w:lineRule="auto"/>
              <w:rPr>
                <w:rFonts w:cs="Arial"/>
              </w:rPr>
            </w:pPr>
          </w:p>
          <w:p w14:paraId="2922EA53" w14:textId="77777777" w:rsidR="004559AD" w:rsidRPr="00295676" w:rsidRDefault="004559AD" w:rsidP="00C42838">
            <w:pPr>
              <w:spacing w:after="0" w:line="240" w:lineRule="auto"/>
              <w:rPr>
                <w:rFonts w:cs="Arial"/>
              </w:rPr>
            </w:pPr>
          </w:p>
          <w:p w14:paraId="3B843059" w14:textId="77777777" w:rsidR="004559AD" w:rsidRPr="00295676" w:rsidRDefault="004559AD" w:rsidP="00C42838">
            <w:pPr>
              <w:spacing w:after="0" w:line="240" w:lineRule="auto"/>
              <w:rPr>
                <w:rFonts w:cs="Arial"/>
              </w:rPr>
            </w:pPr>
          </w:p>
          <w:p w14:paraId="593F87AB" w14:textId="77777777" w:rsidR="004559AD" w:rsidRPr="00295676" w:rsidRDefault="004559AD" w:rsidP="00C42838">
            <w:pPr>
              <w:spacing w:after="0" w:line="240" w:lineRule="auto"/>
              <w:rPr>
                <w:rFonts w:cs="Arial"/>
              </w:rPr>
            </w:pPr>
            <w:r w:rsidRPr="00295676">
              <w:rPr>
                <w:rFonts w:cs="Arial"/>
              </w:rPr>
              <w:t>Prolonged ECG monitoring (at least two weeks</w:t>
            </w:r>
            <w:r w:rsidRPr="00295676">
              <w:rPr>
                <w:rFonts w:cs="Arial"/>
                <w:noProof/>
                <w:vertAlign w:val="superscript"/>
              </w:rPr>
              <w:t>19, 20</w:t>
            </w:r>
            <w:r w:rsidRPr="00295676">
              <w:rPr>
                <w:rFonts w:cs="Arial"/>
              </w:rPr>
              <w:t>; undetermined length</w:t>
            </w:r>
            <w:r w:rsidRPr="00902C82">
              <w:rPr>
                <w:rFonts w:cs="Arial"/>
                <w:noProof/>
                <w:vertAlign w:val="superscript"/>
              </w:rPr>
              <w:t>21, 22, 24, 25, 27</w:t>
            </w:r>
            <w:r w:rsidRPr="00295676">
              <w:rPr>
                <w:rFonts w:cs="Arial"/>
              </w:rPr>
              <w:t>)</w:t>
            </w:r>
          </w:p>
          <w:p w14:paraId="754493F1" w14:textId="77777777" w:rsidR="004559AD" w:rsidRPr="00295676" w:rsidRDefault="004559AD" w:rsidP="00C42838">
            <w:pPr>
              <w:spacing w:after="0" w:line="240" w:lineRule="auto"/>
              <w:rPr>
                <w:rFonts w:cs="Arial"/>
              </w:rPr>
            </w:pPr>
          </w:p>
          <w:p w14:paraId="62EC892C" w14:textId="77777777" w:rsidR="004559AD" w:rsidRPr="00295676" w:rsidRDefault="004559AD" w:rsidP="00C42838">
            <w:pPr>
              <w:spacing w:after="0" w:line="240" w:lineRule="auto"/>
              <w:rPr>
                <w:rFonts w:cs="Arial"/>
              </w:rPr>
            </w:pPr>
          </w:p>
          <w:p w14:paraId="27574A4E" w14:textId="77777777" w:rsidR="004559AD" w:rsidRPr="00295676" w:rsidRDefault="004559AD" w:rsidP="00C42838">
            <w:pPr>
              <w:spacing w:after="0" w:line="240" w:lineRule="auto"/>
              <w:rPr>
                <w:rFonts w:cs="Arial"/>
              </w:rPr>
            </w:pPr>
          </w:p>
          <w:p w14:paraId="5ACA6CB3" w14:textId="77777777" w:rsidR="004559AD" w:rsidRPr="00295676" w:rsidRDefault="004559AD" w:rsidP="00C42838">
            <w:pPr>
              <w:spacing w:after="0" w:line="240" w:lineRule="auto"/>
              <w:rPr>
                <w:rFonts w:cs="Arial"/>
              </w:rPr>
            </w:pPr>
          </w:p>
          <w:p w14:paraId="22B8EB1E" w14:textId="77777777" w:rsidR="004559AD" w:rsidRPr="00295676" w:rsidRDefault="004559AD" w:rsidP="00C42838">
            <w:pPr>
              <w:spacing w:after="0" w:line="240" w:lineRule="auto"/>
            </w:pPr>
          </w:p>
        </w:tc>
      </w:tr>
      <w:tr w:rsidR="004559AD" w:rsidRPr="00295676" w14:paraId="6E6E69B8" w14:textId="77777777" w:rsidTr="00C42838">
        <w:trPr>
          <w:jc w:val="center"/>
        </w:trPr>
        <w:tc>
          <w:tcPr>
            <w:tcW w:w="2373" w:type="dxa"/>
          </w:tcPr>
          <w:p w14:paraId="1CD1B1E7" w14:textId="77777777" w:rsidR="004559AD" w:rsidRPr="00295676" w:rsidRDefault="004559AD" w:rsidP="00C42838">
            <w:pPr>
              <w:spacing w:after="0" w:line="240" w:lineRule="auto"/>
            </w:pPr>
            <w:r w:rsidRPr="00295676">
              <w:t>Cardiac structure</w:t>
            </w:r>
          </w:p>
        </w:tc>
        <w:tc>
          <w:tcPr>
            <w:tcW w:w="3221" w:type="dxa"/>
          </w:tcPr>
          <w:p w14:paraId="33A29E05" w14:textId="77777777" w:rsidR="004559AD" w:rsidRPr="00295676" w:rsidRDefault="004559AD" w:rsidP="00C42838">
            <w:pPr>
              <w:spacing w:after="0" w:line="240" w:lineRule="auto"/>
            </w:pPr>
            <w:r w:rsidRPr="00295676">
              <w:t>For patients where a stroke mechanism has not been identified and a cardiac source is suspected</w:t>
            </w:r>
          </w:p>
        </w:tc>
        <w:tc>
          <w:tcPr>
            <w:tcW w:w="3422" w:type="dxa"/>
          </w:tcPr>
          <w:p w14:paraId="0094FB04" w14:textId="77777777" w:rsidR="004559AD" w:rsidRPr="00295676" w:rsidRDefault="004559AD" w:rsidP="00C42838">
            <w:pPr>
              <w:spacing w:after="0" w:line="240" w:lineRule="auto"/>
            </w:pPr>
            <w:r w:rsidRPr="00295676">
              <w:t xml:space="preserve">Echocardiography (2D or </w:t>
            </w:r>
            <w:proofErr w:type="spellStart"/>
            <w:r w:rsidRPr="00295676">
              <w:t>transesophageal</w:t>
            </w:r>
            <w:proofErr w:type="spellEnd"/>
            <w:r w:rsidRPr="00295676">
              <w:t>)</w:t>
            </w:r>
          </w:p>
        </w:tc>
      </w:tr>
      <w:tr w:rsidR="004559AD" w:rsidRPr="00295676" w14:paraId="1DA08DB8" w14:textId="77777777" w:rsidTr="00C42838">
        <w:trPr>
          <w:jc w:val="center"/>
        </w:trPr>
        <w:tc>
          <w:tcPr>
            <w:tcW w:w="2373" w:type="dxa"/>
          </w:tcPr>
          <w:p w14:paraId="1CDAAA90" w14:textId="77777777" w:rsidR="004559AD" w:rsidRPr="00295676" w:rsidRDefault="004559AD" w:rsidP="00C42838">
            <w:pPr>
              <w:spacing w:after="0" w:line="240" w:lineRule="auto"/>
            </w:pPr>
            <w:r w:rsidRPr="00295676">
              <w:t>Laboratory and other investigations</w:t>
            </w:r>
          </w:p>
        </w:tc>
        <w:tc>
          <w:tcPr>
            <w:tcW w:w="3221" w:type="dxa"/>
          </w:tcPr>
          <w:p w14:paraId="0BCE18ED" w14:textId="77777777" w:rsidR="004559AD" w:rsidRPr="00295676" w:rsidRDefault="004559AD" w:rsidP="00C42838">
            <w:pPr>
              <w:spacing w:after="0" w:line="240" w:lineRule="auto"/>
            </w:pPr>
            <w:r w:rsidRPr="00295676">
              <w:t>All patients</w:t>
            </w:r>
          </w:p>
          <w:p w14:paraId="7C9F01ED" w14:textId="77777777" w:rsidR="004559AD" w:rsidRPr="00295676" w:rsidRDefault="004559AD" w:rsidP="00C42838">
            <w:pPr>
              <w:spacing w:after="0" w:line="240" w:lineRule="auto"/>
            </w:pPr>
          </w:p>
          <w:p w14:paraId="7B19EC63" w14:textId="77777777" w:rsidR="004559AD" w:rsidRPr="00295676" w:rsidRDefault="004559AD" w:rsidP="00C42838">
            <w:pPr>
              <w:spacing w:after="0" w:line="240" w:lineRule="auto"/>
            </w:pPr>
          </w:p>
          <w:p w14:paraId="2C8E8595" w14:textId="77777777" w:rsidR="004559AD" w:rsidRPr="00295676" w:rsidRDefault="004559AD" w:rsidP="00C42838">
            <w:pPr>
              <w:spacing w:after="0" w:line="240" w:lineRule="auto"/>
            </w:pPr>
          </w:p>
          <w:p w14:paraId="72A76318" w14:textId="77777777" w:rsidR="004559AD" w:rsidRPr="00295676" w:rsidRDefault="004559AD" w:rsidP="00C42838">
            <w:pPr>
              <w:spacing w:after="0" w:line="240" w:lineRule="auto"/>
            </w:pPr>
          </w:p>
          <w:p w14:paraId="1A9171E1" w14:textId="77777777" w:rsidR="004559AD" w:rsidRPr="00295676" w:rsidRDefault="004559AD" w:rsidP="00C42838">
            <w:pPr>
              <w:spacing w:after="0" w:line="240" w:lineRule="auto"/>
            </w:pPr>
          </w:p>
          <w:p w14:paraId="58CA766A" w14:textId="77777777" w:rsidR="004559AD" w:rsidRPr="00295676" w:rsidRDefault="004559AD" w:rsidP="00C42838">
            <w:pPr>
              <w:spacing w:after="0" w:line="240" w:lineRule="auto"/>
            </w:pPr>
          </w:p>
          <w:p w14:paraId="6A2DAAC1" w14:textId="77777777" w:rsidR="004559AD" w:rsidRPr="00295676" w:rsidRDefault="004559AD" w:rsidP="00C42838">
            <w:pPr>
              <w:spacing w:after="0" w:line="240" w:lineRule="auto"/>
            </w:pPr>
          </w:p>
          <w:p w14:paraId="74FC9DAE" w14:textId="77777777" w:rsidR="004559AD" w:rsidRPr="00295676" w:rsidRDefault="004559AD" w:rsidP="00C42838">
            <w:pPr>
              <w:spacing w:after="0" w:line="240" w:lineRule="auto"/>
            </w:pPr>
          </w:p>
          <w:p w14:paraId="1A3A07D0" w14:textId="77777777" w:rsidR="004559AD" w:rsidRPr="00295676" w:rsidRDefault="004559AD" w:rsidP="00C42838">
            <w:pPr>
              <w:spacing w:after="0" w:line="240" w:lineRule="auto"/>
            </w:pPr>
            <w:r w:rsidRPr="00295676">
              <w:t>Young patients</w:t>
            </w:r>
          </w:p>
        </w:tc>
        <w:tc>
          <w:tcPr>
            <w:tcW w:w="3422" w:type="dxa"/>
          </w:tcPr>
          <w:p w14:paraId="3F4A63BF" w14:textId="77777777" w:rsidR="004559AD" w:rsidRPr="00295676" w:rsidRDefault="004559AD" w:rsidP="00C42838">
            <w:pPr>
              <w:spacing w:after="0" w:line="240" w:lineRule="auto"/>
            </w:pPr>
            <w:proofErr w:type="spellStart"/>
            <w:r w:rsidRPr="00295676">
              <w:t>Hematology</w:t>
            </w:r>
            <w:proofErr w:type="spellEnd"/>
            <w:r w:rsidRPr="00295676">
              <w:t xml:space="preserve"> (complete blood count)</w:t>
            </w:r>
          </w:p>
          <w:p w14:paraId="23E15E2C" w14:textId="77777777" w:rsidR="004559AD" w:rsidRPr="00295676" w:rsidRDefault="004559AD" w:rsidP="00C42838">
            <w:pPr>
              <w:spacing w:after="0" w:line="240" w:lineRule="auto"/>
            </w:pPr>
            <w:r w:rsidRPr="00295676">
              <w:t>Electrolytes</w:t>
            </w:r>
          </w:p>
          <w:p w14:paraId="17E671EA" w14:textId="77777777" w:rsidR="004559AD" w:rsidRPr="00295676" w:rsidRDefault="004559AD" w:rsidP="00C42838">
            <w:pPr>
              <w:spacing w:after="0" w:line="240" w:lineRule="auto"/>
            </w:pPr>
            <w:r w:rsidRPr="00295676">
              <w:t>Coagulation (</w:t>
            </w:r>
            <w:proofErr w:type="spellStart"/>
            <w:r w:rsidRPr="00295676">
              <w:t>aPTT</w:t>
            </w:r>
            <w:proofErr w:type="spellEnd"/>
            <w:r w:rsidRPr="00295676">
              <w:t>, INR)</w:t>
            </w:r>
          </w:p>
          <w:p w14:paraId="7EACCCC2" w14:textId="77777777" w:rsidR="004559AD" w:rsidRPr="00295676" w:rsidRDefault="004559AD" w:rsidP="00C42838">
            <w:pPr>
              <w:spacing w:after="0" w:line="240" w:lineRule="auto"/>
            </w:pPr>
            <w:r w:rsidRPr="00295676">
              <w:t>Renal function (creatinine, e-glomerular filtration rate)</w:t>
            </w:r>
          </w:p>
          <w:p w14:paraId="46383BDE" w14:textId="77777777" w:rsidR="004559AD" w:rsidRPr="00295676" w:rsidRDefault="004559AD" w:rsidP="00C42838">
            <w:pPr>
              <w:spacing w:after="0" w:line="240" w:lineRule="auto"/>
            </w:pPr>
            <w:r w:rsidRPr="00295676">
              <w:t xml:space="preserve">Random glucose </w:t>
            </w:r>
          </w:p>
          <w:p w14:paraId="765D8432" w14:textId="77777777" w:rsidR="004559AD" w:rsidRPr="00295676" w:rsidRDefault="004559AD" w:rsidP="00C42838">
            <w:pPr>
              <w:spacing w:after="0" w:line="240" w:lineRule="auto"/>
            </w:pPr>
            <w:r w:rsidRPr="00295676">
              <w:t>Troponin</w:t>
            </w:r>
          </w:p>
          <w:p w14:paraId="7CA5561D" w14:textId="77777777" w:rsidR="004559AD" w:rsidRPr="00295676" w:rsidRDefault="004559AD" w:rsidP="00C42838">
            <w:pPr>
              <w:spacing w:after="0" w:line="240" w:lineRule="auto"/>
            </w:pPr>
          </w:p>
          <w:p w14:paraId="6DE5A2B9" w14:textId="77777777" w:rsidR="004559AD" w:rsidRPr="00295676" w:rsidRDefault="004559AD" w:rsidP="00C42838">
            <w:pPr>
              <w:spacing w:after="0" w:line="240" w:lineRule="auto"/>
            </w:pPr>
            <w:r w:rsidRPr="00295676">
              <w:t xml:space="preserve">Evaluation of autoimmune diseases, arteritis, homocysteine </w:t>
            </w:r>
            <w:r w:rsidRPr="00295676">
              <w:lastRenderedPageBreak/>
              <w:t>levels, coagulopathy, screening for thrombophilia and genetic profile</w:t>
            </w:r>
            <w:r w:rsidRPr="00902C82">
              <w:rPr>
                <w:noProof/>
                <w:vertAlign w:val="superscript"/>
              </w:rPr>
              <w:t>24, 26, 29</w:t>
            </w:r>
          </w:p>
        </w:tc>
      </w:tr>
    </w:tbl>
    <w:p w14:paraId="33697EB9" w14:textId="77777777" w:rsidR="004559AD" w:rsidRPr="00295676" w:rsidRDefault="004559AD" w:rsidP="004559AD">
      <w:pPr>
        <w:spacing w:after="0" w:line="240" w:lineRule="auto"/>
      </w:pPr>
      <w:proofErr w:type="spellStart"/>
      <w:r w:rsidRPr="00295676">
        <w:lastRenderedPageBreak/>
        <w:t>aPTT</w:t>
      </w:r>
      <w:proofErr w:type="spellEnd"/>
      <w:r w:rsidRPr="00295676">
        <w:t>: activated partial thromboplastin time</w:t>
      </w:r>
    </w:p>
    <w:p w14:paraId="712F3F7E" w14:textId="77777777" w:rsidR="004559AD" w:rsidRPr="00295676" w:rsidRDefault="004559AD" w:rsidP="004559AD">
      <w:pPr>
        <w:spacing w:after="0" w:line="240" w:lineRule="auto"/>
      </w:pPr>
      <w:r w:rsidRPr="00295676">
        <w:t>CT: computerised tomography</w:t>
      </w:r>
    </w:p>
    <w:p w14:paraId="3CA3BF22" w14:textId="77777777" w:rsidR="004559AD" w:rsidRPr="00295676" w:rsidRDefault="004559AD" w:rsidP="004559AD">
      <w:pPr>
        <w:spacing w:after="0" w:line="240" w:lineRule="auto"/>
      </w:pPr>
      <w:r w:rsidRPr="00295676">
        <w:t>CTA: computed tomography angiography</w:t>
      </w:r>
    </w:p>
    <w:p w14:paraId="70E846A7" w14:textId="77777777" w:rsidR="004559AD" w:rsidRPr="00295676" w:rsidRDefault="004559AD" w:rsidP="004559AD">
      <w:pPr>
        <w:spacing w:after="0" w:line="240" w:lineRule="auto"/>
      </w:pPr>
      <w:r w:rsidRPr="00295676">
        <w:t>ECG: electrocardiogram</w:t>
      </w:r>
    </w:p>
    <w:p w14:paraId="19EB6391" w14:textId="77777777" w:rsidR="004559AD" w:rsidRPr="00295676" w:rsidRDefault="004559AD" w:rsidP="004559AD">
      <w:pPr>
        <w:spacing w:after="0" w:line="240" w:lineRule="auto"/>
      </w:pPr>
      <w:r w:rsidRPr="00295676">
        <w:t>INR: international normalized ratio</w:t>
      </w:r>
    </w:p>
    <w:p w14:paraId="76575E8E" w14:textId="77777777" w:rsidR="004559AD" w:rsidRPr="00295676" w:rsidRDefault="004559AD" w:rsidP="004559AD">
      <w:pPr>
        <w:spacing w:after="0" w:line="240" w:lineRule="auto"/>
      </w:pPr>
      <w:r w:rsidRPr="00295676">
        <w:t>MRA: magnetic resonance angiography</w:t>
      </w:r>
    </w:p>
    <w:p w14:paraId="10D36639" w14:textId="77777777" w:rsidR="004559AD" w:rsidRPr="00295676" w:rsidRDefault="004559AD" w:rsidP="004559AD">
      <w:pPr>
        <w:spacing w:after="0" w:line="240" w:lineRule="auto"/>
      </w:pPr>
      <w:r w:rsidRPr="00295676">
        <w:t>TCD: transcranial doppler</w:t>
      </w:r>
    </w:p>
    <w:p w14:paraId="19055D45" w14:textId="77777777" w:rsidR="004559AD" w:rsidRPr="00295676" w:rsidRDefault="004559AD" w:rsidP="004559AD">
      <w:pPr>
        <w:spacing w:after="0" w:line="240" w:lineRule="auto"/>
      </w:pPr>
      <w:r w:rsidRPr="00295676">
        <w:t>TIA: transient ischemic attack</w:t>
      </w:r>
    </w:p>
    <w:p w14:paraId="7DD7DB42" w14:textId="77777777" w:rsidR="00E87F08" w:rsidRPr="00295676" w:rsidRDefault="00E87F08" w:rsidP="00C42838"/>
    <w:p w14:paraId="5D035FD9" w14:textId="77777777" w:rsidR="00E87F08" w:rsidRPr="004C3C1E" w:rsidRDefault="00E87F08" w:rsidP="00C42838">
      <w:pPr>
        <w:spacing w:after="160" w:line="259" w:lineRule="auto"/>
      </w:pPr>
    </w:p>
    <w:p w14:paraId="6580DED2" w14:textId="77777777" w:rsidR="00C42838" w:rsidRDefault="00C42838"/>
    <w:sectPr w:rsidR="00C42838" w:rsidSect="004559AD">
      <w:footerReference w:type="default" r:id="rId2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8DE79" w14:textId="77777777" w:rsidR="00E51D67" w:rsidRDefault="00E51D67">
      <w:pPr>
        <w:spacing w:after="0" w:line="240" w:lineRule="auto"/>
      </w:pPr>
      <w:r>
        <w:separator/>
      </w:r>
    </w:p>
  </w:endnote>
  <w:endnote w:type="continuationSeparator" w:id="0">
    <w:p w14:paraId="23926CAE" w14:textId="77777777" w:rsidR="00E51D67" w:rsidRDefault="00E5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376691"/>
      <w:docPartObj>
        <w:docPartGallery w:val="Page Numbers (Bottom of Page)"/>
        <w:docPartUnique/>
      </w:docPartObj>
    </w:sdtPr>
    <w:sdtEndPr>
      <w:rPr>
        <w:noProof/>
      </w:rPr>
    </w:sdtEndPr>
    <w:sdtContent>
      <w:p w14:paraId="30CE4B99" w14:textId="77777777" w:rsidR="00C42838" w:rsidRDefault="00C42838">
        <w:pPr>
          <w:pStyle w:val="Footer"/>
          <w:jc w:val="center"/>
        </w:pPr>
        <w:r>
          <w:fldChar w:fldCharType="begin"/>
        </w:r>
        <w:r>
          <w:instrText xml:space="preserve"> PAGE   \* MERGEFORMAT </w:instrText>
        </w:r>
        <w:r>
          <w:fldChar w:fldCharType="separate"/>
        </w:r>
        <w:r w:rsidR="00383BC0">
          <w:rPr>
            <w:noProof/>
          </w:rPr>
          <w:t>1</w:t>
        </w:r>
        <w:r>
          <w:rPr>
            <w:noProof/>
          </w:rPr>
          <w:fldChar w:fldCharType="end"/>
        </w:r>
      </w:p>
    </w:sdtContent>
  </w:sdt>
  <w:p w14:paraId="7536E826" w14:textId="77777777" w:rsidR="00C42838" w:rsidRDefault="00C428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793211"/>
      <w:docPartObj>
        <w:docPartGallery w:val="Page Numbers (Bottom of Page)"/>
        <w:docPartUnique/>
      </w:docPartObj>
    </w:sdtPr>
    <w:sdtEndPr>
      <w:rPr>
        <w:noProof/>
      </w:rPr>
    </w:sdtEndPr>
    <w:sdtContent>
      <w:p w14:paraId="5D3B37FE" w14:textId="77777777" w:rsidR="00C42838" w:rsidRDefault="00C42838">
        <w:pPr>
          <w:pStyle w:val="Footer"/>
          <w:jc w:val="center"/>
        </w:pPr>
        <w:r>
          <w:fldChar w:fldCharType="begin"/>
        </w:r>
        <w:r>
          <w:instrText xml:space="preserve"> PAGE   \* MERGEFORMAT </w:instrText>
        </w:r>
        <w:r>
          <w:fldChar w:fldCharType="separate"/>
        </w:r>
        <w:r w:rsidR="00383BC0">
          <w:rPr>
            <w:noProof/>
          </w:rPr>
          <w:t>27</w:t>
        </w:r>
        <w:r>
          <w:rPr>
            <w:noProof/>
          </w:rPr>
          <w:fldChar w:fldCharType="end"/>
        </w:r>
      </w:p>
    </w:sdtContent>
  </w:sdt>
  <w:p w14:paraId="43DFE989" w14:textId="77777777" w:rsidR="00C42838" w:rsidRDefault="00C428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C37D" w14:textId="77777777" w:rsidR="00E51D67" w:rsidRDefault="00E51D67">
      <w:pPr>
        <w:spacing w:after="0" w:line="240" w:lineRule="auto"/>
      </w:pPr>
      <w:r>
        <w:separator/>
      </w:r>
    </w:p>
  </w:footnote>
  <w:footnote w:type="continuationSeparator" w:id="0">
    <w:p w14:paraId="72A9DFF3" w14:textId="77777777" w:rsidR="00E51D67" w:rsidRDefault="00E51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7F08"/>
    <w:rsid w:val="00071BE4"/>
    <w:rsid w:val="001F099A"/>
    <w:rsid w:val="003435F9"/>
    <w:rsid w:val="00383BC0"/>
    <w:rsid w:val="004559AD"/>
    <w:rsid w:val="0061044C"/>
    <w:rsid w:val="00881AB0"/>
    <w:rsid w:val="00C42838"/>
    <w:rsid w:val="00D160DA"/>
    <w:rsid w:val="00E51D67"/>
    <w:rsid w:val="00E87F0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B6C9"/>
  <w15:chartTrackingRefBased/>
  <w15:docId w15:val="{B6F8BF4D-CB5F-4136-995D-38419022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F08"/>
    <w:pPr>
      <w:spacing w:after="240" w:line="480" w:lineRule="auto"/>
    </w:pPr>
    <w:rPr>
      <w:rFonts w:ascii="Times New Roman" w:hAnsi="Times New Roman"/>
      <w:sz w:val="24"/>
    </w:rPr>
  </w:style>
  <w:style w:type="paragraph" w:styleId="Heading1">
    <w:name w:val="heading 1"/>
    <w:basedOn w:val="Normal"/>
    <w:next w:val="Normal"/>
    <w:link w:val="Heading1Char"/>
    <w:uiPriority w:val="9"/>
    <w:qFormat/>
    <w:rsid w:val="00E87F08"/>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E87F08"/>
    <w:pPr>
      <w:keepNext/>
      <w:keepLines/>
      <w:spacing w:before="12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E87F08"/>
    <w:pPr>
      <w:keepNext/>
      <w:keepLines/>
      <w:spacing w:before="40" w:after="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F08"/>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rsid w:val="00E87F08"/>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E87F08"/>
    <w:rPr>
      <w:rFonts w:ascii="Times New Roman" w:eastAsiaTheme="majorEastAsia" w:hAnsi="Times New Roman" w:cstheme="majorBidi"/>
      <w:b/>
      <w:i/>
      <w:color w:val="000000" w:themeColor="text1"/>
      <w:sz w:val="24"/>
      <w:szCs w:val="24"/>
    </w:rPr>
  </w:style>
  <w:style w:type="paragraph" w:styleId="Header">
    <w:name w:val="header"/>
    <w:basedOn w:val="Normal"/>
    <w:link w:val="HeaderChar"/>
    <w:uiPriority w:val="99"/>
    <w:unhideWhenUsed/>
    <w:rsid w:val="00E87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08"/>
    <w:rPr>
      <w:rFonts w:ascii="Times New Roman" w:hAnsi="Times New Roman"/>
      <w:sz w:val="24"/>
    </w:rPr>
  </w:style>
  <w:style w:type="paragraph" w:styleId="Footer">
    <w:name w:val="footer"/>
    <w:basedOn w:val="Normal"/>
    <w:link w:val="FooterChar"/>
    <w:uiPriority w:val="99"/>
    <w:unhideWhenUsed/>
    <w:rsid w:val="00E87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08"/>
    <w:rPr>
      <w:rFonts w:ascii="Times New Roman" w:hAnsi="Times New Roman"/>
      <w:sz w:val="24"/>
    </w:rPr>
  </w:style>
  <w:style w:type="character" w:styleId="Hyperlink">
    <w:name w:val="Hyperlink"/>
    <w:basedOn w:val="DefaultParagraphFont"/>
    <w:uiPriority w:val="99"/>
    <w:unhideWhenUsed/>
    <w:rsid w:val="00E87F08"/>
    <w:rPr>
      <w:color w:val="0563C1" w:themeColor="hyperlink"/>
      <w:u w:val="single"/>
    </w:rPr>
  </w:style>
  <w:style w:type="paragraph" w:customStyle="1" w:styleId="EndNoteBibliographyTitle">
    <w:name w:val="EndNote Bibliography Title"/>
    <w:basedOn w:val="Normal"/>
    <w:link w:val="EndNoteBibliographyTitleChar"/>
    <w:rsid w:val="00E87F08"/>
    <w:pPr>
      <w:spacing w:after="0"/>
      <w:jc w:val="center"/>
    </w:pPr>
    <w:rPr>
      <w:rFonts w:cs="Times New Roman"/>
      <w:noProof/>
      <w:sz w:val="22"/>
      <w:lang w:val="en-US"/>
    </w:rPr>
  </w:style>
  <w:style w:type="character" w:customStyle="1" w:styleId="EndNoteBibliographyTitleChar">
    <w:name w:val="EndNote Bibliography Title Char"/>
    <w:basedOn w:val="DefaultParagraphFont"/>
    <w:link w:val="EndNoteBibliographyTitle"/>
    <w:rsid w:val="00E87F08"/>
    <w:rPr>
      <w:rFonts w:ascii="Times New Roman" w:hAnsi="Times New Roman" w:cs="Times New Roman"/>
      <w:noProof/>
      <w:lang w:val="en-US"/>
    </w:rPr>
  </w:style>
  <w:style w:type="paragraph" w:customStyle="1" w:styleId="EndNoteBibliography">
    <w:name w:val="EndNote Bibliography"/>
    <w:basedOn w:val="Normal"/>
    <w:link w:val="EndNoteBibliographyChar"/>
    <w:rsid w:val="00E87F08"/>
    <w:rPr>
      <w:rFonts w:cs="Times New Roman"/>
      <w:noProof/>
      <w:sz w:val="22"/>
      <w:lang w:val="en-US"/>
    </w:rPr>
  </w:style>
  <w:style w:type="character" w:customStyle="1" w:styleId="EndNoteBibliographyChar">
    <w:name w:val="EndNote Bibliography Char"/>
    <w:basedOn w:val="DefaultParagraphFont"/>
    <w:link w:val="EndNoteBibliography"/>
    <w:rsid w:val="00E87F08"/>
    <w:rPr>
      <w:rFonts w:ascii="Times New Roman" w:hAnsi="Times New Roman" w:cs="Times New Roman"/>
      <w:noProof/>
      <w:lang w:val="en-US"/>
    </w:rPr>
  </w:style>
  <w:style w:type="character" w:styleId="CommentReference">
    <w:name w:val="annotation reference"/>
    <w:basedOn w:val="DefaultParagraphFont"/>
    <w:uiPriority w:val="99"/>
    <w:semiHidden/>
    <w:unhideWhenUsed/>
    <w:rsid w:val="00E87F08"/>
    <w:rPr>
      <w:sz w:val="16"/>
      <w:szCs w:val="16"/>
    </w:rPr>
  </w:style>
  <w:style w:type="paragraph" w:styleId="CommentText">
    <w:name w:val="annotation text"/>
    <w:basedOn w:val="Normal"/>
    <w:link w:val="CommentTextChar"/>
    <w:uiPriority w:val="99"/>
    <w:unhideWhenUsed/>
    <w:rsid w:val="00E87F08"/>
    <w:pPr>
      <w:spacing w:line="240" w:lineRule="auto"/>
    </w:pPr>
    <w:rPr>
      <w:sz w:val="20"/>
      <w:szCs w:val="20"/>
    </w:rPr>
  </w:style>
  <w:style w:type="character" w:customStyle="1" w:styleId="CommentTextChar">
    <w:name w:val="Comment Text Char"/>
    <w:basedOn w:val="DefaultParagraphFont"/>
    <w:link w:val="CommentText"/>
    <w:uiPriority w:val="99"/>
    <w:rsid w:val="00E87F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7F08"/>
    <w:rPr>
      <w:b/>
      <w:bCs/>
    </w:rPr>
  </w:style>
  <w:style w:type="character" w:customStyle="1" w:styleId="CommentSubjectChar">
    <w:name w:val="Comment Subject Char"/>
    <w:basedOn w:val="CommentTextChar"/>
    <w:link w:val="CommentSubject"/>
    <w:uiPriority w:val="99"/>
    <w:semiHidden/>
    <w:rsid w:val="00E87F08"/>
    <w:rPr>
      <w:rFonts w:ascii="Times New Roman" w:hAnsi="Times New Roman"/>
      <w:b/>
      <w:bCs/>
      <w:sz w:val="20"/>
      <w:szCs w:val="20"/>
    </w:rPr>
  </w:style>
  <w:style w:type="paragraph" w:styleId="BalloonText">
    <w:name w:val="Balloon Text"/>
    <w:basedOn w:val="Normal"/>
    <w:link w:val="BalloonTextChar"/>
    <w:uiPriority w:val="99"/>
    <w:semiHidden/>
    <w:unhideWhenUsed/>
    <w:rsid w:val="00E87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08"/>
    <w:rPr>
      <w:rFonts w:ascii="Segoe UI" w:hAnsi="Segoe UI" w:cs="Segoe UI"/>
      <w:sz w:val="18"/>
      <w:szCs w:val="18"/>
    </w:rPr>
  </w:style>
  <w:style w:type="paragraph" w:styleId="Revision">
    <w:name w:val="Revision"/>
    <w:hidden/>
    <w:uiPriority w:val="99"/>
    <w:semiHidden/>
    <w:rsid w:val="00E87F08"/>
    <w:pPr>
      <w:spacing w:after="0" w:line="240" w:lineRule="auto"/>
    </w:pPr>
    <w:rPr>
      <w:rFonts w:ascii="Constantia" w:hAnsi="Constantia"/>
    </w:rPr>
  </w:style>
  <w:style w:type="table" w:styleId="TableGrid">
    <w:name w:val="Table Grid"/>
    <w:basedOn w:val="TableNormal"/>
    <w:uiPriority w:val="39"/>
    <w:rsid w:val="00E87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F08"/>
    <w:pPr>
      <w:ind w:left="720"/>
      <w:contextualSpacing/>
    </w:pPr>
  </w:style>
  <w:style w:type="table" w:customStyle="1" w:styleId="TableGrid1">
    <w:name w:val="Table Grid1"/>
    <w:basedOn w:val="TableNormal"/>
    <w:next w:val="TableGrid"/>
    <w:uiPriority w:val="59"/>
    <w:rsid w:val="00E87F08"/>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87F08"/>
    <w:rPr>
      <w:b/>
      <w:bCs/>
    </w:rPr>
  </w:style>
  <w:style w:type="paragraph" w:styleId="NormalWeb">
    <w:name w:val="Normal (Web)"/>
    <w:basedOn w:val="Normal"/>
    <w:uiPriority w:val="99"/>
    <w:unhideWhenUsed/>
    <w:rsid w:val="00E87F08"/>
    <w:pPr>
      <w:spacing w:before="100" w:beforeAutospacing="1" w:after="100" w:afterAutospacing="1" w:line="240" w:lineRule="auto"/>
    </w:pPr>
    <w:rPr>
      <w:rFonts w:eastAsia="Times New Roman" w:cs="Times New Roman"/>
      <w:szCs w:val="24"/>
      <w:lang w:eastAsia="en-GB"/>
    </w:rPr>
  </w:style>
  <w:style w:type="character" w:styleId="LineNumber">
    <w:name w:val="line number"/>
    <w:basedOn w:val="DefaultParagraphFont"/>
    <w:uiPriority w:val="99"/>
    <w:semiHidden/>
    <w:unhideWhenUsed/>
    <w:rsid w:val="00E87F08"/>
  </w:style>
  <w:style w:type="paragraph" w:styleId="EndnoteText">
    <w:name w:val="endnote text"/>
    <w:basedOn w:val="Normal"/>
    <w:link w:val="EndnoteTextChar"/>
    <w:uiPriority w:val="99"/>
    <w:unhideWhenUsed/>
    <w:rsid w:val="00E87F08"/>
    <w:pPr>
      <w:spacing w:after="0" w:line="240" w:lineRule="auto"/>
    </w:pPr>
    <w:rPr>
      <w:rFonts w:ascii="Arial" w:eastAsia="Times New Roman" w:hAnsi="Arial" w:cs="Arial"/>
      <w:szCs w:val="24"/>
    </w:rPr>
  </w:style>
  <w:style w:type="character" w:customStyle="1" w:styleId="EndnoteTextChar">
    <w:name w:val="Endnote Text Char"/>
    <w:basedOn w:val="DefaultParagraphFont"/>
    <w:link w:val="EndnoteText"/>
    <w:uiPriority w:val="99"/>
    <w:rsid w:val="00E87F08"/>
    <w:rPr>
      <w:rFonts w:ascii="Arial" w:eastAsia="Times New Roman" w:hAnsi="Arial" w:cs="Arial"/>
      <w:sz w:val="24"/>
      <w:szCs w:val="24"/>
    </w:rPr>
  </w:style>
  <w:style w:type="character" w:styleId="EndnoteReference">
    <w:name w:val="endnote reference"/>
    <w:uiPriority w:val="99"/>
    <w:unhideWhenUsed/>
    <w:rsid w:val="00E87F08"/>
    <w:rPr>
      <w:rFonts w:cs="Times New Roman"/>
      <w:vertAlign w:val="superscript"/>
    </w:rPr>
  </w:style>
  <w:style w:type="paragraph" w:customStyle="1" w:styleId="TableTitle">
    <w:name w:val="TableTitle"/>
    <w:basedOn w:val="Normal"/>
    <w:rsid w:val="00E87F08"/>
    <w:pPr>
      <w:spacing w:after="0" w:line="300" w:lineRule="exact"/>
    </w:pPr>
    <w:rPr>
      <w:rFonts w:eastAsia="Times New Roman" w:cs="Times New Roman"/>
      <w:szCs w:val="20"/>
    </w:rPr>
  </w:style>
  <w:style w:type="paragraph" w:customStyle="1" w:styleId="TableHeader">
    <w:name w:val="TableHeader"/>
    <w:basedOn w:val="Normal"/>
    <w:rsid w:val="00E87F08"/>
    <w:pPr>
      <w:spacing w:before="120" w:after="0" w:line="240" w:lineRule="auto"/>
    </w:pPr>
    <w:rPr>
      <w:rFonts w:eastAsia="Times New Roman" w:cs="Times New Roman"/>
      <w:b/>
      <w:szCs w:val="20"/>
    </w:rPr>
  </w:style>
  <w:style w:type="paragraph" w:customStyle="1" w:styleId="TableSubHead">
    <w:name w:val="TableSubHead"/>
    <w:basedOn w:val="TableHeader"/>
    <w:rsid w:val="00E87F08"/>
  </w:style>
  <w:style w:type="character" w:customStyle="1" w:styleId="searchhistory-search-term">
    <w:name w:val="searchhistory-search-term"/>
    <w:rsid w:val="00E87F08"/>
  </w:style>
  <w:style w:type="paragraph" w:styleId="Caption">
    <w:name w:val="caption"/>
    <w:basedOn w:val="Normal"/>
    <w:next w:val="Normal"/>
    <w:uiPriority w:val="35"/>
    <w:unhideWhenUsed/>
    <w:qFormat/>
    <w:rsid w:val="00E87F08"/>
    <w:pPr>
      <w:spacing w:after="200" w:line="240" w:lineRule="auto"/>
    </w:pPr>
    <w:rPr>
      <w:b/>
      <w:iCs/>
      <w:szCs w:val="18"/>
    </w:rPr>
  </w:style>
  <w:style w:type="paragraph" w:styleId="NoSpacing">
    <w:name w:val="No Spacing"/>
    <w:uiPriority w:val="1"/>
    <w:qFormat/>
    <w:rsid w:val="00E87F08"/>
    <w:pPr>
      <w:spacing w:after="0" w:line="240" w:lineRule="auto"/>
    </w:pPr>
    <w:rPr>
      <w:rFonts w:ascii="Times New Roman" w:hAnsi="Times New Roman"/>
    </w:rPr>
  </w:style>
  <w:style w:type="table" w:customStyle="1" w:styleId="PlainTable21">
    <w:name w:val="Plain Table 21"/>
    <w:basedOn w:val="TableNormal"/>
    <w:uiPriority w:val="42"/>
    <w:rsid w:val="00E87F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29"/>
    <w:qFormat/>
    <w:rsid w:val="00E87F08"/>
    <w:pPr>
      <w:spacing w:before="200" w:after="160" w:line="240" w:lineRule="auto"/>
      <w:ind w:left="864" w:right="864"/>
    </w:pPr>
    <w:rPr>
      <w:rFonts w:asciiTheme="minorHAnsi" w:hAnsiTheme="minorHAnsi"/>
      <w:b/>
      <w:iCs/>
      <w:color w:val="404040" w:themeColor="text1" w:themeTint="BF"/>
      <w:sz w:val="20"/>
    </w:rPr>
  </w:style>
  <w:style w:type="character" w:customStyle="1" w:styleId="QuoteChar">
    <w:name w:val="Quote Char"/>
    <w:basedOn w:val="DefaultParagraphFont"/>
    <w:link w:val="Quote"/>
    <w:uiPriority w:val="29"/>
    <w:rsid w:val="00E87F08"/>
    <w:rPr>
      <w:b/>
      <w:iCs/>
      <w:color w:val="404040" w:themeColor="text1" w:themeTint="BF"/>
      <w:sz w:val="20"/>
    </w:rPr>
  </w:style>
  <w:style w:type="paragraph" w:customStyle="1" w:styleId="p1">
    <w:name w:val="p1"/>
    <w:basedOn w:val="Normal"/>
    <w:rsid w:val="00E87F08"/>
    <w:pPr>
      <w:spacing w:after="0" w:line="240" w:lineRule="auto"/>
    </w:pPr>
    <w:rPr>
      <w:rFonts w:ascii="Helvetica Neue" w:hAnsi="Helvetica Neue" w:cs="Times New Roman"/>
      <w:sz w:val="18"/>
      <w:szCs w:val="18"/>
      <w:lang w:eastAsia="en-GB"/>
    </w:rPr>
  </w:style>
  <w:style w:type="character" w:styleId="FollowedHyperlink">
    <w:name w:val="FollowedHyperlink"/>
    <w:basedOn w:val="DefaultParagraphFont"/>
    <w:uiPriority w:val="99"/>
    <w:semiHidden/>
    <w:unhideWhenUsed/>
    <w:rsid w:val="00E87F08"/>
    <w:rPr>
      <w:color w:val="954F72" w:themeColor="followedHyperlink"/>
      <w:u w:val="single"/>
    </w:rPr>
  </w:style>
  <w:style w:type="paragraph" w:styleId="HTMLPreformatted">
    <w:name w:val="HTML Preformatted"/>
    <w:basedOn w:val="Normal"/>
    <w:link w:val="HTMLPreformattedChar"/>
    <w:uiPriority w:val="99"/>
    <w:unhideWhenUsed/>
    <w:rsid w:val="00E87F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87F08"/>
    <w:rPr>
      <w:rFonts w:ascii="Consolas" w:hAnsi="Consolas"/>
      <w:sz w:val="20"/>
      <w:szCs w:val="20"/>
    </w:rPr>
  </w:style>
  <w:style w:type="character" w:customStyle="1" w:styleId="apple-converted-space">
    <w:name w:val="apple-converted-space"/>
    <w:basedOn w:val="DefaultParagraphFont"/>
    <w:rsid w:val="00E87F08"/>
  </w:style>
  <w:style w:type="character" w:customStyle="1" w:styleId="UnresolvedMention1">
    <w:name w:val="Unresolved Mention1"/>
    <w:basedOn w:val="DefaultParagraphFont"/>
    <w:uiPriority w:val="99"/>
    <w:semiHidden/>
    <w:unhideWhenUsed/>
    <w:rsid w:val="00E87F08"/>
    <w:rPr>
      <w:color w:val="808080"/>
      <w:shd w:val="clear" w:color="auto" w:fill="E6E6E6"/>
    </w:rPr>
  </w:style>
  <w:style w:type="table" w:styleId="ListTable1Light">
    <w:name w:val="List Table 1 Light"/>
    <w:basedOn w:val="TableNormal"/>
    <w:uiPriority w:val="46"/>
    <w:rsid w:val="00E87F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E87F08"/>
    <w:rPr>
      <w:color w:val="605E5C"/>
      <w:shd w:val="clear" w:color="auto" w:fill="E1DFDD"/>
    </w:rPr>
  </w:style>
  <w:style w:type="character" w:customStyle="1" w:styleId="UnresolvedMention3">
    <w:name w:val="Unresolved Mention3"/>
    <w:basedOn w:val="DefaultParagraphFont"/>
    <w:uiPriority w:val="99"/>
    <w:semiHidden/>
    <w:unhideWhenUsed/>
    <w:rsid w:val="00E87F08"/>
    <w:rPr>
      <w:color w:val="605E5C"/>
      <w:shd w:val="clear" w:color="auto" w:fill="E1DFDD"/>
    </w:rPr>
  </w:style>
  <w:style w:type="character" w:customStyle="1" w:styleId="UnresolvedMention">
    <w:name w:val="Unresolved Mention"/>
    <w:basedOn w:val="DefaultParagraphFont"/>
    <w:uiPriority w:val="99"/>
    <w:semiHidden/>
    <w:unhideWhenUsed/>
    <w:rsid w:val="00E8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hajournals.org/journal/str" TargetMode="External"/><Relationship Id="rId20" Type="http://schemas.openxmlformats.org/officeDocument/2006/relationships/hyperlink" Target="https://www.nice.org.uk/guidance/ng128" TargetMode="External"/><Relationship Id="rId21" Type="http://schemas.openxmlformats.org/officeDocument/2006/relationships/hyperlink" Target="https://www.nice.org.uk/guidance/cg180" TargetMode="External"/><Relationship Id="rId22" Type="http://schemas.openxmlformats.org/officeDocument/2006/relationships/hyperlink" Target="https://www.moh.gov.sg/docs/librariesprovider4/guidelines/cpg_stroke-and-transient-ischaemic-attacks.pdf" TargetMode="External"/><Relationship Id="rId23" Type="http://schemas.openxmlformats.org/officeDocument/2006/relationships/hyperlink" Target="http://www.stroke-india.org/downloads/stroke.pdf"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g-i-n.net" TargetMode="External"/><Relationship Id="rId11" Type="http://schemas.openxmlformats.org/officeDocument/2006/relationships/hyperlink" Target="http://www.aan.com/" TargetMode="External"/><Relationship Id="rId12" Type="http://schemas.openxmlformats.org/officeDocument/2006/relationships/hyperlink" Target="http://www.world-stroke.org" TargetMode="External"/><Relationship Id="rId13" Type="http://schemas.openxmlformats.org/officeDocument/2006/relationships/hyperlink" Target="http://www.opengrey.eu/" TargetMode="External"/><Relationship Id="rId14" Type="http://schemas.openxmlformats.org/officeDocument/2006/relationships/hyperlink" Target="https://www.ahajournals.org/journal/str" TargetMode="External"/><Relationship Id="rId15" Type="http://schemas.openxmlformats.org/officeDocument/2006/relationships/hyperlink" Target="https://www.ahajournals.org/journal/str" TargetMode="External"/><Relationship Id="rId16" Type="http://schemas.openxmlformats.org/officeDocument/2006/relationships/hyperlink" Target="https://www.ahajournals.org/journal/str" TargetMode="External"/><Relationship Id="rId17" Type="http://schemas.openxmlformats.org/officeDocument/2006/relationships/hyperlink" Target="https://www.ahajournals.org/journal/str" TargetMode="External"/><Relationship Id="rId18" Type="http://schemas.openxmlformats.org/officeDocument/2006/relationships/hyperlink" Target="https://www.ahajournals.org/journal/str" TargetMode="External"/><Relationship Id="rId19" Type="http://schemas.openxmlformats.org/officeDocument/2006/relationships/hyperlink" Target="https://www.ahajournals.org/journal/str"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lwatkins@uclan.ac.uk" TargetMode="External"/><Relationship Id="rId8" Type="http://schemas.openxmlformats.org/officeDocument/2006/relationships/hyperlink" Target="https://www.crd.york.ac.uk/prospero/display_record.php?RecordID=127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ADC9-4454-8842-B0DC-DA9943DC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6135</Words>
  <Characters>34971</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41024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Naoimh McMahon &lt;Stroke Research Team&gt;</dc:creator>
  <cp:keywords/>
  <dc:description/>
  <cp:lastModifiedBy>Deirdre Lane</cp:lastModifiedBy>
  <cp:revision>2</cp:revision>
  <dcterms:created xsi:type="dcterms:W3CDTF">2020-04-15T11:18:00Z</dcterms:created>
  <dcterms:modified xsi:type="dcterms:W3CDTF">2020-04-15T11:18:00Z</dcterms:modified>
</cp:coreProperties>
</file>