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1E" w:rsidRDefault="006E3931" w:rsidP="001B471E">
      <w:pPr>
        <w:spacing w:line="360" w:lineRule="auto"/>
        <w:contextualSpacing/>
        <w:jc w:val="center"/>
        <w:rPr>
          <w:b/>
        </w:rPr>
      </w:pPr>
      <w:r>
        <w:rPr>
          <w:b/>
        </w:rPr>
        <w:t>Non-electoral r</w:t>
      </w:r>
      <w:r w:rsidR="001B471E">
        <w:rPr>
          <w:b/>
        </w:rPr>
        <w:t>epresentation and promoting welfare – beyond descriptive representation</w:t>
      </w:r>
    </w:p>
    <w:p w:rsidR="001B471E" w:rsidRDefault="001B471E" w:rsidP="001B471E">
      <w:pPr>
        <w:spacing w:line="360" w:lineRule="auto"/>
        <w:contextualSpacing/>
      </w:pPr>
    </w:p>
    <w:p w:rsidR="001B471E" w:rsidRDefault="001B471E" w:rsidP="001B471E">
      <w:pPr>
        <w:spacing w:line="360" w:lineRule="auto"/>
        <w:contextualSpacing/>
      </w:pPr>
    </w:p>
    <w:p w:rsidR="00720C5A" w:rsidRDefault="001B471E" w:rsidP="001B471E">
      <w:pPr>
        <w:spacing w:line="360" w:lineRule="auto"/>
        <w:contextualSpacing/>
      </w:pPr>
      <w:r>
        <w:t>McCoy et al give</w:t>
      </w:r>
      <w:r w:rsidR="004C25D5">
        <w:t xml:space="preserve"> a finely tuned analysis of the role and responsibilities</w:t>
      </w:r>
      <w:r>
        <w:t xml:space="preserve"> of non-elected or</w:t>
      </w:r>
      <w:r w:rsidR="00720C5A">
        <w:t xml:space="preserve"> self-appointed representatives in public policy. They take</w:t>
      </w:r>
      <w:r>
        <w:t xml:space="preserve"> the example of autism activism to illustrate the debate over who can credibly act as a representative of this population and what responsibilities such a role might entail. </w:t>
      </w:r>
      <w:r w:rsidR="006815BF">
        <w:t xml:space="preserve">Non-elected representation is a growing aspect of policy formulation and politics and is </w:t>
      </w:r>
      <w:r w:rsidRPr="00D72393">
        <w:t>p</w:t>
      </w:r>
      <w:r w:rsidR="006815BF">
        <w:t xml:space="preserve">art of a general trend </w:t>
      </w:r>
      <w:r>
        <w:t>to widen</w:t>
      </w:r>
      <w:r w:rsidRPr="00D72393">
        <w:t xml:space="preserve"> democratic engagement beyond the ballot box. Electoral </w:t>
      </w:r>
      <w:r w:rsidR="00CF79A9" w:rsidRPr="00D72393">
        <w:t>turnouts</w:t>
      </w:r>
      <w:r w:rsidRPr="00D72393">
        <w:t xml:space="preserve"> are decreasing and mainstream politics is suffering a legitimation crisis (</w:t>
      </w:r>
      <w:proofErr w:type="spellStart"/>
      <w:r w:rsidR="003757F3">
        <w:t>Fishkin</w:t>
      </w:r>
      <w:proofErr w:type="spellEnd"/>
      <w:r w:rsidR="003757F3">
        <w:t xml:space="preserve"> &amp; </w:t>
      </w:r>
      <w:proofErr w:type="spellStart"/>
      <w:r w:rsidRPr="00D72393">
        <w:t>Mansbridge</w:t>
      </w:r>
      <w:proofErr w:type="spellEnd"/>
      <w:r w:rsidR="00CF79A9">
        <w:t>,</w:t>
      </w:r>
      <w:r w:rsidR="006815BF">
        <w:t xml:space="preserve"> 2017</w:t>
      </w:r>
      <w:r w:rsidRPr="00D72393">
        <w:t xml:space="preserve">). Yet, people still want to be involved in </w:t>
      </w:r>
      <w:r w:rsidR="006815BF">
        <w:t xml:space="preserve">policy decisions and </w:t>
      </w:r>
      <w:r w:rsidR="00CF79A9">
        <w:t xml:space="preserve">new forms of non-electoral representation, such as </w:t>
      </w:r>
      <w:r w:rsidRPr="00D72393">
        <w:t xml:space="preserve">citizen juries and </w:t>
      </w:r>
      <w:proofErr w:type="gramStart"/>
      <w:r w:rsidRPr="00D72393">
        <w:t>pe</w:t>
      </w:r>
      <w:r w:rsidR="003757F3">
        <w:t>ople’s</w:t>
      </w:r>
      <w:proofErr w:type="gramEnd"/>
      <w:r w:rsidR="003757F3">
        <w:t xml:space="preserve"> parliaments (Fung, </w:t>
      </w:r>
      <w:r w:rsidR="00CF79A9">
        <w:t xml:space="preserve">2003), are increasingly being used </w:t>
      </w:r>
      <w:r w:rsidR="004C25D5">
        <w:t xml:space="preserve">as </w:t>
      </w:r>
      <w:r w:rsidR="000746BB">
        <w:t xml:space="preserve">mechanisms to involve </w:t>
      </w:r>
      <w:r w:rsidR="00CF79A9">
        <w:t>people in policy decisions.</w:t>
      </w:r>
      <w:r w:rsidRPr="00D72393">
        <w:t xml:space="preserve"> </w:t>
      </w:r>
      <w:r>
        <w:t>Institutio</w:t>
      </w:r>
      <w:r w:rsidR="00CF79A9">
        <w:t xml:space="preserve">nal forms of democracy are </w:t>
      </w:r>
      <w:r>
        <w:t xml:space="preserve">poor at articulating and bringing to the fore interests of small sub-sets of the population, as </w:t>
      </w:r>
      <w:proofErr w:type="spellStart"/>
      <w:r>
        <w:t>Montanaro</w:t>
      </w:r>
      <w:proofErr w:type="spellEnd"/>
      <w:r>
        <w:t xml:space="preserve"> notes, a vote in elections is, ‘a blunt instrument….with little capacity to convey detailed information.’ (</w:t>
      </w:r>
      <w:proofErr w:type="spellStart"/>
      <w:r>
        <w:t>Montanaro</w:t>
      </w:r>
      <w:proofErr w:type="spellEnd"/>
      <w:r>
        <w:t xml:space="preserve">, 2017:4) </w:t>
      </w:r>
      <w:r w:rsidR="00EF413A">
        <w:t xml:space="preserve">McCoy et al quote </w:t>
      </w:r>
      <w:proofErr w:type="spellStart"/>
      <w:r w:rsidR="00EF413A">
        <w:t>Saward</w:t>
      </w:r>
      <w:proofErr w:type="spellEnd"/>
      <w:r w:rsidR="00EF413A">
        <w:t xml:space="preserve"> in saying, non-electoral representatives can help to, ‘give voice to the affected by opening up new lines and styles of representation, which can be more sensitive to intensity of preference and particular li</w:t>
      </w:r>
      <w:r w:rsidR="00E11E2D">
        <w:t>ved experiences.’ (</w:t>
      </w:r>
      <w:proofErr w:type="spellStart"/>
      <w:r w:rsidR="00E11E2D">
        <w:t>Saward</w:t>
      </w:r>
      <w:proofErr w:type="spellEnd"/>
      <w:r w:rsidR="00E11E2D">
        <w:t xml:space="preserve"> </w:t>
      </w:r>
      <w:r w:rsidR="006915B6">
        <w:t>quoted in McCoy p14</w:t>
      </w:r>
      <w:r w:rsidR="00EF413A">
        <w:t>)</w:t>
      </w:r>
      <w:r w:rsidR="00E11E2D">
        <w:t xml:space="preserve"> </w:t>
      </w:r>
      <w:r w:rsidR="00950653">
        <w:t>Consequently, n</w:t>
      </w:r>
      <w:r w:rsidR="00720C5A">
        <w:t>on-electoral representation</w:t>
      </w:r>
      <w:r w:rsidR="00950653">
        <w:t xml:space="preserve"> can be </w:t>
      </w:r>
      <w:r w:rsidR="00720C5A">
        <w:t>a potentially productive way of involving more people in policy-</w:t>
      </w:r>
      <w:r w:rsidR="003757F3">
        <w:t xml:space="preserve">making – as a way of hearing </w:t>
      </w:r>
      <w:r w:rsidR="006E3931">
        <w:t xml:space="preserve">other, </w:t>
      </w:r>
      <w:r w:rsidR="003757F3">
        <w:t xml:space="preserve">often </w:t>
      </w:r>
      <w:r w:rsidR="0007652A">
        <w:t>marginalized</w:t>
      </w:r>
      <w:r w:rsidR="006E3931">
        <w:t>,</w:t>
      </w:r>
      <w:r w:rsidR="0007652A">
        <w:t xml:space="preserve"> </w:t>
      </w:r>
      <w:r w:rsidR="00720C5A">
        <w:t>voices.</w:t>
      </w:r>
    </w:p>
    <w:p w:rsidR="00720C5A" w:rsidRDefault="00720C5A" w:rsidP="001B471E">
      <w:pPr>
        <w:spacing w:line="360" w:lineRule="auto"/>
        <w:contextualSpacing/>
      </w:pPr>
    </w:p>
    <w:p w:rsidR="001D11F4" w:rsidRDefault="0007652A" w:rsidP="001B471E">
      <w:pPr>
        <w:spacing w:line="360" w:lineRule="auto"/>
        <w:contextualSpacing/>
      </w:pPr>
      <w:r>
        <w:t xml:space="preserve">However, what counts as adequate representation and in what way marginalized groups </w:t>
      </w:r>
      <w:proofErr w:type="gramStart"/>
      <w:r>
        <w:t>should be represented</w:t>
      </w:r>
      <w:proofErr w:type="gramEnd"/>
      <w:r>
        <w:t xml:space="preserve"> are highly contested issues (</w:t>
      </w:r>
      <w:proofErr w:type="spellStart"/>
      <w:r>
        <w:t>Dovi</w:t>
      </w:r>
      <w:proofErr w:type="spellEnd"/>
      <w:r>
        <w:t xml:space="preserve">, 2018). </w:t>
      </w:r>
      <w:r w:rsidR="001D6313">
        <w:t xml:space="preserve"> </w:t>
      </w:r>
      <w:r w:rsidR="004C3539">
        <w:t>T</w:t>
      </w:r>
      <w:r w:rsidR="00E11E2D" w:rsidRPr="00E11E2D">
        <w:t>he complexities of repr</w:t>
      </w:r>
      <w:r w:rsidR="00950653">
        <w:t xml:space="preserve">esentation in modern society is </w:t>
      </w:r>
      <w:r w:rsidR="00E11E2D" w:rsidRPr="00E11E2D">
        <w:t>increasing</w:t>
      </w:r>
      <w:r w:rsidR="00720C5A">
        <w:t>ly</w:t>
      </w:r>
      <w:r w:rsidR="00950653">
        <w:t xml:space="preserve"> being</w:t>
      </w:r>
      <w:r w:rsidR="00E11E2D" w:rsidRPr="00E11E2D">
        <w:t xml:space="preserve"> recognised: ‘there’s a lot ‘going on’ in representation, a constant process of making, receiving, accepting or rejecting representative</w:t>
      </w:r>
      <w:r w:rsidR="001D6313">
        <w:t xml:space="preserve"> claims.’ (</w:t>
      </w:r>
      <w:proofErr w:type="spellStart"/>
      <w:r w:rsidR="001D6313">
        <w:t>Saward</w:t>
      </w:r>
      <w:proofErr w:type="spellEnd"/>
      <w:r w:rsidR="001D6313">
        <w:t xml:space="preserve">, 2008: 1004). </w:t>
      </w:r>
      <w:r w:rsidR="00CB6419">
        <w:t>For non-electoral representation, theoretical d</w:t>
      </w:r>
      <w:r w:rsidR="001D6313">
        <w:t>ebates</w:t>
      </w:r>
      <w:r w:rsidR="00CB6419">
        <w:t xml:space="preserve"> need to cover </w:t>
      </w:r>
      <w:r w:rsidR="002F266B">
        <w:t xml:space="preserve">representation in all its </w:t>
      </w:r>
      <w:r w:rsidR="00CB6419">
        <w:t>aspects</w:t>
      </w:r>
      <w:r w:rsidR="002F266B">
        <w:t xml:space="preserve">, </w:t>
      </w:r>
      <w:r w:rsidR="006E3931">
        <w:t>and not only focus on</w:t>
      </w:r>
      <w:r w:rsidR="00CB6419">
        <w:t xml:space="preserve"> </w:t>
      </w:r>
      <w:r w:rsidR="00397B6B">
        <w:t xml:space="preserve">the requirements of formalistic representation – </w:t>
      </w:r>
      <w:r w:rsidR="00CB6419">
        <w:t xml:space="preserve">assessing </w:t>
      </w:r>
      <w:r w:rsidR="00897651" w:rsidRPr="00897651">
        <w:t>formal procedures of authorization and accountability</w:t>
      </w:r>
      <w:r w:rsidR="00CB6419">
        <w:t xml:space="preserve">. There is a need to consider </w:t>
      </w:r>
      <w:r w:rsidR="00397B6B">
        <w:t>what the proper activities</w:t>
      </w:r>
      <w:r w:rsidR="00E11E2D" w:rsidRPr="00E11E2D">
        <w:t xml:space="preserve"> of representatives should be (Plotke</w:t>
      </w:r>
      <w:r w:rsidR="00A65121">
        <w:t>, 1997</w:t>
      </w:r>
      <w:r w:rsidR="00E11E2D" w:rsidRPr="00E11E2D">
        <w:t>)</w:t>
      </w:r>
      <w:r w:rsidR="00CB6419">
        <w:t xml:space="preserve"> and </w:t>
      </w:r>
      <w:r w:rsidR="006E3931">
        <w:t xml:space="preserve">think about the functions of representatives. </w:t>
      </w:r>
      <w:r w:rsidR="00E11E2D" w:rsidRPr="00E11E2D">
        <w:t>Hardin</w:t>
      </w:r>
      <w:r w:rsidR="00A65121">
        <w:t xml:space="preserve"> (2004)</w:t>
      </w:r>
      <w:r w:rsidR="00E11E2D" w:rsidRPr="00E11E2D">
        <w:t xml:space="preserve">, for example, develops a normative account of what a representative should be doing </w:t>
      </w:r>
      <w:r w:rsidR="00E11E2D">
        <w:t xml:space="preserve">by tying it to their function. </w:t>
      </w:r>
      <w:r w:rsidR="00E11E2D" w:rsidRPr="00E11E2D">
        <w:t xml:space="preserve">These debates over the </w:t>
      </w:r>
      <w:proofErr w:type="gramStart"/>
      <w:r w:rsidR="00897651">
        <w:t>more substantive</w:t>
      </w:r>
      <w:proofErr w:type="gramEnd"/>
      <w:r w:rsidR="00897651">
        <w:t xml:space="preserve"> elements </w:t>
      </w:r>
      <w:r w:rsidR="00E11E2D" w:rsidRPr="00E11E2D">
        <w:t>of representat</w:t>
      </w:r>
      <w:r w:rsidR="003757F3">
        <w:t>ives are important</w:t>
      </w:r>
      <w:r w:rsidR="00E11E2D" w:rsidRPr="00E11E2D">
        <w:t xml:space="preserve">, as it is here that bioethicists can contribute to normatively assessing these functions and corresponding activities of representatives. Important questions in this vein </w:t>
      </w:r>
      <w:proofErr w:type="gramStart"/>
      <w:r w:rsidR="00E11E2D" w:rsidRPr="00E11E2D">
        <w:t>are:</w:t>
      </w:r>
      <w:proofErr w:type="gramEnd"/>
      <w:r w:rsidR="00E11E2D" w:rsidRPr="00E11E2D">
        <w:t xml:space="preserve">  what are the appropriate functions </w:t>
      </w:r>
      <w:r w:rsidR="00950653">
        <w:t>for a</w:t>
      </w:r>
      <w:r w:rsidR="00E11E2D">
        <w:t xml:space="preserve"> representative in a particular </w:t>
      </w:r>
      <w:r w:rsidR="00E11E2D" w:rsidRPr="00E11E2D">
        <w:t xml:space="preserve">context? </w:t>
      </w:r>
      <w:proofErr w:type="gramStart"/>
      <w:r w:rsidR="00E11E2D" w:rsidRPr="00E11E2D">
        <w:t xml:space="preserve">Does this lead to activities that </w:t>
      </w:r>
      <w:r w:rsidR="00E11E2D" w:rsidRPr="00E11E2D">
        <w:lastRenderedPageBreak/>
        <w:t>produce ethically acceptable outcomes?</w:t>
      </w:r>
      <w:proofErr w:type="gramEnd"/>
      <w:r w:rsidR="00E11E2D" w:rsidRPr="00E11E2D">
        <w:t xml:space="preserve"> </w:t>
      </w:r>
      <w:proofErr w:type="gramStart"/>
      <w:r w:rsidR="00E11E2D" w:rsidRPr="00E11E2D">
        <w:t>And</w:t>
      </w:r>
      <w:proofErr w:type="gramEnd"/>
      <w:r w:rsidR="00E11E2D" w:rsidRPr="00E11E2D">
        <w:t xml:space="preserve"> whose good outcomes should we be concerned with?</w:t>
      </w:r>
      <w:r w:rsidR="00950653">
        <w:t xml:space="preserve"> Prima facie</w:t>
      </w:r>
      <w:r w:rsidR="00397B6B">
        <w:t>,</w:t>
      </w:r>
      <w:r w:rsidR="00950653">
        <w:t xml:space="preserve"> n</w:t>
      </w:r>
      <w:r w:rsidR="00CB6419">
        <w:t>on-electoral representation</w:t>
      </w:r>
      <w:r w:rsidR="00950653">
        <w:t xml:space="preserve"> can be a positive force that can provide a mechanism for giving </w:t>
      </w:r>
      <w:r w:rsidR="001B471E">
        <w:t>vo</w:t>
      </w:r>
      <w:r w:rsidR="00CF79A9">
        <w:t>ice to often marginaliz</w:t>
      </w:r>
      <w:r w:rsidR="006E3931">
        <w:t>ed or unheard groups. H</w:t>
      </w:r>
      <w:r w:rsidR="00950653">
        <w:t>owever</w:t>
      </w:r>
      <w:r w:rsidR="006E3931">
        <w:t>,</w:t>
      </w:r>
      <w:r w:rsidR="00950653">
        <w:t xml:space="preserve"> it can also</w:t>
      </w:r>
      <w:r w:rsidR="00EF5BFD">
        <w:t xml:space="preserve"> create its own power imbalances and</w:t>
      </w:r>
      <w:r w:rsidR="00950653">
        <w:t xml:space="preserve"> </w:t>
      </w:r>
      <w:r w:rsidR="00EF5BFD">
        <w:t xml:space="preserve">this </w:t>
      </w:r>
      <w:r w:rsidR="00E11E2D">
        <w:t>raise</w:t>
      </w:r>
      <w:r w:rsidR="00950653">
        <w:t>s</w:t>
      </w:r>
      <w:r w:rsidR="001B471E">
        <w:t xml:space="preserve"> important normative questions. </w:t>
      </w:r>
    </w:p>
    <w:p w:rsidR="00A65121" w:rsidRDefault="00A65121" w:rsidP="001B471E">
      <w:pPr>
        <w:spacing w:line="360" w:lineRule="auto"/>
        <w:contextualSpacing/>
      </w:pPr>
    </w:p>
    <w:p w:rsidR="002913E6" w:rsidRDefault="001B471E" w:rsidP="001B471E">
      <w:pPr>
        <w:spacing w:line="360" w:lineRule="auto"/>
        <w:contextualSpacing/>
      </w:pPr>
      <w:r>
        <w:t xml:space="preserve">In this commentary, I will consider </w:t>
      </w:r>
      <w:r w:rsidR="00397B6B">
        <w:t>the issue</w:t>
      </w:r>
      <w:r w:rsidR="006D30FC">
        <w:t xml:space="preserve"> of partial representation that </w:t>
      </w:r>
      <w:r w:rsidR="001D11F4">
        <w:t>Mc</w:t>
      </w:r>
      <w:r w:rsidR="006D30FC">
        <w:t xml:space="preserve">Coy et al </w:t>
      </w:r>
      <w:r w:rsidR="002913E6">
        <w:t>see as a key problem facing non-electoral representation in the autistic community</w:t>
      </w:r>
      <w:r w:rsidR="00EF5BFD">
        <w:t xml:space="preserve"> and </w:t>
      </w:r>
      <w:r w:rsidR="00397B6B">
        <w:t xml:space="preserve">question whether partial representation </w:t>
      </w:r>
      <w:proofErr w:type="gramStart"/>
      <w:r w:rsidR="00397B6B">
        <w:t>can ever be fully overcome</w:t>
      </w:r>
      <w:proofErr w:type="gramEnd"/>
      <w:r w:rsidR="00397B6B">
        <w:t>.</w:t>
      </w:r>
    </w:p>
    <w:p w:rsidR="00804BED" w:rsidRDefault="00804BED" w:rsidP="001B471E">
      <w:pPr>
        <w:spacing w:line="360" w:lineRule="auto"/>
        <w:contextualSpacing/>
      </w:pPr>
    </w:p>
    <w:p w:rsidR="001D11F4" w:rsidRDefault="00CF79A9" w:rsidP="00386A37">
      <w:pPr>
        <w:spacing w:line="360" w:lineRule="auto"/>
        <w:contextualSpacing/>
      </w:pPr>
      <w:r>
        <w:t>McCoy et al are concerned with</w:t>
      </w:r>
      <w:r w:rsidR="00804BED">
        <w:t xml:space="preserve"> establishin</w:t>
      </w:r>
      <w:r>
        <w:t xml:space="preserve">g who can </w:t>
      </w:r>
      <w:r w:rsidR="00804BED">
        <w:t xml:space="preserve">claim to </w:t>
      </w:r>
      <w:r>
        <w:t xml:space="preserve">speak </w:t>
      </w:r>
      <w:r w:rsidR="00804BED">
        <w:t>legitimately for the autistic community</w:t>
      </w:r>
      <w:r w:rsidR="002B3C04">
        <w:t xml:space="preserve"> and the problems that can result from inadequate representation</w:t>
      </w:r>
      <w:r w:rsidR="00804BED">
        <w:t>. They give</w:t>
      </w:r>
      <w:r w:rsidR="00386A37">
        <w:t xml:space="preserve"> a </w:t>
      </w:r>
      <w:r w:rsidR="00804BED">
        <w:t xml:space="preserve">detailed account </w:t>
      </w:r>
      <w:r w:rsidR="000633D9">
        <w:t xml:space="preserve">of recent </w:t>
      </w:r>
      <w:r>
        <w:t xml:space="preserve">policy areas </w:t>
      </w:r>
      <w:r w:rsidR="00386A37">
        <w:t>debated by th</w:t>
      </w:r>
      <w:r>
        <w:t xml:space="preserve">is community, </w:t>
      </w:r>
      <w:r w:rsidR="00386A37">
        <w:t>draw</w:t>
      </w:r>
      <w:r>
        <w:t>ing</w:t>
      </w:r>
      <w:r w:rsidR="00386A37">
        <w:t xml:space="preserve"> at</w:t>
      </w:r>
      <w:r w:rsidR="00E11E2D">
        <w:t>tention to</w:t>
      </w:r>
      <w:r w:rsidR="006915B6">
        <w:t xml:space="preserve"> the so called </w:t>
      </w:r>
      <w:r w:rsidR="00386A37">
        <w:t xml:space="preserve">‘the autism wars’. These are disputes between, ‘competing perspectives on </w:t>
      </w:r>
      <w:r w:rsidR="006915B6">
        <w:t>Autism Spectrum D</w:t>
      </w:r>
      <w:r w:rsidRPr="00CF79A9">
        <w:t>isorder</w:t>
      </w:r>
      <w:r>
        <w:t xml:space="preserve"> (</w:t>
      </w:r>
      <w:proofErr w:type="spellStart"/>
      <w:r w:rsidR="00386A37">
        <w:t>ASD</w:t>
      </w:r>
      <w:proofErr w:type="spellEnd"/>
      <w:r>
        <w:t xml:space="preserve">) </w:t>
      </w:r>
      <w:r w:rsidR="00386A37">
        <w:t>—</w:t>
      </w:r>
      <w:r>
        <w:t xml:space="preserve"> </w:t>
      </w:r>
      <w:r w:rsidR="00386A37">
        <w:t xml:space="preserve">one associated with self-advocates and one associated with parents.’ </w:t>
      </w:r>
      <w:proofErr w:type="gramStart"/>
      <w:r w:rsidR="00386A37">
        <w:t>And</w:t>
      </w:r>
      <w:proofErr w:type="gramEnd"/>
      <w:r w:rsidR="00386A37">
        <w:t xml:space="preserve"> these, ‘have become bound up with questions about which individuals or organizations can legitimately claim to represent autistic people in the public forum.’ (McCoy, p3) </w:t>
      </w:r>
      <w:r w:rsidR="006915B6">
        <w:t xml:space="preserve">For McCoy et al the </w:t>
      </w:r>
      <w:r w:rsidR="00237829">
        <w:t>key p</w:t>
      </w:r>
      <w:r w:rsidR="006915B6">
        <w:t>roblem facing autistic advocacy is</w:t>
      </w:r>
      <w:r w:rsidR="00237829">
        <w:t xml:space="preserve"> that of </w:t>
      </w:r>
      <w:r w:rsidR="00F43A24">
        <w:t>partial representation.</w:t>
      </w:r>
      <w:r w:rsidR="00495D51" w:rsidRPr="00495D51">
        <w:t xml:space="preserve"> </w:t>
      </w:r>
      <w:r w:rsidR="008C3998">
        <w:t xml:space="preserve">‘Partial representation occurs when an actor claims to represent a particular group of people, but appropriately engages with only a subset of that group.’ (McCoy, p5) </w:t>
      </w:r>
      <w:r w:rsidR="00495D51">
        <w:t xml:space="preserve">They draw on </w:t>
      </w:r>
      <w:proofErr w:type="spellStart"/>
      <w:r w:rsidR="00495D51">
        <w:t>Montanaro’s</w:t>
      </w:r>
      <w:proofErr w:type="spellEnd"/>
      <w:r w:rsidR="00495D51">
        <w:t xml:space="preserve"> conception of ‘skewed representative outcomes’</w:t>
      </w:r>
      <w:r w:rsidR="006915B6">
        <w:t xml:space="preserve"> to explore this. ‘S</w:t>
      </w:r>
      <w:r w:rsidR="00495D51">
        <w:t>kewed outcomes can refer to outcomes that are inconsistent with the interests of the entire constituency or outcomes in which certain “interests are over-represented or under-represented within a claimed constituency.” (</w:t>
      </w:r>
      <w:proofErr w:type="spellStart"/>
      <w:r w:rsidR="00495D51">
        <w:t>Montanaro</w:t>
      </w:r>
      <w:proofErr w:type="spellEnd"/>
      <w:r w:rsidR="00495D51">
        <w:t xml:space="preserve"> quoted in McCoy, p23) </w:t>
      </w:r>
      <w:r w:rsidR="00386A37">
        <w:t xml:space="preserve"> </w:t>
      </w:r>
      <w:r w:rsidR="00242209">
        <w:t>P</w:t>
      </w:r>
      <w:r w:rsidR="00386A37">
        <w:t>artial representation can lead to</w:t>
      </w:r>
      <w:r w:rsidR="00495D51">
        <w:t xml:space="preserve"> poor outcomes,</w:t>
      </w:r>
      <w:r w:rsidR="00386A37">
        <w:t xml:space="preserve"> symbolic and su</w:t>
      </w:r>
      <w:r w:rsidR="00E60647">
        <w:t>bstantive</w:t>
      </w:r>
      <w:r w:rsidR="0060455D">
        <w:t xml:space="preserve"> harms, harms </w:t>
      </w:r>
      <w:r w:rsidR="002B3C04">
        <w:t xml:space="preserve">caused by </w:t>
      </w:r>
      <w:r w:rsidR="00386A37">
        <w:t xml:space="preserve">representative not fulfilling their functions properly. </w:t>
      </w:r>
      <w:proofErr w:type="gramStart"/>
      <w:r w:rsidR="008C3998">
        <w:t>This is an important problem gi</w:t>
      </w:r>
      <w:r w:rsidR="002A33FD">
        <w:t>ven the group that McCoy et al focus on.</w:t>
      </w:r>
      <w:proofErr w:type="gramEnd"/>
      <w:r w:rsidR="002A33FD">
        <w:t xml:space="preserve"> The autistic community </w:t>
      </w:r>
      <w:proofErr w:type="gramStart"/>
      <w:r w:rsidR="002A33FD">
        <w:t>has traditionally been marginalized</w:t>
      </w:r>
      <w:proofErr w:type="gramEnd"/>
      <w:r w:rsidR="002A33FD">
        <w:t xml:space="preserve"> in the political process. McCoy et al quote Liu who says there is, ‘significant historical precedent for incorporating the insights of parent advocates and other stakeholders in broad initiatives related to autism, whereas voices of self-advocates have traditionally been marginalized.’ (P24-25) It is precisely for this reason that we need to be particularly attentive to how forms of representation </w:t>
      </w:r>
      <w:r w:rsidR="002652B2">
        <w:t xml:space="preserve">do and should </w:t>
      </w:r>
      <w:r w:rsidR="002A33FD">
        <w:t xml:space="preserve">fulfil their chief function of </w:t>
      </w:r>
      <w:r w:rsidR="008C3998">
        <w:t xml:space="preserve">furthering </w:t>
      </w:r>
      <w:r w:rsidR="002A33FD">
        <w:t>the interests o</w:t>
      </w:r>
      <w:r w:rsidR="008C3998">
        <w:t>f autistic people.</w:t>
      </w:r>
    </w:p>
    <w:p w:rsidR="00815184" w:rsidRDefault="00815184" w:rsidP="00386A37">
      <w:pPr>
        <w:spacing w:line="360" w:lineRule="auto"/>
        <w:contextualSpacing/>
      </w:pPr>
    </w:p>
    <w:p w:rsidR="00BF6738" w:rsidRDefault="000633D9" w:rsidP="00D04F5B">
      <w:pPr>
        <w:spacing w:line="360" w:lineRule="auto"/>
        <w:contextualSpacing/>
      </w:pPr>
      <w:r>
        <w:t>McCoy et al suggest two ways to overcome the</w:t>
      </w:r>
      <w:r w:rsidR="00815184">
        <w:t>se</w:t>
      </w:r>
      <w:r>
        <w:t xml:space="preserve"> problems raised by partial representation. First, the representative should take greater steps to engage </w:t>
      </w:r>
      <w:r w:rsidR="00CA1A85">
        <w:t xml:space="preserve">the </w:t>
      </w:r>
      <w:r>
        <w:t>marginalized sub</w:t>
      </w:r>
      <w:r w:rsidR="0060455D">
        <w:t>-</w:t>
      </w:r>
      <w:r>
        <w:t xml:space="preserve">groups </w:t>
      </w:r>
      <w:r w:rsidR="00E066BF">
        <w:t>within their</w:t>
      </w:r>
      <w:r w:rsidR="002A33FD">
        <w:t xml:space="preserve"> claimed </w:t>
      </w:r>
      <w:proofErr w:type="gramStart"/>
      <w:r w:rsidR="002A33FD">
        <w:t>constituency,</w:t>
      </w:r>
      <w:proofErr w:type="gramEnd"/>
      <w:r w:rsidR="002A33FD">
        <w:t xml:space="preserve"> they should have</w:t>
      </w:r>
      <w:r w:rsidR="00E066BF">
        <w:t xml:space="preserve"> sustained engagement with that</w:t>
      </w:r>
      <w:r w:rsidR="002A33FD">
        <w:t xml:space="preserve"> constituency. </w:t>
      </w:r>
      <w:r w:rsidR="00CA1A85">
        <w:t xml:space="preserve">However, if a </w:t>
      </w:r>
      <w:r w:rsidR="00CA1A85">
        <w:lastRenderedPageBreak/>
        <w:t xml:space="preserve">group is very diverse it may be hard, if not impossible, to identify common interests. Therefore, they </w:t>
      </w:r>
      <w:r w:rsidR="0060455D">
        <w:t xml:space="preserve">propose a second element, </w:t>
      </w:r>
      <w:r w:rsidR="00495D51">
        <w:t>in the</w:t>
      </w:r>
      <w:r w:rsidR="00CA1A85">
        <w:t xml:space="preserve"> case</w:t>
      </w:r>
      <w:r w:rsidR="00495D51">
        <w:t xml:space="preserve"> of heterogeneous communities</w:t>
      </w:r>
      <w:r w:rsidR="00CA1A85">
        <w:t xml:space="preserve">, ‘it </w:t>
      </w:r>
      <w:r w:rsidR="00CA1A85" w:rsidRPr="00CA1A85">
        <w:t xml:space="preserve">makes sense to organize representation in </w:t>
      </w:r>
      <w:r w:rsidR="00CA1A85">
        <w:t xml:space="preserve">a more differentiated manner.’ (p27) The representative has to make </w:t>
      </w:r>
      <w:proofErr w:type="gramStart"/>
      <w:r w:rsidR="00CA1A85">
        <w:t>more modest claims</w:t>
      </w:r>
      <w:proofErr w:type="gramEnd"/>
      <w:r w:rsidR="00CA1A85">
        <w:t xml:space="preserve"> and, ‘</w:t>
      </w:r>
      <w:r w:rsidR="00CA1A85" w:rsidRPr="00CA1A85">
        <w:t xml:space="preserve">it may be more feasible for representatives to speak on behalf </w:t>
      </w:r>
      <w:r w:rsidR="008B1DE9">
        <w:t xml:space="preserve">of </w:t>
      </w:r>
      <w:r w:rsidR="00CA1A85" w:rsidRPr="00CA1A85">
        <w:t>subgroups within the broader autistic population that share a more substantial set of lived experiences.’</w:t>
      </w:r>
      <w:r w:rsidR="00CA1A85">
        <w:t xml:space="preserve"> (p29) </w:t>
      </w:r>
    </w:p>
    <w:p w:rsidR="00BF6738" w:rsidRDefault="00BF6738" w:rsidP="00D04F5B">
      <w:pPr>
        <w:spacing w:line="360" w:lineRule="auto"/>
        <w:contextualSpacing/>
      </w:pPr>
    </w:p>
    <w:p w:rsidR="008F7EF1" w:rsidRDefault="00BF6738" w:rsidP="00267DBA">
      <w:pPr>
        <w:spacing w:line="360" w:lineRule="auto"/>
        <w:contextualSpacing/>
      </w:pPr>
      <w:r>
        <w:t xml:space="preserve">One way of ensuring differential </w:t>
      </w:r>
      <w:r w:rsidR="00C63317">
        <w:t>representation</w:t>
      </w:r>
      <w:r>
        <w:t xml:space="preserve">, </w:t>
      </w:r>
      <w:r w:rsidR="00D30533">
        <w:t xml:space="preserve">is to insist on descriptive representation. </w:t>
      </w:r>
      <w:r w:rsidR="00C63317">
        <w:t xml:space="preserve">There has been extensive debate </w:t>
      </w:r>
      <w:r w:rsidR="008B1DE9">
        <w:t xml:space="preserve">over the merits and </w:t>
      </w:r>
      <w:proofErr w:type="gramStart"/>
      <w:r w:rsidR="008B1DE9">
        <w:t xml:space="preserve">utility of </w:t>
      </w:r>
      <w:r w:rsidR="00D30533">
        <w:t xml:space="preserve">descriptive representation – </w:t>
      </w:r>
      <w:r w:rsidR="008B1DE9">
        <w:t>that m</w:t>
      </w:r>
      <w:r w:rsidR="009F2F3E">
        <w:t>arginalized group</w:t>
      </w:r>
      <w:r w:rsidR="006278C2">
        <w:t>s</w:t>
      </w:r>
      <w:r w:rsidR="002F4E5C">
        <w:t xml:space="preserve"> should </w:t>
      </w:r>
      <w:r w:rsidR="009F2F3E">
        <w:t>be repres</w:t>
      </w:r>
      <w:r w:rsidR="002F4E5C">
        <w:t>ented by a member of that group</w:t>
      </w:r>
      <w:proofErr w:type="gramEnd"/>
      <w:r w:rsidR="008C5DF9">
        <w:t>.</w:t>
      </w:r>
      <w:r w:rsidR="002F4E5C">
        <w:t xml:space="preserve"> </w:t>
      </w:r>
      <w:r w:rsidR="00B43CED">
        <w:t>As i</w:t>
      </w:r>
      <w:r w:rsidR="0044434C">
        <w:t xml:space="preserve">t </w:t>
      </w:r>
      <w:proofErr w:type="gramStart"/>
      <w:r w:rsidR="0044434C">
        <w:t>has been noted</w:t>
      </w:r>
      <w:proofErr w:type="gramEnd"/>
      <w:r w:rsidR="0044434C">
        <w:t xml:space="preserve"> in other contexts</w:t>
      </w:r>
      <w:r w:rsidR="00B43CED">
        <w:t>,</w:t>
      </w:r>
      <w:r w:rsidR="0044434C">
        <w:t xml:space="preserve"> letting a dominant group look after a marginalized gr</w:t>
      </w:r>
      <w:r w:rsidR="007121F6">
        <w:t>oups’ interests is wrongheaded. F</w:t>
      </w:r>
      <w:r w:rsidR="0044434C">
        <w:t xml:space="preserve">or </w:t>
      </w:r>
      <w:r w:rsidR="007121F6">
        <w:t xml:space="preserve">example, when </w:t>
      </w:r>
      <w:r w:rsidR="0044434C">
        <w:t>husbands</w:t>
      </w:r>
      <w:r w:rsidR="007121F6">
        <w:t xml:space="preserve"> spoke on behalf of their wives politically, bef</w:t>
      </w:r>
      <w:r w:rsidR="006278C2">
        <w:t>ore women had the vote, women’s</w:t>
      </w:r>
      <w:r w:rsidR="007121F6">
        <w:t xml:space="preserve"> </w:t>
      </w:r>
      <w:r w:rsidR="006278C2">
        <w:t>interests were often marginalised</w:t>
      </w:r>
      <w:r w:rsidR="0044434C">
        <w:t xml:space="preserve"> (</w:t>
      </w:r>
      <w:proofErr w:type="spellStart"/>
      <w:r w:rsidR="0044434C">
        <w:t>Sapiro</w:t>
      </w:r>
      <w:proofErr w:type="spellEnd"/>
      <w:r w:rsidR="0044434C">
        <w:t>, 1981</w:t>
      </w:r>
      <w:r w:rsidR="008B1DE9">
        <w:t>).</w:t>
      </w:r>
      <w:r w:rsidR="008F7EF1">
        <w:t xml:space="preserve"> </w:t>
      </w:r>
      <w:r w:rsidR="004012E9">
        <w:t xml:space="preserve">McCoy et al hint </w:t>
      </w:r>
      <w:r w:rsidR="00A86EC5">
        <w:t xml:space="preserve">at a form </w:t>
      </w:r>
      <w:r w:rsidR="00386A37">
        <w:t>of descriptive representation</w:t>
      </w:r>
      <w:r w:rsidR="006278C2">
        <w:t xml:space="preserve"> </w:t>
      </w:r>
      <w:r w:rsidR="00386A37">
        <w:t xml:space="preserve">– autistic people ought to be represented by other autistic people, </w:t>
      </w:r>
      <w:r w:rsidR="00A86EC5">
        <w:t>‘Because autism is a neurodevelopmental condition that affects cognitive functioning, it is reasonable to believe that only autistic people fully understand</w:t>
      </w:r>
      <w:r w:rsidR="00386A37">
        <w:t xml:space="preserve"> ‘what autism is like from the inside</w:t>
      </w:r>
      <w:r w:rsidR="00A86EC5">
        <w:t>.’ (</w:t>
      </w:r>
      <w:r w:rsidR="00386A37">
        <w:t>McCoy p16).</w:t>
      </w:r>
      <w:r w:rsidR="00A86EC5" w:rsidRPr="00A86EC5">
        <w:t xml:space="preserve"> </w:t>
      </w:r>
      <w:proofErr w:type="gramStart"/>
      <w:r w:rsidR="00204CC8">
        <w:t>And</w:t>
      </w:r>
      <w:proofErr w:type="gramEnd"/>
      <w:r w:rsidR="00204CC8">
        <w:t xml:space="preserve">, </w:t>
      </w:r>
      <w:r w:rsidR="00D04F5B">
        <w:t>‘questions about how and by whom autistic people should be represented must be continually renegotiated by all members the autism community.’ (</w:t>
      </w:r>
      <w:proofErr w:type="gramStart"/>
      <w:r w:rsidR="00D04F5B">
        <w:t>p29-30</w:t>
      </w:r>
      <w:proofErr w:type="gramEnd"/>
      <w:r w:rsidR="00D04F5B">
        <w:t>)</w:t>
      </w:r>
      <w:r w:rsidR="00EC4FDD">
        <w:t xml:space="preserve"> </w:t>
      </w:r>
      <w:r w:rsidR="00700EE9">
        <w:t xml:space="preserve">Whereas, in other places McCoy et al appear to position the representative as not being member of the group </w:t>
      </w:r>
      <w:r w:rsidR="00F25B74">
        <w:t>on whose behalf</w:t>
      </w:r>
      <w:r w:rsidR="00700EE9">
        <w:t xml:space="preserve"> they claim to speak</w:t>
      </w:r>
      <w:r w:rsidR="00374ACF">
        <w:t xml:space="preserve"> (e.g</w:t>
      </w:r>
      <w:r w:rsidR="00700EE9">
        <w:t>.</w:t>
      </w:r>
      <w:r w:rsidR="00374ACF" w:rsidRPr="00374ACF">
        <w:t xml:space="preserve"> </w:t>
      </w:r>
      <w:r w:rsidR="00374ACF">
        <w:t>‘</w:t>
      </w:r>
      <w:r w:rsidR="00374ACF" w:rsidRPr="00374ACF">
        <w:t>representatives (a</w:t>
      </w:r>
      <w:r w:rsidR="00374ACF">
        <w:t>nd group members themselves’). (p27)</w:t>
      </w:r>
      <w:r w:rsidR="00154966">
        <w:rPr>
          <w:rStyle w:val="FootnoteReference"/>
        </w:rPr>
        <w:footnoteReference w:id="1"/>
      </w:r>
    </w:p>
    <w:p w:rsidR="00700EE9" w:rsidRDefault="00700EE9" w:rsidP="00267DBA">
      <w:pPr>
        <w:spacing w:line="360" w:lineRule="auto"/>
        <w:contextualSpacing/>
      </w:pPr>
    </w:p>
    <w:p w:rsidR="002B75D3" w:rsidRDefault="000655FF" w:rsidP="00267DBA">
      <w:pPr>
        <w:spacing w:line="360" w:lineRule="auto"/>
        <w:contextualSpacing/>
      </w:pPr>
      <w:proofErr w:type="spellStart"/>
      <w:r>
        <w:t>Mansbridge</w:t>
      </w:r>
      <w:proofErr w:type="spellEnd"/>
      <w:r w:rsidR="0032077D">
        <w:t xml:space="preserve"> </w:t>
      </w:r>
      <w:r w:rsidR="00100AD0">
        <w:t xml:space="preserve">(1999) </w:t>
      </w:r>
      <w:r w:rsidR="0032077D">
        <w:t>has argued</w:t>
      </w:r>
      <w:r>
        <w:t xml:space="preserve"> that </w:t>
      </w:r>
      <w:r w:rsidR="005F4EBA">
        <w:t>descriptive representation is necessary when a group’s interests have not been heard</w:t>
      </w:r>
      <w:r w:rsidR="0061101C">
        <w:t xml:space="preserve"> – this </w:t>
      </w:r>
      <w:r w:rsidR="005F4EBA">
        <w:t>improve</w:t>
      </w:r>
      <w:r w:rsidR="0061101C">
        <w:t>s</w:t>
      </w:r>
      <w:r w:rsidR="005F4EBA">
        <w:t xml:space="preserve"> the quality of deliberation – their interests are better articulated; and increasing a group’s leg</w:t>
      </w:r>
      <w:r w:rsidR="0061101C">
        <w:t xml:space="preserve">itimacy as members of the polity – seeing them as capable of ‘ruling’ themselves – </w:t>
      </w:r>
      <w:r w:rsidR="004115DA">
        <w:t>where historically this has been questioned. Phillips (1998) also points to descriptive representation making visible ‘overlooked interests’ and</w:t>
      </w:r>
      <w:r w:rsidR="004549FD">
        <w:t xml:space="preserve"> justice arguments</w:t>
      </w:r>
      <w:r w:rsidR="00641C0E">
        <w:t xml:space="preserve"> that it can</w:t>
      </w:r>
      <w:r w:rsidR="004115DA">
        <w:t xml:space="preserve"> compensate for past betrays of the group.</w:t>
      </w:r>
      <w:r w:rsidR="004549FD">
        <w:t xml:space="preserve"> Descriptive</w:t>
      </w:r>
      <w:r w:rsidR="00EC4FDD">
        <w:t xml:space="preserve"> representation could</w:t>
      </w:r>
      <w:r w:rsidR="00100AD0">
        <w:t xml:space="preserve"> address the</w:t>
      </w:r>
      <w:r w:rsidR="004549FD">
        <w:t xml:space="preserve"> symbolic harm that McCoy et al argue arises from partial representation, ‘a representative organization that does not allow autistic people to engage in deliberation and decision-making on an equal footing with others can exacerbate prejudice and stigma by conveying the message that autistic people’s own viewpoints do not warrant recognition.’ (p26)</w:t>
      </w:r>
      <w:r w:rsidR="006278C2">
        <w:t xml:space="preserve"> </w:t>
      </w:r>
      <w:r w:rsidR="00267DBA">
        <w:t xml:space="preserve"> </w:t>
      </w:r>
    </w:p>
    <w:p w:rsidR="001720E5" w:rsidRDefault="001720E5" w:rsidP="00267DBA">
      <w:pPr>
        <w:spacing w:line="360" w:lineRule="auto"/>
        <w:contextualSpacing/>
      </w:pPr>
    </w:p>
    <w:p w:rsidR="00386A37" w:rsidRDefault="008D147A" w:rsidP="00386A37">
      <w:pPr>
        <w:spacing w:line="360" w:lineRule="auto"/>
        <w:contextualSpacing/>
      </w:pPr>
      <w:r>
        <w:lastRenderedPageBreak/>
        <w:t>Descriptive representation has not been without its critiques (</w:t>
      </w:r>
      <w:proofErr w:type="spellStart"/>
      <w:r>
        <w:t>Dovi</w:t>
      </w:r>
      <w:proofErr w:type="spellEnd"/>
      <w:r>
        <w:t xml:space="preserve">, 2018) and </w:t>
      </w:r>
      <w:r w:rsidRPr="008D147A">
        <w:t xml:space="preserve">while the contingent circumstances that make some descriptive representation beneficial for the </w:t>
      </w:r>
      <w:proofErr w:type="spellStart"/>
      <w:r w:rsidRPr="008D147A">
        <w:t>ASD</w:t>
      </w:r>
      <w:proofErr w:type="spellEnd"/>
      <w:r w:rsidRPr="008D147A">
        <w:t xml:space="preserve"> community obtain now (paraphrasing </w:t>
      </w:r>
      <w:proofErr w:type="spellStart"/>
      <w:r w:rsidRPr="008D147A">
        <w:t>Mansbridge</w:t>
      </w:r>
      <w:proofErr w:type="spellEnd"/>
      <w:r w:rsidRPr="008D147A">
        <w:t>, 1999), these circumstances might change in the future.</w:t>
      </w:r>
      <w:r>
        <w:t xml:space="preserve"> T</w:t>
      </w:r>
      <w:r w:rsidR="001720E5">
        <w:t xml:space="preserve">here are </w:t>
      </w:r>
      <w:r>
        <w:t xml:space="preserve">also </w:t>
      </w:r>
      <w:r w:rsidR="001720E5">
        <w:t>problems with diversity</w:t>
      </w:r>
      <w:r w:rsidR="00011AAE">
        <w:t xml:space="preserve"> within and between</w:t>
      </w:r>
      <w:r w:rsidR="001720E5">
        <w:t xml:space="preserve"> groups (</w:t>
      </w:r>
      <w:proofErr w:type="spellStart"/>
      <w:r w:rsidR="001720E5">
        <w:t>Dovi</w:t>
      </w:r>
      <w:proofErr w:type="spellEnd"/>
      <w:r w:rsidR="001720E5">
        <w:t>, 2002)</w:t>
      </w:r>
      <w:r w:rsidR="00011AAE">
        <w:t>, what characteristic we pick to organise the group around</w:t>
      </w:r>
      <w:r w:rsidR="001720E5">
        <w:t xml:space="preserve"> and </w:t>
      </w:r>
      <w:r w:rsidR="00E066BF">
        <w:t xml:space="preserve">how homogenous </w:t>
      </w:r>
      <w:r w:rsidR="00011AAE">
        <w:t>do these sub-groups</w:t>
      </w:r>
      <w:r w:rsidR="00EC4FDD">
        <w:t xml:space="preserve"> have to be for us to be able to say that people within them are adequately represented? In the case of autism, a spectrum condition, people may not share salient characteristics with very many people and if we add to this different social and economic situations people may be in, our differentiated groups could become very small and reduce for the force of their advocacy.</w:t>
      </w:r>
      <w:r w:rsidR="002B75D3">
        <w:t xml:space="preserve"> A</w:t>
      </w:r>
      <w:r w:rsidR="00EC4FDD">
        <w:t xml:space="preserve">s Iris </w:t>
      </w:r>
      <w:proofErr w:type="spellStart"/>
      <w:r w:rsidR="00EC4FDD">
        <w:t>Maron</w:t>
      </w:r>
      <w:proofErr w:type="spellEnd"/>
      <w:r w:rsidR="00EC4FDD">
        <w:t xml:space="preserve"> Young points out, ‘suppression of difference is a problem for all representation’ and this is a difficulty inherent in one person claiming to represent </w:t>
      </w:r>
      <w:r w:rsidR="007121F6">
        <w:t xml:space="preserve">many </w:t>
      </w:r>
      <w:r w:rsidR="00EC4FDD">
        <w:t>people. Therefore, attempts to speak for all members of a group always have to be tempered and cautious and ‘representation is an ongoing process of making and receiving claims.’ (</w:t>
      </w:r>
      <w:proofErr w:type="spellStart"/>
      <w:r w:rsidR="00EC4FDD">
        <w:t>Saward</w:t>
      </w:r>
      <w:proofErr w:type="spellEnd"/>
      <w:r w:rsidR="00EC4FDD">
        <w:t xml:space="preserve">, 2008:1003). Hence, partial representation is a problem with any form of representation, as </w:t>
      </w:r>
      <w:proofErr w:type="spellStart"/>
      <w:r w:rsidR="00EC4FDD">
        <w:t>Saward</w:t>
      </w:r>
      <w:proofErr w:type="spellEnd"/>
      <w:r w:rsidR="00EC4FDD">
        <w:t xml:space="preserve"> notes, ‘None of us is ever fully represented – representation of our interests or identities in politics [or policy] is always partial. Representative claims are redeemed, if at all, only imperfectly.’ (2008:1003) </w:t>
      </w:r>
      <w:r w:rsidR="002B75D3">
        <w:t>Pitkin argued that representatives always have to act on others behalf and an overt concern with the characteristics of a representative might divert attention from what the representative is actually doing (Pitkin, 1967).</w:t>
      </w:r>
    </w:p>
    <w:p w:rsidR="00386A37" w:rsidRDefault="00386A37" w:rsidP="00386A37">
      <w:pPr>
        <w:contextualSpacing/>
      </w:pPr>
    </w:p>
    <w:p w:rsidR="001B471E" w:rsidRDefault="001B471E" w:rsidP="001B471E">
      <w:pPr>
        <w:spacing w:line="360" w:lineRule="auto"/>
        <w:contextualSpacing/>
      </w:pPr>
    </w:p>
    <w:p w:rsidR="003411D8" w:rsidRDefault="00755CC0" w:rsidP="004A0815">
      <w:pPr>
        <w:spacing w:line="360" w:lineRule="auto"/>
        <w:contextualSpacing/>
      </w:pPr>
      <w:r>
        <w:t>While it is important, all other t</w:t>
      </w:r>
      <w:r w:rsidR="004A0815">
        <w:t>hings being equal, to make sure</w:t>
      </w:r>
      <w:r>
        <w:t xml:space="preserve"> if possible, that autistic people represent themselves, </w:t>
      </w:r>
      <w:r w:rsidR="00E066BF">
        <w:t xml:space="preserve">it might be hard for a number of reasons, </w:t>
      </w:r>
      <w:r w:rsidR="00EA6DA9">
        <w:t>those who lack the capacity to participate in engagement and deliberations about their interests,</w:t>
      </w:r>
      <w:r w:rsidR="00EA6DA9">
        <w:rPr>
          <w:rStyle w:val="FootnoteReference"/>
        </w:rPr>
        <w:footnoteReference w:id="2"/>
      </w:r>
      <w:r w:rsidR="00EA6DA9">
        <w:t xml:space="preserve">  </w:t>
      </w:r>
      <w:r w:rsidR="00E066BF">
        <w:t>diversity of the community and other practicalities</w:t>
      </w:r>
      <w:r w:rsidR="007121F6">
        <w:t>,</w:t>
      </w:r>
      <w:r w:rsidR="00E066BF">
        <w:t xml:space="preserve"> for this to happen. </w:t>
      </w:r>
      <w:proofErr w:type="gramStart"/>
      <w:r w:rsidR="00E066BF">
        <w:t>And</w:t>
      </w:r>
      <w:proofErr w:type="gramEnd"/>
      <w:r w:rsidR="00E066BF">
        <w:t xml:space="preserve"> while McCoy et al talk of </w:t>
      </w:r>
      <w:r w:rsidR="00C5583E">
        <w:t>the importance of taking steps to engage with the community, representation will always involve imperfectly speaking for others</w:t>
      </w:r>
      <w:r w:rsidR="007121F6">
        <w:t xml:space="preserve"> and therefore always be partial</w:t>
      </w:r>
      <w:r w:rsidR="00C5583E">
        <w:t xml:space="preserve">. Therefore, </w:t>
      </w:r>
      <w:r>
        <w:t xml:space="preserve">attention also needs to </w:t>
      </w:r>
      <w:proofErr w:type="gramStart"/>
      <w:r>
        <w:t>be paid</w:t>
      </w:r>
      <w:proofErr w:type="gramEnd"/>
      <w:r>
        <w:t xml:space="preserve"> </w:t>
      </w:r>
      <w:r w:rsidR="006F5C7B">
        <w:t xml:space="preserve">to the functions and consequent activities of representatives and their underpinning normative values. </w:t>
      </w:r>
      <w:r w:rsidR="00E066BF">
        <w:t xml:space="preserve"> These might be having the </w:t>
      </w:r>
      <w:r w:rsidR="009D657B">
        <w:t>groups’ best interests and welfare as the primary goal</w:t>
      </w:r>
      <w:r w:rsidR="00993B98">
        <w:t xml:space="preserve"> and </w:t>
      </w:r>
      <w:r w:rsidR="00E066BF">
        <w:t xml:space="preserve">paying </w:t>
      </w:r>
      <w:r w:rsidR="000B32A0">
        <w:t>attention to other groups’ interests and well-being (as McCoy et al discuss on page 27)</w:t>
      </w:r>
      <w:r w:rsidR="00993B98">
        <w:t xml:space="preserve">. We might want representatives who are able to adjudicate fairly between competing interests and </w:t>
      </w:r>
      <w:r w:rsidR="00FC07A5">
        <w:t xml:space="preserve">help formulate </w:t>
      </w:r>
      <w:proofErr w:type="gramStart"/>
      <w:r w:rsidR="00FC07A5">
        <w:t>more considered responses</w:t>
      </w:r>
      <w:proofErr w:type="gramEnd"/>
      <w:r w:rsidR="00FC07A5">
        <w:t xml:space="preserve">. </w:t>
      </w:r>
      <w:r w:rsidR="004C2B3F">
        <w:t xml:space="preserve">There may also be </w:t>
      </w:r>
      <w:r w:rsidR="00993B98">
        <w:t>certain skills</w:t>
      </w:r>
      <w:r w:rsidR="004C2B3F">
        <w:t xml:space="preserve"> that are desirable</w:t>
      </w:r>
      <w:r w:rsidR="00993B98">
        <w:t xml:space="preserve">, </w:t>
      </w:r>
      <w:r w:rsidR="00993B98" w:rsidRPr="00993B98">
        <w:t xml:space="preserve">such as </w:t>
      </w:r>
      <w:r w:rsidR="00993B98">
        <w:t xml:space="preserve">being able to translate </w:t>
      </w:r>
      <w:r w:rsidR="00993B98" w:rsidRPr="00993B98">
        <w:t xml:space="preserve">individual interests into workable policies or solutions. </w:t>
      </w:r>
      <w:r w:rsidR="00C5583E">
        <w:t xml:space="preserve">These </w:t>
      </w:r>
      <w:r w:rsidR="00FC07A5">
        <w:t xml:space="preserve">types of skills and </w:t>
      </w:r>
      <w:r w:rsidR="00C5583E">
        <w:t xml:space="preserve">normative values </w:t>
      </w:r>
      <w:r w:rsidR="00C5583E">
        <w:lastRenderedPageBreak/>
        <w:t xml:space="preserve">need further attention, so that representative’s actions </w:t>
      </w:r>
      <w:proofErr w:type="gramStart"/>
      <w:r w:rsidR="00C5583E">
        <w:t>are underpinned</w:t>
      </w:r>
      <w:proofErr w:type="gramEnd"/>
      <w:r w:rsidR="00C5583E">
        <w:t xml:space="preserve"> by additional claims to </w:t>
      </w:r>
      <w:r w:rsidR="00EF269E">
        <w:t>legitimacy, as arguably, the problem of partial representation can never be completely resolved.</w:t>
      </w:r>
    </w:p>
    <w:p w:rsidR="00007B99" w:rsidRDefault="00007B99" w:rsidP="004A0815">
      <w:pPr>
        <w:spacing w:line="360" w:lineRule="auto"/>
        <w:contextualSpacing/>
      </w:pPr>
    </w:p>
    <w:p w:rsidR="00007B99" w:rsidRPr="00007B99" w:rsidRDefault="00007B99" w:rsidP="00007B99">
      <w:pPr>
        <w:spacing w:line="360" w:lineRule="auto"/>
        <w:contextualSpacing/>
        <w:rPr>
          <w:b/>
        </w:rPr>
      </w:pPr>
      <w:r w:rsidRPr="00007B99">
        <w:rPr>
          <w:b/>
        </w:rPr>
        <w:t>References</w:t>
      </w:r>
    </w:p>
    <w:p w:rsidR="00007B99" w:rsidRDefault="00007B99" w:rsidP="00007B99">
      <w:pPr>
        <w:spacing w:line="240" w:lineRule="auto"/>
        <w:contextualSpacing/>
      </w:pPr>
      <w:proofErr w:type="spellStart"/>
      <w:r>
        <w:t>Dovi</w:t>
      </w:r>
      <w:proofErr w:type="spellEnd"/>
      <w:r>
        <w:t xml:space="preserve">, S. (2018) Political Representation, The Stanford </w:t>
      </w:r>
      <w:proofErr w:type="spellStart"/>
      <w:r>
        <w:t>Encyclopedia</w:t>
      </w:r>
      <w:proofErr w:type="spellEnd"/>
      <w:r>
        <w:t xml:space="preserve"> of Philosophy (Fall 2018 Edition)</w:t>
      </w:r>
      <w:proofErr w:type="gramStart"/>
      <w:r>
        <w:t xml:space="preserve">,  </w:t>
      </w:r>
      <w:proofErr w:type="spellStart"/>
      <w:r>
        <w:t>Zalta</w:t>
      </w:r>
      <w:proofErr w:type="spellEnd"/>
      <w:proofErr w:type="gramEnd"/>
      <w:r>
        <w:t xml:space="preserve"> (</w:t>
      </w:r>
      <w:proofErr w:type="spellStart"/>
      <w:r>
        <w:t>ed</w:t>
      </w:r>
      <w:proofErr w:type="spellEnd"/>
      <w:r>
        <w:t>), www.plato.stanford.edu/archives/fall2018/entries/political-representation/</w:t>
      </w:r>
    </w:p>
    <w:p w:rsidR="001720E5" w:rsidRDefault="001720E5" w:rsidP="00007B99">
      <w:pPr>
        <w:spacing w:line="240" w:lineRule="auto"/>
        <w:contextualSpacing/>
      </w:pPr>
    </w:p>
    <w:p w:rsidR="00007B99" w:rsidRDefault="001720E5" w:rsidP="00007B99">
      <w:pPr>
        <w:spacing w:line="240" w:lineRule="auto"/>
        <w:contextualSpacing/>
      </w:pPr>
      <w:proofErr w:type="spellStart"/>
      <w:r>
        <w:t>Dovi</w:t>
      </w:r>
      <w:proofErr w:type="spellEnd"/>
      <w:r>
        <w:t xml:space="preserve">, S. (2002) </w:t>
      </w:r>
      <w:r w:rsidRPr="001720E5">
        <w:t>Preferable Descriptive Representatives: Or Will Just An</w:t>
      </w:r>
      <w:r>
        <w:t>y Woman, Black, or Latino Do</w:t>
      </w:r>
      <w:proofErr w:type="gramStart"/>
      <w:r>
        <w:t>?,</w:t>
      </w:r>
      <w:proofErr w:type="gramEnd"/>
      <w:r>
        <w:t xml:space="preserve"> </w:t>
      </w:r>
      <w:r w:rsidRPr="001720E5">
        <w:t>American Political Science Review, 96: 745–754.</w:t>
      </w:r>
    </w:p>
    <w:p w:rsidR="001720E5" w:rsidRDefault="001720E5" w:rsidP="00007B99">
      <w:pPr>
        <w:spacing w:line="240" w:lineRule="auto"/>
        <w:contextualSpacing/>
      </w:pPr>
    </w:p>
    <w:p w:rsidR="00007B99" w:rsidRDefault="00007B99" w:rsidP="00007B99">
      <w:pPr>
        <w:spacing w:line="240" w:lineRule="auto"/>
        <w:contextualSpacing/>
      </w:pPr>
      <w:proofErr w:type="spellStart"/>
      <w:r>
        <w:t>Fishkin</w:t>
      </w:r>
      <w:proofErr w:type="spellEnd"/>
      <w:r>
        <w:t xml:space="preserve">, J. </w:t>
      </w:r>
      <w:proofErr w:type="gramStart"/>
      <w:r>
        <w:t xml:space="preserve">&amp;  </w:t>
      </w:r>
      <w:proofErr w:type="spellStart"/>
      <w:r>
        <w:t>Mansbridge</w:t>
      </w:r>
      <w:proofErr w:type="spellEnd"/>
      <w:proofErr w:type="gramEnd"/>
      <w:r>
        <w:t xml:space="preserve">, J (2017) The Prospects &amp; Limits of Deliberative Democracy - Introduction. Daedalus. </w:t>
      </w:r>
      <w:proofErr w:type="gramStart"/>
      <w:r>
        <w:t>146</w:t>
      </w:r>
      <w:proofErr w:type="gramEnd"/>
      <w:r>
        <w:t>, 3:p. 6–13.</w:t>
      </w:r>
    </w:p>
    <w:p w:rsidR="00007B99" w:rsidRDefault="00007B99" w:rsidP="00007B99">
      <w:pPr>
        <w:spacing w:line="240" w:lineRule="auto"/>
        <w:contextualSpacing/>
      </w:pPr>
    </w:p>
    <w:p w:rsidR="00007B99" w:rsidRDefault="00007B99" w:rsidP="00007B99">
      <w:pPr>
        <w:spacing w:line="240" w:lineRule="auto"/>
        <w:contextualSpacing/>
      </w:pPr>
      <w:r>
        <w:t xml:space="preserve">Fung A. (2003) Recipes for public spheres: eight institutional design choices and their consequences. J </w:t>
      </w:r>
      <w:proofErr w:type="spellStart"/>
      <w:r>
        <w:t>Polit</w:t>
      </w:r>
      <w:proofErr w:type="spellEnd"/>
      <w:r>
        <w:t xml:space="preserve"> Philos. 11(3):338–367.</w:t>
      </w:r>
    </w:p>
    <w:p w:rsidR="00007B99" w:rsidRDefault="00007B99" w:rsidP="00007B99">
      <w:pPr>
        <w:spacing w:line="240" w:lineRule="auto"/>
        <w:contextualSpacing/>
      </w:pPr>
    </w:p>
    <w:p w:rsidR="00007B99" w:rsidRDefault="00007B99" w:rsidP="00007B99">
      <w:pPr>
        <w:spacing w:line="240" w:lineRule="auto"/>
        <w:contextualSpacing/>
      </w:pPr>
      <w:r>
        <w:t>Hardin, R. (2004) Representing Ignorance. Social Philosophy and Policy, 21: 76–99.</w:t>
      </w:r>
    </w:p>
    <w:p w:rsidR="00007B99" w:rsidRDefault="00007B99" w:rsidP="00007B99">
      <w:pPr>
        <w:spacing w:line="240" w:lineRule="auto"/>
        <w:contextualSpacing/>
      </w:pPr>
    </w:p>
    <w:p w:rsidR="00007B99" w:rsidRDefault="00007B99" w:rsidP="00007B99">
      <w:pPr>
        <w:spacing w:line="240" w:lineRule="auto"/>
        <w:contextualSpacing/>
      </w:pPr>
      <w:proofErr w:type="spellStart"/>
      <w:r>
        <w:t>Mansbridge</w:t>
      </w:r>
      <w:proofErr w:type="spellEnd"/>
      <w:r>
        <w:t>, J. (1999) Should Blacks Represent Blacks and Women Represent Women? A Contingent 'Yes. Journal of Politics 61 (August): 628-57.</w:t>
      </w:r>
    </w:p>
    <w:p w:rsidR="00007B99" w:rsidRDefault="00007B99" w:rsidP="00007B99">
      <w:pPr>
        <w:spacing w:line="240" w:lineRule="auto"/>
        <w:contextualSpacing/>
      </w:pPr>
    </w:p>
    <w:p w:rsidR="00007B99" w:rsidRDefault="00007B99" w:rsidP="00007B99">
      <w:pPr>
        <w:spacing w:line="240" w:lineRule="auto"/>
        <w:contextualSpacing/>
      </w:pPr>
      <w:proofErr w:type="spellStart"/>
      <w:r>
        <w:t>Montanaro</w:t>
      </w:r>
      <w:proofErr w:type="spellEnd"/>
      <w:r>
        <w:t>, L (2017) Who Elected Oxfam? A Democratic Defence of Self-Appointed Representatives. Cambridge University Press.</w:t>
      </w:r>
    </w:p>
    <w:p w:rsidR="00007B99" w:rsidRDefault="00007B99" w:rsidP="00007B99">
      <w:pPr>
        <w:spacing w:line="240" w:lineRule="auto"/>
        <w:contextualSpacing/>
      </w:pPr>
    </w:p>
    <w:p w:rsidR="00007B99" w:rsidRDefault="00007B99" w:rsidP="00007B99">
      <w:pPr>
        <w:spacing w:line="240" w:lineRule="auto"/>
        <w:contextualSpacing/>
      </w:pPr>
      <w:r>
        <w:t>Phillips, A. (1998) Democracy and Representation: Or, Why Should It Matter Who Our Representatives Are? In Feminism and Politics. Oxford: Oxford University, 224-240.</w:t>
      </w:r>
    </w:p>
    <w:p w:rsidR="00007B99" w:rsidRDefault="00007B99" w:rsidP="00007B99">
      <w:pPr>
        <w:spacing w:line="240" w:lineRule="auto"/>
        <w:contextualSpacing/>
      </w:pPr>
    </w:p>
    <w:p w:rsidR="00007B99" w:rsidRDefault="00007B99" w:rsidP="00007B99">
      <w:pPr>
        <w:spacing w:line="240" w:lineRule="auto"/>
        <w:contextualSpacing/>
      </w:pPr>
      <w:r>
        <w:t>Plotke, D. (1997) Representation is Democracy. Constellations, 4: 19–34.</w:t>
      </w:r>
    </w:p>
    <w:p w:rsidR="00007B99" w:rsidRDefault="00007B99" w:rsidP="00007B99">
      <w:pPr>
        <w:spacing w:line="240" w:lineRule="auto"/>
        <w:contextualSpacing/>
      </w:pPr>
    </w:p>
    <w:p w:rsidR="00007B99" w:rsidRDefault="00007B99" w:rsidP="00007B99">
      <w:pPr>
        <w:spacing w:line="240" w:lineRule="auto"/>
        <w:contextualSpacing/>
      </w:pPr>
      <w:proofErr w:type="spellStart"/>
      <w:r>
        <w:t>Saward</w:t>
      </w:r>
      <w:proofErr w:type="spellEnd"/>
      <w:r>
        <w:t>, M. (2008) Representation and Democracy: Revisions and Possibilities. Sociology Compass 2/3: 1000–1013</w:t>
      </w:r>
    </w:p>
    <w:p w:rsidR="00007B99" w:rsidRDefault="00007B99" w:rsidP="00007B99">
      <w:pPr>
        <w:spacing w:line="240" w:lineRule="auto"/>
        <w:contextualSpacing/>
      </w:pPr>
    </w:p>
    <w:p w:rsidR="00007B99" w:rsidRDefault="00007B99" w:rsidP="00007B99">
      <w:pPr>
        <w:spacing w:line="240" w:lineRule="auto"/>
        <w:contextualSpacing/>
      </w:pPr>
      <w:r>
        <w:t xml:space="preserve">Young, I. (1986) Deferring Group Representation. In Nomos: Group Rights, </w:t>
      </w:r>
      <w:proofErr w:type="spellStart"/>
      <w:r>
        <w:t>Kymlicka</w:t>
      </w:r>
      <w:proofErr w:type="spellEnd"/>
      <w:r>
        <w:t xml:space="preserve"> &amp; Shapiro (</w:t>
      </w:r>
      <w:proofErr w:type="spellStart"/>
      <w:proofErr w:type="gramStart"/>
      <w:r>
        <w:t>eds</w:t>
      </w:r>
      <w:proofErr w:type="spellEnd"/>
      <w:proofErr w:type="gramEnd"/>
      <w:r>
        <w:t>), New York: New York University Press, pp. 349–376.</w:t>
      </w:r>
    </w:p>
    <w:sectPr w:rsidR="00007B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28" w:rsidRDefault="00127A28" w:rsidP="009F2F3E">
      <w:pPr>
        <w:spacing w:after="0" w:line="240" w:lineRule="auto"/>
      </w:pPr>
      <w:r>
        <w:separator/>
      </w:r>
    </w:p>
  </w:endnote>
  <w:endnote w:type="continuationSeparator" w:id="0">
    <w:p w:rsidR="00127A28" w:rsidRDefault="00127A28" w:rsidP="009F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099048"/>
      <w:docPartObj>
        <w:docPartGallery w:val="Page Numbers (Bottom of Page)"/>
        <w:docPartUnique/>
      </w:docPartObj>
    </w:sdtPr>
    <w:sdtEndPr>
      <w:rPr>
        <w:noProof/>
      </w:rPr>
    </w:sdtEndPr>
    <w:sdtContent>
      <w:p w:rsidR="00760716" w:rsidRDefault="00092462">
        <w:pPr>
          <w:pStyle w:val="Footer"/>
          <w:jc w:val="center"/>
        </w:pPr>
        <w:r>
          <w:fldChar w:fldCharType="begin"/>
        </w:r>
        <w:r>
          <w:instrText xml:space="preserve"> PAGE   \* MERGEFORMAT </w:instrText>
        </w:r>
        <w:r>
          <w:fldChar w:fldCharType="separate"/>
        </w:r>
        <w:r w:rsidR="008104F5">
          <w:rPr>
            <w:noProof/>
          </w:rPr>
          <w:t>5</w:t>
        </w:r>
        <w:r>
          <w:rPr>
            <w:noProof/>
          </w:rPr>
          <w:fldChar w:fldCharType="end"/>
        </w:r>
      </w:p>
    </w:sdtContent>
  </w:sdt>
  <w:p w:rsidR="00760716" w:rsidRDefault="0012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28" w:rsidRDefault="00127A28" w:rsidP="009F2F3E">
      <w:pPr>
        <w:spacing w:after="0" w:line="240" w:lineRule="auto"/>
      </w:pPr>
      <w:r>
        <w:separator/>
      </w:r>
    </w:p>
  </w:footnote>
  <w:footnote w:type="continuationSeparator" w:id="0">
    <w:p w:rsidR="00127A28" w:rsidRDefault="00127A28" w:rsidP="009F2F3E">
      <w:pPr>
        <w:spacing w:after="0" w:line="240" w:lineRule="auto"/>
      </w:pPr>
      <w:r>
        <w:continuationSeparator/>
      </w:r>
    </w:p>
  </w:footnote>
  <w:footnote w:id="1">
    <w:p w:rsidR="00154966" w:rsidRDefault="00154966">
      <w:pPr>
        <w:pStyle w:val="FootnoteText"/>
      </w:pPr>
      <w:r>
        <w:rPr>
          <w:rStyle w:val="FootnoteReference"/>
        </w:rPr>
        <w:footnoteRef/>
      </w:r>
      <w:r>
        <w:t xml:space="preserve"> </w:t>
      </w:r>
      <w:r w:rsidR="008104F5">
        <w:t>However, situations where an autistic person could not act as a representative due to capacity issues should be distinguished from those where an autistic person could act as a representative but someone else from outside that group has been chosen</w:t>
      </w:r>
      <w:bookmarkStart w:id="0" w:name="_GoBack"/>
      <w:bookmarkEnd w:id="0"/>
      <w:r>
        <w:t>.</w:t>
      </w:r>
    </w:p>
  </w:footnote>
  <w:footnote w:id="2">
    <w:p w:rsidR="00EA6DA9" w:rsidRDefault="00EA6DA9" w:rsidP="00EA6DA9">
      <w:pPr>
        <w:pStyle w:val="FootnoteText"/>
      </w:pPr>
      <w:r>
        <w:rPr>
          <w:rStyle w:val="FootnoteReference"/>
        </w:rPr>
        <w:footnoteRef/>
      </w:r>
      <w:r>
        <w:t xml:space="preserve"> This issue </w:t>
      </w:r>
      <w:proofErr w:type="gramStart"/>
      <w:r>
        <w:t>is discussed</w:t>
      </w:r>
      <w:proofErr w:type="gramEnd"/>
      <w:r>
        <w:t xml:space="preserve"> in McCoy et </w:t>
      </w:r>
      <w:proofErr w:type="spellStart"/>
      <w:r>
        <w:t>al’s</w:t>
      </w:r>
      <w:proofErr w:type="spellEnd"/>
      <w:r>
        <w:t xml:space="preserve"> paper and they propose a form of surrogate representation to ensure t</w:t>
      </w:r>
      <w:r w:rsidR="00154966">
        <w:t xml:space="preserve">hat those who lack capacity </w:t>
      </w:r>
      <w:r>
        <w:t>have their interests taken into account.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1E"/>
    <w:rsid w:val="00007B99"/>
    <w:rsid w:val="00011AAE"/>
    <w:rsid w:val="00026ACB"/>
    <w:rsid w:val="000633D9"/>
    <w:rsid w:val="000655FF"/>
    <w:rsid w:val="000746BB"/>
    <w:rsid w:val="0007652A"/>
    <w:rsid w:val="00092462"/>
    <w:rsid w:val="000B32A0"/>
    <w:rsid w:val="000D35A4"/>
    <w:rsid w:val="00100AD0"/>
    <w:rsid w:val="001241E8"/>
    <w:rsid w:val="00127A28"/>
    <w:rsid w:val="00154966"/>
    <w:rsid w:val="001607B4"/>
    <w:rsid w:val="001720E5"/>
    <w:rsid w:val="001764D8"/>
    <w:rsid w:val="001A035A"/>
    <w:rsid w:val="001B471E"/>
    <w:rsid w:val="001D11F4"/>
    <w:rsid w:val="001D60A5"/>
    <w:rsid w:val="001D6313"/>
    <w:rsid w:val="001E143F"/>
    <w:rsid w:val="00204CC8"/>
    <w:rsid w:val="00237829"/>
    <w:rsid w:val="00242209"/>
    <w:rsid w:val="002652B2"/>
    <w:rsid w:val="00267DBA"/>
    <w:rsid w:val="002913E6"/>
    <w:rsid w:val="002A33FD"/>
    <w:rsid w:val="002A48A0"/>
    <w:rsid w:val="002B3C04"/>
    <w:rsid w:val="002B75D3"/>
    <w:rsid w:val="002C342C"/>
    <w:rsid w:val="002F266B"/>
    <w:rsid w:val="002F4E5C"/>
    <w:rsid w:val="003008EC"/>
    <w:rsid w:val="00307D84"/>
    <w:rsid w:val="0032077D"/>
    <w:rsid w:val="003411D8"/>
    <w:rsid w:val="00351CED"/>
    <w:rsid w:val="00374ACF"/>
    <w:rsid w:val="003757F3"/>
    <w:rsid w:val="00386A37"/>
    <w:rsid w:val="00396699"/>
    <w:rsid w:val="00397B6B"/>
    <w:rsid w:val="003B7305"/>
    <w:rsid w:val="004012E9"/>
    <w:rsid w:val="004115DA"/>
    <w:rsid w:val="0044434C"/>
    <w:rsid w:val="004549FD"/>
    <w:rsid w:val="00471D9C"/>
    <w:rsid w:val="00483243"/>
    <w:rsid w:val="00495D51"/>
    <w:rsid w:val="004A0815"/>
    <w:rsid w:val="004C25D5"/>
    <w:rsid w:val="004C2B3F"/>
    <w:rsid w:val="004C3539"/>
    <w:rsid w:val="0051688A"/>
    <w:rsid w:val="00524808"/>
    <w:rsid w:val="005B44B9"/>
    <w:rsid w:val="005C4A2F"/>
    <w:rsid w:val="005F2FDF"/>
    <w:rsid w:val="005F4EBA"/>
    <w:rsid w:val="0060455D"/>
    <w:rsid w:val="0061101C"/>
    <w:rsid w:val="006278C2"/>
    <w:rsid w:val="00641C0E"/>
    <w:rsid w:val="006815BF"/>
    <w:rsid w:val="006915B6"/>
    <w:rsid w:val="006B27A5"/>
    <w:rsid w:val="006D1692"/>
    <w:rsid w:val="006D30FC"/>
    <w:rsid w:val="006E3931"/>
    <w:rsid w:val="006F5C7B"/>
    <w:rsid w:val="00700EE9"/>
    <w:rsid w:val="007121F6"/>
    <w:rsid w:val="00720C5A"/>
    <w:rsid w:val="00755CC0"/>
    <w:rsid w:val="007E238E"/>
    <w:rsid w:val="0080111F"/>
    <w:rsid w:val="008025F5"/>
    <w:rsid w:val="00804BED"/>
    <w:rsid w:val="008104F5"/>
    <w:rsid w:val="00815184"/>
    <w:rsid w:val="00890719"/>
    <w:rsid w:val="00897651"/>
    <w:rsid w:val="008B1DE9"/>
    <w:rsid w:val="008C3998"/>
    <w:rsid w:val="008C5DF9"/>
    <w:rsid w:val="008D147A"/>
    <w:rsid w:val="008F7EF1"/>
    <w:rsid w:val="00915B16"/>
    <w:rsid w:val="00950653"/>
    <w:rsid w:val="009514CA"/>
    <w:rsid w:val="009648F2"/>
    <w:rsid w:val="00993B98"/>
    <w:rsid w:val="009B2358"/>
    <w:rsid w:val="009B39D8"/>
    <w:rsid w:val="009D657B"/>
    <w:rsid w:val="009E6EAF"/>
    <w:rsid w:val="009F2F3E"/>
    <w:rsid w:val="00A0375B"/>
    <w:rsid w:val="00A65121"/>
    <w:rsid w:val="00A86EC5"/>
    <w:rsid w:val="00AE0051"/>
    <w:rsid w:val="00AF24C2"/>
    <w:rsid w:val="00B43CED"/>
    <w:rsid w:val="00B531ED"/>
    <w:rsid w:val="00B61738"/>
    <w:rsid w:val="00BF6738"/>
    <w:rsid w:val="00C00CD7"/>
    <w:rsid w:val="00C5583E"/>
    <w:rsid w:val="00C616BA"/>
    <w:rsid w:val="00C63317"/>
    <w:rsid w:val="00C92189"/>
    <w:rsid w:val="00CA1A85"/>
    <w:rsid w:val="00CB6419"/>
    <w:rsid w:val="00CF3354"/>
    <w:rsid w:val="00CF79A9"/>
    <w:rsid w:val="00D04F5B"/>
    <w:rsid w:val="00D30533"/>
    <w:rsid w:val="00D7733F"/>
    <w:rsid w:val="00DA2A85"/>
    <w:rsid w:val="00DF37CF"/>
    <w:rsid w:val="00E066BF"/>
    <w:rsid w:val="00E11E2D"/>
    <w:rsid w:val="00E31F64"/>
    <w:rsid w:val="00E60647"/>
    <w:rsid w:val="00EA6DA9"/>
    <w:rsid w:val="00EC4FDD"/>
    <w:rsid w:val="00EC515E"/>
    <w:rsid w:val="00EF269E"/>
    <w:rsid w:val="00EF413A"/>
    <w:rsid w:val="00EF5BFD"/>
    <w:rsid w:val="00EF5F1B"/>
    <w:rsid w:val="00EF6B7E"/>
    <w:rsid w:val="00F25B74"/>
    <w:rsid w:val="00F43A24"/>
    <w:rsid w:val="00F55094"/>
    <w:rsid w:val="00FB3173"/>
    <w:rsid w:val="00FC07A5"/>
    <w:rsid w:val="00FE1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0A6B"/>
  <w15:chartTrackingRefBased/>
  <w15:docId w15:val="{4867B5AB-6889-4F64-8608-49DEEFA1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71E"/>
  </w:style>
  <w:style w:type="paragraph" w:styleId="FootnoteText">
    <w:name w:val="footnote text"/>
    <w:basedOn w:val="Normal"/>
    <w:link w:val="FootnoteTextChar"/>
    <w:uiPriority w:val="99"/>
    <w:semiHidden/>
    <w:unhideWhenUsed/>
    <w:rsid w:val="009F2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F3E"/>
    <w:rPr>
      <w:sz w:val="20"/>
      <w:szCs w:val="20"/>
    </w:rPr>
  </w:style>
  <w:style w:type="character" w:styleId="FootnoteReference">
    <w:name w:val="footnote reference"/>
    <w:basedOn w:val="DefaultParagraphFont"/>
    <w:uiPriority w:val="99"/>
    <w:semiHidden/>
    <w:unhideWhenUsed/>
    <w:rsid w:val="009F2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699EF-08EC-4691-A4EC-7E690273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 Lucy</dc:creator>
  <cp:keywords/>
  <dc:description/>
  <cp:lastModifiedBy>Frith, Lucy</cp:lastModifiedBy>
  <cp:revision>40</cp:revision>
  <dcterms:created xsi:type="dcterms:W3CDTF">2020-02-09T13:19:00Z</dcterms:created>
  <dcterms:modified xsi:type="dcterms:W3CDTF">2020-02-10T17:06:00Z</dcterms:modified>
</cp:coreProperties>
</file>