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4447" w14:textId="5FA266D8" w:rsidR="003E7A69" w:rsidRPr="00326B2B" w:rsidRDefault="00B1165F" w:rsidP="00DE5DA1">
      <w:pPr>
        <w:spacing w:before="1400" w:after="180" w:line="480" w:lineRule="auto"/>
        <w:jc w:val="center"/>
        <w:rPr>
          <w:rFonts w:ascii="Times New Roman" w:hAnsi="Times New Roman"/>
          <w:b/>
          <w:kern w:val="3"/>
          <w:szCs w:val="24"/>
        </w:rPr>
      </w:pPr>
      <w:r w:rsidRPr="00326B2B">
        <w:rPr>
          <w:rFonts w:ascii="Times New Roman" w:hAnsi="Times New Roman"/>
          <w:b/>
          <w:kern w:val="3"/>
          <w:szCs w:val="24"/>
        </w:rPr>
        <w:t>Quantif</w:t>
      </w:r>
      <w:r w:rsidR="000B311A">
        <w:rPr>
          <w:rFonts w:ascii="Times New Roman" w:hAnsi="Times New Roman"/>
          <w:b/>
          <w:kern w:val="3"/>
          <w:szCs w:val="24"/>
        </w:rPr>
        <w:t>ication of</w:t>
      </w:r>
      <w:r w:rsidRPr="00326B2B">
        <w:rPr>
          <w:rFonts w:ascii="Times New Roman" w:hAnsi="Times New Roman"/>
          <w:b/>
          <w:kern w:val="3"/>
          <w:szCs w:val="24"/>
        </w:rPr>
        <w:t xml:space="preserve"> Protein Glycation</w:t>
      </w:r>
      <w:r w:rsidR="000B311A">
        <w:rPr>
          <w:rFonts w:ascii="Times New Roman" w:hAnsi="Times New Roman"/>
          <w:b/>
          <w:kern w:val="3"/>
          <w:szCs w:val="24"/>
        </w:rPr>
        <w:t xml:space="preserve"> Using Vibrational</w:t>
      </w:r>
      <w:r w:rsidR="000B311A" w:rsidRPr="00326B2B">
        <w:rPr>
          <w:rFonts w:ascii="Times New Roman" w:hAnsi="Times New Roman"/>
          <w:b/>
          <w:kern w:val="3"/>
          <w:szCs w:val="24"/>
        </w:rPr>
        <w:t xml:space="preserve"> Spectroscopy </w:t>
      </w:r>
    </w:p>
    <w:p w14:paraId="1ADA02CE" w14:textId="20C8A6D6" w:rsidR="00F33CBF" w:rsidRPr="00326B2B" w:rsidRDefault="00F33CBF" w:rsidP="00DE5DA1">
      <w:pPr>
        <w:pStyle w:val="BCAuthorAddress"/>
        <w:spacing w:line="480" w:lineRule="auto"/>
        <w:rPr>
          <w:rFonts w:ascii="Times New Roman" w:hAnsi="Times New Roman"/>
          <w:sz w:val="24"/>
          <w:szCs w:val="24"/>
        </w:rPr>
      </w:pPr>
      <w:r w:rsidRPr="00326B2B">
        <w:rPr>
          <w:rFonts w:ascii="Times New Roman" w:hAnsi="Times New Roman"/>
          <w:sz w:val="24"/>
          <w:szCs w:val="24"/>
        </w:rPr>
        <w:t>Bethan</w:t>
      </w:r>
      <w:r w:rsidR="00572FC5" w:rsidRPr="00326B2B">
        <w:rPr>
          <w:rFonts w:ascii="Times New Roman" w:hAnsi="Times New Roman"/>
          <w:sz w:val="24"/>
          <w:szCs w:val="24"/>
        </w:rPr>
        <w:t xml:space="preserve"> S. </w:t>
      </w:r>
      <w:r w:rsidRPr="00326B2B">
        <w:rPr>
          <w:rFonts w:ascii="Times New Roman" w:hAnsi="Times New Roman"/>
          <w:sz w:val="24"/>
          <w:szCs w:val="24"/>
        </w:rPr>
        <w:t>McAvan</w:t>
      </w:r>
      <w:r w:rsidR="004C30AA" w:rsidRPr="00326B2B">
        <w:rPr>
          <w:rFonts w:ascii="Times New Roman" w:hAnsi="Times New Roman"/>
          <w:sz w:val="24"/>
          <w:szCs w:val="24"/>
          <w:vertAlign w:val="superscript"/>
        </w:rPr>
        <w:t>1</w:t>
      </w:r>
      <w:r w:rsidR="00AA569F" w:rsidRPr="00326B2B">
        <w:rPr>
          <w:rFonts w:ascii="Times New Roman" w:hAnsi="Times New Roman"/>
          <w:sz w:val="24"/>
          <w:szCs w:val="24"/>
        </w:rPr>
        <w:t>,</w:t>
      </w:r>
      <w:r w:rsidR="007A03DD">
        <w:rPr>
          <w:rFonts w:ascii="Times New Roman" w:hAnsi="Times New Roman"/>
          <w:sz w:val="24"/>
          <w:szCs w:val="24"/>
        </w:rPr>
        <w:t xml:space="preserve"> Aidan</w:t>
      </w:r>
      <w:r w:rsidR="00E512ED">
        <w:rPr>
          <w:rFonts w:ascii="Times New Roman" w:hAnsi="Times New Roman"/>
          <w:sz w:val="24"/>
          <w:szCs w:val="24"/>
        </w:rPr>
        <w:t xml:space="preserve"> P.</w:t>
      </w:r>
      <w:r w:rsidR="007A03DD">
        <w:rPr>
          <w:rFonts w:ascii="Times New Roman" w:hAnsi="Times New Roman"/>
          <w:sz w:val="24"/>
          <w:szCs w:val="24"/>
        </w:rPr>
        <w:t xml:space="preserve"> France</w:t>
      </w:r>
      <w:r w:rsidR="007A03DD" w:rsidRPr="007A03DD">
        <w:rPr>
          <w:rFonts w:ascii="Times New Roman" w:hAnsi="Times New Roman"/>
          <w:sz w:val="24"/>
          <w:szCs w:val="24"/>
          <w:vertAlign w:val="superscript"/>
        </w:rPr>
        <w:t>1</w:t>
      </w:r>
      <w:r w:rsidR="007A03DD">
        <w:rPr>
          <w:rFonts w:ascii="Times New Roman" w:hAnsi="Times New Roman"/>
          <w:sz w:val="24"/>
          <w:szCs w:val="24"/>
        </w:rPr>
        <w:t>,</w:t>
      </w:r>
      <w:r w:rsidR="00CE73F6" w:rsidRPr="00CE73F6">
        <w:rPr>
          <w:rFonts w:ascii="Times New Roman" w:hAnsi="Times New Roman"/>
          <w:sz w:val="24"/>
        </w:rPr>
        <w:t xml:space="preserve"> </w:t>
      </w:r>
      <w:r w:rsidR="00CE73F6">
        <w:rPr>
          <w:rFonts w:ascii="Times New Roman" w:hAnsi="Times New Roman"/>
          <w:sz w:val="24"/>
        </w:rPr>
        <w:t>Bruno Bellina</w:t>
      </w:r>
      <w:r w:rsidR="00CE73F6">
        <w:rPr>
          <w:rFonts w:ascii="Times New Roman" w:hAnsi="Times New Roman"/>
          <w:sz w:val="24"/>
          <w:vertAlign w:val="superscript"/>
        </w:rPr>
        <w:t>1</w:t>
      </w:r>
      <w:r w:rsidR="00CE73F6">
        <w:rPr>
          <w:rFonts w:ascii="Times New Roman" w:hAnsi="Times New Roman"/>
          <w:sz w:val="24"/>
        </w:rPr>
        <w:t>,</w:t>
      </w:r>
      <w:r w:rsidR="007A03DD">
        <w:rPr>
          <w:rFonts w:ascii="Times New Roman" w:hAnsi="Times New Roman"/>
          <w:sz w:val="24"/>
          <w:szCs w:val="24"/>
        </w:rPr>
        <w:t xml:space="preserve"> Perdita</w:t>
      </w:r>
      <w:r w:rsidR="00E512ED">
        <w:rPr>
          <w:rFonts w:ascii="Times New Roman" w:hAnsi="Times New Roman"/>
          <w:sz w:val="24"/>
          <w:szCs w:val="24"/>
        </w:rPr>
        <w:t xml:space="preserve"> E.</w:t>
      </w:r>
      <w:r w:rsidR="007A03DD">
        <w:rPr>
          <w:rFonts w:ascii="Times New Roman" w:hAnsi="Times New Roman"/>
          <w:sz w:val="24"/>
          <w:szCs w:val="24"/>
        </w:rPr>
        <w:t xml:space="preserve"> Barran</w:t>
      </w:r>
      <w:r w:rsidR="007A03DD" w:rsidRPr="007A03DD">
        <w:rPr>
          <w:rFonts w:ascii="Times New Roman" w:hAnsi="Times New Roman"/>
          <w:sz w:val="24"/>
          <w:szCs w:val="24"/>
          <w:vertAlign w:val="superscript"/>
        </w:rPr>
        <w:t>1</w:t>
      </w:r>
      <w:r w:rsidR="007A03DD">
        <w:rPr>
          <w:rFonts w:ascii="Times New Roman" w:hAnsi="Times New Roman"/>
          <w:sz w:val="24"/>
          <w:szCs w:val="24"/>
        </w:rPr>
        <w:t>,</w:t>
      </w:r>
      <w:r w:rsidR="00AA569F" w:rsidRPr="00326B2B">
        <w:rPr>
          <w:rFonts w:ascii="Times New Roman" w:hAnsi="Times New Roman"/>
          <w:sz w:val="24"/>
          <w:szCs w:val="24"/>
        </w:rPr>
        <w:t xml:space="preserve"> </w:t>
      </w:r>
      <w:r w:rsidR="00FE4B87" w:rsidRPr="00326B2B">
        <w:rPr>
          <w:rFonts w:ascii="Times New Roman" w:hAnsi="Times New Roman"/>
          <w:sz w:val="24"/>
          <w:szCs w:val="24"/>
        </w:rPr>
        <w:t>Royston Goodacre</w:t>
      </w:r>
      <w:r w:rsidR="00705A2A">
        <w:rPr>
          <w:rFonts w:ascii="Times New Roman" w:hAnsi="Times New Roman"/>
          <w:sz w:val="24"/>
          <w:szCs w:val="24"/>
          <w:vertAlign w:val="superscript"/>
        </w:rPr>
        <w:t>2</w:t>
      </w:r>
      <w:r w:rsidR="00FE4B87" w:rsidRPr="00326B2B">
        <w:rPr>
          <w:rFonts w:ascii="Times New Roman" w:hAnsi="Times New Roman"/>
          <w:sz w:val="24"/>
          <w:szCs w:val="24"/>
        </w:rPr>
        <w:t xml:space="preserve"> and Andrew J. Doig</w:t>
      </w:r>
      <w:r w:rsidR="00705A2A">
        <w:rPr>
          <w:rFonts w:ascii="Times New Roman" w:hAnsi="Times New Roman"/>
          <w:sz w:val="24"/>
          <w:szCs w:val="24"/>
          <w:vertAlign w:val="superscript"/>
        </w:rPr>
        <w:t>3</w:t>
      </w:r>
      <w:r w:rsidR="00FE4B87" w:rsidRPr="00326B2B">
        <w:rPr>
          <w:rFonts w:ascii="Times New Roman" w:hAnsi="Times New Roman"/>
          <w:sz w:val="24"/>
          <w:szCs w:val="24"/>
          <w:vertAlign w:val="superscript"/>
        </w:rPr>
        <w:t>*</w:t>
      </w:r>
    </w:p>
    <w:p w14:paraId="001FFB78" w14:textId="77777777" w:rsidR="004C30AA" w:rsidRPr="00326B2B" w:rsidRDefault="004C30AA" w:rsidP="00DE5DA1">
      <w:pPr>
        <w:pStyle w:val="BCAuthorAddress"/>
        <w:spacing w:line="480" w:lineRule="auto"/>
        <w:rPr>
          <w:rFonts w:ascii="Times New Roman" w:hAnsi="Times New Roman"/>
          <w:sz w:val="24"/>
          <w:szCs w:val="24"/>
        </w:rPr>
      </w:pPr>
      <w:r w:rsidRPr="00326B2B">
        <w:rPr>
          <w:rFonts w:ascii="Times New Roman" w:hAnsi="Times New Roman"/>
          <w:sz w:val="24"/>
          <w:szCs w:val="24"/>
          <w:vertAlign w:val="superscript"/>
        </w:rPr>
        <w:t xml:space="preserve">1 </w:t>
      </w:r>
      <w:r w:rsidRPr="00326B2B">
        <w:rPr>
          <w:rFonts w:ascii="Times New Roman" w:hAnsi="Times New Roman"/>
          <w:sz w:val="24"/>
          <w:szCs w:val="24"/>
        </w:rPr>
        <w:t>School of Chemistry, Manchester Institute of Biotechnology, University of Manchester, 131 Princess Street, Manchester,  M1 7DN, UK</w:t>
      </w:r>
    </w:p>
    <w:p w14:paraId="7EFE9A2C" w14:textId="74CA3A66" w:rsidR="004C30AA" w:rsidRPr="00326B2B" w:rsidRDefault="00705A2A" w:rsidP="00DE5DA1">
      <w:pPr>
        <w:pStyle w:val="BCAuthorAddress"/>
        <w:spacing w:line="480" w:lineRule="auto"/>
        <w:rPr>
          <w:rFonts w:ascii="Times New Roman" w:hAnsi="Times New Roman"/>
          <w:sz w:val="24"/>
          <w:szCs w:val="24"/>
        </w:rPr>
      </w:pPr>
      <w:r>
        <w:rPr>
          <w:rFonts w:ascii="Times New Roman" w:hAnsi="Times New Roman"/>
          <w:sz w:val="24"/>
          <w:szCs w:val="24"/>
          <w:vertAlign w:val="superscript"/>
        </w:rPr>
        <w:t>2</w:t>
      </w:r>
      <w:r w:rsidR="004C30AA" w:rsidRPr="00326B2B">
        <w:rPr>
          <w:rFonts w:ascii="Times New Roman" w:hAnsi="Times New Roman"/>
          <w:sz w:val="24"/>
          <w:szCs w:val="24"/>
          <w:vertAlign w:val="superscript"/>
        </w:rPr>
        <w:t xml:space="preserve"> </w:t>
      </w:r>
      <w:r w:rsidR="00D75219" w:rsidRPr="00326B2B">
        <w:rPr>
          <w:rFonts w:ascii="Times New Roman" w:hAnsi="Times New Roman"/>
          <w:sz w:val="24"/>
          <w:szCs w:val="24"/>
        </w:rPr>
        <w:t>Department of Biochemistry, Institute of Integrative Biology, University of Liverpool, Biosciences Building, Crown Street, Liverpool L69 7ZB, UK</w:t>
      </w:r>
      <w:r w:rsidR="004C30AA" w:rsidRPr="00326B2B">
        <w:rPr>
          <w:rFonts w:ascii="Times New Roman" w:hAnsi="Times New Roman"/>
          <w:sz w:val="24"/>
          <w:szCs w:val="24"/>
        </w:rPr>
        <w:t>.</w:t>
      </w:r>
    </w:p>
    <w:p w14:paraId="086D8BD7" w14:textId="7FDC825E" w:rsidR="004C30AA" w:rsidRPr="00326B2B" w:rsidRDefault="00705A2A" w:rsidP="00DE5DA1">
      <w:pPr>
        <w:pStyle w:val="BCAuthorAddress"/>
        <w:spacing w:line="480" w:lineRule="auto"/>
        <w:rPr>
          <w:rFonts w:ascii="Times New Roman" w:hAnsi="Times New Roman"/>
          <w:sz w:val="24"/>
          <w:szCs w:val="24"/>
        </w:rPr>
      </w:pPr>
      <w:r>
        <w:rPr>
          <w:rFonts w:ascii="Times New Roman" w:hAnsi="Times New Roman"/>
          <w:sz w:val="24"/>
          <w:szCs w:val="24"/>
          <w:vertAlign w:val="superscript"/>
        </w:rPr>
        <w:t>3</w:t>
      </w:r>
      <w:r w:rsidR="004C30AA" w:rsidRPr="00326B2B">
        <w:rPr>
          <w:rFonts w:ascii="Times New Roman" w:hAnsi="Times New Roman"/>
          <w:sz w:val="24"/>
          <w:szCs w:val="24"/>
        </w:rPr>
        <w:t xml:space="preserve"> </w:t>
      </w:r>
      <w:r w:rsidR="00D75219" w:rsidRPr="00326B2B">
        <w:rPr>
          <w:rFonts w:ascii="Times New Roman" w:hAnsi="Times New Roman"/>
          <w:sz w:val="24"/>
          <w:szCs w:val="24"/>
        </w:rPr>
        <w:t xml:space="preserve">Manchester Institute of Biotechnology and Division of Neuroscience and Experimental Psychology, </w:t>
      </w:r>
      <w:r w:rsidR="00C53F2A">
        <w:rPr>
          <w:rFonts w:ascii="Times New Roman" w:hAnsi="Times New Roman"/>
          <w:sz w:val="24"/>
          <w:szCs w:val="24"/>
        </w:rPr>
        <w:t xml:space="preserve">Michael Smith Building, </w:t>
      </w:r>
      <w:r w:rsidR="00D75219" w:rsidRPr="00326B2B">
        <w:rPr>
          <w:rFonts w:ascii="Times New Roman" w:hAnsi="Times New Roman"/>
          <w:sz w:val="24"/>
          <w:szCs w:val="24"/>
        </w:rPr>
        <w:t>School of Biological Sciences, Faculty of Biology, Medicine and Health, University of</w:t>
      </w:r>
      <w:r w:rsidR="00DE5DA1">
        <w:rPr>
          <w:rFonts w:ascii="Times New Roman" w:hAnsi="Times New Roman"/>
          <w:sz w:val="24"/>
          <w:szCs w:val="24"/>
        </w:rPr>
        <w:t xml:space="preserve"> Manchester, Manchester M13 9PT.</w:t>
      </w:r>
    </w:p>
    <w:p w14:paraId="466CF509" w14:textId="77777777" w:rsidR="00F33CBF" w:rsidRDefault="00F33CBF" w:rsidP="00F33CBF">
      <w:pPr>
        <w:rPr>
          <w:rFonts w:ascii="Times New Roman" w:hAnsi="Times New Roman"/>
          <w:sz w:val="20"/>
        </w:rPr>
      </w:pPr>
    </w:p>
    <w:p w14:paraId="7D33D6D0" w14:textId="77777777" w:rsidR="004C30AA" w:rsidRDefault="004C30AA" w:rsidP="00F33CBF">
      <w:pPr>
        <w:sectPr w:rsidR="004C30AA">
          <w:footerReference w:type="default" r:id="rId8"/>
          <w:pgSz w:w="12240" w:h="15840"/>
          <w:pgMar w:top="720" w:right="1094" w:bottom="720" w:left="1094" w:header="720" w:footer="720" w:gutter="0"/>
          <w:cols w:space="720"/>
          <w:titlePg/>
        </w:sectPr>
      </w:pPr>
    </w:p>
    <w:p w14:paraId="2A058022" w14:textId="05A8C439" w:rsidR="006F5D32" w:rsidRDefault="006F5D32" w:rsidP="006F5D32">
      <w:pPr>
        <w:pStyle w:val="BDAbstract"/>
        <w:pBdr>
          <w:top w:val="none" w:sz="0" w:space="0" w:color="auto"/>
          <w:bottom w:val="none" w:sz="0" w:space="0" w:color="auto"/>
        </w:pBdr>
        <w:spacing w:after="0" w:line="480" w:lineRule="auto"/>
        <w:jc w:val="both"/>
        <w:rPr>
          <w:rFonts w:ascii="Times New Roman" w:hAnsi="Times New Roman"/>
          <w:sz w:val="24"/>
          <w:szCs w:val="24"/>
        </w:rPr>
      </w:pPr>
      <w:r>
        <w:rPr>
          <w:rStyle w:val="BDAbstractTitleChar"/>
          <w:rFonts w:ascii="Times New Roman" w:hAnsi="Times New Roman"/>
          <w:sz w:val="24"/>
          <w:szCs w:val="24"/>
        </w:rPr>
        <w:lastRenderedPageBreak/>
        <w:t>Abstract</w:t>
      </w:r>
      <w:r w:rsidR="00F33CBF" w:rsidRPr="00326B2B">
        <w:rPr>
          <w:rFonts w:ascii="Times New Roman" w:hAnsi="Times New Roman"/>
          <w:sz w:val="24"/>
          <w:szCs w:val="24"/>
        </w:rPr>
        <w:t xml:space="preserve"> </w:t>
      </w:r>
    </w:p>
    <w:p w14:paraId="402673C1" w14:textId="4C0DC791" w:rsidR="00D81186" w:rsidRDefault="002D0287" w:rsidP="006F5D32">
      <w:pPr>
        <w:pStyle w:val="BDAbstract"/>
        <w:pBdr>
          <w:top w:val="none" w:sz="0" w:space="0" w:color="auto"/>
          <w:bottom w:val="none" w:sz="0" w:space="0" w:color="auto"/>
        </w:pBdr>
        <w:spacing w:after="0" w:line="480" w:lineRule="auto"/>
        <w:jc w:val="both"/>
        <w:rPr>
          <w:rFonts w:ascii="Times New Roman" w:hAnsi="Times New Roman"/>
          <w:sz w:val="24"/>
          <w:szCs w:val="24"/>
        </w:rPr>
      </w:pPr>
      <w:r w:rsidRPr="002D0287">
        <w:rPr>
          <w:rFonts w:ascii="Times New Roman" w:hAnsi="Times New Roman"/>
          <w:sz w:val="24"/>
          <w:szCs w:val="24"/>
        </w:rPr>
        <w:t>Glycation is a protein modification prevalent in the p</w:t>
      </w:r>
      <w:r w:rsidR="00A71FAF">
        <w:rPr>
          <w:rFonts w:ascii="Times New Roman" w:hAnsi="Times New Roman"/>
          <w:sz w:val="24"/>
          <w:szCs w:val="24"/>
        </w:rPr>
        <w:t>rogression of diseases such as D</w:t>
      </w:r>
      <w:r w:rsidRPr="002D0287">
        <w:rPr>
          <w:rFonts w:ascii="Times New Roman" w:hAnsi="Times New Roman"/>
          <w:sz w:val="24"/>
          <w:szCs w:val="24"/>
        </w:rPr>
        <w:t>iabetes and Alzheimer’s, as well as a byproduct of therapeutic protein expression</w:t>
      </w:r>
      <w:r w:rsidR="00C53F2A">
        <w:rPr>
          <w:rFonts w:ascii="Times New Roman" w:hAnsi="Times New Roman"/>
          <w:sz w:val="24"/>
          <w:szCs w:val="24"/>
        </w:rPr>
        <w:t>,</w:t>
      </w:r>
      <w:r w:rsidRPr="002D0287">
        <w:rPr>
          <w:rFonts w:ascii="Times New Roman" w:hAnsi="Times New Roman"/>
          <w:sz w:val="24"/>
          <w:szCs w:val="24"/>
        </w:rPr>
        <w:t xml:space="preserve"> notably for monoclonal antibodies (mAbs). Quantification of glycated protein is thus advantageous in both </w:t>
      </w:r>
      <w:r w:rsidR="000D770B">
        <w:rPr>
          <w:rFonts w:ascii="Times New Roman" w:hAnsi="Times New Roman"/>
          <w:sz w:val="24"/>
          <w:szCs w:val="24"/>
        </w:rPr>
        <w:t xml:space="preserve">assessing </w:t>
      </w:r>
      <w:r w:rsidRPr="002D0287">
        <w:rPr>
          <w:rFonts w:ascii="Times New Roman" w:hAnsi="Times New Roman"/>
          <w:sz w:val="24"/>
          <w:szCs w:val="24"/>
        </w:rPr>
        <w:t xml:space="preserve">the advancement of disease diagnosis and </w:t>
      </w:r>
      <w:r w:rsidR="000D770B">
        <w:rPr>
          <w:rFonts w:ascii="Times New Roman" w:hAnsi="Times New Roman"/>
          <w:sz w:val="24"/>
          <w:szCs w:val="24"/>
        </w:rPr>
        <w:t xml:space="preserve">for </w:t>
      </w:r>
      <w:r w:rsidRPr="002D0287">
        <w:rPr>
          <w:rFonts w:ascii="Times New Roman" w:hAnsi="Times New Roman"/>
          <w:sz w:val="24"/>
          <w:szCs w:val="24"/>
        </w:rPr>
        <w:t>quality co</w:t>
      </w:r>
      <w:r w:rsidR="007025AC">
        <w:rPr>
          <w:rFonts w:ascii="Times New Roman" w:hAnsi="Times New Roman"/>
          <w:sz w:val="24"/>
          <w:szCs w:val="24"/>
        </w:rPr>
        <w:t xml:space="preserve">ntrol of protein therapeutics. </w:t>
      </w:r>
      <w:r w:rsidRPr="002D0287">
        <w:rPr>
          <w:rFonts w:ascii="Times New Roman" w:hAnsi="Times New Roman"/>
          <w:sz w:val="24"/>
          <w:szCs w:val="24"/>
        </w:rPr>
        <w:t>Vibrational spectroscopy has been highlighted as a technique that can easily be modified for rapid analysis of the glycation state of proteins</w:t>
      </w:r>
      <w:r w:rsidR="000D770B">
        <w:rPr>
          <w:rFonts w:ascii="Times New Roman" w:hAnsi="Times New Roman"/>
          <w:sz w:val="24"/>
          <w:szCs w:val="24"/>
        </w:rPr>
        <w:t>, and requires minimal sample preparation</w:t>
      </w:r>
      <w:r w:rsidRPr="002D0287">
        <w:rPr>
          <w:rFonts w:ascii="Times New Roman" w:hAnsi="Times New Roman"/>
          <w:sz w:val="24"/>
          <w:szCs w:val="24"/>
        </w:rPr>
        <w:t xml:space="preserve">. Glycated samples of lysozyme and albumin were </w:t>
      </w:r>
      <w:r w:rsidR="00A71FAF">
        <w:rPr>
          <w:rFonts w:ascii="Times New Roman" w:hAnsi="Times New Roman"/>
          <w:sz w:val="24"/>
          <w:szCs w:val="24"/>
        </w:rPr>
        <w:t>synthesised</w:t>
      </w:r>
      <w:r w:rsidRPr="002D0287">
        <w:rPr>
          <w:rFonts w:ascii="Times New Roman" w:hAnsi="Times New Roman"/>
          <w:sz w:val="24"/>
          <w:szCs w:val="24"/>
        </w:rPr>
        <w:t xml:space="preserve"> by incubation with 0.5 M glucose for 30 days. Here we show that both FTIR-ATR and Raman spectroscopy are able to distinguish between glycated and non-glycated proteins. Principal component analysis (PCA) was used to </w:t>
      </w:r>
      <w:r w:rsidR="000D770B">
        <w:rPr>
          <w:rFonts w:ascii="Times New Roman" w:hAnsi="Times New Roman"/>
          <w:sz w:val="24"/>
          <w:szCs w:val="24"/>
        </w:rPr>
        <w:t xml:space="preserve">show </w:t>
      </w:r>
      <w:r w:rsidR="000D770B" w:rsidRPr="002D0287">
        <w:rPr>
          <w:rFonts w:ascii="Times New Roman" w:hAnsi="Times New Roman"/>
          <w:sz w:val="24"/>
          <w:szCs w:val="24"/>
        </w:rPr>
        <w:t>separat</w:t>
      </w:r>
      <w:r w:rsidR="000D770B">
        <w:rPr>
          <w:rFonts w:ascii="Times New Roman" w:hAnsi="Times New Roman"/>
          <w:sz w:val="24"/>
          <w:szCs w:val="24"/>
        </w:rPr>
        <w:t>ion</w:t>
      </w:r>
      <w:r w:rsidR="000D770B" w:rsidRPr="002D0287">
        <w:rPr>
          <w:rFonts w:ascii="Times New Roman" w:hAnsi="Times New Roman"/>
          <w:sz w:val="24"/>
          <w:szCs w:val="24"/>
        </w:rPr>
        <w:t xml:space="preserve"> </w:t>
      </w:r>
      <w:r w:rsidR="000D770B">
        <w:rPr>
          <w:rFonts w:ascii="Times New Roman" w:hAnsi="Times New Roman"/>
          <w:sz w:val="24"/>
          <w:szCs w:val="24"/>
        </w:rPr>
        <w:t xml:space="preserve">between </w:t>
      </w:r>
      <w:r w:rsidR="00EE12E9">
        <w:rPr>
          <w:rFonts w:ascii="Times New Roman" w:hAnsi="Times New Roman"/>
          <w:sz w:val="24"/>
          <w:szCs w:val="24"/>
        </w:rPr>
        <w:t>control and glycated sample</w:t>
      </w:r>
      <w:r w:rsidR="007025AC">
        <w:rPr>
          <w:rFonts w:ascii="Times New Roman" w:hAnsi="Times New Roman"/>
          <w:sz w:val="24"/>
          <w:szCs w:val="24"/>
        </w:rPr>
        <w:t>s</w:t>
      </w:r>
      <w:r w:rsidR="00C53F2A">
        <w:rPr>
          <w:rFonts w:ascii="Times New Roman" w:hAnsi="Times New Roman"/>
          <w:sz w:val="24"/>
          <w:szCs w:val="24"/>
        </w:rPr>
        <w:t xml:space="preserve">. </w:t>
      </w:r>
      <w:r w:rsidR="007025AC">
        <w:rPr>
          <w:rFonts w:ascii="Times New Roman" w:hAnsi="Times New Roman"/>
          <w:sz w:val="24"/>
          <w:szCs w:val="24"/>
        </w:rPr>
        <w:t>Loadings plots found</w:t>
      </w:r>
      <w:r w:rsidR="00EE12E9">
        <w:rPr>
          <w:rFonts w:ascii="Times New Roman" w:hAnsi="Times New Roman"/>
          <w:sz w:val="24"/>
          <w:szCs w:val="24"/>
        </w:rPr>
        <w:t xml:space="preserve"> </w:t>
      </w:r>
      <w:r w:rsidR="00D163B1">
        <w:rPr>
          <w:rFonts w:ascii="Times New Roman" w:hAnsi="Times New Roman"/>
          <w:sz w:val="24"/>
          <w:szCs w:val="24"/>
        </w:rPr>
        <w:t>specific</w:t>
      </w:r>
      <w:r w:rsidR="00EE12E9">
        <w:rPr>
          <w:rFonts w:ascii="Times New Roman" w:hAnsi="Times New Roman"/>
          <w:sz w:val="24"/>
          <w:szCs w:val="24"/>
        </w:rPr>
        <w:t xml:space="preserve"> peaks that </w:t>
      </w:r>
      <w:r w:rsidR="00D163B1">
        <w:rPr>
          <w:rFonts w:ascii="Times New Roman" w:hAnsi="Times New Roman"/>
          <w:sz w:val="24"/>
          <w:szCs w:val="24"/>
        </w:rPr>
        <w:t>accounted</w:t>
      </w:r>
      <w:r w:rsidR="00EE12E9">
        <w:rPr>
          <w:rFonts w:ascii="Times New Roman" w:hAnsi="Times New Roman"/>
          <w:sz w:val="24"/>
          <w:szCs w:val="24"/>
        </w:rPr>
        <w:t xml:space="preserve"> for the variation</w:t>
      </w:r>
      <w:r w:rsidR="00C53F2A">
        <w:rPr>
          <w:rFonts w:ascii="Times New Roman" w:hAnsi="Times New Roman"/>
          <w:sz w:val="24"/>
          <w:szCs w:val="24"/>
        </w:rPr>
        <w:t xml:space="preserve"> -</w:t>
      </w:r>
      <w:r w:rsidR="00D163B1">
        <w:rPr>
          <w:rFonts w:ascii="Times New Roman" w:hAnsi="Times New Roman"/>
          <w:sz w:val="24"/>
          <w:szCs w:val="24"/>
        </w:rPr>
        <w:t xml:space="preserve"> </w:t>
      </w:r>
      <w:r w:rsidR="00C53F2A">
        <w:rPr>
          <w:rFonts w:ascii="Times New Roman" w:hAnsi="Times New Roman"/>
          <w:sz w:val="24"/>
          <w:szCs w:val="24"/>
        </w:rPr>
        <w:t>notably</w:t>
      </w:r>
      <w:r w:rsidR="00EE12E9">
        <w:rPr>
          <w:rFonts w:ascii="Times New Roman" w:hAnsi="Times New Roman"/>
          <w:sz w:val="24"/>
          <w:szCs w:val="24"/>
        </w:rPr>
        <w:t xml:space="preserve"> a peak</w:t>
      </w:r>
      <w:r w:rsidR="00D163B1">
        <w:rPr>
          <w:rFonts w:ascii="Times New Roman" w:hAnsi="Times New Roman"/>
          <w:sz w:val="24"/>
          <w:szCs w:val="24"/>
        </w:rPr>
        <w:t xml:space="preserve"> </w:t>
      </w:r>
      <w:r w:rsidR="00EE12E9">
        <w:rPr>
          <w:rFonts w:ascii="Times New Roman" w:hAnsi="Times New Roman"/>
          <w:sz w:val="24"/>
          <w:szCs w:val="24"/>
        </w:rPr>
        <w:t>at 1027 cm</w:t>
      </w:r>
      <w:r w:rsidR="00EE12E9" w:rsidRPr="00D163B1">
        <w:rPr>
          <w:rFonts w:ascii="Times New Roman" w:hAnsi="Times New Roman"/>
          <w:sz w:val="24"/>
          <w:szCs w:val="24"/>
          <w:vertAlign w:val="superscript"/>
        </w:rPr>
        <w:t>-1</w:t>
      </w:r>
      <w:r w:rsidR="00C53F2A">
        <w:rPr>
          <w:rFonts w:ascii="Times New Roman" w:hAnsi="Times New Roman"/>
          <w:sz w:val="24"/>
          <w:szCs w:val="24"/>
        </w:rPr>
        <w:t xml:space="preserve"> for FTIR-ATR.</w:t>
      </w:r>
      <w:r w:rsidR="00EE12E9">
        <w:rPr>
          <w:rFonts w:ascii="Times New Roman" w:hAnsi="Times New Roman"/>
          <w:sz w:val="24"/>
          <w:szCs w:val="24"/>
        </w:rPr>
        <w:t xml:space="preserve"> In Raman </w:t>
      </w:r>
      <w:r w:rsidR="00D163B1">
        <w:rPr>
          <w:rFonts w:ascii="Times New Roman" w:hAnsi="Times New Roman"/>
          <w:sz w:val="24"/>
          <w:szCs w:val="24"/>
        </w:rPr>
        <w:t>spectroscopy</w:t>
      </w:r>
      <w:r w:rsidR="00C53F2A">
        <w:rPr>
          <w:rFonts w:ascii="Times New Roman" w:hAnsi="Times New Roman"/>
          <w:sz w:val="24"/>
          <w:szCs w:val="24"/>
        </w:rPr>
        <w:t>,</w:t>
      </w:r>
      <w:r w:rsidR="00D163B1">
        <w:rPr>
          <w:rFonts w:ascii="Times New Roman" w:hAnsi="Times New Roman"/>
          <w:sz w:val="24"/>
          <w:szCs w:val="24"/>
        </w:rPr>
        <w:t xml:space="preserve"> PCA emphasised peaks at 1040 cm</w:t>
      </w:r>
      <w:r w:rsidR="00D163B1" w:rsidRPr="00D163B1">
        <w:rPr>
          <w:rFonts w:ascii="Times New Roman" w:hAnsi="Times New Roman"/>
          <w:sz w:val="24"/>
          <w:szCs w:val="24"/>
          <w:vertAlign w:val="superscript"/>
        </w:rPr>
        <w:t>-1</w:t>
      </w:r>
      <w:r w:rsidR="00D163B1">
        <w:rPr>
          <w:rFonts w:ascii="Times New Roman" w:hAnsi="Times New Roman"/>
          <w:sz w:val="24"/>
          <w:szCs w:val="24"/>
        </w:rPr>
        <w:t xml:space="preserve"> and 1121 cm</w:t>
      </w:r>
      <w:r w:rsidR="00D163B1" w:rsidRPr="00D163B1">
        <w:rPr>
          <w:rFonts w:ascii="Times New Roman" w:hAnsi="Times New Roman"/>
          <w:sz w:val="24"/>
          <w:szCs w:val="24"/>
          <w:vertAlign w:val="superscript"/>
        </w:rPr>
        <w:t>-1</w:t>
      </w:r>
      <w:r w:rsidR="00D163B1">
        <w:rPr>
          <w:rFonts w:ascii="Times New Roman" w:hAnsi="Times New Roman"/>
          <w:sz w:val="24"/>
          <w:szCs w:val="24"/>
        </w:rPr>
        <w:t>. Therefore,</w:t>
      </w:r>
      <w:r w:rsidRPr="002D0287">
        <w:rPr>
          <w:rFonts w:ascii="Times New Roman" w:hAnsi="Times New Roman"/>
          <w:sz w:val="24"/>
          <w:szCs w:val="24"/>
        </w:rPr>
        <w:t xml:space="preserve"> </w:t>
      </w:r>
      <w:r w:rsidR="00D163B1">
        <w:rPr>
          <w:rFonts w:ascii="Times New Roman" w:hAnsi="Times New Roman"/>
          <w:sz w:val="24"/>
          <w:szCs w:val="24"/>
        </w:rPr>
        <w:t>b</w:t>
      </w:r>
      <w:r w:rsidR="00D163B1" w:rsidRPr="002D0287">
        <w:rPr>
          <w:rFonts w:ascii="Times New Roman" w:hAnsi="Times New Roman"/>
          <w:sz w:val="24"/>
          <w:szCs w:val="24"/>
        </w:rPr>
        <w:t>oth FTIR-ATR and Raman</w:t>
      </w:r>
      <w:r w:rsidR="00D163B1">
        <w:rPr>
          <w:rFonts w:ascii="Times New Roman" w:hAnsi="Times New Roman"/>
          <w:sz w:val="24"/>
          <w:szCs w:val="24"/>
        </w:rPr>
        <w:t xml:space="preserve"> spectroscopy</w:t>
      </w:r>
      <w:r w:rsidR="00D163B1" w:rsidRPr="002D0287">
        <w:rPr>
          <w:rFonts w:ascii="Times New Roman" w:hAnsi="Times New Roman"/>
          <w:sz w:val="24"/>
          <w:szCs w:val="24"/>
        </w:rPr>
        <w:t xml:space="preserve"> found changes in peak intensit</w:t>
      </w:r>
      <w:r w:rsidR="00D163B1">
        <w:rPr>
          <w:rFonts w:ascii="Times New Roman" w:hAnsi="Times New Roman"/>
          <w:sz w:val="24"/>
          <w:szCs w:val="24"/>
        </w:rPr>
        <w:t>ies</w:t>
      </w:r>
      <w:r w:rsidR="00F26C82">
        <w:rPr>
          <w:rFonts w:ascii="Times New Roman" w:hAnsi="Times New Roman"/>
          <w:sz w:val="24"/>
          <w:szCs w:val="24"/>
        </w:rPr>
        <w:t xml:space="preserve"> and wavenumbers</w:t>
      </w:r>
      <w:r w:rsidR="00D163B1" w:rsidRPr="002D0287">
        <w:rPr>
          <w:rFonts w:ascii="Times New Roman" w:hAnsi="Times New Roman"/>
          <w:sz w:val="24"/>
          <w:szCs w:val="24"/>
        </w:rPr>
        <w:t xml:space="preserve"> within the sugar C-O/C-C</w:t>
      </w:r>
      <w:r w:rsidR="00D163B1">
        <w:rPr>
          <w:rFonts w:ascii="Times New Roman" w:hAnsi="Times New Roman"/>
          <w:sz w:val="24"/>
          <w:szCs w:val="24"/>
        </w:rPr>
        <w:t>/C-N</w:t>
      </w:r>
      <w:r w:rsidR="00D163B1" w:rsidRPr="002D0287">
        <w:rPr>
          <w:rFonts w:ascii="Times New Roman" w:hAnsi="Times New Roman"/>
          <w:sz w:val="24"/>
          <w:szCs w:val="24"/>
        </w:rPr>
        <w:t xml:space="preserve"> region </w:t>
      </w:r>
      <w:r w:rsidR="00D163B1">
        <w:rPr>
          <w:rFonts w:ascii="Times New Roman" w:hAnsi="Times New Roman"/>
          <w:sz w:val="24"/>
          <w:szCs w:val="24"/>
        </w:rPr>
        <w:t>(</w:t>
      </w:r>
      <w:r w:rsidR="00D163B1" w:rsidRPr="002D0287">
        <w:rPr>
          <w:rFonts w:ascii="Times New Roman" w:hAnsi="Times New Roman"/>
          <w:sz w:val="24"/>
          <w:szCs w:val="24"/>
        </w:rPr>
        <w:t>1200-800 cm</w:t>
      </w:r>
      <w:r w:rsidR="00D163B1" w:rsidRPr="002D0287">
        <w:rPr>
          <w:rFonts w:ascii="Times New Roman" w:hAnsi="Times New Roman"/>
          <w:sz w:val="24"/>
          <w:szCs w:val="24"/>
          <w:vertAlign w:val="superscript"/>
        </w:rPr>
        <w:t>-1</w:t>
      </w:r>
      <w:r w:rsidR="00D163B1">
        <w:rPr>
          <w:rFonts w:ascii="Times New Roman" w:hAnsi="Times New Roman"/>
          <w:sz w:val="24"/>
          <w:szCs w:val="24"/>
        </w:rPr>
        <w:t>)</w:t>
      </w:r>
      <w:r w:rsidR="00D163B1" w:rsidRPr="002D0287">
        <w:rPr>
          <w:rFonts w:ascii="Times New Roman" w:hAnsi="Times New Roman"/>
          <w:sz w:val="24"/>
          <w:szCs w:val="24"/>
        </w:rPr>
        <w:t>.</w:t>
      </w:r>
      <w:r w:rsidR="00D163B1">
        <w:rPr>
          <w:rFonts w:ascii="Times New Roman" w:hAnsi="Times New Roman"/>
          <w:sz w:val="24"/>
          <w:szCs w:val="24"/>
        </w:rPr>
        <w:t xml:space="preserve"> </w:t>
      </w:r>
      <w:r w:rsidR="000D770B">
        <w:rPr>
          <w:rFonts w:ascii="Times New Roman" w:hAnsi="Times New Roman"/>
          <w:sz w:val="24"/>
          <w:szCs w:val="24"/>
        </w:rPr>
        <w:t>For quantification of the level of glycation of lysozyme</w:t>
      </w:r>
      <w:r w:rsidR="00C53F2A">
        <w:rPr>
          <w:rFonts w:ascii="Times New Roman" w:hAnsi="Times New Roman"/>
          <w:sz w:val="24"/>
          <w:szCs w:val="24"/>
        </w:rPr>
        <w:t>,</w:t>
      </w:r>
      <w:r w:rsidR="000D770B">
        <w:rPr>
          <w:rFonts w:ascii="Times New Roman" w:hAnsi="Times New Roman"/>
          <w:sz w:val="24"/>
          <w:szCs w:val="24"/>
        </w:rPr>
        <w:t xml:space="preserve"> partial least squares regression (</w:t>
      </w:r>
      <w:commentRangeStart w:id="0"/>
      <w:r w:rsidR="000D770B">
        <w:rPr>
          <w:rFonts w:ascii="Times New Roman" w:hAnsi="Times New Roman"/>
          <w:sz w:val="24"/>
          <w:szCs w:val="24"/>
        </w:rPr>
        <w:t>PLSR</w:t>
      </w:r>
      <w:commentRangeEnd w:id="0"/>
      <w:r w:rsidR="00FD687B">
        <w:rPr>
          <w:rStyle w:val="CommentReference"/>
          <w:rFonts w:ascii="Times" w:hAnsi="Times"/>
          <w:kern w:val="0"/>
        </w:rPr>
        <w:commentReference w:id="0"/>
      </w:r>
      <w:r w:rsidR="000D770B">
        <w:rPr>
          <w:rFonts w:ascii="Times New Roman" w:hAnsi="Times New Roman"/>
          <w:sz w:val="24"/>
          <w:szCs w:val="24"/>
        </w:rPr>
        <w:t xml:space="preserve">) was employed to analyse </w:t>
      </w:r>
      <w:r w:rsidRPr="002D0287">
        <w:rPr>
          <w:rFonts w:ascii="Times New Roman" w:hAnsi="Times New Roman"/>
          <w:sz w:val="24"/>
          <w:szCs w:val="24"/>
        </w:rPr>
        <w:t xml:space="preserve">Raman </w:t>
      </w:r>
      <w:r w:rsidR="000D770B">
        <w:rPr>
          <w:rFonts w:ascii="Times New Roman" w:hAnsi="Times New Roman"/>
          <w:sz w:val="24"/>
          <w:szCs w:val="24"/>
        </w:rPr>
        <w:t xml:space="preserve">spectra from solution </w:t>
      </w:r>
      <w:r w:rsidRPr="002D0287">
        <w:rPr>
          <w:rFonts w:ascii="Times New Roman" w:hAnsi="Times New Roman"/>
          <w:sz w:val="24"/>
          <w:szCs w:val="24"/>
        </w:rPr>
        <w:t xml:space="preserve">samples </w:t>
      </w:r>
      <w:r w:rsidR="000D770B">
        <w:rPr>
          <w:rFonts w:ascii="Times New Roman" w:hAnsi="Times New Roman"/>
          <w:sz w:val="24"/>
          <w:szCs w:val="24"/>
        </w:rPr>
        <w:t xml:space="preserve">containing </w:t>
      </w:r>
      <w:r w:rsidRPr="002D0287">
        <w:rPr>
          <w:rFonts w:ascii="Times New Roman" w:hAnsi="Times New Roman"/>
          <w:sz w:val="24"/>
          <w:szCs w:val="24"/>
        </w:rPr>
        <w:t>0 – 100% glycated</w:t>
      </w:r>
      <w:r w:rsidR="000D770B">
        <w:rPr>
          <w:rFonts w:ascii="Times New Roman" w:hAnsi="Times New Roman"/>
          <w:sz w:val="24"/>
          <w:szCs w:val="24"/>
        </w:rPr>
        <w:t xml:space="preserve"> lysozyme</w:t>
      </w:r>
      <w:r w:rsidR="00C53F2A">
        <w:rPr>
          <w:rFonts w:ascii="Times New Roman" w:hAnsi="Times New Roman"/>
          <w:sz w:val="24"/>
          <w:szCs w:val="24"/>
        </w:rPr>
        <w:t>,</w:t>
      </w:r>
      <w:r w:rsidR="006F0BDB">
        <w:rPr>
          <w:rFonts w:ascii="Times New Roman" w:hAnsi="Times New Roman"/>
          <w:sz w:val="24"/>
          <w:szCs w:val="24"/>
        </w:rPr>
        <w:t xml:space="preserve"> generating a robust model with </w:t>
      </w:r>
      <w:r w:rsidR="006F0BDB" w:rsidRPr="00D163B1">
        <w:rPr>
          <w:rFonts w:ascii="Times New Roman" w:hAnsi="Times New Roman"/>
          <w:i/>
          <w:sz w:val="24"/>
          <w:szCs w:val="24"/>
        </w:rPr>
        <w:t>R</w:t>
      </w:r>
      <w:r w:rsidR="006F0BDB" w:rsidRPr="00D163B1">
        <w:rPr>
          <w:rFonts w:ascii="Times New Roman" w:hAnsi="Times New Roman"/>
          <w:sz w:val="24"/>
          <w:szCs w:val="24"/>
          <w:vertAlign w:val="superscript"/>
        </w:rPr>
        <w:t>2</w:t>
      </w:r>
      <w:r w:rsidR="006F0BDB">
        <w:rPr>
          <w:rFonts w:ascii="Times New Roman" w:hAnsi="Times New Roman"/>
          <w:sz w:val="24"/>
          <w:szCs w:val="24"/>
        </w:rPr>
        <w:t xml:space="preserve"> of</w:t>
      </w:r>
      <w:r w:rsidR="00D163B1">
        <w:rPr>
          <w:rFonts w:ascii="Times New Roman" w:hAnsi="Times New Roman"/>
          <w:sz w:val="24"/>
          <w:szCs w:val="24"/>
        </w:rPr>
        <w:t xml:space="preserve"> 0.99</w:t>
      </w:r>
      <w:r w:rsidRPr="002D0287">
        <w:rPr>
          <w:rFonts w:ascii="Times New Roman" w:hAnsi="Times New Roman"/>
          <w:sz w:val="24"/>
          <w:szCs w:val="24"/>
        </w:rPr>
        <w:t>. We therefore show the scope and potential of Raman spectroscopy as a high throughput quantification method for glycated proteins in solution that could be applied in disease diagnostics, as well as therapeutic protein quality control.</w:t>
      </w:r>
    </w:p>
    <w:p w14:paraId="405A0EC5" w14:textId="77777777" w:rsidR="002714A0" w:rsidRDefault="002714A0" w:rsidP="002714A0">
      <w:pPr>
        <w:autoSpaceDN/>
        <w:spacing w:line="276" w:lineRule="auto"/>
        <w:jc w:val="left"/>
        <w:textAlignment w:val="auto"/>
        <w:rPr>
          <w:rFonts w:ascii="Times New Roman" w:hAnsi="Times New Roman"/>
          <w:szCs w:val="24"/>
        </w:rPr>
      </w:pPr>
    </w:p>
    <w:p w14:paraId="59F56A64" w14:textId="77777777" w:rsidR="002714A0" w:rsidRDefault="002714A0" w:rsidP="002714A0">
      <w:pPr>
        <w:autoSpaceDN/>
        <w:spacing w:line="276" w:lineRule="auto"/>
        <w:jc w:val="left"/>
        <w:textAlignment w:val="auto"/>
        <w:rPr>
          <w:rFonts w:ascii="Times New Roman" w:hAnsi="Times New Roman"/>
          <w:szCs w:val="24"/>
        </w:rPr>
      </w:pPr>
    </w:p>
    <w:p w14:paraId="09CC7AEA" w14:textId="77777777" w:rsidR="002714A0" w:rsidRDefault="002714A0" w:rsidP="002714A0">
      <w:pPr>
        <w:autoSpaceDN/>
        <w:spacing w:line="276" w:lineRule="auto"/>
        <w:jc w:val="left"/>
        <w:textAlignment w:val="auto"/>
        <w:rPr>
          <w:rFonts w:ascii="Times New Roman" w:hAnsi="Times New Roman"/>
          <w:szCs w:val="24"/>
        </w:rPr>
      </w:pPr>
    </w:p>
    <w:p w14:paraId="04941297" w14:textId="77777777" w:rsidR="002714A0" w:rsidRDefault="002714A0" w:rsidP="002714A0">
      <w:pPr>
        <w:autoSpaceDN/>
        <w:spacing w:line="276" w:lineRule="auto"/>
        <w:jc w:val="left"/>
        <w:textAlignment w:val="auto"/>
        <w:rPr>
          <w:rFonts w:ascii="Times New Roman" w:hAnsi="Times New Roman"/>
          <w:szCs w:val="24"/>
        </w:rPr>
      </w:pPr>
    </w:p>
    <w:p w14:paraId="7DAC3500" w14:textId="50895A4D" w:rsidR="000D770B" w:rsidRPr="002714A0" w:rsidRDefault="000D770B" w:rsidP="002714A0">
      <w:pPr>
        <w:autoSpaceDN/>
        <w:spacing w:line="276" w:lineRule="auto"/>
        <w:jc w:val="left"/>
        <w:textAlignment w:val="auto"/>
        <w:rPr>
          <w:rFonts w:ascii="Times New Roman" w:hAnsi="Times New Roman"/>
          <w:szCs w:val="24"/>
        </w:rPr>
      </w:pPr>
      <w:r w:rsidRPr="006F5D32">
        <w:rPr>
          <w:rFonts w:ascii="Times New Roman" w:hAnsi="Times New Roman"/>
          <w:b/>
          <w:szCs w:val="24"/>
        </w:rPr>
        <w:t>I</w:t>
      </w:r>
      <w:r w:rsidR="006F5D32" w:rsidRPr="006F5D32">
        <w:rPr>
          <w:rFonts w:ascii="Times New Roman" w:hAnsi="Times New Roman"/>
          <w:b/>
          <w:szCs w:val="24"/>
        </w:rPr>
        <w:t>ntroduction</w:t>
      </w:r>
    </w:p>
    <w:p w14:paraId="71CD3EE0" w14:textId="209A3DA1" w:rsidR="00D77AC7" w:rsidRDefault="00E539EF" w:rsidP="00D8173B">
      <w:pPr>
        <w:spacing w:line="480" w:lineRule="auto"/>
        <w:rPr>
          <w:rFonts w:ascii="Times New Roman" w:hAnsi="Times New Roman"/>
          <w:szCs w:val="24"/>
        </w:rPr>
      </w:pPr>
      <w:r w:rsidRPr="00D8173B">
        <w:rPr>
          <w:rFonts w:ascii="Times New Roman" w:hAnsi="Times New Roman"/>
          <w:szCs w:val="24"/>
        </w:rPr>
        <w:lastRenderedPageBreak/>
        <w:t>Glycation describes a</w:t>
      </w:r>
      <w:r w:rsidR="00D77AC7" w:rsidRPr="00D8173B">
        <w:rPr>
          <w:rFonts w:ascii="Times New Roman" w:hAnsi="Times New Roman"/>
          <w:szCs w:val="24"/>
        </w:rPr>
        <w:t xml:space="preserve"> </w:t>
      </w:r>
      <w:r w:rsidRPr="00D8173B">
        <w:rPr>
          <w:rFonts w:ascii="Times New Roman" w:hAnsi="Times New Roman"/>
          <w:szCs w:val="24"/>
        </w:rPr>
        <w:t xml:space="preserve">process by which glucose, or a similar </w:t>
      </w:r>
      <w:r w:rsidR="00326B2B" w:rsidRPr="00D8173B">
        <w:rPr>
          <w:rFonts w:ascii="Times New Roman" w:hAnsi="Times New Roman"/>
          <w:szCs w:val="24"/>
        </w:rPr>
        <w:t>sugar</w:t>
      </w:r>
      <w:r w:rsidRPr="00D8173B">
        <w:rPr>
          <w:rFonts w:ascii="Times New Roman" w:hAnsi="Times New Roman"/>
          <w:szCs w:val="24"/>
        </w:rPr>
        <w:t xml:space="preserve"> molecule, cova</w:t>
      </w:r>
      <w:r w:rsidR="00326B2B">
        <w:rPr>
          <w:rFonts w:ascii="Times New Roman" w:hAnsi="Times New Roman"/>
          <w:szCs w:val="24"/>
        </w:rPr>
        <w:t>lentl</w:t>
      </w:r>
      <w:r w:rsidRPr="00D8173B">
        <w:rPr>
          <w:rFonts w:ascii="Times New Roman" w:hAnsi="Times New Roman"/>
          <w:szCs w:val="24"/>
        </w:rPr>
        <w:t>y binds to a protein in a n</w:t>
      </w:r>
      <w:r w:rsidR="00326B2B">
        <w:rPr>
          <w:rFonts w:ascii="Times New Roman" w:hAnsi="Times New Roman"/>
          <w:szCs w:val="24"/>
        </w:rPr>
        <w:t>o</w:t>
      </w:r>
      <w:r w:rsidRPr="00D8173B">
        <w:rPr>
          <w:rFonts w:ascii="Times New Roman" w:hAnsi="Times New Roman"/>
          <w:szCs w:val="24"/>
        </w:rPr>
        <w:t xml:space="preserve">n-enzymatic reaction. </w:t>
      </w:r>
      <w:r w:rsidR="00D77AC7" w:rsidRPr="00D8173B">
        <w:rPr>
          <w:rFonts w:ascii="Times New Roman" w:hAnsi="Times New Roman"/>
          <w:szCs w:val="24"/>
        </w:rPr>
        <w:t>This reaction</w:t>
      </w:r>
      <w:r w:rsidR="00791AB5">
        <w:rPr>
          <w:rFonts w:ascii="Times New Roman" w:hAnsi="Times New Roman"/>
          <w:szCs w:val="24"/>
        </w:rPr>
        <w:t>,</w:t>
      </w:r>
      <w:r w:rsidR="00326B2B">
        <w:rPr>
          <w:rFonts w:ascii="Times New Roman" w:hAnsi="Times New Roman"/>
          <w:szCs w:val="24"/>
        </w:rPr>
        <w:t xml:space="preserve"> first described by Maillard</w:t>
      </w:r>
      <w:r w:rsidR="00791AB5">
        <w:rPr>
          <w:rFonts w:ascii="Times New Roman" w:hAnsi="Times New Roman"/>
          <w:szCs w:val="24"/>
        </w:rPr>
        <w:t xml:space="preserve"> in 1912,</w:t>
      </w:r>
      <w:r w:rsidR="00D77AC7" w:rsidRPr="00D8173B">
        <w:rPr>
          <w:rFonts w:ascii="Times New Roman" w:hAnsi="Times New Roman"/>
          <w:szCs w:val="24"/>
        </w:rPr>
        <w:t xml:space="preserve"> is</w:t>
      </w:r>
      <w:r w:rsidR="00D8173B" w:rsidRPr="00D8173B">
        <w:rPr>
          <w:rFonts w:ascii="Times New Roman" w:hAnsi="Times New Roman"/>
          <w:szCs w:val="24"/>
        </w:rPr>
        <w:t xml:space="preserve"> known to </w:t>
      </w:r>
      <w:r w:rsidR="00922071">
        <w:rPr>
          <w:rFonts w:ascii="Times New Roman" w:hAnsi="Times New Roman"/>
          <w:szCs w:val="24"/>
        </w:rPr>
        <w:t>result in irreversible products causing</w:t>
      </w:r>
      <w:r w:rsidR="00D77AC7" w:rsidRPr="00D8173B">
        <w:rPr>
          <w:rFonts w:ascii="Times New Roman" w:hAnsi="Times New Roman"/>
          <w:szCs w:val="24"/>
        </w:rPr>
        <w:t xml:space="preserve"> biophysical and structural changes in proteins.</w:t>
      </w:r>
      <w:r w:rsidR="00B706BC">
        <w:rPr>
          <w:rFonts w:ascii="Times New Roman" w:hAnsi="Times New Roman"/>
          <w:szCs w:val="24"/>
        </w:rPr>
        <w:fldChar w:fldCharType="begin" w:fldLock="1"/>
      </w:r>
      <w:r w:rsidR="005F5B55">
        <w:rPr>
          <w:rFonts w:ascii="Times New Roman" w:hAnsi="Times New Roman"/>
          <w:szCs w:val="24"/>
        </w:rPr>
        <w:instrText>ADDIN CSL_CITATION {"citationItems":[{"id":"ITEM-1","itemData":{"author":[{"dropping-particle":"","family":"Maillard","given":"L.C.","non-dropping-particle":"","parse-names":false,"suffix":""}],"container-title":"C. R. Hebd. Séances Acad. Sci.","id":"ITEM-1","issued":{"date-parts":[["1912","1","1"]]},"title":"Action des acides aminés sur les sucres: formation des mélanoïdines par voie méthodique","type":"article-journal"},"uris":["http://www.mendeley.com/documents/?uuid=4ba295d4-98f5-38b2-8429-5251942fa0d2"]},{"id":"ITEM-2","itemData":{"DOI":"10.1177/112067219600600211","ISSN":"1120-6721","abstract":"PurposeProtein glycation may be involved in cataract development, by altering protein structure, particularly amino acid composition, and formation of fluorophores through a Maillard reaction. This...","author":[{"dropping-particle":"","family":"Ramalho","given":"J.S.","non-dropping-particle":"","parse-names":false,"suffix":""},{"dropping-particle":"","family":"Marques","given":"C.","non-dropping-particle":"","parse-names":false,"suffix":""},{"dropping-particle":"","family":"Pereira","given":"P.C.","non-dropping-particle":"","parse-names":false,"suffix":""},{"dropping-particle":"","family":"Mota","given":"M.C.","non-dropping-particle":"","parse-names":false,"suffix":""}],"container-title":"European Journal of Ophthalmology","id":"ITEM-2","issue":"2","issued":{"date-parts":[["1996","4","16"]]},"page":"155-161","publisher":"SAGE PublicationsSage UK: London, England","title":"Role of Glycation in Human Lens Protein Structure Change","type":"article-journal","volume":"6"},"uris":["http://www.mendeley.com/documents/?uuid=ca7d43e2-8c32-3967-866f-df75629d466c"]},{"id":"ITEM-3","itemData":{"DOI":"10.3389/fmolb.2014.00009","ISSN":"2296-889X","abstract":"Amyloids are a class of insoluble proteinaceous substances generally composed of linear un-branched fibrils that are formed from misfolded proteins. Conformational diseases such as Alzheimer’s disease, transmissible spongiform encephalopathies, and familial amyloidosis are associated with the presence of amyloid aggregates in the affected tissues. The majority of the cases are sporadic, suggesting that several factors must contribute to the onset and progression of these disorders. Among them, in the past ten years, non enzymatic glycation of proteins has been reported to stimulate protein aggregation and amyloid deposition. In this review, we analyze the most recent advances in this field suggesting that the effects induced by glycation may not be generalized as strongly depending on the protein structure. Indeed, being a post-translational modification, glycation could differentially affects the aggregation process in promoting, accelerating and/or stabilizing on-pathway and off-pathway species.","author":[{"dropping-particle":"","family":"Iannuzzi","given":"Clara","non-dropping-particle":"","parse-names":false,"suffix":""},{"dropping-particle":"","family":"Irace","given":"Gaetano","non-dropping-particle":"","parse-names":false,"suffix":""},{"dropping-particle":"","family":"Sirangelo","given":"Ivana","non-dropping-particle":"","parse-names":false,"suffix":""}],"container-title":"Frontiers in Molecular Biosciences","id":"ITEM-3","issued":{"date-parts":[["2014","9","2"]]},"page":"9","publisher":"Frontiers","title":"Differential effects of glycation on protein aggregation and amyloid formation","type":"article-journal","volume":"1"},"uris":["http://www.mendeley.com/documents/?uuid=4934e1b8-3cb2-37dd-869b-2ced46e768fd"]},{"id":"ITEM-4","itemData":{"DOI":"10.1002/iub.1318","abstract":"Advanced glycation end-products comprise a complex and heterogeneous group of compounds that have been implicated in diabetes-related complications. The importance of the Maillard reaction is depicted by the formation of reactive intermediate products known as a-oxoaldehydes, such as 3-deoxyglucosone (3-DG). This product has been found to be involved in accelerated vascular damage in diabetes. In the present study, calf thy-mus histone H2A was reacted with 3-DG, and the generation of advanced glycation end products was investigated by determining the degree of side chain modifications (lysine and arginine residues), Amadori products, carbonyl content, N e-carboxy-methyl lysine, and pentosidine using various physicochemical techniques. Moreover, fluorescence, absorbance as well as structural characteristics of glycated-H2A were comprehensively investigated. Overall, this study demonstrates structural perturbation , formation of different intermediates, and AGEs that are believed to hamper the normal functioning of H2A histone, compromising the integrity of chromatin structures and function in secondary complications of diabetes.","author":[{"dropping-particle":"","family":"Ashraf","given":"Jalaluddin M","non-dropping-particle":"","parse-names":false,"suffix":""},{"dropping-particle":"","family":"Ahmad","given":"Saheem","non-dropping-particle":"","parse-names":false,"suffix":""},{"dropping-particle":"","family":"Rabbani","given":"Gulam","non-dropping-particle":"","parse-names":false,"suffix":""},{"dropping-particle":"","family":"Tasleem Jan","given":"Arif","non-dropping-particle":"","parse-names":false,"suffix":""},{"dropping-particle":"","family":"Ju Lee","given":"Eun","non-dropping-particle":"","parse-names":false,"suffix":""},{"dropping-particle":"","family":"Hasan Khan","given":"Rizwan","non-dropping-particle":"","parse-names":false,"suffix":""},{"dropping-particle":"","family":"Choi","given":"Inho","non-dropping-particle":"","parse-names":false,"suffix":""}],"container-title":"IUBMB Life","id":"ITEM-4","issue":"10","issued":{"date-parts":[["2014"]]},"page":"686-693","title":"Research Communication Physicochemical Analysis of Structural Alteration and Advanced Glycation End Products Generation During Glycation of H2A Histone by 3-Deoxyglucosone","type":"article-journal","volume":"66"},"uris":["http://www.mendeley.com/documents/?uuid=08522902-b71e-35b4-bf38-94f0b16774c6"]},{"id":"ITEM-5","itemData":{"abstract":"W e have investigated the effect of nonenzymatic gly-cation (fructation) in vitro on the structure and stability of two proteins that are glycated in vivo as a consequence of high endogenous levels of sugar. W e find that whereas fructation leads to the structural destabilization of the monomeric y-crystallin from the core of the eye lens, it leads to an increase in stability in the multi-meric cy-crystallin of the lens cortex. Thus, while gly-cated y-crystallin shows (a) a longer wavelength of fluorescent emission, indicating a greater exposure of its aromatic side chains to the medium; (b) a reduced secondary structural content; and (c) a more facile dena-turation by thermodynamic and chemical means, a-crys-tallin displays the opposite behavior. Furthermore, a-crystallin shows an increased tendency toward multi-meric aggregation upon fructation. W e interpret these differences in the broad context of the effects of neutral-ization of positive charges on protein structure and stability. Fructation tends to destabilize y-crystallin, by effecting a significant reversal in the balance of charges in the protein, at physiological pH. a-Crystallin is a multi-meric protein whose PI is lower than its pH of optimum stability. Fructation in this case effectively neutralizes the cationic charges and promotes conformational order. This study indicates that although glycation brings about similar changes in the covalent chemical structures of proteins, its influence on the three-dimensional structures of different proteins can be different.","author":[{"dropping-particle":"","family":"Luthra","given":"Manni","non-dropping-particle":"","parse-names":false,"suffix":""},{"dropping-particle":"","family":"Balasubramanians","given":"Dorairajan","non-dropping-particle":"","parse-names":false,"suffix":""}],"container-title":"Journal of Biological Chemistry","id":"ITEM-5","issue":"24","issued":{"date-parts":[["1993"]]},"page":"18119-18127","title":"Nonenzymatic Glycation Alters Protein Structure and Stability. A study of two eye lens crystallins.","type":"article-journal","volume":"268"},"uris":["http://www.mendeley.com/documents/?uuid=bcd50968-cd10-32dd-b7c8-a59aed2e0116"]},{"id":"ITEM-6","itemData":{"DOI":"10.1371/journal.pone.0074336","ISSN":"1932-6203","PMID":"24066139","abstract":"Glycation causes severe damage to protein structure that could lead to amyloid formation in special cases. Here in this report, we have shown for the first time that hen egg white lysozyme (HEWL) does not undergo amyloid formation even after prolonged glycation in the presence of D-glucose, D-fructose and D-ribose. Cross-linked oligomers were formed in all the cases and ribose was found to be the most potent among the three sugars. Ribose mediated oligomers, however, exhibit Thioflavin T binding properties although microscopic images clearly show amorphous and globular morphology of the aggregates. Our study demonstrates that the structural damage of hen egg white lysozyme due to glycation generates unstructured aggregates.","author":[{"dropping-particle":"","family":"Ghosh","given":"Sudeshna","non-dropping-particle":"","parse-names":false,"suffix":""},{"dropping-particle":"","family":"Pandey","given":"Nitin Kumar","non-dropping-particle":"","parse-names":false,"suffix":""},{"dropping-particle":"","family":"Singha Roy","given":"Atanu","non-dropping-particle":"","parse-names":false,"suffix":""},{"dropping-particle":"","family":"Tripathy","given":"Debi Ranjan","non-dropping-particle":"","parse-names":false,"suffix":""},{"dropping-particle":"","family":"Dinda","given":"Amit Kumar","non-dropping-particle":"","parse-names":false,"suffix":""},{"dropping-particle":"","family":"Dasgupta","given":"Swagata","non-dropping-particle":"","parse-names":false,"suffix":""}],"container-title":"PloS one","id":"ITEM-6","issue":"9","issued":{"date-parts":[["2013"]]},"page":"e74336","publisher":"Public Library of Science","title":"Prolonged glycation of hen egg white lysozyme generates non amyloidal structures.","type":"article-journal","volume":"8"},"uris":["http://www.mendeley.com/documents/?uuid=d7c5d6b6-4378-31cd-ae73-a8f5021fab40"]}],"mendeley":{"formattedCitation":"&lt;sup&gt;1–6&lt;/sup&gt;","plainTextFormattedCitation":"1–6","previouslyFormattedCitation":"&lt;sup&gt;1–6&lt;/sup&gt;"},"properties":{"noteIndex":0},"schema":"https://github.com/citation-style-language/schema/raw/master/csl-citation.json"}</w:instrText>
      </w:r>
      <w:r w:rsidR="00B706BC">
        <w:rPr>
          <w:rFonts w:ascii="Times New Roman" w:hAnsi="Times New Roman"/>
          <w:szCs w:val="24"/>
        </w:rPr>
        <w:fldChar w:fldCharType="separate"/>
      </w:r>
      <w:r w:rsidR="005F5B55" w:rsidRPr="005F5B55">
        <w:rPr>
          <w:rFonts w:ascii="Times New Roman" w:hAnsi="Times New Roman"/>
          <w:noProof/>
          <w:szCs w:val="24"/>
          <w:vertAlign w:val="superscript"/>
        </w:rPr>
        <w:t>1–6</w:t>
      </w:r>
      <w:r w:rsidR="00B706BC">
        <w:rPr>
          <w:rFonts w:ascii="Times New Roman" w:hAnsi="Times New Roman"/>
          <w:szCs w:val="24"/>
        </w:rPr>
        <w:fldChar w:fldCharType="end"/>
      </w:r>
      <w:r w:rsidR="00D77AC7" w:rsidRPr="00D8173B">
        <w:rPr>
          <w:rFonts w:ascii="Times New Roman" w:hAnsi="Times New Roman"/>
          <w:szCs w:val="24"/>
        </w:rPr>
        <w:t xml:space="preserve"> </w:t>
      </w:r>
      <w:r w:rsidR="00791AB5">
        <w:rPr>
          <w:rFonts w:ascii="Times New Roman" w:hAnsi="Times New Roman"/>
          <w:szCs w:val="24"/>
        </w:rPr>
        <w:t>Reducing s</w:t>
      </w:r>
      <w:r w:rsidR="00D77AC7" w:rsidRPr="00D8173B">
        <w:rPr>
          <w:rFonts w:ascii="Times New Roman" w:hAnsi="Times New Roman"/>
          <w:szCs w:val="24"/>
        </w:rPr>
        <w:t>ugar</w:t>
      </w:r>
      <w:r w:rsidR="00791AB5">
        <w:rPr>
          <w:rFonts w:ascii="Times New Roman" w:hAnsi="Times New Roman"/>
          <w:szCs w:val="24"/>
        </w:rPr>
        <w:t>s,</w:t>
      </w:r>
      <w:r w:rsidR="00D77AC7" w:rsidRPr="00D8173B">
        <w:rPr>
          <w:rFonts w:ascii="Times New Roman" w:hAnsi="Times New Roman"/>
          <w:szCs w:val="24"/>
        </w:rPr>
        <w:t xml:space="preserve"> such as </w:t>
      </w:r>
      <w:r w:rsidR="00326B2B" w:rsidRPr="00D8173B">
        <w:rPr>
          <w:rFonts w:ascii="Times New Roman" w:hAnsi="Times New Roman"/>
          <w:szCs w:val="24"/>
        </w:rPr>
        <w:t>glucose</w:t>
      </w:r>
      <w:r w:rsidR="00D77AC7" w:rsidRPr="00D8173B">
        <w:rPr>
          <w:rFonts w:ascii="Times New Roman" w:hAnsi="Times New Roman"/>
          <w:szCs w:val="24"/>
        </w:rPr>
        <w:t>, fructose and galactose</w:t>
      </w:r>
      <w:r w:rsidR="00791AB5">
        <w:rPr>
          <w:rFonts w:ascii="Times New Roman" w:hAnsi="Times New Roman"/>
          <w:szCs w:val="24"/>
        </w:rPr>
        <w:t>,</w:t>
      </w:r>
      <w:r w:rsidR="00D77AC7" w:rsidRPr="00D8173B">
        <w:rPr>
          <w:rFonts w:ascii="Times New Roman" w:hAnsi="Times New Roman"/>
          <w:szCs w:val="24"/>
        </w:rPr>
        <w:t xml:space="preserve"> drive the glycation reaction between their free</w:t>
      </w:r>
      <w:r w:rsidR="00462EF0">
        <w:rPr>
          <w:rFonts w:ascii="Times New Roman" w:hAnsi="Times New Roman"/>
          <w:szCs w:val="24"/>
        </w:rPr>
        <w:t xml:space="preserve"> aldehyde</w:t>
      </w:r>
      <w:r w:rsidR="00D77AC7" w:rsidRPr="00D8173B">
        <w:rPr>
          <w:rFonts w:ascii="Times New Roman" w:hAnsi="Times New Roman"/>
          <w:szCs w:val="24"/>
        </w:rPr>
        <w:t xml:space="preserve"> and a</w:t>
      </w:r>
      <w:r w:rsidR="00791AB5">
        <w:rPr>
          <w:rFonts w:ascii="Times New Roman" w:hAnsi="Times New Roman"/>
          <w:szCs w:val="24"/>
        </w:rPr>
        <w:t xml:space="preserve"> protein</w:t>
      </w:r>
      <w:r w:rsidR="00D77AC7" w:rsidRPr="00D8173B">
        <w:rPr>
          <w:rFonts w:ascii="Times New Roman" w:hAnsi="Times New Roman"/>
          <w:szCs w:val="24"/>
        </w:rPr>
        <w:t xml:space="preserve"> amine</w:t>
      </w:r>
      <w:r w:rsidR="00791AB5">
        <w:rPr>
          <w:rFonts w:ascii="Times New Roman" w:hAnsi="Times New Roman"/>
          <w:szCs w:val="24"/>
        </w:rPr>
        <w:t>, typically in a Lys side chain (</w:t>
      </w:r>
      <w:r w:rsidR="000D770B">
        <w:rPr>
          <w:rFonts w:ascii="Times New Roman" w:hAnsi="Times New Roman"/>
          <w:szCs w:val="24"/>
        </w:rPr>
        <w:t>F</w:t>
      </w:r>
      <w:r w:rsidR="00791AB5">
        <w:rPr>
          <w:rFonts w:ascii="Times New Roman" w:hAnsi="Times New Roman"/>
          <w:szCs w:val="24"/>
        </w:rPr>
        <w:t>igure 1)</w:t>
      </w:r>
      <w:r w:rsidR="00D8173B" w:rsidRPr="00D8173B">
        <w:rPr>
          <w:rFonts w:ascii="Times New Roman" w:hAnsi="Times New Roman"/>
          <w:szCs w:val="24"/>
        </w:rPr>
        <w:t>.</w:t>
      </w:r>
      <w:r w:rsidR="00B706BC">
        <w:rPr>
          <w:rFonts w:ascii="Times New Roman" w:hAnsi="Times New Roman"/>
          <w:szCs w:val="24"/>
        </w:rPr>
        <w:fldChar w:fldCharType="begin" w:fldLock="1"/>
      </w:r>
      <w:r w:rsidR="00B706BC">
        <w:rPr>
          <w:rFonts w:ascii="Times New Roman" w:hAnsi="Times New Roman"/>
          <w:szCs w:val="24"/>
        </w:rPr>
        <w:instrText>ADDIN CSL_CITATION {"citationItems":[{"id":"ITEM-1","itemData":{"ISBN":"0716730510","abstract":"5th ed. Revised edition of: Biochemistry / by Lubert Stryer. 4th ed. 1995. Part I. The molecular design of life -- 1. Prelude -- 2. Biochemical evolution -- 3. Protein structure and function -- 4. Exploring proteins -- 5. RNA, DNA, and the flow of genetic information -- 6. Exploring genes -- 7. Exploring evolution (including bioinformatics) -- 8. Enzymes: Basic concepts and kinetics -- 9. Catalytic strategies -- 10. Regulatory strategies: Enzymes and hemoglobin -- 11. Carbohydrates -- 12. Lipids and cell membranes -- 13. Membrane channels and pumps -- Part II. Transducing and storing energy -- 14. Metabolism: Basic concepts and design -- 15. Signal-transduction pathways: An introduction to information metabolism -- 16. Glycolysis and gluconeogenesis -- 17. The citric acid cycle -- 18. Oxidative phosphorylation -- 19. The light reactions of photosynthesis -- 20. The Calvin cycle and the pentose phosphate pathway -- 21. Glycogen metabolism -- 22. Fatty acid metabolism -- 23. Protein turnover and amino acid catabolism -- Part III. Synthesizing the molecules of life -- 24. The biosynthesis of amino acids -- 25. Nucleotide biosynthesis -- 26. The biosynthesis of membrane lipids and steroids -- 27. DNA replication, recombination, and repair -- 28. RNA synthesis and splicing -- 29. Protein synthesis -- 30. The integration of metabolism -- 31. The control of gene expression -- Part IV. Responding to environmental changes -- 32. Sensory systems -- 33. The immune system -- 34. Molecular motors.","author":[{"dropping-particle":"","family":"Berg","given":"Jeremy M.","non-dropping-particle":"","parse-names":false,"suffix":""},{"dropping-particle":"","family":"Tymoczko","given":"John L.","non-dropping-particle":"","parse-names":false,"suffix":""},{"dropping-particle":"","family":"Stryer","given":"Lubert.","non-dropping-particle":"","parse-names":false,"suffix":""},{"dropping-particle":"","family":"Stryer","given":"Lubert.","non-dropping-particle":"","parse-names":false,"suffix":""}],"edition":"5","id":"ITEM-1","issued":{"date-parts":[["2002"]]},"publisher":"W.H. Freeman","publisher-place":"New York","title":"Biochemistry","type":"book"},"uris":["http://www.mendeley.com/documents/?uuid=dcfae0a8-bc35-329b-aee8-5acc8b205386"]}],"mendeley":{"formattedCitation":"&lt;sup&gt;7&lt;/sup&gt;","plainTextFormattedCitation":"7","previouslyFormattedCitation":"&lt;sup&gt;7&lt;/sup&gt;"},"properties":{"noteIndex":0},"schema":"https://github.com/citation-style-language/schema/raw/master/csl-citation.json"}</w:instrText>
      </w:r>
      <w:r w:rsidR="00B706BC">
        <w:rPr>
          <w:rFonts w:ascii="Times New Roman" w:hAnsi="Times New Roman"/>
          <w:szCs w:val="24"/>
        </w:rPr>
        <w:fldChar w:fldCharType="separate"/>
      </w:r>
      <w:r w:rsidR="00B706BC" w:rsidRPr="00375CAA">
        <w:rPr>
          <w:rFonts w:ascii="Times New Roman" w:hAnsi="Times New Roman"/>
          <w:noProof/>
          <w:szCs w:val="24"/>
          <w:vertAlign w:val="superscript"/>
        </w:rPr>
        <w:t>7</w:t>
      </w:r>
      <w:r w:rsidR="00B706BC">
        <w:rPr>
          <w:rFonts w:ascii="Times New Roman" w:hAnsi="Times New Roman"/>
          <w:szCs w:val="24"/>
        </w:rPr>
        <w:fldChar w:fldCharType="end"/>
      </w:r>
      <w:r w:rsidR="00D8173B" w:rsidRPr="00D8173B">
        <w:rPr>
          <w:rFonts w:ascii="Times New Roman" w:hAnsi="Times New Roman"/>
          <w:szCs w:val="24"/>
        </w:rPr>
        <w:t xml:space="preserve"> </w:t>
      </w:r>
    </w:p>
    <w:p w14:paraId="7DFDBB47" w14:textId="77777777" w:rsidR="00EA3352" w:rsidRDefault="00EA3352" w:rsidP="00D8173B">
      <w:pPr>
        <w:spacing w:line="480" w:lineRule="auto"/>
        <w:rPr>
          <w:rFonts w:ascii="Times New Roman" w:hAnsi="Times New Roman"/>
          <w:szCs w:val="24"/>
        </w:rPr>
      </w:pPr>
    </w:p>
    <w:p w14:paraId="62BE6FA2" w14:textId="77777777" w:rsidR="00C66F93" w:rsidRDefault="00EA3352" w:rsidP="00C66F93">
      <w:pPr>
        <w:keepNext/>
        <w:spacing w:line="480" w:lineRule="auto"/>
      </w:pPr>
      <w:r>
        <w:rPr>
          <w:rFonts w:ascii="Times New Roman" w:hAnsi="Times New Roman"/>
          <w:noProof/>
          <w:szCs w:val="24"/>
          <w:lang w:val="en-GB" w:eastAsia="en-GB"/>
        </w:rPr>
        <w:drawing>
          <wp:inline distT="0" distB="0" distL="0" distR="0" wp14:anchorId="652F2651" wp14:editId="027C17E9">
            <wp:extent cx="5695950" cy="34923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3492374"/>
                    </a:xfrm>
                    <a:prstGeom prst="rect">
                      <a:avLst/>
                    </a:prstGeom>
                    <a:noFill/>
                  </pic:spPr>
                </pic:pic>
              </a:graphicData>
            </a:graphic>
          </wp:inline>
        </w:drawing>
      </w:r>
    </w:p>
    <w:p w14:paraId="0A06A043" w14:textId="58D6AF00" w:rsidR="00EA3352" w:rsidRPr="00CE3B98" w:rsidRDefault="00C66F93" w:rsidP="00C66F93">
      <w:pPr>
        <w:pStyle w:val="Caption"/>
        <w:rPr>
          <w:rFonts w:ascii="Times New Roman" w:hAnsi="Times New Roman"/>
          <w:i w:val="0"/>
          <w:color w:val="auto"/>
          <w:sz w:val="24"/>
          <w:szCs w:val="24"/>
        </w:rPr>
      </w:pPr>
      <w:commentRangeStart w:id="1"/>
      <w:r w:rsidRPr="00CE3B98">
        <w:rPr>
          <w:i w:val="0"/>
          <w:color w:val="auto"/>
          <w:sz w:val="24"/>
        </w:rPr>
        <w:t xml:space="preserve">Figure </w:t>
      </w:r>
      <w:r w:rsidRPr="00CE3B98">
        <w:rPr>
          <w:i w:val="0"/>
          <w:color w:val="auto"/>
          <w:sz w:val="24"/>
        </w:rPr>
        <w:fldChar w:fldCharType="begin"/>
      </w:r>
      <w:r w:rsidRPr="00CE3B98">
        <w:rPr>
          <w:i w:val="0"/>
          <w:color w:val="auto"/>
          <w:sz w:val="24"/>
        </w:rPr>
        <w:instrText xml:space="preserve"> SEQ Figure \* ARABIC </w:instrText>
      </w:r>
      <w:r w:rsidRPr="00CE3B98">
        <w:rPr>
          <w:i w:val="0"/>
          <w:color w:val="auto"/>
          <w:sz w:val="24"/>
        </w:rPr>
        <w:fldChar w:fldCharType="separate"/>
      </w:r>
      <w:r w:rsidR="009E7B21" w:rsidRPr="00CE3B98">
        <w:rPr>
          <w:i w:val="0"/>
          <w:noProof/>
          <w:color w:val="auto"/>
          <w:sz w:val="24"/>
        </w:rPr>
        <w:t>1</w:t>
      </w:r>
      <w:r w:rsidRPr="00CE3B98">
        <w:rPr>
          <w:i w:val="0"/>
          <w:color w:val="auto"/>
          <w:sz w:val="24"/>
        </w:rPr>
        <w:fldChar w:fldCharType="end"/>
      </w:r>
      <w:commentRangeEnd w:id="1"/>
      <w:r w:rsidR="00FD687B">
        <w:rPr>
          <w:rStyle w:val="CommentReference"/>
          <w:i w:val="0"/>
          <w:iCs w:val="0"/>
          <w:color w:val="auto"/>
        </w:rPr>
        <w:commentReference w:id="1"/>
      </w:r>
      <w:r w:rsidR="00CE3B98" w:rsidRPr="00CE3B98">
        <w:rPr>
          <w:i w:val="0"/>
          <w:color w:val="auto"/>
          <w:sz w:val="24"/>
        </w:rPr>
        <w:t>. Reaction scheme showing the general process of glycation in proteins.</w:t>
      </w:r>
    </w:p>
    <w:p w14:paraId="33A7CC55" w14:textId="526D0325" w:rsidR="0084385D" w:rsidRDefault="00791AB5" w:rsidP="007C120F">
      <w:pPr>
        <w:spacing w:line="480" w:lineRule="auto"/>
        <w:rPr>
          <w:rFonts w:ascii="Times New Roman" w:hAnsi="Times New Roman"/>
          <w:szCs w:val="24"/>
        </w:rPr>
      </w:pPr>
      <w:r>
        <w:rPr>
          <w:rFonts w:ascii="Times New Roman" w:hAnsi="Times New Roman"/>
          <w:szCs w:val="24"/>
        </w:rPr>
        <w:t>R</w:t>
      </w:r>
      <w:r w:rsidR="00D8173B">
        <w:rPr>
          <w:rFonts w:ascii="Times New Roman" w:hAnsi="Times New Roman"/>
          <w:szCs w:val="24"/>
        </w:rPr>
        <w:t>educing sugars are able</w:t>
      </w:r>
      <w:r w:rsidR="00E80397">
        <w:rPr>
          <w:rFonts w:ascii="Times New Roman" w:hAnsi="Times New Roman"/>
          <w:szCs w:val="24"/>
        </w:rPr>
        <w:t xml:space="preserve"> </w:t>
      </w:r>
      <w:r w:rsidR="00D8173B">
        <w:rPr>
          <w:rFonts w:ascii="Times New Roman" w:hAnsi="Times New Roman"/>
          <w:szCs w:val="24"/>
        </w:rPr>
        <w:t xml:space="preserve">to act as reducing agents when they </w:t>
      </w:r>
      <w:proofErr w:type="spellStart"/>
      <w:r w:rsidR="00D8173B">
        <w:rPr>
          <w:rFonts w:ascii="Times New Roman" w:hAnsi="Times New Roman"/>
          <w:szCs w:val="24"/>
        </w:rPr>
        <w:t>taut</w:t>
      </w:r>
      <w:r w:rsidR="0084385D">
        <w:rPr>
          <w:rFonts w:ascii="Times New Roman" w:hAnsi="Times New Roman"/>
          <w:szCs w:val="24"/>
        </w:rPr>
        <w:t>o</w:t>
      </w:r>
      <w:r w:rsidR="00D8173B">
        <w:rPr>
          <w:rFonts w:ascii="Times New Roman" w:hAnsi="Times New Roman"/>
          <w:szCs w:val="24"/>
        </w:rPr>
        <w:t>merise</w:t>
      </w:r>
      <w:proofErr w:type="spellEnd"/>
      <w:r w:rsidR="00D8173B">
        <w:rPr>
          <w:rFonts w:ascii="Times New Roman" w:hAnsi="Times New Roman"/>
          <w:szCs w:val="24"/>
        </w:rPr>
        <w:t xml:space="preserve"> to form an open chain </w:t>
      </w:r>
      <w:r w:rsidR="00E80397">
        <w:rPr>
          <w:rFonts w:ascii="Times New Roman" w:hAnsi="Times New Roman"/>
          <w:szCs w:val="24"/>
        </w:rPr>
        <w:t>molecule</w:t>
      </w:r>
      <w:r w:rsidR="00D8173B">
        <w:rPr>
          <w:rFonts w:ascii="Times New Roman" w:hAnsi="Times New Roman"/>
          <w:szCs w:val="24"/>
        </w:rPr>
        <w:t xml:space="preserve"> with a terminal aldehyde group. This free </w:t>
      </w:r>
      <w:r w:rsidR="00F97C33">
        <w:rPr>
          <w:rFonts w:ascii="Times New Roman" w:hAnsi="Times New Roman"/>
          <w:szCs w:val="24"/>
        </w:rPr>
        <w:t>aldehyde</w:t>
      </w:r>
      <w:r w:rsidR="00D8173B">
        <w:rPr>
          <w:rFonts w:ascii="Times New Roman" w:hAnsi="Times New Roman"/>
          <w:szCs w:val="24"/>
        </w:rPr>
        <w:t xml:space="preserve"> group is then able to react with </w:t>
      </w:r>
      <w:r w:rsidR="0082137F">
        <w:rPr>
          <w:rFonts w:ascii="Times New Roman" w:hAnsi="Times New Roman"/>
          <w:szCs w:val="24"/>
        </w:rPr>
        <w:t xml:space="preserve">susceptible </w:t>
      </w:r>
      <w:r w:rsidR="00D839D6">
        <w:rPr>
          <w:rFonts w:ascii="Times New Roman" w:hAnsi="Times New Roman"/>
          <w:szCs w:val="24"/>
        </w:rPr>
        <w:t>amine groups of amino acids</w:t>
      </w:r>
      <w:r w:rsidR="00E80397">
        <w:rPr>
          <w:rFonts w:ascii="Times New Roman" w:hAnsi="Times New Roman"/>
          <w:szCs w:val="24"/>
        </w:rPr>
        <w:t xml:space="preserve"> </w:t>
      </w:r>
      <w:r w:rsidR="00F97C33">
        <w:rPr>
          <w:rFonts w:ascii="Times New Roman" w:hAnsi="Times New Roman"/>
          <w:szCs w:val="24"/>
        </w:rPr>
        <w:t>resulting</w:t>
      </w:r>
      <w:r w:rsidR="00D839D6">
        <w:rPr>
          <w:rFonts w:ascii="Times New Roman" w:hAnsi="Times New Roman"/>
          <w:szCs w:val="24"/>
        </w:rPr>
        <w:t xml:space="preserve"> in the </w:t>
      </w:r>
      <w:r w:rsidR="00E80397">
        <w:rPr>
          <w:rFonts w:ascii="Times New Roman" w:hAnsi="Times New Roman"/>
          <w:szCs w:val="24"/>
        </w:rPr>
        <w:t xml:space="preserve">formation </w:t>
      </w:r>
      <w:r w:rsidR="00D839D6">
        <w:rPr>
          <w:rFonts w:ascii="Times New Roman" w:hAnsi="Times New Roman"/>
          <w:szCs w:val="24"/>
        </w:rPr>
        <w:t xml:space="preserve">of a Schiff base. The Schiff base then undergoes </w:t>
      </w:r>
      <w:r w:rsidR="00F37F19">
        <w:rPr>
          <w:rFonts w:ascii="Times New Roman" w:hAnsi="Times New Roman"/>
          <w:szCs w:val="24"/>
        </w:rPr>
        <w:t>spontaneous</w:t>
      </w:r>
      <w:r w:rsidR="0084385D">
        <w:rPr>
          <w:rFonts w:ascii="Times New Roman" w:hAnsi="Times New Roman"/>
          <w:szCs w:val="24"/>
        </w:rPr>
        <w:t xml:space="preserve"> rearrangements to f</w:t>
      </w:r>
      <w:r>
        <w:rPr>
          <w:rFonts w:ascii="Times New Roman" w:hAnsi="Times New Roman"/>
          <w:szCs w:val="24"/>
        </w:rPr>
        <w:t>or</w:t>
      </w:r>
      <w:r w:rsidR="0084385D">
        <w:rPr>
          <w:rFonts w:ascii="Times New Roman" w:hAnsi="Times New Roman"/>
          <w:szCs w:val="24"/>
        </w:rPr>
        <w:t xml:space="preserve">m the </w:t>
      </w:r>
      <w:proofErr w:type="spellStart"/>
      <w:r w:rsidR="0084385D">
        <w:rPr>
          <w:rFonts w:ascii="Times New Roman" w:hAnsi="Times New Roman"/>
          <w:szCs w:val="24"/>
        </w:rPr>
        <w:t>A</w:t>
      </w:r>
      <w:r w:rsidR="00D839D6">
        <w:rPr>
          <w:rFonts w:ascii="Times New Roman" w:hAnsi="Times New Roman"/>
          <w:szCs w:val="24"/>
        </w:rPr>
        <w:t>mad</w:t>
      </w:r>
      <w:r w:rsidR="0084385D">
        <w:rPr>
          <w:rFonts w:ascii="Times New Roman" w:hAnsi="Times New Roman"/>
          <w:szCs w:val="24"/>
        </w:rPr>
        <w:t>or</w:t>
      </w:r>
      <w:r w:rsidR="00D839D6">
        <w:rPr>
          <w:rFonts w:ascii="Times New Roman" w:hAnsi="Times New Roman"/>
          <w:szCs w:val="24"/>
        </w:rPr>
        <w:t>i</w:t>
      </w:r>
      <w:proofErr w:type="spellEnd"/>
      <w:r w:rsidR="00D839D6">
        <w:rPr>
          <w:rFonts w:ascii="Times New Roman" w:hAnsi="Times New Roman"/>
          <w:szCs w:val="24"/>
        </w:rPr>
        <w:t xml:space="preserve"> produc</w:t>
      </w:r>
      <w:r w:rsidR="00E80397">
        <w:rPr>
          <w:rFonts w:ascii="Times New Roman" w:hAnsi="Times New Roman"/>
          <w:szCs w:val="24"/>
        </w:rPr>
        <w:t xml:space="preserve">t. The </w:t>
      </w:r>
      <w:proofErr w:type="spellStart"/>
      <w:r w:rsidR="00E80397">
        <w:rPr>
          <w:rFonts w:ascii="Times New Roman" w:hAnsi="Times New Roman"/>
          <w:szCs w:val="24"/>
        </w:rPr>
        <w:t>Amad</w:t>
      </w:r>
      <w:r w:rsidR="0084385D">
        <w:rPr>
          <w:rFonts w:ascii="Times New Roman" w:hAnsi="Times New Roman"/>
          <w:szCs w:val="24"/>
        </w:rPr>
        <w:t>o</w:t>
      </w:r>
      <w:r w:rsidR="00E80397">
        <w:rPr>
          <w:rFonts w:ascii="Times New Roman" w:hAnsi="Times New Roman"/>
          <w:szCs w:val="24"/>
        </w:rPr>
        <w:t>ri</w:t>
      </w:r>
      <w:proofErr w:type="spellEnd"/>
      <w:r w:rsidR="00E80397">
        <w:rPr>
          <w:rFonts w:ascii="Times New Roman" w:hAnsi="Times New Roman"/>
          <w:szCs w:val="24"/>
        </w:rPr>
        <w:t xml:space="preserve"> product is capable</w:t>
      </w:r>
      <w:r w:rsidR="00D839D6">
        <w:rPr>
          <w:rFonts w:ascii="Times New Roman" w:hAnsi="Times New Roman"/>
          <w:szCs w:val="24"/>
        </w:rPr>
        <w:t xml:space="preserve"> of </w:t>
      </w:r>
      <w:r w:rsidR="0084385D">
        <w:rPr>
          <w:rFonts w:ascii="Times New Roman" w:hAnsi="Times New Roman"/>
          <w:szCs w:val="24"/>
        </w:rPr>
        <w:t>degrading</w:t>
      </w:r>
      <w:r w:rsidR="00E80397">
        <w:rPr>
          <w:rFonts w:ascii="Times New Roman" w:hAnsi="Times New Roman"/>
          <w:szCs w:val="24"/>
        </w:rPr>
        <w:t xml:space="preserve"> </w:t>
      </w:r>
      <w:r w:rsidR="00D839D6">
        <w:rPr>
          <w:rFonts w:ascii="Times New Roman" w:hAnsi="Times New Roman"/>
          <w:szCs w:val="24"/>
        </w:rPr>
        <w:t>through ma</w:t>
      </w:r>
      <w:r>
        <w:rPr>
          <w:rFonts w:ascii="Times New Roman" w:hAnsi="Times New Roman"/>
          <w:szCs w:val="24"/>
        </w:rPr>
        <w:t>n</w:t>
      </w:r>
      <w:r w:rsidR="00D839D6">
        <w:rPr>
          <w:rFonts w:ascii="Times New Roman" w:hAnsi="Times New Roman"/>
          <w:szCs w:val="24"/>
        </w:rPr>
        <w:t>y complex pathways.</w:t>
      </w:r>
      <w:r w:rsidR="00B706BC">
        <w:rPr>
          <w:rFonts w:ascii="Times New Roman" w:hAnsi="Times New Roman"/>
          <w:szCs w:val="24"/>
        </w:rPr>
        <w:fldChar w:fldCharType="begin" w:fldLock="1"/>
      </w:r>
      <w:r w:rsidR="00B706BC">
        <w:rPr>
          <w:rFonts w:ascii="Times New Roman" w:hAnsi="Times New Roman"/>
          <w:szCs w:val="24"/>
        </w:rPr>
        <w:instrText>ADDIN CSL_CITATION {"citationItems":[{"id":"ITEM-1","itemData":{"DOI":"10.1021/pr800858h","ISSN":"1535-3893","PMID":"19093874","abstract":"The Maillard reaction, starting from the glycation of protein and progressing to the formation of advanced glycation end-products (AGEs), is implicated in the development of complications of diabetes mellitus, as well as in the pathogenesis of cardiovascular, renal, and neurodegenerative diseases. In this perspective review, we provide an overview on the relevance of the Maillard reaction in the pathogenesis of chronic disease and discuss traditional approaches and recent developments in the analysis of glycated proteins by mass spectrometry. We propose that proteomics approaches, particularly bottom-up proteomics, will play a significant role in analyses of clinical samples leading to the identification of new markers of disease development and progression.","author":[{"dropping-particle":"","family":"Zhang","given":"Qibin","non-dropping-particle":"","parse-names":false,"suffix":""},{"dropping-particle":"","family":"Ames","given":"Jennifer M","non-dropping-particle":"","parse-names":false,"suffix":""},{"dropping-particle":"","family":"Smith","given":"Richard D","non-dropping-particle":"","parse-names":false,"suffix":""},{"dropping-particle":"","family":"Baynes","given":"John W","non-dropping-particle":"","parse-names":false,"suffix":""},{"dropping-particle":"","family":"Metz","given":"Thomas O","non-dropping-particle":"","parse-names":false,"suffix":""}],"container-title":"Journal of proteome research","id":"ITEM-1","issue":"2","issued":{"date-parts":[["2009","2"]]},"page":"754-69","publisher":"NIH Public Access","title":"A perspective on the Maillard reaction and the analysis of protein glycation by mass spectrometry: probing the pathogenesis of chronic disease.","type":"article-journal","volume":"8"},"uris":["http://www.mendeley.com/documents/?uuid=264c794d-72c6-3647-bea2-fcdab93de418"]}],"mendeley":{"formattedCitation":"&lt;sup&gt;8&lt;/sup&gt;","plainTextFormattedCitation":"8","previouslyFormattedCitation":"&lt;sup&gt;8&lt;/sup&gt;"},"properties":{"noteIndex":0},"schema":"https://github.com/citation-style-language/schema/raw/master/csl-citation.json"}</w:instrText>
      </w:r>
      <w:r w:rsidR="00B706BC">
        <w:rPr>
          <w:rFonts w:ascii="Times New Roman" w:hAnsi="Times New Roman"/>
          <w:szCs w:val="24"/>
        </w:rPr>
        <w:fldChar w:fldCharType="separate"/>
      </w:r>
      <w:r w:rsidR="00B706BC" w:rsidRPr="00375CAA">
        <w:rPr>
          <w:rFonts w:ascii="Times New Roman" w:hAnsi="Times New Roman"/>
          <w:noProof/>
          <w:szCs w:val="24"/>
          <w:vertAlign w:val="superscript"/>
        </w:rPr>
        <w:t>8</w:t>
      </w:r>
      <w:r w:rsidR="00B706BC">
        <w:rPr>
          <w:rFonts w:ascii="Times New Roman" w:hAnsi="Times New Roman"/>
          <w:szCs w:val="24"/>
        </w:rPr>
        <w:fldChar w:fldCharType="end"/>
      </w:r>
      <w:r w:rsidR="00D839D6">
        <w:rPr>
          <w:rFonts w:ascii="Times New Roman" w:hAnsi="Times New Roman"/>
          <w:szCs w:val="24"/>
        </w:rPr>
        <w:t xml:space="preserve"> </w:t>
      </w:r>
    </w:p>
    <w:p w14:paraId="779BDFEA" w14:textId="700333D8" w:rsidR="00F604F9" w:rsidRDefault="00D839D6" w:rsidP="007C120F">
      <w:pPr>
        <w:spacing w:line="480" w:lineRule="auto"/>
        <w:rPr>
          <w:rFonts w:ascii="Times New Roman" w:hAnsi="Times New Roman"/>
          <w:szCs w:val="24"/>
        </w:rPr>
      </w:pPr>
      <w:r w:rsidRPr="0084385D">
        <w:rPr>
          <w:rFonts w:ascii="Times New Roman" w:hAnsi="Times New Roman"/>
          <w:i/>
          <w:szCs w:val="24"/>
        </w:rPr>
        <w:lastRenderedPageBreak/>
        <w:t>I</w:t>
      </w:r>
      <w:r w:rsidR="0084385D" w:rsidRPr="0084385D">
        <w:rPr>
          <w:rFonts w:ascii="Times New Roman" w:hAnsi="Times New Roman"/>
          <w:i/>
          <w:szCs w:val="24"/>
        </w:rPr>
        <w:t>n</w:t>
      </w:r>
      <w:r w:rsidR="000D770B">
        <w:rPr>
          <w:rFonts w:ascii="Times New Roman" w:hAnsi="Times New Roman"/>
          <w:i/>
          <w:szCs w:val="24"/>
        </w:rPr>
        <w:t xml:space="preserve"> </w:t>
      </w:r>
      <w:r w:rsidR="0084385D" w:rsidRPr="0084385D">
        <w:rPr>
          <w:rFonts w:ascii="Times New Roman" w:hAnsi="Times New Roman"/>
          <w:i/>
          <w:szCs w:val="24"/>
        </w:rPr>
        <w:t>v</w:t>
      </w:r>
      <w:r w:rsidRPr="0084385D">
        <w:rPr>
          <w:rFonts w:ascii="Times New Roman" w:hAnsi="Times New Roman"/>
          <w:i/>
          <w:szCs w:val="24"/>
        </w:rPr>
        <w:t>ivo</w:t>
      </w:r>
      <w:r>
        <w:rPr>
          <w:rFonts w:ascii="Times New Roman" w:hAnsi="Times New Roman"/>
          <w:szCs w:val="24"/>
        </w:rPr>
        <w:t xml:space="preserve"> the most </w:t>
      </w:r>
      <w:r w:rsidR="0084385D">
        <w:rPr>
          <w:rFonts w:ascii="Times New Roman" w:hAnsi="Times New Roman"/>
          <w:szCs w:val="24"/>
        </w:rPr>
        <w:t>problematic</w:t>
      </w:r>
      <w:r>
        <w:rPr>
          <w:rFonts w:ascii="Times New Roman" w:hAnsi="Times New Roman"/>
          <w:szCs w:val="24"/>
        </w:rPr>
        <w:t xml:space="preserve"> </w:t>
      </w:r>
      <w:r w:rsidR="0084385D">
        <w:rPr>
          <w:rFonts w:ascii="Times New Roman" w:hAnsi="Times New Roman"/>
          <w:szCs w:val="24"/>
        </w:rPr>
        <w:t>resultant</w:t>
      </w:r>
      <w:r>
        <w:rPr>
          <w:rFonts w:ascii="Times New Roman" w:hAnsi="Times New Roman"/>
          <w:szCs w:val="24"/>
        </w:rPr>
        <w:t xml:space="preserve"> structures are known as advance</w:t>
      </w:r>
      <w:r w:rsidR="000D770B">
        <w:rPr>
          <w:rFonts w:ascii="Times New Roman" w:hAnsi="Times New Roman"/>
          <w:szCs w:val="24"/>
        </w:rPr>
        <w:t>d</w:t>
      </w:r>
      <w:r>
        <w:rPr>
          <w:rFonts w:ascii="Times New Roman" w:hAnsi="Times New Roman"/>
          <w:szCs w:val="24"/>
        </w:rPr>
        <w:t xml:space="preserve"> glycat</w:t>
      </w:r>
      <w:r w:rsidR="0084385D">
        <w:rPr>
          <w:rFonts w:ascii="Times New Roman" w:hAnsi="Times New Roman"/>
          <w:szCs w:val="24"/>
        </w:rPr>
        <w:t>ion end product</w:t>
      </w:r>
      <w:r w:rsidR="00791AB5">
        <w:rPr>
          <w:rFonts w:ascii="Times New Roman" w:hAnsi="Times New Roman"/>
          <w:szCs w:val="24"/>
        </w:rPr>
        <w:t>s</w:t>
      </w:r>
      <w:r w:rsidR="0084385D">
        <w:rPr>
          <w:rFonts w:ascii="Times New Roman" w:hAnsi="Times New Roman"/>
          <w:szCs w:val="24"/>
        </w:rPr>
        <w:t xml:space="preserve"> (AGEs) which ar</w:t>
      </w:r>
      <w:r>
        <w:rPr>
          <w:rFonts w:ascii="Times New Roman" w:hAnsi="Times New Roman"/>
          <w:szCs w:val="24"/>
        </w:rPr>
        <w:t>e</w:t>
      </w:r>
      <w:r w:rsidR="0084385D">
        <w:rPr>
          <w:rFonts w:ascii="Times New Roman" w:hAnsi="Times New Roman"/>
          <w:szCs w:val="24"/>
        </w:rPr>
        <w:t xml:space="preserve"> </w:t>
      </w:r>
      <w:r>
        <w:rPr>
          <w:rFonts w:ascii="Times New Roman" w:hAnsi="Times New Roman"/>
          <w:szCs w:val="24"/>
        </w:rPr>
        <w:t>formed due to reaction of the glycated proteins and glucose in the blood</w:t>
      </w:r>
      <w:r w:rsidR="007C120F">
        <w:rPr>
          <w:rFonts w:ascii="Times New Roman" w:hAnsi="Times New Roman"/>
          <w:szCs w:val="24"/>
        </w:rPr>
        <w:t xml:space="preserve">. High levels of AGEs have been linked with many degenerative </w:t>
      </w:r>
      <w:r w:rsidR="0084385D">
        <w:rPr>
          <w:rFonts w:ascii="Times New Roman" w:hAnsi="Times New Roman"/>
          <w:szCs w:val="24"/>
        </w:rPr>
        <w:t>diseases</w:t>
      </w:r>
      <w:r w:rsidR="007C120F">
        <w:rPr>
          <w:rFonts w:ascii="Times New Roman" w:hAnsi="Times New Roman"/>
          <w:szCs w:val="24"/>
        </w:rPr>
        <w:t xml:space="preserve"> and can </w:t>
      </w:r>
      <w:r w:rsidR="0084385D">
        <w:rPr>
          <w:rFonts w:ascii="Times New Roman" w:hAnsi="Times New Roman"/>
          <w:szCs w:val="24"/>
        </w:rPr>
        <w:t>cause</w:t>
      </w:r>
      <w:r w:rsidR="007C120F">
        <w:rPr>
          <w:rFonts w:ascii="Times New Roman" w:hAnsi="Times New Roman"/>
          <w:szCs w:val="24"/>
        </w:rPr>
        <w:t xml:space="preserve"> vascular problems.</w:t>
      </w:r>
      <w:r w:rsidR="006F5D32">
        <w:rPr>
          <w:rFonts w:ascii="Times New Roman" w:hAnsi="Times New Roman"/>
          <w:szCs w:val="24"/>
        </w:rPr>
        <w:fldChar w:fldCharType="begin" w:fldLock="1"/>
      </w:r>
      <w:r w:rsidR="006F5D32">
        <w:rPr>
          <w:rFonts w:ascii="Times New Roman" w:hAnsi="Times New Roman"/>
          <w:szCs w:val="24"/>
        </w:rPr>
        <w:instrText>ADDIN CSL_CITATION {"citationItems":[{"id":"ITEM-1","itemData":{"DOI":"10.1161/CIRCULATIONAHA.106.621854","ISSN":"0009-7322","abstract":"Advanced glycation end products (AGEs) are proteins or lipids that become glycated after exposure to sugars. AGEs are prevalent in the diabetic vasculature and contribute to the development of athe...","author":[{"dropping-particle":"","family":"Goldin","given":"Alison","non-dropping-particle":"","parse-names":false,"suffix":""},{"dropping-particle":"","family":"Beckman","given":"Joshua A.","non-dropping-particle":"","parse-names":false,"suffix":""},{"dropping-particle":"","family":"Schmidt","given":"Ann Marie","non-dropping-particle":"","parse-names":false,"suffix":""},{"dropping-particle":"","family":"Creager","given":"Mark A.","non-dropping-particle":"","parse-names":false,"suffix":""}],"container-title":"Circulation","id":"ITEM-1","issue":"6","issued":{"date-parts":[["2006","8","8"]]},"page":"597-605","publisher":"Lippincott Williams &amp; Wilkins","title":"Advanced Glycation End Products","type":"article-journal","volume":"114"},"uris":["http://www.mendeley.com/documents/?uuid=2ba37c3c-7e9d-3699-93c1-601491f561e8"]}],"mendeley":{"formattedCitation":"&lt;sup&gt;9&lt;/sup&gt;","plainTextFormattedCitation":"9","previouslyFormattedCitation":"&lt;sup&gt;9&lt;/sup&gt;"},"properties":{"noteIndex":0},"schema":"https://github.com/citation-style-language/schema/raw/master/csl-citation.json"}</w:instrText>
      </w:r>
      <w:r w:rsidR="006F5D32">
        <w:rPr>
          <w:rFonts w:ascii="Times New Roman" w:hAnsi="Times New Roman"/>
          <w:szCs w:val="24"/>
        </w:rPr>
        <w:fldChar w:fldCharType="separate"/>
      </w:r>
      <w:r w:rsidR="006F5D32" w:rsidRPr="00375CAA">
        <w:rPr>
          <w:rFonts w:ascii="Times New Roman" w:hAnsi="Times New Roman"/>
          <w:noProof/>
          <w:szCs w:val="24"/>
          <w:vertAlign w:val="superscript"/>
        </w:rPr>
        <w:t>9</w:t>
      </w:r>
      <w:r w:rsidR="006F5D32">
        <w:rPr>
          <w:rFonts w:ascii="Times New Roman" w:hAnsi="Times New Roman"/>
          <w:szCs w:val="24"/>
        </w:rPr>
        <w:fldChar w:fldCharType="end"/>
      </w:r>
      <w:r w:rsidR="0084385D">
        <w:rPr>
          <w:rFonts w:ascii="Times New Roman" w:hAnsi="Times New Roman"/>
          <w:szCs w:val="24"/>
        </w:rPr>
        <w:t xml:space="preserve"> </w:t>
      </w:r>
      <w:r w:rsidR="00696F4B">
        <w:rPr>
          <w:rFonts w:ascii="Times New Roman" w:hAnsi="Times New Roman"/>
          <w:szCs w:val="24"/>
        </w:rPr>
        <w:t>In diabetic patients</w:t>
      </w:r>
      <w:r w:rsidR="00791AB5">
        <w:rPr>
          <w:rFonts w:ascii="Times New Roman" w:hAnsi="Times New Roman"/>
          <w:szCs w:val="24"/>
        </w:rPr>
        <w:t>,</w:t>
      </w:r>
      <w:r w:rsidR="00696F4B">
        <w:rPr>
          <w:rFonts w:ascii="Times New Roman" w:hAnsi="Times New Roman"/>
          <w:szCs w:val="24"/>
        </w:rPr>
        <w:t xml:space="preserve"> abnormally high blood glucose concentrations cause glycation of plasma prot</w:t>
      </w:r>
      <w:r w:rsidR="00D2186A">
        <w:rPr>
          <w:rFonts w:ascii="Times New Roman" w:hAnsi="Times New Roman"/>
          <w:szCs w:val="24"/>
        </w:rPr>
        <w:t>ein</w:t>
      </w:r>
      <w:r w:rsidR="00791AB5">
        <w:rPr>
          <w:rFonts w:ascii="Times New Roman" w:hAnsi="Times New Roman"/>
          <w:szCs w:val="24"/>
        </w:rPr>
        <w:t>s,</w:t>
      </w:r>
      <w:r w:rsidR="00D2186A">
        <w:rPr>
          <w:rFonts w:ascii="Times New Roman" w:hAnsi="Times New Roman"/>
          <w:szCs w:val="24"/>
        </w:rPr>
        <w:t xml:space="preserve"> such </w:t>
      </w:r>
      <w:r w:rsidR="0084385D">
        <w:rPr>
          <w:rFonts w:ascii="Times New Roman" w:hAnsi="Times New Roman"/>
          <w:szCs w:val="24"/>
        </w:rPr>
        <w:t>as hemoglobin</w:t>
      </w:r>
      <w:r w:rsidR="00791AB5">
        <w:rPr>
          <w:rFonts w:ascii="Times New Roman" w:hAnsi="Times New Roman"/>
          <w:szCs w:val="24"/>
        </w:rPr>
        <w:t>,</w:t>
      </w:r>
      <w:r w:rsidR="00D2186A">
        <w:rPr>
          <w:rFonts w:ascii="Times New Roman" w:hAnsi="Times New Roman"/>
          <w:szCs w:val="24"/>
        </w:rPr>
        <w:t xml:space="preserve"> </w:t>
      </w:r>
      <w:r w:rsidR="00791AB5">
        <w:rPr>
          <w:rFonts w:ascii="Times New Roman" w:hAnsi="Times New Roman"/>
          <w:szCs w:val="24"/>
        </w:rPr>
        <w:t>giving</w:t>
      </w:r>
      <w:r w:rsidR="00D2186A">
        <w:rPr>
          <w:rFonts w:ascii="Times New Roman" w:hAnsi="Times New Roman"/>
          <w:szCs w:val="24"/>
        </w:rPr>
        <w:t xml:space="preserve"> </w:t>
      </w:r>
      <w:r w:rsidR="00791AB5" w:rsidRPr="00D2186A">
        <w:rPr>
          <w:rFonts w:ascii="Times New Roman" w:hAnsi="Times New Roman"/>
          <w:szCs w:val="24"/>
        </w:rPr>
        <w:t>HbA1c</w:t>
      </w:r>
      <w:r w:rsidR="00791AB5">
        <w:rPr>
          <w:rFonts w:ascii="Times New Roman" w:hAnsi="Times New Roman"/>
          <w:szCs w:val="24"/>
        </w:rPr>
        <w:t xml:space="preserve"> as the </w:t>
      </w:r>
      <w:r w:rsidR="00D2186A">
        <w:rPr>
          <w:rFonts w:ascii="Times New Roman" w:hAnsi="Times New Roman"/>
          <w:szCs w:val="24"/>
        </w:rPr>
        <w:t>most common form.</w:t>
      </w:r>
      <w:r w:rsidR="00D2186A" w:rsidRPr="00D2186A">
        <w:t xml:space="preserve"> </w:t>
      </w:r>
      <w:r w:rsidR="00D2186A" w:rsidRPr="00D2186A">
        <w:rPr>
          <w:rFonts w:ascii="Times New Roman" w:hAnsi="Times New Roman"/>
          <w:szCs w:val="24"/>
        </w:rPr>
        <w:t>HbA1c</w:t>
      </w:r>
      <w:r w:rsidR="00F604F9">
        <w:rPr>
          <w:rFonts w:ascii="Times New Roman" w:hAnsi="Times New Roman"/>
          <w:szCs w:val="24"/>
        </w:rPr>
        <w:t xml:space="preserve"> is now used to diagnose diabetes</w:t>
      </w:r>
      <w:r w:rsidR="00055977">
        <w:rPr>
          <w:rFonts w:ascii="Times New Roman" w:hAnsi="Times New Roman"/>
          <w:szCs w:val="24"/>
        </w:rPr>
        <w:t>,</w:t>
      </w:r>
      <w:r w:rsidR="00F604F9">
        <w:rPr>
          <w:rFonts w:ascii="Times New Roman" w:hAnsi="Times New Roman"/>
          <w:szCs w:val="24"/>
        </w:rPr>
        <w:t xml:space="preserve"> as the amount of glycation reflects the </w:t>
      </w:r>
      <w:r w:rsidR="000D770B">
        <w:rPr>
          <w:rFonts w:ascii="Times New Roman" w:hAnsi="Times New Roman"/>
          <w:szCs w:val="24"/>
        </w:rPr>
        <w:t xml:space="preserve">long term </w:t>
      </w:r>
      <w:r w:rsidR="0084385D">
        <w:rPr>
          <w:rFonts w:ascii="Times New Roman" w:hAnsi="Times New Roman"/>
          <w:szCs w:val="24"/>
        </w:rPr>
        <w:t>concentration</w:t>
      </w:r>
      <w:r w:rsidR="00F604F9">
        <w:rPr>
          <w:rFonts w:ascii="Times New Roman" w:hAnsi="Times New Roman"/>
          <w:szCs w:val="24"/>
        </w:rPr>
        <w:t xml:space="preserve"> of </w:t>
      </w:r>
      <w:r w:rsidR="0084385D">
        <w:rPr>
          <w:rFonts w:ascii="Times New Roman" w:hAnsi="Times New Roman"/>
          <w:szCs w:val="24"/>
        </w:rPr>
        <w:t>glucose</w:t>
      </w:r>
      <w:r w:rsidR="00F604F9">
        <w:rPr>
          <w:rFonts w:ascii="Times New Roman" w:hAnsi="Times New Roman"/>
          <w:szCs w:val="24"/>
        </w:rPr>
        <w:t xml:space="preserve"> in the blood. Many </w:t>
      </w:r>
      <w:r w:rsidR="0084385D">
        <w:rPr>
          <w:rFonts w:ascii="Times New Roman" w:hAnsi="Times New Roman"/>
          <w:szCs w:val="24"/>
        </w:rPr>
        <w:t>diabetes</w:t>
      </w:r>
      <w:r w:rsidR="00F604F9">
        <w:rPr>
          <w:rFonts w:ascii="Times New Roman" w:hAnsi="Times New Roman"/>
          <w:szCs w:val="24"/>
        </w:rPr>
        <w:t xml:space="preserve"> studies on treatment and diagnosis now also look at other plasma protein</w:t>
      </w:r>
      <w:r w:rsidR="00055977">
        <w:rPr>
          <w:rFonts w:ascii="Times New Roman" w:hAnsi="Times New Roman"/>
          <w:szCs w:val="24"/>
        </w:rPr>
        <w:t>,</w:t>
      </w:r>
      <w:r w:rsidR="00F604F9">
        <w:rPr>
          <w:rFonts w:ascii="Times New Roman" w:hAnsi="Times New Roman"/>
          <w:szCs w:val="24"/>
        </w:rPr>
        <w:t xml:space="preserve"> such as albumin and IgG</w:t>
      </w:r>
      <w:r w:rsidR="00055977">
        <w:rPr>
          <w:rFonts w:ascii="Times New Roman" w:hAnsi="Times New Roman"/>
          <w:szCs w:val="24"/>
        </w:rPr>
        <w:t>,</w:t>
      </w:r>
      <w:r w:rsidR="00F604F9">
        <w:rPr>
          <w:rFonts w:ascii="Times New Roman" w:hAnsi="Times New Roman"/>
          <w:szCs w:val="24"/>
        </w:rPr>
        <w:t xml:space="preserve"> which </w:t>
      </w:r>
      <w:r w:rsidR="00055977">
        <w:rPr>
          <w:rFonts w:ascii="Times New Roman" w:hAnsi="Times New Roman"/>
          <w:szCs w:val="24"/>
        </w:rPr>
        <w:t xml:space="preserve">can </w:t>
      </w:r>
      <w:r w:rsidR="000D770B">
        <w:rPr>
          <w:rFonts w:ascii="Times New Roman" w:hAnsi="Times New Roman"/>
          <w:szCs w:val="24"/>
        </w:rPr>
        <w:t xml:space="preserve">also </w:t>
      </w:r>
      <w:r w:rsidR="00055977">
        <w:rPr>
          <w:rFonts w:ascii="Times New Roman" w:hAnsi="Times New Roman"/>
          <w:szCs w:val="24"/>
        </w:rPr>
        <w:t xml:space="preserve">be </w:t>
      </w:r>
      <w:r w:rsidR="00F604F9">
        <w:rPr>
          <w:rFonts w:ascii="Times New Roman" w:hAnsi="Times New Roman"/>
          <w:szCs w:val="24"/>
        </w:rPr>
        <w:t>glycated.</w:t>
      </w:r>
      <w:r w:rsidR="002F25F2">
        <w:rPr>
          <w:rFonts w:ascii="Times New Roman" w:hAnsi="Times New Roman"/>
          <w:szCs w:val="24"/>
        </w:rPr>
        <w:fldChar w:fldCharType="begin" w:fldLock="1"/>
      </w:r>
      <w:r w:rsidR="00EE3FD9">
        <w:rPr>
          <w:rFonts w:ascii="Times New Roman" w:hAnsi="Times New Roman"/>
          <w:szCs w:val="24"/>
        </w:rPr>
        <w:instrText>ADDIN CSL_CITATION {"citationItems":[{"id":"ITEM-1","itemData":{"DOI":"10.1021/pr800858h","ISSN":"1535-3893","PMID":"19093874","abstract":"The Maillard reaction, starting from the glycation of protein and progressing to the formation of advanced glycation end-products (AGEs), is implicated in the development of complications of diabetes mellitus, as well as in the pathogenesis of cardiovascular, renal, and neurodegenerative diseases. In this perspective review, we provide an overview on the relevance of the Maillard reaction in the pathogenesis of chronic disease and discuss traditional approaches and recent developments in the analysis of glycated proteins by mass spectrometry. We propose that proteomics approaches, particularly bottom-up proteomics, will play a significant role in analyses of clinical samples leading to the identification of new markers of disease development and progression.","author":[{"dropping-particle":"","family":"Zhang","given":"Qibin","non-dropping-particle":"","parse-names":false,"suffix":""},{"dropping-particle":"","family":"Ames","given":"Jennifer M","non-dropping-particle":"","parse-names":false,"suffix":""},{"dropping-particle":"","family":"Smith","given":"Richard D","non-dropping-particle":"","parse-names":false,"suffix":""},{"dropping-particle":"","family":"Baynes","given":"John W","non-dropping-particle":"","parse-names":false,"suffix":""},{"dropping-particle":"","family":"Metz","given":"Thomas O","non-dropping-particle":"","parse-names":false,"suffix":""}],"container-title":"Journal of proteome research","id":"ITEM-1","issue":"2","issued":{"date-parts":[["2009","2"]]},"page":"754-69","publisher":"NIH Public Access","title":"A perspective on the Maillard reaction and the analysis of protein glycation by mass spectrometry: probing the pathogenesis of chronic disease.","type":"article-journal","volume":"8"},"uris":["http://www.mendeley.com/documents/?uuid=264c794d-72c6-3647-bea2-fcdab93de418"]},{"id":"ITEM-2","itemData":{"DOI":"10.4196/kjpp.2014.18.1.1","ISSN":"1226-4512","PMID":"24634591","abstract":"During long standing hyperglycaemic state in diabetes mellitus, glucose forms covalent adducts with the plasma proteins through a non-enzymatic process known as glycation. Protein glycation and formation of advanced glycation end products (AGEs) play an important role in the pathogenesis of diabetic complications like retinopathy, nephropathy, neuropathy, cardiomyopathy along with some other diseases such as rheumatoid arthritis, osteoporosis and aging. Glycation of proteins interferes with their normal functions by disrupting molecular conformation, altering enzymatic activity, and interfering with receptor functioning. AGEs form intra- and extracellular cross linking not only with proteins, but with some other endogenous key molecules including lipids and nucleic acids to contribute in the development of diabetic complications. Recent studies suggest that AGEs interact with plasma membrane localized receptors for AGEs (RAGE) to alter intracellular signaling, gene expression, release of pro-inflammatory molecules and free radicals. The present review discusses the glycation of plasma proteins such as albumin, fibrinogen, globulins and collagen to form different types of AGEs. Furthermore, the role of AGEs in the pathogenesis of diabetic complications including retinopathy, cataract, neuropathy, nephropathy and cardiomyopathy is also discussed.","author":[{"dropping-particle":"","family":"Singh","given":"Varun Parkash","non-dropping-particle":"","parse-names":false,"suffix":""},{"dropping-particle":"","family":"Bali","given":"Anjana","non-dropping-particle":"","parse-names":false,"suffix":""},{"dropping-particle":"","family":"Singh","given":"Nirmal","non-dropping-particle":"","parse-names":false,"suffix":""},{"dropping-particle":"","family":"Jaggi","given":"Amteshwar Singh","non-dropping-particle":"","parse-names":false,"suffix":""}],"container-title":"The Korean journal of physiology &amp; pharmacology : official journal of the Korean Physiological Society and the Korean Society of Pharmacology","id":"ITEM-2","issue":"1","issued":{"date-parts":[["2014","2"]]},"page":"1-14","publisher":"Korean Physiological Society and Korean Society of Pharmacology","title":"Advanced glycation end products and diabetic complications.","type":"article-journal","volume":"18"},"uris":["http://www.mendeley.com/documents/?uuid=3de2b085-ac45-3e18-ae28-90b76577a100"]}],"mendeley":{"formattedCitation":"&lt;sup&gt;8,10&lt;/sup&gt;","plainTextFormattedCitation":"8,10","previouslyFormattedCitation":"&lt;sup&gt;8,10&lt;/sup&gt;"},"properties":{"noteIndex":0},"schema":"https://github.com/citation-style-language/schema/raw/master/csl-citation.json"}</w:instrText>
      </w:r>
      <w:r w:rsidR="002F25F2">
        <w:rPr>
          <w:rFonts w:ascii="Times New Roman" w:hAnsi="Times New Roman"/>
          <w:szCs w:val="24"/>
        </w:rPr>
        <w:fldChar w:fldCharType="separate"/>
      </w:r>
      <w:r w:rsidR="002F25F2" w:rsidRPr="002F25F2">
        <w:rPr>
          <w:rFonts w:ascii="Times New Roman" w:hAnsi="Times New Roman"/>
          <w:noProof/>
          <w:szCs w:val="24"/>
          <w:vertAlign w:val="superscript"/>
        </w:rPr>
        <w:t>8,10</w:t>
      </w:r>
      <w:r w:rsidR="002F25F2">
        <w:rPr>
          <w:rFonts w:ascii="Times New Roman" w:hAnsi="Times New Roman"/>
          <w:szCs w:val="24"/>
        </w:rPr>
        <w:fldChar w:fldCharType="end"/>
      </w:r>
      <w:r w:rsidR="00F604F9">
        <w:rPr>
          <w:rFonts w:ascii="Times New Roman" w:hAnsi="Times New Roman"/>
          <w:szCs w:val="24"/>
        </w:rPr>
        <w:t xml:space="preserve"> </w:t>
      </w:r>
      <w:r w:rsidR="00055977">
        <w:rPr>
          <w:rFonts w:ascii="Times New Roman" w:hAnsi="Times New Roman"/>
          <w:szCs w:val="24"/>
        </w:rPr>
        <w:t>P</w:t>
      </w:r>
      <w:r w:rsidR="00F604F9">
        <w:rPr>
          <w:rFonts w:ascii="Times New Roman" w:hAnsi="Times New Roman"/>
          <w:szCs w:val="24"/>
        </w:rPr>
        <w:t xml:space="preserve">atients with </w:t>
      </w:r>
      <w:r w:rsidR="00DF773C">
        <w:rPr>
          <w:rFonts w:ascii="Times New Roman" w:hAnsi="Times New Roman"/>
          <w:szCs w:val="24"/>
        </w:rPr>
        <w:t>Alzheimer’s</w:t>
      </w:r>
      <w:r w:rsidR="00F604F9">
        <w:rPr>
          <w:rFonts w:ascii="Times New Roman" w:hAnsi="Times New Roman"/>
          <w:szCs w:val="24"/>
        </w:rPr>
        <w:t xml:space="preserve"> disease </w:t>
      </w:r>
      <w:r w:rsidR="00A82188">
        <w:rPr>
          <w:rFonts w:ascii="Times New Roman" w:hAnsi="Times New Roman"/>
          <w:szCs w:val="24"/>
        </w:rPr>
        <w:t xml:space="preserve">have high accumulation of AGEs </w:t>
      </w:r>
      <w:r w:rsidR="00055977">
        <w:rPr>
          <w:rFonts w:ascii="Times New Roman" w:hAnsi="Times New Roman"/>
          <w:szCs w:val="24"/>
        </w:rPr>
        <w:t>on top of</w:t>
      </w:r>
      <w:r w:rsidR="00A82188">
        <w:rPr>
          <w:rFonts w:ascii="Times New Roman" w:hAnsi="Times New Roman"/>
          <w:szCs w:val="24"/>
        </w:rPr>
        <w:t xml:space="preserve"> the </w:t>
      </w:r>
      <w:r w:rsidR="00DF773C">
        <w:rPr>
          <w:rFonts w:ascii="Times New Roman" w:hAnsi="Times New Roman"/>
          <w:szCs w:val="24"/>
        </w:rPr>
        <w:t>increased</w:t>
      </w:r>
      <w:r w:rsidR="00A82188">
        <w:rPr>
          <w:rFonts w:ascii="Times New Roman" w:hAnsi="Times New Roman"/>
          <w:szCs w:val="24"/>
        </w:rPr>
        <w:t xml:space="preserve"> </w:t>
      </w:r>
      <w:r w:rsidR="00DF773C">
        <w:rPr>
          <w:rFonts w:ascii="Times New Roman" w:hAnsi="Times New Roman"/>
          <w:szCs w:val="24"/>
        </w:rPr>
        <w:t>levels</w:t>
      </w:r>
      <w:r w:rsidR="00A82188">
        <w:rPr>
          <w:rFonts w:ascii="Times New Roman" w:hAnsi="Times New Roman"/>
          <w:szCs w:val="24"/>
        </w:rPr>
        <w:t xml:space="preserve"> of AGEs that </w:t>
      </w:r>
      <w:r w:rsidR="00055977">
        <w:rPr>
          <w:rFonts w:ascii="Times New Roman" w:hAnsi="Times New Roman"/>
          <w:szCs w:val="24"/>
        </w:rPr>
        <w:t xml:space="preserve">occur </w:t>
      </w:r>
      <w:r w:rsidR="00A82188">
        <w:rPr>
          <w:rFonts w:ascii="Times New Roman" w:hAnsi="Times New Roman"/>
          <w:szCs w:val="24"/>
        </w:rPr>
        <w:t xml:space="preserve">with natural aging. </w:t>
      </w:r>
      <w:r w:rsidR="000323CB">
        <w:rPr>
          <w:rFonts w:ascii="Times New Roman" w:hAnsi="Times New Roman"/>
          <w:szCs w:val="24"/>
        </w:rPr>
        <w:t xml:space="preserve">Research for </w:t>
      </w:r>
      <w:r w:rsidR="00A74D66">
        <w:rPr>
          <w:rFonts w:ascii="Times New Roman" w:hAnsi="Times New Roman"/>
          <w:szCs w:val="24"/>
        </w:rPr>
        <w:t xml:space="preserve">Alzheimer’s </w:t>
      </w:r>
      <w:r w:rsidR="000323CB">
        <w:rPr>
          <w:rFonts w:ascii="Times New Roman" w:hAnsi="Times New Roman"/>
          <w:szCs w:val="24"/>
        </w:rPr>
        <w:t xml:space="preserve">diagnostics now focuses on glycated products in the brain tissues and </w:t>
      </w:r>
      <w:r w:rsidR="00B63C4F">
        <w:rPr>
          <w:rFonts w:ascii="Times New Roman" w:hAnsi="Times New Roman"/>
          <w:szCs w:val="24"/>
        </w:rPr>
        <w:t>cerebrospin</w:t>
      </w:r>
      <w:r w:rsidR="00DF773C">
        <w:rPr>
          <w:rFonts w:ascii="Times New Roman" w:hAnsi="Times New Roman"/>
          <w:szCs w:val="24"/>
        </w:rPr>
        <w:t>al</w:t>
      </w:r>
      <w:r w:rsidR="000323CB">
        <w:rPr>
          <w:rFonts w:ascii="Times New Roman" w:hAnsi="Times New Roman"/>
          <w:szCs w:val="24"/>
        </w:rPr>
        <w:t xml:space="preserve"> </w:t>
      </w:r>
      <w:r w:rsidR="00B63C4F">
        <w:rPr>
          <w:rFonts w:ascii="Times New Roman" w:hAnsi="Times New Roman"/>
          <w:szCs w:val="24"/>
        </w:rPr>
        <w:t>fluid</w:t>
      </w:r>
      <w:r w:rsidR="000323CB">
        <w:rPr>
          <w:rFonts w:ascii="Times New Roman" w:hAnsi="Times New Roman"/>
          <w:szCs w:val="24"/>
        </w:rPr>
        <w:t xml:space="preserve"> (CSF). Therefore glycation </w:t>
      </w:r>
      <w:r w:rsidR="00DF773C">
        <w:rPr>
          <w:rFonts w:ascii="Times New Roman" w:hAnsi="Times New Roman"/>
          <w:szCs w:val="24"/>
        </w:rPr>
        <w:t>products</w:t>
      </w:r>
      <w:r w:rsidR="000323CB">
        <w:rPr>
          <w:rFonts w:ascii="Times New Roman" w:hAnsi="Times New Roman"/>
          <w:szCs w:val="24"/>
        </w:rPr>
        <w:t xml:space="preserve"> are have a wide scope as biomarkers for </w:t>
      </w:r>
      <w:r w:rsidR="00B63C4F">
        <w:rPr>
          <w:rFonts w:ascii="Times New Roman" w:hAnsi="Times New Roman"/>
          <w:szCs w:val="24"/>
        </w:rPr>
        <w:t>diagnostic</w:t>
      </w:r>
      <w:r w:rsidR="000323CB">
        <w:rPr>
          <w:rFonts w:ascii="Times New Roman" w:hAnsi="Times New Roman"/>
          <w:szCs w:val="24"/>
        </w:rPr>
        <w:t xml:space="preserve"> purposes.</w:t>
      </w:r>
      <w:r w:rsidR="00B706BC">
        <w:rPr>
          <w:rFonts w:ascii="Times New Roman" w:hAnsi="Times New Roman"/>
          <w:szCs w:val="24"/>
        </w:rPr>
        <w:fldChar w:fldCharType="begin" w:fldLock="1"/>
      </w:r>
      <w:r w:rsidR="00B706BC">
        <w:rPr>
          <w:rFonts w:ascii="Times New Roman" w:hAnsi="Times New Roman"/>
          <w:szCs w:val="24"/>
        </w:rPr>
        <w:instrText>ADDIN CSL_CITATION {"citationItems":[{"id":"ITEM-1","itemData":{"DOI":"10.1515/CCLM.2011.079","abstract":"Alzheimer's disease (AD) is the most common dementia disorder of later life. Although there might be various different triggering events in the early stages of the disease, they appear to converge on a few characteristic final pathways in the late stages, characterized by inflammation and neurodegeneration. Here, we review the hypothesis that advanced glycation end products (AGEs), which reflect car-bonyl stress, an imbalance between the production of reac-tive carbonyl compounds and their detoxification, can serve as biomarkers for the progression of disorder. AGE modification may explain many of the neuropathological and biochemical features of AD, such as extensive protein cross-linking shown as amyloid plaques and neurofibrillary tangles, inflammation, oxidative stress and neuronal cell death. Although accumulation of AGEs is a normal feature of aging, it appears to be significantly accelerated in AD. We suggest that higher AGE concentrations in brain tissue and in cerebrospinal fluid might be able to distinguish between normal aging and AD.","author":[{"dropping-particle":"","family":"Rahmadi","given":"Anton","non-dropping-particle":"","parse-names":false,"suffix":""},{"dropping-particle":"","family":"Steiner","given":"Nicole","non-dropping-particle":"","parse-names":false,"suffix":""},{"dropping-particle":"","family":"Mü","given":"Gerald","non-dropping-particle":"","parse-names":false,"suffix":""}],"container-title":"Clin Chem Lab Med","id":"ITEM-1","issue":"3","issued":{"date-parts":[["2011"]]},"page":"385-391","title":"Advanced glycation endproducts as gerontotoxins and biomarkers for carbonyl-based degenerative processes in Alzheimer's disease","type":"article-journal","volume":"49"},"uris":["http://www.mendeley.com/documents/?uuid=53615f18-5c88-3f2a-85db-24a6ef460e5a"]}],"mendeley":{"formattedCitation":"&lt;sup&gt;11&lt;/sup&gt;","plainTextFormattedCitation":"11","previouslyFormattedCitation":"&lt;sup&gt;11&lt;/sup&gt;"},"properties":{"noteIndex":0},"schema":"https://github.com/citation-style-language/schema/raw/master/csl-citation.json"}</w:instrText>
      </w:r>
      <w:r w:rsidR="00B706BC">
        <w:rPr>
          <w:rFonts w:ascii="Times New Roman" w:hAnsi="Times New Roman"/>
          <w:szCs w:val="24"/>
        </w:rPr>
        <w:fldChar w:fldCharType="separate"/>
      </w:r>
      <w:r w:rsidR="00B706BC" w:rsidRPr="00375CAA">
        <w:rPr>
          <w:rFonts w:ascii="Times New Roman" w:hAnsi="Times New Roman"/>
          <w:noProof/>
          <w:szCs w:val="24"/>
          <w:vertAlign w:val="superscript"/>
        </w:rPr>
        <w:t>11</w:t>
      </w:r>
      <w:r w:rsidR="00B706BC">
        <w:rPr>
          <w:rFonts w:ascii="Times New Roman" w:hAnsi="Times New Roman"/>
          <w:szCs w:val="24"/>
        </w:rPr>
        <w:fldChar w:fldCharType="end"/>
      </w:r>
    </w:p>
    <w:p w14:paraId="6A6A0DB6" w14:textId="727B5AF2" w:rsidR="00AD2914" w:rsidRDefault="00B63C4F" w:rsidP="007C120F">
      <w:pPr>
        <w:spacing w:line="480" w:lineRule="auto"/>
        <w:rPr>
          <w:rFonts w:ascii="Times New Roman" w:hAnsi="Times New Roman"/>
          <w:szCs w:val="24"/>
        </w:rPr>
      </w:pPr>
      <w:r>
        <w:rPr>
          <w:rFonts w:ascii="Times New Roman" w:hAnsi="Times New Roman"/>
          <w:szCs w:val="24"/>
        </w:rPr>
        <w:t>T</w:t>
      </w:r>
      <w:r w:rsidR="004D0070">
        <w:rPr>
          <w:rFonts w:ascii="Times New Roman" w:hAnsi="Times New Roman"/>
          <w:szCs w:val="24"/>
        </w:rPr>
        <w:t xml:space="preserve">he </w:t>
      </w:r>
      <w:r>
        <w:rPr>
          <w:rFonts w:ascii="Times New Roman" w:hAnsi="Times New Roman"/>
          <w:szCs w:val="24"/>
        </w:rPr>
        <w:t>pharmaceutical</w:t>
      </w:r>
      <w:r w:rsidR="004D0070">
        <w:rPr>
          <w:rFonts w:ascii="Times New Roman" w:hAnsi="Times New Roman"/>
          <w:szCs w:val="24"/>
        </w:rPr>
        <w:t xml:space="preserve"> industry </w:t>
      </w:r>
      <w:r w:rsidR="000D770B">
        <w:rPr>
          <w:rFonts w:ascii="Times New Roman" w:hAnsi="Times New Roman"/>
          <w:szCs w:val="24"/>
        </w:rPr>
        <w:t xml:space="preserve">has been </w:t>
      </w:r>
      <w:r w:rsidR="00287D7A">
        <w:rPr>
          <w:rFonts w:ascii="Times New Roman" w:hAnsi="Times New Roman"/>
          <w:szCs w:val="24"/>
        </w:rPr>
        <w:t xml:space="preserve">increasingly </w:t>
      </w:r>
      <w:r>
        <w:rPr>
          <w:rFonts w:ascii="Times New Roman" w:hAnsi="Times New Roman"/>
          <w:szCs w:val="24"/>
        </w:rPr>
        <w:t>turn</w:t>
      </w:r>
      <w:r w:rsidR="000D770B">
        <w:rPr>
          <w:rFonts w:ascii="Times New Roman" w:hAnsi="Times New Roman"/>
          <w:szCs w:val="24"/>
        </w:rPr>
        <w:t xml:space="preserve">ing </w:t>
      </w:r>
      <w:r w:rsidR="004D0070">
        <w:rPr>
          <w:rFonts w:ascii="Times New Roman" w:hAnsi="Times New Roman"/>
          <w:szCs w:val="24"/>
        </w:rPr>
        <w:t>to biologically based drugs</w:t>
      </w:r>
      <w:r w:rsidR="000323CB">
        <w:rPr>
          <w:rFonts w:ascii="Times New Roman" w:hAnsi="Times New Roman"/>
          <w:szCs w:val="24"/>
        </w:rPr>
        <w:t xml:space="preserve"> in the treatment of </w:t>
      </w:r>
      <w:r>
        <w:rPr>
          <w:rFonts w:ascii="Times New Roman" w:hAnsi="Times New Roman"/>
          <w:szCs w:val="24"/>
        </w:rPr>
        <w:t>autoimmune</w:t>
      </w:r>
      <w:r w:rsidR="000323CB">
        <w:rPr>
          <w:rFonts w:ascii="Times New Roman" w:hAnsi="Times New Roman"/>
          <w:szCs w:val="24"/>
        </w:rPr>
        <w:t xml:space="preserve"> </w:t>
      </w:r>
      <w:r w:rsidR="00A37830">
        <w:rPr>
          <w:rFonts w:ascii="Times New Roman" w:hAnsi="Times New Roman"/>
          <w:szCs w:val="24"/>
        </w:rPr>
        <w:t>and</w:t>
      </w:r>
      <w:r w:rsidR="000323CB">
        <w:rPr>
          <w:rFonts w:ascii="Times New Roman" w:hAnsi="Times New Roman"/>
          <w:szCs w:val="24"/>
        </w:rPr>
        <w:t xml:space="preserve"> diff</w:t>
      </w:r>
      <w:r>
        <w:rPr>
          <w:rFonts w:ascii="Times New Roman" w:hAnsi="Times New Roman"/>
          <w:szCs w:val="24"/>
        </w:rPr>
        <w:t>icult to</w:t>
      </w:r>
      <w:r w:rsidR="000323CB">
        <w:rPr>
          <w:rFonts w:ascii="Times New Roman" w:hAnsi="Times New Roman"/>
          <w:szCs w:val="24"/>
        </w:rPr>
        <w:t xml:space="preserve"> treat </w:t>
      </w:r>
      <w:r>
        <w:rPr>
          <w:rFonts w:ascii="Times New Roman" w:hAnsi="Times New Roman"/>
          <w:szCs w:val="24"/>
        </w:rPr>
        <w:t>diseases</w:t>
      </w:r>
      <w:r w:rsidR="000323CB">
        <w:rPr>
          <w:rFonts w:ascii="Times New Roman" w:hAnsi="Times New Roman"/>
          <w:szCs w:val="24"/>
        </w:rPr>
        <w:t>. Monoclonal antibodies (mAbs) are one of the most common types of biotherapeutic.</w:t>
      </w:r>
      <w:r w:rsidR="004D0070">
        <w:rPr>
          <w:rFonts w:ascii="Times New Roman" w:hAnsi="Times New Roman"/>
          <w:szCs w:val="24"/>
        </w:rPr>
        <w:t xml:space="preserve"> </w:t>
      </w:r>
      <w:r w:rsidR="000323CB">
        <w:rPr>
          <w:rFonts w:ascii="Times New Roman" w:hAnsi="Times New Roman"/>
          <w:szCs w:val="24"/>
        </w:rPr>
        <w:t xml:space="preserve">Glycation has </w:t>
      </w:r>
      <w:r>
        <w:rPr>
          <w:rFonts w:ascii="Times New Roman" w:hAnsi="Times New Roman"/>
          <w:szCs w:val="24"/>
        </w:rPr>
        <w:t>been proven</w:t>
      </w:r>
      <w:r w:rsidR="000323CB">
        <w:rPr>
          <w:rFonts w:ascii="Times New Roman" w:hAnsi="Times New Roman"/>
          <w:szCs w:val="24"/>
        </w:rPr>
        <w:t xml:space="preserve"> to </w:t>
      </w:r>
      <w:r>
        <w:rPr>
          <w:rFonts w:ascii="Times New Roman" w:hAnsi="Times New Roman"/>
          <w:szCs w:val="24"/>
        </w:rPr>
        <w:t>be problematic</w:t>
      </w:r>
      <w:r w:rsidR="00E452DB">
        <w:rPr>
          <w:rFonts w:ascii="Times New Roman" w:hAnsi="Times New Roman"/>
          <w:szCs w:val="24"/>
        </w:rPr>
        <w:t xml:space="preserve"> </w:t>
      </w:r>
      <w:r>
        <w:rPr>
          <w:rFonts w:ascii="Times New Roman" w:hAnsi="Times New Roman"/>
          <w:szCs w:val="24"/>
        </w:rPr>
        <w:t>during</w:t>
      </w:r>
      <w:r w:rsidR="009C1B2D">
        <w:rPr>
          <w:rFonts w:ascii="Times New Roman" w:hAnsi="Times New Roman"/>
          <w:szCs w:val="24"/>
        </w:rPr>
        <w:t xml:space="preserve"> </w:t>
      </w:r>
      <w:r>
        <w:rPr>
          <w:rFonts w:ascii="Times New Roman" w:hAnsi="Times New Roman"/>
          <w:szCs w:val="24"/>
        </w:rPr>
        <w:t>therapeutic</w:t>
      </w:r>
      <w:r w:rsidR="00E452DB">
        <w:rPr>
          <w:rFonts w:ascii="Times New Roman" w:hAnsi="Times New Roman"/>
          <w:szCs w:val="24"/>
        </w:rPr>
        <w:t xml:space="preserve"> expression</w:t>
      </w:r>
      <w:r w:rsidR="000323CB">
        <w:rPr>
          <w:rFonts w:ascii="Times New Roman" w:hAnsi="Times New Roman"/>
          <w:szCs w:val="24"/>
        </w:rPr>
        <w:t xml:space="preserve">. </w:t>
      </w:r>
      <w:r w:rsidR="009C1B2D">
        <w:rPr>
          <w:rFonts w:ascii="Times New Roman" w:hAnsi="Times New Roman"/>
          <w:szCs w:val="24"/>
        </w:rPr>
        <w:t>mAb</w:t>
      </w:r>
      <w:r w:rsidR="000323CB">
        <w:rPr>
          <w:rFonts w:ascii="Times New Roman" w:hAnsi="Times New Roman"/>
          <w:szCs w:val="24"/>
        </w:rPr>
        <w:t>s</w:t>
      </w:r>
      <w:r w:rsidR="009C1B2D">
        <w:rPr>
          <w:rFonts w:ascii="Times New Roman" w:hAnsi="Times New Roman"/>
          <w:szCs w:val="24"/>
        </w:rPr>
        <w:t xml:space="preserve"> are </w:t>
      </w:r>
      <w:r w:rsidR="00287D7A">
        <w:rPr>
          <w:rFonts w:ascii="Times New Roman" w:hAnsi="Times New Roman"/>
          <w:szCs w:val="24"/>
        </w:rPr>
        <w:t xml:space="preserve">often </w:t>
      </w:r>
      <w:r w:rsidR="009C1B2D">
        <w:rPr>
          <w:rFonts w:ascii="Times New Roman" w:hAnsi="Times New Roman"/>
          <w:szCs w:val="24"/>
        </w:rPr>
        <w:t>expressed using</w:t>
      </w:r>
      <w:r w:rsidR="000323CB">
        <w:rPr>
          <w:rFonts w:ascii="Times New Roman" w:hAnsi="Times New Roman"/>
          <w:szCs w:val="24"/>
        </w:rPr>
        <w:t xml:space="preserve"> </w:t>
      </w:r>
      <w:r>
        <w:rPr>
          <w:rFonts w:ascii="Times New Roman" w:hAnsi="Times New Roman"/>
          <w:szCs w:val="24"/>
        </w:rPr>
        <w:t>Chinese</w:t>
      </w:r>
      <w:r w:rsidR="000323CB">
        <w:rPr>
          <w:rFonts w:ascii="Times New Roman" w:hAnsi="Times New Roman"/>
          <w:szCs w:val="24"/>
        </w:rPr>
        <w:t xml:space="preserve"> hamster ovary (</w:t>
      </w:r>
      <w:r w:rsidR="009C1B2D">
        <w:rPr>
          <w:rFonts w:ascii="Times New Roman" w:hAnsi="Times New Roman"/>
          <w:szCs w:val="24"/>
        </w:rPr>
        <w:t>CHO</w:t>
      </w:r>
      <w:r w:rsidR="000323CB">
        <w:rPr>
          <w:rFonts w:ascii="Times New Roman" w:hAnsi="Times New Roman"/>
          <w:szCs w:val="24"/>
        </w:rPr>
        <w:t>)</w:t>
      </w:r>
      <w:r w:rsidR="009C1B2D">
        <w:rPr>
          <w:rFonts w:ascii="Times New Roman" w:hAnsi="Times New Roman"/>
          <w:szCs w:val="24"/>
        </w:rPr>
        <w:t xml:space="preserve"> systems </w:t>
      </w:r>
      <w:r w:rsidR="00BC5CCF">
        <w:rPr>
          <w:rFonts w:ascii="Times New Roman" w:hAnsi="Times New Roman"/>
          <w:szCs w:val="24"/>
        </w:rPr>
        <w:t xml:space="preserve">in </w:t>
      </w:r>
      <w:r w:rsidR="009C1B2D">
        <w:rPr>
          <w:rFonts w:ascii="Times New Roman" w:hAnsi="Times New Roman"/>
          <w:szCs w:val="24"/>
        </w:rPr>
        <w:t xml:space="preserve">which glucose or other </w:t>
      </w:r>
      <w:r>
        <w:rPr>
          <w:rFonts w:ascii="Times New Roman" w:hAnsi="Times New Roman"/>
          <w:szCs w:val="24"/>
        </w:rPr>
        <w:t>sugars</w:t>
      </w:r>
      <w:r w:rsidR="009C1B2D">
        <w:rPr>
          <w:rFonts w:ascii="Times New Roman" w:hAnsi="Times New Roman"/>
          <w:szCs w:val="24"/>
        </w:rPr>
        <w:t xml:space="preserve"> </w:t>
      </w:r>
      <w:r w:rsidR="00BC5CCF">
        <w:rPr>
          <w:rFonts w:ascii="Times New Roman" w:hAnsi="Times New Roman"/>
          <w:szCs w:val="24"/>
        </w:rPr>
        <w:t xml:space="preserve">are used </w:t>
      </w:r>
      <w:r w:rsidR="009C1B2D">
        <w:rPr>
          <w:rFonts w:ascii="Times New Roman" w:hAnsi="Times New Roman"/>
          <w:szCs w:val="24"/>
        </w:rPr>
        <w:t xml:space="preserve">as the primary feed source </w:t>
      </w:r>
      <w:r w:rsidR="000323CB">
        <w:rPr>
          <w:rFonts w:ascii="Times New Roman" w:hAnsi="Times New Roman"/>
          <w:szCs w:val="24"/>
        </w:rPr>
        <w:t xml:space="preserve">to </w:t>
      </w:r>
      <w:r>
        <w:rPr>
          <w:rFonts w:ascii="Times New Roman" w:hAnsi="Times New Roman"/>
          <w:szCs w:val="24"/>
        </w:rPr>
        <w:t>drive produc</w:t>
      </w:r>
      <w:r w:rsidR="000323CB">
        <w:rPr>
          <w:rFonts w:ascii="Times New Roman" w:hAnsi="Times New Roman"/>
          <w:szCs w:val="24"/>
        </w:rPr>
        <w:t>tion of the proteins.</w:t>
      </w:r>
      <w:r>
        <w:rPr>
          <w:rFonts w:ascii="Times New Roman" w:hAnsi="Times New Roman"/>
          <w:szCs w:val="24"/>
        </w:rPr>
        <w:t xml:space="preserve"> </w:t>
      </w:r>
      <w:r w:rsidR="00287D7A">
        <w:rPr>
          <w:rFonts w:ascii="Times New Roman" w:hAnsi="Times New Roman"/>
          <w:szCs w:val="24"/>
        </w:rPr>
        <w:t>For example,</w:t>
      </w:r>
      <w:r w:rsidR="00C44D8F">
        <w:rPr>
          <w:rFonts w:ascii="Times New Roman" w:hAnsi="Times New Roman"/>
          <w:szCs w:val="24"/>
        </w:rPr>
        <w:t xml:space="preserve"> </w:t>
      </w:r>
      <w:r w:rsidR="00287D7A">
        <w:rPr>
          <w:rFonts w:ascii="Times New Roman" w:hAnsi="Times New Roman"/>
          <w:szCs w:val="24"/>
        </w:rPr>
        <w:t xml:space="preserve">the </w:t>
      </w:r>
      <w:proofErr w:type="spellStart"/>
      <w:r w:rsidR="00287D7A">
        <w:rPr>
          <w:rFonts w:ascii="Times New Roman" w:hAnsi="Times New Roman"/>
          <w:szCs w:val="24"/>
        </w:rPr>
        <w:t>mAb</w:t>
      </w:r>
      <w:proofErr w:type="spellEnd"/>
      <w:r w:rsidR="00287D7A">
        <w:rPr>
          <w:rFonts w:ascii="Times New Roman" w:hAnsi="Times New Roman"/>
          <w:szCs w:val="24"/>
        </w:rPr>
        <w:t xml:space="preserve"> </w:t>
      </w:r>
      <w:proofErr w:type="spellStart"/>
      <w:r w:rsidR="00C44D8F">
        <w:rPr>
          <w:rFonts w:ascii="Times New Roman" w:hAnsi="Times New Roman"/>
          <w:szCs w:val="24"/>
        </w:rPr>
        <w:t>Rhumab</w:t>
      </w:r>
      <w:proofErr w:type="spellEnd"/>
      <w:r w:rsidR="00C44D8F">
        <w:rPr>
          <w:rFonts w:ascii="Times New Roman" w:hAnsi="Times New Roman"/>
          <w:szCs w:val="24"/>
        </w:rPr>
        <w:t xml:space="preserve"> manufactured </w:t>
      </w:r>
      <w:r w:rsidR="00D017B8">
        <w:rPr>
          <w:rFonts w:ascii="Times New Roman" w:hAnsi="Times New Roman"/>
          <w:szCs w:val="24"/>
        </w:rPr>
        <w:t>by Genente</w:t>
      </w:r>
      <w:r>
        <w:rPr>
          <w:rFonts w:ascii="Times New Roman" w:hAnsi="Times New Roman"/>
          <w:szCs w:val="24"/>
        </w:rPr>
        <w:t>ch and Ro</w:t>
      </w:r>
      <w:r w:rsidR="00C44D8F">
        <w:rPr>
          <w:rFonts w:ascii="Times New Roman" w:hAnsi="Times New Roman"/>
          <w:szCs w:val="24"/>
        </w:rPr>
        <w:t>che</w:t>
      </w:r>
      <w:r w:rsidR="00287D7A">
        <w:rPr>
          <w:rFonts w:ascii="Times New Roman" w:hAnsi="Times New Roman"/>
          <w:szCs w:val="24"/>
        </w:rPr>
        <w:t>,</w:t>
      </w:r>
      <w:r w:rsidR="00C44D8F">
        <w:rPr>
          <w:rFonts w:ascii="Times New Roman" w:hAnsi="Times New Roman"/>
          <w:szCs w:val="24"/>
        </w:rPr>
        <w:t xml:space="preserve"> has b</w:t>
      </w:r>
      <w:r w:rsidR="001604FE">
        <w:rPr>
          <w:rFonts w:ascii="Times New Roman" w:hAnsi="Times New Roman"/>
          <w:szCs w:val="24"/>
        </w:rPr>
        <w:t>een found to have between 40-60</w:t>
      </w:r>
      <w:r w:rsidR="00C44D8F">
        <w:rPr>
          <w:rFonts w:ascii="Times New Roman" w:hAnsi="Times New Roman"/>
          <w:szCs w:val="24"/>
        </w:rPr>
        <w:t>% glycation</w:t>
      </w:r>
      <w:r w:rsidR="00A74D66">
        <w:rPr>
          <w:rFonts w:ascii="Times New Roman" w:hAnsi="Times New Roman"/>
          <w:szCs w:val="24"/>
        </w:rPr>
        <w:t xml:space="preserve"> when expressed in specific CHO cell lines</w:t>
      </w:r>
      <w:r w:rsidR="00DB1795" w:rsidRPr="00DB1795">
        <w:rPr>
          <w:rFonts w:ascii="Times New Roman" w:hAnsi="Times New Roman"/>
          <w:szCs w:val="24"/>
        </w:rPr>
        <w:t xml:space="preserve"> </w:t>
      </w:r>
      <w:r w:rsidR="00DB1795">
        <w:rPr>
          <w:rFonts w:ascii="Times New Roman" w:hAnsi="Times New Roman"/>
          <w:szCs w:val="24"/>
        </w:rPr>
        <w:fldChar w:fldCharType="begin" w:fldLock="1"/>
      </w:r>
      <w:r w:rsidR="00375CAA">
        <w:rPr>
          <w:rFonts w:ascii="Times New Roman" w:hAnsi="Times New Roman"/>
          <w:szCs w:val="24"/>
        </w:rPr>
        <w:instrText>ADDIN CSL_CITATION {"citationItems":[{"id":"ITEM-1","itemData":{"DOI":"10.1021/ac701810q","abstract":"Biotechnological companies and regulatory agencies are pursuing the complete characterization of protein thera-peutics in every detail as a means to mitigate risks of product quality related safety issues. During the characterization of a recombinant humanized monoclonal anti-body (referred to as rhuMAb), electrospray mass spec-trometric analysis suggested that the light chain was highly glycated. The glycated and unglycated materials, separated using boronate affinity chromatography, were fully characterized using tryptic peptide mapping and tandem mass spectrometry. Using an automatic SEQUEST search of the single protein database for this antibody and extensive manual investigations of the mass spectra of the matched peptides, multiple tentative glycation sites in the light and heavy chains were observed in the highly glycated (&gt;53%) samples. A predominant glycation site was identified and confirmed to be lysine 49 on the light chain, by performing extensive sequence analysis on an isolated glycated pep-tide utilizing Edman degradation analysis and MALDI-TOF/TOF mass spectrometry. Sequence alignments of rhuMAb with 12 other recombinant monoclonal antibod-ies and computer modeling of the Fab part of rhuMAb suggest that the unusually high level of glycation of lysine residue 49, which is located adjacent to the second complementarity-determining region (CDR2) in the light chain, is due to a spatial proximity effect in catalyzing the Amadori rearrangement by aspartic acid residue 31 in the CDR1 on the light chain. Protein glycation is a nonenzymatic glycosylation that usually takes place at the-amino groups of lysine residues and R-amino groups of amino-terminal residues on proteins by reaction with reducing sugars such as glucose and lactose. A primary amine of the protein reacts with the aldehyde group of glucose to form a labile aldimine (Schiff base) derivative of the protein, which then slowly isomerizes to the more stable ketoamine adduct via the Amadori rearrangement. 1-3 The aldimine and ketoamine derivatives of proteins are referred to as early-stage glycation adducts. Prolonged incubation under aerobic conditions or physiological circulation of the initially glycated proteins may lead to the formation of a variety of advanced glycation end products (AGEs) due to oxidative ketoamine dehydration, fragmentation, or direct reaction of R-oxoaldehydes with amino groups from other proteins to produce more complex and irreversibly covalently cross-link…","author":[{"dropping-particle":"","family":"Thorpe","given":"S R","non-dropping-particle":"","parse-names":false,"suffix":""},{"dropping-particle":"","family":"Baynes","given":"J W","non-dropping-particle":"","parse-names":false,"suffix":""},{"dropping-particle":"","family":"Horowitz","given":"M I","non-dropping-particle":"","parse-names":false,"suffix":""},{"dropping-particle":"","family":"Eds","given":"Pigman W","non-dropping-particle":"","parse-names":false,"suffix":""},{"dropping-particle":"","family":"; ) Quan","given":"C P","non-dropping-particle":"","parse-names":false,"suffix":""},{"dropping-particle":"","family":"Wu","given":"S","non-dropping-particle":"","parse-names":false,"suffix":""},{"dropping-particle":"","family":"Dasovich","given":"N","non-dropping-particle":"","parse-names":false,"suffix":""},{"dropping-particle":"","family":"Hsu","given":"C","non-dropping-particle":"","parse-names":false,"suffix":""},{"dropping-particle":"","family":"Patapoff","given":"T","non-dropping-particle":"","parse-names":false,"suffix":""},{"dropping-particle":"","family":"Canova-Davis","given":"E","non-dropping-particle":"","parse-names":false,"suffix":""},{"dropping-particle":"","family":"Watkins","given":"N G","non-dropping-particle":"","parse-names":false,"suffix":""},{"dropping-particle":"","family":"Booth","given":"A A","non-dropping-particle":"","parse-names":false,"suffix":""},{"dropping-particle":"","family":"Khalifah","given":"R G","non-dropping-particle":"","parse-names":false,"suffix":""},{"dropping-particle":"","family":"Todd","given":"P","non-dropping-particle":"","parse-names":false,"suffix":""},{"dropping-particle":"","family":"Hudson","given":"B G","non-dropping-particle":"","parse-names":false,"suffix":""},{"dropping-particle":"","family":"Al-Abed","given":"Y","non-dropping-particle":"","parse-names":false,"suffix":""},{"dropping-particle":"","family":"Kapurniotu","given":"A","non-dropping-particle":"","parse-names":false,"suffix":""},{"dropping-particle":"","family":"Bucala","given":"R","non-dropping-particle":"","parse-names":false,"suffix":""},{"dropping-particle":"","family":"Ahmed","given":"N","non-dropping-particle":"","parse-names":false,"suffix":""},{"dropping-particle":"","family":"Thornalley","given":"P","non-dropping-particle":"","parse-names":false,"suffix":""},{"dropping-particle":"","family":"Zhang","given":"Y","non-dropping-particle":"","parse-names":false,"suffix":""},{"dropping-particle":"","family":"Cocklin","given":"R R","non-dropping-particle":"","parse-names":false,"suffix":""},{"dropping-particle":"","family":"Bidasee","given":"K R","non-dropping-particle":"","parse-names":false,"suffix":""},{"dropping-particle":"","family":"Wang","given":"M","non-dropping-particle":"","parse-names":false,"suffix":""},{"dropping-particle":"","family":"Neglia-Fisher","given":"C I","non-dropping-particle":"","parse-names":false,"suffix":""},{"dropping-particle":"","family":"Dyer","given":"D G","non-dropping-particle":"","parse-names":false,"suffix":""},{"dropping-particle":"","family":"Brock","given":"J W","non-dropping-particle":"","parse-names":false,"suffix":""},{"dropping-particle":"","family":"Hinton","given":"D J","non-dropping-particle":"","parse-names":false,"suffix":""},{"dropping-particle":"","family":"Cotham","given":"W E","non-dropping-particle":"","parse-names":false,"suffix":""},{"dropping-particle":"","family":"Metz","given":"T O","non-dropping-particle":"","parse-names":false,"suffix":""},{"dropping-particle":"","family":"Ames","given":"J M","non-dropping-particle":"","parse-names":false,"suffix":""},{"dropping-particle":"","family":"Shapiro","given":"R","non-dropping-particle":"","parse-names":false,"suffix":""},{"dropping-particle":"","family":"Mcmanus","given":"M J","non-dropping-particle":"","parse-names":false,"suffix":""},{"dropping-particle":"","family":"Zalut","given":"C","non-dropping-particle":"","parse-names":false,"suffix":""},{"dropping-particle":"","family":"Bunn","given":"H F","non-dropping-particle":"","parse-names":false,"suffix":""}],"container-title":"J. Biochem. Soc. Trans","id":"ITEM-1","issue":"1","issued":{"date-parts":[["1982"]]},"page":"2379-2390","publisher":"Academic Press","title":"Unveiling a Glycation Hot Spot in a Recombinant Humanized Monoclonal Antibody","type":"article-journal","volume":"3"},"uris":["http://www.mendeley.com/documents/?uuid=859f8a92-6a8b-335a-ab57-3cd28fdcfab9"]}],"mendeley":{"formattedCitation":"&lt;sup&gt;12&lt;/sup&gt;","plainTextFormattedCitation":"12","previouslyFormattedCitation":"&lt;sup&gt;12&lt;/sup&gt;"},"properties":{"noteIndex":0},"schema":"https://github.com/citation-style-language/schema/raw/master/csl-citation.json"}</w:instrText>
      </w:r>
      <w:r w:rsidR="00DB1795">
        <w:rPr>
          <w:rFonts w:ascii="Times New Roman" w:hAnsi="Times New Roman"/>
          <w:szCs w:val="24"/>
        </w:rPr>
        <w:fldChar w:fldCharType="separate"/>
      </w:r>
      <w:r w:rsidR="00375CAA" w:rsidRPr="00375CAA">
        <w:rPr>
          <w:rFonts w:ascii="Times New Roman" w:hAnsi="Times New Roman"/>
          <w:noProof/>
          <w:szCs w:val="24"/>
          <w:vertAlign w:val="superscript"/>
        </w:rPr>
        <w:t>12</w:t>
      </w:r>
      <w:r w:rsidR="00DB1795">
        <w:rPr>
          <w:rFonts w:ascii="Times New Roman" w:hAnsi="Times New Roman"/>
          <w:szCs w:val="24"/>
        </w:rPr>
        <w:fldChar w:fldCharType="end"/>
      </w:r>
      <w:r w:rsidR="00A74D66">
        <w:rPr>
          <w:rFonts w:ascii="Times New Roman" w:hAnsi="Times New Roman"/>
          <w:szCs w:val="24"/>
        </w:rPr>
        <w:t>. This high glycation level is</w:t>
      </w:r>
      <w:r w:rsidR="00B52EDA">
        <w:rPr>
          <w:rFonts w:ascii="Times New Roman" w:hAnsi="Times New Roman"/>
          <w:szCs w:val="24"/>
        </w:rPr>
        <w:t xml:space="preserve"> thought to be due</w:t>
      </w:r>
      <w:r>
        <w:rPr>
          <w:rFonts w:ascii="Times New Roman" w:hAnsi="Times New Roman"/>
          <w:szCs w:val="24"/>
        </w:rPr>
        <w:t xml:space="preserve"> </w:t>
      </w:r>
      <w:r w:rsidR="00A37830">
        <w:rPr>
          <w:rFonts w:ascii="Times New Roman" w:hAnsi="Times New Roman"/>
          <w:szCs w:val="24"/>
        </w:rPr>
        <w:t>to a modified Lys</w:t>
      </w:r>
      <w:r w:rsidR="00B52EDA">
        <w:rPr>
          <w:rFonts w:ascii="Times New Roman" w:hAnsi="Times New Roman"/>
          <w:szCs w:val="24"/>
        </w:rPr>
        <w:t xml:space="preserve"> in the </w:t>
      </w:r>
      <w:proofErr w:type="spellStart"/>
      <w:r w:rsidR="00B52EDA">
        <w:rPr>
          <w:rFonts w:ascii="Times New Roman" w:hAnsi="Times New Roman"/>
          <w:szCs w:val="24"/>
        </w:rPr>
        <w:t>mAb</w:t>
      </w:r>
      <w:proofErr w:type="spellEnd"/>
      <w:r w:rsidR="00B52EDA">
        <w:rPr>
          <w:rFonts w:ascii="Times New Roman" w:hAnsi="Times New Roman"/>
          <w:szCs w:val="24"/>
        </w:rPr>
        <w:t xml:space="preserve"> light chain.</w:t>
      </w:r>
      <w:r>
        <w:rPr>
          <w:rFonts w:ascii="Times New Roman" w:hAnsi="Times New Roman"/>
          <w:szCs w:val="24"/>
        </w:rPr>
        <w:t xml:space="preserve"> </w:t>
      </w:r>
      <w:r w:rsidR="00F81BD4">
        <w:rPr>
          <w:rFonts w:ascii="Times New Roman" w:hAnsi="Times New Roman"/>
          <w:szCs w:val="24"/>
        </w:rPr>
        <w:t>Previous</w:t>
      </w:r>
      <w:r w:rsidR="00570F51">
        <w:rPr>
          <w:rFonts w:ascii="Times New Roman" w:hAnsi="Times New Roman"/>
          <w:szCs w:val="24"/>
        </w:rPr>
        <w:t xml:space="preserve"> l</w:t>
      </w:r>
      <w:r>
        <w:rPr>
          <w:rFonts w:ascii="Times New Roman" w:hAnsi="Times New Roman"/>
          <w:szCs w:val="24"/>
        </w:rPr>
        <w:t>iterature into</w:t>
      </w:r>
      <w:r w:rsidR="00B52EDA">
        <w:rPr>
          <w:rFonts w:ascii="Times New Roman" w:hAnsi="Times New Roman"/>
          <w:szCs w:val="24"/>
        </w:rPr>
        <w:t xml:space="preserve"> the </w:t>
      </w:r>
      <w:r>
        <w:rPr>
          <w:rFonts w:ascii="Times New Roman" w:hAnsi="Times New Roman"/>
          <w:szCs w:val="24"/>
        </w:rPr>
        <w:t>effects</w:t>
      </w:r>
      <w:r w:rsidR="00B52EDA">
        <w:rPr>
          <w:rFonts w:ascii="Times New Roman" w:hAnsi="Times New Roman"/>
          <w:szCs w:val="24"/>
        </w:rPr>
        <w:t xml:space="preserve"> that glycation has on both the </w:t>
      </w:r>
      <w:r>
        <w:rPr>
          <w:rFonts w:ascii="Times New Roman" w:hAnsi="Times New Roman"/>
          <w:szCs w:val="24"/>
        </w:rPr>
        <w:t>structure</w:t>
      </w:r>
      <w:r w:rsidR="00B52EDA">
        <w:rPr>
          <w:rFonts w:ascii="Times New Roman" w:hAnsi="Times New Roman"/>
          <w:szCs w:val="24"/>
        </w:rPr>
        <w:t xml:space="preserve"> and function of </w:t>
      </w:r>
      <w:r>
        <w:rPr>
          <w:rFonts w:ascii="Times New Roman" w:hAnsi="Times New Roman"/>
          <w:szCs w:val="24"/>
        </w:rPr>
        <w:t>proteins</w:t>
      </w:r>
      <w:r w:rsidR="00DF4978">
        <w:rPr>
          <w:rFonts w:ascii="Times New Roman" w:hAnsi="Times New Roman"/>
          <w:szCs w:val="24"/>
        </w:rPr>
        <w:t>,</w:t>
      </w:r>
      <w:r w:rsidR="00B52EDA">
        <w:rPr>
          <w:rFonts w:ascii="Times New Roman" w:hAnsi="Times New Roman"/>
          <w:szCs w:val="24"/>
        </w:rPr>
        <w:t xml:space="preserve"> </w:t>
      </w:r>
      <w:r>
        <w:rPr>
          <w:rFonts w:ascii="Times New Roman" w:hAnsi="Times New Roman"/>
          <w:szCs w:val="24"/>
        </w:rPr>
        <w:t>specifically</w:t>
      </w:r>
      <w:r w:rsidR="00B52EDA">
        <w:rPr>
          <w:rFonts w:ascii="Times New Roman" w:hAnsi="Times New Roman"/>
          <w:szCs w:val="24"/>
        </w:rPr>
        <w:t xml:space="preserve"> mAbs</w:t>
      </w:r>
      <w:r w:rsidR="00DF4978">
        <w:rPr>
          <w:rFonts w:ascii="Times New Roman" w:hAnsi="Times New Roman"/>
          <w:szCs w:val="24"/>
        </w:rPr>
        <w:t>,</w:t>
      </w:r>
      <w:r w:rsidR="00B52EDA">
        <w:rPr>
          <w:rFonts w:ascii="Times New Roman" w:hAnsi="Times New Roman"/>
          <w:szCs w:val="24"/>
        </w:rPr>
        <w:t xml:space="preserve"> </w:t>
      </w:r>
      <w:r w:rsidR="00DF4978">
        <w:rPr>
          <w:rFonts w:ascii="Times New Roman" w:hAnsi="Times New Roman"/>
          <w:szCs w:val="24"/>
        </w:rPr>
        <w:t>have mixed outcomes</w:t>
      </w:r>
      <w:r w:rsidR="00B52EDA">
        <w:rPr>
          <w:rFonts w:ascii="Times New Roman" w:hAnsi="Times New Roman"/>
          <w:szCs w:val="24"/>
        </w:rPr>
        <w:t xml:space="preserve">. It has been </w:t>
      </w:r>
      <w:r>
        <w:rPr>
          <w:rFonts w:ascii="Times New Roman" w:hAnsi="Times New Roman"/>
          <w:szCs w:val="24"/>
        </w:rPr>
        <w:t>reported</w:t>
      </w:r>
      <w:r w:rsidR="00B52EDA">
        <w:rPr>
          <w:rFonts w:ascii="Times New Roman" w:hAnsi="Times New Roman"/>
          <w:szCs w:val="24"/>
        </w:rPr>
        <w:t xml:space="preserve"> that glycation in mAbs is oft</w:t>
      </w:r>
      <w:r>
        <w:rPr>
          <w:rFonts w:ascii="Times New Roman" w:hAnsi="Times New Roman"/>
          <w:szCs w:val="24"/>
        </w:rPr>
        <w:t xml:space="preserve">en </w:t>
      </w:r>
      <w:r w:rsidR="00287D7A">
        <w:rPr>
          <w:rFonts w:ascii="Times New Roman" w:hAnsi="Times New Roman"/>
          <w:szCs w:val="24"/>
        </w:rPr>
        <w:t>at</w:t>
      </w:r>
      <w:r w:rsidR="00B52EDA">
        <w:rPr>
          <w:rFonts w:ascii="Times New Roman" w:hAnsi="Times New Roman"/>
          <w:szCs w:val="24"/>
        </w:rPr>
        <w:t xml:space="preserve"> ~5% or </w:t>
      </w:r>
      <w:r w:rsidR="00287D7A">
        <w:rPr>
          <w:rFonts w:ascii="Times New Roman" w:hAnsi="Times New Roman"/>
          <w:szCs w:val="24"/>
        </w:rPr>
        <w:t xml:space="preserve">less </w:t>
      </w:r>
      <w:r w:rsidR="00B52EDA">
        <w:rPr>
          <w:rFonts w:ascii="Times New Roman" w:hAnsi="Times New Roman"/>
          <w:szCs w:val="24"/>
        </w:rPr>
        <w:t>and seem</w:t>
      </w:r>
      <w:r w:rsidR="00287D7A">
        <w:rPr>
          <w:rFonts w:ascii="Times New Roman" w:hAnsi="Times New Roman"/>
          <w:szCs w:val="24"/>
        </w:rPr>
        <w:t>s</w:t>
      </w:r>
      <w:r w:rsidR="00B52EDA">
        <w:rPr>
          <w:rFonts w:ascii="Times New Roman" w:hAnsi="Times New Roman"/>
          <w:szCs w:val="24"/>
        </w:rPr>
        <w:t xml:space="preserve"> to have </w:t>
      </w:r>
      <w:r>
        <w:rPr>
          <w:rFonts w:ascii="Times New Roman" w:hAnsi="Times New Roman"/>
          <w:szCs w:val="24"/>
        </w:rPr>
        <w:t>minimal</w:t>
      </w:r>
      <w:r w:rsidR="00B52EDA">
        <w:rPr>
          <w:rFonts w:ascii="Times New Roman" w:hAnsi="Times New Roman"/>
          <w:szCs w:val="24"/>
        </w:rPr>
        <w:t xml:space="preserve"> effect</w:t>
      </w:r>
      <w:r w:rsidR="00287D7A">
        <w:rPr>
          <w:rFonts w:ascii="Times New Roman" w:hAnsi="Times New Roman"/>
          <w:szCs w:val="24"/>
        </w:rPr>
        <w:t>s</w:t>
      </w:r>
      <w:r w:rsidR="00B52EDA">
        <w:rPr>
          <w:rFonts w:ascii="Times New Roman" w:hAnsi="Times New Roman"/>
          <w:szCs w:val="24"/>
        </w:rPr>
        <w:t xml:space="preserve"> </w:t>
      </w:r>
      <w:r>
        <w:rPr>
          <w:rFonts w:ascii="Times New Roman" w:hAnsi="Times New Roman"/>
          <w:szCs w:val="24"/>
        </w:rPr>
        <w:t>o</w:t>
      </w:r>
      <w:r w:rsidR="00B52EDA">
        <w:rPr>
          <w:rFonts w:ascii="Times New Roman" w:hAnsi="Times New Roman"/>
          <w:szCs w:val="24"/>
        </w:rPr>
        <w:t xml:space="preserve">n binding efficacy and producing </w:t>
      </w:r>
      <w:r>
        <w:rPr>
          <w:rFonts w:ascii="Times New Roman" w:hAnsi="Times New Roman"/>
          <w:szCs w:val="24"/>
        </w:rPr>
        <w:t>immunogenic</w:t>
      </w:r>
      <w:r w:rsidR="00B52EDA">
        <w:rPr>
          <w:rFonts w:ascii="Times New Roman" w:hAnsi="Times New Roman"/>
          <w:szCs w:val="24"/>
        </w:rPr>
        <w:t xml:space="preserve"> responses from T cells </w:t>
      </w:r>
      <w:r w:rsidR="00B52EDA" w:rsidRPr="0002536C">
        <w:rPr>
          <w:rFonts w:ascii="Times New Roman" w:hAnsi="Times New Roman"/>
          <w:i/>
          <w:szCs w:val="24"/>
        </w:rPr>
        <w:t>in</w:t>
      </w:r>
      <w:r w:rsidR="00BC5CCF">
        <w:rPr>
          <w:rFonts w:ascii="Times New Roman" w:hAnsi="Times New Roman"/>
          <w:i/>
          <w:szCs w:val="24"/>
        </w:rPr>
        <w:t xml:space="preserve"> </w:t>
      </w:r>
      <w:r w:rsidR="00B52EDA" w:rsidRPr="0002536C">
        <w:rPr>
          <w:rFonts w:ascii="Times New Roman" w:hAnsi="Times New Roman"/>
          <w:i/>
          <w:szCs w:val="24"/>
        </w:rPr>
        <w:t>vitro</w:t>
      </w:r>
      <w:r w:rsidR="00B52EDA">
        <w:rPr>
          <w:rFonts w:ascii="Times New Roman" w:hAnsi="Times New Roman"/>
          <w:szCs w:val="24"/>
        </w:rPr>
        <w:t>.</w:t>
      </w:r>
      <w:r w:rsidR="00432ADE">
        <w:rPr>
          <w:rFonts w:ascii="Times New Roman" w:hAnsi="Times New Roman"/>
          <w:szCs w:val="24"/>
        </w:rPr>
        <w:fldChar w:fldCharType="begin" w:fldLock="1"/>
      </w:r>
      <w:r w:rsidR="00432ADE">
        <w:rPr>
          <w:rFonts w:ascii="Times New Roman" w:hAnsi="Times New Roman"/>
          <w:szCs w:val="24"/>
        </w:rPr>
        <w:instrText>ADDIN CSL_CITATION {"citationItems":[{"id":"ITEM-1","itemData":{"DOI":"10.1371/journal.pone.0159328","ISSN":"1932-6203","abstract":"An In Vitro Comparative Immunogenicity Assessment (IVCIA) assay was evaluated as a tool for predicting the potential relative immunogenicity of biotherapeutic attributes. Peripheral blood mononuclear cells from up to 50 healthy naïve human donors were monitored up to 8 days for T-cell proliferation, the number of IL-2 or IFN-γ secreting cells, and the concentration of a panel of secreted cytokines. The response in the assay to 10 monoclonal antibodies was found to be in agreement with the clinical immunogenicity, suggesting that the assay might be applied to immunogenicity risk assessment of antibody biotherapeutic attributes. However, the response in the assay is a measure of T-cell functional activity and the alignment with clinical immunogenicity depends on several other factors. The assay was sensitive to sequence variants and could differentiate single point mutations of the same biotherapeutic. Nine mAbs that were highly aggregated by stirring induced a higher response in the assay than the original mAbs before stirring stress, in a manner that did not match the relative T-cell response of the original mAbs. In contrast, mAbs that were glycated by different sugars (galactose, glucose, and mannose) showed little to no increase in response in the assay above the response to the original mAbs before glycation treatment. The assay was also used successfully to assess similarity between multiple lots of the same mAb, both from the same manufacturer and from different manufacturers (biosimilars). A strategy for using the IVCIA assay for immunogenicity risk assessment during the entire lifespan development of biopharmaceuticals is proposed.","author":[{"dropping-particle":"","family":"Joubert","given":"Marisa K.","non-dropping-particle":"","parse-names":false,"suffix":""},{"dropping-particle":"","family":"Deshpande","given":"Meghana","non-dropping-particle":"","parse-names":false,"suffix":""},{"dropping-particle":"","family":"Yang","given":"Jane","non-dropping-particle":"","parse-names":false,"suffix":""},{"dropping-particle":"","family":"Reynolds","given":"Helen","non-dropping-particle":"","parse-names":false,"suffix":""},{"dropping-particle":"","family":"Bryson","given":"Christine","non-dropping-particle":"","parse-names":false,"suffix":""},{"dropping-particle":"","family":"Fogg","given":"Mark","non-dropping-particle":"","parse-names":false,"suffix":""},{"dropping-particle":"","family":"Baker","given":"Matthew P.","non-dropping-particle":"","parse-names":false,"suffix":""},{"dropping-particle":"","family":"Herskovitz","given":"Jonathan","non-dropping-particle":"","parse-names":false,"suffix":""},{"dropping-particle":"","family":"Goletz","given":"Theresa J.","non-dropping-particle":"","parse-names":false,"suffix":""},{"dropping-particle":"","family":"Zhou","given":"Lei","non-dropping-particle":"","parse-names":false,"suffix":""},{"dropping-particle":"","family":"Moxness","given":"Michael","non-dropping-particle":"","parse-names":false,"suffix":""},{"dropping-particle":"","family":"Flynn","given":"Gregory C.","non-dropping-particle":"","parse-names":false,"suffix":""},{"dropping-particle":"","family":"Narhi","given":"Linda O.","non-dropping-particle":"","parse-names":false,"suffix":""},{"dropping-particle":"","family":"Jawa","given":"Vibha","non-dropping-particle":"","parse-names":false,"suffix":""}],"container-title":"PLOS ONE","editor":[{"dropping-particle":"","family":"Stoddart","given":"Cheryl A.","non-dropping-particle":"","parse-names":false,"suffix":""}],"id":"ITEM-1","issue":"8","issued":{"date-parts":[["2016","8","5"]]},"page":"e0159328","publisher":"Public Library of Science","title":"Use of In Vitro Assays to Assess Immunogenicity Risk of Antibody-Based Biotherapeutics","type":"article-journal","volume":"11"},"uris":["http://www.mendeley.com/documents/?uuid=28dbef7c-5192-3f0b-ad79-ca65d10b5a71"]}],"mendeley":{"formattedCitation":"&lt;sup&gt;13&lt;/sup&gt;","plainTextFormattedCitation":"13","previouslyFormattedCitation":"&lt;sup&gt;13&lt;/sup&gt;"},"properties":{"noteIndex":0},"schema":"https://github.com/citation-style-language/schema/raw/master/csl-citation.json"}</w:instrText>
      </w:r>
      <w:r w:rsidR="00432ADE">
        <w:rPr>
          <w:rFonts w:ascii="Times New Roman" w:hAnsi="Times New Roman"/>
          <w:szCs w:val="24"/>
        </w:rPr>
        <w:fldChar w:fldCharType="separate"/>
      </w:r>
      <w:r w:rsidR="00432ADE" w:rsidRPr="00375CAA">
        <w:rPr>
          <w:rFonts w:ascii="Times New Roman" w:hAnsi="Times New Roman"/>
          <w:noProof/>
          <w:szCs w:val="24"/>
          <w:vertAlign w:val="superscript"/>
        </w:rPr>
        <w:t>13</w:t>
      </w:r>
      <w:r w:rsidR="00432ADE">
        <w:rPr>
          <w:rFonts w:ascii="Times New Roman" w:hAnsi="Times New Roman"/>
          <w:szCs w:val="24"/>
        </w:rPr>
        <w:fldChar w:fldCharType="end"/>
      </w:r>
      <w:r w:rsidR="00093A20">
        <w:rPr>
          <w:rFonts w:ascii="Times New Roman" w:hAnsi="Times New Roman"/>
          <w:szCs w:val="24"/>
        </w:rPr>
        <w:t xml:space="preserve"> </w:t>
      </w:r>
      <w:r w:rsidR="00287D7A">
        <w:rPr>
          <w:rFonts w:ascii="Times New Roman" w:hAnsi="Times New Roman"/>
          <w:szCs w:val="24"/>
        </w:rPr>
        <w:t xml:space="preserve">However, </w:t>
      </w:r>
      <w:r w:rsidR="00093A20">
        <w:rPr>
          <w:rFonts w:ascii="Times New Roman" w:hAnsi="Times New Roman"/>
          <w:szCs w:val="24"/>
        </w:rPr>
        <w:t>others report that</w:t>
      </w:r>
      <w:r w:rsidR="00B52EDA">
        <w:rPr>
          <w:rFonts w:ascii="Times New Roman" w:hAnsi="Times New Roman"/>
          <w:szCs w:val="24"/>
        </w:rPr>
        <w:t xml:space="preserve"> </w:t>
      </w:r>
      <w:r w:rsidR="00093A20">
        <w:rPr>
          <w:rFonts w:ascii="Times New Roman" w:hAnsi="Times New Roman"/>
          <w:szCs w:val="24"/>
        </w:rPr>
        <w:t>m</w:t>
      </w:r>
      <w:r w:rsidR="00AD2914" w:rsidRPr="00AD2914">
        <w:rPr>
          <w:rFonts w:ascii="Times New Roman" w:hAnsi="Times New Roman"/>
          <w:szCs w:val="24"/>
        </w:rPr>
        <w:t>inor structural deviations in sugar patterns can lead to diminished antibody functi</w:t>
      </w:r>
      <w:r w:rsidR="00093A20">
        <w:rPr>
          <w:rFonts w:ascii="Times New Roman" w:hAnsi="Times New Roman"/>
          <w:szCs w:val="24"/>
        </w:rPr>
        <w:t xml:space="preserve">onality and batch </w:t>
      </w:r>
      <w:r w:rsidR="00093A20">
        <w:rPr>
          <w:rFonts w:ascii="Times New Roman" w:hAnsi="Times New Roman"/>
          <w:szCs w:val="24"/>
        </w:rPr>
        <w:lastRenderedPageBreak/>
        <w:t>heterogeneity</w:t>
      </w:r>
      <w:r w:rsidR="00287D7A">
        <w:rPr>
          <w:rFonts w:ascii="Times New Roman" w:hAnsi="Times New Roman"/>
          <w:szCs w:val="24"/>
        </w:rPr>
        <w:t>,</w:t>
      </w:r>
      <w:r w:rsidR="00093A20">
        <w:rPr>
          <w:rFonts w:ascii="Times New Roman" w:hAnsi="Times New Roman"/>
          <w:szCs w:val="24"/>
        </w:rPr>
        <w:t xml:space="preserve"> especially if the glycation is </w:t>
      </w:r>
      <w:r>
        <w:rPr>
          <w:rFonts w:ascii="Times New Roman" w:hAnsi="Times New Roman"/>
          <w:szCs w:val="24"/>
        </w:rPr>
        <w:t>prevalent</w:t>
      </w:r>
      <w:r w:rsidR="00093A20">
        <w:rPr>
          <w:rFonts w:ascii="Times New Roman" w:hAnsi="Times New Roman"/>
          <w:szCs w:val="24"/>
        </w:rPr>
        <w:t xml:space="preserve"> in the antigen binding domain of the mAb.</w:t>
      </w:r>
      <w:r w:rsidR="006F5D32">
        <w:rPr>
          <w:rFonts w:ascii="Times New Roman" w:hAnsi="Times New Roman"/>
          <w:szCs w:val="24"/>
        </w:rPr>
        <w:fldChar w:fldCharType="begin" w:fldLock="1"/>
      </w:r>
      <w:r w:rsidR="006F5D32">
        <w:rPr>
          <w:rFonts w:ascii="Times New Roman" w:hAnsi="Times New Roman"/>
          <w:szCs w:val="24"/>
        </w:rPr>
        <w:instrText>ADDIN CSL_CITATION {"citationItems":[{"id":"ITEM-1","itemData":{"abstract":"W e have investigated the effect of nonenzymatic gly-cation (fructation) in vitro on the structure and stability of two proteins that are glycated in vivo as a consequence of high endogenous levels of sugar. W e find that whereas fructation leads to the structural destabilization of the monomeric y-crystallin from the core of the eye lens, it leads to an increase in stability in the multi-meric cy-crystallin of the lens cortex. Thus, while gly-cated y-crystallin shows (a) a longer wavelength of fluorescent emission, indicating a greater exposure of its aromatic side chains to the medium; (b) a reduced secondary structural content; and (c) a more facile dena-turation by thermodynamic and chemical means, a-crys-tallin displays the opposite behavior. Furthermore, a-crystallin shows an increased tendency toward multi-meric aggregation upon fructation. W e interpret these differences in the broad context of the effects of neutral-ization of positive charges on protein structure and stability. Fructation tends to destabilize y-crystallin, by effecting a significant reversal in the balance of charges in the protein, at physiological pH. a-Crystallin is a multi-meric protein whose PI is lower than its pH of optimum stability. Fructation in this case effectively neutralizes the cationic charges and promotes conformational order. This study indicates that although glycation brings about similar changes in the covalent chemical structures of proteins, its influence on the three-dimensional structures of different proteins can be different.","author":[{"dropping-particle":"","family":"Luthra","given":"Manni","non-dropping-particle":"","parse-names":false,"suffix":""},{"dropping-particle":"","family":"Balasubramanians","given":"Dorairajan","non-dropping-particle":"","parse-names":false,"suffix":""}],"container-title":"Journal of Biological Chemistry","id":"ITEM-1","issue":"24","issued":{"date-parts":[["1993"]]},"page":"18119-18127","title":"Nonenzymatic Glycation Alters Protein Structure and Stability. A study of two eye lens crystallins.","type":"article-journal","volume":"268"},"uris":["http://www.mendeley.com/documents/?uuid=bcd50968-cd10-32dd-b7c8-a59aed2e0116"]},{"id":"ITEM-2","itemData":{"DOI":"10.1111/j.1365-2249.1994.tb06133.x","ISSN":"0009-9104","PMID":"7955529","abstract":"As elevated levels of glycated IgG have been detected in the plasma of patients with diabetes mellitus, a disease associated with increased susceptibility to infection, we have investigated whether glycation of MoAbs affects the kinetics and/or affinity of antigen binding. Three mouse MoAbs were incubated with 0.5 M glucose at pH 7.4 for 14-21 days at 37 degrees C. Control MoAbs were incubated using identical conditions but with no added glucose. Using a surface plasmon resonance technique we found that glycation significantly increased the rate of dissociation (kdiss) of the antigen-antibody complex for all three MoAbs (P &lt; 0.05, n = 4), but had no significant effect on the rate of association (kass). For one of the MoAbs, against human IgG (Fab), we also measured kdiss by an alternative method utilizing radiolabelled antigen, which confirmed that glycation of the antibody significantly increases kdiss (P &lt; 0.001, n = 8). We also found using an ELISA-based method that glycation of the same MoAb significantly increased the equilibrium dissociation constant (Kd) (P &lt; 0.05, n = 6). A significant increase in kd was observed after glycation using glucose concentrations consistent with those found in poorly controlled diabetics (P &lt; 0.02, n = 5). We conclude that in vitro glycation can significantly lower the affinity of an antibody for its antigen, and significantly increases the rate of dissociation of the antigen-antibody complex.","author":[{"dropping-particle":"","family":"Kennedy","given":"D M","non-dropping-particle":"","parse-names":false,"suffix":""},{"dropping-particle":"","family":"Skillen","given":"A W","non-dropping-particle":"","parse-names":false,"suffix":""},{"dropping-particle":"","family":"Self","given":"C H","non-dropping-particle":"","parse-names":false,"suffix":""}],"container-title":"Clinical and experimental immunology","id":"ITEM-2","issue":"2","issued":{"date-parts":[["1994","11"]]},"page":"245-51","publisher":"Wiley-Blackwell","title":"Glycation of monoclonal antibodies impairs their ability to bind antigen.","type":"article-journal","volume":"98"},"uris":["http://www.mendeley.com/documents/?uuid=c39e0ee4-def0-30cb-9112-21fa9c0dc242"]},{"id":"ITEM-3","itemData":{"author":[{"dropping-particle":"","family":"Dolhofer","given":"Roswitha","non-dropping-particle":"","parse-names":false,"suffix":""},{"dropping-particle":"","family":"Siess","given":"Elmar A","non-dropping-particle":"","parse-names":false,"suffix":""},{"dropping-particle":"","family":"Wieland","given":"Otto H","non-dropping-particle":"","parse-names":false,"suffix":""}],"container-title":"Biol. Chem. Hoppe-Seyler","id":"ITEM-3","issue":"4","issued":{"date-parts":[["1985"]]},"page":"361-366","title":"Nonenzymatic Glycation of Immunoglobulins Leads to an Impairment of Immunoreactivity","type":"article-journal","volume":"366"},"uris":["http://www.mendeley.com/documents/?uuid=a6c25992-8d57-3c77-9a48-5c7686ead3af"]}],"mendeley":{"formattedCitation":"&lt;sup&gt;5,14,15&lt;/sup&gt;","plainTextFormattedCitation":"5,14,15","previouslyFormattedCitation":"&lt;sup&gt;5,14,15&lt;/sup&gt;"},"properties":{"noteIndex":0},"schema":"https://github.com/citation-style-language/schema/raw/master/csl-citation.json"}</w:instrText>
      </w:r>
      <w:r w:rsidR="006F5D32">
        <w:rPr>
          <w:rFonts w:ascii="Times New Roman" w:hAnsi="Times New Roman"/>
          <w:szCs w:val="24"/>
        </w:rPr>
        <w:fldChar w:fldCharType="separate"/>
      </w:r>
      <w:r w:rsidR="006F5D32" w:rsidRPr="006F5D32">
        <w:rPr>
          <w:rFonts w:ascii="Times New Roman" w:hAnsi="Times New Roman"/>
          <w:noProof/>
          <w:szCs w:val="24"/>
          <w:vertAlign w:val="superscript"/>
        </w:rPr>
        <w:t>5,14,15</w:t>
      </w:r>
      <w:r w:rsidR="006F5D32">
        <w:rPr>
          <w:rFonts w:ascii="Times New Roman" w:hAnsi="Times New Roman"/>
          <w:szCs w:val="24"/>
        </w:rPr>
        <w:fldChar w:fldCharType="end"/>
      </w:r>
      <w:r w:rsidR="00430C49">
        <w:rPr>
          <w:rFonts w:ascii="Times New Roman" w:hAnsi="Times New Roman"/>
          <w:szCs w:val="24"/>
        </w:rPr>
        <w:t xml:space="preserve"> </w:t>
      </w:r>
      <w:r w:rsidR="00A37830">
        <w:rPr>
          <w:rFonts w:ascii="Times New Roman" w:hAnsi="Times New Roman"/>
          <w:szCs w:val="24"/>
        </w:rPr>
        <w:t>Irrespective of</w:t>
      </w:r>
      <w:r w:rsidR="00287D7A">
        <w:rPr>
          <w:rFonts w:ascii="Times New Roman" w:hAnsi="Times New Roman"/>
          <w:szCs w:val="24"/>
        </w:rPr>
        <w:t xml:space="preserve"> the effects on structure and function</w:t>
      </w:r>
      <w:r>
        <w:rPr>
          <w:rFonts w:ascii="Times New Roman" w:hAnsi="Times New Roman"/>
          <w:szCs w:val="24"/>
        </w:rPr>
        <w:t>,</w:t>
      </w:r>
      <w:r w:rsidR="00430C49">
        <w:rPr>
          <w:rFonts w:ascii="Times New Roman" w:hAnsi="Times New Roman"/>
          <w:szCs w:val="24"/>
        </w:rPr>
        <w:t xml:space="preserve"> </w:t>
      </w:r>
      <w:r>
        <w:rPr>
          <w:rFonts w:ascii="Times New Roman" w:hAnsi="Times New Roman"/>
          <w:szCs w:val="24"/>
        </w:rPr>
        <w:t>t</w:t>
      </w:r>
      <w:r w:rsidR="00430C49">
        <w:rPr>
          <w:rFonts w:ascii="Times New Roman" w:hAnsi="Times New Roman"/>
          <w:szCs w:val="24"/>
        </w:rPr>
        <w:t>he</w:t>
      </w:r>
      <w:r w:rsidR="00DF4978">
        <w:rPr>
          <w:rFonts w:ascii="Times New Roman" w:hAnsi="Times New Roman"/>
          <w:szCs w:val="24"/>
        </w:rPr>
        <w:t xml:space="preserve"> </w:t>
      </w:r>
      <w:r w:rsidR="00DF4978" w:rsidRPr="00DF4978">
        <w:rPr>
          <w:rFonts w:ascii="Times New Roman" w:hAnsi="Times New Roman"/>
          <w:szCs w:val="24"/>
        </w:rPr>
        <w:t xml:space="preserve">International Council for </w:t>
      </w:r>
      <w:proofErr w:type="spellStart"/>
      <w:r w:rsidR="00DF4978" w:rsidRPr="00DF4978">
        <w:rPr>
          <w:rFonts w:ascii="Times New Roman" w:hAnsi="Times New Roman"/>
          <w:szCs w:val="24"/>
        </w:rPr>
        <w:t>Harmonisation</w:t>
      </w:r>
      <w:proofErr w:type="spellEnd"/>
      <w:r w:rsidR="00DF4978" w:rsidRPr="00DF4978">
        <w:rPr>
          <w:rFonts w:ascii="Times New Roman" w:hAnsi="Times New Roman"/>
          <w:szCs w:val="24"/>
        </w:rPr>
        <w:t xml:space="preserve"> of Technical Requirements for Pharmaceuticals for Human Use</w:t>
      </w:r>
      <w:r w:rsidR="00430C49">
        <w:rPr>
          <w:rFonts w:ascii="Times New Roman" w:hAnsi="Times New Roman"/>
          <w:szCs w:val="24"/>
        </w:rPr>
        <w:t xml:space="preserve"> </w:t>
      </w:r>
      <w:r w:rsidR="00DF4978">
        <w:rPr>
          <w:rFonts w:ascii="Times New Roman" w:hAnsi="Times New Roman"/>
          <w:szCs w:val="24"/>
        </w:rPr>
        <w:t>(</w:t>
      </w:r>
      <w:r w:rsidR="00B826FC">
        <w:rPr>
          <w:rFonts w:ascii="Times New Roman" w:hAnsi="Times New Roman"/>
          <w:szCs w:val="24"/>
        </w:rPr>
        <w:t>ICH</w:t>
      </w:r>
      <w:r w:rsidR="00DF4978">
        <w:rPr>
          <w:rFonts w:ascii="Times New Roman" w:hAnsi="Times New Roman"/>
          <w:szCs w:val="24"/>
        </w:rPr>
        <w:t>)</w:t>
      </w:r>
      <w:r w:rsidR="00B826FC">
        <w:rPr>
          <w:rFonts w:ascii="Times New Roman" w:hAnsi="Times New Roman"/>
          <w:szCs w:val="24"/>
        </w:rPr>
        <w:t>,</w:t>
      </w:r>
      <w:r w:rsidR="00DF4978">
        <w:rPr>
          <w:rFonts w:ascii="Times New Roman" w:hAnsi="Times New Roman"/>
          <w:szCs w:val="24"/>
        </w:rPr>
        <w:t xml:space="preserve"> European Medicines Agency</w:t>
      </w:r>
      <w:r w:rsidR="00B826FC">
        <w:rPr>
          <w:rFonts w:ascii="Times New Roman" w:hAnsi="Times New Roman"/>
          <w:szCs w:val="24"/>
        </w:rPr>
        <w:t xml:space="preserve"> </w:t>
      </w:r>
      <w:r w:rsidR="00DF4978">
        <w:rPr>
          <w:rFonts w:ascii="Times New Roman" w:hAnsi="Times New Roman"/>
          <w:szCs w:val="24"/>
        </w:rPr>
        <w:t>(</w:t>
      </w:r>
      <w:r w:rsidR="00B826FC">
        <w:rPr>
          <w:rFonts w:ascii="Times New Roman" w:hAnsi="Times New Roman"/>
          <w:szCs w:val="24"/>
        </w:rPr>
        <w:t>EMA</w:t>
      </w:r>
      <w:r w:rsidR="00DF4978">
        <w:rPr>
          <w:rFonts w:ascii="Times New Roman" w:hAnsi="Times New Roman"/>
          <w:szCs w:val="24"/>
        </w:rPr>
        <w:t>)</w:t>
      </w:r>
      <w:r w:rsidR="00B826FC">
        <w:rPr>
          <w:rFonts w:ascii="Times New Roman" w:hAnsi="Times New Roman"/>
          <w:szCs w:val="24"/>
        </w:rPr>
        <w:t xml:space="preserve"> and</w:t>
      </w:r>
      <w:r w:rsidR="00DF4978">
        <w:rPr>
          <w:rFonts w:ascii="Times New Roman" w:hAnsi="Times New Roman"/>
          <w:szCs w:val="24"/>
        </w:rPr>
        <w:t xml:space="preserve"> The Food and Drug Administration </w:t>
      </w:r>
      <w:r w:rsidR="00B826FC">
        <w:rPr>
          <w:rFonts w:ascii="Times New Roman" w:hAnsi="Times New Roman"/>
          <w:szCs w:val="24"/>
        </w:rPr>
        <w:t xml:space="preserve"> </w:t>
      </w:r>
      <w:r w:rsidR="00DF4978">
        <w:rPr>
          <w:rFonts w:ascii="Times New Roman" w:hAnsi="Times New Roman"/>
          <w:szCs w:val="24"/>
        </w:rPr>
        <w:t>(</w:t>
      </w:r>
      <w:r w:rsidR="00B826FC">
        <w:rPr>
          <w:rFonts w:ascii="Times New Roman" w:hAnsi="Times New Roman"/>
          <w:szCs w:val="24"/>
        </w:rPr>
        <w:t>FDA</w:t>
      </w:r>
      <w:r w:rsidR="00DF4978">
        <w:rPr>
          <w:rFonts w:ascii="Times New Roman" w:hAnsi="Times New Roman"/>
          <w:szCs w:val="24"/>
        </w:rPr>
        <w:t>)</w:t>
      </w:r>
      <w:r w:rsidR="00430C49">
        <w:rPr>
          <w:rFonts w:ascii="Times New Roman" w:hAnsi="Times New Roman"/>
          <w:szCs w:val="24"/>
        </w:rPr>
        <w:t xml:space="preserve"> still require </w:t>
      </w:r>
      <w:r>
        <w:rPr>
          <w:rFonts w:ascii="Times New Roman" w:hAnsi="Times New Roman"/>
          <w:szCs w:val="24"/>
        </w:rPr>
        <w:t>glycation</w:t>
      </w:r>
      <w:r w:rsidR="00430C49">
        <w:rPr>
          <w:rFonts w:ascii="Times New Roman" w:hAnsi="Times New Roman"/>
          <w:szCs w:val="24"/>
        </w:rPr>
        <w:t xml:space="preserve"> levels to be </w:t>
      </w:r>
      <w:r>
        <w:rPr>
          <w:rFonts w:ascii="Times New Roman" w:hAnsi="Times New Roman"/>
          <w:szCs w:val="24"/>
        </w:rPr>
        <w:t>reported</w:t>
      </w:r>
      <w:r w:rsidR="00430C49">
        <w:rPr>
          <w:rFonts w:ascii="Times New Roman" w:hAnsi="Times New Roman"/>
          <w:szCs w:val="24"/>
        </w:rPr>
        <w:t xml:space="preserve"> </w:t>
      </w:r>
      <w:r w:rsidR="007107F8">
        <w:rPr>
          <w:rFonts w:ascii="Times New Roman" w:hAnsi="Times New Roman"/>
          <w:szCs w:val="24"/>
        </w:rPr>
        <w:t>as standard quality control for</w:t>
      </w:r>
      <w:r w:rsidR="00430C49">
        <w:rPr>
          <w:rFonts w:ascii="Times New Roman" w:hAnsi="Times New Roman"/>
          <w:szCs w:val="24"/>
        </w:rPr>
        <w:t xml:space="preserve"> </w:t>
      </w:r>
      <w:r>
        <w:rPr>
          <w:rFonts w:ascii="Times New Roman" w:hAnsi="Times New Roman"/>
          <w:szCs w:val="24"/>
        </w:rPr>
        <w:t>therapeutic</w:t>
      </w:r>
      <w:r w:rsidR="00430C49">
        <w:rPr>
          <w:rFonts w:ascii="Times New Roman" w:hAnsi="Times New Roman"/>
          <w:szCs w:val="24"/>
        </w:rPr>
        <w:t xml:space="preserve"> </w:t>
      </w:r>
      <w:r w:rsidR="00512020">
        <w:rPr>
          <w:rFonts w:ascii="Times New Roman" w:hAnsi="Times New Roman"/>
          <w:szCs w:val="24"/>
        </w:rPr>
        <w:t>proteins</w:t>
      </w:r>
      <w:r w:rsidR="00430C49">
        <w:rPr>
          <w:rFonts w:ascii="Times New Roman" w:hAnsi="Times New Roman"/>
          <w:szCs w:val="24"/>
        </w:rPr>
        <w:t>.</w:t>
      </w:r>
      <w:r w:rsidR="00432ADE">
        <w:rPr>
          <w:rFonts w:ascii="Times New Roman" w:hAnsi="Times New Roman"/>
          <w:szCs w:val="24"/>
        </w:rPr>
        <w:fldChar w:fldCharType="begin" w:fldLock="1"/>
      </w:r>
      <w:r w:rsidR="00E87A76">
        <w:rPr>
          <w:rFonts w:ascii="Times New Roman" w:hAnsi="Times New Roman"/>
          <w:szCs w:val="24"/>
        </w:rPr>
        <w:instrText>ADDIN CSL_CITATION {"citationItems":[{"id":"ITEM-1","itemData":{"author":[{"dropping-particle":"","family":"ICH","given":"","non-dropping-particle":"","parse-names":false,"suffix":""}],"id":"ITEM-1","issued":{"date-parts":[["1999"]]},"title":"ICH Topic Q 6 B Specifications: Test Procedures and Acceptance Criteria for Biotechnological/Biological Products","type":"report"},"uris":["http://www.mendeley.com/documents/?uuid=2101ca46-9300-39dd-9169-a3e25b5c7954"]},{"id":"ITEM-2","itemData":{"URL":"www.ema.europa.eu","accessed":{"date-parts":[["2019","6","17"]]},"author":[{"dropping-particle":"","family":"European Medicines Agency","given":"","non-dropping-particle":"","parse-names":false,"suffix":""}],"id":"ITEM-2","issued":{"date-parts":[["2012"]]},"title":"Committee for Medicinal Products for Human Use (CHMP) Guideline on similar biological medicinal products containing monoclonal antibodies-non-clinical and clinical issues","type":"webpage"},"uris":["http://www.mendeley.com/documents/?uuid=e0b7646c-63c1-33dc-af5c-5516b61b207f"]},{"id":"ITEM-3","itemData":{"URL":"https://www.fda.gov/vaccines-blood-biologics/guidance-compliance-regulatory-information-biologics/biologics-guidances","accessed":{"date-parts":[["2019","6","17"]]},"author":[{"dropping-particle":"","family":"FDA","given":"","non-dropping-particle":"","parse-names":false,"suffix":""}],"id":"ITEM-3","issued":{"date-parts":[["2019"]]},"title":"Development of Therapeutic Protein Biosimilars: Comparative Analytical Assessment and Other Quality-Related Considerations Guidance for Industry DRAFT GUIDANCE","type":"webpage"},"uris":["http://www.mendeley.com/documents/?uuid=e2375cda-1947-31db-a95c-a1636a006ea9"]}],"mendeley":{"formattedCitation":"&lt;sup&gt;16–18&lt;/sup&gt;","plainTextFormattedCitation":"16–18","previouslyFormattedCitation":"&lt;sup&gt;16–18&lt;/sup&gt;"},"properties":{"noteIndex":0},"schema":"https://github.com/citation-style-language/schema/raw/master/csl-citation.json"}</w:instrText>
      </w:r>
      <w:r w:rsidR="00432ADE">
        <w:rPr>
          <w:rFonts w:ascii="Times New Roman" w:hAnsi="Times New Roman"/>
          <w:szCs w:val="24"/>
        </w:rPr>
        <w:fldChar w:fldCharType="separate"/>
      </w:r>
      <w:r w:rsidR="00432ADE" w:rsidRPr="00432ADE">
        <w:rPr>
          <w:rFonts w:ascii="Times New Roman" w:hAnsi="Times New Roman"/>
          <w:noProof/>
          <w:szCs w:val="24"/>
          <w:vertAlign w:val="superscript"/>
        </w:rPr>
        <w:t>16–18</w:t>
      </w:r>
      <w:r w:rsidR="00432ADE">
        <w:rPr>
          <w:rFonts w:ascii="Times New Roman" w:hAnsi="Times New Roman"/>
          <w:szCs w:val="24"/>
        </w:rPr>
        <w:fldChar w:fldCharType="end"/>
      </w:r>
    </w:p>
    <w:p w14:paraId="364912C4" w14:textId="034CE1E3" w:rsidR="00DF04CB" w:rsidRDefault="00C0596F" w:rsidP="00D8173B">
      <w:pPr>
        <w:spacing w:line="480" w:lineRule="auto"/>
        <w:rPr>
          <w:rFonts w:ascii="Times New Roman" w:hAnsi="Times New Roman"/>
          <w:szCs w:val="24"/>
        </w:rPr>
      </w:pPr>
      <w:r>
        <w:rPr>
          <w:rFonts w:ascii="Times New Roman" w:hAnsi="Times New Roman"/>
          <w:szCs w:val="24"/>
        </w:rPr>
        <w:t>Analysis</w:t>
      </w:r>
      <w:r w:rsidR="00430C49">
        <w:rPr>
          <w:rFonts w:ascii="Times New Roman" w:hAnsi="Times New Roman"/>
          <w:szCs w:val="24"/>
        </w:rPr>
        <w:t xml:space="preserve"> and </w:t>
      </w:r>
      <w:r>
        <w:rPr>
          <w:rFonts w:ascii="Times New Roman" w:hAnsi="Times New Roman"/>
          <w:szCs w:val="24"/>
        </w:rPr>
        <w:t>quantification</w:t>
      </w:r>
      <w:r w:rsidR="00430C49">
        <w:rPr>
          <w:rFonts w:ascii="Times New Roman" w:hAnsi="Times New Roman"/>
          <w:szCs w:val="24"/>
        </w:rPr>
        <w:t xml:space="preserve"> of glycation </w:t>
      </w:r>
      <w:r>
        <w:rPr>
          <w:rFonts w:ascii="Times New Roman" w:hAnsi="Times New Roman"/>
          <w:szCs w:val="24"/>
        </w:rPr>
        <w:t>currently</w:t>
      </w:r>
      <w:r w:rsidR="00430C49">
        <w:rPr>
          <w:rFonts w:ascii="Times New Roman" w:hAnsi="Times New Roman"/>
          <w:szCs w:val="24"/>
        </w:rPr>
        <w:t xml:space="preserve"> relies on </w:t>
      </w:r>
      <w:r w:rsidR="00BC5CCF">
        <w:rPr>
          <w:rFonts w:ascii="Times New Roman" w:hAnsi="Times New Roman"/>
          <w:szCs w:val="24"/>
        </w:rPr>
        <w:t xml:space="preserve">laborious </w:t>
      </w:r>
      <w:r w:rsidR="00430C49">
        <w:rPr>
          <w:rFonts w:ascii="Times New Roman" w:hAnsi="Times New Roman"/>
          <w:szCs w:val="24"/>
        </w:rPr>
        <w:t>and exp</w:t>
      </w:r>
      <w:r w:rsidR="001D7157">
        <w:rPr>
          <w:rFonts w:ascii="Times New Roman" w:hAnsi="Times New Roman"/>
          <w:szCs w:val="24"/>
        </w:rPr>
        <w:t xml:space="preserve">ertise intensive methods such as mass spectrometry </w:t>
      </w:r>
      <w:r w:rsidR="00BC5CCF">
        <w:rPr>
          <w:rFonts w:ascii="Times New Roman" w:hAnsi="Times New Roman"/>
          <w:szCs w:val="24"/>
        </w:rPr>
        <w:t xml:space="preserve">(MS) </w:t>
      </w:r>
      <w:r w:rsidR="001D7157">
        <w:rPr>
          <w:rFonts w:ascii="Times New Roman" w:hAnsi="Times New Roman"/>
          <w:szCs w:val="24"/>
        </w:rPr>
        <w:t xml:space="preserve">alone </w:t>
      </w:r>
      <w:r>
        <w:rPr>
          <w:rFonts w:ascii="Times New Roman" w:hAnsi="Times New Roman"/>
          <w:szCs w:val="24"/>
        </w:rPr>
        <w:t xml:space="preserve">or </w:t>
      </w:r>
      <w:r w:rsidR="00BC5CCF">
        <w:rPr>
          <w:rFonts w:ascii="Times New Roman" w:hAnsi="Times New Roman"/>
          <w:szCs w:val="24"/>
        </w:rPr>
        <w:t xml:space="preserve">combined with </w:t>
      </w:r>
      <w:r>
        <w:rPr>
          <w:rFonts w:ascii="Times New Roman" w:hAnsi="Times New Roman"/>
          <w:szCs w:val="24"/>
        </w:rPr>
        <w:t>peptide</w:t>
      </w:r>
      <w:r w:rsidR="00430C49">
        <w:rPr>
          <w:rFonts w:ascii="Times New Roman" w:hAnsi="Times New Roman"/>
          <w:szCs w:val="24"/>
        </w:rPr>
        <w:t xml:space="preserve"> mapping that includes </w:t>
      </w:r>
      <w:commentRangeStart w:id="2"/>
      <w:r w:rsidR="00A26625">
        <w:rPr>
          <w:rFonts w:ascii="Times New Roman" w:hAnsi="Times New Roman"/>
          <w:szCs w:val="24"/>
        </w:rPr>
        <w:t>enzymatic</w:t>
      </w:r>
      <w:commentRangeEnd w:id="2"/>
      <w:r w:rsidR="0065566A">
        <w:rPr>
          <w:rStyle w:val="CommentReference"/>
        </w:rPr>
        <w:commentReference w:id="2"/>
      </w:r>
      <w:r w:rsidR="00A26625">
        <w:rPr>
          <w:rFonts w:ascii="Times New Roman" w:hAnsi="Times New Roman"/>
          <w:szCs w:val="24"/>
        </w:rPr>
        <w:t xml:space="preserve"> </w:t>
      </w:r>
      <w:r w:rsidR="00430C49">
        <w:rPr>
          <w:rFonts w:ascii="Times New Roman" w:hAnsi="Times New Roman"/>
          <w:szCs w:val="24"/>
        </w:rPr>
        <w:t xml:space="preserve">digestion of protein and </w:t>
      </w:r>
      <w:r w:rsidR="00BC5CCF">
        <w:rPr>
          <w:rFonts w:ascii="Times New Roman" w:hAnsi="Times New Roman"/>
          <w:szCs w:val="24"/>
        </w:rPr>
        <w:t xml:space="preserve">MS </w:t>
      </w:r>
      <w:r w:rsidR="00430C49">
        <w:rPr>
          <w:rFonts w:ascii="Times New Roman" w:hAnsi="Times New Roman"/>
          <w:szCs w:val="24"/>
        </w:rPr>
        <w:t>to determine the mass of fragments</w:t>
      </w:r>
      <w:r w:rsidR="00033D49">
        <w:rPr>
          <w:rFonts w:ascii="Times New Roman" w:hAnsi="Times New Roman"/>
          <w:szCs w:val="24"/>
        </w:rPr>
        <w:t xml:space="preserve"> </w:t>
      </w:r>
      <w:r w:rsidR="00033D49">
        <w:rPr>
          <w:rFonts w:ascii="Times New Roman" w:hAnsi="Times New Roman"/>
          <w:szCs w:val="24"/>
        </w:rPr>
        <w:fldChar w:fldCharType="begin" w:fldLock="1"/>
      </w:r>
      <w:r w:rsidR="00375CAA">
        <w:rPr>
          <w:rFonts w:ascii="Times New Roman" w:hAnsi="Times New Roman"/>
          <w:szCs w:val="24"/>
        </w:rPr>
        <w:instrText>ADDIN CSL_CITATION {"citationItems":[{"id":"ITEM-1","itemData":{"DOI":"10.1016/J.BIOLOGICALS.2016.06.005","ISSN":"1045-1056","abstract":"Quality by design (QbD) is a global regulatory initiative with the goal of enhancing pharmaceutical development through the proactive design of pharmaceutical manufacturing process and controls to consistently deliver the intended performance of the product. The principles of pharmaceutical development relevant to QbD are described in the ICH guidance documents (ICHQ8-11). An integrated set of risk assessments and their related elements developed at Roche/Genentech were designed to provide an overview of product and process knowledge for the production of a recombinant monoclonal antibody. This chapter describes the identification of critical quality attributes (CQAs) as an important first step for QbD development of biopharmaceuticals. A systematic scientific based risk ranking and filtering approach allows a thorough understanding of quality attributes and an assignment of criticality for their impact on drug safety and efficacy. To illustrate the application of the approach and tools, a few examples from monoclonal antibodies are shown. The identification of CQAs is a continuous process and will further drive the structure and function characterization of therapeutic proteins.","author":[{"dropping-particle":"","family":"Alt","given":"Nadja","non-dropping-particle":"","parse-names":false,"suffix":""},{"dropping-particle":"","family":"Zhang","given":"Taylor Y.","non-dropping-particle":"","parse-names":false,"suffix":""},{"dropping-particle":"","family":"Motchnik","given":"Paul","non-dropping-particle":"","parse-names":false,"suffix":""},{"dropping-particle":"","family":"Taticek","given":"Ron","non-dropping-particle":"","parse-names":false,"suffix":""},{"dropping-particle":"","family":"Quarmby","given":"Valerie","non-dropping-particle":"","parse-names":false,"suffix":""},{"dropping-particle":"","family":"Schlothauer","given":"Tilman","non-dropping-particle":"","parse-names":false,"suffix":""},{"dropping-particle":"","family":"Beck","given":"Hermann","non-dropping-particle":"","parse-names":false,"suffix":""},{"dropping-particle":"","family":"Emrich","given":"Thomas","non-dropping-particle":"","parse-names":false,"suffix":""},{"dropping-particle":"","family":"Harris","given":"Reed J.","non-dropping-particle":"","parse-names":false,"suffix":""}],"container-title":"Biologicals","id":"ITEM-1","issue":"5","issued":{"date-parts":[["2016","9","1"]]},"page":"291-305","publisher":"Academic Press","title":"Determination of critical quality attributes for monoclonal antibodies using quality by design principles","type":"article-journal","volume":"44"},"uris":["http://www.mendeley.com/documents/?uuid=47a12e5d-2681-3c3a-94d9-57022d7c93c8"]}],"mendeley":{"formattedCitation":"&lt;sup&gt;19&lt;/sup&gt;","plainTextFormattedCitation":"19","previouslyFormattedCitation":"&lt;sup&gt;19&lt;/sup&gt;"},"properties":{"noteIndex":0},"schema":"https://github.com/citation-style-language/schema/raw/master/csl-citation.json"}</w:instrText>
      </w:r>
      <w:r w:rsidR="00033D49">
        <w:rPr>
          <w:rFonts w:ascii="Times New Roman" w:hAnsi="Times New Roman"/>
          <w:szCs w:val="24"/>
        </w:rPr>
        <w:fldChar w:fldCharType="separate"/>
      </w:r>
      <w:r w:rsidR="00375CAA" w:rsidRPr="00375CAA">
        <w:rPr>
          <w:rFonts w:ascii="Times New Roman" w:hAnsi="Times New Roman"/>
          <w:noProof/>
          <w:szCs w:val="24"/>
          <w:vertAlign w:val="superscript"/>
        </w:rPr>
        <w:t>19</w:t>
      </w:r>
      <w:r w:rsidR="00033D49">
        <w:rPr>
          <w:rFonts w:ascii="Times New Roman" w:hAnsi="Times New Roman"/>
          <w:szCs w:val="24"/>
        </w:rPr>
        <w:fldChar w:fldCharType="end"/>
      </w:r>
      <w:r w:rsidR="00430C49">
        <w:rPr>
          <w:rFonts w:ascii="Times New Roman" w:hAnsi="Times New Roman"/>
          <w:szCs w:val="24"/>
        </w:rPr>
        <w:t xml:space="preserve">. </w:t>
      </w:r>
      <w:r>
        <w:rPr>
          <w:rFonts w:ascii="Times New Roman" w:hAnsi="Times New Roman"/>
          <w:szCs w:val="24"/>
        </w:rPr>
        <w:t>Alternatively</w:t>
      </w:r>
      <w:r w:rsidR="00A26625">
        <w:rPr>
          <w:rFonts w:ascii="Times New Roman" w:hAnsi="Times New Roman"/>
          <w:szCs w:val="24"/>
        </w:rPr>
        <w:t>,</w:t>
      </w:r>
      <w:r w:rsidR="00430C49">
        <w:rPr>
          <w:rFonts w:ascii="Times New Roman" w:hAnsi="Times New Roman"/>
          <w:szCs w:val="24"/>
        </w:rPr>
        <w:t xml:space="preserve"> </w:t>
      </w:r>
      <w:proofErr w:type="spellStart"/>
      <w:r w:rsidR="00430C49">
        <w:rPr>
          <w:rFonts w:ascii="Times New Roman" w:hAnsi="Times New Roman"/>
          <w:szCs w:val="24"/>
        </w:rPr>
        <w:t>boronate</w:t>
      </w:r>
      <w:proofErr w:type="spellEnd"/>
      <w:r w:rsidR="00430C49">
        <w:rPr>
          <w:rFonts w:ascii="Times New Roman" w:hAnsi="Times New Roman"/>
          <w:szCs w:val="24"/>
        </w:rPr>
        <w:t xml:space="preserve"> columns</w:t>
      </w:r>
      <w:r w:rsidR="0054471F">
        <w:rPr>
          <w:rFonts w:ascii="Times New Roman" w:hAnsi="Times New Roman"/>
          <w:szCs w:val="24"/>
        </w:rPr>
        <w:t xml:space="preserve"> (BAC)</w:t>
      </w:r>
      <w:r w:rsidR="00430C49">
        <w:rPr>
          <w:rFonts w:ascii="Times New Roman" w:hAnsi="Times New Roman"/>
          <w:szCs w:val="24"/>
        </w:rPr>
        <w:t xml:space="preserve"> </w:t>
      </w:r>
      <w:r w:rsidR="00A26625">
        <w:rPr>
          <w:rFonts w:ascii="Times New Roman" w:hAnsi="Times New Roman"/>
          <w:szCs w:val="24"/>
        </w:rPr>
        <w:t xml:space="preserve">with affinity for glycated proteins </w:t>
      </w:r>
      <w:r w:rsidR="00430C49">
        <w:rPr>
          <w:rFonts w:ascii="Times New Roman" w:hAnsi="Times New Roman"/>
          <w:szCs w:val="24"/>
        </w:rPr>
        <w:t>can be used</w:t>
      </w:r>
      <w:r w:rsidR="0054471F">
        <w:rPr>
          <w:rFonts w:ascii="Times New Roman" w:hAnsi="Times New Roman"/>
          <w:szCs w:val="24"/>
        </w:rPr>
        <w:t xml:space="preserve"> in native conditions</w:t>
      </w:r>
      <w:r w:rsidR="00A26625">
        <w:rPr>
          <w:rFonts w:ascii="Times New Roman" w:hAnsi="Times New Roman"/>
          <w:szCs w:val="24"/>
        </w:rPr>
        <w:t>.</w:t>
      </w:r>
      <w:r w:rsidR="0054471F">
        <w:rPr>
          <w:rFonts w:ascii="Times New Roman" w:hAnsi="Times New Roman"/>
          <w:szCs w:val="24"/>
        </w:rPr>
        <w:t xml:space="preserve"> </w:t>
      </w:r>
      <w:r w:rsidR="00A26625">
        <w:rPr>
          <w:rFonts w:ascii="Times New Roman" w:hAnsi="Times New Roman"/>
          <w:szCs w:val="24"/>
        </w:rPr>
        <w:t>These are</w:t>
      </w:r>
      <w:r w:rsidR="0054471F">
        <w:rPr>
          <w:rFonts w:ascii="Times New Roman" w:hAnsi="Times New Roman"/>
          <w:szCs w:val="24"/>
        </w:rPr>
        <w:t xml:space="preserve"> limited</w:t>
      </w:r>
      <w:r w:rsidR="00A26625">
        <w:rPr>
          <w:rFonts w:ascii="Times New Roman" w:hAnsi="Times New Roman"/>
          <w:szCs w:val="24"/>
        </w:rPr>
        <w:t>, however,</w:t>
      </w:r>
      <w:r w:rsidR="0054471F">
        <w:rPr>
          <w:rFonts w:ascii="Times New Roman" w:hAnsi="Times New Roman"/>
          <w:szCs w:val="24"/>
        </w:rPr>
        <w:t xml:space="preserve"> </w:t>
      </w:r>
      <w:r w:rsidR="00A26625">
        <w:rPr>
          <w:rFonts w:ascii="Times New Roman" w:hAnsi="Times New Roman"/>
          <w:szCs w:val="24"/>
        </w:rPr>
        <w:t xml:space="preserve">as they </w:t>
      </w:r>
      <w:r w:rsidR="0054471F">
        <w:rPr>
          <w:rFonts w:ascii="Times New Roman" w:hAnsi="Times New Roman"/>
          <w:szCs w:val="24"/>
        </w:rPr>
        <w:t>hav</w:t>
      </w:r>
      <w:r w:rsidR="00A26625">
        <w:rPr>
          <w:rFonts w:ascii="Times New Roman" w:hAnsi="Times New Roman"/>
          <w:szCs w:val="24"/>
        </w:rPr>
        <w:t>e</w:t>
      </w:r>
      <w:r w:rsidR="0054471F">
        <w:rPr>
          <w:rFonts w:ascii="Times New Roman" w:hAnsi="Times New Roman"/>
          <w:szCs w:val="24"/>
        </w:rPr>
        <w:t xml:space="preserve"> </w:t>
      </w:r>
      <w:r w:rsidR="00A26625">
        <w:rPr>
          <w:rFonts w:ascii="Times New Roman" w:hAnsi="Times New Roman"/>
          <w:szCs w:val="24"/>
        </w:rPr>
        <w:t xml:space="preserve">similar </w:t>
      </w:r>
      <w:r w:rsidR="0054471F">
        <w:rPr>
          <w:rFonts w:ascii="Times New Roman" w:hAnsi="Times New Roman"/>
          <w:szCs w:val="24"/>
        </w:rPr>
        <w:t>affinit</w:t>
      </w:r>
      <w:r w:rsidR="00A26625">
        <w:rPr>
          <w:rFonts w:ascii="Times New Roman" w:hAnsi="Times New Roman"/>
          <w:szCs w:val="24"/>
        </w:rPr>
        <w:t>ies no matter how many times the protein is glycated</w:t>
      </w:r>
      <w:r w:rsidR="0054471F">
        <w:rPr>
          <w:rFonts w:ascii="Times New Roman" w:hAnsi="Times New Roman"/>
          <w:szCs w:val="24"/>
        </w:rPr>
        <w:t>.</w:t>
      </w:r>
      <w:r w:rsidR="006F5D32">
        <w:rPr>
          <w:rFonts w:ascii="Times New Roman" w:hAnsi="Times New Roman"/>
          <w:szCs w:val="24"/>
        </w:rPr>
        <w:fldChar w:fldCharType="begin" w:fldLock="1"/>
      </w:r>
      <w:r w:rsidR="006F5D32">
        <w:rPr>
          <w:rFonts w:ascii="Times New Roman" w:hAnsi="Times New Roman"/>
          <w:szCs w:val="24"/>
        </w:rPr>
        <w:instrText>ADDIN CSL_CITATION {"citationItems":[{"id":"ITEM-1","itemData":{"DOI":"10.1080/19420862.2017.1300214","ISSN":"1942-0870","PMID":"28272973","abstract":"Glycation is an important protein modification that could potentially affect bioactivity and molecular stability, and glycation of therapeutic proteins such as monoclonal antibodies should be well characterized. Glycated protein could undergo further degradation into advance glycation end (AGE) products. Here, we review the root cause of glycation during the manufacturing, storage and in vivo circulation of therapeutic antibodies, and the current analytical methods used to detect and characterize glycation and AGEs, including boronate affinity chromatography, charge-based methods, liquid chromatography-mass spectrometry and colorimetric assay. The biological effects of therapeutic protein glycation and AGEs, which ranged from no affect to loss of activity, are also discussed.","author":[{"dropping-particle":"","family":"Wei","given":"Bingchuan","non-dropping-particle":"","parse-names":false,"suffix":""},{"dropping-particle":"","family":"Berning","given":"Kelsey","non-dropping-particle":"","parse-names":false,"suffix":""},{"dropping-particle":"","family":"Quan","given":"Cynthia","non-dropping-particle":"","parse-names":false,"suffix":""},{"dropping-particle":"","family":"Zhang","given":"Yonghua Taylor","non-dropping-particle":"","parse-names":false,"suffix":""}],"container-title":"mAbs","id":"ITEM-1","issue":"4","issued":{"date-parts":[["2017"]]},"page":"586-594","publisher":"Taylor &amp; Francis","title":"Glycation of antibodies: Modification, methods and potential effects on biological functions.","type":"article-journal","volume":"9"},"uris":["http://www.mendeley.com/documents/?uuid=41ccfb6e-721f-3164-a91c-b80df42c513b"]},{"id":"ITEM-2","itemData":{"DOI":"10.1016/J.AB.2007.09.027","ISSN":"0003-2697","abstract":"The glycated form of a basic recombinant humanized monoclonal antibody (rhuMAb) was separated and quantitated by boronate affinity chromatography using optimized shielding reagents. Characterization on the isolated glycated material by peptide mapping analysis, using liquid chromatography–mass spectrometry (LC–MS) and tandem mass spectrometry (MS/MS) sequencing techniques, identified eight reactive lysine primary amine sites. The glycation reaction extent was similar among the various reactive sites, ranging from approximately 1 to 12%, and a single histidine residue separated the most and least reactive sites. Boronate chromatography run in a linear gradient mode separated monoglycated rhuMAb from higher order glycated species and indicated that the majority (</w:instrText>
      </w:r>
      <w:r w:rsidR="006F5D32">
        <w:rPr>
          <w:rFonts w:ascii="Cambria Math" w:hAnsi="Cambria Math" w:cs="Cambria Math"/>
          <w:szCs w:val="24"/>
        </w:rPr>
        <w:instrText>∼</w:instrText>
      </w:r>
      <w:r w:rsidR="006F5D32">
        <w:rPr>
          <w:rFonts w:ascii="Times New Roman" w:hAnsi="Times New Roman"/>
          <w:szCs w:val="24"/>
        </w:rPr>
        <w:instrText xml:space="preserve"> 90%) of glycated rhuMAb is monoglycated. Low-level glycation on a heavy chain lysine located within a complementarity-determining region (CDR) did not significantly affect binding activity in potency measurements. The glycated forms also behaved as slightly more acidic than the nonglycated antibody in charge-based separation techniques, observable by capillary isoelectric focusing (cIEF) and ion exchange chromatography (IEC). The boronate column has significantly increased retention of aggregated rhuMAb material under separation conditions optimized for the monomer form. Recombinant protein glycation initially occurred during production in mammalian cell culture, where feed sugar and protein concentrations contribute to the total overall glycation on this antibody product.","author":[{"dropping-particle":"","family":"Quan","given":"Cynthia","non-dropping-particle":"","parse-names":false,"suffix":""},{"dropping-particle":"","family":"Alcala","given":"Emily","non-dropping-particle":"","parse-names":false,"suffix":""},{"dropping-particle":"","family":"Petkovska","given":"Irena","non-dropping-particle":"","parse-names":false,"suffix":""},{"dropping-particle":"","family":"Matthews","given":"Domenic","non-dropping-particle":"","parse-names":false,"suffix":""},{"dropping-particle":"","family":"Canova-Davis","given":"Eleanor","non-dropping-particle":"","parse-names":false,"suffix":""},{"dropping-particle":"","family":"Taticek","given":"Ron","non-dropping-particle":"","parse-names":false,"suffix":""},{"dropping-particle":"","family":"Ma","given":"Stacey","non-dropping-particle":"","parse-names":false,"suffix":""}],"container-title":"Analytical Biochemistry","id":"ITEM-2","issue":"2","issued":{"date-parts":[["2008","2","15"]]},"page":"179-191","publisher":"Academic Press","title":"A study in glycation of a therapeutic recombinant humanized monoclonal antibody: Where it is, how it got there, and how it affects charge-based behavior","type":"article-journal","volume":"373"},"uris":["http://www.mendeley.com/documents/?uuid=32599355-019e-3939-824d-73a33ebface1"]},{"id":"ITEM-3","itemData":{"DOI":"10.1021/AC7017469","abstract":"We present here an improved analytical method for the analysis of glycation events in proteins. Nonenzymatic glycation of an IgG2 monoclonal antibody was studied using affinity chromatography, mass spectrometry, and chemical derivatization. Analysis of both forced-degraded and bulk-drug substance (BDS) samples showed the presence of glycated protein. A new peptide mapping pro-cedure, incorporating derivatization using sodium borohydride, allowed the development of a sensitive method for detecting and identifying the sites of modification. When combined with tandem mass spectrometry, peptides glycated by glucose showed dramatically improved MS/MS spectra as compared to underivatized controls. Using these methods we were able to map a number of glycation sites in both forced-degraded and BDS samples that were distributed across both light and heavy chain subdomains. The combination of affinity chromatography, high-resolution mass spectrometry, and a simple derivatization procedure should allow the facile an...","author":[{"dropping-particle":"","family":"Lowell J. Brady","given":"","non-dropping-particle":"","parse-names":false,"suffix":""},{"dropping-particle":"","family":"Theresa Martinez","given":"And","non-dropping-particle":"","parse-names":false,"suffix":""},{"dropping-particle":"","family":"Balland","given":"Alain","non-dropping-particle":"","parse-names":false,"suffix":""}],"container-title":"Anal. Chem","id":"ITEM-3","issue":"24","issued":{"date-parts":[["2007"]]},"page":"9403-9413","publisher":"American Chemical Society","title":"Characterization of Nonenzymatic Glycation on a Monoclonal Antibody","type":"article-journal","volume":"79"},"uris":["http://www.mendeley.com/documents/?uuid=1371d989-c0bf-380f-87f2-44013e62418a"]}],"mendeley":{"formattedCitation":"&lt;sup&gt;20–22&lt;/sup&gt;","plainTextFormattedCitation":"20–22","previouslyFormattedCitation":"&lt;sup&gt;20–22&lt;/sup&gt;"},"properties":{"noteIndex":0},"schema":"https://github.com/citation-style-language/schema/raw/master/csl-citation.json"}</w:instrText>
      </w:r>
      <w:r w:rsidR="006F5D32">
        <w:rPr>
          <w:rFonts w:ascii="Times New Roman" w:hAnsi="Times New Roman"/>
          <w:szCs w:val="24"/>
        </w:rPr>
        <w:fldChar w:fldCharType="separate"/>
      </w:r>
      <w:r w:rsidR="006F5D32" w:rsidRPr="006F5D32">
        <w:rPr>
          <w:rFonts w:ascii="Times New Roman" w:hAnsi="Times New Roman"/>
          <w:noProof/>
          <w:szCs w:val="24"/>
          <w:vertAlign w:val="superscript"/>
        </w:rPr>
        <w:t>20–22</w:t>
      </w:r>
      <w:r w:rsidR="006F5D32">
        <w:rPr>
          <w:rFonts w:ascii="Times New Roman" w:hAnsi="Times New Roman"/>
          <w:szCs w:val="24"/>
        </w:rPr>
        <w:fldChar w:fldCharType="end"/>
      </w:r>
      <w:r w:rsidR="00CD2E9A">
        <w:rPr>
          <w:rFonts w:ascii="Times New Roman" w:hAnsi="Times New Roman"/>
          <w:szCs w:val="24"/>
        </w:rPr>
        <w:t xml:space="preserve"> </w:t>
      </w:r>
      <w:r w:rsidR="00F33936">
        <w:rPr>
          <w:rFonts w:ascii="Times New Roman" w:hAnsi="Times New Roman"/>
          <w:szCs w:val="24"/>
        </w:rPr>
        <w:t xml:space="preserve">In this </w:t>
      </w:r>
      <w:r w:rsidR="00ED50D1">
        <w:rPr>
          <w:rFonts w:ascii="Times New Roman" w:hAnsi="Times New Roman"/>
          <w:szCs w:val="24"/>
        </w:rPr>
        <w:t>paper</w:t>
      </w:r>
      <w:r w:rsidR="00A26625">
        <w:rPr>
          <w:rFonts w:ascii="Times New Roman" w:hAnsi="Times New Roman"/>
          <w:szCs w:val="24"/>
        </w:rPr>
        <w:t>,</w:t>
      </w:r>
      <w:r w:rsidR="00ED50D1">
        <w:rPr>
          <w:rFonts w:ascii="Times New Roman" w:hAnsi="Times New Roman"/>
          <w:szCs w:val="24"/>
        </w:rPr>
        <w:t xml:space="preserve"> we</w:t>
      </w:r>
      <w:r w:rsidR="00F33936">
        <w:rPr>
          <w:rFonts w:ascii="Times New Roman" w:hAnsi="Times New Roman"/>
          <w:szCs w:val="24"/>
        </w:rPr>
        <w:t xml:space="preserve"> present </w:t>
      </w:r>
      <w:r w:rsidR="001D7157">
        <w:rPr>
          <w:rFonts w:ascii="Times New Roman" w:hAnsi="Times New Roman"/>
          <w:szCs w:val="24"/>
        </w:rPr>
        <w:t>vibrational</w:t>
      </w:r>
      <w:r w:rsidR="00F33936">
        <w:rPr>
          <w:rFonts w:ascii="Times New Roman" w:hAnsi="Times New Roman"/>
          <w:szCs w:val="24"/>
        </w:rPr>
        <w:t xml:space="preserve"> spectro</w:t>
      </w:r>
      <w:r w:rsidR="00C66F93">
        <w:rPr>
          <w:rFonts w:ascii="Times New Roman" w:hAnsi="Times New Roman"/>
          <w:szCs w:val="24"/>
        </w:rPr>
        <w:t>s</w:t>
      </w:r>
      <w:r w:rsidR="00F33936">
        <w:rPr>
          <w:rFonts w:ascii="Times New Roman" w:hAnsi="Times New Roman"/>
          <w:szCs w:val="24"/>
        </w:rPr>
        <w:t>c</w:t>
      </w:r>
      <w:r w:rsidR="00C66F93">
        <w:rPr>
          <w:rFonts w:ascii="Times New Roman" w:hAnsi="Times New Roman"/>
          <w:szCs w:val="24"/>
        </w:rPr>
        <w:t>op</w:t>
      </w:r>
      <w:r w:rsidR="00F33936">
        <w:rPr>
          <w:rFonts w:ascii="Times New Roman" w:hAnsi="Times New Roman"/>
          <w:szCs w:val="24"/>
        </w:rPr>
        <w:t xml:space="preserve">y as </w:t>
      </w:r>
      <w:r w:rsidR="007025AC">
        <w:rPr>
          <w:rFonts w:ascii="Times New Roman" w:hAnsi="Times New Roman"/>
          <w:szCs w:val="24"/>
        </w:rPr>
        <w:t xml:space="preserve">an </w:t>
      </w:r>
      <w:r>
        <w:rPr>
          <w:rFonts w:ascii="Times New Roman" w:hAnsi="Times New Roman"/>
          <w:szCs w:val="24"/>
        </w:rPr>
        <w:t>analytical</w:t>
      </w:r>
      <w:r w:rsidR="00F33936">
        <w:rPr>
          <w:rFonts w:ascii="Times New Roman" w:hAnsi="Times New Roman"/>
          <w:szCs w:val="24"/>
        </w:rPr>
        <w:t xml:space="preserve"> method</w:t>
      </w:r>
      <w:r>
        <w:rPr>
          <w:rFonts w:ascii="Times New Roman" w:hAnsi="Times New Roman"/>
          <w:szCs w:val="24"/>
        </w:rPr>
        <w:t xml:space="preserve"> </w:t>
      </w:r>
      <w:r w:rsidR="00C66F93">
        <w:rPr>
          <w:rFonts w:ascii="Times New Roman" w:hAnsi="Times New Roman"/>
          <w:szCs w:val="24"/>
        </w:rPr>
        <w:t>for the quantification</w:t>
      </w:r>
      <w:r w:rsidR="00F33936">
        <w:rPr>
          <w:rFonts w:ascii="Times New Roman" w:hAnsi="Times New Roman"/>
          <w:szCs w:val="24"/>
        </w:rPr>
        <w:t xml:space="preserve"> </w:t>
      </w:r>
      <w:r w:rsidR="001D7157">
        <w:rPr>
          <w:rFonts w:ascii="Times New Roman" w:hAnsi="Times New Roman"/>
          <w:szCs w:val="24"/>
        </w:rPr>
        <w:t>of glycation in a model protein</w:t>
      </w:r>
      <w:r w:rsidR="008302C7">
        <w:rPr>
          <w:rFonts w:ascii="Times New Roman" w:hAnsi="Times New Roman"/>
          <w:szCs w:val="24"/>
        </w:rPr>
        <w:t>, lysozyme</w:t>
      </w:r>
      <w:r w:rsidR="001D7157">
        <w:rPr>
          <w:rFonts w:ascii="Times New Roman" w:hAnsi="Times New Roman"/>
          <w:szCs w:val="24"/>
        </w:rPr>
        <w:t xml:space="preserve">. </w:t>
      </w:r>
      <w:r w:rsidR="004036FE">
        <w:rPr>
          <w:rFonts w:ascii="Times New Roman" w:hAnsi="Times New Roman"/>
          <w:szCs w:val="24"/>
        </w:rPr>
        <w:t>L</w:t>
      </w:r>
      <w:r w:rsidR="001D7157">
        <w:rPr>
          <w:rFonts w:ascii="Times New Roman" w:hAnsi="Times New Roman"/>
          <w:szCs w:val="24"/>
        </w:rPr>
        <w:t>ysozyme</w:t>
      </w:r>
      <w:r w:rsidR="00ED50D1">
        <w:rPr>
          <w:rFonts w:ascii="Times New Roman" w:hAnsi="Times New Roman"/>
          <w:szCs w:val="24"/>
        </w:rPr>
        <w:t xml:space="preserve"> </w:t>
      </w:r>
      <w:r w:rsidR="008302C7">
        <w:rPr>
          <w:rFonts w:ascii="Times New Roman" w:hAnsi="Times New Roman"/>
          <w:szCs w:val="24"/>
        </w:rPr>
        <w:t>has</w:t>
      </w:r>
      <w:r w:rsidR="00592A4C">
        <w:rPr>
          <w:rFonts w:ascii="Times New Roman" w:hAnsi="Times New Roman"/>
          <w:szCs w:val="24"/>
        </w:rPr>
        <w:t xml:space="preserve"> 6 Lys</w:t>
      </w:r>
      <w:r w:rsidR="00ED50D1">
        <w:rPr>
          <w:rFonts w:ascii="Times New Roman" w:hAnsi="Times New Roman"/>
          <w:szCs w:val="24"/>
        </w:rPr>
        <w:t xml:space="preserve"> residues and the N</w:t>
      </w:r>
      <w:r w:rsidR="008302C7">
        <w:rPr>
          <w:rFonts w:ascii="Times New Roman" w:hAnsi="Times New Roman"/>
          <w:szCs w:val="24"/>
        </w:rPr>
        <w:t>-</w:t>
      </w:r>
      <w:r w:rsidR="00ED50D1">
        <w:rPr>
          <w:rFonts w:ascii="Times New Roman" w:hAnsi="Times New Roman"/>
          <w:szCs w:val="24"/>
        </w:rPr>
        <w:t xml:space="preserve">terminus, resulting in 7 </w:t>
      </w:r>
      <w:r w:rsidR="008302C7">
        <w:rPr>
          <w:rFonts w:ascii="Times New Roman" w:hAnsi="Times New Roman"/>
          <w:szCs w:val="24"/>
        </w:rPr>
        <w:t xml:space="preserve">potential </w:t>
      </w:r>
      <w:r w:rsidR="00ED50D1">
        <w:rPr>
          <w:rFonts w:ascii="Times New Roman" w:hAnsi="Times New Roman"/>
          <w:szCs w:val="24"/>
        </w:rPr>
        <w:t xml:space="preserve">glycation sites. </w:t>
      </w:r>
      <w:r w:rsidR="004036FE">
        <w:rPr>
          <w:rFonts w:ascii="Times New Roman" w:hAnsi="Times New Roman"/>
          <w:szCs w:val="24"/>
        </w:rPr>
        <w:t xml:space="preserve">To our </w:t>
      </w:r>
      <w:r w:rsidR="00C66F93">
        <w:rPr>
          <w:rFonts w:ascii="Times New Roman" w:hAnsi="Times New Roman"/>
          <w:szCs w:val="24"/>
        </w:rPr>
        <w:t>knowledge</w:t>
      </w:r>
      <w:r w:rsidR="008302C7">
        <w:rPr>
          <w:rFonts w:ascii="Times New Roman" w:hAnsi="Times New Roman"/>
          <w:szCs w:val="24"/>
        </w:rPr>
        <w:t>,</w:t>
      </w:r>
      <w:r w:rsidR="00ED50D1">
        <w:rPr>
          <w:rFonts w:ascii="Times New Roman" w:hAnsi="Times New Roman"/>
          <w:szCs w:val="24"/>
        </w:rPr>
        <w:t xml:space="preserve"> this is the</w:t>
      </w:r>
      <w:r w:rsidR="004036FE">
        <w:rPr>
          <w:rFonts w:ascii="Times New Roman" w:hAnsi="Times New Roman"/>
          <w:szCs w:val="24"/>
        </w:rPr>
        <w:t xml:space="preserve"> first </w:t>
      </w:r>
      <w:r w:rsidR="00C66F93">
        <w:rPr>
          <w:rFonts w:ascii="Times New Roman" w:hAnsi="Times New Roman"/>
          <w:szCs w:val="24"/>
        </w:rPr>
        <w:t>reported</w:t>
      </w:r>
      <w:r w:rsidR="00ED50D1">
        <w:rPr>
          <w:rFonts w:ascii="Times New Roman" w:hAnsi="Times New Roman"/>
          <w:szCs w:val="24"/>
        </w:rPr>
        <w:t xml:space="preserve"> </w:t>
      </w:r>
      <w:r w:rsidR="00C95BC4">
        <w:rPr>
          <w:rFonts w:ascii="Times New Roman" w:hAnsi="Times New Roman"/>
          <w:szCs w:val="24"/>
        </w:rPr>
        <w:t>quantification</w:t>
      </w:r>
      <w:r w:rsidR="00ED50D1">
        <w:rPr>
          <w:rFonts w:ascii="Times New Roman" w:hAnsi="Times New Roman"/>
          <w:szCs w:val="24"/>
        </w:rPr>
        <w:t xml:space="preserve"> of </w:t>
      </w:r>
      <w:r w:rsidR="00592A4C">
        <w:rPr>
          <w:rFonts w:ascii="Times New Roman" w:hAnsi="Times New Roman"/>
          <w:szCs w:val="24"/>
        </w:rPr>
        <w:t>protein glycation</w:t>
      </w:r>
      <w:r w:rsidR="004036FE">
        <w:rPr>
          <w:rFonts w:ascii="Times New Roman" w:hAnsi="Times New Roman"/>
          <w:szCs w:val="24"/>
        </w:rPr>
        <w:t xml:space="preserve"> in </w:t>
      </w:r>
      <w:r w:rsidR="00DF4978">
        <w:rPr>
          <w:rFonts w:ascii="Times New Roman" w:hAnsi="Times New Roman"/>
          <w:szCs w:val="24"/>
        </w:rPr>
        <w:t xml:space="preserve">solution </w:t>
      </w:r>
      <w:r w:rsidR="00ED50D1">
        <w:rPr>
          <w:rFonts w:ascii="Times New Roman" w:hAnsi="Times New Roman"/>
          <w:szCs w:val="24"/>
        </w:rPr>
        <w:t xml:space="preserve">using </w:t>
      </w:r>
      <w:r w:rsidR="00C95BC4">
        <w:rPr>
          <w:rFonts w:ascii="Times New Roman" w:hAnsi="Times New Roman"/>
          <w:szCs w:val="24"/>
        </w:rPr>
        <w:t xml:space="preserve">Raman </w:t>
      </w:r>
      <w:r w:rsidR="00ED50D1">
        <w:rPr>
          <w:rFonts w:ascii="Times New Roman" w:hAnsi="Times New Roman"/>
          <w:szCs w:val="24"/>
        </w:rPr>
        <w:t>spectroscopy</w:t>
      </w:r>
      <w:r w:rsidR="00C06247">
        <w:rPr>
          <w:rFonts w:ascii="Times New Roman" w:hAnsi="Times New Roman"/>
          <w:szCs w:val="24"/>
        </w:rPr>
        <w:t>.</w:t>
      </w:r>
      <w:r w:rsidR="006F5D32">
        <w:rPr>
          <w:rFonts w:ascii="Times New Roman" w:hAnsi="Times New Roman"/>
          <w:szCs w:val="24"/>
        </w:rPr>
        <w:fldChar w:fldCharType="begin" w:fldLock="1"/>
      </w:r>
      <w:r w:rsidR="006F5D32">
        <w:rPr>
          <w:rFonts w:ascii="Times New Roman" w:hAnsi="Times New Roman"/>
          <w:szCs w:val="24"/>
        </w:rPr>
        <w:instrText>ADDIN CSL_CITATION {"citationItems":[{"id":"ITEM-1","itemData":{"DOI":"10.1371/journal.pone.0032406","ISSN":"1932-6203","abstract":"We present the first demonstration of glycated albumin detection and quantification using Raman spectroscopy without the addition of reagents. Glycated albumin is an important marker for monitoring the long-term glycemic history of diabetics, especially as its concentrations, in contrast to glycated hemoglobin levels, are unaffected by changes in erythrocyte life times. Clinically, glycated albumin concentrations show a strong correlation with the development of serious diabetes complications including nephropathy and retinopathy. In this article, we propose and evaluate the efficacy of Raman spectroscopy for determination of this important analyte. By utilizing the pre-concentration obtained through drop-coating deposition, we show that glycation of albumin leads to subtle, but consistent, changes in vibrational features, which with the help of multivariate classification techniques can be used to discriminate glycated albumin from the unglycated variant with 100% accuracy. Moreover, we demonstrate that the calibration model developed on the glycated albumin spectral dataset shows high predictive power, even at substantially lower concentrations than those typically encountered in clinical practice. In fact, the limit of detection for glycated albumin measurements is calculated to be approximately four times lower than its minimum physiological concentration. Importantly, in relation to the existing detection methods for glycated albumin, the proposed method is also completely reagent-free, requires barely any sample preparation and has the potential for simultaneous determination of glycated hemoglobin levels as well. Given these key advantages, we believe that the proposed approach can provide a uniquely powerful tool for quantification of glycation status of proteins in biopharmaceutical development as well as for glycemic marker determination in routine clinical diagnostics in the future.","author":[{"dropping-particle":"","family":"Dingari","given":"Narahara Chari","non-dropping-particle":"","parse-names":false,"suffix":""},{"dropping-particle":"","family":"Horowitz","given":"Gary L.","non-dropping-particle":"","parse-names":false,"suffix":""},{"dropping-particle":"","family":"Kang","given":"Jeon Woong","non-dropping-particle":"","parse-names":false,"suffix":""},{"dropping-particle":"","family":"Dasari","given":"Ramachandra R.","non-dropping-particle":"","parse-names":false,"suffix":""},{"dropping-particle":"","family":"Barman","given":"Ishan","non-dropping-particle":"","parse-names":false,"suffix":""}],"container-title":"PLoS ONE","editor":[{"dropping-particle":"","family":"Georgakoudi","given":"Irene","non-dropping-particle":"","parse-names":false,"suffix":""}],"id":"ITEM-1","issue":"2","issued":{"date-parts":[["2012","2","29"]]},"page":"e32406","publisher":"Public Library of Science","title":"Raman Spectroscopy Provides a Powerful Diagnostic Tool for Accurate Determination of Albumin Glycation","type":"article-journal","volume":"7"},"uris":["http://www.mendeley.com/documents/?uuid=983d3c29-5176-3771-b6fa-006cbdffa217"]},{"id":"ITEM-2","itemData":{"DOI":"10.1016/J.CHEMOLAB.2015.04.015","ISSN":"0169-7439","abstract":"A novel near-infrared-spectroscopy-based quantification method for glycated hemoglobin (HbA1c), a major clinical diagnosis indicator of diabetes, was developed on the basis of simultaneous determination of hemoglobin (Hb) and absolute HbA1c content (Hb•HbA1c) in human hemolysate samples. Equidistant combination partial least squares (EC-PLS) method was proposed to perform wavelengths selection. Competitive adaptive reweighted sampling PLS (CARS-PLS) and Monte Carlo uninformative variable elimination PLS (MC-UVE-PLS) methods were also conducted for comparison. A randomness and stability dependent rigorous process of calibration, prediction, and validation was performed to produce objective and stable models. The search range covered the unsaturated region (780–1880nm, 2090–2330nm). For Hb and Hb•HbA1c, only 6 and 14 wavelengths were selected with EC-PLS, 23 and 30 wavelengths were selected with CARS-PLS, and 100 and 120 wavelengths were selected with MC-UVE-PLS, respectively. The predicted values of relative percentage HbA1c were calculated from the predicted Hb and Hb•HbA1c values. The sensitivity and specificity for diabetes were 93.5% and 97.1% with EC-PLS, 91.3% and 94.1% with CARS-PLS, and 89.1% and 76.5% with MC-UVE-PLS, respectively. In three methods, EC-PLS not only employed the least wavelengths but also produced the best quantification accuracy for HbA1c. EC-PLS also achieved the highest classification accuracy for negative and positive samples for diabetes. The results confirm the feasibility of HbA1c quantification based on the simultaneous analysis of Hb and Hb•HbA1c with NIR spectroscopy. This technique is rapid and simple when compared with conventional methods, and is a promising tool for screening diabetes in large populations.","author":[{"dropping-particle":"","family":"Han","given":"Yun","non-dropping-particle":"","parse-names":false,"suffix":""},{"dropping-particle":"","family":"Chen","given":"Jiemei","non-dropping-particle":"","parse-names":false,"suffix":""},{"dropping-particle":"","family":"Pan","given":"Tao","non-dropping-particle":"","parse-names":false,"suffix":""},{"dropping-particle":"","family":"Liu","given":"Guisong","non-dropping-particle":"","parse-names":false,"suffix":""}],"container-title":"Chemometrics and Intelligent Laboratory Systems","id":"ITEM-2","issued":{"date-parts":[["2015","7","15"]]},"page":"84-92","publisher":"Elsevier","title":"Determination of glycated hemoglobin using near-infrared spectroscopy combined with equidistant combination partial least squares","type":"article-journal","volume":"145"},"uris":["http://www.mendeley.com/documents/?uuid=f783fe07-26d9-3cd7-a1a9-821c0dd754bd"]},{"id":"ITEM-3","itemData":{"DOI":"10.1096/fj.06-7896com","ISSN":"0892-6638","abstract":"The modification of proteins by nonenzymatic glycation leading to accumulation of advanced glycation end products (AGEs) is a well-established phenomenon of aging. In the eyes of elderly patients, these adducts have been observed in retinal pigment epithelium (RPE), particularly within the underlying pentalaminar substrate known as Bruch’s membrane. AGEs have also been localized to age-related subcellular deposits (drusen and basal laminar deposits) and are thought to play a pathogenic role in progression of the major sight-threatening condition known as age-related macular degeneration (AMD). The current study has quantified AGEs in Bruch’s membrane from postmortem eyes and established age-related correlations. In particular, we investigated the potential of confocal Raman microscopy to identify and quantify AGEs in Bruch’s membrane in a nondestructive, analytical fashion. Bruch’s membrane and the innermost layers of the underlying choroid (BM-Ch) were dissected from fresh postmortem eye-cups (n=56). AGE...","author":[{"dropping-particle":"V.","family":"Glenn","given":"Josephine","non-dropping-particle":"","parse-names":false,"suffix":""},{"dropping-particle":"","family":"Beattie","given":"J. Renwick","non-dropping-particle":"","parse-names":false,"suffix":""},{"dropping-particle":"","family":"Barrett","given":"Lindsay","non-dropping-particle":"","parse-names":false,"suffix":""},{"dropping-particle":"","family":"Frizzell","given":"Norma","non-dropping-particle":"","parse-names":false,"suffix":""},{"dropping-particle":"","family":"Thorpe","given":"Suzanne R.","non-dropping-particle":"","parse-names":false,"suffix":""},{"dropping-particle":"","family":"Boulton","given":"Mike E","non-dropping-particle":"","parse-names":false,"suffix":""},{"dropping-particle":"","family":"McGarvey","given":"John J.","non-dropping-particle":"","parse-names":false,"suffix":""},{"dropping-particle":"","family":"Stitt","given":"Alan W.","non-dropping-particle":"","parse-names":false,"suffix":""}],"container-title":"The FASEB Journal","id":"ITEM-3","issue":"13","issued":{"date-parts":[["2007","11","12"]]},"page":"3542-3552","publisher":"Federation of American Societies for Experimental Biology","title":"Confocal Raman microscopy can quantify advanced glycation end product (AGE) modifications in Bruch’s membrane leading to accurate, nondestructive prediction of ocular aging","type":"article-journal","volume":"21"},"uris":["http://www.mendeley.com/documents/?uuid=413bf3d6-d6a8-3e1b-b5b1-860cb16ff110"]},{"id":"ITEM-4","itemData":{"DOI":"10.1142/S1793545813500600","ISSN":"1793-5458","abstract":"A new strategy for quantitative analysis of a major clinical biochemical indicator called glycated hemoglobin (HbA1c) was proposed. The technique was based on the simultaneous near-infrared (NIR) s...","author":[{"dropping-particle":"","family":"Pan","given":"Tao","non-dropping-particle":"","parse-names":false,"suffix":""},{"dropping-particle":"","family":"Li","given":"Minmiao","non-dropping-particle":"","parse-names":false,"suffix":""},{"dropping-particle":"","family":"Chen","given":"Jiemei","non-dropping-particle":"","parse-names":false,"suffix":""},{"dropping-particle":"","family":"Xue","given":"Haiyan","non-dropping-particle":"","parse-names":false,"suffix":""}],"container-title":"Journal of Innovative Optical Health Sciences","id":"ITEM-4","issue":"04","issued":{"date-parts":[["2014","7","16"]]},"page":"1350060","publisher":" The Authors ","title":"Quantification of glycated hemoglobin indicator HbA1c through near-infrared spectroscopy","type":"article-journal","volume":"07"},"uris":["http://www.mendeley.com/documents/?uuid=09b5540f-fcf1-3d59-a08a-3250aac7161f"]}],"mendeley":{"formattedCitation":"&lt;sup&gt;23–26&lt;/sup&gt;","plainTextFormattedCitation":"23–26","previouslyFormattedCitation":"&lt;sup&gt;23–26&lt;/sup&gt;"},"properties":{"noteIndex":0},"schema":"https://github.com/citation-style-language/schema/raw/master/csl-citation.json"}</w:instrText>
      </w:r>
      <w:r w:rsidR="006F5D32">
        <w:rPr>
          <w:rFonts w:ascii="Times New Roman" w:hAnsi="Times New Roman"/>
          <w:szCs w:val="24"/>
        </w:rPr>
        <w:fldChar w:fldCharType="separate"/>
      </w:r>
      <w:r w:rsidR="006F5D32" w:rsidRPr="006F5D32">
        <w:rPr>
          <w:rFonts w:ascii="Times New Roman" w:hAnsi="Times New Roman"/>
          <w:noProof/>
          <w:szCs w:val="24"/>
          <w:vertAlign w:val="superscript"/>
        </w:rPr>
        <w:t>23–26</w:t>
      </w:r>
      <w:r w:rsidR="006F5D32">
        <w:rPr>
          <w:rFonts w:ascii="Times New Roman" w:hAnsi="Times New Roman"/>
          <w:szCs w:val="24"/>
        </w:rPr>
        <w:fldChar w:fldCharType="end"/>
      </w:r>
      <w:r w:rsidR="00ED50D1">
        <w:rPr>
          <w:rFonts w:ascii="Times New Roman" w:hAnsi="Times New Roman"/>
          <w:szCs w:val="24"/>
        </w:rPr>
        <w:t xml:space="preserve"> </w:t>
      </w:r>
      <w:r w:rsidR="00637228">
        <w:rPr>
          <w:rFonts w:ascii="Times New Roman" w:hAnsi="Times New Roman"/>
          <w:szCs w:val="24"/>
        </w:rPr>
        <w:t xml:space="preserve">Raman spectroscopy is inherently easier to incorporate into bio-manufacturing </w:t>
      </w:r>
      <w:r w:rsidR="00DF4978">
        <w:rPr>
          <w:rFonts w:ascii="Times New Roman" w:hAnsi="Times New Roman"/>
          <w:szCs w:val="24"/>
        </w:rPr>
        <w:t xml:space="preserve">than other widely used analytical methods such as MS, peptide mapping, </w:t>
      </w:r>
      <w:r w:rsidR="00BC5CCF">
        <w:rPr>
          <w:rFonts w:ascii="Times New Roman" w:hAnsi="Times New Roman"/>
          <w:szCs w:val="24"/>
        </w:rPr>
        <w:t xml:space="preserve">or </w:t>
      </w:r>
      <w:r w:rsidR="00DF4978">
        <w:rPr>
          <w:rFonts w:ascii="Times New Roman" w:hAnsi="Times New Roman"/>
          <w:szCs w:val="24"/>
        </w:rPr>
        <w:t>the use of columns. Furthermore</w:t>
      </w:r>
      <w:r w:rsidR="00BC5CCF">
        <w:rPr>
          <w:rFonts w:ascii="Times New Roman" w:hAnsi="Times New Roman"/>
          <w:szCs w:val="24"/>
        </w:rPr>
        <w:t>,</w:t>
      </w:r>
      <w:r w:rsidR="00DF4978">
        <w:rPr>
          <w:rFonts w:ascii="Times New Roman" w:hAnsi="Times New Roman"/>
          <w:szCs w:val="24"/>
        </w:rPr>
        <w:t xml:space="preserve"> Raman spectroscopy has</w:t>
      </w:r>
      <w:r w:rsidR="00637228">
        <w:rPr>
          <w:rFonts w:ascii="Times New Roman" w:hAnsi="Times New Roman"/>
          <w:szCs w:val="24"/>
        </w:rPr>
        <w:t xml:space="preserve"> minimal contribution of water bands and spectroscopic information </w:t>
      </w:r>
      <w:r w:rsidR="007025AC">
        <w:rPr>
          <w:rFonts w:ascii="Times New Roman" w:hAnsi="Times New Roman"/>
          <w:szCs w:val="24"/>
        </w:rPr>
        <w:t xml:space="preserve">can be obtained </w:t>
      </w:r>
      <w:r w:rsidR="00DF4978">
        <w:rPr>
          <w:rFonts w:ascii="Times New Roman" w:hAnsi="Times New Roman"/>
          <w:szCs w:val="24"/>
        </w:rPr>
        <w:t xml:space="preserve">without </w:t>
      </w:r>
      <w:r w:rsidR="00BC5CCF">
        <w:rPr>
          <w:rFonts w:ascii="Times New Roman" w:hAnsi="Times New Roman"/>
          <w:szCs w:val="24"/>
        </w:rPr>
        <w:t xml:space="preserve">the requirement for a sample to be taken from a </w:t>
      </w:r>
      <w:r w:rsidR="0050472B">
        <w:rPr>
          <w:rFonts w:ascii="Times New Roman" w:hAnsi="Times New Roman"/>
          <w:szCs w:val="24"/>
        </w:rPr>
        <w:t>fermentation.</w:t>
      </w:r>
      <w:r w:rsidR="00BC5CCF">
        <w:rPr>
          <w:rFonts w:ascii="Times New Roman" w:hAnsi="Times New Roman"/>
          <w:szCs w:val="24"/>
        </w:rPr>
        <w:t xml:space="preserve"> </w:t>
      </w:r>
      <w:r w:rsidR="0050472B">
        <w:rPr>
          <w:rFonts w:ascii="Times New Roman" w:hAnsi="Times New Roman"/>
          <w:szCs w:val="24"/>
        </w:rPr>
        <w:t>It</w:t>
      </w:r>
      <w:r w:rsidR="00DF4978">
        <w:rPr>
          <w:rFonts w:ascii="Times New Roman" w:hAnsi="Times New Roman"/>
          <w:szCs w:val="24"/>
        </w:rPr>
        <w:t xml:space="preserve"> can therefore be used </w:t>
      </w:r>
      <w:r w:rsidR="00DF4978" w:rsidRPr="00520834">
        <w:rPr>
          <w:rFonts w:ascii="Times New Roman" w:hAnsi="Times New Roman"/>
          <w:i/>
          <w:szCs w:val="24"/>
        </w:rPr>
        <w:t>in</w:t>
      </w:r>
      <w:r w:rsidR="00BC5CCF" w:rsidRPr="00520834">
        <w:rPr>
          <w:rFonts w:ascii="Times New Roman" w:hAnsi="Times New Roman"/>
          <w:i/>
          <w:szCs w:val="24"/>
        </w:rPr>
        <w:t xml:space="preserve"> </w:t>
      </w:r>
      <w:r w:rsidR="00DF4978" w:rsidRPr="00520834">
        <w:rPr>
          <w:rFonts w:ascii="Times New Roman" w:hAnsi="Times New Roman"/>
          <w:i/>
          <w:szCs w:val="24"/>
        </w:rPr>
        <w:t>situ</w:t>
      </w:r>
      <w:r w:rsidR="00637228">
        <w:rPr>
          <w:rFonts w:ascii="Times New Roman" w:hAnsi="Times New Roman"/>
          <w:szCs w:val="24"/>
        </w:rPr>
        <w:t>.</w:t>
      </w:r>
      <w:r w:rsidR="006F5D32">
        <w:rPr>
          <w:rFonts w:ascii="Times New Roman" w:hAnsi="Times New Roman"/>
          <w:szCs w:val="24"/>
        </w:rPr>
        <w:fldChar w:fldCharType="begin" w:fldLock="1"/>
      </w:r>
      <w:r w:rsidR="006F5D32">
        <w:rPr>
          <w:rFonts w:ascii="Times New Roman" w:hAnsi="Times New Roman"/>
          <w:szCs w:val="24"/>
        </w:rPr>
        <w:instrText>ADDIN CSL_CITATION {"citationItems":[{"id":"ITEM-1","itemData":{"ISSN":"1618-2650","PMID":"27491299","abstract":"Adoption of Quality by Design (QbD) principles, regulatory support of QbD, process analytical technology (PAT), and continuous manufacturing are major factors effecting new approaches to pharmaceutical manufacturing and bioprocessing. In this review, we highlight new technology developments, data analysis models, and applications of Raman spectroscopy, which have expanded the scope of Raman spectroscopy as a process analytical technology. Emerging technologies such as transmission and enhanced reflection Raman, and new approaches to using available technologies, expand the scope of Raman spectroscopy in pharmaceutical manufacturing, and now Raman spectroscopy is successfully integrated into real-time release testing, continuous manufacturing, and statistical process control. Since the last major review of Raman as a pharmaceutical PAT in 2010, many new Raman applications in bioprocessing have emerged. Exciting reports of in situ Raman spectroscopy in bioprocesses complement a growing scientific field of biological and biomedical Raman spectroscopy. Raman spectroscopy has made a positive impact as a process analytical and control tool for pharmaceutical manufacturing and bioprocessing, with demonstrated scientific and financial benefits throughout a product's lifecycle.","author":[{"dropping-particle":"","family":"Esmonde-White","given":"Karen A","non-dropping-particle":"","parse-names":false,"suffix":""},{"dropping-particle":"","family":"Cuellar","given":"Maryann","non-dropping-particle":"","parse-names":false,"suffix":""},{"dropping-particle":"","family":"Uerpmann","given":"Carsten","non-dropping-particle":"","parse-names":false,"suffix":""},{"dropping-particle":"","family":"Lenain","given":"Bruno","non-dropping-particle":"","parse-names":false,"suffix":""},{"dropping-particle":"","family":"Lewis","given":"Ian R","non-dropping-particle":"","parse-names":false,"suffix":""}],"container-title":"Analytical and bioanalytical chemistry","id":"ITEM-1","issue":"3","issued":{"date-parts":[["2017","1"]]},"page":"637-649","publisher":"Springer","title":"Raman spectroscopy as a process analytical technology for pharmaceutical manufacturing and bioprocessing.","type":"article-journal","volume":"409"},"uris":["http://www.mendeley.com/documents/?uuid=03ddeafe-5a6f-34b6-8b31-43f08f37f836"]},{"id":"ITEM-2","itemData":{"DOI":"10.1016/J.IJPHARM.2010.12.012","ISSN":"0378-5173","abstract":"Within the Process Analytical Technology (PAT) framework, it is of utmost importance to obtain critical process and formulation information during pharmaceutical processing. Process analyzers are the essential PAT tools for real-time process monitoring and control as they supply the data from which relevant process and product information and conclusions are to be extracted. Since the last decade, near infrared (NIR) and Raman spectroscopy have been increasingly used for real-time measurements of critical process and product attributes, as these techniques allow rapid and nondestructive measurements without sample preparations. Furthermore, both techniques provide chemical and physical information leading to increased process understanding. Probes coupled to the spectrometers by fiber optic cables can be implemented directly into the process streams allowing continuous in-process measurements. This paper aims at reviewing the use of Raman and NIR spectroscopy in the PAT setting, i.e., during processing, with special emphasis in pharmaceutics and dosage forms.","author":[{"dropping-particle":"","family":"Beer","given":"T.","non-dropping-particle":"De","parse-names":false,"suffix":""},{"dropping-particle":"","family":"Burggraeve","given":"A.","non-dropping-particle":"","parse-names":false,"suffix":""},{"dropping-particle":"","family":"Fonteyne","given":"M.","non-dropping-particle":"","parse-names":false,"suffix":""},{"dropping-particle":"","family":"Saerens","given":"L.","non-dropping-particle":"","parse-names":false,"suffix":""},{"dropping-particle":"","family":"Remon","given":"J.P.","non-dropping-particle":"","parse-names":false,"suffix":""},{"dropping-particle":"","family":"Vervaet","given":"C.","non-dropping-particle":"","parse-names":false,"suffix":""}],"container-title":"International Journal of Pharmaceutics","id":"ITEM-2","issue":"1-2","issued":{"date-parts":[["2011","9","30"]]},"page":"32-47","publisher":"Elsevier","title":"Near infrared and Raman spectroscopy for the in-process monitoring of pharmaceutical production processes","type":"article-journal","volume":"417"},"uris":["http://www.mendeley.com/documents/?uuid=85ac2cac-ba0e-3c06-b560-fb32461f31b6"]},{"id":"ITEM-3","itemData":{"DOI":"10.1016/J.JPBA.2010.06.016","ISSN":"0731-7085","abstract":"A multivariate model was constructed by correlating Raman spectral data with coated amount of the API diprophylline using Partial Least Squares. In agreement with ICH guideline Q2 the method was validated in order to achieve the requirement of demonstrating that Raman spectroscopy is suitable as rapid PAT tool for inline quantitative monitoring of active coating. The present work presents an appropriate approach to transfer the requirements of the guidelines to the Raman method used for inline measurements and demonstrates that the requirements of the validation characteristics were achieved.","author":[{"dropping-particle":"","family":"Müller","given":"Joshua","non-dropping-particle":"","parse-names":false,"suffix":""},{"dropping-particle":"","family":"Knop","given":"Klaus","non-dropping-particle":"","parse-names":false,"suffix":""},{"dropping-particle":"","family":"Wirges","given":"Markus","non-dropping-particle":"","parse-names":false,"suffix":""},{"dropping-particle":"","family":"Kleinebudde","given":"Peter","non-dropping-particle":"","parse-names":false,"suffix":""}],"container-title":"Journal of Pharmaceutical and Biomedical Analysis","id":"ITEM-3","issue":"4","issued":{"date-parts":[["2010","12","1"]]},"page":"884-894","publisher":"Elsevier","title":"Validation of Raman spectroscopic procedures in agreement with ICH guideline Q2 with considering the transfer to real time monitoring of an active coating process","type":"article-journal","volume":"53"},"uris":["http://www.mendeley.com/documents/?uuid=9787757f-3cb5-3027-8579-1c64ec2c77e2"]}],"mendeley":{"formattedCitation":"&lt;sup&gt;27–29&lt;/sup&gt;","plainTextFormattedCitation":"27–29","previouslyFormattedCitation":"&lt;sup&gt;27–29&lt;/sup&gt;"},"properties":{"noteIndex":0},"schema":"https://github.com/citation-style-language/schema/raw/master/csl-citation.json"}</w:instrText>
      </w:r>
      <w:r w:rsidR="006F5D32">
        <w:rPr>
          <w:rFonts w:ascii="Times New Roman" w:hAnsi="Times New Roman"/>
          <w:szCs w:val="24"/>
        </w:rPr>
        <w:fldChar w:fldCharType="separate"/>
      </w:r>
      <w:r w:rsidR="006F5D32" w:rsidRPr="006F5D32">
        <w:rPr>
          <w:rFonts w:ascii="Times New Roman" w:hAnsi="Times New Roman"/>
          <w:noProof/>
          <w:szCs w:val="24"/>
          <w:vertAlign w:val="superscript"/>
        </w:rPr>
        <w:t>27–29</w:t>
      </w:r>
      <w:r w:rsidR="006F5D32">
        <w:rPr>
          <w:rFonts w:ascii="Times New Roman" w:hAnsi="Times New Roman"/>
          <w:szCs w:val="24"/>
        </w:rPr>
        <w:fldChar w:fldCharType="end"/>
      </w:r>
      <w:r w:rsidR="00637228">
        <w:rPr>
          <w:rFonts w:ascii="Times New Roman" w:hAnsi="Times New Roman"/>
          <w:szCs w:val="24"/>
        </w:rPr>
        <w:t xml:space="preserve"> </w:t>
      </w:r>
      <w:r w:rsidR="008302C7">
        <w:rPr>
          <w:rFonts w:ascii="Times New Roman" w:hAnsi="Times New Roman"/>
          <w:szCs w:val="24"/>
        </w:rPr>
        <w:t>This</w:t>
      </w:r>
      <w:r w:rsidR="0002536C">
        <w:rPr>
          <w:rFonts w:ascii="Times New Roman" w:hAnsi="Times New Roman"/>
          <w:szCs w:val="24"/>
        </w:rPr>
        <w:t xml:space="preserve"> paper </w:t>
      </w:r>
      <w:r w:rsidR="008302C7">
        <w:rPr>
          <w:rFonts w:ascii="Times New Roman" w:hAnsi="Times New Roman"/>
          <w:szCs w:val="24"/>
        </w:rPr>
        <w:t xml:space="preserve">therefore </w:t>
      </w:r>
      <w:r w:rsidR="0002536C">
        <w:rPr>
          <w:rFonts w:ascii="Times New Roman" w:hAnsi="Times New Roman"/>
          <w:szCs w:val="24"/>
        </w:rPr>
        <w:t>provides</w:t>
      </w:r>
      <w:r w:rsidR="00BC2501">
        <w:rPr>
          <w:rFonts w:ascii="Times New Roman" w:hAnsi="Times New Roman"/>
          <w:szCs w:val="24"/>
        </w:rPr>
        <w:t xml:space="preserve"> </w:t>
      </w:r>
      <w:r w:rsidR="00C66F93">
        <w:rPr>
          <w:rFonts w:ascii="Times New Roman" w:hAnsi="Times New Roman"/>
          <w:szCs w:val="24"/>
        </w:rPr>
        <w:t>proof</w:t>
      </w:r>
      <w:r w:rsidR="00BC5CCF">
        <w:rPr>
          <w:rFonts w:ascii="Times New Roman" w:hAnsi="Times New Roman"/>
          <w:szCs w:val="24"/>
        </w:rPr>
        <w:t>-</w:t>
      </w:r>
      <w:r w:rsidR="00BC2501">
        <w:rPr>
          <w:rFonts w:ascii="Times New Roman" w:hAnsi="Times New Roman"/>
          <w:szCs w:val="24"/>
        </w:rPr>
        <w:t>of</w:t>
      </w:r>
      <w:r w:rsidR="00BC5CCF">
        <w:rPr>
          <w:rFonts w:ascii="Times New Roman" w:hAnsi="Times New Roman"/>
          <w:szCs w:val="24"/>
        </w:rPr>
        <w:t>-</w:t>
      </w:r>
      <w:r w:rsidR="00C66F93">
        <w:rPr>
          <w:rFonts w:ascii="Times New Roman" w:hAnsi="Times New Roman"/>
          <w:szCs w:val="24"/>
        </w:rPr>
        <w:t>concept</w:t>
      </w:r>
      <w:r w:rsidR="00BC2501">
        <w:rPr>
          <w:rFonts w:ascii="Times New Roman" w:hAnsi="Times New Roman"/>
          <w:szCs w:val="24"/>
        </w:rPr>
        <w:t xml:space="preserve"> </w:t>
      </w:r>
      <w:r w:rsidR="00637228">
        <w:rPr>
          <w:rFonts w:ascii="Times New Roman" w:hAnsi="Times New Roman"/>
          <w:szCs w:val="24"/>
        </w:rPr>
        <w:t xml:space="preserve">for </w:t>
      </w:r>
      <w:r w:rsidR="008302C7">
        <w:rPr>
          <w:rFonts w:ascii="Times New Roman" w:hAnsi="Times New Roman"/>
          <w:szCs w:val="24"/>
        </w:rPr>
        <w:t xml:space="preserve">using </w:t>
      </w:r>
      <w:r w:rsidR="00DF04CB">
        <w:rPr>
          <w:rFonts w:ascii="Times New Roman" w:hAnsi="Times New Roman"/>
          <w:szCs w:val="24"/>
        </w:rPr>
        <w:t xml:space="preserve">Raman </w:t>
      </w:r>
      <w:r w:rsidR="00BC2501">
        <w:rPr>
          <w:rFonts w:ascii="Times New Roman" w:hAnsi="Times New Roman"/>
          <w:szCs w:val="24"/>
        </w:rPr>
        <w:t xml:space="preserve">spectroscopy as </w:t>
      </w:r>
      <w:r w:rsidR="00745254">
        <w:rPr>
          <w:rFonts w:ascii="Times New Roman" w:hAnsi="Times New Roman"/>
          <w:szCs w:val="24"/>
        </w:rPr>
        <w:t xml:space="preserve">a </w:t>
      </w:r>
      <w:r w:rsidR="00BC2501">
        <w:rPr>
          <w:rFonts w:ascii="Times New Roman" w:hAnsi="Times New Roman"/>
          <w:szCs w:val="24"/>
        </w:rPr>
        <w:t xml:space="preserve">method for </w:t>
      </w:r>
      <w:r w:rsidR="00B207A6">
        <w:rPr>
          <w:rFonts w:ascii="Times New Roman" w:hAnsi="Times New Roman"/>
          <w:szCs w:val="24"/>
        </w:rPr>
        <w:t xml:space="preserve">rapid </w:t>
      </w:r>
      <w:r w:rsidR="00C66F93">
        <w:rPr>
          <w:rFonts w:ascii="Times New Roman" w:hAnsi="Times New Roman"/>
          <w:szCs w:val="24"/>
        </w:rPr>
        <w:t>quantification</w:t>
      </w:r>
      <w:r w:rsidR="008302C7">
        <w:rPr>
          <w:rFonts w:ascii="Times New Roman" w:hAnsi="Times New Roman"/>
          <w:szCs w:val="24"/>
        </w:rPr>
        <w:t xml:space="preserve"> of glycation</w:t>
      </w:r>
      <w:r w:rsidR="0002536C">
        <w:rPr>
          <w:rFonts w:ascii="Times New Roman" w:hAnsi="Times New Roman"/>
          <w:szCs w:val="24"/>
        </w:rPr>
        <w:t xml:space="preserve"> and</w:t>
      </w:r>
      <w:r w:rsidR="00637228">
        <w:rPr>
          <w:rFonts w:ascii="Times New Roman" w:hAnsi="Times New Roman"/>
          <w:szCs w:val="24"/>
        </w:rPr>
        <w:t xml:space="preserve"> for future </w:t>
      </w:r>
      <w:r w:rsidR="008302C7">
        <w:rPr>
          <w:rFonts w:ascii="Times New Roman" w:hAnsi="Times New Roman"/>
          <w:szCs w:val="24"/>
        </w:rPr>
        <w:t xml:space="preserve">development </w:t>
      </w:r>
      <w:r w:rsidR="00637228">
        <w:rPr>
          <w:rFonts w:ascii="Times New Roman" w:hAnsi="Times New Roman"/>
          <w:szCs w:val="24"/>
        </w:rPr>
        <w:t>of in-line quality control</w:t>
      </w:r>
      <w:r w:rsidR="00FC7257">
        <w:rPr>
          <w:rFonts w:ascii="Times New Roman" w:hAnsi="Times New Roman"/>
          <w:szCs w:val="24"/>
        </w:rPr>
        <w:t xml:space="preserve"> of protein therap</w:t>
      </w:r>
      <w:r w:rsidR="008302C7">
        <w:rPr>
          <w:rFonts w:ascii="Times New Roman" w:hAnsi="Times New Roman"/>
          <w:szCs w:val="24"/>
        </w:rPr>
        <w:t>e</w:t>
      </w:r>
      <w:r w:rsidR="00FC7257">
        <w:rPr>
          <w:rFonts w:ascii="Times New Roman" w:hAnsi="Times New Roman"/>
          <w:szCs w:val="24"/>
        </w:rPr>
        <w:t>utic</w:t>
      </w:r>
      <w:r w:rsidR="008302C7">
        <w:rPr>
          <w:rFonts w:ascii="Times New Roman" w:hAnsi="Times New Roman"/>
          <w:szCs w:val="24"/>
        </w:rPr>
        <w:t xml:space="preserve"> manufacture</w:t>
      </w:r>
      <w:r w:rsidR="0050472B">
        <w:rPr>
          <w:rFonts w:ascii="Times New Roman" w:hAnsi="Times New Roman"/>
          <w:szCs w:val="24"/>
        </w:rPr>
        <w:t>. It has</w:t>
      </w:r>
      <w:r w:rsidR="00DF04CB">
        <w:rPr>
          <w:rFonts w:ascii="Times New Roman" w:hAnsi="Times New Roman"/>
          <w:szCs w:val="24"/>
        </w:rPr>
        <w:t xml:space="preserve"> wider applications in disease diagnosis using glycated proteins </w:t>
      </w:r>
      <w:r w:rsidR="00E512ED">
        <w:rPr>
          <w:rFonts w:ascii="Times New Roman" w:hAnsi="Times New Roman"/>
          <w:szCs w:val="24"/>
        </w:rPr>
        <w:t>implicated in</w:t>
      </w:r>
      <w:r w:rsidR="00DF04CB">
        <w:rPr>
          <w:rFonts w:ascii="Times New Roman" w:hAnsi="Times New Roman"/>
          <w:szCs w:val="24"/>
        </w:rPr>
        <w:t xml:space="preserve"> diabetes and Alzheimer’s.</w:t>
      </w:r>
    </w:p>
    <w:p w14:paraId="07DAB30C" w14:textId="77777777" w:rsidR="00BC5CCF" w:rsidRDefault="00BC5CCF" w:rsidP="00D8173B">
      <w:pPr>
        <w:spacing w:line="480" w:lineRule="auto"/>
        <w:rPr>
          <w:rFonts w:ascii="Times New Roman" w:hAnsi="Times New Roman"/>
          <w:szCs w:val="24"/>
        </w:rPr>
      </w:pPr>
    </w:p>
    <w:p w14:paraId="6FBAB492" w14:textId="7DBFFAD1" w:rsidR="00F33CBF" w:rsidRPr="00D8173B" w:rsidRDefault="00F33CBF" w:rsidP="00D8173B">
      <w:pPr>
        <w:spacing w:line="480" w:lineRule="auto"/>
        <w:rPr>
          <w:rFonts w:ascii="Times New Roman" w:hAnsi="Times New Roman"/>
          <w:b/>
          <w:szCs w:val="24"/>
        </w:rPr>
      </w:pPr>
      <w:r w:rsidRPr="00D8173B">
        <w:rPr>
          <w:rFonts w:ascii="Times New Roman" w:hAnsi="Times New Roman"/>
          <w:b/>
          <w:szCs w:val="24"/>
        </w:rPr>
        <w:lastRenderedPageBreak/>
        <w:t>E</w:t>
      </w:r>
      <w:r w:rsidR="00592A4C">
        <w:rPr>
          <w:rFonts w:ascii="Times New Roman" w:hAnsi="Times New Roman"/>
          <w:b/>
          <w:szCs w:val="24"/>
        </w:rPr>
        <w:t>xperime</w:t>
      </w:r>
      <w:r w:rsidR="005F5B55">
        <w:rPr>
          <w:rFonts w:ascii="Times New Roman" w:hAnsi="Times New Roman"/>
          <w:b/>
          <w:szCs w:val="24"/>
        </w:rPr>
        <w:t>ntal s</w:t>
      </w:r>
      <w:r w:rsidR="005F5B55" w:rsidRPr="00D8173B">
        <w:rPr>
          <w:rFonts w:ascii="Times New Roman" w:hAnsi="Times New Roman"/>
          <w:b/>
          <w:szCs w:val="24"/>
        </w:rPr>
        <w:t>ection</w:t>
      </w:r>
    </w:p>
    <w:p w14:paraId="68AE2D7D" w14:textId="23D2BAE2" w:rsidR="00F33CBF" w:rsidRPr="00592A4C" w:rsidRDefault="00F33CBF" w:rsidP="00D8173B">
      <w:pPr>
        <w:spacing w:line="480" w:lineRule="auto"/>
        <w:rPr>
          <w:rFonts w:ascii="Times New Roman" w:hAnsi="Times New Roman"/>
          <w:szCs w:val="24"/>
        </w:rPr>
      </w:pPr>
      <w:r w:rsidRPr="00592A4C">
        <w:rPr>
          <w:rFonts w:ascii="Times New Roman" w:hAnsi="Times New Roman"/>
          <w:szCs w:val="24"/>
        </w:rPr>
        <w:t>Full experimental details are provided in the Supplementary</w:t>
      </w:r>
      <w:r w:rsidR="00F1205D" w:rsidRPr="00592A4C">
        <w:rPr>
          <w:rFonts w:ascii="Times New Roman" w:hAnsi="Times New Roman"/>
          <w:szCs w:val="24"/>
        </w:rPr>
        <w:t xml:space="preserve"> Information</w:t>
      </w:r>
      <w:r w:rsidRPr="00592A4C">
        <w:rPr>
          <w:rFonts w:ascii="Times New Roman" w:hAnsi="Times New Roman"/>
          <w:szCs w:val="24"/>
        </w:rPr>
        <w:t>.</w:t>
      </w:r>
      <w:r w:rsidR="00D842BD" w:rsidRPr="00592A4C">
        <w:rPr>
          <w:rFonts w:ascii="Times New Roman" w:hAnsi="Times New Roman"/>
          <w:szCs w:val="24"/>
        </w:rPr>
        <w:t xml:space="preserve"> </w:t>
      </w:r>
    </w:p>
    <w:p w14:paraId="79FD7254" w14:textId="0010497E" w:rsidR="002F1980" w:rsidRDefault="002F1980" w:rsidP="00D8173B">
      <w:pPr>
        <w:spacing w:line="480" w:lineRule="auto"/>
        <w:rPr>
          <w:rFonts w:ascii="Times New Roman" w:hAnsi="Times New Roman"/>
          <w:szCs w:val="24"/>
        </w:rPr>
      </w:pPr>
      <w:r>
        <w:rPr>
          <w:rFonts w:ascii="Times New Roman" w:hAnsi="Times New Roman"/>
          <w:b/>
          <w:szCs w:val="24"/>
        </w:rPr>
        <w:t xml:space="preserve">Materials and </w:t>
      </w:r>
      <w:r w:rsidR="005F5B55">
        <w:rPr>
          <w:rFonts w:ascii="Times New Roman" w:hAnsi="Times New Roman"/>
          <w:b/>
          <w:szCs w:val="24"/>
        </w:rPr>
        <w:t>chemicals</w:t>
      </w:r>
    </w:p>
    <w:p w14:paraId="6EFC21E7" w14:textId="35BECC8B" w:rsidR="00B1165F" w:rsidRPr="00E3578A" w:rsidRDefault="00B1165F" w:rsidP="00D8173B">
      <w:pPr>
        <w:spacing w:line="480" w:lineRule="auto"/>
        <w:rPr>
          <w:rFonts w:ascii="Times New Roman" w:hAnsi="Times New Roman"/>
          <w:szCs w:val="24"/>
        </w:rPr>
      </w:pPr>
      <w:r w:rsidRPr="00D8173B">
        <w:rPr>
          <w:rFonts w:ascii="Times New Roman" w:hAnsi="Times New Roman"/>
          <w:szCs w:val="24"/>
        </w:rPr>
        <w:t xml:space="preserve">Recombinant human </w:t>
      </w:r>
      <w:r w:rsidR="004734F9">
        <w:rPr>
          <w:rFonts w:ascii="Times New Roman" w:hAnsi="Times New Roman"/>
          <w:szCs w:val="24"/>
        </w:rPr>
        <w:t>l</w:t>
      </w:r>
      <w:r w:rsidRPr="00D8173B">
        <w:rPr>
          <w:rFonts w:ascii="Times New Roman" w:hAnsi="Times New Roman"/>
          <w:szCs w:val="24"/>
        </w:rPr>
        <w:t>ysozyme, ≥100,000 units/mg protein (</w:t>
      </w:r>
      <w:proofErr w:type="spellStart"/>
      <w:r w:rsidRPr="00D8173B">
        <w:rPr>
          <w:rFonts w:ascii="Times New Roman" w:hAnsi="Times New Roman"/>
          <w:szCs w:val="24"/>
        </w:rPr>
        <w:t>Lysobac</w:t>
      </w:r>
      <w:proofErr w:type="spellEnd"/>
      <w:r w:rsidRPr="00D8173B">
        <w:rPr>
          <w:rFonts w:ascii="Times New Roman" w:hAnsi="Times New Roman"/>
          <w:szCs w:val="24"/>
        </w:rPr>
        <w:t>) was obtained from Sigma Aldrich</w:t>
      </w:r>
      <w:r w:rsidR="00874FC3">
        <w:rPr>
          <w:rFonts w:ascii="Times New Roman" w:hAnsi="Times New Roman"/>
          <w:szCs w:val="24"/>
        </w:rPr>
        <w:t xml:space="preserve"> </w:t>
      </w:r>
      <w:r w:rsidR="0014710B">
        <w:rPr>
          <w:rFonts w:ascii="Times New Roman" w:hAnsi="Times New Roman"/>
          <w:szCs w:val="24"/>
        </w:rPr>
        <w:t>(</w:t>
      </w:r>
      <w:r w:rsidR="00874FC3">
        <w:rPr>
          <w:rFonts w:ascii="Times New Roman" w:hAnsi="Times New Roman"/>
          <w:szCs w:val="24"/>
        </w:rPr>
        <w:t>Missouri, US</w:t>
      </w:r>
      <w:r w:rsidR="0014710B">
        <w:rPr>
          <w:rFonts w:ascii="Times New Roman" w:hAnsi="Times New Roman"/>
          <w:szCs w:val="24"/>
        </w:rPr>
        <w:t xml:space="preserve">) </w:t>
      </w:r>
      <w:r w:rsidR="00940CDA">
        <w:rPr>
          <w:rFonts w:ascii="Times New Roman" w:hAnsi="Times New Roman"/>
          <w:szCs w:val="24"/>
        </w:rPr>
        <w:t xml:space="preserve">as a </w:t>
      </w:r>
      <w:proofErr w:type="spellStart"/>
      <w:r w:rsidR="00940CDA" w:rsidRPr="00D8173B">
        <w:rPr>
          <w:rFonts w:ascii="Times New Roman" w:hAnsi="Times New Roman"/>
          <w:szCs w:val="24"/>
        </w:rPr>
        <w:t>lyophilised</w:t>
      </w:r>
      <w:proofErr w:type="spellEnd"/>
      <w:r w:rsidR="00940CDA" w:rsidRPr="00D8173B">
        <w:rPr>
          <w:rFonts w:ascii="Times New Roman" w:hAnsi="Times New Roman"/>
          <w:szCs w:val="24"/>
        </w:rPr>
        <w:t xml:space="preserve"> powder</w:t>
      </w:r>
      <w:r w:rsidRPr="00D8173B">
        <w:rPr>
          <w:rFonts w:ascii="Times New Roman" w:hAnsi="Times New Roman"/>
          <w:szCs w:val="24"/>
        </w:rPr>
        <w:t xml:space="preserve">. </w:t>
      </w:r>
      <w:r w:rsidR="003B78E9" w:rsidRPr="003B78E9">
        <w:rPr>
          <w:rFonts w:ascii="Times New Roman" w:hAnsi="Times New Roman"/>
          <w:szCs w:val="24"/>
        </w:rPr>
        <w:t>D-(+)-</w:t>
      </w:r>
      <w:r w:rsidR="004734F9">
        <w:rPr>
          <w:rFonts w:ascii="Times New Roman" w:hAnsi="Times New Roman"/>
          <w:szCs w:val="24"/>
        </w:rPr>
        <w:t>g</w:t>
      </w:r>
      <w:r w:rsidR="003B78E9" w:rsidRPr="003B78E9">
        <w:rPr>
          <w:rFonts w:ascii="Times New Roman" w:hAnsi="Times New Roman"/>
          <w:szCs w:val="24"/>
        </w:rPr>
        <w:t>lucose ≥99.5%</w:t>
      </w:r>
      <w:r w:rsidR="003B78E9">
        <w:rPr>
          <w:rFonts w:ascii="Times New Roman" w:hAnsi="Times New Roman"/>
          <w:szCs w:val="24"/>
        </w:rPr>
        <w:t xml:space="preserve"> </w:t>
      </w:r>
      <w:r w:rsidRPr="00D8173B">
        <w:rPr>
          <w:rFonts w:ascii="Times New Roman" w:hAnsi="Times New Roman"/>
          <w:szCs w:val="24"/>
        </w:rPr>
        <w:t xml:space="preserve">anhydrous was purchased from Thermo Fischer. </w:t>
      </w:r>
      <w:proofErr w:type="gramStart"/>
      <w:r w:rsidR="00E3578A">
        <w:rPr>
          <w:rFonts w:ascii="Times New Roman" w:hAnsi="Times New Roman"/>
          <w:szCs w:val="24"/>
        </w:rPr>
        <w:t>Recombinant human albumin</w:t>
      </w:r>
      <w:r w:rsidR="00147211">
        <w:rPr>
          <w:rFonts w:ascii="Times New Roman" w:hAnsi="Times New Roman"/>
          <w:szCs w:val="24"/>
        </w:rPr>
        <w:t>,</w:t>
      </w:r>
      <w:proofErr w:type="gramEnd"/>
      <w:r w:rsidR="00147211" w:rsidRPr="00147211">
        <w:t xml:space="preserve"> </w:t>
      </w:r>
      <w:r w:rsidR="00E3578A">
        <w:rPr>
          <w:rFonts w:ascii="Times New Roman" w:hAnsi="Times New Roman"/>
          <w:szCs w:val="24"/>
        </w:rPr>
        <w:t xml:space="preserve">was </w:t>
      </w:r>
      <w:r w:rsidR="00D06AA6">
        <w:rPr>
          <w:rFonts w:ascii="Times New Roman" w:hAnsi="Times New Roman"/>
          <w:szCs w:val="24"/>
        </w:rPr>
        <w:t>purchased</w:t>
      </w:r>
      <w:r w:rsidR="00E3578A">
        <w:rPr>
          <w:rFonts w:ascii="Times New Roman" w:hAnsi="Times New Roman"/>
          <w:szCs w:val="24"/>
        </w:rPr>
        <w:t xml:space="preserve"> </w:t>
      </w:r>
      <w:r w:rsidR="00D06AA6">
        <w:rPr>
          <w:rFonts w:ascii="Times New Roman" w:hAnsi="Times New Roman"/>
          <w:szCs w:val="24"/>
        </w:rPr>
        <w:t>from</w:t>
      </w:r>
      <w:r w:rsidR="00E3578A">
        <w:rPr>
          <w:rFonts w:ascii="Times New Roman" w:hAnsi="Times New Roman"/>
          <w:szCs w:val="24"/>
        </w:rPr>
        <w:t xml:space="preserve"> Sigma Aldrich</w:t>
      </w:r>
      <w:r w:rsidR="00940CDA">
        <w:rPr>
          <w:rFonts w:ascii="Times New Roman" w:hAnsi="Times New Roman"/>
          <w:szCs w:val="24"/>
        </w:rPr>
        <w:t xml:space="preserve"> as a </w:t>
      </w:r>
      <w:proofErr w:type="spellStart"/>
      <w:r w:rsidR="00940CDA" w:rsidRPr="00147211">
        <w:rPr>
          <w:rFonts w:ascii="Times New Roman" w:hAnsi="Times New Roman"/>
          <w:szCs w:val="24"/>
        </w:rPr>
        <w:t>lyophilised</w:t>
      </w:r>
      <w:proofErr w:type="spellEnd"/>
      <w:r w:rsidR="00940CDA" w:rsidRPr="00147211">
        <w:rPr>
          <w:rFonts w:ascii="Times New Roman" w:hAnsi="Times New Roman"/>
          <w:szCs w:val="24"/>
        </w:rPr>
        <w:t xml:space="preserve"> powder</w:t>
      </w:r>
      <w:r w:rsidR="00E3578A">
        <w:rPr>
          <w:rFonts w:ascii="Times New Roman" w:hAnsi="Times New Roman"/>
          <w:szCs w:val="24"/>
        </w:rPr>
        <w:t xml:space="preserve">. </w:t>
      </w:r>
      <w:r w:rsidRPr="00D8173B">
        <w:rPr>
          <w:rFonts w:ascii="Times New Roman" w:hAnsi="Times New Roman"/>
          <w:szCs w:val="24"/>
        </w:rPr>
        <w:t>Amicon Ultra 0.5 mL centrifugal filter units, 1</w:t>
      </w:r>
      <w:r w:rsidR="00592A4C">
        <w:rPr>
          <w:rFonts w:ascii="Times New Roman" w:hAnsi="Times New Roman"/>
          <w:szCs w:val="24"/>
        </w:rPr>
        <w:t xml:space="preserve">0 </w:t>
      </w:r>
      <w:proofErr w:type="spellStart"/>
      <w:r w:rsidR="00592A4C">
        <w:rPr>
          <w:rFonts w:ascii="Times New Roman" w:hAnsi="Times New Roman"/>
          <w:szCs w:val="24"/>
        </w:rPr>
        <w:t>k</w:t>
      </w:r>
      <w:r w:rsidR="00E3578A">
        <w:rPr>
          <w:rFonts w:ascii="Times New Roman" w:hAnsi="Times New Roman"/>
          <w:szCs w:val="24"/>
        </w:rPr>
        <w:t>Da</w:t>
      </w:r>
      <w:proofErr w:type="spellEnd"/>
      <w:r w:rsidR="00E3578A">
        <w:rPr>
          <w:rFonts w:ascii="Times New Roman" w:hAnsi="Times New Roman"/>
          <w:szCs w:val="24"/>
        </w:rPr>
        <w:t xml:space="preserve"> cut off were used for buffer exchange</w:t>
      </w:r>
      <w:r w:rsidRPr="00D8173B">
        <w:rPr>
          <w:rFonts w:ascii="Times New Roman" w:hAnsi="Times New Roman"/>
          <w:szCs w:val="24"/>
        </w:rPr>
        <w:t>.</w:t>
      </w:r>
      <w:r w:rsidR="00E3578A">
        <w:rPr>
          <w:rFonts w:ascii="Times New Roman" w:hAnsi="Times New Roman"/>
          <w:szCs w:val="24"/>
        </w:rPr>
        <w:t xml:space="preserve"> For the quantification</w:t>
      </w:r>
      <w:r w:rsidR="004734F9">
        <w:rPr>
          <w:rFonts w:ascii="Times New Roman" w:hAnsi="Times New Roman"/>
          <w:szCs w:val="24"/>
        </w:rPr>
        <w:t>,</w:t>
      </w:r>
      <w:r w:rsidR="00E3578A">
        <w:rPr>
          <w:rFonts w:ascii="Times New Roman" w:hAnsi="Times New Roman"/>
          <w:szCs w:val="24"/>
        </w:rPr>
        <w:t xml:space="preserve"> </w:t>
      </w:r>
      <w:r w:rsidR="00D06AA6">
        <w:rPr>
          <w:rFonts w:ascii="Times New Roman" w:hAnsi="Times New Roman"/>
          <w:szCs w:val="24"/>
        </w:rPr>
        <w:t>lysozyme</w:t>
      </w:r>
      <w:r w:rsidR="00E3578A">
        <w:rPr>
          <w:rFonts w:ascii="Times New Roman" w:hAnsi="Times New Roman"/>
          <w:szCs w:val="24"/>
        </w:rPr>
        <w:t xml:space="preserve"> and albumin were buffer </w:t>
      </w:r>
      <w:r w:rsidR="00D06AA6">
        <w:rPr>
          <w:rFonts w:ascii="Times New Roman" w:hAnsi="Times New Roman"/>
          <w:szCs w:val="24"/>
        </w:rPr>
        <w:t>exchanged</w:t>
      </w:r>
      <w:r w:rsidR="00E3578A">
        <w:rPr>
          <w:rFonts w:ascii="Times New Roman" w:hAnsi="Times New Roman"/>
          <w:szCs w:val="24"/>
        </w:rPr>
        <w:t xml:space="preserve"> to </w:t>
      </w:r>
      <w:r w:rsidR="00147211">
        <w:rPr>
          <w:rFonts w:ascii="Times New Roman" w:hAnsi="Times New Roman"/>
          <w:szCs w:val="24"/>
        </w:rPr>
        <w:t>remove</w:t>
      </w:r>
      <w:r w:rsidR="00E3578A">
        <w:rPr>
          <w:rFonts w:ascii="Times New Roman" w:hAnsi="Times New Roman"/>
          <w:szCs w:val="24"/>
        </w:rPr>
        <w:t xml:space="preserve"> free glucose using </w:t>
      </w:r>
      <w:proofErr w:type="spellStart"/>
      <w:r w:rsidR="004734F9">
        <w:rPr>
          <w:rFonts w:ascii="Times New Roman" w:hAnsi="Times New Roman"/>
          <w:szCs w:val="24"/>
        </w:rPr>
        <w:t>C</w:t>
      </w:r>
      <w:r w:rsidR="00E3578A">
        <w:rPr>
          <w:rFonts w:ascii="Times New Roman" w:hAnsi="Times New Roman"/>
          <w:szCs w:val="24"/>
        </w:rPr>
        <w:t>e</w:t>
      </w:r>
      <w:r w:rsidR="004734F9">
        <w:rPr>
          <w:rFonts w:ascii="Times New Roman" w:hAnsi="Times New Roman"/>
          <w:szCs w:val="24"/>
        </w:rPr>
        <w:t>n</w:t>
      </w:r>
      <w:r w:rsidR="00E3578A">
        <w:rPr>
          <w:rFonts w:ascii="Times New Roman" w:hAnsi="Times New Roman"/>
          <w:szCs w:val="24"/>
        </w:rPr>
        <w:t>tripure</w:t>
      </w:r>
      <w:proofErr w:type="spellEnd"/>
      <w:r w:rsidR="00E3578A">
        <w:rPr>
          <w:rFonts w:ascii="Times New Roman" w:hAnsi="Times New Roman"/>
          <w:szCs w:val="24"/>
        </w:rPr>
        <w:t xml:space="preserve"> P100 columns (</w:t>
      </w:r>
      <w:r w:rsidR="004734F9">
        <w:rPr>
          <w:rFonts w:ascii="Times New Roman" w:hAnsi="Times New Roman"/>
          <w:szCs w:val="24"/>
        </w:rPr>
        <w:t>E</w:t>
      </w:r>
      <w:r w:rsidR="00E3578A">
        <w:rPr>
          <w:rFonts w:ascii="Times New Roman" w:hAnsi="Times New Roman"/>
          <w:szCs w:val="24"/>
        </w:rPr>
        <w:t xml:space="preserve">mp </w:t>
      </w:r>
      <w:r w:rsidR="004734F9">
        <w:rPr>
          <w:rFonts w:ascii="Times New Roman" w:hAnsi="Times New Roman"/>
          <w:szCs w:val="24"/>
        </w:rPr>
        <w:t>B</w:t>
      </w:r>
      <w:r w:rsidR="00E3578A">
        <w:rPr>
          <w:rFonts w:ascii="Times New Roman" w:hAnsi="Times New Roman"/>
          <w:szCs w:val="24"/>
        </w:rPr>
        <w:t>iotech GmbH)</w:t>
      </w:r>
      <w:r w:rsidR="00FA44DB">
        <w:rPr>
          <w:rFonts w:ascii="Times New Roman" w:hAnsi="Times New Roman"/>
          <w:szCs w:val="24"/>
        </w:rPr>
        <w:t xml:space="preserve"> before incubation</w:t>
      </w:r>
      <w:r w:rsidR="00E3578A">
        <w:rPr>
          <w:rFonts w:ascii="Times New Roman" w:hAnsi="Times New Roman"/>
          <w:szCs w:val="24"/>
        </w:rPr>
        <w:t>.</w:t>
      </w:r>
      <w:r w:rsidRPr="00D8173B">
        <w:rPr>
          <w:rFonts w:ascii="Times New Roman" w:hAnsi="Times New Roman"/>
          <w:szCs w:val="24"/>
        </w:rPr>
        <w:t xml:space="preserve"> Sa</w:t>
      </w:r>
      <w:r w:rsidR="00940CDA">
        <w:rPr>
          <w:rFonts w:ascii="Times New Roman" w:hAnsi="Times New Roman"/>
          <w:szCs w:val="24"/>
        </w:rPr>
        <w:t>r</w:t>
      </w:r>
      <w:r w:rsidRPr="00D8173B">
        <w:rPr>
          <w:rFonts w:ascii="Times New Roman" w:hAnsi="Times New Roman"/>
          <w:szCs w:val="24"/>
        </w:rPr>
        <w:t xml:space="preserve">torius </w:t>
      </w:r>
      <w:proofErr w:type="spellStart"/>
      <w:r w:rsidRPr="00D8173B">
        <w:rPr>
          <w:rFonts w:ascii="Times New Roman" w:hAnsi="Times New Roman"/>
          <w:szCs w:val="24"/>
        </w:rPr>
        <w:t>Stedim</w:t>
      </w:r>
      <w:proofErr w:type="spellEnd"/>
      <w:r w:rsidRPr="00D8173B">
        <w:rPr>
          <w:rFonts w:ascii="Times New Roman" w:hAnsi="Times New Roman"/>
          <w:szCs w:val="24"/>
        </w:rPr>
        <w:t xml:space="preserve"> </w:t>
      </w:r>
      <w:r w:rsidR="004734F9">
        <w:rPr>
          <w:rFonts w:ascii="Times New Roman" w:hAnsi="Times New Roman"/>
          <w:szCs w:val="24"/>
        </w:rPr>
        <w:t>B</w:t>
      </w:r>
      <w:r w:rsidRPr="00D8173B">
        <w:rPr>
          <w:rFonts w:ascii="Times New Roman" w:hAnsi="Times New Roman"/>
          <w:szCs w:val="24"/>
        </w:rPr>
        <w:t xml:space="preserve">iotech </w:t>
      </w:r>
      <w:proofErr w:type="spellStart"/>
      <w:r w:rsidRPr="00D8173B">
        <w:rPr>
          <w:rFonts w:ascii="Times New Roman" w:hAnsi="Times New Roman"/>
          <w:szCs w:val="24"/>
        </w:rPr>
        <w:t>ministart</w:t>
      </w:r>
      <w:proofErr w:type="spellEnd"/>
      <w:r w:rsidRPr="00D8173B">
        <w:rPr>
          <w:rFonts w:ascii="Times New Roman" w:hAnsi="Times New Roman"/>
          <w:szCs w:val="24"/>
        </w:rPr>
        <w:t xml:space="preserve"> 0.2 </w:t>
      </w:r>
      <w:proofErr w:type="spellStart"/>
      <w:r w:rsidR="00DB1795" w:rsidRPr="00D8173B">
        <w:rPr>
          <w:rFonts w:ascii="Times New Roman" w:hAnsi="Times New Roman"/>
          <w:szCs w:val="24"/>
        </w:rPr>
        <w:t>μ</w:t>
      </w:r>
      <w:r w:rsidR="00DB1795">
        <w:rPr>
          <w:rFonts w:ascii="Times New Roman" w:hAnsi="Times New Roman"/>
          <w:szCs w:val="24"/>
        </w:rPr>
        <w:t>m</w:t>
      </w:r>
      <w:proofErr w:type="spellEnd"/>
      <w:r w:rsidR="00DB1795">
        <w:rPr>
          <w:rFonts w:ascii="Times New Roman" w:hAnsi="Times New Roman"/>
          <w:szCs w:val="24"/>
        </w:rPr>
        <w:t xml:space="preserve"> </w:t>
      </w:r>
      <w:r w:rsidRPr="00D8173B">
        <w:rPr>
          <w:rFonts w:ascii="Times New Roman" w:hAnsi="Times New Roman"/>
          <w:szCs w:val="24"/>
        </w:rPr>
        <w:t>syringe filters were used to filter the incubation buffers</w:t>
      </w:r>
      <w:r w:rsidR="003E3001" w:rsidRPr="00D8173B">
        <w:rPr>
          <w:rFonts w:ascii="Times New Roman" w:hAnsi="Times New Roman"/>
          <w:szCs w:val="24"/>
        </w:rPr>
        <w:t>.</w:t>
      </w:r>
      <w:r w:rsidR="00E465BA">
        <w:rPr>
          <w:rFonts w:ascii="Times New Roman" w:hAnsi="Times New Roman"/>
          <w:szCs w:val="24"/>
        </w:rPr>
        <w:t xml:space="preserve"> </w:t>
      </w:r>
    </w:p>
    <w:p w14:paraId="01DE50F5" w14:textId="480417B8" w:rsidR="00F33CBF" w:rsidRPr="00D8173B" w:rsidRDefault="00F33CBF" w:rsidP="00D8173B">
      <w:pPr>
        <w:spacing w:line="480" w:lineRule="auto"/>
        <w:rPr>
          <w:rFonts w:ascii="Times New Roman" w:hAnsi="Times New Roman"/>
          <w:b/>
          <w:szCs w:val="24"/>
        </w:rPr>
      </w:pPr>
      <w:r w:rsidRPr="00D8173B">
        <w:rPr>
          <w:rFonts w:ascii="Times New Roman" w:hAnsi="Times New Roman"/>
          <w:b/>
          <w:szCs w:val="24"/>
        </w:rPr>
        <w:t>Sampl</w:t>
      </w:r>
      <w:r w:rsidR="005F5B55" w:rsidRPr="00D8173B">
        <w:rPr>
          <w:rFonts w:ascii="Times New Roman" w:hAnsi="Times New Roman"/>
          <w:b/>
          <w:szCs w:val="24"/>
        </w:rPr>
        <w:t>e preparation</w:t>
      </w:r>
    </w:p>
    <w:p w14:paraId="30E39B68" w14:textId="46CA8007" w:rsidR="002F1980" w:rsidRDefault="002F1980" w:rsidP="00D8173B">
      <w:pPr>
        <w:spacing w:line="480" w:lineRule="auto"/>
        <w:rPr>
          <w:rFonts w:ascii="Times New Roman" w:hAnsi="Times New Roman"/>
          <w:szCs w:val="24"/>
        </w:rPr>
      </w:pPr>
      <w:r>
        <w:rPr>
          <w:rFonts w:ascii="Times New Roman" w:hAnsi="Times New Roman"/>
          <w:b/>
          <w:szCs w:val="24"/>
        </w:rPr>
        <w:t xml:space="preserve">Glycation </w:t>
      </w:r>
      <w:r w:rsidR="005F5B55" w:rsidRPr="005F5B55">
        <w:rPr>
          <w:rFonts w:ascii="Times New Roman" w:hAnsi="Times New Roman"/>
          <w:b/>
          <w:szCs w:val="24"/>
        </w:rPr>
        <w:t>of lysozyme</w:t>
      </w:r>
      <w:r w:rsidR="005F5B55" w:rsidRPr="005F5B55">
        <w:rPr>
          <w:rFonts w:ascii="Times New Roman" w:hAnsi="Times New Roman"/>
          <w:szCs w:val="24"/>
        </w:rPr>
        <w:t xml:space="preserve"> </w:t>
      </w:r>
    </w:p>
    <w:p w14:paraId="6D4019E1" w14:textId="26CDBEB2" w:rsidR="00E3578A" w:rsidRDefault="00B1165F" w:rsidP="00D8173B">
      <w:pPr>
        <w:spacing w:line="480" w:lineRule="auto"/>
        <w:rPr>
          <w:rFonts w:ascii="Times New Roman" w:hAnsi="Times New Roman"/>
          <w:szCs w:val="24"/>
        </w:rPr>
      </w:pPr>
      <w:r w:rsidRPr="00D8173B">
        <w:rPr>
          <w:rFonts w:ascii="Times New Roman" w:hAnsi="Times New Roman"/>
          <w:szCs w:val="24"/>
        </w:rPr>
        <w:t xml:space="preserve">All incubations were carried out under sterile conditions. Lysozyme was </w:t>
      </w:r>
      <w:r w:rsidR="00E3578A">
        <w:rPr>
          <w:rFonts w:ascii="Times New Roman" w:hAnsi="Times New Roman"/>
          <w:szCs w:val="24"/>
        </w:rPr>
        <w:t>prepared as a 5 mg/m</w:t>
      </w:r>
      <w:r w:rsidR="009E395F">
        <w:rPr>
          <w:rFonts w:ascii="Times New Roman" w:hAnsi="Times New Roman"/>
          <w:szCs w:val="24"/>
        </w:rPr>
        <w:t>L</w:t>
      </w:r>
      <w:r w:rsidR="00E3578A">
        <w:rPr>
          <w:rFonts w:ascii="Times New Roman" w:hAnsi="Times New Roman"/>
          <w:szCs w:val="24"/>
        </w:rPr>
        <w:t xml:space="preserve"> solution in (28 mL) </w:t>
      </w:r>
      <w:r w:rsidR="00592A4C">
        <w:rPr>
          <w:rFonts w:ascii="Times New Roman" w:hAnsi="Times New Roman"/>
          <w:szCs w:val="24"/>
        </w:rPr>
        <w:t>25 mM MOPS</w:t>
      </w:r>
      <w:r w:rsidRPr="00D8173B">
        <w:rPr>
          <w:rFonts w:ascii="Times New Roman" w:hAnsi="Times New Roman"/>
          <w:szCs w:val="24"/>
        </w:rPr>
        <w:t>, 115 mM NaCl, adjusted to pH 7.4. This was subsequently divided into 2 equal volumes of 14 m</w:t>
      </w:r>
      <w:r w:rsidR="00A72577">
        <w:rPr>
          <w:rFonts w:ascii="Times New Roman" w:hAnsi="Times New Roman"/>
          <w:szCs w:val="24"/>
        </w:rPr>
        <w:t>L</w:t>
      </w:r>
      <w:r w:rsidRPr="00D8173B">
        <w:rPr>
          <w:rFonts w:ascii="Times New Roman" w:hAnsi="Times New Roman"/>
          <w:szCs w:val="24"/>
        </w:rPr>
        <w:t xml:space="preserve"> to create two groups of </w:t>
      </w:r>
      <w:r w:rsidR="00F22C1B">
        <w:rPr>
          <w:rFonts w:ascii="Times New Roman" w:hAnsi="Times New Roman"/>
          <w:szCs w:val="24"/>
        </w:rPr>
        <w:t>control</w:t>
      </w:r>
      <w:r w:rsidRPr="00D8173B">
        <w:rPr>
          <w:rFonts w:ascii="Times New Roman" w:hAnsi="Times New Roman"/>
          <w:szCs w:val="24"/>
        </w:rPr>
        <w:t xml:space="preserve"> and glucose incubations. To the glucose incubation group, </w:t>
      </w:r>
      <w:r w:rsidR="009E395F">
        <w:rPr>
          <w:rFonts w:ascii="Times New Roman" w:hAnsi="Times New Roman"/>
          <w:szCs w:val="24"/>
        </w:rPr>
        <w:t>g</w:t>
      </w:r>
      <w:r w:rsidRPr="00D8173B">
        <w:rPr>
          <w:rFonts w:ascii="Times New Roman" w:hAnsi="Times New Roman"/>
          <w:szCs w:val="24"/>
        </w:rPr>
        <w:t xml:space="preserve">lucose was added to create an overall sugar concentration of 0.5 M. Both groups were filter </w:t>
      </w:r>
      <w:proofErr w:type="spellStart"/>
      <w:r w:rsidRPr="00D8173B">
        <w:rPr>
          <w:rFonts w:ascii="Times New Roman" w:hAnsi="Times New Roman"/>
          <w:szCs w:val="24"/>
        </w:rPr>
        <w:t>sterilised</w:t>
      </w:r>
      <w:proofErr w:type="spellEnd"/>
      <w:r w:rsidRPr="00D8173B">
        <w:rPr>
          <w:rFonts w:ascii="Times New Roman" w:hAnsi="Times New Roman"/>
          <w:szCs w:val="24"/>
        </w:rPr>
        <w:t xml:space="preserve"> using syringe filters and aliquoted into 7 falcon tubes each. All samples were statically incubated at 37 °C. Samples from each group were removed at days 1, 2, 5, 7, 14, 21, and 30. After removal from incubation</w:t>
      </w:r>
      <w:r w:rsidR="00F105FF">
        <w:rPr>
          <w:rFonts w:ascii="Times New Roman" w:hAnsi="Times New Roman"/>
          <w:szCs w:val="24"/>
        </w:rPr>
        <w:t>,</w:t>
      </w:r>
      <w:r w:rsidRPr="00D8173B">
        <w:rPr>
          <w:rFonts w:ascii="Times New Roman" w:hAnsi="Times New Roman"/>
          <w:szCs w:val="24"/>
        </w:rPr>
        <w:t xml:space="preserve"> the samples underwent </w:t>
      </w:r>
      <w:r w:rsidR="00D06AA6">
        <w:rPr>
          <w:rFonts w:ascii="Times New Roman" w:hAnsi="Times New Roman"/>
          <w:szCs w:val="24"/>
        </w:rPr>
        <w:t>buffer exchange</w:t>
      </w:r>
      <w:r w:rsidRPr="00D8173B">
        <w:rPr>
          <w:rFonts w:ascii="Times New Roman" w:hAnsi="Times New Roman"/>
          <w:szCs w:val="24"/>
        </w:rPr>
        <w:t xml:space="preserve"> to Millipore grade H</w:t>
      </w:r>
      <w:r w:rsidRPr="00D06AA6">
        <w:rPr>
          <w:rFonts w:ascii="Times New Roman" w:hAnsi="Times New Roman"/>
          <w:szCs w:val="24"/>
          <w:vertAlign w:val="subscript"/>
        </w:rPr>
        <w:t>2</w:t>
      </w:r>
      <w:r w:rsidRPr="00D8173B">
        <w:rPr>
          <w:rFonts w:ascii="Times New Roman" w:hAnsi="Times New Roman"/>
          <w:szCs w:val="24"/>
        </w:rPr>
        <w:t>O using Amicon centrifugal filters. The samples were then flash frozen, freeze dried overnight and stored at -20 °C until analysis.</w:t>
      </w:r>
      <w:r w:rsidR="00E3578A" w:rsidRPr="00E3578A">
        <w:rPr>
          <w:rFonts w:ascii="Times New Roman" w:hAnsi="Times New Roman"/>
          <w:szCs w:val="24"/>
        </w:rPr>
        <w:t xml:space="preserve"> </w:t>
      </w:r>
    </w:p>
    <w:p w14:paraId="3E198B4E" w14:textId="0C029FD4" w:rsidR="002F1980" w:rsidRDefault="00E3578A" w:rsidP="00D8173B">
      <w:pPr>
        <w:spacing w:line="480" w:lineRule="auto"/>
        <w:rPr>
          <w:rFonts w:ascii="Times New Roman" w:hAnsi="Times New Roman"/>
          <w:b/>
          <w:szCs w:val="24"/>
        </w:rPr>
      </w:pPr>
      <w:r w:rsidRPr="00E3578A">
        <w:rPr>
          <w:rFonts w:ascii="Times New Roman" w:hAnsi="Times New Roman"/>
          <w:b/>
          <w:szCs w:val="24"/>
        </w:rPr>
        <w:t>Glycation o</w:t>
      </w:r>
      <w:r w:rsidR="005F5B55" w:rsidRPr="00E3578A">
        <w:rPr>
          <w:rFonts w:ascii="Times New Roman" w:hAnsi="Times New Roman"/>
          <w:b/>
          <w:szCs w:val="24"/>
        </w:rPr>
        <w:t>f albumin</w:t>
      </w:r>
      <w:r w:rsidR="005F5B55">
        <w:rPr>
          <w:rFonts w:ascii="Times New Roman" w:hAnsi="Times New Roman"/>
          <w:b/>
          <w:szCs w:val="24"/>
        </w:rPr>
        <w:t xml:space="preserve"> </w:t>
      </w:r>
    </w:p>
    <w:p w14:paraId="12168329" w14:textId="73B9B1D5" w:rsidR="00CD2C34" w:rsidRPr="000203CF" w:rsidRDefault="00CD2C34" w:rsidP="00D8173B">
      <w:pPr>
        <w:spacing w:line="480" w:lineRule="auto"/>
        <w:rPr>
          <w:rFonts w:ascii="Times New Roman" w:hAnsi="Times New Roman"/>
          <w:szCs w:val="24"/>
        </w:rPr>
      </w:pPr>
      <w:r w:rsidRPr="002402A1">
        <w:rPr>
          <w:rFonts w:ascii="Times New Roman" w:hAnsi="Times New Roman"/>
          <w:szCs w:val="24"/>
        </w:rPr>
        <w:lastRenderedPageBreak/>
        <w:t xml:space="preserve">Albumin was </w:t>
      </w:r>
      <w:r w:rsidR="000203CF" w:rsidRPr="002402A1">
        <w:rPr>
          <w:rFonts w:ascii="Times New Roman" w:hAnsi="Times New Roman"/>
          <w:szCs w:val="24"/>
        </w:rPr>
        <w:t>prepared</w:t>
      </w:r>
      <w:r w:rsidRPr="002402A1">
        <w:rPr>
          <w:rFonts w:ascii="Times New Roman" w:hAnsi="Times New Roman"/>
          <w:szCs w:val="24"/>
        </w:rPr>
        <w:t xml:space="preserve"> as </w:t>
      </w:r>
      <w:r w:rsidR="00FA44DB">
        <w:rPr>
          <w:rFonts w:ascii="Times New Roman" w:hAnsi="Times New Roman"/>
          <w:szCs w:val="24"/>
        </w:rPr>
        <w:t xml:space="preserve">a </w:t>
      </w:r>
      <w:r w:rsidRPr="002402A1">
        <w:rPr>
          <w:rFonts w:ascii="Times New Roman" w:hAnsi="Times New Roman"/>
          <w:szCs w:val="24"/>
        </w:rPr>
        <w:t>5</w:t>
      </w:r>
      <w:r w:rsidR="009E395F">
        <w:rPr>
          <w:rFonts w:ascii="Times New Roman" w:hAnsi="Times New Roman"/>
          <w:szCs w:val="24"/>
        </w:rPr>
        <w:t xml:space="preserve"> </w:t>
      </w:r>
      <w:r w:rsidRPr="002402A1">
        <w:rPr>
          <w:rFonts w:ascii="Times New Roman" w:hAnsi="Times New Roman"/>
          <w:szCs w:val="24"/>
        </w:rPr>
        <w:t>mg/m</w:t>
      </w:r>
      <w:r w:rsidR="009E395F">
        <w:rPr>
          <w:rFonts w:ascii="Times New Roman" w:hAnsi="Times New Roman"/>
          <w:szCs w:val="24"/>
        </w:rPr>
        <w:t>L</w:t>
      </w:r>
      <w:r w:rsidRPr="002402A1">
        <w:rPr>
          <w:rFonts w:ascii="Times New Roman" w:hAnsi="Times New Roman"/>
          <w:szCs w:val="24"/>
        </w:rPr>
        <w:t xml:space="preserve"> solution </w:t>
      </w:r>
      <w:r w:rsidR="002402A1" w:rsidRPr="002402A1">
        <w:rPr>
          <w:rFonts w:ascii="Times New Roman" w:hAnsi="Times New Roman"/>
          <w:szCs w:val="24"/>
        </w:rPr>
        <w:t>in (30</w:t>
      </w:r>
      <w:r w:rsidR="00592A4C">
        <w:rPr>
          <w:rFonts w:ascii="Times New Roman" w:hAnsi="Times New Roman"/>
          <w:szCs w:val="24"/>
        </w:rPr>
        <w:t xml:space="preserve"> mL) 25 mM MOPS</w:t>
      </w:r>
      <w:r w:rsidRPr="002402A1">
        <w:rPr>
          <w:rFonts w:ascii="Times New Roman" w:hAnsi="Times New Roman"/>
          <w:szCs w:val="24"/>
        </w:rPr>
        <w:t>, 115 mM NaCl, adjusted to pH 7.4.</w:t>
      </w:r>
      <w:r w:rsidR="002402A1" w:rsidRPr="002402A1">
        <w:t xml:space="preserve"> </w:t>
      </w:r>
      <w:r w:rsidR="002402A1" w:rsidRPr="002402A1">
        <w:rPr>
          <w:rFonts w:ascii="Times New Roman" w:hAnsi="Times New Roman"/>
          <w:szCs w:val="24"/>
        </w:rPr>
        <w:t xml:space="preserve"> This was subsequently di</w:t>
      </w:r>
      <w:r w:rsidR="00E45F9C">
        <w:rPr>
          <w:rFonts w:ascii="Times New Roman" w:hAnsi="Times New Roman"/>
          <w:szCs w:val="24"/>
        </w:rPr>
        <w:t>vided into two</w:t>
      </w:r>
      <w:r w:rsidR="002402A1">
        <w:rPr>
          <w:rFonts w:ascii="Times New Roman" w:hAnsi="Times New Roman"/>
          <w:szCs w:val="24"/>
        </w:rPr>
        <w:t xml:space="preserve"> equal volumes of 15</w:t>
      </w:r>
      <w:r w:rsidR="002402A1" w:rsidRPr="002402A1">
        <w:rPr>
          <w:rFonts w:ascii="Times New Roman" w:hAnsi="Times New Roman"/>
          <w:szCs w:val="24"/>
        </w:rPr>
        <w:t xml:space="preserve"> m</w:t>
      </w:r>
      <w:r w:rsidR="009E395F">
        <w:rPr>
          <w:rFonts w:ascii="Times New Roman" w:hAnsi="Times New Roman"/>
          <w:szCs w:val="24"/>
        </w:rPr>
        <w:t>L</w:t>
      </w:r>
      <w:r w:rsidR="002402A1" w:rsidRPr="002402A1">
        <w:rPr>
          <w:rFonts w:ascii="Times New Roman" w:hAnsi="Times New Roman"/>
          <w:szCs w:val="24"/>
        </w:rPr>
        <w:t xml:space="preserve"> to create two groups of </w:t>
      </w:r>
      <w:r w:rsidR="00F22C1B">
        <w:rPr>
          <w:rFonts w:ascii="Times New Roman" w:hAnsi="Times New Roman"/>
          <w:szCs w:val="24"/>
        </w:rPr>
        <w:t>controls</w:t>
      </w:r>
      <w:r w:rsidR="002402A1" w:rsidRPr="002402A1">
        <w:rPr>
          <w:rFonts w:ascii="Times New Roman" w:hAnsi="Times New Roman"/>
          <w:szCs w:val="24"/>
        </w:rPr>
        <w:t xml:space="preserve"> and glucose incubations. T</w:t>
      </w:r>
      <w:r w:rsidR="000203CF">
        <w:rPr>
          <w:rFonts w:ascii="Times New Roman" w:hAnsi="Times New Roman"/>
          <w:szCs w:val="24"/>
        </w:rPr>
        <w:t>o the glucose incubation group</w:t>
      </w:r>
      <w:r w:rsidR="00F105FF">
        <w:rPr>
          <w:rFonts w:ascii="Times New Roman" w:hAnsi="Times New Roman"/>
          <w:szCs w:val="24"/>
        </w:rPr>
        <w:t>,</w:t>
      </w:r>
      <w:r w:rsidR="000203CF">
        <w:rPr>
          <w:rFonts w:ascii="Times New Roman" w:hAnsi="Times New Roman"/>
          <w:szCs w:val="24"/>
        </w:rPr>
        <w:t xml:space="preserve"> g</w:t>
      </w:r>
      <w:r w:rsidR="002402A1" w:rsidRPr="002402A1">
        <w:rPr>
          <w:rFonts w:ascii="Times New Roman" w:hAnsi="Times New Roman"/>
          <w:szCs w:val="24"/>
        </w:rPr>
        <w:t>lucose was added</w:t>
      </w:r>
      <w:r w:rsidR="000203CF">
        <w:rPr>
          <w:rFonts w:ascii="Times New Roman" w:hAnsi="Times New Roman"/>
          <w:szCs w:val="24"/>
        </w:rPr>
        <w:t xml:space="preserve"> to create an overall sugar conce</w:t>
      </w:r>
      <w:r w:rsidR="00E512ED">
        <w:rPr>
          <w:rFonts w:ascii="Times New Roman" w:hAnsi="Times New Roman"/>
          <w:szCs w:val="24"/>
        </w:rPr>
        <w:t>n</w:t>
      </w:r>
      <w:r w:rsidR="000203CF">
        <w:rPr>
          <w:rFonts w:ascii="Times New Roman" w:hAnsi="Times New Roman"/>
          <w:szCs w:val="24"/>
        </w:rPr>
        <w:t>t</w:t>
      </w:r>
      <w:r w:rsidR="00E512ED">
        <w:rPr>
          <w:rFonts w:ascii="Times New Roman" w:hAnsi="Times New Roman"/>
          <w:szCs w:val="24"/>
        </w:rPr>
        <w:t>r</w:t>
      </w:r>
      <w:r w:rsidR="000203CF">
        <w:rPr>
          <w:rFonts w:ascii="Times New Roman" w:hAnsi="Times New Roman"/>
          <w:szCs w:val="24"/>
        </w:rPr>
        <w:t xml:space="preserve">ation of </w:t>
      </w:r>
      <w:r w:rsidR="000203CF" w:rsidRPr="002402A1">
        <w:rPr>
          <w:rFonts w:ascii="Times New Roman" w:hAnsi="Times New Roman"/>
          <w:szCs w:val="24"/>
        </w:rPr>
        <w:t>0.5 M</w:t>
      </w:r>
      <w:r w:rsidR="002402A1" w:rsidRPr="002402A1">
        <w:rPr>
          <w:rFonts w:ascii="Times New Roman" w:hAnsi="Times New Roman"/>
          <w:szCs w:val="24"/>
        </w:rPr>
        <w:t xml:space="preserve">. Both groups were filter </w:t>
      </w:r>
      <w:proofErr w:type="spellStart"/>
      <w:r w:rsidR="002402A1" w:rsidRPr="002402A1">
        <w:rPr>
          <w:rFonts w:ascii="Times New Roman" w:hAnsi="Times New Roman"/>
          <w:szCs w:val="24"/>
        </w:rPr>
        <w:t>sterilised</w:t>
      </w:r>
      <w:proofErr w:type="spellEnd"/>
      <w:r w:rsidR="002402A1" w:rsidRPr="002402A1">
        <w:rPr>
          <w:rFonts w:ascii="Times New Roman" w:hAnsi="Times New Roman"/>
          <w:szCs w:val="24"/>
        </w:rPr>
        <w:t xml:space="preserve"> using sy</w:t>
      </w:r>
      <w:r w:rsidR="002402A1">
        <w:rPr>
          <w:rFonts w:ascii="Times New Roman" w:hAnsi="Times New Roman"/>
          <w:szCs w:val="24"/>
        </w:rPr>
        <w:t>ringe filters.</w:t>
      </w:r>
      <w:r w:rsidR="002402A1" w:rsidRPr="000203CF">
        <w:rPr>
          <w:rFonts w:ascii="Times New Roman" w:hAnsi="Times New Roman"/>
          <w:szCs w:val="24"/>
        </w:rPr>
        <w:t xml:space="preserve"> </w:t>
      </w:r>
      <w:r w:rsidR="002402A1" w:rsidRPr="002402A1">
        <w:rPr>
          <w:rFonts w:ascii="Times New Roman" w:hAnsi="Times New Roman"/>
          <w:szCs w:val="24"/>
        </w:rPr>
        <w:t>All samples were statically incubated at 37 °C</w:t>
      </w:r>
      <w:r w:rsidR="002402A1">
        <w:rPr>
          <w:rFonts w:ascii="Times New Roman" w:hAnsi="Times New Roman"/>
          <w:szCs w:val="24"/>
        </w:rPr>
        <w:t xml:space="preserve"> for 30 days.</w:t>
      </w:r>
      <w:r w:rsidR="002402A1" w:rsidRPr="000203CF">
        <w:rPr>
          <w:rFonts w:ascii="Times New Roman" w:hAnsi="Times New Roman"/>
          <w:szCs w:val="24"/>
        </w:rPr>
        <w:t xml:space="preserve"> </w:t>
      </w:r>
      <w:r w:rsidR="002402A1" w:rsidRPr="002402A1">
        <w:rPr>
          <w:rFonts w:ascii="Times New Roman" w:hAnsi="Times New Roman"/>
          <w:szCs w:val="24"/>
        </w:rPr>
        <w:t xml:space="preserve">After removal from incubation the </w:t>
      </w:r>
      <w:r w:rsidR="000203CF">
        <w:rPr>
          <w:rFonts w:ascii="Times New Roman" w:hAnsi="Times New Roman"/>
          <w:szCs w:val="24"/>
        </w:rPr>
        <w:t xml:space="preserve">glucose </w:t>
      </w:r>
      <w:r w:rsidR="002402A1" w:rsidRPr="002402A1">
        <w:rPr>
          <w:rFonts w:ascii="Times New Roman" w:hAnsi="Times New Roman"/>
          <w:szCs w:val="24"/>
        </w:rPr>
        <w:t>samples underwent buffer exchange</w:t>
      </w:r>
      <w:r w:rsidR="000203CF">
        <w:rPr>
          <w:rFonts w:ascii="Times New Roman" w:hAnsi="Times New Roman"/>
          <w:szCs w:val="24"/>
        </w:rPr>
        <w:t xml:space="preserve"> to remove free </w:t>
      </w:r>
      <w:r w:rsidR="00057B0B">
        <w:rPr>
          <w:rFonts w:ascii="Times New Roman" w:hAnsi="Times New Roman"/>
          <w:szCs w:val="24"/>
        </w:rPr>
        <w:t xml:space="preserve">glucose using </w:t>
      </w:r>
      <w:proofErr w:type="spellStart"/>
      <w:r w:rsidR="00F105FF">
        <w:rPr>
          <w:rFonts w:ascii="Times New Roman" w:hAnsi="Times New Roman"/>
          <w:szCs w:val="24"/>
        </w:rPr>
        <w:t>C</w:t>
      </w:r>
      <w:r w:rsidR="00057B0B">
        <w:rPr>
          <w:rFonts w:ascii="Times New Roman" w:hAnsi="Times New Roman"/>
          <w:szCs w:val="24"/>
        </w:rPr>
        <w:t>entri</w:t>
      </w:r>
      <w:r w:rsidR="000203CF">
        <w:rPr>
          <w:rFonts w:ascii="Times New Roman" w:hAnsi="Times New Roman"/>
          <w:szCs w:val="24"/>
        </w:rPr>
        <w:t>p</w:t>
      </w:r>
      <w:r w:rsidR="00B84FD7">
        <w:rPr>
          <w:rFonts w:ascii="Times New Roman" w:hAnsi="Times New Roman"/>
          <w:szCs w:val="24"/>
        </w:rPr>
        <w:t>ure</w:t>
      </w:r>
      <w:proofErr w:type="spellEnd"/>
      <w:r w:rsidR="00B84FD7">
        <w:rPr>
          <w:rFonts w:ascii="Times New Roman" w:hAnsi="Times New Roman"/>
          <w:szCs w:val="24"/>
        </w:rPr>
        <w:t xml:space="preserve"> P100 columns with 25 mM MOPS</w:t>
      </w:r>
      <w:r w:rsidR="000203CF">
        <w:rPr>
          <w:rFonts w:ascii="Times New Roman" w:hAnsi="Times New Roman"/>
          <w:szCs w:val="24"/>
        </w:rPr>
        <w:t xml:space="preserve">, 115 mM NaCl </w:t>
      </w:r>
      <w:r w:rsidR="000203CF" w:rsidRPr="000203CF">
        <w:rPr>
          <w:rFonts w:ascii="Times New Roman" w:hAnsi="Times New Roman"/>
          <w:szCs w:val="24"/>
        </w:rPr>
        <w:t>pH 7.4</w:t>
      </w:r>
      <w:r w:rsidR="000203CF">
        <w:rPr>
          <w:rFonts w:ascii="Times New Roman" w:hAnsi="Times New Roman"/>
          <w:szCs w:val="24"/>
        </w:rPr>
        <w:t xml:space="preserve">. The solutions were then concentrated to </w:t>
      </w:r>
      <w:r w:rsidR="00560B80">
        <w:rPr>
          <w:rFonts w:ascii="Times New Roman" w:hAnsi="Times New Roman"/>
          <w:szCs w:val="24"/>
        </w:rPr>
        <w:t>12 mg/m</w:t>
      </w:r>
      <w:r w:rsidR="009E395F">
        <w:rPr>
          <w:rFonts w:ascii="Times New Roman" w:hAnsi="Times New Roman"/>
          <w:szCs w:val="24"/>
        </w:rPr>
        <w:t>L</w:t>
      </w:r>
      <w:r w:rsidR="00610839">
        <w:rPr>
          <w:rFonts w:ascii="Times New Roman" w:hAnsi="Times New Roman"/>
          <w:szCs w:val="24"/>
        </w:rPr>
        <w:t xml:space="preserve"> using </w:t>
      </w:r>
      <w:r w:rsidR="00610839" w:rsidRPr="00610839">
        <w:rPr>
          <w:rFonts w:ascii="Times New Roman" w:hAnsi="Times New Roman"/>
          <w:szCs w:val="24"/>
        </w:rPr>
        <w:t xml:space="preserve">Amicon Ultra </w:t>
      </w:r>
      <w:r w:rsidR="00610839">
        <w:rPr>
          <w:rFonts w:ascii="Times New Roman" w:hAnsi="Times New Roman"/>
          <w:szCs w:val="24"/>
        </w:rPr>
        <w:t>0.5 mL centrifugal filter units with a</w:t>
      </w:r>
      <w:r w:rsidR="00E45F9C">
        <w:rPr>
          <w:rFonts w:ascii="Times New Roman" w:hAnsi="Times New Roman"/>
          <w:szCs w:val="24"/>
        </w:rPr>
        <w:t xml:space="preserve"> 10 </w:t>
      </w:r>
      <w:proofErr w:type="spellStart"/>
      <w:r w:rsidR="00E45F9C">
        <w:rPr>
          <w:rFonts w:ascii="Times New Roman" w:hAnsi="Times New Roman"/>
          <w:szCs w:val="24"/>
        </w:rPr>
        <w:t>k</w:t>
      </w:r>
      <w:r w:rsidR="00610839" w:rsidRPr="00610839">
        <w:rPr>
          <w:rFonts w:ascii="Times New Roman" w:hAnsi="Times New Roman"/>
          <w:szCs w:val="24"/>
        </w:rPr>
        <w:t>Da</w:t>
      </w:r>
      <w:proofErr w:type="spellEnd"/>
      <w:r w:rsidR="00610839" w:rsidRPr="00610839">
        <w:rPr>
          <w:rFonts w:ascii="Times New Roman" w:hAnsi="Times New Roman"/>
          <w:szCs w:val="24"/>
        </w:rPr>
        <w:t xml:space="preserve"> cut off</w:t>
      </w:r>
      <w:r w:rsidR="00560B80">
        <w:rPr>
          <w:rFonts w:ascii="Times New Roman" w:hAnsi="Times New Roman"/>
          <w:szCs w:val="24"/>
        </w:rPr>
        <w:t>.</w:t>
      </w:r>
    </w:p>
    <w:p w14:paraId="4519DFB2" w14:textId="1F09B68E" w:rsidR="002F1980" w:rsidRDefault="001A55DD" w:rsidP="00D8173B">
      <w:pPr>
        <w:spacing w:line="480" w:lineRule="auto"/>
        <w:rPr>
          <w:rFonts w:ascii="Times New Roman" w:hAnsi="Times New Roman"/>
          <w:b/>
          <w:szCs w:val="24"/>
        </w:rPr>
      </w:pPr>
      <w:r w:rsidRPr="001A55DD">
        <w:rPr>
          <w:rFonts w:ascii="Times New Roman" w:hAnsi="Times New Roman"/>
          <w:b/>
          <w:szCs w:val="24"/>
        </w:rPr>
        <w:t xml:space="preserve">Glycation </w:t>
      </w:r>
      <w:r w:rsidR="005F5B55" w:rsidRPr="001A55DD">
        <w:rPr>
          <w:rFonts w:ascii="Times New Roman" w:hAnsi="Times New Roman"/>
          <w:b/>
          <w:szCs w:val="24"/>
        </w:rPr>
        <w:t>of lysozyme for quantification</w:t>
      </w:r>
    </w:p>
    <w:p w14:paraId="7A1ED136" w14:textId="10EE7B93" w:rsidR="001A55DD" w:rsidRPr="00D8173B" w:rsidRDefault="000203CF" w:rsidP="00D8173B">
      <w:pPr>
        <w:spacing w:line="480" w:lineRule="auto"/>
        <w:rPr>
          <w:rFonts w:ascii="Times New Roman" w:hAnsi="Times New Roman"/>
          <w:szCs w:val="24"/>
        </w:rPr>
      </w:pPr>
      <w:r>
        <w:rPr>
          <w:rFonts w:ascii="Times New Roman" w:hAnsi="Times New Roman"/>
          <w:szCs w:val="24"/>
        </w:rPr>
        <w:t>Lysozyme</w:t>
      </w:r>
      <w:r w:rsidRPr="000203CF">
        <w:rPr>
          <w:rFonts w:ascii="Times New Roman" w:hAnsi="Times New Roman"/>
          <w:szCs w:val="24"/>
        </w:rPr>
        <w:t xml:space="preserve"> was prepared</w:t>
      </w:r>
      <w:r>
        <w:rPr>
          <w:rFonts w:ascii="Times New Roman" w:hAnsi="Times New Roman"/>
          <w:szCs w:val="24"/>
        </w:rPr>
        <w:t xml:space="preserve"> as 5</w:t>
      </w:r>
      <w:r w:rsidR="009E395F">
        <w:rPr>
          <w:rFonts w:ascii="Times New Roman" w:hAnsi="Times New Roman"/>
          <w:szCs w:val="24"/>
        </w:rPr>
        <w:t xml:space="preserve"> </w:t>
      </w:r>
      <w:r>
        <w:rPr>
          <w:rFonts w:ascii="Times New Roman" w:hAnsi="Times New Roman"/>
          <w:szCs w:val="24"/>
        </w:rPr>
        <w:t>mg/m</w:t>
      </w:r>
      <w:r w:rsidR="009E395F">
        <w:rPr>
          <w:rFonts w:ascii="Times New Roman" w:hAnsi="Times New Roman"/>
          <w:szCs w:val="24"/>
        </w:rPr>
        <w:t>L</w:t>
      </w:r>
      <w:r>
        <w:rPr>
          <w:rFonts w:ascii="Times New Roman" w:hAnsi="Times New Roman"/>
          <w:szCs w:val="24"/>
        </w:rPr>
        <w:t xml:space="preserve"> solution in (20</w:t>
      </w:r>
      <w:r w:rsidR="00592A4C">
        <w:rPr>
          <w:rFonts w:ascii="Times New Roman" w:hAnsi="Times New Roman"/>
          <w:szCs w:val="24"/>
        </w:rPr>
        <w:t>0 mL) 25 mM MOPS</w:t>
      </w:r>
      <w:r w:rsidRPr="000203CF">
        <w:rPr>
          <w:rFonts w:ascii="Times New Roman" w:hAnsi="Times New Roman"/>
          <w:szCs w:val="24"/>
        </w:rPr>
        <w:t>, 115 mM NaCl, adjusted to pH 7.4.</w:t>
      </w:r>
      <w:r w:rsidRPr="000203CF">
        <w:t xml:space="preserve"> </w:t>
      </w:r>
      <w:r w:rsidRPr="000203CF">
        <w:rPr>
          <w:rFonts w:ascii="Times New Roman" w:hAnsi="Times New Roman"/>
          <w:szCs w:val="24"/>
        </w:rPr>
        <w:t xml:space="preserve"> This was subsequently di</w:t>
      </w:r>
      <w:r>
        <w:rPr>
          <w:rFonts w:ascii="Times New Roman" w:hAnsi="Times New Roman"/>
          <w:szCs w:val="24"/>
        </w:rPr>
        <w:t>vided into 2 equal volumes of 100</w:t>
      </w:r>
      <w:r w:rsidRPr="000203CF">
        <w:rPr>
          <w:rFonts w:ascii="Times New Roman" w:hAnsi="Times New Roman"/>
          <w:szCs w:val="24"/>
        </w:rPr>
        <w:t xml:space="preserve"> m</w:t>
      </w:r>
      <w:r w:rsidR="009E395F">
        <w:rPr>
          <w:rFonts w:ascii="Times New Roman" w:hAnsi="Times New Roman"/>
          <w:szCs w:val="24"/>
        </w:rPr>
        <w:t>L</w:t>
      </w:r>
      <w:r w:rsidRPr="000203CF">
        <w:rPr>
          <w:rFonts w:ascii="Times New Roman" w:hAnsi="Times New Roman"/>
          <w:szCs w:val="24"/>
        </w:rPr>
        <w:t xml:space="preserve"> to create two groups of </w:t>
      </w:r>
      <w:r w:rsidR="00F22C1B">
        <w:rPr>
          <w:rFonts w:ascii="Times New Roman" w:hAnsi="Times New Roman"/>
          <w:szCs w:val="24"/>
        </w:rPr>
        <w:t>controls</w:t>
      </w:r>
      <w:r w:rsidRPr="000203CF">
        <w:rPr>
          <w:rFonts w:ascii="Times New Roman" w:hAnsi="Times New Roman"/>
          <w:szCs w:val="24"/>
        </w:rPr>
        <w:t xml:space="preserve"> and glucose incubations. To the glucose incubation group glucose was added to create an overall sugar concertation of 0.5 M. Both groups were filter </w:t>
      </w:r>
      <w:proofErr w:type="spellStart"/>
      <w:r w:rsidRPr="000203CF">
        <w:rPr>
          <w:rFonts w:ascii="Times New Roman" w:hAnsi="Times New Roman"/>
          <w:szCs w:val="24"/>
        </w:rPr>
        <w:t>sterilised</w:t>
      </w:r>
      <w:proofErr w:type="spellEnd"/>
      <w:r w:rsidRPr="000203CF">
        <w:rPr>
          <w:rFonts w:ascii="Times New Roman" w:hAnsi="Times New Roman"/>
          <w:szCs w:val="24"/>
        </w:rPr>
        <w:t xml:space="preserve"> using syringe filters. All samples were statically incubated at 37 °C for 30 days. After removal from incubation the </w:t>
      </w:r>
      <w:r>
        <w:rPr>
          <w:rFonts w:ascii="Times New Roman" w:hAnsi="Times New Roman"/>
          <w:szCs w:val="24"/>
        </w:rPr>
        <w:t xml:space="preserve">glucose </w:t>
      </w:r>
      <w:r w:rsidRPr="000203CF">
        <w:rPr>
          <w:rFonts w:ascii="Times New Roman" w:hAnsi="Times New Roman"/>
          <w:szCs w:val="24"/>
        </w:rPr>
        <w:t>samples underwent buffer exchange</w:t>
      </w:r>
      <w:r w:rsidR="009E395F">
        <w:rPr>
          <w:rFonts w:ascii="Times New Roman" w:hAnsi="Times New Roman"/>
          <w:szCs w:val="24"/>
        </w:rPr>
        <w:t>.</w:t>
      </w:r>
    </w:p>
    <w:p w14:paraId="413BD9FA" w14:textId="7EDA3325" w:rsidR="002F1980" w:rsidRDefault="007D60D3" w:rsidP="00D8173B">
      <w:pPr>
        <w:spacing w:line="480" w:lineRule="auto"/>
        <w:rPr>
          <w:rFonts w:ascii="Times New Roman" w:hAnsi="Times New Roman"/>
          <w:b/>
          <w:szCs w:val="24"/>
        </w:rPr>
      </w:pPr>
      <w:r>
        <w:rPr>
          <w:rFonts w:ascii="Times New Roman" w:hAnsi="Times New Roman"/>
          <w:b/>
          <w:szCs w:val="24"/>
        </w:rPr>
        <w:t xml:space="preserve">Time </w:t>
      </w:r>
      <w:r w:rsidR="002F1980">
        <w:rPr>
          <w:rFonts w:ascii="Times New Roman" w:hAnsi="Times New Roman"/>
          <w:b/>
          <w:szCs w:val="24"/>
        </w:rPr>
        <w:t xml:space="preserve">course </w:t>
      </w:r>
      <w:r w:rsidR="002F1980" w:rsidRPr="00DE5DA1">
        <w:rPr>
          <w:rFonts w:ascii="Times New Roman" w:hAnsi="Times New Roman"/>
          <w:b/>
          <w:szCs w:val="24"/>
        </w:rPr>
        <w:t>mass spectrometry</w:t>
      </w:r>
    </w:p>
    <w:p w14:paraId="43C410E0" w14:textId="1CCF4692" w:rsidR="00D946F2" w:rsidRDefault="004315CF" w:rsidP="00D8173B">
      <w:pPr>
        <w:spacing w:line="480" w:lineRule="auto"/>
        <w:rPr>
          <w:rFonts w:ascii="Times New Roman" w:hAnsi="Times New Roman"/>
          <w:szCs w:val="24"/>
        </w:rPr>
      </w:pPr>
      <w:r w:rsidRPr="0014710B">
        <w:rPr>
          <w:rFonts w:ascii="Times New Roman" w:hAnsi="Times New Roman"/>
          <w:szCs w:val="24"/>
        </w:rPr>
        <w:t>Lysozyme glycation</w:t>
      </w:r>
      <w:r>
        <w:rPr>
          <w:rFonts w:ascii="Times New Roman" w:hAnsi="Times New Roman"/>
          <w:b/>
          <w:szCs w:val="24"/>
        </w:rPr>
        <w:t xml:space="preserve"> </w:t>
      </w:r>
      <w:r>
        <w:rPr>
          <w:rFonts w:ascii="Times New Roman" w:hAnsi="Times New Roman"/>
          <w:szCs w:val="24"/>
        </w:rPr>
        <w:t>t</w:t>
      </w:r>
      <w:r w:rsidRPr="0014710B">
        <w:rPr>
          <w:rFonts w:ascii="Times New Roman" w:hAnsi="Times New Roman"/>
          <w:szCs w:val="24"/>
        </w:rPr>
        <w:t xml:space="preserve">ime course experiments were carried out on </w:t>
      </w:r>
      <w:r>
        <w:rPr>
          <w:rFonts w:ascii="Times New Roman" w:hAnsi="Times New Roman"/>
          <w:szCs w:val="24"/>
        </w:rPr>
        <w:t>a</w:t>
      </w:r>
      <w:r w:rsidR="009E395F" w:rsidRPr="00450192">
        <w:rPr>
          <w:rFonts w:ascii="Times New Roman" w:hAnsi="Times New Roman"/>
          <w:szCs w:val="24"/>
        </w:rPr>
        <w:t xml:space="preserve"> </w:t>
      </w:r>
      <w:r w:rsidR="00D946F2" w:rsidRPr="00D8173B">
        <w:rPr>
          <w:rFonts w:ascii="Times New Roman" w:hAnsi="Times New Roman"/>
          <w:szCs w:val="24"/>
        </w:rPr>
        <w:t xml:space="preserve">Waters </w:t>
      </w:r>
      <w:proofErr w:type="spellStart"/>
      <w:r w:rsidR="00D946F2" w:rsidRPr="00D8173B">
        <w:rPr>
          <w:rFonts w:ascii="Times New Roman" w:hAnsi="Times New Roman"/>
          <w:szCs w:val="24"/>
        </w:rPr>
        <w:t>Synapt</w:t>
      </w:r>
      <w:proofErr w:type="spellEnd"/>
      <w:r w:rsidR="00D946F2" w:rsidRPr="00D8173B">
        <w:rPr>
          <w:rFonts w:ascii="Times New Roman" w:hAnsi="Times New Roman"/>
          <w:szCs w:val="24"/>
        </w:rPr>
        <w:t xml:space="preserve"> G2 (Waters, Manchester</w:t>
      </w:r>
      <w:r w:rsidR="00E10354">
        <w:rPr>
          <w:rFonts w:ascii="Times New Roman" w:hAnsi="Times New Roman"/>
          <w:szCs w:val="24"/>
        </w:rPr>
        <w:t>,</w:t>
      </w:r>
      <w:r w:rsidR="00D946F2" w:rsidRPr="00D8173B">
        <w:rPr>
          <w:rFonts w:ascii="Times New Roman" w:hAnsi="Times New Roman"/>
          <w:szCs w:val="24"/>
        </w:rPr>
        <w:t xml:space="preserve"> UK) </w:t>
      </w:r>
      <w:r>
        <w:rPr>
          <w:rFonts w:ascii="Times New Roman" w:hAnsi="Times New Roman"/>
          <w:szCs w:val="24"/>
        </w:rPr>
        <w:t xml:space="preserve">IM-MS </w:t>
      </w:r>
      <w:r w:rsidR="00D946F2" w:rsidRPr="00D8173B">
        <w:rPr>
          <w:rFonts w:ascii="Times New Roman" w:hAnsi="Times New Roman"/>
          <w:szCs w:val="24"/>
        </w:rPr>
        <w:t>instrument</w:t>
      </w:r>
      <w:r w:rsidR="00E701CC">
        <w:rPr>
          <w:rFonts w:ascii="Times New Roman" w:hAnsi="Times New Roman"/>
          <w:szCs w:val="24"/>
        </w:rPr>
        <w:t xml:space="preserve"> (Fig</w:t>
      </w:r>
      <w:r w:rsidR="00BA692E">
        <w:rPr>
          <w:rFonts w:ascii="Times New Roman" w:hAnsi="Times New Roman"/>
          <w:szCs w:val="24"/>
        </w:rPr>
        <w:t>ure</w:t>
      </w:r>
      <w:r w:rsidR="00E701CC">
        <w:rPr>
          <w:rFonts w:ascii="Times New Roman" w:hAnsi="Times New Roman"/>
          <w:szCs w:val="24"/>
        </w:rPr>
        <w:t xml:space="preserve"> S1 and Table S1)</w:t>
      </w:r>
      <w:r w:rsidR="00D946F2" w:rsidRPr="00D8173B">
        <w:rPr>
          <w:rFonts w:ascii="Times New Roman" w:hAnsi="Times New Roman"/>
          <w:szCs w:val="24"/>
        </w:rPr>
        <w:t xml:space="preserve">. </w:t>
      </w:r>
      <w:r w:rsidR="00E512ED">
        <w:rPr>
          <w:rFonts w:ascii="Times New Roman" w:hAnsi="Times New Roman"/>
          <w:szCs w:val="24"/>
        </w:rPr>
        <w:t>Experiments were carried out</w:t>
      </w:r>
      <w:r w:rsidR="00D946F2" w:rsidRPr="00D8173B">
        <w:rPr>
          <w:rFonts w:ascii="Times New Roman" w:hAnsi="Times New Roman"/>
          <w:szCs w:val="24"/>
        </w:rPr>
        <w:t xml:space="preserve"> in positive </w:t>
      </w:r>
      <w:proofErr w:type="spellStart"/>
      <w:r w:rsidR="00D946F2" w:rsidRPr="00D8173B">
        <w:rPr>
          <w:rFonts w:ascii="Times New Roman" w:hAnsi="Times New Roman"/>
          <w:szCs w:val="24"/>
        </w:rPr>
        <w:t>ionisation</w:t>
      </w:r>
      <w:proofErr w:type="spellEnd"/>
      <w:r w:rsidR="00D946F2" w:rsidRPr="00D8173B">
        <w:rPr>
          <w:rFonts w:ascii="Times New Roman" w:hAnsi="Times New Roman"/>
          <w:szCs w:val="24"/>
        </w:rPr>
        <w:t xml:space="preserve"> and </w:t>
      </w:r>
      <w:r w:rsidR="009E395F">
        <w:rPr>
          <w:rFonts w:ascii="Times New Roman" w:hAnsi="Times New Roman"/>
          <w:szCs w:val="24"/>
        </w:rPr>
        <w:t>re</w:t>
      </w:r>
      <w:r w:rsidR="00874FC3">
        <w:rPr>
          <w:rFonts w:ascii="Times New Roman" w:hAnsi="Times New Roman"/>
          <w:szCs w:val="24"/>
        </w:rPr>
        <w:t>solution</w:t>
      </w:r>
      <w:r w:rsidR="009E395F" w:rsidRPr="00D8173B">
        <w:rPr>
          <w:rFonts w:ascii="Times New Roman" w:hAnsi="Times New Roman"/>
          <w:szCs w:val="24"/>
        </w:rPr>
        <w:t xml:space="preserve"> </w:t>
      </w:r>
      <w:r w:rsidR="00D946F2" w:rsidRPr="00D8173B">
        <w:rPr>
          <w:rFonts w:ascii="Times New Roman" w:hAnsi="Times New Roman"/>
          <w:szCs w:val="24"/>
        </w:rPr>
        <w:t>mode</w:t>
      </w:r>
      <w:r w:rsidR="00874FC3" w:rsidRPr="00874FC3">
        <w:rPr>
          <w:rFonts w:ascii="Times New Roman" w:hAnsi="Times New Roman"/>
          <w:szCs w:val="24"/>
        </w:rPr>
        <w:t xml:space="preserve"> </w:t>
      </w:r>
      <w:r w:rsidR="00874FC3">
        <w:rPr>
          <w:rFonts w:ascii="Times New Roman" w:hAnsi="Times New Roman"/>
          <w:szCs w:val="24"/>
        </w:rPr>
        <w:t xml:space="preserve">at </w:t>
      </w:r>
      <w:r w:rsidR="00874FC3" w:rsidRPr="00056022">
        <w:rPr>
          <w:rFonts w:ascii="Times New Roman" w:hAnsi="Times New Roman"/>
          <w:szCs w:val="24"/>
        </w:rPr>
        <w:t xml:space="preserve">collision </w:t>
      </w:r>
      <w:r w:rsidR="00874FC3" w:rsidRPr="00D8173B">
        <w:rPr>
          <w:rFonts w:ascii="Times New Roman" w:hAnsi="Times New Roman"/>
          <w:szCs w:val="24"/>
        </w:rPr>
        <w:t>energ</w:t>
      </w:r>
      <w:r w:rsidR="00874FC3">
        <w:rPr>
          <w:rFonts w:ascii="Times New Roman" w:hAnsi="Times New Roman"/>
          <w:szCs w:val="24"/>
        </w:rPr>
        <w:t>ies of</w:t>
      </w:r>
      <w:r w:rsidR="00874FC3" w:rsidRPr="00D8173B">
        <w:rPr>
          <w:rFonts w:ascii="Times New Roman" w:hAnsi="Times New Roman"/>
          <w:szCs w:val="24"/>
        </w:rPr>
        <w:t xml:space="preserve"> 4 V and 20 V.</w:t>
      </w:r>
      <w:r w:rsidR="00E512ED">
        <w:rPr>
          <w:rFonts w:ascii="Times New Roman" w:hAnsi="Times New Roman"/>
          <w:szCs w:val="24"/>
        </w:rPr>
        <w:t xml:space="preserve"> </w:t>
      </w:r>
      <w:r w:rsidR="00D946F2" w:rsidRPr="00D8173B">
        <w:rPr>
          <w:rFonts w:ascii="Times New Roman" w:hAnsi="Times New Roman"/>
          <w:szCs w:val="24"/>
        </w:rPr>
        <w:t xml:space="preserve">The instrument parameters </w:t>
      </w:r>
      <w:r w:rsidR="00874FC3">
        <w:rPr>
          <w:rFonts w:ascii="Times New Roman" w:hAnsi="Times New Roman"/>
          <w:szCs w:val="24"/>
        </w:rPr>
        <w:t>are summarised in</w:t>
      </w:r>
      <w:r w:rsidR="00E512ED">
        <w:rPr>
          <w:rFonts w:ascii="Times New Roman" w:hAnsi="Times New Roman"/>
          <w:szCs w:val="24"/>
        </w:rPr>
        <w:t xml:space="preserve"> the</w:t>
      </w:r>
      <w:r w:rsidR="00874FC3">
        <w:rPr>
          <w:rFonts w:ascii="Times New Roman" w:hAnsi="Times New Roman"/>
          <w:szCs w:val="24"/>
        </w:rPr>
        <w:t xml:space="preserve"> supporting information (Time course mass spectrometry)</w:t>
      </w:r>
      <w:r w:rsidR="00D946F2" w:rsidRPr="00D8173B">
        <w:rPr>
          <w:rFonts w:ascii="Times New Roman" w:hAnsi="Times New Roman"/>
          <w:szCs w:val="24"/>
        </w:rPr>
        <w:t xml:space="preserve">. </w:t>
      </w:r>
      <w:r w:rsidR="00E10354" w:rsidRPr="007A5984">
        <w:rPr>
          <w:rFonts w:ascii="Times New Roman" w:hAnsi="Times New Roman"/>
          <w:szCs w:val="24"/>
        </w:rPr>
        <w:t xml:space="preserve">Lysozyme samples were </w:t>
      </w:r>
      <w:proofErr w:type="spellStart"/>
      <w:r w:rsidR="00E10354" w:rsidRPr="007A5984">
        <w:rPr>
          <w:rFonts w:ascii="Times New Roman" w:hAnsi="Times New Roman"/>
          <w:szCs w:val="24"/>
        </w:rPr>
        <w:t>solubilised</w:t>
      </w:r>
      <w:proofErr w:type="spellEnd"/>
      <w:r w:rsidR="00E10354" w:rsidRPr="007A5984">
        <w:rPr>
          <w:rFonts w:ascii="Times New Roman" w:hAnsi="Times New Roman"/>
          <w:szCs w:val="24"/>
        </w:rPr>
        <w:t xml:space="preserve"> in</w:t>
      </w:r>
      <w:r w:rsidR="00E10354">
        <w:rPr>
          <w:rFonts w:ascii="Times New Roman" w:hAnsi="Times New Roman"/>
          <w:szCs w:val="24"/>
        </w:rPr>
        <w:t xml:space="preserve"> acidified</w:t>
      </w:r>
      <w:r w:rsidR="00E10354" w:rsidRPr="007A5984">
        <w:rPr>
          <w:rFonts w:ascii="Times New Roman" w:hAnsi="Times New Roman"/>
          <w:szCs w:val="24"/>
        </w:rPr>
        <w:t xml:space="preserve"> </w:t>
      </w:r>
      <w:r w:rsidR="00E10354">
        <w:rPr>
          <w:rFonts w:ascii="Times New Roman" w:hAnsi="Times New Roman"/>
          <w:szCs w:val="24"/>
        </w:rPr>
        <w:t>a</w:t>
      </w:r>
      <w:r w:rsidR="00E10354" w:rsidRPr="007A5984">
        <w:rPr>
          <w:rFonts w:ascii="Times New Roman" w:hAnsi="Times New Roman"/>
          <w:szCs w:val="24"/>
        </w:rPr>
        <w:t xml:space="preserve">mmonium </w:t>
      </w:r>
      <w:r w:rsidR="00E10354">
        <w:rPr>
          <w:rFonts w:ascii="Times New Roman" w:hAnsi="Times New Roman"/>
          <w:szCs w:val="24"/>
        </w:rPr>
        <w:t>a</w:t>
      </w:r>
      <w:r w:rsidR="00E10354" w:rsidRPr="007A5984">
        <w:rPr>
          <w:rFonts w:ascii="Times New Roman" w:hAnsi="Times New Roman"/>
          <w:szCs w:val="24"/>
        </w:rPr>
        <w:t>cetate</w:t>
      </w:r>
      <w:r w:rsidR="00E10354">
        <w:rPr>
          <w:rFonts w:ascii="Times New Roman" w:hAnsi="Times New Roman"/>
          <w:szCs w:val="24"/>
        </w:rPr>
        <w:t xml:space="preserve"> solution</w:t>
      </w:r>
      <w:r w:rsidR="00E10354" w:rsidRPr="007A5984">
        <w:rPr>
          <w:rFonts w:ascii="Times New Roman" w:hAnsi="Times New Roman"/>
          <w:szCs w:val="24"/>
        </w:rPr>
        <w:t xml:space="preserve"> </w:t>
      </w:r>
      <w:r w:rsidR="00E10354">
        <w:rPr>
          <w:rFonts w:ascii="Times New Roman" w:hAnsi="Times New Roman"/>
          <w:szCs w:val="24"/>
        </w:rPr>
        <w:t>(</w:t>
      </w:r>
      <w:r w:rsidR="00E10354" w:rsidRPr="007A5984">
        <w:rPr>
          <w:rFonts w:ascii="Times New Roman" w:hAnsi="Times New Roman"/>
          <w:szCs w:val="24"/>
        </w:rPr>
        <w:t>200 m</w:t>
      </w:r>
      <w:r w:rsidR="00E10354">
        <w:rPr>
          <w:rFonts w:ascii="Times New Roman" w:hAnsi="Times New Roman"/>
          <w:szCs w:val="24"/>
        </w:rPr>
        <w:t xml:space="preserve">M </w:t>
      </w:r>
      <w:proofErr w:type="spellStart"/>
      <w:r w:rsidR="00E10354">
        <w:rPr>
          <w:rFonts w:ascii="Times New Roman" w:hAnsi="Times New Roman"/>
          <w:szCs w:val="24"/>
        </w:rPr>
        <w:t>AmAc</w:t>
      </w:r>
      <w:proofErr w:type="spellEnd"/>
      <w:r w:rsidR="00E701CC">
        <w:rPr>
          <w:rFonts w:ascii="Times New Roman" w:hAnsi="Times New Roman"/>
          <w:szCs w:val="24"/>
        </w:rPr>
        <w:t>,</w:t>
      </w:r>
      <w:r w:rsidR="00E10354">
        <w:rPr>
          <w:rFonts w:ascii="Times New Roman" w:hAnsi="Times New Roman"/>
          <w:szCs w:val="24"/>
        </w:rPr>
        <w:t xml:space="preserve"> 0.01 % formic acid)</w:t>
      </w:r>
      <w:r w:rsidR="00E10354" w:rsidRPr="007A5984">
        <w:rPr>
          <w:rFonts w:ascii="Times New Roman" w:hAnsi="Times New Roman"/>
          <w:szCs w:val="24"/>
        </w:rPr>
        <w:t xml:space="preserve"> and diluted to a concentration</w:t>
      </w:r>
      <w:r w:rsidR="00E10354">
        <w:rPr>
          <w:rFonts w:ascii="Times New Roman" w:hAnsi="Times New Roman"/>
          <w:szCs w:val="24"/>
        </w:rPr>
        <w:t xml:space="preserve"> of</w:t>
      </w:r>
      <w:r w:rsidR="00E10354" w:rsidRPr="007A5984">
        <w:rPr>
          <w:rFonts w:ascii="Times New Roman" w:hAnsi="Times New Roman"/>
          <w:szCs w:val="24"/>
        </w:rPr>
        <w:t xml:space="preserve"> ~5 </w:t>
      </w:r>
      <w:r w:rsidR="00E10354">
        <w:rPr>
          <w:rFonts w:ascii="Times New Roman" w:hAnsi="Times New Roman"/>
          <w:szCs w:val="24"/>
        </w:rPr>
        <w:t>µ</w:t>
      </w:r>
      <w:r w:rsidR="00E10354" w:rsidRPr="007A5984">
        <w:rPr>
          <w:rFonts w:ascii="Times New Roman" w:hAnsi="Times New Roman"/>
          <w:szCs w:val="24"/>
        </w:rPr>
        <w:t xml:space="preserve">M protein </w:t>
      </w:r>
      <w:r w:rsidR="00E10354">
        <w:rPr>
          <w:rFonts w:ascii="Times New Roman" w:hAnsi="Times New Roman"/>
          <w:szCs w:val="24"/>
        </w:rPr>
        <w:t>whereby</w:t>
      </w:r>
      <w:r w:rsidR="00E10354" w:rsidRPr="007A5984">
        <w:rPr>
          <w:rFonts w:ascii="Times New Roman" w:hAnsi="Times New Roman"/>
          <w:szCs w:val="24"/>
        </w:rPr>
        <w:t xml:space="preserve"> acidifi</w:t>
      </w:r>
      <w:r w:rsidR="00E10354">
        <w:rPr>
          <w:rFonts w:ascii="Times New Roman" w:hAnsi="Times New Roman"/>
          <w:szCs w:val="24"/>
        </w:rPr>
        <w:t>cation</w:t>
      </w:r>
      <w:r w:rsidR="00E10354" w:rsidRPr="007A5984">
        <w:rPr>
          <w:rFonts w:ascii="Times New Roman" w:hAnsi="Times New Roman"/>
          <w:szCs w:val="24"/>
        </w:rPr>
        <w:t xml:space="preserve"> w</w:t>
      </w:r>
      <w:r w:rsidR="00E10354">
        <w:rPr>
          <w:rFonts w:ascii="Times New Roman" w:hAnsi="Times New Roman"/>
          <w:szCs w:val="24"/>
        </w:rPr>
        <w:t xml:space="preserve">as </w:t>
      </w:r>
      <w:r w:rsidR="00E10354">
        <w:rPr>
          <w:rFonts w:ascii="Times New Roman" w:hAnsi="Times New Roman"/>
          <w:szCs w:val="24"/>
        </w:rPr>
        <w:lastRenderedPageBreak/>
        <w:t>employed</w:t>
      </w:r>
      <w:r w:rsidR="00E10354" w:rsidRPr="007A5984">
        <w:rPr>
          <w:rFonts w:ascii="Times New Roman" w:hAnsi="Times New Roman"/>
          <w:szCs w:val="24"/>
        </w:rPr>
        <w:t xml:space="preserve"> to improve signal. </w:t>
      </w:r>
      <w:r w:rsidR="00D946F2" w:rsidRPr="00D8173B">
        <w:rPr>
          <w:rFonts w:ascii="Times New Roman" w:hAnsi="Times New Roman"/>
          <w:szCs w:val="24"/>
        </w:rPr>
        <w:t xml:space="preserve"> All subsequent </w:t>
      </w:r>
      <w:r w:rsidR="00E701CC">
        <w:rPr>
          <w:rFonts w:ascii="Times New Roman" w:hAnsi="Times New Roman"/>
          <w:szCs w:val="24"/>
        </w:rPr>
        <w:t xml:space="preserve">data </w:t>
      </w:r>
      <w:r w:rsidR="00D946F2" w:rsidRPr="00D8173B">
        <w:rPr>
          <w:rFonts w:ascii="Times New Roman" w:hAnsi="Times New Roman"/>
          <w:szCs w:val="24"/>
        </w:rPr>
        <w:t xml:space="preserve">analysis </w:t>
      </w:r>
      <w:r w:rsidR="00E701CC">
        <w:rPr>
          <w:rFonts w:ascii="Times New Roman" w:hAnsi="Times New Roman"/>
          <w:szCs w:val="24"/>
        </w:rPr>
        <w:t>software and procedures are outlined within the SI.</w:t>
      </w:r>
      <w:r w:rsidR="00663B93">
        <w:rPr>
          <w:rFonts w:ascii="Times New Roman" w:hAnsi="Times New Roman"/>
          <w:szCs w:val="24"/>
        </w:rPr>
        <w:t xml:space="preserve"> </w:t>
      </w:r>
    </w:p>
    <w:p w14:paraId="25058186" w14:textId="1860B8D7" w:rsidR="002F1980" w:rsidRDefault="007D60D3" w:rsidP="00E45F9C">
      <w:pPr>
        <w:spacing w:line="480" w:lineRule="auto"/>
        <w:rPr>
          <w:rFonts w:ascii="Times New Roman" w:hAnsi="Times New Roman"/>
          <w:b/>
          <w:szCs w:val="24"/>
        </w:rPr>
      </w:pPr>
      <w:r w:rsidRPr="0016062E">
        <w:rPr>
          <w:rFonts w:ascii="Times New Roman" w:hAnsi="Times New Roman"/>
          <w:b/>
          <w:szCs w:val="24"/>
        </w:rPr>
        <w:t>Lysozyme</w:t>
      </w:r>
      <w:r w:rsidR="002F1980">
        <w:rPr>
          <w:rFonts w:ascii="Times New Roman" w:hAnsi="Times New Roman"/>
          <w:b/>
          <w:szCs w:val="24"/>
        </w:rPr>
        <w:t xml:space="preserve"> q</w:t>
      </w:r>
      <w:r w:rsidR="0016062E" w:rsidRPr="0016062E">
        <w:rPr>
          <w:rFonts w:ascii="Times New Roman" w:hAnsi="Times New Roman"/>
          <w:b/>
          <w:szCs w:val="24"/>
        </w:rPr>
        <w:t>uantification</w:t>
      </w:r>
      <w:r w:rsidR="002F1980">
        <w:rPr>
          <w:rFonts w:ascii="Times New Roman" w:hAnsi="Times New Roman"/>
          <w:b/>
          <w:szCs w:val="24"/>
        </w:rPr>
        <w:t xml:space="preserve"> and a</w:t>
      </w:r>
      <w:r w:rsidRPr="0016062E">
        <w:rPr>
          <w:rFonts w:ascii="Times New Roman" w:hAnsi="Times New Roman"/>
          <w:b/>
          <w:szCs w:val="24"/>
        </w:rPr>
        <w:t xml:space="preserve">lbumin </w:t>
      </w:r>
      <w:r w:rsidR="002F1980">
        <w:rPr>
          <w:rFonts w:ascii="Times New Roman" w:hAnsi="Times New Roman"/>
          <w:b/>
          <w:szCs w:val="24"/>
        </w:rPr>
        <w:t>glycation m</w:t>
      </w:r>
      <w:r w:rsidRPr="0016062E">
        <w:rPr>
          <w:rFonts w:ascii="Times New Roman" w:hAnsi="Times New Roman"/>
          <w:b/>
          <w:szCs w:val="24"/>
        </w:rPr>
        <w:t xml:space="preserve">ass </w:t>
      </w:r>
      <w:r w:rsidR="002F1980">
        <w:rPr>
          <w:rFonts w:ascii="Times New Roman" w:hAnsi="Times New Roman"/>
          <w:b/>
          <w:szCs w:val="24"/>
        </w:rPr>
        <w:t>s</w:t>
      </w:r>
      <w:r w:rsidR="0016062E" w:rsidRPr="0016062E">
        <w:rPr>
          <w:rFonts w:ascii="Times New Roman" w:hAnsi="Times New Roman"/>
          <w:b/>
          <w:szCs w:val="24"/>
        </w:rPr>
        <w:t>pectrometry</w:t>
      </w:r>
      <w:r w:rsidR="00E45F9C">
        <w:rPr>
          <w:rFonts w:ascii="Times New Roman" w:hAnsi="Times New Roman"/>
          <w:b/>
          <w:szCs w:val="24"/>
        </w:rPr>
        <w:t xml:space="preserve"> </w:t>
      </w:r>
    </w:p>
    <w:p w14:paraId="4D2AAE7F" w14:textId="51BD1EE6" w:rsidR="007D60D3" w:rsidRPr="00E45F9C" w:rsidRDefault="007D60D3" w:rsidP="00E45F9C">
      <w:pPr>
        <w:spacing w:line="480" w:lineRule="auto"/>
        <w:rPr>
          <w:rFonts w:ascii="Times New Roman" w:hAnsi="Times New Roman"/>
          <w:b/>
          <w:szCs w:val="24"/>
        </w:rPr>
      </w:pPr>
      <w:r w:rsidRPr="00A25439">
        <w:rPr>
          <w:rFonts w:ascii="Times New Roman" w:eastAsiaTheme="minorEastAsia" w:hAnsi="Times New Roman"/>
          <w:kern w:val="24"/>
          <w:szCs w:val="28"/>
          <w:lang w:val="en-GB" w:eastAsia="en-GB"/>
        </w:rPr>
        <w:t xml:space="preserve">12 mg/mL glycated and non-glycated lysozyme in MOPS </w:t>
      </w:r>
      <w:r w:rsidR="00FA44DB">
        <w:rPr>
          <w:rFonts w:ascii="Times New Roman" w:eastAsiaTheme="minorEastAsia" w:hAnsi="Times New Roman"/>
          <w:kern w:val="24"/>
          <w:szCs w:val="28"/>
          <w:lang w:val="en-GB" w:eastAsia="en-GB"/>
        </w:rPr>
        <w:t>with</w:t>
      </w:r>
      <w:r w:rsidRPr="00A25439">
        <w:rPr>
          <w:rFonts w:ascii="Times New Roman" w:eastAsiaTheme="minorEastAsia" w:hAnsi="Times New Roman"/>
          <w:kern w:val="24"/>
          <w:szCs w:val="28"/>
          <w:lang w:val="en-GB" w:eastAsia="en-GB"/>
        </w:rPr>
        <w:t xml:space="preserve"> 1</w:t>
      </w:r>
      <w:r w:rsidR="00FA44DB">
        <w:rPr>
          <w:rFonts w:ascii="Times New Roman" w:eastAsiaTheme="minorEastAsia" w:hAnsi="Times New Roman"/>
          <w:kern w:val="24"/>
          <w:szCs w:val="28"/>
          <w:lang w:val="en-GB" w:eastAsia="en-GB"/>
        </w:rPr>
        <w:t xml:space="preserve"> </w:t>
      </w:r>
      <w:r w:rsidRPr="00A25439">
        <w:rPr>
          <w:rFonts w:ascii="Times New Roman" w:eastAsiaTheme="minorEastAsia" w:hAnsi="Times New Roman"/>
          <w:kern w:val="24"/>
          <w:szCs w:val="28"/>
          <w:lang w:val="en-GB" w:eastAsia="en-GB"/>
        </w:rPr>
        <w:t xml:space="preserve">M ammonium acetate solution pH 7.2 </w:t>
      </w:r>
      <w:r w:rsidR="00FA44DB">
        <w:rPr>
          <w:rFonts w:ascii="Times New Roman" w:eastAsiaTheme="minorEastAsia" w:hAnsi="Times New Roman"/>
          <w:kern w:val="24"/>
          <w:szCs w:val="28"/>
          <w:lang w:val="en-GB" w:eastAsia="en-GB"/>
        </w:rPr>
        <w:t>were</w:t>
      </w:r>
      <w:r w:rsidRPr="00A25439">
        <w:rPr>
          <w:rFonts w:ascii="Times New Roman" w:eastAsiaTheme="minorEastAsia" w:hAnsi="Times New Roman"/>
          <w:kern w:val="24"/>
          <w:szCs w:val="28"/>
          <w:lang w:val="en-GB" w:eastAsia="en-GB"/>
        </w:rPr>
        <w:t xml:space="preserve"> analysed at a final protein concentration of ~4 µM.</w:t>
      </w:r>
      <w:r w:rsidR="009E395F">
        <w:rPr>
          <w:rFonts w:ascii="Times New Roman" w:eastAsiaTheme="minorEastAsia" w:hAnsi="Times New Roman"/>
          <w:kern w:val="24"/>
          <w:szCs w:val="28"/>
          <w:lang w:val="en-GB" w:eastAsia="en-GB"/>
        </w:rPr>
        <w:t xml:space="preserve"> </w:t>
      </w:r>
      <w:r w:rsidRPr="00A25439">
        <w:rPr>
          <w:rFonts w:ascii="Times New Roman" w:eastAsiaTheme="minorEastAsia" w:hAnsi="Times New Roman"/>
          <w:kern w:val="24"/>
          <w:szCs w:val="28"/>
          <w:lang w:val="en-GB" w:eastAsia="en-GB"/>
        </w:rPr>
        <w:t>12 mg/mL albumin in MOPS was buffer exchanged into 1</w:t>
      </w:r>
      <w:r w:rsidR="00BA692E">
        <w:rPr>
          <w:rFonts w:ascii="Times New Roman" w:eastAsiaTheme="minorEastAsia" w:hAnsi="Times New Roman"/>
          <w:kern w:val="24"/>
          <w:szCs w:val="28"/>
          <w:lang w:val="en-GB" w:eastAsia="en-GB"/>
        </w:rPr>
        <w:t xml:space="preserve"> </w:t>
      </w:r>
      <w:r w:rsidRPr="00A25439">
        <w:rPr>
          <w:rFonts w:ascii="Times New Roman" w:eastAsiaTheme="minorEastAsia" w:hAnsi="Times New Roman"/>
          <w:kern w:val="24"/>
          <w:szCs w:val="28"/>
          <w:lang w:val="en-GB" w:eastAsia="en-GB"/>
        </w:rPr>
        <w:t>M ammonium acetate solution pH 7.2. Optimal MS resolution was achieved for the glycated form of albumin by diluting the buffer exchanged sample at a 1:40 ratio into a water/formic acid solution (99.9:0.1,</w:t>
      </w:r>
      <w:r w:rsidR="00BA692E">
        <w:rPr>
          <w:rFonts w:ascii="Times New Roman" w:eastAsiaTheme="minorEastAsia" w:hAnsi="Times New Roman"/>
          <w:kern w:val="24"/>
          <w:szCs w:val="28"/>
          <w:lang w:val="en-GB" w:eastAsia="en-GB"/>
        </w:rPr>
        <w:t xml:space="preserve"> %</w:t>
      </w:r>
      <w:proofErr w:type="spellStart"/>
      <w:proofErr w:type="gramStart"/>
      <w:r w:rsidRPr="00A25439">
        <w:rPr>
          <w:rFonts w:ascii="Times New Roman" w:eastAsiaTheme="minorEastAsia" w:hAnsi="Times New Roman"/>
          <w:kern w:val="24"/>
          <w:szCs w:val="28"/>
          <w:lang w:val="en-GB" w:eastAsia="en-GB"/>
        </w:rPr>
        <w:t>v:v</w:t>
      </w:r>
      <w:proofErr w:type="spellEnd"/>
      <w:proofErr w:type="gramEnd"/>
      <w:r w:rsidRPr="00A25439">
        <w:rPr>
          <w:rFonts w:ascii="Times New Roman" w:eastAsiaTheme="minorEastAsia" w:hAnsi="Times New Roman"/>
          <w:kern w:val="24"/>
          <w:szCs w:val="28"/>
          <w:lang w:val="en-GB" w:eastAsia="en-GB"/>
        </w:rPr>
        <w:t>) at which the final protein concentration was ~5 µM prior to analysis. For consistency</w:t>
      </w:r>
      <w:r w:rsidR="00C84A88">
        <w:rPr>
          <w:rFonts w:ascii="Times New Roman" w:eastAsiaTheme="minorEastAsia" w:hAnsi="Times New Roman"/>
          <w:kern w:val="24"/>
          <w:szCs w:val="28"/>
          <w:lang w:val="en-GB" w:eastAsia="en-GB"/>
        </w:rPr>
        <w:t>,</w:t>
      </w:r>
      <w:r w:rsidRPr="00A25439">
        <w:rPr>
          <w:rFonts w:ascii="Times New Roman" w:eastAsiaTheme="minorEastAsia" w:hAnsi="Times New Roman"/>
          <w:kern w:val="24"/>
          <w:szCs w:val="28"/>
          <w:lang w:val="en-GB" w:eastAsia="en-GB"/>
        </w:rPr>
        <w:t xml:space="preserve"> the non-glycated form of albumin was also treated in the same manner.</w:t>
      </w:r>
      <w:r w:rsidR="0016062E" w:rsidRPr="00A25439">
        <w:rPr>
          <w:rFonts w:ascii="Times New Roman" w:hAnsi="Times New Roman"/>
          <w:sz w:val="22"/>
          <w:szCs w:val="24"/>
          <w:lang w:val="en-GB" w:eastAsia="en-GB"/>
        </w:rPr>
        <w:t xml:space="preserve"> </w:t>
      </w:r>
      <w:r w:rsidRPr="00A25439">
        <w:rPr>
          <w:rFonts w:ascii="Times New Roman" w:eastAsiaTheme="minorEastAsia" w:hAnsi="Times New Roman"/>
          <w:kern w:val="24"/>
          <w:szCs w:val="28"/>
          <w:lang w:val="en-GB" w:eastAsia="en-GB"/>
        </w:rPr>
        <w:t xml:space="preserve">All experiments were performed using </w:t>
      </w:r>
      <w:proofErr w:type="spellStart"/>
      <w:r w:rsidRPr="00A25439">
        <w:rPr>
          <w:rFonts w:ascii="Times New Roman" w:eastAsiaTheme="minorEastAsia" w:hAnsi="Times New Roman"/>
          <w:kern w:val="24"/>
          <w:szCs w:val="28"/>
          <w:lang w:val="en-GB" w:eastAsia="en-GB"/>
        </w:rPr>
        <w:t>nano</w:t>
      </w:r>
      <w:proofErr w:type="spellEnd"/>
      <w:r w:rsidRPr="00A25439">
        <w:rPr>
          <w:rFonts w:ascii="Times New Roman" w:eastAsiaTheme="minorEastAsia" w:hAnsi="Times New Roman"/>
          <w:kern w:val="24"/>
          <w:szCs w:val="28"/>
          <w:lang w:val="en-GB" w:eastAsia="en-GB"/>
        </w:rPr>
        <w:t>-electrospray ionisation (</w:t>
      </w:r>
      <w:proofErr w:type="spellStart"/>
      <w:r w:rsidRPr="00A25439">
        <w:rPr>
          <w:rFonts w:ascii="Times New Roman" w:eastAsiaTheme="minorEastAsia" w:hAnsi="Times New Roman"/>
          <w:kern w:val="24"/>
          <w:szCs w:val="28"/>
          <w:lang w:val="en-GB" w:eastAsia="en-GB"/>
        </w:rPr>
        <w:t>nESI</w:t>
      </w:r>
      <w:proofErr w:type="spellEnd"/>
      <w:r w:rsidRPr="00A25439">
        <w:rPr>
          <w:rFonts w:ascii="Times New Roman" w:eastAsiaTheme="minorEastAsia" w:hAnsi="Times New Roman"/>
          <w:kern w:val="24"/>
          <w:szCs w:val="28"/>
          <w:lang w:val="en-GB" w:eastAsia="en-GB"/>
        </w:rPr>
        <w:t xml:space="preserve">) in positive ionisation mode. Experiments were performed on a Q </w:t>
      </w:r>
      <w:proofErr w:type="spellStart"/>
      <w:r w:rsidRPr="00A25439">
        <w:rPr>
          <w:rFonts w:ascii="Times New Roman" w:eastAsiaTheme="minorEastAsia" w:hAnsi="Times New Roman"/>
          <w:kern w:val="24"/>
          <w:szCs w:val="28"/>
          <w:lang w:val="en-GB" w:eastAsia="en-GB"/>
        </w:rPr>
        <w:t>Exactive</w:t>
      </w:r>
      <w:proofErr w:type="spellEnd"/>
      <w:r w:rsidRPr="00A25439">
        <w:rPr>
          <w:rFonts w:ascii="Times New Roman" w:eastAsiaTheme="minorEastAsia" w:hAnsi="Times New Roman"/>
          <w:kern w:val="24"/>
          <w:szCs w:val="28"/>
          <w:lang w:val="en-GB" w:eastAsia="en-GB"/>
        </w:rPr>
        <w:t xml:space="preserve"> UHMR hybrid quadrupole-</w:t>
      </w:r>
      <w:commentRangeStart w:id="3"/>
      <w:r w:rsidRPr="00A25439">
        <w:rPr>
          <w:rFonts w:ascii="Times New Roman" w:eastAsiaTheme="minorEastAsia" w:hAnsi="Times New Roman"/>
          <w:kern w:val="24"/>
          <w:szCs w:val="28"/>
          <w:lang w:val="en-GB" w:eastAsia="en-GB"/>
        </w:rPr>
        <w:t xml:space="preserve">orbitrap </w:t>
      </w:r>
      <w:commentRangeEnd w:id="3"/>
      <w:r w:rsidR="00AE6F1B">
        <w:rPr>
          <w:rStyle w:val="CommentReference"/>
        </w:rPr>
        <w:commentReference w:id="3"/>
      </w:r>
      <w:r w:rsidRPr="00A25439">
        <w:rPr>
          <w:rFonts w:ascii="Times New Roman" w:eastAsiaTheme="minorEastAsia" w:hAnsi="Times New Roman"/>
          <w:kern w:val="24"/>
          <w:szCs w:val="28"/>
          <w:lang w:val="en-GB" w:eastAsia="en-GB"/>
        </w:rPr>
        <w:t xml:space="preserve">mass spectrometer (Thermo Fisher scientific). A full list of the Q </w:t>
      </w:r>
      <w:proofErr w:type="spellStart"/>
      <w:r w:rsidRPr="00A25439">
        <w:rPr>
          <w:rFonts w:ascii="Times New Roman" w:eastAsiaTheme="minorEastAsia" w:hAnsi="Times New Roman"/>
          <w:kern w:val="24"/>
          <w:szCs w:val="28"/>
          <w:lang w:val="en-GB" w:eastAsia="en-GB"/>
        </w:rPr>
        <w:t>Exactive</w:t>
      </w:r>
      <w:proofErr w:type="spellEnd"/>
      <w:r w:rsidRPr="00A25439">
        <w:rPr>
          <w:rFonts w:ascii="Times New Roman" w:eastAsiaTheme="minorEastAsia" w:hAnsi="Times New Roman"/>
          <w:kern w:val="24"/>
          <w:szCs w:val="28"/>
          <w:lang w:val="en-GB" w:eastAsia="en-GB"/>
        </w:rPr>
        <w:t xml:space="preserve"> settings utilised are outlined in </w:t>
      </w:r>
      <w:r w:rsidR="00F35EE9">
        <w:rPr>
          <w:rFonts w:ascii="Times New Roman" w:eastAsiaTheme="minorEastAsia" w:hAnsi="Times New Roman"/>
          <w:kern w:val="24"/>
          <w:szCs w:val="28"/>
          <w:lang w:val="en-GB" w:eastAsia="en-GB"/>
        </w:rPr>
        <w:t>T</w:t>
      </w:r>
      <w:r w:rsidRPr="00A25439">
        <w:rPr>
          <w:rFonts w:ascii="Times New Roman" w:eastAsiaTheme="minorEastAsia" w:hAnsi="Times New Roman"/>
          <w:kern w:val="24"/>
          <w:szCs w:val="28"/>
          <w:lang w:val="en-GB" w:eastAsia="en-GB"/>
        </w:rPr>
        <w:t>able</w:t>
      </w:r>
      <w:r w:rsidR="00772D6F">
        <w:rPr>
          <w:rFonts w:ascii="Times New Roman" w:eastAsiaTheme="minorEastAsia" w:hAnsi="Times New Roman"/>
          <w:kern w:val="24"/>
          <w:szCs w:val="28"/>
          <w:lang w:val="en-GB" w:eastAsia="en-GB"/>
        </w:rPr>
        <w:t xml:space="preserve"> S3</w:t>
      </w:r>
      <w:r w:rsidRPr="00A25439">
        <w:rPr>
          <w:rFonts w:ascii="Times New Roman" w:eastAsiaTheme="minorEastAsia" w:hAnsi="Times New Roman"/>
          <w:kern w:val="24"/>
          <w:szCs w:val="28"/>
          <w:lang w:val="en-GB" w:eastAsia="en-GB"/>
        </w:rPr>
        <w:t>. Mass spectra were recorded at a resolving power of 200,000 (lysozyme) and 3,125 (albumin).</w:t>
      </w:r>
      <w:r w:rsidR="00FA44DB">
        <w:rPr>
          <w:rFonts w:ascii="Times New Roman" w:eastAsiaTheme="minorEastAsia" w:hAnsi="Times New Roman"/>
          <w:kern w:val="24"/>
          <w:szCs w:val="28"/>
          <w:lang w:val="en-GB" w:eastAsia="en-GB"/>
        </w:rPr>
        <w:t xml:space="preserve"> Full quantification and ca</w:t>
      </w:r>
      <w:r w:rsidR="00663B93">
        <w:rPr>
          <w:rFonts w:ascii="Times New Roman" w:eastAsiaTheme="minorEastAsia" w:hAnsi="Times New Roman"/>
          <w:kern w:val="24"/>
          <w:szCs w:val="28"/>
          <w:lang w:val="en-GB" w:eastAsia="en-GB"/>
        </w:rPr>
        <w:t>tions are shown in</w:t>
      </w:r>
      <w:r w:rsidR="002402CF">
        <w:rPr>
          <w:rFonts w:ascii="Times New Roman" w:eastAsiaTheme="minorEastAsia" w:hAnsi="Times New Roman"/>
          <w:kern w:val="24"/>
          <w:szCs w:val="28"/>
          <w:lang w:val="en-GB" w:eastAsia="en-GB"/>
        </w:rPr>
        <w:t xml:space="preserve"> the SI and within</w:t>
      </w:r>
      <w:r w:rsidR="00663B93">
        <w:rPr>
          <w:rFonts w:ascii="Times New Roman" w:eastAsiaTheme="minorEastAsia" w:hAnsi="Times New Roman"/>
          <w:kern w:val="24"/>
          <w:szCs w:val="28"/>
          <w:lang w:val="en-GB" w:eastAsia="en-GB"/>
        </w:rPr>
        <w:t xml:space="preserve"> Fig</w:t>
      </w:r>
      <w:r w:rsidR="00592A4C">
        <w:rPr>
          <w:rFonts w:ascii="Times New Roman" w:eastAsiaTheme="minorEastAsia" w:hAnsi="Times New Roman"/>
          <w:kern w:val="24"/>
          <w:szCs w:val="28"/>
          <w:lang w:val="en-GB" w:eastAsia="en-GB"/>
        </w:rPr>
        <w:t>ures</w:t>
      </w:r>
      <w:r w:rsidR="00663B93">
        <w:rPr>
          <w:rFonts w:ascii="Times New Roman" w:eastAsiaTheme="minorEastAsia" w:hAnsi="Times New Roman"/>
          <w:kern w:val="24"/>
          <w:szCs w:val="28"/>
          <w:lang w:val="en-GB" w:eastAsia="en-GB"/>
        </w:rPr>
        <w:t xml:space="preserve"> S3-S4 and Table</w:t>
      </w:r>
      <w:r w:rsidR="00F35EE9">
        <w:rPr>
          <w:rFonts w:ascii="Times New Roman" w:eastAsiaTheme="minorEastAsia" w:hAnsi="Times New Roman"/>
          <w:kern w:val="24"/>
          <w:szCs w:val="28"/>
          <w:lang w:val="en-GB" w:eastAsia="en-GB"/>
        </w:rPr>
        <w:t>s</w:t>
      </w:r>
      <w:r w:rsidR="00663B93">
        <w:rPr>
          <w:rFonts w:ascii="Times New Roman" w:eastAsiaTheme="minorEastAsia" w:hAnsi="Times New Roman"/>
          <w:kern w:val="24"/>
          <w:szCs w:val="28"/>
          <w:lang w:val="en-GB" w:eastAsia="en-GB"/>
        </w:rPr>
        <w:t xml:space="preserve"> S4-S6. </w:t>
      </w:r>
    </w:p>
    <w:p w14:paraId="4737B392" w14:textId="77777777" w:rsidR="00592A4C" w:rsidRPr="00A25439" w:rsidRDefault="00592A4C" w:rsidP="0016062E">
      <w:pPr>
        <w:autoSpaceDN/>
        <w:spacing w:before="200" w:after="0" w:line="480" w:lineRule="auto"/>
        <w:textAlignment w:val="auto"/>
        <w:rPr>
          <w:rFonts w:ascii="Times New Roman" w:hAnsi="Times New Roman"/>
          <w:sz w:val="22"/>
          <w:szCs w:val="24"/>
          <w:lang w:val="en-GB" w:eastAsia="en-GB"/>
        </w:rPr>
      </w:pPr>
    </w:p>
    <w:p w14:paraId="775274C0" w14:textId="77777777" w:rsidR="005F5B55" w:rsidRDefault="005F5B55" w:rsidP="00F34651">
      <w:pPr>
        <w:spacing w:line="480" w:lineRule="auto"/>
        <w:rPr>
          <w:rFonts w:ascii="Times New Roman" w:hAnsi="Times New Roman"/>
          <w:b/>
          <w:szCs w:val="24"/>
        </w:rPr>
      </w:pPr>
      <w:r>
        <w:rPr>
          <w:rFonts w:ascii="Times New Roman" w:hAnsi="Times New Roman"/>
          <w:b/>
          <w:szCs w:val="24"/>
        </w:rPr>
        <w:t>FTIR-ATR</w:t>
      </w:r>
    </w:p>
    <w:p w14:paraId="44DA7108" w14:textId="546EBF35" w:rsidR="00F34651" w:rsidRDefault="005F5B55" w:rsidP="00F34651">
      <w:pPr>
        <w:spacing w:line="480" w:lineRule="auto"/>
        <w:rPr>
          <w:rFonts w:ascii="Times New Roman" w:hAnsi="Times New Roman"/>
          <w:color w:val="C00000"/>
          <w:szCs w:val="24"/>
        </w:rPr>
      </w:pPr>
      <w:r w:rsidRPr="005F5B55">
        <w:rPr>
          <w:rFonts w:ascii="Times New Roman" w:hAnsi="Times New Roman"/>
          <w:szCs w:val="24"/>
        </w:rPr>
        <w:t>FT</w:t>
      </w:r>
      <w:r w:rsidR="00F34651" w:rsidRPr="005F5B55">
        <w:rPr>
          <w:rFonts w:ascii="Times New Roman" w:hAnsi="Times New Roman"/>
          <w:szCs w:val="24"/>
        </w:rPr>
        <w:t>IR</w:t>
      </w:r>
      <w:r>
        <w:rPr>
          <w:rFonts w:ascii="Times New Roman" w:hAnsi="Times New Roman"/>
          <w:szCs w:val="24"/>
        </w:rPr>
        <w:t>-ATR</w:t>
      </w:r>
      <w:r w:rsidR="00F34651" w:rsidRPr="00F34651">
        <w:rPr>
          <w:rFonts w:ascii="Times New Roman" w:hAnsi="Times New Roman"/>
          <w:szCs w:val="24"/>
        </w:rPr>
        <w:t xml:space="preserve"> spectra were recorded on a Bruker Alpha FTIR spectrometer fitted with a platinum ATR module. Spectra were recorded from 4000 to 400 cm</w:t>
      </w:r>
      <w:r w:rsidR="00F34651" w:rsidRPr="000C519B">
        <w:rPr>
          <w:rFonts w:ascii="Times New Roman" w:hAnsi="Times New Roman"/>
          <w:szCs w:val="24"/>
          <w:vertAlign w:val="superscript"/>
        </w:rPr>
        <w:t>-1</w:t>
      </w:r>
      <w:r w:rsidR="00F34651" w:rsidRPr="00F34651">
        <w:rPr>
          <w:rFonts w:ascii="Times New Roman" w:hAnsi="Times New Roman"/>
          <w:szCs w:val="24"/>
        </w:rPr>
        <w:t xml:space="preserve">, </w:t>
      </w:r>
      <w:commentRangeStart w:id="4"/>
      <w:r w:rsidR="00F34651" w:rsidRPr="00F34651">
        <w:rPr>
          <w:rFonts w:ascii="Times New Roman" w:hAnsi="Times New Roman"/>
          <w:szCs w:val="24"/>
        </w:rPr>
        <w:t xml:space="preserve">24 scans </w:t>
      </w:r>
      <w:commentRangeEnd w:id="4"/>
      <w:r w:rsidR="00C96762">
        <w:rPr>
          <w:rStyle w:val="CommentReference"/>
        </w:rPr>
        <w:commentReference w:id="4"/>
      </w:r>
      <w:r w:rsidR="00F34651" w:rsidRPr="00F34651">
        <w:rPr>
          <w:rFonts w:ascii="Times New Roman" w:hAnsi="Times New Roman"/>
          <w:szCs w:val="24"/>
        </w:rPr>
        <w:t>with a resolution of 4 cm</w:t>
      </w:r>
      <w:r w:rsidR="00F34651" w:rsidRPr="00F83FD2">
        <w:rPr>
          <w:rFonts w:ascii="Times New Roman" w:hAnsi="Times New Roman"/>
          <w:szCs w:val="24"/>
          <w:vertAlign w:val="superscript"/>
        </w:rPr>
        <w:t>-1</w:t>
      </w:r>
      <w:r w:rsidR="00F34651" w:rsidRPr="00F34651">
        <w:rPr>
          <w:rFonts w:ascii="Times New Roman" w:hAnsi="Times New Roman"/>
          <w:szCs w:val="24"/>
        </w:rPr>
        <w:t xml:space="preserve">. All spectra were measured using </w:t>
      </w:r>
      <w:proofErr w:type="spellStart"/>
      <w:r w:rsidR="00F34651" w:rsidRPr="00F34651">
        <w:rPr>
          <w:rFonts w:ascii="Times New Roman" w:hAnsi="Times New Roman"/>
          <w:szCs w:val="24"/>
        </w:rPr>
        <w:t>lyophilised</w:t>
      </w:r>
      <w:proofErr w:type="spellEnd"/>
      <w:r w:rsidR="00F34651" w:rsidRPr="00F34651">
        <w:rPr>
          <w:rFonts w:ascii="Times New Roman" w:hAnsi="Times New Roman"/>
          <w:szCs w:val="24"/>
        </w:rPr>
        <w:t xml:space="preserve"> lysozyme that had been previously buff</w:t>
      </w:r>
      <w:r w:rsidR="00F34651">
        <w:rPr>
          <w:rFonts w:ascii="Times New Roman" w:hAnsi="Times New Roman"/>
          <w:szCs w:val="24"/>
        </w:rPr>
        <w:t xml:space="preserve">er exchanged to Millipore grade </w:t>
      </w:r>
      <w:r w:rsidR="00F34651" w:rsidRPr="00F34651">
        <w:rPr>
          <w:rFonts w:ascii="Times New Roman" w:hAnsi="Times New Roman"/>
          <w:szCs w:val="24"/>
        </w:rPr>
        <w:t>H</w:t>
      </w:r>
      <w:r w:rsidR="00F34651" w:rsidRPr="00F722B3">
        <w:rPr>
          <w:rFonts w:ascii="Times New Roman" w:hAnsi="Times New Roman"/>
          <w:szCs w:val="24"/>
          <w:vertAlign w:val="subscript"/>
        </w:rPr>
        <w:t>2</w:t>
      </w:r>
      <w:r w:rsidR="00F722B3">
        <w:rPr>
          <w:rFonts w:ascii="Times New Roman" w:hAnsi="Times New Roman"/>
          <w:szCs w:val="24"/>
        </w:rPr>
        <w:t>O</w:t>
      </w:r>
      <w:r w:rsidR="00F34651" w:rsidRPr="00F34651">
        <w:rPr>
          <w:rFonts w:ascii="Times New Roman" w:hAnsi="Times New Roman"/>
          <w:szCs w:val="24"/>
        </w:rPr>
        <w:t>. The spect</w:t>
      </w:r>
      <w:r w:rsidR="0094056E">
        <w:rPr>
          <w:rFonts w:ascii="Times New Roman" w:hAnsi="Times New Roman"/>
          <w:szCs w:val="24"/>
        </w:rPr>
        <w:t xml:space="preserve">ra were </w:t>
      </w:r>
      <w:proofErr w:type="spellStart"/>
      <w:r w:rsidR="0094056E">
        <w:rPr>
          <w:rFonts w:ascii="Times New Roman" w:hAnsi="Times New Roman"/>
          <w:szCs w:val="24"/>
        </w:rPr>
        <w:t>analysed</w:t>
      </w:r>
      <w:proofErr w:type="spellEnd"/>
      <w:r w:rsidR="0094056E">
        <w:rPr>
          <w:rFonts w:ascii="Times New Roman" w:hAnsi="Times New Roman"/>
          <w:szCs w:val="24"/>
        </w:rPr>
        <w:t xml:space="preserve"> in </w:t>
      </w:r>
      <w:proofErr w:type="spellStart"/>
      <w:r w:rsidR="0094056E">
        <w:rPr>
          <w:rFonts w:ascii="Times New Roman" w:hAnsi="Times New Roman"/>
          <w:szCs w:val="24"/>
        </w:rPr>
        <w:t>Matlab</w:t>
      </w:r>
      <w:proofErr w:type="spellEnd"/>
      <w:r w:rsidR="0094056E">
        <w:rPr>
          <w:rFonts w:ascii="Times New Roman" w:hAnsi="Times New Roman"/>
          <w:szCs w:val="24"/>
        </w:rPr>
        <w:t xml:space="preserve"> R2018</w:t>
      </w:r>
      <w:r w:rsidR="00F34651" w:rsidRPr="00F34651">
        <w:rPr>
          <w:rFonts w:ascii="Times New Roman" w:hAnsi="Times New Roman"/>
          <w:szCs w:val="24"/>
        </w:rPr>
        <w:t xml:space="preserve">a (The MathWorks, Natick, MA, USA) using an in-house tool box. All FTIR data </w:t>
      </w:r>
      <w:r w:rsidR="00F35EE9">
        <w:rPr>
          <w:rFonts w:ascii="Times New Roman" w:hAnsi="Times New Roman"/>
          <w:szCs w:val="24"/>
        </w:rPr>
        <w:t xml:space="preserve">were </w:t>
      </w:r>
      <w:r>
        <w:rPr>
          <w:rFonts w:ascii="Times New Roman" w:hAnsi="Times New Roman"/>
          <w:szCs w:val="24"/>
        </w:rPr>
        <w:t>an average of 5 replicates</w:t>
      </w:r>
      <w:r w:rsidR="00F34651" w:rsidRPr="00F34651">
        <w:rPr>
          <w:rFonts w:ascii="Times New Roman" w:hAnsi="Times New Roman"/>
          <w:szCs w:val="24"/>
        </w:rPr>
        <w:t xml:space="preserve">. </w:t>
      </w:r>
      <w:r w:rsidR="00066CB7">
        <w:rPr>
          <w:rFonts w:ascii="Times New Roman" w:hAnsi="Times New Roman"/>
          <w:szCs w:val="24"/>
        </w:rPr>
        <w:t xml:space="preserve">Raw and pre-processed spectra are shown in </w:t>
      </w:r>
      <w:r w:rsidR="00F35EE9">
        <w:rPr>
          <w:rFonts w:ascii="Times New Roman" w:hAnsi="Times New Roman"/>
          <w:szCs w:val="24"/>
        </w:rPr>
        <w:t>F</w:t>
      </w:r>
      <w:r w:rsidR="00F35EE9" w:rsidRPr="00772D6F">
        <w:rPr>
          <w:rFonts w:ascii="Times New Roman" w:hAnsi="Times New Roman"/>
          <w:szCs w:val="24"/>
        </w:rPr>
        <w:t xml:space="preserve">igure </w:t>
      </w:r>
      <w:r w:rsidR="00066CB7" w:rsidRPr="00772D6F">
        <w:rPr>
          <w:rFonts w:ascii="Times New Roman" w:hAnsi="Times New Roman"/>
          <w:szCs w:val="24"/>
        </w:rPr>
        <w:t>S</w:t>
      </w:r>
      <w:r w:rsidR="00772D6F">
        <w:rPr>
          <w:rFonts w:ascii="Times New Roman" w:hAnsi="Times New Roman"/>
          <w:szCs w:val="24"/>
        </w:rPr>
        <w:t>2</w:t>
      </w:r>
      <w:r w:rsidR="00772D6F" w:rsidRPr="00772D6F">
        <w:rPr>
          <w:rFonts w:ascii="Times New Roman" w:hAnsi="Times New Roman"/>
          <w:szCs w:val="24"/>
        </w:rPr>
        <w:t>.</w:t>
      </w:r>
    </w:p>
    <w:p w14:paraId="44C76FCF" w14:textId="5878EA4E" w:rsidR="005F5B55" w:rsidRDefault="005F5B55" w:rsidP="00F34651">
      <w:pPr>
        <w:spacing w:line="480" w:lineRule="auto"/>
        <w:rPr>
          <w:rFonts w:ascii="Times New Roman" w:hAnsi="Times New Roman"/>
          <w:szCs w:val="24"/>
        </w:rPr>
      </w:pPr>
      <w:r>
        <w:rPr>
          <w:rFonts w:ascii="Times New Roman" w:hAnsi="Times New Roman"/>
          <w:b/>
          <w:szCs w:val="24"/>
        </w:rPr>
        <w:t>Raman spectroscopy</w:t>
      </w:r>
      <w:r w:rsidRPr="00335067">
        <w:rPr>
          <w:rFonts w:ascii="Times New Roman" w:hAnsi="Times New Roman"/>
          <w:szCs w:val="24"/>
        </w:rPr>
        <w:t xml:space="preserve"> </w:t>
      </w:r>
    </w:p>
    <w:p w14:paraId="534FCB3E" w14:textId="32193C14" w:rsidR="00F34651" w:rsidRPr="00D8173B" w:rsidRDefault="006F4C84" w:rsidP="00F34651">
      <w:pPr>
        <w:spacing w:line="480" w:lineRule="auto"/>
        <w:rPr>
          <w:rFonts w:ascii="Times New Roman" w:hAnsi="Times New Roman"/>
          <w:szCs w:val="24"/>
        </w:rPr>
      </w:pPr>
      <w:r w:rsidRPr="00335067">
        <w:rPr>
          <w:rFonts w:ascii="Times New Roman" w:hAnsi="Times New Roman"/>
          <w:szCs w:val="24"/>
        </w:rPr>
        <w:lastRenderedPageBreak/>
        <w:t xml:space="preserve">Raman measurements were undertaken on a Renishaw </w:t>
      </w:r>
      <w:proofErr w:type="spellStart"/>
      <w:r w:rsidRPr="00335067">
        <w:rPr>
          <w:rFonts w:ascii="Times New Roman" w:hAnsi="Times New Roman"/>
          <w:szCs w:val="24"/>
        </w:rPr>
        <w:t>inVia</w:t>
      </w:r>
      <w:proofErr w:type="spellEnd"/>
      <w:r w:rsidRPr="00335067">
        <w:rPr>
          <w:rFonts w:ascii="Times New Roman" w:hAnsi="Times New Roman"/>
          <w:szCs w:val="24"/>
        </w:rPr>
        <w:t xml:space="preserve"> Raman microscope (Renishaw Plc., Gloucestershire, UK) using a 785 nm laser with a laser</w:t>
      </w:r>
      <w:r w:rsidR="00E52DE4">
        <w:rPr>
          <w:rFonts w:ascii="Times New Roman" w:hAnsi="Times New Roman"/>
          <w:szCs w:val="24"/>
        </w:rPr>
        <w:t xml:space="preserve"> power </w:t>
      </w:r>
      <w:r w:rsidR="00F35EE9">
        <w:rPr>
          <w:rFonts w:ascii="Times New Roman" w:hAnsi="Times New Roman"/>
          <w:szCs w:val="24"/>
        </w:rPr>
        <w:t xml:space="preserve">on </w:t>
      </w:r>
      <w:r w:rsidR="00E52DE4">
        <w:rPr>
          <w:rFonts w:ascii="Times New Roman" w:hAnsi="Times New Roman"/>
          <w:szCs w:val="24"/>
        </w:rPr>
        <w:t xml:space="preserve">the sample of ~30 </w:t>
      </w:r>
      <w:proofErr w:type="spellStart"/>
      <w:r w:rsidR="00E52DE4">
        <w:rPr>
          <w:rFonts w:ascii="Times New Roman" w:hAnsi="Times New Roman"/>
          <w:szCs w:val="24"/>
        </w:rPr>
        <w:t>mW</w:t>
      </w:r>
      <w:proofErr w:type="spellEnd"/>
      <w:r w:rsidR="00E52DE4">
        <w:rPr>
          <w:rFonts w:ascii="Times New Roman" w:hAnsi="Times New Roman"/>
          <w:szCs w:val="24"/>
        </w:rPr>
        <w:t>.</w:t>
      </w:r>
      <w:r w:rsidRPr="00335067">
        <w:rPr>
          <w:rFonts w:ascii="Times New Roman" w:hAnsi="Times New Roman"/>
          <w:szCs w:val="24"/>
        </w:rPr>
        <w:t xml:space="preserve"> The experimental parameters used for all data col</w:t>
      </w:r>
      <w:r w:rsidR="00A25439">
        <w:rPr>
          <w:rFonts w:ascii="Times New Roman" w:hAnsi="Times New Roman"/>
          <w:szCs w:val="24"/>
        </w:rPr>
        <w:t>lection were 10 s exposure and 12</w:t>
      </w:r>
      <w:r w:rsidRPr="00335067">
        <w:rPr>
          <w:rFonts w:ascii="Times New Roman" w:hAnsi="Times New Roman"/>
          <w:szCs w:val="24"/>
        </w:rPr>
        <w:t xml:space="preserve"> accumulations resulting in an</w:t>
      </w:r>
      <w:r w:rsidR="00A25439">
        <w:rPr>
          <w:rFonts w:ascii="Times New Roman" w:hAnsi="Times New Roman"/>
          <w:szCs w:val="24"/>
        </w:rPr>
        <w:t xml:space="preserve"> overall acquisition time of 120</w:t>
      </w:r>
      <w:r w:rsidRPr="00335067">
        <w:rPr>
          <w:rFonts w:ascii="Times New Roman" w:hAnsi="Times New Roman"/>
          <w:szCs w:val="24"/>
        </w:rPr>
        <w:t xml:space="preserve"> s per measurement. </w:t>
      </w:r>
      <w:r w:rsidR="003E69FE">
        <w:rPr>
          <w:rFonts w:ascii="Times New Roman" w:hAnsi="Times New Roman"/>
          <w:szCs w:val="24"/>
        </w:rPr>
        <w:t>Samples were prepared as 12 mg/m</w:t>
      </w:r>
      <w:r w:rsidR="00F35EE9">
        <w:rPr>
          <w:rFonts w:ascii="Times New Roman" w:hAnsi="Times New Roman"/>
          <w:szCs w:val="24"/>
        </w:rPr>
        <w:t>L</w:t>
      </w:r>
      <w:r w:rsidR="003E69FE">
        <w:rPr>
          <w:rFonts w:ascii="Times New Roman" w:hAnsi="Times New Roman"/>
          <w:szCs w:val="24"/>
        </w:rPr>
        <w:t xml:space="preserve"> at 360 </w:t>
      </w:r>
      <w:r w:rsidR="00F35EE9" w:rsidRPr="00A25439">
        <w:rPr>
          <w:rFonts w:ascii="Times New Roman" w:eastAsiaTheme="minorEastAsia" w:hAnsi="Times New Roman"/>
          <w:kern w:val="24"/>
          <w:szCs w:val="28"/>
          <w:lang w:val="en-GB" w:eastAsia="en-GB"/>
        </w:rPr>
        <w:t>µ</w:t>
      </w:r>
      <w:r w:rsidR="00F35EE9">
        <w:rPr>
          <w:rFonts w:ascii="Times New Roman" w:hAnsi="Times New Roman"/>
          <w:szCs w:val="24"/>
        </w:rPr>
        <w:t>L</w:t>
      </w:r>
      <w:r w:rsidR="003E69FE">
        <w:rPr>
          <w:rFonts w:ascii="Times New Roman" w:hAnsi="Times New Roman"/>
          <w:szCs w:val="24"/>
        </w:rPr>
        <w:t xml:space="preserve"> in the con</w:t>
      </w:r>
      <w:r w:rsidR="00933DD1">
        <w:rPr>
          <w:rFonts w:ascii="Times New Roman" w:hAnsi="Times New Roman"/>
          <w:szCs w:val="24"/>
        </w:rPr>
        <w:t>centrat</w:t>
      </w:r>
      <w:r w:rsidR="00B14A6A">
        <w:rPr>
          <w:rFonts w:ascii="Times New Roman" w:hAnsi="Times New Roman"/>
          <w:szCs w:val="24"/>
        </w:rPr>
        <w:t xml:space="preserve">ion gradient summarised in </w:t>
      </w:r>
      <w:r w:rsidR="00F35EE9">
        <w:rPr>
          <w:rFonts w:ascii="Times New Roman" w:hAnsi="Times New Roman"/>
          <w:szCs w:val="24"/>
        </w:rPr>
        <w:t xml:space="preserve">Table </w:t>
      </w:r>
      <w:r w:rsidR="00B14A6A">
        <w:rPr>
          <w:rFonts w:ascii="Times New Roman" w:hAnsi="Times New Roman"/>
          <w:szCs w:val="24"/>
        </w:rPr>
        <w:t>S7</w:t>
      </w:r>
      <w:r w:rsidR="00066CB7">
        <w:rPr>
          <w:rFonts w:ascii="Times New Roman" w:hAnsi="Times New Roman"/>
          <w:szCs w:val="24"/>
        </w:rPr>
        <w:t xml:space="preserve"> totaling 19 different samples.</w:t>
      </w:r>
      <w:r w:rsidR="00E15E11" w:rsidRPr="00E15E11">
        <w:rPr>
          <w:rFonts w:ascii="Times New Roman" w:hAnsi="Times New Roman"/>
          <w:szCs w:val="24"/>
        </w:rPr>
        <w:t xml:space="preserve"> </w:t>
      </w:r>
      <w:r w:rsidR="00E15E11" w:rsidRPr="00335067">
        <w:rPr>
          <w:rFonts w:ascii="Times New Roman" w:hAnsi="Times New Roman"/>
          <w:szCs w:val="24"/>
        </w:rPr>
        <w:t>The set-up consisted of a 96 well quartz plate (</w:t>
      </w:r>
      <w:proofErr w:type="spellStart"/>
      <w:r w:rsidR="00E15E11" w:rsidRPr="00335067">
        <w:rPr>
          <w:rFonts w:ascii="Times New Roman" w:hAnsi="Times New Roman"/>
          <w:szCs w:val="24"/>
        </w:rPr>
        <w:t>Hellma</w:t>
      </w:r>
      <w:proofErr w:type="spellEnd"/>
      <w:r w:rsidR="00E15E11" w:rsidRPr="00335067">
        <w:rPr>
          <w:rFonts w:ascii="Times New Roman" w:hAnsi="Times New Roman"/>
          <w:szCs w:val="24"/>
        </w:rPr>
        <w:t>™)</w:t>
      </w:r>
      <w:r w:rsidR="00E45F9C">
        <w:rPr>
          <w:rFonts w:ascii="Times New Roman" w:hAnsi="Times New Roman"/>
          <w:szCs w:val="24"/>
        </w:rPr>
        <w:t xml:space="preserve"> using </w:t>
      </w:r>
      <w:proofErr w:type="spellStart"/>
      <w:r w:rsidR="00E45F9C">
        <w:rPr>
          <w:rFonts w:ascii="Times New Roman" w:hAnsi="Times New Roman"/>
          <w:szCs w:val="24"/>
        </w:rPr>
        <w:t>randomised</w:t>
      </w:r>
      <w:proofErr w:type="spellEnd"/>
      <w:r w:rsidR="00E45F9C">
        <w:rPr>
          <w:rFonts w:ascii="Times New Roman" w:hAnsi="Times New Roman"/>
          <w:szCs w:val="24"/>
        </w:rPr>
        <w:t xml:space="preserve"> samples with three</w:t>
      </w:r>
      <w:r w:rsidR="00E15E11" w:rsidRPr="00335067">
        <w:rPr>
          <w:rFonts w:ascii="Times New Roman" w:hAnsi="Times New Roman"/>
          <w:szCs w:val="24"/>
        </w:rPr>
        <w:t xml:space="preserve"> repeats per well.</w:t>
      </w:r>
      <w:r w:rsidR="00E15E11">
        <w:rPr>
          <w:rFonts w:ascii="Times New Roman" w:hAnsi="Times New Roman"/>
          <w:szCs w:val="24"/>
        </w:rPr>
        <w:t xml:space="preserve"> </w:t>
      </w:r>
      <w:r w:rsidR="00E15E11" w:rsidRPr="00E15E11">
        <w:rPr>
          <w:rFonts w:ascii="Times New Roman" w:hAnsi="Times New Roman"/>
          <w:szCs w:val="24"/>
        </w:rPr>
        <w:t xml:space="preserve"> </w:t>
      </w:r>
      <w:r w:rsidR="00E15E11" w:rsidRPr="00E52DE4">
        <w:rPr>
          <w:rFonts w:ascii="Times New Roman" w:hAnsi="Times New Roman"/>
          <w:szCs w:val="24"/>
        </w:rPr>
        <w:t xml:space="preserve">Raw and pre-processed spectra are shown in </w:t>
      </w:r>
      <w:r w:rsidR="00E15E11" w:rsidRPr="00772D6F">
        <w:rPr>
          <w:rFonts w:ascii="Times New Roman" w:hAnsi="Times New Roman"/>
          <w:szCs w:val="24"/>
        </w:rPr>
        <w:t xml:space="preserve">Figure </w:t>
      </w:r>
      <w:r w:rsidR="00337AB4">
        <w:rPr>
          <w:rFonts w:ascii="Times New Roman" w:hAnsi="Times New Roman"/>
          <w:szCs w:val="24"/>
        </w:rPr>
        <w:t>S5</w:t>
      </w:r>
      <w:r w:rsidR="00E15E11" w:rsidRPr="00772D6F">
        <w:rPr>
          <w:rFonts w:ascii="Times New Roman" w:hAnsi="Times New Roman"/>
          <w:szCs w:val="24"/>
        </w:rPr>
        <w:t>.</w:t>
      </w:r>
    </w:p>
    <w:p w14:paraId="31C1A5CD" w14:textId="2C9BB2F2" w:rsidR="005F5B55" w:rsidRDefault="006C6370" w:rsidP="00D8173B">
      <w:pPr>
        <w:spacing w:line="480" w:lineRule="auto"/>
        <w:rPr>
          <w:rFonts w:ascii="Times New Roman" w:hAnsi="Times New Roman"/>
          <w:szCs w:val="24"/>
        </w:rPr>
      </w:pPr>
      <w:r w:rsidRPr="00D8173B">
        <w:rPr>
          <w:rFonts w:ascii="Times New Roman" w:hAnsi="Times New Roman"/>
          <w:b/>
          <w:szCs w:val="24"/>
        </w:rPr>
        <w:t xml:space="preserve">Data </w:t>
      </w:r>
      <w:r w:rsidR="005F5B55" w:rsidRPr="00D8173B">
        <w:rPr>
          <w:rFonts w:ascii="Times New Roman" w:hAnsi="Times New Roman"/>
          <w:b/>
          <w:szCs w:val="24"/>
        </w:rPr>
        <w:t>pre</w:t>
      </w:r>
      <w:r w:rsidR="005F5B55">
        <w:rPr>
          <w:rFonts w:ascii="Times New Roman" w:hAnsi="Times New Roman"/>
          <w:b/>
          <w:szCs w:val="24"/>
        </w:rPr>
        <w:t>-</w:t>
      </w:r>
      <w:r w:rsidR="005F5B55" w:rsidRPr="00D8173B">
        <w:rPr>
          <w:rFonts w:ascii="Times New Roman" w:hAnsi="Times New Roman"/>
          <w:b/>
          <w:szCs w:val="24"/>
        </w:rPr>
        <w:t>processing and chemometrics</w:t>
      </w:r>
      <w:r w:rsidR="005F5B55" w:rsidRPr="00D8173B">
        <w:rPr>
          <w:rFonts w:ascii="Times New Roman" w:hAnsi="Times New Roman"/>
          <w:szCs w:val="24"/>
        </w:rPr>
        <w:t xml:space="preserve"> </w:t>
      </w:r>
    </w:p>
    <w:p w14:paraId="28B8098A" w14:textId="0AF41450" w:rsidR="001A55DD" w:rsidRDefault="0034293F" w:rsidP="00D8173B">
      <w:pPr>
        <w:spacing w:line="480" w:lineRule="auto"/>
        <w:rPr>
          <w:rFonts w:ascii="Times New Roman" w:hAnsi="Times New Roman"/>
          <w:szCs w:val="24"/>
        </w:rPr>
      </w:pPr>
      <w:r w:rsidRPr="00D8173B">
        <w:rPr>
          <w:rFonts w:ascii="Times New Roman" w:hAnsi="Times New Roman"/>
          <w:szCs w:val="24"/>
        </w:rPr>
        <w:t>All data p</w:t>
      </w:r>
      <w:r w:rsidR="00101B14" w:rsidRPr="00D8173B">
        <w:rPr>
          <w:rFonts w:ascii="Times New Roman" w:hAnsi="Times New Roman"/>
          <w:szCs w:val="24"/>
        </w:rPr>
        <w:t>re</w:t>
      </w:r>
      <w:r w:rsidR="00CC7558" w:rsidRPr="00D8173B">
        <w:rPr>
          <w:rFonts w:ascii="Times New Roman" w:hAnsi="Times New Roman"/>
          <w:szCs w:val="24"/>
        </w:rPr>
        <w:t>-</w:t>
      </w:r>
      <w:r w:rsidR="00101B14" w:rsidRPr="00D8173B">
        <w:rPr>
          <w:rFonts w:ascii="Times New Roman" w:hAnsi="Times New Roman"/>
          <w:szCs w:val="24"/>
        </w:rPr>
        <w:t xml:space="preserve">processing and subsequent analysis was performed using </w:t>
      </w:r>
      <w:proofErr w:type="spellStart"/>
      <w:r w:rsidR="00005877" w:rsidRPr="00D8173B">
        <w:rPr>
          <w:rFonts w:ascii="Times New Roman" w:hAnsi="Times New Roman"/>
          <w:szCs w:val="24"/>
        </w:rPr>
        <w:t>Matlab</w:t>
      </w:r>
      <w:proofErr w:type="spellEnd"/>
      <w:r w:rsidR="00005877" w:rsidRPr="00D8173B">
        <w:rPr>
          <w:rFonts w:ascii="Times New Roman" w:hAnsi="Times New Roman"/>
          <w:szCs w:val="24"/>
        </w:rPr>
        <w:t xml:space="preserve"> R2018</w:t>
      </w:r>
      <w:r w:rsidR="00101B14" w:rsidRPr="00D8173B">
        <w:rPr>
          <w:rFonts w:ascii="Times New Roman" w:hAnsi="Times New Roman"/>
          <w:szCs w:val="24"/>
        </w:rPr>
        <w:t>a</w:t>
      </w:r>
      <w:r w:rsidR="00B51964" w:rsidRPr="00D8173B">
        <w:rPr>
          <w:rFonts w:ascii="Times New Roman" w:hAnsi="Times New Roman"/>
          <w:szCs w:val="24"/>
        </w:rPr>
        <w:t xml:space="preserve"> </w:t>
      </w:r>
      <w:r w:rsidR="001A5500" w:rsidRPr="00D8173B">
        <w:rPr>
          <w:rFonts w:ascii="Times New Roman" w:hAnsi="Times New Roman"/>
          <w:szCs w:val="24"/>
        </w:rPr>
        <w:t xml:space="preserve">with </w:t>
      </w:r>
      <w:r w:rsidR="00B51964" w:rsidRPr="00D8173B">
        <w:rPr>
          <w:rFonts w:ascii="Times New Roman" w:hAnsi="Times New Roman"/>
          <w:szCs w:val="24"/>
        </w:rPr>
        <w:t xml:space="preserve">in house </w:t>
      </w:r>
      <w:commentRangeStart w:id="5"/>
      <w:r w:rsidR="00B51964" w:rsidRPr="00D8173B">
        <w:rPr>
          <w:rFonts w:ascii="Times New Roman" w:hAnsi="Times New Roman"/>
          <w:szCs w:val="24"/>
        </w:rPr>
        <w:t>toolboxes</w:t>
      </w:r>
      <w:commentRangeEnd w:id="5"/>
      <w:r w:rsidR="00C96762">
        <w:rPr>
          <w:rStyle w:val="CommentReference"/>
        </w:rPr>
        <w:commentReference w:id="5"/>
      </w:r>
      <w:r w:rsidR="00C62500" w:rsidRPr="00D8173B">
        <w:rPr>
          <w:rFonts w:ascii="Times New Roman" w:hAnsi="Times New Roman"/>
          <w:szCs w:val="24"/>
        </w:rPr>
        <w:t>.</w:t>
      </w:r>
      <w:r w:rsidR="0092162D" w:rsidRPr="00D8173B">
        <w:rPr>
          <w:rFonts w:ascii="Times New Roman" w:hAnsi="Times New Roman"/>
          <w:szCs w:val="24"/>
        </w:rPr>
        <w:t xml:space="preserve"> </w:t>
      </w:r>
      <w:r w:rsidR="00E52DE4">
        <w:rPr>
          <w:rFonts w:ascii="Times New Roman" w:hAnsi="Times New Roman"/>
          <w:szCs w:val="24"/>
        </w:rPr>
        <w:t>For FTIR-ATR t</w:t>
      </w:r>
      <w:r w:rsidR="00E52DE4" w:rsidRPr="00E52DE4">
        <w:rPr>
          <w:rFonts w:ascii="Times New Roman" w:hAnsi="Times New Roman"/>
          <w:szCs w:val="24"/>
        </w:rPr>
        <w:t xml:space="preserve">he data </w:t>
      </w:r>
      <w:r w:rsidR="00F35EE9">
        <w:rPr>
          <w:rFonts w:ascii="Times New Roman" w:hAnsi="Times New Roman"/>
          <w:szCs w:val="24"/>
        </w:rPr>
        <w:t>were</w:t>
      </w:r>
      <w:r w:rsidR="00F35EE9" w:rsidRPr="00E52DE4">
        <w:rPr>
          <w:rFonts w:ascii="Times New Roman" w:hAnsi="Times New Roman"/>
          <w:szCs w:val="24"/>
        </w:rPr>
        <w:t xml:space="preserve"> </w:t>
      </w:r>
      <w:r w:rsidR="00E52DE4" w:rsidRPr="00E52DE4">
        <w:rPr>
          <w:rFonts w:ascii="Times New Roman" w:hAnsi="Times New Roman"/>
          <w:szCs w:val="24"/>
        </w:rPr>
        <w:t xml:space="preserve">baselined </w:t>
      </w:r>
      <w:r w:rsidR="00270806">
        <w:rPr>
          <w:rFonts w:ascii="Times New Roman" w:hAnsi="Times New Roman"/>
          <w:szCs w:val="24"/>
        </w:rPr>
        <w:t xml:space="preserve">and </w:t>
      </w:r>
      <w:r w:rsidR="00270806" w:rsidRPr="00270806">
        <w:rPr>
          <w:rFonts w:ascii="Times New Roman" w:hAnsi="Times New Roman"/>
          <w:szCs w:val="24"/>
          <w:lang w:val="en-GB"/>
        </w:rPr>
        <w:t>normalised</w:t>
      </w:r>
      <w:r w:rsidR="00270806">
        <w:rPr>
          <w:rFonts w:ascii="Times New Roman" w:hAnsi="Times New Roman"/>
          <w:szCs w:val="24"/>
        </w:rPr>
        <w:t xml:space="preserve"> to allow comparison.</w:t>
      </w:r>
      <w:r w:rsidR="00610839">
        <w:rPr>
          <w:rFonts w:ascii="Times New Roman" w:hAnsi="Times New Roman"/>
          <w:szCs w:val="24"/>
        </w:rPr>
        <w:t xml:space="preserve"> </w:t>
      </w:r>
      <w:r w:rsidR="00066CB7">
        <w:rPr>
          <w:rFonts w:ascii="Times New Roman" w:hAnsi="Times New Roman"/>
          <w:szCs w:val="24"/>
        </w:rPr>
        <w:t>The Raman spectra were</w:t>
      </w:r>
      <w:r w:rsidR="00270806">
        <w:rPr>
          <w:rFonts w:ascii="Times New Roman" w:hAnsi="Times New Roman"/>
          <w:szCs w:val="24"/>
        </w:rPr>
        <w:t xml:space="preserve"> baselined, </w:t>
      </w:r>
      <w:r w:rsidR="00270806" w:rsidRPr="00270806">
        <w:rPr>
          <w:rFonts w:ascii="Times New Roman" w:hAnsi="Times New Roman"/>
          <w:szCs w:val="24"/>
          <w:lang w:val="en-GB"/>
        </w:rPr>
        <w:t>normalised</w:t>
      </w:r>
      <w:r w:rsidR="00270806">
        <w:rPr>
          <w:rFonts w:ascii="Times New Roman" w:hAnsi="Times New Roman"/>
          <w:szCs w:val="24"/>
        </w:rPr>
        <w:t xml:space="preserve"> and smooth</w:t>
      </w:r>
      <w:r w:rsidR="00E45F9C">
        <w:rPr>
          <w:rFonts w:ascii="Times New Roman" w:hAnsi="Times New Roman"/>
          <w:szCs w:val="24"/>
        </w:rPr>
        <w:t>ed</w:t>
      </w:r>
      <w:r w:rsidR="00270806">
        <w:rPr>
          <w:rFonts w:ascii="Times New Roman" w:hAnsi="Times New Roman"/>
          <w:szCs w:val="24"/>
        </w:rPr>
        <w:t xml:space="preserve"> (full pre-processing methods are described in supplementary methods).</w:t>
      </w:r>
      <w:r w:rsidR="00066CB7">
        <w:rPr>
          <w:rFonts w:ascii="Times New Roman" w:hAnsi="Times New Roman"/>
          <w:szCs w:val="24"/>
        </w:rPr>
        <w:t xml:space="preserve"> </w:t>
      </w:r>
      <w:r w:rsidR="00D925AE">
        <w:rPr>
          <w:rFonts w:ascii="Times New Roman" w:hAnsi="Times New Roman"/>
          <w:szCs w:val="24"/>
        </w:rPr>
        <w:t>The data</w:t>
      </w:r>
      <w:r w:rsidR="00592A4C">
        <w:rPr>
          <w:rFonts w:ascii="Times New Roman" w:hAnsi="Times New Roman"/>
          <w:szCs w:val="24"/>
        </w:rPr>
        <w:t xml:space="preserve"> set was then divided into two</w:t>
      </w:r>
      <w:r w:rsidR="001A55DD">
        <w:rPr>
          <w:rFonts w:ascii="Times New Roman" w:hAnsi="Times New Roman"/>
          <w:szCs w:val="24"/>
        </w:rPr>
        <w:t xml:space="preserve"> sets in </w:t>
      </w:r>
      <w:r w:rsidR="00270806">
        <w:rPr>
          <w:rFonts w:ascii="Times New Roman" w:hAnsi="Times New Roman"/>
          <w:szCs w:val="24"/>
        </w:rPr>
        <w:t>order</w:t>
      </w:r>
      <w:r w:rsidR="001A55DD">
        <w:rPr>
          <w:rFonts w:ascii="Times New Roman" w:hAnsi="Times New Roman"/>
          <w:szCs w:val="24"/>
        </w:rPr>
        <w:t xml:space="preserve"> to generate </w:t>
      </w:r>
      <w:r w:rsidR="001A55DD" w:rsidRPr="00983608">
        <w:rPr>
          <w:rFonts w:ascii="Times New Roman" w:hAnsi="Times New Roman"/>
          <w:szCs w:val="24"/>
        </w:rPr>
        <w:t>a</w:t>
      </w:r>
      <w:r w:rsidR="00983608">
        <w:rPr>
          <w:rFonts w:ascii="Times New Roman" w:hAnsi="Times New Roman"/>
          <w:szCs w:val="24"/>
        </w:rPr>
        <w:t xml:space="preserve"> </w:t>
      </w:r>
      <w:r w:rsidR="007D4C69" w:rsidRPr="00983608">
        <w:rPr>
          <w:rFonts w:ascii="Times New Roman" w:hAnsi="Times New Roman"/>
          <w:szCs w:val="24"/>
        </w:rPr>
        <w:t xml:space="preserve">PLSR linear predictive model. </w:t>
      </w:r>
      <w:r w:rsidR="00492852" w:rsidRPr="00983608">
        <w:rPr>
          <w:rFonts w:ascii="Times New Roman" w:hAnsi="Times New Roman"/>
          <w:szCs w:val="24"/>
        </w:rPr>
        <w:t xml:space="preserve">The data set included 19 concentrations of glycated lysozyme </w:t>
      </w:r>
      <w:r w:rsidR="00FA44DB">
        <w:rPr>
          <w:rFonts w:ascii="Times New Roman" w:hAnsi="Times New Roman"/>
          <w:szCs w:val="24"/>
        </w:rPr>
        <w:t>mixed with</w:t>
      </w:r>
      <w:r w:rsidR="00492852" w:rsidRPr="00983608">
        <w:rPr>
          <w:rFonts w:ascii="Times New Roman" w:hAnsi="Times New Roman"/>
          <w:szCs w:val="24"/>
        </w:rPr>
        <w:t xml:space="preserve"> </w:t>
      </w:r>
      <w:r w:rsidR="00BA14C2">
        <w:rPr>
          <w:rFonts w:ascii="Times New Roman" w:hAnsi="Times New Roman"/>
          <w:szCs w:val="24"/>
        </w:rPr>
        <w:t>control</w:t>
      </w:r>
      <w:r w:rsidR="001604FE">
        <w:rPr>
          <w:rFonts w:ascii="Times New Roman" w:hAnsi="Times New Roman"/>
          <w:szCs w:val="24"/>
        </w:rPr>
        <w:t xml:space="preserve"> lysozyme creating a ~6</w:t>
      </w:r>
      <w:r w:rsidR="00492852" w:rsidRPr="00983608">
        <w:rPr>
          <w:rFonts w:ascii="Times New Roman" w:hAnsi="Times New Roman"/>
          <w:szCs w:val="24"/>
        </w:rPr>
        <w:t xml:space="preserve">% gradient from 0 to 100% glycated samples. This produced 19 </w:t>
      </w:r>
      <w:r w:rsidR="00270806" w:rsidRPr="00983608">
        <w:rPr>
          <w:rFonts w:ascii="Times New Roman" w:hAnsi="Times New Roman"/>
          <w:szCs w:val="24"/>
        </w:rPr>
        <w:t>datasets</w:t>
      </w:r>
      <w:r w:rsidR="001604FE">
        <w:rPr>
          <w:rFonts w:ascii="Times New Roman" w:hAnsi="Times New Roman"/>
          <w:szCs w:val="24"/>
        </w:rPr>
        <w:t xml:space="preserve"> of which three</w:t>
      </w:r>
      <w:r w:rsidR="00492852" w:rsidRPr="00983608">
        <w:rPr>
          <w:rFonts w:ascii="Times New Roman" w:hAnsi="Times New Roman"/>
          <w:szCs w:val="24"/>
        </w:rPr>
        <w:t xml:space="preserve"> were removed due to being outliers </w:t>
      </w:r>
      <w:r w:rsidR="00A83FF7">
        <w:rPr>
          <w:rFonts w:ascii="Times New Roman" w:hAnsi="Times New Roman"/>
          <w:szCs w:val="24"/>
        </w:rPr>
        <w:t>(</w:t>
      </w:r>
      <w:r w:rsidR="00F35EE9">
        <w:rPr>
          <w:rFonts w:ascii="Times New Roman" w:hAnsi="Times New Roman"/>
          <w:szCs w:val="24"/>
        </w:rPr>
        <w:t>F</w:t>
      </w:r>
      <w:r w:rsidR="00F35EE9" w:rsidRPr="00983608">
        <w:rPr>
          <w:rFonts w:ascii="Times New Roman" w:hAnsi="Times New Roman"/>
          <w:szCs w:val="24"/>
        </w:rPr>
        <w:t>ig</w:t>
      </w:r>
      <w:r w:rsidR="00F35EE9">
        <w:rPr>
          <w:rFonts w:ascii="Times New Roman" w:hAnsi="Times New Roman"/>
          <w:szCs w:val="24"/>
        </w:rPr>
        <w:t>ure</w:t>
      </w:r>
      <w:r w:rsidR="00F35EE9" w:rsidRPr="00983608">
        <w:rPr>
          <w:rFonts w:ascii="Times New Roman" w:hAnsi="Times New Roman"/>
          <w:szCs w:val="24"/>
        </w:rPr>
        <w:t xml:space="preserve"> </w:t>
      </w:r>
      <w:r w:rsidR="00B20249">
        <w:rPr>
          <w:rFonts w:ascii="Times New Roman" w:hAnsi="Times New Roman"/>
          <w:szCs w:val="24"/>
        </w:rPr>
        <w:t>S6</w:t>
      </w:r>
      <w:r w:rsidR="00A83FF7">
        <w:rPr>
          <w:rFonts w:ascii="Times New Roman" w:hAnsi="Times New Roman"/>
          <w:szCs w:val="24"/>
        </w:rPr>
        <w:t>)</w:t>
      </w:r>
      <w:r w:rsidR="00492852" w:rsidRPr="00983608">
        <w:rPr>
          <w:rFonts w:ascii="Times New Roman" w:hAnsi="Times New Roman"/>
          <w:szCs w:val="24"/>
        </w:rPr>
        <w:t>.  The training set and test set therefor</w:t>
      </w:r>
      <w:r w:rsidR="00270806">
        <w:rPr>
          <w:rFonts w:ascii="Times New Roman" w:hAnsi="Times New Roman"/>
          <w:szCs w:val="24"/>
        </w:rPr>
        <w:t xml:space="preserve">e </w:t>
      </w:r>
      <w:r w:rsidR="00270806" w:rsidRPr="00983608">
        <w:rPr>
          <w:rFonts w:ascii="Times New Roman" w:hAnsi="Times New Roman"/>
          <w:szCs w:val="24"/>
        </w:rPr>
        <w:t>include</w:t>
      </w:r>
      <w:r w:rsidR="00270806">
        <w:rPr>
          <w:rFonts w:ascii="Times New Roman" w:hAnsi="Times New Roman"/>
          <w:szCs w:val="24"/>
        </w:rPr>
        <w:t>d</w:t>
      </w:r>
      <w:r w:rsidR="00492852" w:rsidRPr="00983608">
        <w:rPr>
          <w:rFonts w:ascii="Times New Roman" w:hAnsi="Times New Roman"/>
          <w:szCs w:val="24"/>
        </w:rPr>
        <w:t xml:space="preserve"> 8 </w:t>
      </w:r>
      <w:r w:rsidR="00270806" w:rsidRPr="00983608">
        <w:rPr>
          <w:rFonts w:ascii="Times New Roman" w:hAnsi="Times New Roman"/>
          <w:szCs w:val="24"/>
        </w:rPr>
        <w:t>data</w:t>
      </w:r>
      <w:r w:rsidR="00592A4C">
        <w:rPr>
          <w:rFonts w:ascii="Times New Roman" w:hAnsi="Times New Roman"/>
          <w:szCs w:val="24"/>
        </w:rPr>
        <w:t>sets each with three</w:t>
      </w:r>
      <w:r w:rsidR="00492852" w:rsidRPr="00983608">
        <w:rPr>
          <w:rFonts w:ascii="Times New Roman" w:hAnsi="Times New Roman"/>
          <w:szCs w:val="24"/>
        </w:rPr>
        <w:t xml:space="preserve"> spectral repeats per </w:t>
      </w:r>
      <w:r w:rsidR="00056022" w:rsidRPr="00983608">
        <w:rPr>
          <w:rFonts w:ascii="Times New Roman" w:hAnsi="Times New Roman"/>
          <w:szCs w:val="24"/>
        </w:rPr>
        <w:t>conce</w:t>
      </w:r>
      <w:r w:rsidR="00056022">
        <w:rPr>
          <w:rFonts w:ascii="Times New Roman" w:hAnsi="Times New Roman"/>
          <w:szCs w:val="24"/>
        </w:rPr>
        <w:t>n</w:t>
      </w:r>
      <w:r w:rsidR="00056022" w:rsidRPr="00983608">
        <w:rPr>
          <w:rFonts w:ascii="Times New Roman" w:hAnsi="Times New Roman"/>
          <w:szCs w:val="24"/>
        </w:rPr>
        <w:t>tration</w:t>
      </w:r>
      <w:r w:rsidR="00492852" w:rsidRPr="00983608">
        <w:rPr>
          <w:rFonts w:ascii="Times New Roman" w:hAnsi="Times New Roman"/>
          <w:szCs w:val="24"/>
        </w:rPr>
        <w:t xml:space="preserve">. </w:t>
      </w:r>
      <w:r w:rsidR="00FA44DB">
        <w:rPr>
          <w:rFonts w:ascii="Times New Roman" w:hAnsi="Times New Roman"/>
          <w:szCs w:val="24"/>
        </w:rPr>
        <w:t>T</w:t>
      </w:r>
      <w:r w:rsidR="00492852" w:rsidRPr="00983608">
        <w:rPr>
          <w:rFonts w:ascii="Times New Roman" w:hAnsi="Times New Roman"/>
          <w:szCs w:val="24"/>
        </w:rPr>
        <w:t xml:space="preserve">he optimum </w:t>
      </w:r>
      <w:r w:rsidR="00270806" w:rsidRPr="00983608">
        <w:rPr>
          <w:rFonts w:ascii="Times New Roman" w:hAnsi="Times New Roman"/>
          <w:szCs w:val="24"/>
        </w:rPr>
        <w:t>number</w:t>
      </w:r>
      <w:r w:rsidR="00492852" w:rsidRPr="00983608">
        <w:rPr>
          <w:rFonts w:ascii="Times New Roman" w:hAnsi="Times New Roman"/>
          <w:szCs w:val="24"/>
        </w:rPr>
        <w:t xml:space="preserve"> of latent </w:t>
      </w:r>
      <w:r w:rsidR="00270806" w:rsidRPr="00983608">
        <w:rPr>
          <w:rFonts w:ascii="Times New Roman" w:hAnsi="Times New Roman"/>
          <w:szCs w:val="24"/>
        </w:rPr>
        <w:t>variables</w:t>
      </w:r>
      <w:r w:rsidR="00270806">
        <w:rPr>
          <w:rFonts w:ascii="Times New Roman" w:hAnsi="Times New Roman"/>
          <w:szCs w:val="24"/>
        </w:rPr>
        <w:t xml:space="preserve"> (PLS factors) was chosen</w:t>
      </w:r>
      <w:r w:rsidR="00492852" w:rsidRPr="00983608">
        <w:rPr>
          <w:rFonts w:ascii="Times New Roman" w:hAnsi="Times New Roman"/>
          <w:szCs w:val="24"/>
        </w:rPr>
        <w:t xml:space="preserve"> as </w:t>
      </w:r>
      <w:r w:rsidR="00270806">
        <w:rPr>
          <w:rFonts w:ascii="Times New Roman" w:hAnsi="Times New Roman"/>
          <w:szCs w:val="24"/>
        </w:rPr>
        <w:t>lowest</w:t>
      </w:r>
      <w:r w:rsidR="00AA5248">
        <w:rPr>
          <w:rFonts w:ascii="Times New Roman" w:hAnsi="Times New Roman"/>
          <w:szCs w:val="24"/>
        </w:rPr>
        <w:t xml:space="preserve"> latent variable number with the lowest </w:t>
      </w:r>
      <w:r w:rsidR="00AA5248" w:rsidRPr="00AA5248">
        <w:rPr>
          <w:rFonts w:ascii="Times New Roman" w:hAnsi="Times New Roman"/>
          <w:szCs w:val="24"/>
        </w:rPr>
        <w:t xml:space="preserve">root-mean-squared error on </w:t>
      </w:r>
      <w:r w:rsidR="00270806">
        <w:rPr>
          <w:rFonts w:ascii="Times New Roman" w:hAnsi="Times New Roman"/>
          <w:szCs w:val="24"/>
        </w:rPr>
        <w:t>the cross-validation set (</w:t>
      </w:r>
      <w:proofErr w:type="spellStart"/>
      <w:r w:rsidR="00270806">
        <w:rPr>
          <w:rFonts w:ascii="Times New Roman" w:hAnsi="Times New Roman"/>
          <w:szCs w:val="24"/>
        </w:rPr>
        <w:t>RMSEcv</w:t>
      </w:r>
      <w:proofErr w:type="spellEnd"/>
      <w:r w:rsidR="00AA5248" w:rsidRPr="00AA5248">
        <w:rPr>
          <w:rFonts w:ascii="Times New Roman" w:hAnsi="Times New Roman"/>
          <w:szCs w:val="24"/>
        </w:rPr>
        <w:t>)</w:t>
      </w:r>
      <w:r w:rsidR="00FA44DB">
        <w:rPr>
          <w:rFonts w:ascii="Times New Roman" w:hAnsi="Times New Roman"/>
          <w:szCs w:val="24"/>
        </w:rPr>
        <w:t>. In this case it</w:t>
      </w:r>
      <w:r w:rsidR="00AA5248">
        <w:rPr>
          <w:rFonts w:ascii="Times New Roman" w:hAnsi="Times New Roman"/>
          <w:szCs w:val="24"/>
        </w:rPr>
        <w:t xml:space="preserve"> </w:t>
      </w:r>
      <w:r w:rsidR="00492852" w:rsidRPr="00983608">
        <w:rPr>
          <w:rFonts w:ascii="Times New Roman" w:hAnsi="Times New Roman"/>
          <w:szCs w:val="24"/>
        </w:rPr>
        <w:t>was 3</w:t>
      </w:r>
      <w:r w:rsidR="00F35EE9">
        <w:rPr>
          <w:rFonts w:ascii="Times New Roman" w:hAnsi="Times New Roman"/>
          <w:szCs w:val="24"/>
        </w:rPr>
        <w:t>;</w:t>
      </w:r>
      <w:r w:rsidR="005D2F9B">
        <w:rPr>
          <w:rFonts w:ascii="Times New Roman" w:hAnsi="Times New Roman"/>
          <w:szCs w:val="24"/>
        </w:rPr>
        <w:t xml:space="preserve"> i</w:t>
      </w:r>
      <w:r w:rsidR="00270806">
        <w:rPr>
          <w:rFonts w:ascii="Times New Roman" w:hAnsi="Times New Roman"/>
          <w:szCs w:val="24"/>
        </w:rPr>
        <w:t>.</w:t>
      </w:r>
      <w:r w:rsidR="005D2F9B">
        <w:rPr>
          <w:rFonts w:ascii="Times New Roman" w:hAnsi="Times New Roman"/>
          <w:szCs w:val="24"/>
        </w:rPr>
        <w:t>e.</w:t>
      </w:r>
      <w:r w:rsidR="00F35EE9">
        <w:rPr>
          <w:rFonts w:ascii="Times New Roman" w:hAnsi="Times New Roman"/>
          <w:szCs w:val="24"/>
        </w:rPr>
        <w:t>,</w:t>
      </w:r>
      <w:r w:rsidR="005D2F9B">
        <w:rPr>
          <w:rFonts w:ascii="Times New Roman" w:hAnsi="Times New Roman"/>
          <w:szCs w:val="24"/>
        </w:rPr>
        <w:t xml:space="preserve"> the least </w:t>
      </w:r>
      <w:r w:rsidR="00270806">
        <w:rPr>
          <w:rFonts w:ascii="Times New Roman" w:hAnsi="Times New Roman"/>
          <w:szCs w:val="24"/>
        </w:rPr>
        <w:t>number</w:t>
      </w:r>
      <w:r w:rsidR="005D2F9B">
        <w:rPr>
          <w:rFonts w:ascii="Times New Roman" w:hAnsi="Times New Roman"/>
          <w:szCs w:val="24"/>
        </w:rPr>
        <w:t xml:space="preserve"> of PLS facto</w:t>
      </w:r>
      <w:r w:rsidR="00270806">
        <w:rPr>
          <w:rFonts w:ascii="Times New Roman" w:hAnsi="Times New Roman"/>
          <w:szCs w:val="24"/>
        </w:rPr>
        <w:t xml:space="preserve">rs needed to decrease the </w:t>
      </w:r>
      <w:proofErr w:type="spellStart"/>
      <w:r w:rsidR="00270806">
        <w:rPr>
          <w:rFonts w:ascii="Times New Roman" w:hAnsi="Times New Roman"/>
          <w:szCs w:val="24"/>
        </w:rPr>
        <w:t>RMSEcv</w:t>
      </w:r>
      <w:proofErr w:type="spellEnd"/>
      <w:r w:rsidR="00492852" w:rsidRPr="00983608">
        <w:rPr>
          <w:rFonts w:ascii="Times New Roman" w:hAnsi="Times New Roman"/>
          <w:szCs w:val="24"/>
        </w:rPr>
        <w:t xml:space="preserve">. </w:t>
      </w:r>
      <w:r w:rsidR="00492852" w:rsidRPr="00520834">
        <w:rPr>
          <w:rFonts w:ascii="Times New Roman" w:hAnsi="Times New Roman"/>
          <w:i/>
          <w:szCs w:val="24"/>
        </w:rPr>
        <w:t>K</w:t>
      </w:r>
      <w:r w:rsidR="00F35EE9">
        <w:rPr>
          <w:rFonts w:ascii="Times New Roman" w:hAnsi="Times New Roman"/>
          <w:szCs w:val="24"/>
        </w:rPr>
        <w:t>-</w:t>
      </w:r>
      <w:r w:rsidR="00492852" w:rsidRPr="00983608">
        <w:rPr>
          <w:rFonts w:ascii="Times New Roman" w:hAnsi="Times New Roman"/>
          <w:szCs w:val="24"/>
        </w:rPr>
        <w:t xml:space="preserve">fold validation was used to test each model at </w:t>
      </w:r>
      <w:r w:rsidR="00492852" w:rsidRPr="00520834">
        <w:rPr>
          <w:rFonts w:ascii="Times New Roman" w:hAnsi="Times New Roman"/>
          <w:i/>
          <w:szCs w:val="24"/>
        </w:rPr>
        <w:t>k</w:t>
      </w:r>
      <w:r w:rsidR="00492852" w:rsidRPr="00983608">
        <w:rPr>
          <w:rFonts w:ascii="Times New Roman" w:hAnsi="Times New Roman"/>
          <w:szCs w:val="24"/>
        </w:rPr>
        <w:t xml:space="preserve">=20. </w:t>
      </w:r>
      <w:r w:rsidR="00AA5248">
        <w:rPr>
          <w:rFonts w:ascii="Times New Roman" w:hAnsi="Times New Roman"/>
          <w:szCs w:val="24"/>
        </w:rPr>
        <w:t xml:space="preserve">The chosen model with LV = 3 was used to run the test set and </w:t>
      </w:r>
      <w:r w:rsidR="00270806">
        <w:rPr>
          <w:rFonts w:ascii="Times New Roman" w:hAnsi="Times New Roman"/>
          <w:szCs w:val="24"/>
        </w:rPr>
        <w:t xml:space="preserve">generate an </w:t>
      </w:r>
      <w:r w:rsidR="00270806" w:rsidRPr="00520834">
        <w:rPr>
          <w:rFonts w:ascii="Times New Roman" w:hAnsi="Times New Roman"/>
          <w:i/>
          <w:szCs w:val="24"/>
        </w:rPr>
        <w:t>R</w:t>
      </w:r>
      <w:r w:rsidR="00270806" w:rsidRPr="00270806">
        <w:rPr>
          <w:rFonts w:ascii="Times New Roman" w:hAnsi="Times New Roman"/>
          <w:szCs w:val="24"/>
          <w:vertAlign w:val="superscript"/>
        </w:rPr>
        <w:t>2</w:t>
      </w:r>
      <w:r w:rsidR="00AA5248">
        <w:rPr>
          <w:rFonts w:ascii="Times New Roman" w:hAnsi="Times New Roman"/>
          <w:szCs w:val="24"/>
        </w:rPr>
        <w:t xml:space="preserve"> and </w:t>
      </w:r>
      <w:r w:rsidR="00AA5248" w:rsidRPr="00520834">
        <w:rPr>
          <w:rFonts w:ascii="Times New Roman" w:hAnsi="Times New Roman"/>
          <w:i/>
          <w:szCs w:val="24"/>
        </w:rPr>
        <w:t>Q</w:t>
      </w:r>
      <w:r w:rsidR="00AA5248" w:rsidRPr="00270806">
        <w:rPr>
          <w:rFonts w:ascii="Times New Roman" w:hAnsi="Times New Roman"/>
          <w:szCs w:val="24"/>
          <w:vertAlign w:val="superscript"/>
        </w:rPr>
        <w:t>2</w:t>
      </w:r>
      <w:r w:rsidR="00AA5248">
        <w:rPr>
          <w:rFonts w:ascii="Times New Roman" w:hAnsi="Times New Roman"/>
          <w:szCs w:val="24"/>
        </w:rPr>
        <w:t xml:space="preserve"> for </w:t>
      </w:r>
      <w:r w:rsidR="00270806">
        <w:rPr>
          <w:rFonts w:ascii="Times New Roman" w:hAnsi="Times New Roman"/>
          <w:szCs w:val="24"/>
        </w:rPr>
        <w:t>t</w:t>
      </w:r>
      <w:r w:rsidR="00AA5248">
        <w:rPr>
          <w:rFonts w:ascii="Times New Roman" w:hAnsi="Times New Roman"/>
          <w:szCs w:val="24"/>
        </w:rPr>
        <w:t>he model.</w:t>
      </w:r>
    </w:p>
    <w:p w14:paraId="39DB9F14" w14:textId="77777777" w:rsidR="00F35EE9" w:rsidRPr="00066CB7" w:rsidRDefault="00F35EE9" w:rsidP="00D8173B">
      <w:pPr>
        <w:spacing w:line="480" w:lineRule="auto"/>
        <w:rPr>
          <w:rFonts w:ascii="Times New Roman" w:hAnsi="Times New Roman"/>
          <w:szCs w:val="24"/>
        </w:rPr>
      </w:pPr>
    </w:p>
    <w:p w14:paraId="4C8B8365" w14:textId="09C7AD84" w:rsidR="00F33CBF" w:rsidRPr="003D1E19" w:rsidRDefault="00F33CBF" w:rsidP="00D8173B">
      <w:pPr>
        <w:spacing w:line="480" w:lineRule="auto"/>
        <w:rPr>
          <w:rFonts w:ascii="Times New Roman" w:hAnsi="Times New Roman"/>
          <w:szCs w:val="24"/>
        </w:rPr>
      </w:pPr>
      <w:r w:rsidRPr="00D8173B">
        <w:rPr>
          <w:rFonts w:ascii="Times New Roman" w:hAnsi="Times New Roman"/>
          <w:b/>
          <w:szCs w:val="24"/>
        </w:rPr>
        <w:t>R</w:t>
      </w:r>
      <w:r w:rsidR="005F5B55" w:rsidRPr="00D8173B">
        <w:rPr>
          <w:rFonts w:ascii="Times New Roman" w:hAnsi="Times New Roman"/>
          <w:b/>
          <w:szCs w:val="24"/>
        </w:rPr>
        <w:t>esults and discussion</w:t>
      </w:r>
    </w:p>
    <w:p w14:paraId="39A68D79" w14:textId="265362BA" w:rsidR="00AA0068" w:rsidRDefault="00D946F2" w:rsidP="00D8173B">
      <w:pPr>
        <w:spacing w:line="480" w:lineRule="auto"/>
        <w:rPr>
          <w:rFonts w:ascii="Times New Roman" w:hAnsi="Times New Roman"/>
          <w:szCs w:val="24"/>
        </w:rPr>
      </w:pPr>
      <w:r w:rsidRPr="00D8173B">
        <w:rPr>
          <w:rFonts w:ascii="Times New Roman" w:hAnsi="Times New Roman"/>
          <w:szCs w:val="24"/>
        </w:rPr>
        <w:lastRenderedPageBreak/>
        <w:t xml:space="preserve">Lysozyme has 6 </w:t>
      </w:r>
      <w:r w:rsidR="00592A4C">
        <w:rPr>
          <w:rFonts w:ascii="Times New Roman" w:hAnsi="Times New Roman"/>
          <w:szCs w:val="24"/>
        </w:rPr>
        <w:t>Lys</w:t>
      </w:r>
      <w:r w:rsidRPr="00D8173B">
        <w:rPr>
          <w:rFonts w:ascii="Times New Roman" w:hAnsi="Times New Roman"/>
          <w:szCs w:val="24"/>
        </w:rPr>
        <w:t xml:space="preserve"> residues and an N-terminus that </w:t>
      </w:r>
      <w:r w:rsidR="00A83FF7">
        <w:rPr>
          <w:rFonts w:ascii="Times New Roman" w:hAnsi="Times New Roman"/>
          <w:szCs w:val="24"/>
        </w:rPr>
        <w:t>can</w:t>
      </w:r>
      <w:r w:rsidRPr="00D8173B">
        <w:rPr>
          <w:rFonts w:ascii="Times New Roman" w:hAnsi="Times New Roman"/>
          <w:szCs w:val="24"/>
        </w:rPr>
        <w:t xml:space="preserve"> be glycated by glucose via a condensation reaction</w:t>
      </w:r>
      <w:r w:rsidR="00592A4C">
        <w:rPr>
          <w:rFonts w:ascii="Times New Roman" w:hAnsi="Times New Roman"/>
          <w:szCs w:val="24"/>
        </w:rPr>
        <w:t xml:space="preserve"> (Figure</w:t>
      </w:r>
      <w:r w:rsidR="00FF014D">
        <w:rPr>
          <w:rFonts w:ascii="Times New Roman" w:hAnsi="Times New Roman"/>
          <w:szCs w:val="24"/>
        </w:rPr>
        <w:t xml:space="preserve"> 1)</w:t>
      </w:r>
      <w:r w:rsidR="00303BE3">
        <w:rPr>
          <w:rFonts w:ascii="Times New Roman" w:hAnsi="Times New Roman"/>
          <w:szCs w:val="24"/>
        </w:rPr>
        <w:t>. The project used two</w:t>
      </w:r>
      <w:r w:rsidRPr="00D8173B">
        <w:rPr>
          <w:rFonts w:ascii="Times New Roman" w:hAnsi="Times New Roman"/>
          <w:szCs w:val="24"/>
        </w:rPr>
        <w:t xml:space="preserve"> experimental groups. The first group was </w:t>
      </w:r>
      <w:r w:rsidR="00FA44DB" w:rsidRPr="00D8173B">
        <w:rPr>
          <w:rFonts w:ascii="Times New Roman" w:hAnsi="Times New Roman"/>
          <w:szCs w:val="24"/>
        </w:rPr>
        <w:t>5 mg/m</w:t>
      </w:r>
      <w:r w:rsidR="00FA44DB">
        <w:rPr>
          <w:rFonts w:ascii="Times New Roman" w:hAnsi="Times New Roman"/>
          <w:szCs w:val="24"/>
        </w:rPr>
        <w:t>L</w:t>
      </w:r>
      <w:r w:rsidR="00FA44DB" w:rsidRPr="00D8173B">
        <w:rPr>
          <w:rFonts w:ascii="Times New Roman" w:hAnsi="Times New Roman"/>
          <w:szCs w:val="24"/>
        </w:rPr>
        <w:t xml:space="preserve"> </w:t>
      </w:r>
      <w:r w:rsidRPr="00D8173B">
        <w:rPr>
          <w:rFonts w:ascii="Times New Roman" w:hAnsi="Times New Roman"/>
          <w:szCs w:val="24"/>
        </w:rPr>
        <w:t xml:space="preserve">lysozyme with the addition of </w:t>
      </w:r>
      <w:r w:rsidR="00FA44DB" w:rsidRPr="00D8173B">
        <w:rPr>
          <w:rFonts w:ascii="Times New Roman" w:hAnsi="Times New Roman"/>
          <w:szCs w:val="24"/>
        </w:rPr>
        <w:t xml:space="preserve">0.5 M </w:t>
      </w:r>
      <w:r w:rsidRPr="00D8173B">
        <w:rPr>
          <w:rFonts w:ascii="Times New Roman" w:hAnsi="Times New Roman"/>
          <w:szCs w:val="24"/>
        </w:rPr>
        <w:t xml:space="preserve">glucose in incubation buffer. The </w:t>
      </w:r>
      <w:r w:rsidR="00B84FD7">
        <w:rPr>
          <w:rFonts w:ascii="Times New Roman" w:hAnsi="Times New Roman"/>
          <w:szCs w:val="24"/>
        </w:rPr>
        <w:t xml:space="preserve">control group </w:t>
      </w:r>
      <w:r w:rsidR="00B20249" w:rsidRPr="00D8173B">
        <w:rPr>
          <w:rFonts w:ascii="Times New Roman" w:hAnsi="Times New Roman"/>
          <w:szCs w:val="24"/>
        </w:rPr>
        <w:t>was</w:t>
      </w:r>
      <w:r w:rsidRPr="00D8173B">
        <w:rPr>
          <w:rFonts w:ascii="Times New Roman" w:hAnsi="Times New Roman"/>
          <w:szCs w:val="24"/>
        </w:rPr>
        <w:t xml:space="preserve"> </w:t>
      </w:r>
      <w:r w:rsidR="00FA44DB" w:rsidRPr="00D8173B">
        <w:rPr>
          <w:rFonts w:ascii="Times New Roman" w:hAnsi="Times New Roman"/>
          <w:szCs w:val="24"/>
        </w:rPr>
        <w:t>5 mg/m</w:t>
      </w:r>
      <w:r w:rsidR="00FA44DB">
        <w:rPr>
          <w:rFonts w:ascii="Times New Roman" w:hAnsi="Times New Roman"/>
          <w:szCs w:val="24"/>
        </w:rPr>
        <w:t xml:space="preserve">L </w:t>
      </w:r>
      <w:r w:rsidRPr="00D8173B">
        <w:rPr>
          <w:rFonts w:ascii="Times New Roman" w:hAnsi="Times New Roman"/>
          <w:szCs w:val="24"/>
        </w:rPr>
        <w:t xml:space="preserve">lysozyme </w:t>
      </w:r>
      <w:r w:rsidR="00874FC3">
        <w:rPr>
          <w:rFonts w:ascii="Times New Roman" w:hAnsi="Times New Roman"/>
          <w:szCs w:val="24"/>
        </w:rPr>
        <w:t>in incubation buffer</w:t>
      </w:r>
      <w:r w:rsidRPr="00D8173B">
        <w:rPr>
          <w:rFonts w:ascii="Times New Roman" w:hAnsi="Times New Roman"/>
          <w:szCs w:val="24"/>
        </w:rPr>
        <w:t xml:space="preserve"> without glucose. Each of the conditions had 7 v</w:t>
      </w:r>
      <w:r w:rsidR="00BD65A0">
        <w:rPr>
          <w:rFonts w:ascii="Times New Roman" w:hAnsi="Times New Roman"/>
          <w:szCs w:val="24"/>
        </w:rPr>
        <w:t>ials that were incubated at 37 °</w:t>
      </w:r>
      <w:r w:rsidRPr="00D8173B">
        <w:rPr>
          <w:rFonts w:ascii="Times New Roman" w:hAnsi="Times New Roman"/>
          <w:szCs w:val="24"/>
        </w:rPr>
        <w:t>C. One vial from each condition was collected at day 1, 2, 5, 7, 14, 21 and day 30 to study the structure of lysozyme as glycation increases. The glycation method was adapted from previous literature.</w:t>
      </w:r>
      <w:r w:rsidR="00432ADE">
        <w:rPr>
          <w:rFonts w:ascii="Times New Roman" w:hAnsi="Times New Roman"/>
          <w:szCs w:val="24"/>
        </w:rPr>
        <w:fldChar w:fldCharType="begin" w:fldLock="1"/>
      </w:r>
      <w:r w:rsidR="00432ADE">
        <w:rPr>
          <w:rFonts w:ascii="Times New Roman" w:hAnsi="Times New Roman"/>
          <w:szCs w:val="24"/>
        </w:rPr>
        <w:instrText>ADDIN CSL_CITATION {"citationItems":[{"id":"ITEM-1","itemData":{"DOI":"10.1371/journal.pone.0074336","ISSN":"1932-6203","PMID":"24066139","abstract":"Glycation causes severe damage to protein structure that could lead to amyloid formation in special cases. Here in this report, we have shown for the first time that hen egg white lysozyme (HEWL) does not undergo amyloid formation even after prolonged glycation in the presence of D-glucose, D-fructose and D-ribose. Cross-linked oligomers were formed in all the cases and ribose was found to be the most potent among the three sugars. Ribose mediated oligomers, however, exhibit Thioflavin T binding properties although microscopic images clearly show amorphous and globular morphology of the aggregates. Our study demonstrates that the structural damage of hen egg white lysozyme due to glycation generates unstructured aggregates.","author":[{"dropping-particle":"","family":"Ghosh","given":"Sudeshna","non-dropping-particle":"","parse-names":false,"suffix":""},{"dropping-particle":"","family":"Pandey","given":"Nitin Kumar","non-dropping-particle":"","parse-names":false,"suffix":""},{"dropping-particle":"","family":"Singha Roy","given":"Atanu","non-dropping-particle":"","parse-names":false,"suffix":""},{"dropping-particle":"","family":"Tripathy","given":"Debi Ranjan","non-dropping-particle":"","parse-names":false,"suffix":""},{"dropping-particle":"","family":"Dinda","given":"Amit Kumar","non-dropping-particle":"","parse-names":false,"suffix":""},{"dropping-particle":"","family":"Dasgupta","given":"Swagata","non-dropping-particle":"","parse-names":false,"suffix":""}],"container-title":"PloS one","id":"ITEM-1","issue":"9","issued":{"date-parts":[["2013"]]},"page":"e74336","publisher":"Public Library of Science","title":"Prolonged glycation of hen egg white lysozyme generates non amyloidal structures.","type":"article-journal","volume":"8"},"uris":["http://www.mendeley.com/documents/?uuid=d7c5d6b6-4378-31cd-ae73-a8f5021fab40"]}],"mendeley":{"formattedCitation":"&lt;sup&gt;6&lt;/sup&gt;","plainTextFormattedCitation":"6","previouslyFormattedCitation":"&lt;sup&gt;6&lt;/sup&gt;"},"properties":{"noteIndex":0},"schema":"https://github.com/citation-style-language/schema/raw/master/csl-citation.json"}</w:instrText>
      </w:r>
      <w:r w:rsidR="00432ADE">
        <w:rPr>
          <w:rFonts w:ascii="Times New Roman" w:hAnsi="Times New Roman"/>
          <w:szCs w:val="24"/>
        </w:rPr>
        <w:fldChar w:fldCharType="separate"/>
      </w:r>
      <w:r w:rsidR="00432ADE" w:rsidRPr="00375CAA">
        <w:rPr>
          <w:rFonts w:ascii="Times New Roman" w:hAnsi="Times New Roman"/>
          <w:noProof/>
          <w:szCs w:val="24"/>
          <w:vertAlign w:val="superscript"/>
        </w:rPr>
        <w:t>6</w:t>
      </w:r>
      <w:r w:rsidR="00432ADE">
        <w:rPr>
          <w:rFonts w:ascii="Times New Roman" w:hAnsi="Times New Roman"/>
          <w:szCs w:val="24"/>
        </w:rPr>
        <w:fldChar w:fldCharType="end"/>
      </w:r>
      <w:r w:rsidR="00FB6609">
        <w:rPr>
          <w:rFonts w:ascii="Times New Roman" w:hAnsi="Times New Roman"/>
          <w:szCs w:val="24"/>
        </w:rPr>
        <w:t xml:space="preserve"> The time length of 30 days was chosen</w:t>
      </w:r>
      <w:r w:rsidR="00BD65A0">
        <w:rPr>
          <w:rFonts w:ascii="Times New Roman" w:hAnsi="Times New Roman"/>
          <w:szCs w:val="24"/>
        </w:rPr>
        <w:t xml:space="preserve"> to </w:t>
      </w:r>
      <w:proofErr w:type="spellStart"/>
      <w:r w:rsidR="00BD65A0">
        <w:rPr>
          <w:rFonts w:ascii="Times New Roman" w:hAnsi="Times New Roman"/>
          <w:szCs w:val="24"/>
        </w:rPr>
        <w:t>maximis</w:t>
      </w:r>
      <w:r w:rsidR="00FB6609">
        <w:rPr>
          <w:rFonts w:ascii="Times New Roman" w:hAnsi="Times New Roman"/>
          <w:szCs w:val="24"/>
        </w:rPr>
        <w:t>e</w:t>
      </w:r>
      <w:proofErr w:type="spellEnd"/>
      <w:r w:rsidR="00FB6609">
        <w:rPr>
          <w:rFonts w:ascii="Times New Roman" w:hAnsi="Times New Roman"/>
          <w:szCs w:val="24"/>
        </w:rPr>
        <w:t xml:space="preserve"> the amount of glycation in an </w:t>
      </w:r>
      <w:r w:rsidR="00BD65A0">
        <w:rPr>
          <w:rFonts w:ascii="Times New Roman" w:hAnsi="Times New Roman"/>
          <w:szCs w:val="24"/>
        </w:rPr>
        <w:t>incubation</w:t>
      </w:r>
      <w:r w:rsidR="00FB6609">
        <w:rPr>
          <w:rFonts w:ascii="Times New Roman" w:hAnsi="Times New Roman"/>
          <w:szCs w:val="24"/>
        </w:rPr>
        <w:t xml:space="preserve"> time frame that avoided the u</w:t>
      </w:r>
      <w:r w:rsidR="00BD65A0">
        <w:rPr>
          <w:rFonts w:ascii="Times New Roman" w:hAnsi="Times New Roman"/>
          <w:szCs w:val="24"/>
        </w:rPr>
        <w:t>s</w:t>
      </w:r>
      <w:r w:rsidR="00FB6609">
        <w:rPr>
          <w:rFonts w:ascii="Times New Roman" w:hAnsi="Times New Roman"/>
          <w:szCs w:val="24"/>
        </w:rPr>
        <w:t xml:space="preserve">e of preservatives such as sodium </w:t>
      </w:r>
      <w:proofErr w:type="spellStart"/>
      <w:r w:rsidR="00FB6609">
        <w:rPr>
          <w:rFonts w:ascii="Times New Roman" w:hAnsi="Times New Roman"/>
          <w:szCs w:val="24"/>
        </w:rPr>
        <w:t>azide</w:t>
      </w:r>
      <w:proofErr w:type="spellEnd"/>
      <w:r w:rsidR="00FB6609">
        <w:rPr>
          <w:rFonts w:ascii="Times New Roman" w:hAnsi="Times New Roman"/>
          <w:szCs w:val="24"/>
        </w:rPr>
        <w:t xml:space="preserve"> to prevent bacterial growth. </w:t>
      </w:r>
    </w:p>
    <w:p w14:paraId="7947A1E7" w14:textId="7DA3B2F7" w:rsidR="00AA0068" w:rsidRPr="00AA0068" w:rsidRDefault="00AA0068" w:rsidP="00D8173B">
      <w:pPr>
        <w:spacing w:line="480" w:lineRule="auto"/>
        <w:rPr>
          <w:rFonts w:ascii="Times New Roman" w:hAnsi="Times New Roman"/>
          <w:b/>
          <w:szCs w:val="24"/>
        </w:rPr>
      </w:pPr>
      <w:r w:rsidRPr="00AA0068">
        <w:rPr>
          <w:rFonts w:ascii="Times New Roman" w:hAnsi="Times New Roman"/>
          <w:b/>
          <w:szCs w:val="24"/>
        </w:rPr>
        <w:t>Mass</w:t>
      </w:r>
      <w:r w:rsidR="005F5B55" w:rsidRPr="00AA0068">
        <w:rPr>
          <w:rFonts w:ascii="Times New Roman" w:hAnsi="Times New Roman"/>
          <w:b/>
          <w:szCs w:val="24"/>
        </w:rPr>
        <w:t xml:space="preserve"> spectrometry </w:t>
      </w:r>
      <w:r w:rsidR="005F5B55">
        <w:rPr>
          <w:rFonts w:ascii="Times New Roman" w:hAnsi="Times New Roman"/>
          <w:b/>
          <w:szCs w:val="24"/>
        </w:rPr>
        <w:t>determination</w:t>
      </w:r>
      <w:r w:rsidR="005F5B55" w:rsidRPr="00AA0068">
        <w:rPr>
          <w:rFonts w:ascii="Times New Roman" w:hAnsi="Times New Roman"/>
          <w:b/>
          <w:szCs w:val="24"/>
        </w:rPr>
        <w:t xml:space="preserve"> of glycation </w:t>
      </w:r>
    </w:p>
    <w:p w14:paraId="720ECA89" w14:textId="69B72885" w:rsidR="00376C10" w:rsidRPr="00432ADE" w:rsidRDefault="00D946F2" w:rsidP="00324E0C">
      <w:pPr>
        <w:spacing w:line="480" w:lineRule="auto"/>
        <w:rPr>
          <w:rFonts w:ascii="Times New Roman" w:hAnsi="Times New Roman"/>
          <w:szCs w:val="24"/>
        </w:rPr>
      </w:pPr>
      <w:r w:rsidRPr="00D8173B">
        <w:rPr>
          <w:rFonts w:ascii="Times New Roman" w:hAnsi="Times New Roman"/>
          <w:szCs w:val="24"/>
        </w:rPr>
        <w:t xml:space="preserve">To determine the extent of glycation, </w:t>
      </w:r>
      <w:r w:rsidR="006D73A7">
        <w:rPr>
          <w:rFonts w:ascii="Times New Roman" w:hAnsi="Times New Roman"/>
          <w:szCs w:val="24"/>
        </w:rPr>
        <w:t>MS</w:t>
      </w:r>
      <w:r w:rsidRPr="00D8173B">
        <w:rPr>
          <w:rFonts w:ascii="Times New Roman" w:hAnsi="Times New Roman"/>
          <w:szCs w:val="24"/>
        </w:rPr>
        <w:t xml:space="preserve"> was employed to determine the mass changes in the protein as a function of incubation time. The </w:t>
      </w:r>
      <w:r w:rsidR="006D73A7">
        <w:rPr>
          <w:rFonts w:ascii="Times New Roman" w:hAnsi="Times New Roman"/>
          <w:szCs w:val="24"/>
        </w:rPr>
        <w:t>MS</w:t>
      </w:r>
      <w:r w:rsidRPr="00D8173B">
        <w:rPr>
          <w:rFonts w:ascii="Times New Roman" w:hAnsi="Times New Roman"/>
          <w:szCs w:val="24"/>
        </w:rPr>
        <w:t xml:space="preserve"> analysis was carried out using the parameters stated in the methods</w:t>
      </w:r>
      <w:r w:rsidR="00DE4C88">
        <w:rPr>
          <w:rFonts w:ascii="Times New Roman" w:hAnsi="Times New Roman"/>
          <w:szCs w:val="24"/>
        </w:rPr>
        <w:t xml:space="preserve"> section whilst</w:t>
      </w:r>
      <w:r w:rsidRPr="00D8173B">
        <w:rPr>
          <w:rFonts w:ascii="Times New Roman" w:hAnsi="Times New Roman"/>
          <w:szCs w:val="24"/>
        </w:rPr>
        <w:t xml:space="preserve"> the results are shown in </w:t>
      </w:r>
      <w:r w:rsidR="00FF014D">
        <w:rPr>
          <w:rFonts w:ascii="Times New Roman" w:hAnsi="Times New Roman"/>
          <w:szCs w:val="24"/>
        </w:rPr>
        <w:t>F</w:t>
      </w:r>
      <w:r w:rsidRPr="00D8173B">
        <w:rPr>
          <w:rFonts w:ascii="Times New Roman" w:hAnsi="Times New Roman"/>
          <w:szCs w:val="24"/>
        </w:rPr>
        <w:t xml:space="preserve">igure </w:t>
      </w:r>
      <w:r w:rsidR="00337AB4">
        <w:rPr>
          <w:rFonts w:ascii="Times New Roman" w:hAnsi="Times New Roman"/>
          <w:szCs w:val="24"/>
        </w:rPr>
        <w:t>S1</w:t>
      </w:r>
      <w:r w:rsidRPr="00D8173B">
        <w:rPr>
          <w:rFonts w:ascii="Times New Roman" w:hAnsi="Times New Roman"/>
          <w:szCs w:val="24"/>
        </w:rPr>
        <w:t>.</w:t>
      </w:r>
      <w:r w:rsidR="00432ADE">
        <w:rPr>
          <w:rFonts w:ascii="Times New Roman" w:hAnsi="Times New Roman"/>
          <w:szCs w:val="24"/>
        </w:rPr>
        <w:t xml:space="preserve"> </w:t>
      </w:r>
      <w:r w:rsidR="00314B75" w:rsidRPr="00324E0C">
        <w:rPr>
          <w:rFonts w:ascii="Times New Roman" w:hAnsi="Times New Roman"/>
          <w:szCs w:val="19"/>
        </w:rPr>
        <w:t xml:space="preserve">Table 1 </w:t>
      </w:r>
      <w:r w:rsidR="00324E0C">
        <w:rPr>
          <w:rFonts w:ascii="Times New Roman" w:hAnsi="Times New Roman"/>
          <w:szCs w:val="19"/>
        </w:rPr>
        <w:t>summarises</w:t>
      </w:r>
      <w:r w:rsidR="00314B75" w:rsidRPr="00324E0C">
        <w:rPr>
          <w:rFonts w:ascii="Times New Roman" w:hAnsi="Times New Roman"/>
          <w:szCs w:val="19"/>
        </w:rPr>
        <w:t xml:space="preserve"> </w:t>
      </w:r>
      <w:r w:rsidR="00BD65A0" w:rsidRPr="00324E0C">
        <w:rPr>
          <w:rFonts w:ascii="Times New Roman" w:hAnsi="Times New Roman"/>
          <w:szCs w:val="19"/>
        </w:rPr>
        <w:t xml:space="preserve">the </w:t>
      </w:r>
      <w:r w:rsidR="00A16DC1" w:rsidRPr="00324E0C">
        <w:rPr>
          <w:rFonts w:ascii="Times New Roman" w:hAnsi="Times New Roman"/>
          <w:szCs w:val="19"/>
        </w:rPr>
        <w:t>results</w:t>
      </w:r>
      <w:r w:rsidR="00324E0C" w:rsidRPr="00324E0C">
        <w:rPr>
          <w:rFonts w:ascii="Times New Roman" w:hAnsi="Times New Roman"/>
          <w:szCs w:val="19"/>
        </w:rPr>
        <w:t xml:space="preserve"> of </w:t>
      </w:r>
      <w:r w:rsidR="00324E0C">
        <w:rPr>
          <w:rFonts w:ascii="Times New Roman" w:hAnsi="Times New Roman"/>
          <w:szCs w:val="19"/>
        </w:rPr>
        <w:t>the</w:t>
      </w:r>
      <w:r w:rsidR="00324E0C" w:rsidRPr="00324E0C">
        <w:rPr>
          <w:rFonts w:ascii="Times New Roman" w:hAnsi="Times New Roman"/>
          <w:szCs w:val="19"/>
        </w:rPr>
        <w:t xml:space="preserve"> glucose</w:t>
      </w:r>
      <w:r w:rsidR="00324E0C">
        <w:rPr>
          <w:rFonts w:ascii="Times New Roman" w:hAnsi="Times New Roman"/>
          <w:szCs w:val="19"/>
        </w:rPr>
        <w:t xml:space="preserve"> incubation and </w:t>
      </w:r>
      <w:r w:rsidR="00BD65A0">
        <w:rPr>
          <w:rFonts w:ascii="Times New Roman" w:hAnsi="Times New Roman"/>
          <w:szCs w:val="19"/>
        </w:rPr>
        <w:t>monitors</w:t>
      </w:r>
      <w:r w:rsidR="00324E0C">
        <w:rPr>
          <w:rFonts w:ascii="Times New Roman" w:hAnsi="Times New Roman"/>
          <w:szCs w:val="19"/>
        </w:rPr>
        <w:t xml:space="preserve"> </w:t>
      </w:r>
      <w:commentRangeStart w:id="6"/>
      <w:r w:rsidR="00324E0C">
        <w:rPr>
          <w:rFonts w:ascii="Times New Roman" w:hAnsi="Times New Roman"/>
          <w:szCs w:val="19"/>
        </w:rPr>
        <w:t xml:space="preserve">the </w:t>
      </w:r>
      <w:commentRangeEnd w:id="6"/>
      <w:r w:rsidR="00C96762">
        <w:rPr>
          <w:rStyle w:val="CommentReference"/>
        </w:rPr>
        <w:commentReference w:id="6"/>
      </w:r>
      <w:r w:rsidR="00BD65A0">
        <w:rPr>
          <w:rFonts w:ascii="Times New Roman" w:hAnsi="Times New Roman"/>
          <w:szCs w:val="19"/>
        </w:rPr>
        <w:t xml:space="preserve">covalent binding to </w:t>
      </w:r>
      <w:r w:rsidR="00BD65A0" w:rsidRPr="00324E0C">
        <w:rPr>
          <w:rFonts w:ascii="Times New Roman" w:hAnsi="Times New Roman"/>
          <w:szCs w:val="19"/>
        </w:rPr>
        <w:t>lysozyme</w:t>
      </w:r>
      <w:r w:rsidR="00324E0C" w:rsidRPr="00324E0C">
        <w:rPr>
          <w:rFonts w:ascii="Times New Roman" w:hAnsi="Times New Roman"/>
          <w:szCs w:val="19"/>
        </w:rPr>
        <w:t xml:space="preserve"> with incubation time. </w:t>
      </w:r>
      <w:r w:rsidR="00324E0C">
        <w:rPr>
          <w:rFonts w:ascii="Times New Roman" w:hAnsi="Times New Roman"/>
          <w:szCs w:val="19"/>
        </w:rPr>
        <w:t xml:space="preserve">In order </w:t>
      </w:r>
      <w:r w:rsidR="00A16DC1">
        <w:rPr>
          <w:rFonts w:ascii="Times New Roman" w:hAnsi="Times New Roman"/>
          <w:szCs w:val="19"/>
        </w:rPr>
        <w:t>to check that glucose was coval</w:t>
      </w:r>
      <w:r w:rsidR="00324E0C">
        <w:rPr>
          <w:rFonts w:ascii="Times New Roman" w:hAnsi="Times New Roman"/>
          <w:szCs w:val="19"/>
        </w:rPr>
        <w:t>e</w:t>
      </w:r>
      <w:r w:rsidR="00A16DC1">
        <w:rPr>
          <w:rFonts w:ascii="Times New Roman" w:hAnsi="Times New Roman"/>
          <w:szCs w:val="19"/>
        </w:rPr>
        <w:t>n</w:t>
      </w:r>
      <w:r w:rsidR="00324E0C">
        <w:rPr>
          <w:rFonts w:ascii="Times New Roman" w:hAnsi="Times New Roman"/>
          <w:szCs w:val="19"/>
        </w:rPr>
        <w:t>t</w:t>
      </w:r>
      <w:r w:rsidR="00A16DC1">
        <w:rPr>
          <w:rFonts w:ascii="Times New Roman" w:hAnsi="Times New Roman"/>
          <w:szCs w:val="19"/>
        </w:rPr>
        <w:t>l</w:t>
      </w:r>
      <w:r w:rsidR="00324E0C">
        <w:rPr>
          <w:rFonts w:ascii="Times New Roman" w:hAnsi="Times New Roman"/>
          <w:szCs w:val="19"/>
        </w:rPr>
        <w:t>y bou</w:t>
      </w:r>
      <w:r w:rsidR="00BD65A0">
        <w:rPr>
          <w:rFonts w:ascii="Times New Roman" w:hAnsi="Times New Roman"/>
          <w:szCs w:val="19"/>
        </w:rPr>
        <w:t>nd</w:t>
      </w:r>
      <w:r w:rsidR="001A0555">
        <w:rPr>
          <w:rFonts w:ascii="Times New Roman" w:hAnsi="Times New Roman"/>
          <w:szCs w:val="19"/>
        </w:rPr>
        <w:t>,</w:t>
      </w:r>
      <w:r w:rsidR="00BD65A0">
        <w:rPr>
          <w:rFonts w:ascii="Times New Roman" w:hAnsi="Times New Roman"/>
          <w:szCs w:val="19"/>
        </w:rPr>
        <w:t xml:space="preserve"> the mass spectrometry analysis</w:t>
      </w:r>
      <w:r w:rsidR="00324E0C">
        <w:rPr>
          <w:rFonts w:ascii="Times New Roman" w:hAnsi="Times New Roman"/>
          <w:szCs w:val="19"/>
        </w:rPr>
        <w:t xml:space="preserve"> was carr</w:t>
      </w:r>
      <w:r w:rsidR="00A16DC1">
        <w:rPr>
          <w:rFonts w:ascii="Times New Roman" w:hAnsi="Times New Roman"/>
          <w:szCs w:val="19"/>
        </w:rPr>
        <w:t>ied</w:t>
      </w:r>
      <w:r w:rsidR="00DE4C88">
        <w:rPr>
          <w:rFonts w:ascii="Times New Roman" w:hAnsi="Times New Roman"/>
          <w:szCs w:val="19"/>
        </w:rPr>
        <w:t xml:space="preserve"> out</w:t>
      </w:r>
      <w:r w:rsidR="00A16DC1">
        <w:rPr>
          <w:rFonts w:ascii="Times New Roman" w:hAnsi="Times New Roman"/>
          <w:szCs w:val="19"/>
        </w:rPr>
        <w:t xml:space="preserve"> at two different </w:t>
      </w:r>
      <w:r w:rsidR="009A0B21">
        <w:rPr>
          <w:rFonts w:ascii="Times New Roman" w:hAnsi="Times New Roman"/>
          <w:szCs w:val="19"/>
        </w:rPr>
        <w:t xml:space="preserve">collisional </w:t>
      </w:r>
      <w:r w:rsidR="00A16DC1">
        <w:rPr>
          <w:rFonts w:ascii="Times New Roman" w:hAnsi="Times New Roman"/>
          <w:szCs w:val="19"/>
        </w:rPr>
        <w:t xml:space="preserve">energies </w:t>
      </w:r>
      <w:r w:rsidR="00324E0C">
        <w:rPr>
          <w:rFonts w:ascii="Times New Roman" w:hAnsi="Times New Roman"/>
          <w:szCs w:val="19"/>
        </w:rPr>
        <w:t>of 4 V and 20 V</w:t>
      </w:r>
      <w:r w:rsidR="00586BCC">
        <w:rPr>
          <w:rFonts w:ascii="Times New Roman" w:hAnsi="Times New Roman"/>
          <w:szCs w:val="19"/>
        </w:rPr>
        <w:t xml:space="preserve"> with the assumption that at 20 V only covalently bound glucose should be seen and any that is non-covalently associating to the protein would be removed</w:t>
      </w:r>
      <w:r w:rsidR="00056022">
        <w:rPr>
          <w:rFonts w:ascii="Times New Roman" w:hAnsi="Times New Roman"/>
          <w:szCs w:val="19"/>
        </w:rPr>
        <w:t xml:space="preserve">. At both </w:t>
      </w:r>
      <w:r w:rsidR="009A0B21">
        <w:rPr>
          <w:rFonts w:ascii="Times New Roman" w:hAnsi="Times New Roman"/>
          <w:szCs w:val="19"/>
        </w:rPr>
        <w:t>voltages</w:t>
      </w:r>
      <w:r w:rsidR="00FA44DB">
        <w:rPr>
          <w:rFonts w:ascii="Times New Roman" w:hAnsi="Times New Roman"/>
          <w:szCs w:val="19"/>
        </w:rPr>
        <w:t>,</w:t>
      </w:r>
      <w:r w:rsidR="00056022">
        <w:rPr>
          <w:rFonts w:ascii="Times New Roman" w:hAnsi="Times New Roman"/>
          <w:szCs w:val="19"/>
        </w:rPr>
        <w:t xml:space="preserve"> the population</w:t>
      </w:r>
      <w:r w:rsidR="00FA44DB">
        <w:rPr>
          <w:rFonts w:ascii="Times New Roman" w:hAnsi="Times New Roman"/>
          <w:szCs w:val="19"/>
        </w:rPr>
        <w:t>s</w:t>
      </w:r>
      <w:r w:rsidR="00056022">
        <w:rPr>
          <w:rFonts w:ascii="Times New Roman" w:hAnsi="Times New Roman"/>
          <w:szCs w:val="19"/>
        </w:rPr>
        <w:t xml:space="preserve"> </w:t>
      </w:r>
      <w:r w:rsidR="00DE4C88">
        <w:rPr>
          <w:rFonts w:ascii="Times New Roman" w:hAnsi="Times New Roman"/>
          <w:szCs w:val="19"/>
        </w:rPr>
        <w:t>(</w:t>
      </w:r>
      <w:r w:rsidR="00056022">
        <w:rPr>
          <w:rFonts w:ascii="Times New Roman" w:hAnsi="Times New Roman"/>
          <w:szCs w:val="19"/>
        </w:rPr>
        <w:t>%</w:t>
      </w:r>
      <w:r w:rsidR="00DE4C88">
        <w:rPr>
          <w:rFonts w:ascii="Times New Roman" w:hAnsi="Times New Roman"/>
          <w:szCs w:val="19"/>
        </w:rPr>
        <w:t>)</w:t>
      </w:r>
      <w:r w:rsidR="00056022">
        <w:rPr>
          <w:rFonts w:ascii="Times New Roman" w:hAnsi="Times New Roman"/>
          <w:szCs w:val="19"/>
        </w:rPr>
        <w:t xml:space="preserve"> of glycat</w:t>
      </w:r>
      <w:r w:rsidR="00E10354">
        <w:rPr>
          <w:rFonts w:ascii="Times New Roman" w:hAnsi="Times New Roman"/>
          <w:szCs w:val="19"/>
        </w:rPr>
        <w:t>ed species</w:t>
      </w:r>
      <w:r w:rsidR="00056022">
        <w:rPr>
          <w:rFonts w:ascii="Times New Roman" w:hAnsi="Times New Roman"/>
          <w:szCs w:val="19"/>
        </w:rPr>
        <w:t xml:space="preserve"> were similar</w:t>
      </w:r>
      <w:r w:rsidR="00E10354">
        <w:rPr>
          <w:rFonts w:ascii="Times New Roman" w:hAnsi="Times New Roman"/>
          <w:szCs w:val="19"/>
        </w:rPr>
        <w:t>,</w:t>
      </w:r>
      <w:r w:rsidR="00B60DE3">
        <w:rPr>
          <w:rFonts w:ascii="Times New Roman" w:hAnsi="Times New Roman"/>
          <w:szCs w:val="19"/>
        </w:rPr>
        <w:t xml:space="preserve"> as</w:t>
      </w:r>
      <w:r w:rsidR="00056022">
        <w:rPr>
          <w:rFonts w:ascii="Times New Roman" w:hAnsi="Times New Roman"/>
          <w:szCs w:val="19"/>
        </w:rPr>
        <w:t xml:space="preserve"> shown from the SE in </w:t>
      </w:r>
      <w:r w:rsidR="00FF014D">
        <w:rPr>
          <w:rFonts w:ascii="Times New Roman" w:hAnsi="Times New Roman"/>
          <w:szCs w:val="19"/>
        </w:rPr>
        <w:t xml:space="preserve">Table </w:t>
      </w:r>
      <w:r w:rsidR="00056022">
        <w:rPr>
          <w:rFonts w:ascii="Times New Roman" w:hAnsi="Times New Roman"/>
          <w:szCs w:val="19"/>
        </w:rPr>
        <w:t>1</w:t>
      </w:r>
      <w:r w:rsidR="00FA44DB">
        <w:rPr>
          <w:rFonts w:ascii="Times New Roman" w:hAnsi="Times New Roman"/>
          <w:szCs w:val="19"/>
        </w:rPr>
        <w:t>, showing that no glucose was bound non-covalently.</w:t>
      </w:r>
      <w:r w:rsidR="00324E0C">
        <w:rPr>
          <w:rFonts w:ascii="Times New Roman" w:hAnsi="Times New Roman"/>
          <w:szCs w:val="19"/>
        </w:rPr>
        <w:t xml:space="preserve"> The t</w:t>
      </w:r>
      <w:r w:rsidR="0020217B">
        <w:rPr>
          <w:rFonts w:ascii="Times New Roman" w:hAnsi="Times New Roman"/>
          <w:szCs w:val="19"/>
        </w:rPr>
        <w:t>a</w:t>
      </w:r>
      <w:r w:rsidR="00324E0C">
        <w:rPr>
          <w:rFonts w:ascii="Times New Roman" w:hAnsi="Times New Roman"/>
          <w:szCs w:val="19"/>
        </w:rPr>
        <w:t>ble summari</w:t>
      </w:r>
      <w:r w:rsidR="00D46B69">
        <w:rPr>
          <w:rFonts w:ascii="Times New Roman" w:hAnsi="Times New Roman"/>
          <w:szCs w:val="19"/>
        </w:rPr>
        <w:t>ses the integrated mass peaks averaged over</w:t>
      </w:r>
      <w:r w:rsidR="00324E0C">
        <w:rPr>
          <w:rFonts w:ascii="Times New Roman" w:hAnsi="Times New Roman"/>
          <w:szCs w:val="19"/>
        </w:rPr>
        <w:t xml:space="preserve"> 20</w:t>
      </w:r>
      <w:r w:rsidR="00F83FD2">
        <w:rPr>
          <w:rFonts w:ascii="Times New Roman" w:hAnsi="Times New Roman"/>
          <w:szCs w:val="19"/>
        </w:rPr>
        <w:t xml:space="preserve"> </w:t>
      </w:r>
      <w:r w:rsidR="00324E0C">
        <w:rPr>
          <w:rFonts w:ascii="Times New Roman" w:hAnsi="Times New Roman"/>
          <w:szCs w:val="19"/>
        </w:rPr>
        <w:t>V</w:t>
      </w:r>
      <w:r w:rsidR="001D09E9">
        <w:rPr>
          <w:rFonts w:ascii="Times New Roman" w:hAnsi="Times New Roman"/>
          <w:szCs w:val="19"/>
        </w:rPr>
        <w:t xml:space="preserve"> and 4</w:t>
      </w:r>
      <w:r w:rsidR="00F83FD2">
        <w:rPr>
          <w:rFonts w:ascii="Times New Roman" w:hAnsi="Times New Roman"/>
          <w:szCs w:val="19"/>
        </w:rPr>
        <w:t xml:space="preserve"> </w:t>
      </w:r>
      <w:r w:rsidR="001D09E9">
        <w:rPr>
          <w:rFonts w:ascii="Times New Roman" w:hAnsi="Times New Roman"/>
          <w:szCs w:val="19"/>
        </w:rPr>
        <w:t>V</w:t>
      </w:r>
      <w:r w:rsidR="00D46B69">
        <w:rPr>
          <w:rFonts w:ascii="Times New Roman" w:hAnsi="Times New Roman"/>
          <w:szCs w:val="19"/>
        </w:rPr>
        <w:t>,</w:t>
      </w:r>
      <w:r w:rsidR="00324E0C">
        <w:rPr>
          <w:rFonts w:ascii="Times New Roman" w:hAnsi="Times New Roman"/>
          <w:szCs w:val="19"/>
        </w:rPr>
        <w:t xml:space="preserve"> </w:t>
      </w:r>
      <w:r w:rsidR="001D09E9">
        <w:rPr>
          <w:rFonts w:ascii="Times New Roman" w:hAnsi="Times New Roman"/>
          <w:szCs w:val="19"/>
        </w:rPr>
        <w:t xml:space="preserve">using </w:t>
      </w:r>
      <w:r w:rsidR="00324E0C">
        <w:rPr>
          <w:rFonts w:ascii="Times New Roman" w:hAnsi="Times New Roman"/>
          <w:szCs w:val="19"/>
        </w:rPr>
        <w:t>the 8</w:t>
      </w:r>
      <w:r w:rsidR="00324E0C" w:rsidRPr="00B20249">
        <w:rPr>
          <w:rFonts w:ascii="Times New Roman" w:hAnsi="Times New Roman"/>
          <w:szCs w:val="19"/>
          <w:vertAlign w:val="superscript"/>
        </w:rPr>
        <w:t>+</w:t>
      </w:r>
      <w:r w:rsidR="00324E0C">
        <w:rPr>
          <w:rFonts w:ascii="Times New Roman" w:hAnsi="Times New Roman"/>
          <w:szCs w:val="19"/>
        </w:rPr>
        <w:t xml:space="preserve"> and </w:t>
      </w:r>
      <w:r w:rsidR="001D09E9">
        <w:rPr>
          <w:rFonts w:ascii="Times New Roman" w:hAnsi="Times New Roman"/>
          <w:szCs w:val="19"/>
        </w:rPr>
        <w:t>7</w:t>
      </w:r>
      <w:r w:rsidR="001D09E9" w:rsidRPr="00B20249">
        <w:rPr>
          <w:rFonts w:ascii="Times New Roman" w:hAnsi="Times New Roman"/>
          <w:szCs w:val="19"/>
          <w:vertAlign w:val="superscript"/>
        </w:rPr>
        <w:t>+</w:t>
      </w:r>
      <w:r w:rsidR="001D09E9">
        <w:rPr>
          <w:rFonts w:ascii="Times New Roman" w:hAnsi="Times New Roman"/>
          <w:szCs w:val="19"/>
        </w:rPr>
        <w:t xml:space="preserve"> </w:t>
      </w:r>
      <w:r w:rsidR="00324E0C">
        <w:rPr>
          <w:rFonts w:ascii="Times New Roman" w:hAnsi="Times New Roman"/>
          <w:szCs w:val="19"/>
        </w:rPr>
        <w:t>charge states</w:t>
      </w:r>
      <w:r w:rsidR="00D46B69">
        <w:rPr>
          <w:rFonts w:ascii="Times New Roman" w:hAnsi="Times New Roman"/>
          <w:szCs w:val="19"/>
        </w:rPr>
        <w:t xml:space="preserve"> for both</w:t>
      </w:r>
      <w:r w:rsidR="005051BB">
        <w:rPr>
          <w:rFonts w:ascii="Times New Roman" w:hAnsi="Times New Roman"/>
          <w:szCs w:val="19"/>
        </w:rPr>
        <w:t xml:space="preserve"> voltages</w:t>
      </w:r>
      <w:r w:rsidR="00324E0C">
        <w:rPr>
          <w:rFonts w:ascii="Times New Roman" w:hAnsi="Times New Roman"/>
          <w:szCs w:val="19"/>
        </w:rPr>
        <w:t xml:space="preserve">. The full </w:t>
      </w:r>
      <w:r w:rsidR="0020217B">
        <w:rPr>
          <w:rFonts w:ascii="Times New Roman" w:hAnsi="Times New Roman"/>
          <w:szCs w:val="19"/>
        </w:rPr>
        <w:t>quantitat</w:t>
      </w:r>
      <w:r w:rsidR="001A0555">
        <w:rPr>
          <w:rFonts w:ascii="Times New Roman" w:hAnsi="Times New Roman"/>
          <w:szCs w:val="19"/>
        </w:rPr>
        <w:t>iv</w:t>
      </w:r>
      <w:r w:rsidR="0020217B">
        <w:rPr>
          <w:rFonts w:ascii="Times New Roman" w:hAnsi="Times New Roman"/>
          <w:szCs w:val="19"/>
        </w:rPr>
        <w:t>e</w:t>
      </w:r>
      <w:r w:rsidR="00324E0C">
        <w:rPr>
          <w:rFonts w:ascii="Times New Roman" w:hAnsi="Times New Roman"/>
          <w:szCs w:val="19"/>
        </w:rPr>
        <w:t xml:space="preserve"> </w:t>
      </w:r>
      <w:r w:rsidR="0020217B">
        <w:rPr>
          <w:rFonts w:ascii="Times New Roman" w:hAnsi="Times New Roman"/>
          <w:szCs w:val="19"/>
        </w:rPr>
        <w:t>analysis</w:t>
      </w:r>
      <w:r w:rsidR="00324E0C">
        <w:rPr>
          <w:rFonts w:ascii="Times New Roman" w:hAnsi="Times New Roman"/>
          <w:szCs w:val="19"/>
        </w:rPr>
        <w:t xml:space="preserve"> is </w:t>
      </w:r>
      <w:r w:rsidR="0020217B">
        <w:rPr>
          <w:rFonts w:ascii="Times New Roman" w:hAnsi="Times New Roman"/>
          <w:szCs w:val="19"/>
        </w:rPr>
        <w:t>described</w:t>
      </w:r>
      <w:r w:rsidR="00324E0C">
        <w:rPr>
          <w:rFonts w:ascii="Times New Roman" w:hAnsi="Times New Roman"/>
          <w:szCs w:val="19"/>
        </w:rPr>
        <w:t xml:space="preserve"> in</w:t>
      </w:r>
      <w:r w:rsidR="00E10354">
        <w:rPr>
          <w:rFonts w:ascii="Times New Roman" w:hAnsi="Times New Roman"/>
          <w:szCs w:val="19"/>
        </w:rPr>
        <w:t xml:space="preserve"> the</w:t>
      </w:r>
      <w:r w:rsidR="00324E0C">
        <w:rPr>
          <w:rFonts w:ascii="Times New Roman" w:hAnsi="Times New Roman"/>
          <w:szCs w:val="19"/>
        </w:rPr>
        <w:t xml:space="preserve"> </w:t>
      </w:r>
      <w:r w:rsidR="0020217B">
        <w:rPr>
          <w:rFonts w:ascii="Times New Roman" w:hAnsi="Times New Roman"/>
          <w:szCs w:val="19"/>
        </w:rPr>
        <w:t>supporting</w:t>
      </w:r>
      <w:r w:rsidR="00324E0C">
        <w:rPr>
          <w:rFonts w:ascii="Times New Roman" w:hAnsi="Times New Roman"/>
          <w:szCs w:val="19"/>
        </w:rPr>
        <w:t xml:space="preserve"> </w:t>
      </w:r>
      <w:r w:rsidR="0020217B">
        <w:rPr>
          <w:rFonts w:ascii="Times New Roman" w:hAnsi="Times New Roman"/>
          <w:szCs w:val="19"/>
        </w:rPr>
        <w:t>information</w:t>
      </w:r>
      <w:r w:rsidR="001928B1" w:rsidRPr="001928B1">
        <w:t xml:space="preserve"> </w:t>
      </w:r>
      <w:r w:rsidR="001928B1">
        <w:t>(</w:t>
      </w:r>
      <w:r w:rsidR="001928B1" w:rsidRPr="001928B1">
        <w:rPr>
          <w:rFonts w:ascii="Times New Roman" w:hAnsi="Times New Roman"/>
          <w:szCs w:val="19"/>
        </w:rPr>
        <w:t>Time Course Mass Spectrometry</w:t>
      </w:r>
      <w:r w:rsidR="001928B1">
        <w:rPr>
          <w:rFonts w:ascii="Times New Roman" w:hAnsi="Times New Roman"/>
          <w:szCs w:val="19"/>
        </w:rPr>
        <w:t>)</w:t>
      </w:r>
      <w:r w:rsidR="0020217B">
        <w:rPr>
          <w:rFonts w:ascii="Times New Roman" w:hAnsi="Times New Roman"/>
          <w:szCs w:val="19"/>
        </w:rPr>
        <w:t xml:space="preserve">. </w:t>
      </w:r>
      <w:r w:rsidR="001A0555">
        <w:rPr>
          <w:rFonts w:ascii="Times New Roman" w:hAnsi="Times New Roman"/>
          <w:szCs w:val="19"/>
        </w:rPr>
        <w:t>The protein is</w:t>
      </w:r>
      <w:r w:rsidR="0020217B">
        <w:rPr>
          <w:rFonts w:ascii="Times New Roman" w:hAnsi="Times New Roman"/>
          <w:szCs w:val="19"/>
        </w:rPr>
        <w:t xml:space="preserve"> 100% non-glycated</w:t>
      </w:r>
      <w:r w:rsidR="001A0555">
        <w:rPr>
          <w:rFonts w:ascii="Times New Roman" w:hAnsi="Times New Roman"/>
          <w:szCs w:val="19"/>
        </w:rPr>
        <w:t xml:space="preserve"> at day 0</w:t>
      </w:r>
      <w:r w:rsidR="0020217B">
        <w:rPr>
          <w:rFonts w:ascii="Times New Roman" w:hAnsi="Times New Roman"/>
          <w:szCs w:val="19"/>
        </w:rPr>
        <w:t>.</w:t>
      </w:r>
      <w:r w:rsidR="0020217B" w:rsidRPr="00324E0C">
        <w:rPr>
          <w:rFonts w:ascii="Times New Roman" w:hAnsi="Times New Roman"/>
          <w:szCs w:val="19"/>
        </w:rPr>
        <w:t xml:space="preserve"> </w:t>
      </w:r>
      <w:r w:rsidR="001A0555">
        <w:rPr>
          <w:rFonts w:ascii="Times New Roman" w:hAnsi="Times New Roman"/>
          <w:szCs w:val="19"/>
        </w:rPr>
        <w:t>L</w:t>
      </w:r>
      <w:r w:rsidR="00314B75" w:rsidRPr="00324E0C">
        <w:rPr>
          <w:rFonts w:ascii="Times New Roman" w:hAnsi="Times New Roman"/>
          <w:szCs w:val="19"/>
        </w:rPr>
        <w:t xml:space="preserve">ysozyme becomes increasingly glycated the longer it is incubated with glucose and thus the glycated </w:t>
      </w:r>
      <w:r w:rsidR="00E10354">
        <w:rPr>
          <w:rFonts w:ascii="Times New Roman" w:hAnsi="Times New Roman"/>
          <w:szCs w:val="19"/>
        </w:rPr>
        <w:t>population</w:t>
      </w:r>
      <w:r w:rsidR="00E10354" w:rsidRPr="00324E0C">
        <w:rPr>
          <w:rFonts w:ascii="Times New Roman" w:hAnsi="Times New Roman"/>
          <w:szCs w:val="19"/>
        </w:rPr>
        <w:t xml:space="preserve"> </w:t>
      </w:r>
      <w:r w:rsidR="00314B75" w:rsidRPr="00324E0C">
        <w:rPr>
          <w:rFonts w:ascii="Times New Roman" w:hAnsi="Times New Roman"/>
          <w:szCs w:val="19"/>
        </w:rPr>
        <w:t>increases with time.</w:t>
      </w:r>
      <w:r w:rsidR="0020217B">
        <w:rPr>
          <w:rFonts w:ascii="Times New Roman" w:hAnsi="Times New Roman"/>
          <w:szCs w:val="19"/>
        </w:rPr>
        <w:t xml:space="preserve"> </w:t>
      </w:r>
      <w:r w:rsidR="00FF014D">
        <w:rPr>
          <w:rFonts w:ascii="Times New Roman" w:hAnsi="Times New Roman"/>
          <w:szCs w:val="19"/>
        </w:rPr>
        <w:t>After</w:t>
      </w:r>
      <w:r w:rsidR="00FF014D" w:rsidRPr="00324E0C">
        <w:rPr>
          <w:rFonts w:ascii="Times New Roman" w:hAnsi="Times New Roman"/>
          <w:szCs w:val="19"/>
        </w:rPr>
        <w:t xml:space="preserve"> </w:t>
      </w:r>
      <w:r w:rsidR="00314B75" w:rsidRPr="00324E0C">
        <w:rPr>
          <w:rFonts w:ascii="Times New Roman" w:hAnsi="Times New Roman"/>
          <w:szCs w:val="19"/>
        </w:rPr>
        <w:t>30 days the most popul</w:t>
      </w:r>
      <w:r w:rsidR="0020217B">
        <w:rPr>
          <w:rFonts w:ascii="Times New Roman" w:hAnsi="Times New Roman"/>
          <w:szCs w:val="19"/>
        </w:rPr>
        <w:t xml:space="preserve">ated state of lysozyme </w:t>
      </w:r>
      <w:r w:rsidR="00E10354">
        <w:rPr>
          <w:rFonts w:ascii="Times New Roman" w:hAnsi="Times New Roman"/>
          <w:szCs w:val="19"/>
        </w:rPr>
        <w:t xml:space="preserve">is that </w:t>
      </w:r>
      <w:r w:rsidR="0020217B">
        <w:rPr>
          <w:rFonts w:ascii="Times New Roman" w:hAnsi="Times New Roman"/>
          <w:szCs w:val="19"/>
        </w:rPr>
        <w:t xml:space="preserve">with </w:t>
      </w:r>
      <w:r w:rsidR="00E10354">
        <w:rPr>
          <w:rFonts w:ascii="Times New Roman" w:hAnsi="Times New Roman"/>
          <w:szCs w:val="19"/>
        </w:rPr>
        <w:t>1</w:t>
      </w:r>
      <w:r w:rsidR="003D608F">
        <w:rPr>
          <w:rFonts w:ascii="Times New Roman" w:hAnsi="Times New Roman"/>
          <w:szCs w:val="19"/>
        </w:rPr>
        <w:t xml:space="preserve"> </w:t>
      </w:r>
      <w:r w:rsidR="001A0555">
        <w:rPr>
          <w:rFonts w:ascii="Times New Roman" w:hAnsi="Times New Roman"/>
          <w:szCs w:val="19"/>
        </w:rPr>
        <w:t xml:space="preserve">or </w:t>
      </w:r>
      <w:r w:rsidR="00E10354">
        <w:rPr>
          <w:rFonts w:ascii="Times New Roman" w:hAnsi="Times New Roman"/>
          <w:szCs w:val="19"/>
        </w:rPr>
        <w:t>2</w:t>
      </w:r>
      <w:r w:rsidR="0020217B">
        <w:rPr>
          <w:rFonts w:ascii="Times New Roman" w:hAnsi="Times New Roman"/>
          <w:szCs w:val="19"/>
        </w:rPr>
        <w:t xml:space="preserve"> bound glucose</w:t>
      </w:r>
      <w:r w:rsidR="00E10354">
        <w:rPr>
          <w:rFonts w:ascii="Times New Roman" w:hAnsi="Times New Roman"/>
          <w:szCs w:val="19"/>
        </w:rPr>
        <w:t xml:space="preserve"> molecules</w:t>
      </w:r>
      <w:r w:rsidR="0020217B">
        <w:rPr>
          <w:rFonts w:ascii="Times New Roman" w:hAnsi="Times New Roman"/>
          <w:szCs w:val="19"/>
        </w:rPr>
        <w:t xml:space="preserve">. </w:t>
      </w:r>
      <w:r w:rsidR="00FF014D">
        <w:rPr>
          <w:rFonts w:ascii="Times New Roman" w:hAnsi="Times New Roman"/>
          <w:szCs w:val="19"/>
        </w:rPr>
        <w:t xml:space="preserve">In this analysis, </w:t>
      </w:r>
      <w:r w:rsidR="00FF014D">
        <w:rPr>
          <w:rFonts w:ascii="Times New Roman" w:hAnsi="Times New Roman"/>
          <w:szCs w:val="19"/>
        </w:rPr>
        <w:lastRenderedPageBreak/>
        <w:t>as far as we can tell, w</w:t>
      </w:r>
      <w:r w:rsidR="001A0555">
        <w:rPr>
          <w:rFonts w:ascii="Times New Roman" w:hAnsi="Times New Roman"/>
          <w:szCs w:val="19"/>
        </w:rPr>
        <w:t xml:space="preserve">e never saw more than 4 Lys glycated or any significant change </w:t>
      </w:r>
      <w:r w:rsidR="00FF014D">
        <w:rPr>
          <w:rFonts w:ascii="Times New Roman" w:hAnsi="Times New Roman"/>
          <w:szCs w:val="19"/>
        </w:rPr>
        <w:t xml:space="preserve">in protein glycation status </w:t>
      </w:r>
      <w:r w:rsidR="001A0555">
        <w:rPr>
          <w:rFonts w:ascii="Times New Roman" w:hAnsi="Times New Roman"/>
          <w:szCs w:val="19"/>
        </w:rPr>
        <w:t>after 21 days, suggesting</w:t>
      </w:r>
      <w:r w:rsidR="002029A6">
        <w:rPr>
          <w:rFonts w:ascii="Times New Roman" w:hAnsi="Times New Roman"/>
          <w:szCs w:val="19"/>
        </w:rPr>
        <w:t xml:space="preserve"> that </w:t>
      </w:r>
      <w:r w:rsidR="001A0555">
        <w:rPr>
          <w:rFonts w:ascii="Times New Roman" w:hAnsi="Times New Roman"/>
          <w:szCs w:val="19"/>
        </w:rPr>
        <w:t xml:space="preserve">3 </w:t>
      </w:r>
      <w:r w:rsidR="00FF014D">
        <w:rPr>
          <w:rFonts w:ascii="Times New Roman" w:hAnsi="Times New Roman"/>
          <w:szCs w:val="19"/>
        </w:rPr>
        <w:t xml:space="preserve">of the </w:t>
      </w:r>
      <w:r w:rsidR="00432ADE">
        <w:rPr>
          <w:rFonts w:ascii="Times New Roman" w:hAnsi="Times New Roman"/>
          <w:szCs w:val="19"/>
        </w:rPr>
        <w:t>Lys</w:t>
      </w:r>
      <w:r w:rsidR="002029A6">
        <w:rPr>
          <w:rFonts w:ascii="Times New Roman" w:hAnsi="Times New Roman"/>
          <w:szCs w:val="19"/>
        </w:rPr>
        <w:t xml:space="preserve"> side chains </w:t>
      </w:r>
      <w:r w:rsidR="001A0555">
        <w:rPr>
          <w:rFonts w:ascii="Times New Roman" w:hAnsi="Times New Roman"/>
          <w:szCs w:val="19"/>
        </w:rPr>
        <w:t>are not</w:t>
      </w:r>
      <w:r w:rsidR="002029A6">
        <w:rPr>
          <w:rFonts w:ascii="Times New Roman" w:hAnsi="Times New Roman"/>
          <w:szCs w:val="19"/>
        </w:rPr>
        <w:t xml:space="preserve"> susceptible to being </w:t>
      </w:r>
      <w:r w:rsidR="00A16DC1">
        <w:rPr>
          <w:rFonts w:ascii="Times New Roman" w:hAnsi="Times New Roman"/>
          <w:szCs w:val="19"/>
        </w:rPr>
        <w:t>glycated</w:t>
      </w:r>
      <w:r w:rsidR="002029A6">
        <w:rPr>
          <w:rFonts w:ascii="Times New Roman" w:hAnsi="Times New Roman"/>
          <w:szCs w:val="19"/>
        </w:rPr>
        <w:t>.</w:t>
      </w:r>
      <w:r w:rsidR="00F83FD2">
        <w:rPr>
          <w:rFonts w:ascii="Times New Roman" w:hAnsi="Times New Roman"/>
          <w:szCs w:val="19"/>
        </w:rPr>
        <w:t xml:space="preserve"> The difference in </w:t>
      </w:r>
      <w:r w:rsidR="00D46B69">
        <w:rPr>
          <w:rFonts w:ascii="Times New Roman" w:hAnsi="Times New Roman"/>
          <w:szCs w:val="19"/>
        </w:rPr>
        <w:t>susceptibility</w:t>
      </w:r>
      <w:r w:rsidR="00F83FD2">
        <w:rPr>
          <w:rFonts w:ascii="Times New Roman" w:hAnsi="Times New Roman"/>
          <w:szCs w:val="19"/>
        </w:rPr>
        <w:t xml:space="preserve"> to being glycated is a result that has been widely published and </w:t>
      </w:r>
      <w:r w:rsidR="00D46B69">
        <w:rPr>
          <w:rFonts w:ascii="Times New Roman" w:hAnsi="Times New Roman"/>
          <w:szCs w:val="19"/>
        </w:rPr>
        <w:t>investigated</w:t>
      </w:r>
      <w:r w:rsidR="00F83FD2">
        <w:rPr>
          <w:rFonts w:ascii="Times New Roman" w:hAnsi="Times New Roman"/>
          <w:szCs w:val="19"/>
        </w:rPr>
        <w:t xml:space="preserve"> using peptide mapping</w:t>
      </w:r>
      <w:r w:rsidR="00FB4B55">
        <w:rPr>
          <w:rFonts w:ascii="Times New Roman" w:hAnsi="Times New Roman"/>
          <w:szCs w:val="19"/>
        </w:rPr>
        <w:t xml:space="preserve">. It </w:t>
      </w:r>
      <w:r w:rsidR="00F83FD2">
        <w:rPr>
          <w:rFonts w:ascii="Times New Roman" w:hAnsi="Times New Roman"/>
          <w:szCs w:val="19"/>
        </w:rPr>
        <w:t xml:space="preserve">is </w:t>
      </w:r>
      <w:r w:rsidR="00D46B69">
        <w:rPr>
          <w:rFonts w:ascii="Times New Roman" w:hAnsi="Times New Roman"/>
          <w:szCs w:val="19"/>
        </w:rPr>
        <w:t>thought</w:t>
      </w:r>
      <w:r w:rsidR="00F83FD2">
        <w:rPr>
          <w:rFonts w:ascii="Times New Roman" w:hAnsi="Times New Roman"/>
          <w:szCs w:val="19"/>
        </w:rPr>
        <w:t xml:space="preserve"> to arise from the surrounding </w:t>
      </w:r>
      <w:r w:rsidR="00D46B69">
        <w:rPr>
          <w:rFonts w:ascii="Times New Roman" w:hAnsi="Times New Roman"/>
          <w:szCs w:val="19"/>
        </w:rPr>
        <w:t>environment</w:t>
      </w:r>
      <w:r w:rsidR="00F83FD2">
        <w:rPr>
          <w:rFonts w:ascii="Times New Roman" w:hAnsi="Times New Roman"/>
          <w:szCs w:val="19"/>
        </w:rPr>
        <w:t xml:space="preserve"> and solvent accessibility</w:t>
      </w:r>
      <w:r w:rsidR="00C32170">
        <w:rPr>
          <w:rFonts w:ascii="Times New Roman" w:hAnsi="Times New Roman"/>
          <w:szCs w:val="19"/>
        </w:rPr>
        <w:t xml:space="preserve"> with Lys residues </w:t>
      </w:r>
      <w:r w:rsidR="00FB4B55">
        <w:rPr>
          <w:rFonts w:ascii="Times New Roman" w:hAnsi="Times New Roman"/>
          <w:szCs w:val="19"/>
        </w:rPr>
        <w:t>less</w:t>
      </w:r>
      <w:r w:rsidR="00C32170">
        <w:rPr>
          <w:rFonts w:ascii="Times New Roman" w:hAnsi="Times New Roman"/>
          <w:szCs w:val="19"/>
        </w:rPr>
        <w:t xml:space="preserve"> open to the solvent </w:t>
      </w:r>
      <w:r w:rsidR="00FB4B55">
        <w:rPr>
          <w:rFonts w:ascii="Times New Roman" w:hAnsi="Times New Roman"/>
          <w:szCs w:val="19"/>
        </w:rPr>
        <w:t xml:space="preserve">or having amine groups hydrogen bonded to other protein groups </w:t>
      </w:r>
      <w:r w:rsidR="00C32170">
        <w:rPr>
          <w:rFonts w:ascii="Times New Roman" w:hAnsi="Times New Roman"/>
          <w:szCs w:val="19"/>
        </w:rPr>
        <w:t xml:space="preserve">being </w:t>
      </w:r>
      <w:r w:rsidR="00FB4B55">
        <w:rPr>
          <w:rFonts w:ascii="Times New Roman" w:hAnsi="Times New Roman"/>
          <w:szCs w:val="19"/>
        </w:rPr>
        <w:t>less</w:t>
      </w:r>
      <w:r w:rsidR="00C32170">
        <w:rPr>
          <w:rFonts w:ascii="Times New Roman" w:hAnsi="Times New Roman"/>
          <w:szCs w:val="19"/>
        </w:rPr>
        <w:t xml:space="preserve"> likely to be glycated</w:t>
      </w:r>
      <w:r w:rsidR="00000EB7">
        <w:rPr>
          <w:rFonts w:ascii="Times New Roman" w:hAnsi="Times New Roman"/>
          <w:szCs w:val="19"/>
        </w:rPr>
        <w:t>.</w:t>
      </w:r>
      <w:r w:rsidR="006F5D32">
        <w:rPr>
          <w:rFonts w:ascii="Times New Roman" w:hAnsi="Times New Roman"/>
          <w:szCs w:val="19"/>
        </w:rPr>
        <w:fldChar w:fldCharType="begin" w:fldLock="1"/>
      </w:r>
      <w:r w:rsidR="006F5D32">
        <w:rPr>
          <w:rFonts w:ascii="Times New Roman" w:hAnsi="Times New Roman"/>
          <w:szCs w:val="19"/>
        </w:rPr>
        <w:instrText>ADDIN CSL_CITATION {"citationItems":[{"id":"ITEM-1","itemData":{"DOI":"10.1021/AC7017469","abstract":"We present here an improved analytical method for the analysis of glycation events in proteins. Nonenzymatic glycation of an IgG2 monoclonal antibody was studied using affinity chromatography, mass spectrometry, and chemical derivatization. Analysis of both forced-degraded and bulk-drug substance (BDS) samples showed the presence of glycated protein. A new peptide mapping pro-cedure, incorporating derivatization using sodium borohydride, allowed the development of a sensitive method for detecting and identifying the sites of modification. When combined with tandem mass spectrometry, peptides glycated by glucose showed dramatically improved MS/MS spectra as compared to underivatized controls. Using these methods we were able to map a number of glycation sites in both forced-degraded and BDS samples that were distributed across both light and heavy chain subdomains. The combination of affinity chromatography, high-resolution mass spectrometry, and a simple derivatization procedure should allow the facile an...","author":[{"dropping-particle":"","family":"Lowell J. Brady","given":"","non-dropping-particle":"","parse-names":false,"suffix":""},{"dropping-particle":"","family":"Theresa Martinez","given":"And","non-dropping-particle":"","parse-names":false,"suffix":""},{"dropping-particle":"","family":"Balland","given":"Alain","non-dropping-particle":"","parse-names":false,"suffix":""}],"container-title":"Anal. Chem","id":"ITEM-1","issue":"24","issued":{"date-parts":[["2007"]]},"page":"9403-9413","publisher":"American Chemical Society","title":"Characterization of Nonenzymatic Glycation on a Monoclonal Antibody","type":"article-journal","volume":"79"},"uris":["http://www.mendeley.com/documents/?uuid=1371d989-c0bf-380f-87f2-44013e62418a"]},{"id":"ITEM-2","itemData":{"author":[{"dropping-particle":"","family":"Bunn","given":"H Franklin","non-dropping-particle":"","parse-names":false,"suffix":""},{"dropping-particle":"","family":"Shapiro","given":"Robert","non-dropping-particle":"","parse-names":false,"suffix":""},{"dropping-particle":"","family":"Mcmanus","given":"Michael","non-dropping-particle":"","parse-names":false,"suffix":""},{"dropping-particle":"","family":"Garrick","given":"Laura","non-dropping-particle":"","parse-names":false,"suffix":""},{"dropping-particle":"","family":"Mcdonald","given":"Melisenda J","non-dropping-particle":"","parse-names":false,"suffix":""},{"dropping-particle":"","family":"Gallop","given":"Paul M","non-dropping-particle":"","parse-names":false,"suffix":""},{"dropping-particle":"","family":"Gabbay@","given":"Kenneth H","non-dropping-particle":"","parse-names":false,"suffix":""},{"dropping-particle":"","family":"Bent","given":"Peter","non-dropping-particle":"","parse-names":false,"suffix":""},{"dropping-particle":"","family":"Hospital","given":"Brigham","non-dropping-particle":"","parse-names":false,"suffix":""}],"container-title":"Journal of Biological Chemistry","id":"ITEM-2","issue":"10","issued":{"date-parts":[["1979"]]},"page":"3892-3898","title":"Structural Heterogeneity of Human Hemoglobin A due to Nonenzymatic Glycosylation","type":"article-journal","volume":"254"},"uris":["http://www.mendeley.com/documents/?uuid=8075b4e8-a6a8-3baf-921b-9cc304b84e7c"]},{"id":"ITEM-3","itemData":{"DOI":"10.1111/j.1432-1033.1993.tb18067.x","ISSN":"0014-2956","author":[{"dropping-particle":"","family":"Shilton","given":"Brian H.","non-dropping-particle":"","parse-names":false,"suffix":""},{"dropping-particle":"","family":"Campbell","given":"Robert L.","non-dropping-particle":"","parse-names":false,"suffix":""},{"dropping-particle":"","family":"Walton","given":"Donald J.","non-dropping-particle":"","parse-names":false,"suffix":""}],"container-title":"European Journal of Biochemistry","id":"ITEM-3","issue":"3","issued":{"date-parts":[["1993","8","1"]]},"page":"567-572","publisher":"John Wiley &amp; Sons, Ltd (10.1111)","title":"Site specificity of glycation of horse liver alcohol dehydrogenase in vitro","type":"article-journal","volume":"215"},"uris":["http://www.mendeley.com/documents/?uuid=8e3eb76e-8b5a-30bc-808b-b6c11ea1d2ad"]}],"mendeley":{"formattedCitation":"&lt;sup&gt;22,30,31&lt;/sup&gt;","plainTextFormattedCitation":"22,30,31","previouslyFormattedCitation":"&lt;sup&gt;22,30,31&lt;/sup&gt;"},"properties":{"noteIndex":0},"schema":"https://github.com/citation-style-language/schema/raw/master/csl-citation.json"}</w:instrText>
      </w:r>
      <w:r w:rsidR="006F5D32">
        <w:rPr>
          <w:rFonts w:ascii="Times New Roman" w:hAnsi="Times New Roman"/>
          <w:szCs w:val="19"/>
        </w:rPr>
        <w:fldChar w:fldCharType="separate"/>
      </w:r>
      <w:r w:rsidR="006F5D32" w:rsidRPr="006F5D32">
        <w:rPr>
          <w:rFonts w:ascii="Times New Roman" w:hAnsi="Times New Roman"/>
          <w:noProof/>
          <w:szCs w:val="19"/>
          <w:vertAlign w:val="superscript"/>
        </w:rPr>
        <w:t>22,30,31</w:t>
      </w:r>
      <w:r w:rsidR="006F5D32">
        <w:rPr>
          <w:rFonts w:ascii="Times New Roman" w:hAnsi="Times New Roman"/>
          <w:szCs w:val="19"/>
        </w:rPr>
        <w:fldChar w:fldCharType="end"/>
      </w:r>
    </w:p>
    <w:tbl>
      <w:tblPr>
        <w:tblStyle w:val="PlainTable51"/>
        <w:tblpPr w:leftFromText="180" w:rightFromText="180" w:vertAnchor="text" w:horzAnchor="margin" w:tblpY="2362"/>
        <w:tblW w:w="8962" w:type="dxa"/>
        <w:tblLook w:val="04A0" w:firstRow="1" w:lastRow="0" w:firstColumn="1" w:lastColumn="0" w:noHBand="0" w:noVBand="1"/>
      </w:tblPr>
      <w:tblGrid>
        <w:gridCol w:w="1940"/>
        <w:gridCol w:w="1082"/>
        <w:gridCol w:w="948"/>
        <w:gridCol w:w="841"/>
        <w:gridCol w:w="841"/>
        <w:gridCol w:w="841"/>
        <w:gridCol w:w="841"/>
        <w:gridCol w:w="841"/>
        <w:gridCol w:w="841"/>
      </w:tblGrid>
      <w:tr w:rsidR="001975DF" w:rsidRPr="000C3BBA" w:rsidDel="00DE4C88" w14:paraId="1E888612" w14:textId="77777777" w:rsidTr="00592A4C">
        <w:trPr>
          <w:cnfStyle w:val="100000000000" w:firstRow="1" w:lastRow="0" w:firstColumn="0" w:lastColumn="0" w:oddVBand="0" w:evenVBand="0" w:oddHBand="0" w:evenHBand="0" w:firstRowFirstColumn="0" w:firstRowLastColumn="0" w:lastRowFirstColumn="0" w:lastRowLastColumn="0"/>
          <w:trHeight w:val="1191"/>
        </w:trPr>
        <w:tc>
          <w:tcPr>
            <w:cnfStyle w:val="001000000100" w:firstRow="0" w:lastRow="0" w:firstColumn="1" w:lastColumn="0" w:oddVBand="0" w:evenVBand="0" w:oddHBand="0" w:evenHBand="0" w:firstRowFirstColumn="1" w:firstRowLastColumn="0" w:lastRowFirstColumn="0" w:lastRowLastColumn="0"/>
            <w:tcW w:w="1941" w:type="dxa"/>
            <w:tcBorders>
              <w:top w:val="single" w:sz="4" w:space="0" w:color="auto"/>
              <w:left w:val="single" w:sz="4" w:space="0" w:color="auto"/>
              <w:bottom w:val="single" w:sz="4" w:space="0" w:color="auto"/>
              <w:right w:val="single" w:sz="4" w:space="0" w:color="auto"/>
            </w:tcBorders>
            <w:vAlign w:val="center"/>
          </w:tcPr>
          <w:p w14:paraId="4726C203" w14:textId="77777777" w:rsidR="001975DF" w:rsidRPr="001975DF" w:rsidRDefault="001975DF" w:rsidP="001975DF">
            <w:pPr>
              <w:jc w:val="center"/>
              <w:rPr>
                <w:rFonts w:ascii="Times New Roman" w:hAnsi="Times New Roman"/>
                <w:b/>
                <w:i w:val="0"/>
                <w:sz w:val="20"/>
              </w:rPr>
            </w:pPr>
          </w:p>
        </w:tc>
        <w:tc>
          <w:tcPr>
            <w:tcW w:w="7019" w:type="dxa"/>
            <w:gridSpan w:val="8"/>
            <w:tcBorders>
              <w:top w:val="single" w:sz="4" w:space="0" w:color="auto"/>
              <w:left w:val="single" w:sz="4" w:space="0" w:color="auto"/>
              <w:bottom w:val="single" w:sz="4" w:space="0" w:color="auto"/>
              <w:right w:val="single" w:sz="4" w:space="0" w:color="auto"/>
            </w:tcBorders>
            <w:vAlign w:val="center"/>
          </w:tcPr>
          <w:p w14:paraId="34EDB6BF" w14:textId="77777777" w:rsidR="001975DF" w:rsidRPr="001975DF" w:rsidDel="00DE4C88" w:rsidRDefault="001975DF" w:rsidP="001975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0"/>
              </w:rPr>
            </w:pPr>
            <w:r w:rsidRPr="001975DF">
              <w:rPr>
                <w:rFonts w:ascii="Times New Roman" w:hAnsi="Times New Roman"/>
                <w:b/>
                <w:i w:val="0"/>
                <w:sz w:val="20"/>
              </w:rPr>
              <w:t>Population % of Lysozyme with Bound Glucose as a Function of Time</w:t>
            </w:r>
          </w:p>
        </w:tc>
      </w:tr>
      <w:tr w:rsidR="004F6F54" w:rsidRPr="000C3BBA" w:rsidDel="00DE4C88" w14:paraId="7E2F0C00" w14:textId="77777777" w:rsidTr="00592A4C">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941" w:type="dxa"/>
            <w:tcBorders>
              <w:top w:val="single" w:sz="4" w:space="0" w:color="auto"/>
              <w:left w:val="single" w:sz="4" w:space="0" w:color="auto"/>
              <w:bottom w:val="single" w:sz="4" w:space="0" w:color="auto"/>
              <w:right w:val="single" w:sz="4" w:space="0" w:color="auto"/>
            </w:tcBorders>
            <w:vAlign w:val="center"/>
            <w:hideMark/>
          </w:tcPr>
          <w:p w14:paraId="768C1B5B" w14:textId="77777777" w:rsidR="001975DF" w:rsidRPr="001975DF" w:rsidDel="00DE4C88" w:rsidRDefault="001975DF" w:rsidP="001975DF">
            <w:pPr>
              <w:jc w:val="center"/>
              <w:rPr>
                <w:rFonts w:ascii="Times New Roman" w:hAnsi="Times New Roman"/>
                <w:b/>
                <w:i w:val="0"/>
                <w:sz w:val="20"/>
              </w:rPr>
            </w:pPr>
            <w:r w:rsidRPr="001975DF">
              <w:rPr>
                <w:rFonts w:ascii="Times New Roman" w:hAnsi="Times New Roman"/>
                <w:b/>
                <w:i w:val="0"/>
                <w:sz w:val="20"/>
              </w:rPr>
              <w:t>Number of Glucose Bound</w:t>
            </w:r>
          </w:p>
        </w:tc>
        <w:tc>
          <w:tcPr>
            <w:tcW w:w="1020" w:type="dxa"/>
            <w:tcBorders>
              <w:top w:val="single" w:sz="4" w:space="0" w:color="auto"/>
              <w:left w:val="single" w:sz="4" w:space="0" w:color="auto"/>
              <w:bottom w:val="single" w:sz="4" w:space="0" w:color="auto"/>
            </w:tcBorders>
            <w:shd w:val="clear" w:color="auto" w:fill="FFFFFF" w:themeFill="background1"/>
            <w:vAlign w:val="center"/>
          </w:tcPr>
          <w:p w14:paraId="78026273" w14:textId="77777777" w:rsidR="001975DF" w:rsidRPr="001975DF" w:rsidDel="00DE4C88" w:rsidRDefault="001975DF" w:rsidP="001975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rPr>
            </w:pPr>
            <w:r w:rsidRPr="001975DF" w:rsidDel="00DE4C88">
              <w:rPr>
                <w:rFonts w:ascii="Times New Roman" w:hAnsi="Times New Roman"/>
                <w:b/>
                <w:sz w:val="20"/>
              </w:rPr>
              <w:t>Day 0</w:t>
            </w:r>
          </w:p>
          <w:p w14:paraId="0E87C14E" w14:textId="1D064188" w:rsidR="001975DF" w:rsidRPr="001975DF" w:rsidDel="00DE4C88" w:rsidRDefault="001975DF" w:rsidP="00553A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rPr>
            </w:pPr>
            <w:r w:rsidRPr="001975DF" w:rsidDel="00DE4C88">
              <w:rPr>
                <w:rFonts w:ascii="Times New Roman" w:hAnsi="Times New Roman"/>
                <w:b/>
                <w:sz w:val="20"/>
              </w:rPr>
              <w:t xml:space="preserve">(Lys </w:t>
            </w:r>
            <w:r w:rsidR="00553A3A">
              <w:rPr>
                <w:rFonts w:ascii="Times New Roman" w:hAnsi="Times New Roman"/>
                <w:b/>
                <w:sz w:val="20"/>
              </w:rPr>
              <w:t>Standard</w:t>
            </w:r>
            <w:r w:rsidRPr="001975DF" w:rsidDel="00DE4C88">
              <w:rPr>
                <w:rFonts w:ascii="Times New Roman" w:hAnsi="Times New Roman"/>
                <w:b/>
                <w:sz w:val="20"/>
              </w:rPr>
              <w:t>)</w:t>
            </w:r>
          </w:p>
        </w:tc>
        <w:tc>
          <w:tcPr>
            <w:tcW w:w="949" w:type="dxa"/>
            <w:tcBorders>
              <w:top w:val="single" w:sz="4" w:space="0" w:color="auto"/>
              <w:left w:val="nil"/>
              <w:bottom w:val="single" w:sz="4" w:space="0" w:color="auto"/>
            </w:tcBorders>
            <w:shd w:val="clear" w:color="auto" w:fill="FFFFFF" w:themeFill="background1"/>
            <w:noWrap/>
            <w:vAlign w:val="center"/>
            <w:hideMark/>
          </w:tcPr>
          <w:p w14:paraId="090F73A1" w14:textId="77777777" w:rsidR="001975DF" w:rsidRPr="001975DF" w:rsidDel="00DE4C88" w:rsidRDefault="001975DF" w:rsidP="001975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rPr>
            </w:pPr>
            <w:r w:rsidRPr="001975DF" w:rsidDel="00DE4C88">
              <w:rPr>
                <w:rFonts w:ascii="Times New Roman" w:hAnsi="Times New Roman"/>
                <w:b/>
                <w:sz w:val="20"/>
              </w:rPr>
              <w:t>Day 1</w:t>
            </w:r>
          </w:p>
        </w:tc>
        <w:tc>
          <w:tcPr>
            <w:tcW w:w="842" w:type="dxa"/>
            <w:tcBorders>
              <w:top w:val="single" w:sz="4" w:space="0" w:color="auto"/>
              <w:bottom w:val="single" w:sz="4" w:space="0" w:color="auto"/>
            </w:tcBorders>
            <w:shd w:val="clear" w:color="auto" w:fill="FFFFFF" w:themeFill="background1"/>
            <w:noWrap/>
            <w:vAlign w:val="center"/>
            <w:hideMark/>
          </w:tcPr>
          <w:p w14:paraId="30D393FF" w14:textId="77777777" w:rsidR="001975DF" w:rsidRPr="001975DF" w:rsidDel="00DE4C88" w:rsidRDefault="001975DF" w:rsidP="001975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rPr>
            </w:pPr>
            <w:r w:rsidRPr="001975DF" w:rsidDel="00DE4C88">
              <w:rPr>
                <w:rFonts w:ascii="Times New Roman" w:hAnsi="Times New Roman"/>
                <w:b/>
                <w:sz w:val="20"/>
              </w:rPr>
              <w:t>Day 2</w:t>
            </w:r>
          </w:p>
        </w:tc>
        <w:tc>
          <w:tcPr>
            <w:tcW w:w="842" w:type="dxa"/>
            <w:tcBorders>
              <w:top w:val="single" w:sz="4" w:space="0" w:color="auto"/>
              <w:bottom w:val="single" w:sz="4" w:space="0" w:color="auto"/>
            </w:tcBorders>
            <w:shd w:val="clear" w:color="auto" w:fill="FFFFFF" w:themeFill="background1"/>
            <w:noWrap/>
            <w:vAlign w:val="center"/>
            <w:hideMark/>
          </w:tcPr>
          <w:p w14:paraId="3FE1736E" w14:textId="77777777" w:rsidR="001975DF" w:rsidRPr="001975DF" w:rsidDel="00DE4C88" w:rsidRDefault="001975DF" w:rsidP="001975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rPr>
            </w:pPr>
            <w:r w:rsidRPr="001975DF" w:rsidDel="00DE4C88">
              <w:rPr>
                <w:rFonts w:ascii="Times New Roman" w:hAnsi="Times New Roman"/>
                <w:b/>
                <w:sz w:val="20"/>
              </w:rPr>
              <w:t>Day 5</w:t>
            </w:r>
          </w:p>
        </w:tc>
        <w:tc>
          <w:tcPr>
            <w:tcW w:w="842" w:type="dxa"/>
            <w:tcBorders>
              <w:top w:val="single" w:sz="4" w:space="0" w:color="auto"/>
              <w:bottom w:val="single" w:sz="4" w:space="0" w:color="auto"/>
            </w:tcBorders>
            <w:shd w:val="clear" w:color="auto" w:fill="FFFFFF" w:themeFill="background1"/>
            <w:noWrap/>
            <w:vAlign w:val="center"/>
            <w:hideMark/>
          </w:tcPr>
          <w:p w14:paraId="47161BFA" w14:textId="77777777" w:rsidR="001975DF" w:rsidRPr="001975DF" w:rsidDel="00DE4C88" w:rsidRDefault="001975DF" w:rsidP="001975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rPr>
            </w:pPr>
            <w:r w:rsidRPr="001975DF" w:rsidDel="00DE4C88">
              <w:rPr>
                <w:rFonts w:ascii="Times New Roman" w:hAnsi="Times New Roman"/>
                <w:b/>
                <w:sz w:val="20"/>
              </w:rPr>
              <w:t>Day 7</w:t>
            </w:r>
          </w:p>
        </w:tc>
        <w:tc>
          <w:tcPr>
            <w:tcW w:w="842" w:type="dxa"/>
            <w:tcBorders>
              <w:top w:val="single" w:sz="4" w:space="0" w:color="auto"/>
              <w:bottom w:val="single" w:sz="4" w:space="0" w:color="auto"/>
            </w:tcBorders>
            <w:shd w:val="clear" w:color="auto" w:fill="FFFFFF" w:themeFill="background1"/>
            <w:noWrap/>
            <w:vAlign w:val="center"/>
            <w:hideMark/>
          </w:tcPr>
          <w:p w14:paraId="363C1791" w14:textId="77777777" w:rsidR="001975DF" w:rsidRPr="001975DF" w:rsidDel="00DE4C88" w:rsidRDefault="001975DF" w:rsidP="001975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rPr>
            </w:pPr>
            <w:r w:rsidRPr="001975DF" w:rsidDel="00DE4C88">
              <w:rPr>
                <w:rFonts w:ascii="Times New Roman" w:hAnsi="Times New Roman"/>
                <w:b/>
                <w:sz w:val="20"/>
              </w:rPr>
              <w:t>Day 14</w:t>
            </w:r>
          </w:p>
        </w:tc>
        <w:tc>
          <w:tcPr>
            <w:tcW w:w="842" w:type="dxa"/>
            <w:tcBorders>
              <w:top w:val="single" w:sz="4" w:space="0" w:color="auto"/>
              <w:bottom w:val="single" w:sz="4" w:space="0" w:color="auto"/>
            </w:tcBorders>
            <w:shd w:val="clear" w:color="auto" w:fill="FFFFFF" w:themeFill="background1"/>
            <w:noWrap/>
            <w:vAlign w:val="center"/>
            <w:hideMark/>
          </w:tcPr>
          <w:p w14:paraId="3A60F609" w14:textId="77777777" w:rsidR="001975DF" w:rsidRPr="001975DF" w:rsidDel="00DE4C88" w:rsidRDefault="001975DF" w:rsidP="001975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rPr>
            </w:pPr>
            <w:r w:rsidRPr="001975DF" w:rsidDel="00DE4C88">
              <w:rPr>
                <w:rFonts w:ascii="Times New Roman" w:hAnsi="Times New Roman"/>
                <w:b/>
                <w:sz w:val="20"/>
              </w:rPr>
              <w:t>Day 21</w:t>
            </w:r>
          </w:p>
        </w:tc>
        <w:tc>
          <w:tcPr>
            <w:tcW w:w="842" w:type="dxa"/>
            <w:tcBorders>
              <w:top w:val="single" w:sz="4" w:space="0" w:color="auto"/>
              <w:bottom w:val="single" w:sz="4" w:space="0" w:color="auto"/>
              <w:right w:val="single" w:sz="4" w:space="0" w:color="auto"/>
            </w:tcBorders>
            <w:shd w:val="clear" w:color="auto" w:fill="FFFFFF" w:themeFill="background1"/>
            <w:noWrap/>
            <w:vAlign w:val="center"/>
            <w:hideMark/>
          </w:tcPr>
          <w:p w14:paraId="34CB8160" w14:textId="77777777" w:rsidR="001975DF" w:rsidRPr="001975DF" w:rsidDel="00DE4C88" w:rsidRDefault="001975DF" w:rsidP="001975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rPr>
            </w:pPr>
            <w:r w:rsidRPr="001975DF" w:rsidDel="00DE4C88">
              <w:rPr>
                <w:rFonts w:ascii="Times New Roman" w:hAnsi="Times New Roman"/>
                <w:b/>
                <w:sz w:val="20"/>
              </w:rPr>
              <w:t>Day 30</w:t>
            </w:r>
          </w:p>
        </w:tc>
      </w:tr>
      <w:tr w:rsidR="004F6F54" w:rsidRPr="000C3BBA" w:rsidDel="00DE4C88" w14:paraId="4876BA9A" w14:textId="77777777" w:rsidTr="00592A4C">
        <w:trPr>
          <w:trHeight w:val="297"/>
        </w:trPr>
        <w:tc>
          <w:tcPr>
            <w:cnfStyle w:val="001000000000" w:firstRow="0" w:lastRow="0" w:firstColumn="1" w:lastColumn="0" w:oddVBand="0" w:evenVBand="0" w:oddHBand="0" w:evenHBand="0" w:firstRowFirstColumn="0" w:firstRowLastColumn="0" w:lastRowFirstColumn="0" w:lastRowLastColumn="0"/>
            <w:tcW w:w="1941" w:type="dxa"/>
            <w:tcBorders>
              <w:top w:val="single" w:sz="4" w:space="0" w:color="auto"/>
              <w:left w:val="single" w:sz="4" w:space="0" w:color="auto"/>
              <w:right w:val="single" w:sz="4" w:space="0" w:color="auto"/>
            </w:tcBorders>
            <w:noWrap/>
            <w:vAlign w:val="center"/>
            <w:hideMark/>
          </w:tcPr>
          <w:p w14:paraId="6DEC4AD1" w14:textId="77777777" w:rsidR="001975DF" w:rsidRPr="001975DF" w:rsidDel="00DE4C88" w:rsidRDefault="001975DF" w:rsidP="001975DF">
            <w:pPr>
              <w:jc w:val="center"/>
              <w:rPr>
                <w:rFonts w:ascii="Times New Roman" w:hAnsi="Times New Roman"/>
                <w:b/>
                <w:i w:val="0"/>
                <w:sz w:val="20"/>
              </w:rPr>
            </w:pPr>
            <w:r w:rsidRPr="001975DF" w:rsidDel="00DE4C88">
              <w:rPr>
                <w:rFonts w:ascii="Times New Roman" w:hAnsi="Times New Roman"/>
                <w:b/>
                <w:i w:val="0"/>
                <w:sz w:val="20"/>
              </w:rPr>
              <w:t>0 Glucose</w:t>
            </w:r>
          </w:p>
        </w:tc>
        <w:tc>
          <w:tcPr>
            <w:tcW w:w="1020" w:type="dxa"/>
            <w:tcBorders>
              <w:top w:val="single" w:sz="4" w:space="0" w:color="auto"/>
              <w:left w:val="single" w:sz="4" w:space="0" w:color="auto"/>
            </w:tcBorders>
            <w:shd w:val="clear" w:color="auto" w:fill="FFFFFF" w:themeFill="background1"/>
            <w:vAlign w:val="center"/>
          </w:tcPr>
          <w:p w14:paraId="1CFF26A5"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100 ± 0</w:t>
            </w:r>
          </w:p>
        </w:tc>
        <w:tc>
          <w:tcPr>
            <w:tcW w:w="949" w:type="dxa"/>
            <w:tcBorders>
              <w:top w:val="single" w:sz="4" w:space="0" w:color="auto"/>
              <w:left w:val="nil"/>
            </w:tcBorders>
            <w:shd w:val="clear" w:color="auto" w:fill="FFFFFF" w:themeFill="background1"/>
            <w:noWrap/>
            <w:vAlign w:val="center"/>
            <w:hideMark/>
          </w:tcPr>
          <w:p w14:paraId="037A3F05"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61</w:t>
            </w:r>
            <w:r w:rsidRPr="001975DF">
              <w:rPr>
                <w:rFonts w:ascii="Times New Roman" w:hAnsi="Times New Roman"/>
                <w:sz w:val="20"/>
              </w:rPr>
              <w:t xml:space="preserve"> </w:t>
            </w:r>
            <w:r w:rsidRPr="001975DF" w:rsidDel="00DE4C88">
              <w:rPr>
                <w:rFonts w:ascii="Times New Roman" w:hAnsi="Times New Roman"/>
                <w:sz w:val="20"/>
              </w:rPr>
              <w:t>± 4</w:t>
            </w:r>
          </w:p>
        </w:tc>
        <w:tc>
          <w:tcPr>
            <w:tcW w:w="842" w:type="dxa"/>
            <w:tcBorders>
              <w:top w:val="single" w:sz="4" w:space="0" w:color="auto"/>
            </w:tcBorders>
            <w:shd w:val="clear" w:color="auto" w:fill="FFFFFF" w:themeFill="background1"/>
            <w:noWrap/>
            <w:vAlign w:val="center"/>
            <w:hideMark/>
          </w:tcPr>
          <w:p w14:paraId="03D04357"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58 ± 3</w:t>
            </w:r>
          </w:p>
        </w:tc>
        <w:tc>
          <w:tcPr>
            <w:tcW w:w="842" w:type="dxa"/>
            <w:tcBorders>
              <w:top w:val="single" w:sz="4" w:space="0" w:color="auto"/>
            </w:tcBorders>
            <w:shd w:val="clear" w:color="auto" w:fill="FFFFFF" w:themeFill="background1"/>
            <w:noWrap/>
            <w:vAlign w:val="center"/>
            <w:hideMark/>
          </w:tcPr>
          <w:p w14:paraId="67B40DA3"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46 ± 2</w:t>
            </w:r>
          </w:p>
        </w:tc>
        <w:tc>
          <w:tcPr>
            <w:tcW w:w="842" w:type="dxa"/>
            <w:tcBorders>
              <w:top w:val="single" w:sz="4" w:space="0" w:color="auto"/>
            </w:tcBorders>
            <w:shd w:val="clear" w:color="auto" w:fill="FFFFFF" w:themeFill="background1"/>
            <w:noWrap/>
            <w:vAlign w:val="center"/>
            <w:hideMark/>
          </w:tcPr>
          <w:p w14:paraId="017C066D"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40 ± 3</w:t>
            </w:r>
          </w:p>
        </w:tc>
        <w:tc>
          <w:tcPr>
            <w:tcW w:w="842" w:type="dxa"/>
            <w:tcBorders>
              <w:top w:val="single" w:sz="4" w:space="0" w:color="auto"/>
            </w:tcBorders>
            <w:shd w:val="clear" w:color="auto" w:fill="FFFFFF" w:themeFill="background1"/>
            <w:noWrap/>
            <w:vAlign w:val="center"/>
            <w:hideMark/>
          </w:tcPr>
          <w:p w14:paraId="0E0F3FC5"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19 ± 1</w:t>
            </w:r>
          </w:p>
        </w:tc>
        <w:tc>
          <w:tcPr>
            <w:tcW w:w="842" w:type="dxa"/>
            <w:tcBorders>
              <w:top w:val="single" w:sz="4" w:space="0" w:color="auto"/>
            </w:tcBorders>
            <w:shd w:val="clear" w:color="auto" w:fill="FFFFFF" w:themeFill="background1"/>
            <w:noWrap/>
            <w:vAlign w:val="center"/>
            <w:hideMark/>
          </w:tcPr>
          <w:p w14:paraId="7A0E1692"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13</w:t>
            </w:r>
            <w:r w:rsidRPr="001975DF">
              <w:rPr>
                <w:rFonts w:ascii="Times New Roman" w:hAnsi="Times New Roman"/>
                <w:sz w:val="20"/>
              </w:rPr>
              <w:t xml:space="preserve"> </w:t>
            </w:r>
            <w:r w:rsidRPr="001975DF" w:rsidDel="00DE4C88">
              <w:rPr>
                <w:rFonts w:ascii="Times New Roman" w:hAnsi="Times New Roman"/>
                <w:sz w:val="20"/>
              </w:rPr>
              <w:t>± 1</w:t>
            </w:r>
          </w:p>
        </w:tc>
        <w:tc>
          <w:tcPr>
            <w:tcW w:w="842" w:type="dxa"/>
            <w:tcBorders>
              <w:top w:val="single" w:sz="4" w:space="0" w:color="auto"/>
              <w:right w:val="single" w:sz="4" w:space="0" w:color="auto"/>
            </w:tcBorders>
            <w:shd w:val="clear" w:color="auto" w:fill="FFFFFF" w:themeFill="background1"/>
            <w:noWrap/>
            <w:vAlign w:val="center"/>
            <w:hideMark/>
          </w:tcPr>
          <w:p w14:paraId="0984D89D"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12</w:t>
            </w:r>
            <w:r w:rsidRPr="001975DF">
              <w:rPr>
                <w:rFonts w:ascii="Times New Roman" w:hAnsi="Times New Roman"/>
                <w:sz w:val="20"/>
              </w:rPr>
              <w:t xml:space="preserve"> </w:t>
            </w:r>
            <w:r w:rsidRPr="001975DF" w:rsidDel="00DE4C88">
              <w:rPr>
                <w:rFonts w:ascii="Times New Roman" w:hAnsi="Times New Roman"/>
                <w:sz w:val="20"/>
              </w:rPr>
              <w:t>± 1</w:t>
            </w:r>
          </w:p>
        </w:tc>
      </w:tr>
      <w:tr w:rsidR="004F6F54" w:rsidRPr="000C3BBA" w:rsidDel="00DE4C88" w14:paraId="6D36683A" w14:textId="77777777" w:rsidTr="00592A4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941" w:type="dxa"/>
            <w:tcBorders>
              <w:left w:val="single" w:sz="4" w:space="0" w:color="auto"/>
              <w:right w:val="single" w:sz="4" w:space="0" w:color="auto"/>
            </w:tcBorders>
            <w:noWrap/>
            <w:vAlign w:val="center"/>
            <w:hideMark/>
          </w:tcPr>
          <w:p w14:paraId="0DE18F4C" w14:textId="77777777" w:rsidR="001975DF" w:rsidRPr="001975DF" w:rsidDel="00DE4C88" w:rsidRDefault="001975DF" w:rsidP="001975DF">
            <w:pPr>
              <w:jc w:val="center"/>
              <w:rPr>
                <w:rFonts w:ascii="Times New Roman" w:hAnsi="Times New Roman"/>
                <w:b/>
                <w:i w:val="0"/>
                <w:sz w:val="20"/>
              </w:rPr>
            </w:pPr>
            <w:r w:rsidRPr="001975DF" w:rsidDel="00DE4C88">
              <w:rPr>
                <w:rFonts w:ascii="Times New Roman" w:hAnsi="Times New Roman"/>
                <w:b/>
                <w:i w:val="0"/>
                <w:sz w:val="20"/>
              </w:rPr>
              <w:t>1 Glucose</w:t>
            </w:r>
          </w:p>
        </w:tc>
        <w:tc>
          <w:tcPr>
            <w:tcW w:w="1020" w:type="dxa"/>
            <w:tcBorders>
              <w:left w:val="single" w:sz="4" w:space="0" w:color="auto"/>
            </w:tcBorders>
            <w:shd w:val="clear" w:color="auto" w:fill="FFFFFF" w:themeFill="background1"/>
            <w:vAlign w:val="center"/>
          </w:tcPr>
          <w:p w14:paraId="214318EC"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0</w:t>
            </w:r>
          </w:p>
        </w:tc>
        <w:tc>
          <w:tcPr>
            <w:tcW w:w="949" w:type="dxa"/>
            <w:tcBorders>
              <w:left w:val="nil"/>
            </w:tcBorders>
            <w:shd w:val="clear" w:color="auto" w:fill="FFFFFF" w:themeFill="background1"/>
            <w:noWrap/>
            <w:vAlign w:val="center"/>
            <w:hideMark/>
          </w:tcPr>
          <w:p w14:paraId="261FE60F"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27 ± 2</w:t>
            </w:r>
          </w:p>
        </w:tc>
        <w:tc>
          <w:tcPr>
            <w:tcW w:w="842" w:type="dxa"/>
            <w:shd w:val="clear" w:color="auto" w:fill="FFFFFF" w:themeFill="background1"/>
            <w:noWrap/>
            <w:vAlign w:val="center"/>
            <w:hideMark/>
          </w:tcPr>
          <w:p w14:paraId="30C99C80"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27 ± 1</w:t>
            </w:r>
          </w:p>
        </w:tc>
        <w:tc>
          <w:tcPr>
            <w:tcW w:w="842" w:type="dxa"/>
            <w:shd w:val="clear" w:color="auto" w:fill="FFFFFF" w:themeFill="background1"/>
            <w:noWrap/>
            <w:vAlign w:val="center"/>
            <w:hideMark/>
          </w:tcPr>
          <w:p w14:paraId="4185A62E"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41 ± 0</w:t>
            </w:r>
          </w:p>
        </w:tc>
        <w:tc>
          <w:tcPr>
            <w:tcW w:w="842" w:type="dxa"/>
            <w:shd w:val="clear" w:color="auto" w:fill="FFFFFF" w:themeFill="background1"/>
            <w:noWrap/>
            <w:vAlign w:val="center"/>
            <w:hideMark/>
          </w:tcPr>
          <w:p w14:paraId="3F44F7B8"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41 ± 1</w:t>
            </w:r>
          </w:p>
        </w:tc>
        <w:tc>
          <w:tcPr>
            <w:tcW w:w="842" w:type="dxa"/>
            <w:shd w:val="clear" w:color="auto" w:fill="FFFFFF" w:themeFill="background1"/>
            <w:noWrap/>
            <w:vAlign w:val="center"/>
            <w:hideMark/>
          </w:tcPr>
          <w:p w14:paraId="53E032D9"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40 ± 1</w:t>
            </w:r>
          </w:p>
        </w:tc>
        <w:tc>
          <w:tcPr>
            <w:tcW w:w="842" w:type="dxa"/>
            <w:shd w:val="clear" w:color="auto" w:fill="FFFFFF" w:themeFill="background1"/>
            <w:noWrap/>
            <w:vAlign w:val="center"/>
            <w:hideMark/>
          </w:tcPr>
          <w:p w14:paraId="5B0B82FA"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35</w:t>
            </w:r>
            <w:r w:rsidRPr="001975DF">
              <w:rPr>
                <w:rFonts w:ascii="Times New Roman" w:hAnsi="Times New Roman"/>
                <w:sz w:val="20"/>
              </w:rPr>
              <w:t xml:space="preserve"> </w:t>
            </w:r>
            <w:r w:rsidRPr="001975DF" w:rsidDel="00DE4C88">
              <w:rPr>
                <w:rFonts w:ascii="Times New Roman" w:hAnsi="Times New Roman"/>
                <w:sz w:val="20"/>
              </w:rPr>
              <w:t>± 2</w:t>
            </w:r>
          </w:p>
        </w:tc>
        <w:tc>
          <w:tcPr>
            <w:tcW w:w="842" w:type="dxa"/>
            <w:tcBorders>
              <w:right w:val="single" w:sz="4" w:space="0" w:color="auto"/>
            </w:tcBorders>
            <w:shd w:val="clear" w:color="auto" w:fill="FFFFFF" w:themeFill="background1"/>
            <w:noWrap/>
            <w:vAlign w:val="center"/>
            <w:hideMark/>
          </w:tcPr>
          <w:p w14:paraId="63AC89FC"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36</w:t>
            </w:r>
            <w:r w:rsidRPr="001975DF">
              <w:rPr>
                <w:rFonts w:ascii="Times New Roman" w:hAnsi="Times New Roman"/>
                <w:sz w:val="20"/>
              </w:rPr>
              <w:t xml:space="preserve"> </w:t>
            </w:r>
            <w:r w:rsidRPr="001975DF" w:rsidDel="00DE4C88">
              <w:rPr>
                <w:rFonts w:ascii="Times New Roman" w:hAnsi="Times New Roman"/>
                <w:sz w:val="20"/>
              </w:rPr>
              <w:t>± 1</w:t>
            </w:r>
          </w:p>
        </w:tc>
      </w:tr>
      <w:tr w:rsidR="004F6F54" w:rsidRPr="000C3BBA" w:rsidDel="00DE4C88" w14:paraId="6C0F2420" w14:textId="77777777" w:rsidTr="00592A4C">
        <w:trPr>
          <w:trHeight w:val="297"/>
        </w:trPr>
        <w:tc>
          <w:tcPr>
            <w:cnfStyle w:val="001000000000" w:firstRow="0" w:lastRow="0" w:firstColumn="1" w:lastColumn="0" w:oddVBand="0" w:evenVBand="0" w:oddHBand="0" w:evenHBand="0" w:firstRowFirstColumn="0" w:firstRowLastColumn="0" w:lastRowFirstColumn="0" w:lastRowLastColumn="0"/>
            <w:tcW w:w="1941" w:type="dxa"/>
            <w:tcBorders>
              <w:left w:val="single" w:sz="4" w:space="0" w:color="auto"/>
              <w:right w:val="single" w:sz="4" w:space="0" w:color="auto"/>
            </w:tcBorders>
            <w:noWrap/>
            <w:vAlign w:val="center"/>
            <w:hideMark/>
          </w:tcPr>
          <w:p w14:paraId="5B49778C" w14:textId="77777777" w:rsidR="001975DF" w:rsidRPr="001975DF" w:rsidDel="00DE4C88" w:rsidRDefault="001975DF" w:rsidP="001975DF">
            <w:pPr>
              <w:jc w:val="center"/>
              <w:rPr>
                <w:rFonts w:ascii="Times New Roman" w:hAnsi="Times New Roman"/>
                <w:b/>
                <w:i w:val="0"/>
                <w:sz w:val="20"/>
              </w:rPr>
            </w:pPr>
            <w:r w:rsidRPr="001975DF" w:rsidDel="00DE4C88">
              <w:rPr>
                <w:rFonts w:ascii="Times New Roman" w:hAnsi="Times New Roman"/>
                <w:b/>
                <w:i w:val="0"/>
                <w:sz w:val="20"/>
              </w:rPr>
              <w:t>2 Glucose</w:t>
            </w:r>
          </w:p>
        </w:tc>
        <w:tc>
          <w:tcPr>
            <w:tcW w:w="1020" w:type="dxa"/>
            <w:tcBorders>
              <w:left w:val="single" w:sz="4" w:space="0" w:color="auto"/>
            </w:tcBorders>
            <w:shd w:val="clear" w:color="auto" w:fill="FFFFFF" w:themeFill="background1"/>
            <w:vAlign w:val="center"/>
          </w:tcPr>
          <w:p w14:paraId="2C7C2714"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0</w:t>
            </w:r>
          </w:p>
        </w:tc>
        <w:tc>
          <w:tcPr>
            <w:tcW w:w="949" w:type="dxa"/>
            <w:tcBorders>
              <w:left w:val="nil"/>
            </w:tcBorders>
            <w:shd w:val="clear" w:color="auto" w:fill="FFFFFF" w:themeFill="background1"/>
            <w:noWrap/>
            <w:vAlign w:val="center"/>
            <w:hideMark/>
          </w:tcPr>
          <w:p w14:paraId="31F3EF5A"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13 ± 2</w:t>
            </w:r>
          </w:p>
        </w:tc>
        <w:tc>
          <w:tcPr>
            <w:tcW w:w="842" w:type="dxa"/>
            <w:shd w:val="clear" w:color="auto" w:fill="FFFFFF" w:themeFill="background1"/>
            <w:noWrap/>
            <w:vAlign w:val="center"/>
            <w:hideMark/>
          </w:tcPr>
          <w:p w14:paraId="7632154D"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11 ± 1</w:t>
            </w:r>
          </w:p>
        </w:tc>
        <w:tc>
          <w:tcPr>
            <w:tcW w:w="842" w:type="dxa"/>
            <w:shd w:val="clear" w:color="auto" w:fill="FFFFFF" w:themeFill="background1"/>
            <w:noWrap/>
            <w:vAlign w:val="center"/>
            <w:hideMark/>
          </w:tcPr>
          <w:p w14:paraId="7A68215B"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18 ± 1</w:t>
            </w:r>
          </w:p>
        </w:tc>
        <w:tc>
          <w:tcPr>
            <w:tcW w:w="842" w:type="dxa"/>
            <w:shd w:val="clear" w:color="auto" w:fill="FFFFFF" w:themeFill="background1"/>
            <w:noWrap/>
            <w:vAlign w:val="center"/>
            <w:hideMark/>
          </w:tcPr>
          <w:p w14:paraId="07D49FF7"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18 ± 2</w:t>
            </w:r>
          </w:p>
        </w:tc>
        <w:tc>
          <w:tcPr>
            <w:tcW w:w="842" w:type="dxa"/>
            <w:shd w:val="clear" w:color="auto" w:fill="FFFFFF" w:themeFill="background1"/>
            <w:noWrap/>
            <w:vAlign w:val="center"/>
            <w:hideMark/>
          </w:tcPr>
          <w:p w14:paraId="03097C9C"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30 ± 1</w:t>
            </w:r>
          </w:p>
        </w:tc>
        <w:tc>
          <w:tcPr>
            <w:tcW w:w="842" w:type="dxa"/>
            <w:shd w:val="clear" w:color="auto" w:fill="FFFFFF" w:themeFill="background1"/>
            <w:noWrap/>
            <w:vAlign w:val="center"/>
            <w:hideMark/>
          </w:tcPr>
          <w:p w14:paraId="1DFE10CA"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33</w:t>
            </w:r>
            <w:r w:rsidRPr="001975DF">
              <w:rPr>
                <w:rFonts w:ascii="Times New Roman" w:hAnsi="Times New Roman"/>
                <w:sz w:val="20"/>
              </w:rPr>
              <w:t xml:space="preserve"> </w:t>
            </w:r>
            <w:r w:rsidRPr="001975DF" w:rsidDel="00DE4C88">
              <w:rPr>
                <w:rFonts w:ascii="Times New Roman" w:hAnsi="Times New Roman"/>
                <w:sz w:val="20"/>
              </w:rPr>
              <w:t>± 1</w:t>
            </w:r>
          </w:p>
        </w:tc>
        <w:tc>
          <w:tcPr>
            <w:tcW w:w="842" w:type="dxa"/>
            <w:tcBorders>
              <w:right w:val="single" w:sz="4" w:space="0" w:color="auto"/>
            </w:tcBorders>
            <w:shd w:val="clear" w:color="auto" w:fill="FFFFFF" w:themeFill="background1"/>
            <w:noWrap/>
            <w:vAlign w:val="center"/>
            <w:hideMark/>
          </w:tcPr>
          <w:p w14:paraId="36D6DDFE"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35</w:t>
            </w:r>
            <w:r w:rsidRPr="001975DF">
              <w:rPr>
                <w:rFonts w:ascii="Times New Roman" w:hAnsi="Times New Roman"/>
                <w:sz w:val="20"/>
              </w:rPr>
              <w:t xml:space="preserve"> </w:t>
            </w:r>
            <w:r w:rsidRPr="001975DF" w:rsidDel="00DE4C88">
              <w:rPr>
                <w:rFonts w:ascii="Times New Roman" w:hAnsi="Times New Roman"/>
                <w:sz w:val="20"/>
              </w:rPr>
              <w:t>± 1</w:t>
            </w:r>
          </w:p>
        </w:tc>
      </w:tr>
      <w:tr w:rsidR="004F6F54" w:rsidRPr="000C3BBA" w:rsidDel="00DE4C88" w14:paraId="10811F74" w14:textId="77777777" w:rsidTr="00592A4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941" w:type="dxa"/>
            <w:tcBorders>
              <w:left w:val="single" w:sz="4" w:space="0" w:color="auto"/>
              <w:right w:val="single" w:sz="4" w:space="0" w:color="auto"/>
            </w:tcBorders>
            <w:noWrap/>
            <w:vAlign w:val="center"/>
            <w:hideMark/>
          </w:tcPr>
          <w:p w14:paraId="1BE9CB13" w14:textId="77777777" w:rsidR="001975DF" w:rsidRPr="001975DF" w:rsidDel="00DE4C88" w:rsidRDefault="001975DF" w:rsidP="001975DF">
            <w:pPr>
              <w:jc w:val="center"/>
              <w:rPr>
                <w:rFonts w:ascii="Times New Roman" w:hAnsi="Times New Roman"/>
                <w:b/>
                <w:i w:val="0"/>
                <w:sz w:val="20"/>
              </w:rPr>
            </w:pPr>
            <w:r w:rsidRPr="001975DF" w:rsidDel="00DE4C88">
              <w:rPr>
                <w:rFonts w:ascii="Times New Roman" w:hAnsi="Times New Roman"/>
                <w:b/>
                <w:i w:val="0"/>
                <w:sz w:val="20"/>
              </w:rPr>
              <w:t>3 Glucose</w:t>
            </w:r>
          </w:p>
        </w:tc>
        <w:tc>
          <w:tcPr>
            <w:tcW w:w="1020" w:type="dxa"/>
            <w:tcBorders>
              <w:left w:val="single" w:sz="4" w:space="0" w:color="auto"/>
            </w:tcBorders>
            <w:shd w:val="clear" w:color="auto" w:fill="FFFFFF" w:themeFill="background1"/>
            <w:vAlign w:val="center"/>
          </w:tcPr>
          <w:p w14:paraId="73205D82"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0</w:t>
            </w:r>
          </w:p>
        </w:tc>
        <w:tc>
          <w:tcPr>
            <w:tcW w:w="949" w:type="dxa"/>
            <w:tcBorders>
              <w:left w:val="nil"/>
            </w:tcBorders>
            <w:shd w:val="clear" w:color="auto" w:fill="FFFFFF" w:themeFill="background1"/>
            <w:noWrap/>
            <w:vAlign w:val="center"/>
            <w:hideMark/>
          </w:tcPr>
          <w:p w14:paraId="3BB03A9D"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0</w:t>
            </w:r>
          </w:p>
        </w:tc>
        <w:tc>
          <w:tcPr>
            <w:tcW w:w="842" w:type="dxa"/>
            <w:shd w:val="clear" w:color="auto" w:fill="FFFFFF" w:themeFill="background1"/>
            <w:noWrap/>
            <w:vAlign w:val="center"/>
            <w:hideMark/>
          </w:tcPr>
          <w:p w14:paraId="72C57292"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4 ± 1</w:t>
            </w:r>
          </w:p>
        </w:tc>
        <w:tc>
          <w:tcPr>
            <w:tcW w:w="842" w:type="dxa"/>
            <w:shd w:val="clear" w:color="auto" w:fill="FFFFFF" w:themeFill="background1"/>
            <w:noWrap/>
            <w:vAlign w:val="center"/>
            <w:hideMark/>
          </w:tcPr>
          <w:p w14:paraId="1BC94D91"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5 ± 1</w:t>
            </w:r>
          </w:p>
        </w:tc>
        <w:tc>
          <w:tcPr>
            <w:tcW w:w="842" w:type="dxa"/>
            <w:shd w:val="clear" w:color="auto" w:fill="FFFFFF" w:themeFill="background1"/>
            <w:noWrap/>
            <w:vAlign w:val="center"/>
            <w:hideMark/>
          </w:tcPr>
          <w:p w14:paraId="14B17730"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5 ± 1</w:t>
            </w:r>
          </w:p>
        </w:tc>
        <w:tc>
          <w:tcPr>
            <w:tcW w:w="842" w:type="dxa"/>
            <w:shd w:val="clear" w:color="auto" w:fill="FFFFFF" w:themeFill="background1"/>
            <w:noWrap/>
            <w:vAlign w:val="center"/>
            <w:hideMark/>
          </w:tcPr>
          <w:p w14:paraId="77363929"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11 ± 1</w:t>
            </w:r>
          </w:p>
        </w:tc>
        <w:tc>
          <w:tcPr>
            <w:tcW w:w="842" w:type="dxa"/>
            <w:shd w:val="clear" w:color="auto" w:fill="FFFFFF" w:themeFill="background1"/>
            <w:noWrap/>
            <w:vAlign w:val="center"/>
            <w:hideMark/>
          </w:tcPr>
          <w:p w14:paraId="763BDA18"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14</w:t>
            </w:r>
            <w:r w:rsidRPr="001975DF">
              <w:rPr>
                <w:rFonts w:ascii="Times New Roman" w:hAnsi="Times New Roman"/>
                <w:sz w:val="20"/>
              </w:rPr>
              <w:t xml:space="preserve"> </w:t>
            </w:r>
            <w:r w:rsidRPr="001975DF" w:rsidDel="00DE4C88">
              <w:rPr>
                <w:rFonts w:ascii="Times New Roman" w:hAnsi="Times New Roman"/>
                <w:sz w:val="20"/>
              </w:rPr>
              <w:t>± 2</w:t>
            </w:r>
          </w:p>
        </w:tc>
        <w:tc>
          <w:tcPr>
            <w:tcW w:w="842" w:type="dxa"/>
            <w:tcBorders>
              <w:right w:val="single" w:sz="4" w:space="0" w:color="auto"/>
            </w:tcBorders>
            <w:shd w:val="clear" w:color="auto" w:fill="FFFFFF" w:themeFill="background1"/>
            <w:noWrap/>
            <w:vAlign w:val="center"/>
            <w:hideMark/>
          </w:tcPr>
          <w:p w14:paraId="712AC2D3" w14:textId="77777777" w:rsidR="001975DF" w:rsidRPr="001975DF" w:rsidDel="00DE4C88" w:rsidRDefault="001975DF" w:rsidP="00553A3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14</w:t>
            </w:r>
            <w:r w:rsidRPr="001975DF">
              <w:rPr>
                <w:rFonts w:ascii="Times New Roman" w:hAnsi="Times New Roman"/>
                <w:sz w:val="20"/>
              </w:rPr>
              <w:t xml:space="preserve"> </w:t>
            </w:r>
            <w:r w:rsidRPr="001975DF" w:rsidDel="00DE4C88">
              <w:rPr>
                <w:rFonts w:ascii="Times New Roman" w:hAnsi="Times New Roman"/>
                <w:sz w:val="20"/>
              </w:rPr>
              <w:t>± 1</w:t>
            </w:r>
          </w:p>
        </w:tc>
      </w:tr>
      <w:tr w:rsidR="004F6F54" w:rsidRPr="000C3BBA" w:rsidDel="00DE4C88" w14:paraId="18B8C2AE" w14:textId="77777777" w:rsidTr="00592A4C">
        <w:trPr>
          <w:trHeight w:val="297"/>
        </w:trPr>
        <w:tc>
          <w:tcPr>
            <w:cnfStyle w:val="001000000000" w:firstRow="0" w:lastRow="0" w:firstColumn="1" w:lastColumn="0" w:oddVBand="0" w:evenVBand="0" w:oddHBand="0" w:evenHBand="0" w:firstRowFirstColumn="0" w:firstRowLastColumn="0" w:lastRowFirstColumn="0" w:lastRowLastColumn="0"/>
            <w:tcW w:w="1941" w:type="dxa"/>
            <w:tcBorders>
              <w:left w:val="single" w:sz="4" w:space="0" w:color="auto"/>
              <w:bottom w:val="single" w:sz="4" w:space="0" w:color="auto"/>
              <w:right w:val="single" w:sz="4" w:space="0" w:color="auto"/>
            </w:tcBorders>
            <w:noWrap/>
            <w:vAlign w:val="center"/>
            <w:hideMark/>
          </w:tcPr>
          <w:p w14:paraId="44A04FED" w14:textId="77777777" w:rsidR="001975DF" w:rsidRPr="001975DF" w:rsidDel="00DE4C88" w:rsidRDefault="001975DF" w:rsidP="001975DF">
            <w:pPr>
              <w:jc w:val="center"/>
              <w:rPr>
                <w:rFonts w:ascii="Times New Roman" w:hAnsi="Times New Roman"/>
                <w:b/>
                <w:i w:val="0"/>
                <w:sz w:val="20"/>
              </w:rPr>
            </w:pPr>
            <w:r w:rsidRPr="001975DF" w:rsidDel="00DE4C88">
              <w:rPr>
                <w:rFonts w:ascii="Times New Roman" w:hAnsi="Times New Roman"/>
                <w:b/>
                <w:i w:val="0"/>
                <w:sz w:val="20"/>
              </w:rPr>
              <w:t>4 Glucose</w:t>
            </w:r>
          </w:p>
        </w:tc>
        <w:tc>
          <w:tcPr>
            <w:tcW w:w="1020" w:type="dxa"/>
            <w:tcBorders>
              <w:left w:val="single" w:sz="4" w:space="0" w:color="auto"/>
              <w:bottom w:val="single" w:sz="4" w:space="0" w:color="auto"/>
            </w:tcBorders>
            <w:shd w:val="clear" w:color="auto" w:fill="FFFFFF" w:themeFill="background1"/>
            <w:vAlign w:val="center"/>
          </w:tcPr>
          <w:p w14:paraId="55270612"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0</w:t>
            </w:r>
          </w:p>
        </w:tc>
        <w:tc>
          <w:tcPr>
            <w:tcW w:w="949" w:type="dxa"/>
            <w:tcBorders>
              <w:left w:val="nil"/>
              <w:bottom w:val="single" w:sz="4" w:space="0" w:color="auto"/>
            </w:tcBorders>
            <w:shd w:val="clear" w:color="auto" w:fill="FFFFFF" w:themeFill="background1"/>
            <w:noWrap/>
            <w:vAlign w:val="center"/>
            <w:hideMark/>
          </w:tcPr>
          <w:p w14:paraId="5520CB9C"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0</w:t>
            </w:r>
          </w:p>
        </w:tc>
        <w:tc>
          <w:tcPr>
            <w:tcW w:w="842" w:type="dxa"/>
            <w:tcBorders>
              <w:bottom w:val="single" w:sz="4" w:space="0" w:color="auto"/>
            </w:tcBorders>
            <w:shd w:val="clear" w:color="auto" w:fill="FFFFFF" w:themeFill="background1"/>
            <w:noWrap/>
            <w:vAlign w:val="center"/>
            <w:hideMark/>
          </w:tcPr>
          <w:p w14:paraId="66300F2A"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0</w:t>
            </w:r>
          </w:p>
        </w:tc>
        <w:tc>
          <w:tcPr>
            <w:tcW w:w="842" w:type="dxa"/>
            <w:tcBorders>
              <w:bottom w:val="single" w:sz="4" w:space="0" w:color="auto"/>
            </w:tcBorders>
            <w:shd w:val="clear" w:color="auto" w:fill="FFFFFF" w:themeFill="background1"/>
            <w:noWrap/>
            <w:vAlign w:val="center"/>
            <w:hideMark/>
          </w:tcPr>
          <w:p w14:paraId="5CC2A2E3"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0</w:t>
            </w:r>
          </w:p>
        </w:tc>
        <w:tc>
          <w:tcPr>
            <w:tcW w:w="842" w:type="dxa"/>
            <w:tcBorders>
              <w:bottom w:val="single" w:sz="4" w:space="0" w:color="auto"/>
            </w:tcBorders>
            <w:shd w:val="clear" w:color="auto" w:fill="FFFFFF" w:themeFill="background1"/>
            <w:noWrap/>
            <w:vAlign w:val="center"/>
            <w:hideMark/>
          </w:tcPr>
          <w:p w14:paraId="31EFB622"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0</w:t>
            </w:r>
          </w:p>
        </w:tc>
        <w:tc>
          <w:tcPr>
            <w:tcW w:w="842" w:type="dxa"/>
            <w:tcBorders>
              <w:bottom w:val="single" w:sz="4" w:space="0" w:color="auto"/>
            </w:tcBorders>
            <w:shd w:val="clear" w:color="auto" w:fill="FFFFFF" w:themeFill="background1"/>
            <w:noWrap/>
            <w:vAlign w:val="center"/>
            <w:hideMark/>
          </w:tcPr>
          <w:p w14:paraId="542AFDC2"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0</w:t>
            </w:r>
          </w:p>
        </w:tc>
        <w:tc>
          <w:tcPr>
            <w:tcW w:w="842" w:type="dxa"/>
            <w:tcBorders>
              <w:bottom w:val="single" w:sz="4" w:space="0" w:color="auto"/>
            </w:tcBorders>
            <w:shd w:val="clear" w:color="auto" w:fill="FFFFFF" w:themeFill="background1"/>
            <w:noWrap/>
            <w:vAlign w:val="center"/>
            <w:hideMark/>
          </w:tcPr>
          <w:p w14:paraId="1055D94A"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5</w:t>
            </w:r>
            <w:r w:rsidRPr="001975DF">
              <w:rPr>
                <w:rFonts w:ascii="Times New Roman" w:hAnsi="Times New Roman"/>
                <w:sz w:val="20"/>
              </w:rPr>
              <w:t xml:space="preserve"> </w:t>
            </w:r>
            <w:r w:rsidRPr="001975DF" w:rsidDel="00DE4C88">
              <w:rPr>
                <w:rFonts w:ascii="Times New Roman" w:hAnsi="Times New Roman"/>
                <w:sz w:val="20"/>
              </w:rPr>
              <w:t>± 1</w:t>
            </w:r>
          </w:p>
        </w:tc>
        <w:tc>
          <w:tcPr>
            <w:tcW w:w="842" w:type="dxa"/>
            <w:tcBorders>
              <w:bottom w:val="single" w:sz="4" w:space="0" w:color="auto"/>
              <w:right w:val="single" w:sz="4" w:space="0" w:color="auto"/>
            </w:tcBorders>
            <w:shd w:val="clear" w:color="auto" w:fill="FFFFFF" w:themeFill="background1"/>
            <w:noWrap/>
            <w:vAlign w:val="center"/>
            <w:hideMark/>
          </w:tcPr>
          <w:p w14:paraId="487DAF3E" w14:textId="77777777" w:rsidR="001975DF" w:rsidRPr="001975DF" w:rsidDel="00DE4C88" w:rsidRDefault="001975DF" w:rsidP="00553A3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75DF" w:rsidDel="00DE4C88">
              <w:rPr>
                <w:rFonts w:ascii="Times New Roman" w:hAnsi="Times New Roman"/>
                <w:sz w:val="20"/>
              </w:rPr>
              <w:t>4</w:t>
            </w:r>
            <w:r w:rsidRPr="001975DF">
              <w:rPr>
                <w:rFonts w:ascii="Times New Roman" w:hAnsi="Times New Roman"/>
                <w:sz w:val="20"/>
              </w:rPr>
              <w:t xml:space="preserve"> </w:t>
            </w:r>
            <w:r w:rsidRPr="001975DF" w:rsidDel="00DE4C88">
              <w:rPr>
                <w:rFonts w:ascii="Times New Roman" w:hAnsi="Times New Roman"/>
                <w:sz w:val="20"/>
              </w:rPr>
              <w:t>± 0</w:t>
            </w:r>
          </w:p>
        </w:tc>
      </w:tr>
    </w:tbl>
    <w:p w14:paraId="3EF8EB0C" w14:textId="77777777" w:rsidR="001975DF" w:rsidRPr="00E62016" w:rsidRDefault="001975DF" w:rsidP="001975DF">
      <w:pPr>
        <w:pStyle w:val="Caption"/>
        <w:keepNext/>
        <w:rPr>
          <w:i w:val="0"/>
          <w:color w:val="auto"/>
          <w:sz w:val="24"/>
        </w:rPr>
      </w:pPr>
      <w:r w:rsidRPr="00E62016">
        <w:rPr>
          <w:i w:val="0"/>
          <w:color w:val="auto"/>
          <w:sz w:val="24"/>
        </w:rPr>
        <w:t xml:space="preserve">Table </w:t>
      </w:r>
      <w:r>
        <w:rPr>
          <w:i w:val="0"/>
          <w:color w:val="auto"/>
          <w:sz w:val="24"/>
        </w:rPr>
        <w:t>1</w:t>
      </w:r>
      <w:r w:rsidRPr="00E62016">
        <w:rPr>
          <w:i w:val="0"/>
          <w:color w:val="auto"/>
          <w:sz w:val="24"/>
        </w:rPr>
        <w:t>. Summary of glycation % calculated from the integration of the 7</w:t>
      </w:r>
      <w:r w:rsidRPr="00B20249">
        <w:rPr>
          <w:i w:val="0"/>
          <w:color w:val="auto"/>
          <w:sz w:val="24"/>
          <w:vertAlign w:val="superscript"/>
        </w:rPr>
        <w:t>+</w:t>
      </w:r>
      <w:r w:rsidRPr="00E62016">
        <w:rPr>
          <w:i w:val="0"/>
          <w:color w:val="auto"/>
          <w:sz w:val="24"/>
        </w:rPr>
        <w:t xml:space="preserve"> and 8</w:t>
      </w:r>
      <w:r w:rsidRPr="00B20249">
        <w:rPr>
          <w:i w:val="0"/>
          <w:color w:val="auto"/>
          <w:sz w:val="24"/>
          <w:vertAlign w:val="superscript"/>
        </w:rPr>
        <w:t>+</w:t>
      </w:r>
      <w:r w:rsidRPr="00E62016">
        <w:rPr>
          <w:i w:val="0"/>
          <w:color w:val="auto"/>
          <w:sz w:val="24"/>
        </w:rPr>
        <w:t xml:space="preserve"> charge states</w:t>
      </w:r>
      <w:r>
        <w:rPr>
          <w:i w:val="0"/>
          <w:color w:val="auto"/>
          <w:sz w:val="24"/>
        </w:rPr>
        <w:t xml:space="preserve"> (most intense)</w:t>
      </w:r>
      <w:r w:rsidRPr="00E62016">
        <w:rPr>
          <w:i w:val="0"/>
          <w:color w:val="auto"/>
          <w:sz w:val="24"/>
        </w:rPr>
        <w:t xml:space="preserve">, at 4V and 20 V </w:t>
      </w:r>
      <w:r>
        <w:rPr>
          <w:i w:val="0"/>
          <w:color w:val="auto"/>
          <w:sz w:val="24"/>
        </w:rPr>
        <w:t>collisional</w:t>
      </w:r>
      <w:r w:rsidRPr="00E62016">
        <w:rPr>
          <w:i w:val="0"/>
          <w:color w:val="auto"/>
          <w:sz w:val="24"/>
        </w:rPr>
        <w:t xml:space="preserve"> energ</w:t>
      </w:r>
      <w:r>
        <w:rPr>
          <w:i w:val="0"/>
          <w:color w:val="auto"/>
          <w:sz w:val="24"/>
        </w:rPr>
        <w:t>ies</w:t>
      </w:r>
      <w:r w:rsidRPr="00E62016">
        <w:rPr>
          <w:i w:val="0"/>
          <w:color w:val="auto"/>
          <w:sz w:val="24"/>
        </w:rPr>
        <w:t xml:space="preserve"> of lysozyme using peaks that increase by 162 Da (addition of glucose – H</w:t>
      </w:r>
      <w:r w:rsidRPr="00E62016">
        <w:rPr>
          <w:i w:val="0"/>
          <w:color w:val="auto"/>
          <w:sz w:val="24"/>
          <w:vertAlign w:val="subscript"/>
        </w:rPr>
        <w:t>2</w:t>
      </w:r>
      <w:r w:rsidRPr="00E62016">
        <w:rPr>
          <w:i w:val="0"/>
          <w:color w:val="auto"/>
          <w:sz w:val="24"/>
        </w:rPr>
        <w:t>O). The % of glycation was monitored over time course from da</w:t>
      </w:r>
      <w:r>
        <w:rPr>
          <w:i w:val="0"/>
          <w:color w:val="auto"/>
          <w:sz w:val="24"/>
        </w:rPr>
        <w:t>y 0</w:t>
      </w:r>
      <w:r w:rsidRPr="00E62016">
        <w:rPr>
          <w:i w:val="0"/>
          <w:color w:val="auto"/>
          <w:sz w:val="24"/>
        </w:rPr>
        <w:t xml:space="preserve"> to </w:t>
      </w:r>
      <w:r>
        <w:rPr>
          <w:i w:val="0"/>
          <w:color w:val="auto"/>
          <w:sz w:val="24"/>
        </w:rPr>
        <w:t>d</w:t>
      </w:r>
      <w:r w:rsidRPr="00E62016">
        <w:rPr>
          <w:i w:val="0"/>
          <w:color w:val="auto"/>
          <w:sz w:val="24"/>
        </w:rPr>
        <w:t>ay 30.</w:t>
      </w:r>
      <w:r>
        <w:rPr>
          <w:i w:val="0"/>
          <w:color w:val="auto"/>
          <w:sz w:val="24"/>
        </w:rPr>
        <w:t xml:space="preserve"> </w:t>
      </w:r>
      <w:commentRangeStart w:id="7"/>
      <w:r>
        <w:rPr>
          <w:i w:val="0"/>
          <w:color w:val="auto"/>
          <w:sz w:val="24"/>
        </w:rPr>
        <w:t xml:space="preserve">Errors were calculated as the standard error (SE). </w:t>
      </w:r>
      <w:commentRangeEnd w:id="7"/>
      <w:r w:rsidR="00C96762">
        <w:rPr>
          <w:rStyle w:val="CommentReference"/>
          <w:i w:val="0"/>
          <w:iCs w:val="0"/>
          <w:color w:val="auto"/>
        </w:rPr>
        <w:commentReference w:id="7"/>
      </w:r>
      <w:r>
        <w:rPr>
          <w:i w:val="0"/>
          <w:color w:val="auto"/>
          <w:sz w:val="24"/>
        </w:rPr>
        <w:t>Analysis carried out using</w:t>
      </w:r>
      <w:r w:rsidRPr="00D5564E">
        <w:rPr>
          <w:i w:val="0"/>
          <w:color w:val="auto"/>
          <w:sz w:val="24"/>
        </w:rPr>
        <w:t xml:space="preserve">. Waters </w:t>
      </w:r>
      <w:proofErr w:type="spellStart"/>
      <w:r w:rsidRPr="00D5564E">
        <w:rPr>
          <w:i w:val="0"/>
          <w:color w:val="auto"/>
          <w:sz w:val="24"/>
        </w:rPr>
        <w:t>Synapt</w:t>
      </w:r>
      <w:proofErr w:type="spellEnd"/>
      <w:r w:rsidRPr="00D5564E">
        <w:rPr>
          <w:i w:val="0"/>
          <w:color w:val="auto"/>
          <w:sz w:val="24"/>
        </w:rPr>
        <w:t xml:space="preserve"> G2 (Waters, Manchester UK)</w:t>
      </w:r>
      <w:r>
        <w:rPr>
          <w:i w:val="0"/>
          <w:color w:val="auto"/>
          <w:sz w:val="24"/>
        </w:rPr>
        <w:t>.</w:t>
      </w:r>
      <w:r w:rsidRPr="00D5564E">
        <w:rPr>
          <w:i w:val="0"/>
          <w:color w:val="auto"/>
          <w:sz w:val="24"/>
        </w:rPr>
        <w:t xml:space="preserve"> </w:t>
      </w:r>
      <w:r>
        <w:rPr>
          <w:i w:val="0"/>
          <w:color w:val="auto"/>
          <w:sz w:val="24"/>
        </w:rPr>
        <w:t>Calculations and masses are shown in Table S1.</w:t>
      </w:r>
    </w:p>
    <w:p w14:paraId="5882420B" w14:textId="77777777" w:rsidR="00FF014D" w:rsidRDefault="00FF014D" w:rsidP="00324E0C">
      <w:pPr>
        <w:spacing w:line="480" w:lineRule="auto"/>
        <w:rPr>
          <w:rFonts w:ascii="Times New Roman" w:hAnsi="Times New Roman"/>
          <w:b/>
          <w:szCs w:val="19"/>
        </w:rPr>
      </w:pPr>
    </w:p>
    <w:p w14:paraId="3FFE3F95" w14:textId="1C11242C" w:rsidR="00376C10" w:rsidRPr="006820AF" w:rsidRDefault="00376C10" w:rsidP="00324E0C">
      <w:pPr>
        <w:spacing w:line="480" w:lineRule="auto"/>
        <w:rPr>
          <w:rFonts w:ascii="Times New Roman" w:hAnsi="Times New Roman"/>
          <w:b/>
          <w:szCs w:val="19"/>
        </w:rPr>
      </w:pPr>
      <w:r w:rsidRPr="006820AF">
        <w:rPr>
          <w:rFonts w:ascii="Times New Roman" w:hAnsi="Times New Roman"/>
          <w:b/>
          <w:szCs w:val="19"/>
        </w:rPr>
        <w:t xml:space="preserve">FTIR-ATR </w:t>
      </w:r>
      <w:r w:rsidR="005F5B55" w:rsidRPr="006820AF">
        <w:rPr>
          <w:rFonts w:ascii="Times New Roman" w:hAnsi="Times New Roman"/>
          <w:b/>
          <w:szCs w:val="19"/>
        </w:rPr>
        <w:t>analysis</w:t>
      </w:r>
      <w:r w:rsidR="005F5B55">
        <w:rPr>
          <w:rFonts w:ascii="Times New Roman" w:hAnsi="Times New Roman"/>
          <w:b/>
          <w:szCs w:val="19"/>
        </w:rPr>
        <w:t xml:space="preserve"> of g</w:t>
      </w:r>
      <w:r w:rsidR="005F5B55" w:rsidRPr="006820AF">
        <w:rPr>
          <w:rFonts w:ascii="Times New Roman" w:hAnsi="Times New Roman"/>
          <w:b/>
          <w:szCs w:val="19"/>
        </w:rPr>
        <w:t>lycated lysozyme</w:t>
      </w:r>
    </w:p>
    <w:p w14:paraId="16CAE7F8" w14:textId="1937F454" w:rsidR="00324E0C" w:rsidRPr="00324E0C" w:rsidRDefault="00376C10" w:rsidP="00324E0C">
      <w:pPr>
        <w:spacing w:line="480" w:lineRule="auto"/>
        <w:rPr>
          <w:rFonts w:ascii="Times New Roman" w:hAnsi="Times New Roman"/>
          <w:szCs w:val="19"/>
        </w:rPr>
      </w:pPr>
      <w:r w:rsidRPr="001D09E9">
        <w:rPr>
          <w:rFonts w:ascii="Times New Roman" w:hAnsi="Times New Roman"/>
          <w:szCs w:val="19"/>
        </w:rPr>
        <w:t>FTIR</w:t>
      </w:r>
      <w:r>
        <w:rPr>
          <w:rFonts w:ascii="Times New Roman" w:hAnsi="Times New Roman"/>
          <w:szCs w:val="19"/>
        </w:rPr>
        <w:t>-ATR</w:t>
      </w:r>
      <w:r w:rsidRPr="001D09E9">
        <w:rPr>
          <w:rFonts w:ascii="Times New Roman" w:hAnsi="Times New Roman"/>
          <w:szCs w:val="19"/>
        </w:rPr>
        <w:t xml:space="preserve"> was carried out on all the </w:t>
      </w:r>
      <w:r w:rsidR="00F22C1B">
        <w:rPr>
          <w:rFonts w:ascii="Times New Roman" w:hAnsi="Times New Roman"/>
          <w:szCs w:val="19"/>
        </w:rPr>
        <w:t>controls</w:t>
      </w:r>
      <w:r w:rsidRPr="001D09E9">
        <w:rPr>
          <w:rFonts w:ascii="Times New Roman" w:hAnsi="Times New Roman"/>
          <w:szCs w:val="19"/>
        </w:rPr>
        <w:t xml:space="preserve"> and glycated lysozyme from day</w:t>
      </w:r>
      <w:r w:rsidR="00FF014D">
        <w:rPr>
          <w:rFonts w:ascii="Times New Roman" w:hAnsi="Times New Roman"/>
          <w:szCs w:val="19"/>
        </w:rPr>
        <w:t>s</w:t>
      </w:r>
      <w:r w:rsidRPr="001D09E9">
        <w:rPr>
          <w:rFonts w:ascii="Times New Roman" w:hAnsi="Times New Roman"/>
          <w:szCs w:val="19"/>
        </w:rPr>
        <w:t xml:space="preserve"> 1 to 30 of the incubation</w:t>
      </w:r>
      <w:r>
        <w:rPr>
          <w:rFonts w:ascii="Times New Roman" w:hAnsi="Times New Roman"/>
          <w:szCs w:val="19"/>
        </w:rPr>
        <w:t xml:space="preserve"> using </w:t>
      </w:r>
      <w:proofErr w:type="spellStart"/>
      <w:r>
        <w:rPr>
          <w:rFonts w:ascii="Times New Roman" w:hAnsi="Times New Roman"/>
          <w:szCs w:val="19"/>
        </w:rPr>
        <w:t>lyophilised</w:t>
      </w:r>
      <w:proofErr w:type="spellEnd"/>
      <w:r>
        <w:rPr>
          <w:rFonts w:ascii="Times New Roman" w:hAnsi="Times New Roman"/>
          <w:szCs w:val="19"/>
        </w:rPr>
        <w:t xml:space="preserve"> samples</w:t>
      </w:r>
      <w:r w:rsidRPr="001D09E9">
        <w:rPr>
          <w:rFonts w:ascii="Times New Roman" w:hAnsi="Times New Roman"/>
          <w:szCs w:val="19"/>
        </w:rPr>
        <w:t xml:space="preserve"> outlined in the methods.</w:t>
      </w:r>
      <w:r>
        <w:rPr>
          <w:rFonts w:ascii="Times New Roman" w:hAnsi="Times New Roman"/>
          <w:szCs w:val="19"/>
        </w:rPr>
        <w:t xml:space="preserve"> </w:t>
      </w:r>
      <w:r w:rsidRPr="001D09E9">
        <w:rPr>
          <w:rFonts w:ascii="Times New Roman" w:hAnsi="Times New Roman"/>
          <w:szCs w:val="19"/>
        </w:rPr>
        <w:t>The full FTIR spectra of all of t</w:t>
      </w:r>
      <w:r>
        <w:rPr>
          <w:rFonts w:ascii="Times New Roman" w:hAnsi="Times New Roman"/>
          <w:szCs w:val="19"/>
        </w:rPr>
        <w:t xml:space="preserve">he samples are shown in </w:t>
      </w:r>
      <w:r w:rsidR="00FF014D">
        <w:rPr>
          <w:rFonts w:ascii="Times New Roman" w:hAnsi="Times New Roman"/>
          <w:szCs w:val="19"/>
        </w:rPr>
        <w:t>F</w:t>
      </w:r>
      <w:r>
        <w:rPr>
          <w:rFonts w:ascii="Times New Roman" w:hAnsi="Times New Roman"/>
          <w:szCs w:val="19"/>
        </w:rPr>
        <w:t>igure 2</w:t>
      </w:r>
      <w:r w:rsidR="00FF014D">
        <w:rPr>
          <w:rFonts w:ascii="Times New Roman" w:hAnsi="Times New Roman"/>
          <w:szCs w:val="19"/>
        </w:rPr>
        <w:t>a</w:t>
      </w:r>
      <w:r w:rsidR="00A231D3">
        <w:rPr>
          <w:rFonts w:ascii="Times New Roman" w:hAnsi="Times New Roman"/>
          <w:szCs w:val="19"/>
        </w:rPr>
        <w:t>,</w:t>
      </w:r>
      <w:r>
        <w:rPr>
          <w:rFonts w:ascii="Times New Roman" w:hAnsi="Times New Roman"/>
          <w:szCs w:val="19"/>
        </w:rPr>
        <w:t xml:space="preserve"> where </w:t>
      </w:r>
      <w:r>
        <w:rPr>
          <w:rFonts w:ascii="Times New Roman" w:hAnsi="Times New Roman"/>
          <w:szCs w:val="24"/>
        </w:rPr>
        <w:t>t</w:t>
      </w:r>
      <w:r w:rsidRPr="00F97C40">
        <w:rPr>
          <w:rFonts w:ascii="Times New Roman" w:hAnsi="Times New Roman"/>
          <w:szCs w:val="24"/>
        </w:rPr>
        <w:t>he amide region of the spectrum stretches from 1700 cm</w:t>
      </w:r>
      <w:r w:rsidRPr="00F97C40">
        <w:rPr>
          <w:rFonts w:ascii="Times New Roman" w:hAnsi="Times New Roman"/>
          <w:szCs w:val="24"/>
          <w:vertAlign w:val="superscript"/>
        </w:rPr>
        <w:t>-1</w:t>
      </w:r>
      <w:r w:rsidRPr="00F97C40">
        <w:rPr>
          <w:rFonts w:ascii="Times New Roman" w:hAnsi="Times New Roman"/>
          <w:szCs w:val="24"/>
        </w:rPr>
        <w:t xml:space="preserve"> to 1200 cm</w:t>
      </w:r>
      <w:r w:rsidRPr="00F97C40">
        <w:rPr>
          <w:rFonts w:ascii="Times New Roman" w:hAnsi="Times New Roman"/>
          <w:szCs w:val="24"/>
          <w:vertAlign w:val="superscript"/>
        </w:rPr>
        <w:t>-1</w:t>
      </w:r>
      <w:r w:rsidRPr="00F97C40">
        <w:rPr>
          <w:rFonts w:ascii="Times New Roman" w:hAnsi="Times New Roman"/>
          <w:szCs w:val="24"/>
        </w:rPr>
        <w:t xml:space="preserve"> and contains amide regions I, II and III. The overlap between sugar peaks and amide peak</w:t>
      </w:r>
      <w:r w:rsidR="00EA6313">
        <w:rPr>
          <w:rFonts w:ascii="Times New Roman" w:hAnsi="Times New Roman"/>
          <w:szCs w:val="24"/>
        </w:rPr>
        <w:t>s</w:t>
      </w:r>
      <w:r w:rsidRPr="00F97C40">
        <w:rPr>
          <w:rFonts w:ascii="Times New Roman" w:hAnsi="Times New Roman"/>
          <w:szCs w:val="24"/>
        </w:rPr>
        <w:t xml:space="preserve"> becomes increasingly complicated as </w:t>
      </w:r>
      <w:r w:rsidR="00A231D3">
        <w:rPr>
          <w:rFonts w:ascii="Times New Roman" w:hAnsi="Times New Roman"/>
          <w:szCs w:val="24"/>
        </w:rPr>
        <w:t xml:space="preserve">increasing </w:t>
      </w:r>
      <w:r w:rsidRPr="00F97C40">
        <w:rPr>
          <w:rFonts w:ascii="Times New Roman" w:hAnsi="Times New Roman"/>
          <w:szCs w:val="24"/>
        </w:rPr>
        <w:t>sugar peaks can stretch from 1500 cm</w:t>
      </w:r>
      <w:r w:rsidRPr="00F97C40">
        <w:rPr>
          <w:rFonts w:ascii="Times New Roman" w:hAnsi="Times New Roman"/>
          <w:szCs w:val="24"/>
          <w:vertAlign w:val="superscript"/>
        </w:rPr>
        <w:t>-1</w:t>
      </w:r>
      <w:r w:rsidRPr="00F97C40">
        <w:rPr>
          <w:rFonts w:ascii="Times New Roman" w:hAnsi="Times New Roman"/>
          <w:szCs w:val="24"/>
        </w:rPr>
        <w:t xml:space="preserve"> to 1000 cm</w:t>
      </w:r>
      <w:r w:rsidRPr="00F97C40">
        <w:rPr>
          <w:rFonts w:ascii="Times New Roman" w:hAnsi="Times New Roman"/>
          <w:szCs w:val="24"/>
          <w:vertAlign w:val="superscript"/>
        </w:rPr>
        <w:t>-1</w:t>
      </w:r>
      <w:r w:rsidRPr="00F97C40">
        <w:rPr>
          <w:rFonts w:ascii="Times New Roman" w:hAnsi="Times New Roman"/>
          <w:szCs w:val="24"/>
        </w:rPr>
        <w:t>.</w:t>
      </w:r>
      <w:r w:rsidR="006F5D32">
        <w:rPr>
          <w:rFonts w:ascii="Times New Roman" w:hAnsi="Times New Roman"/>
          <w:szCs w:val="24"/>
        </w:rPr>
        <w:fldChar w:fldCharType="begin" w:fldLock="1"/>
      </w:r>
      <w:r w:rsidR="006F5D32">
        <w:rPr>
          <w:rFonts w:ascii="Times New Roman" w:hAnsi="Times New Roman"/>
          <w:szCs w:val="24"/>
        </w:rPr>
        <w:instrText>ADDIN CSL_CITATION {"citationItems":[{"id":"ITEM-1","itemData":{"DOI":"10.1016/J.FOODCHEM.2014.07.138","ISSN":"0308-8146","abstract":"A Fourier transform infrared spectroscopic method with attenuated total reflectance (FTIR-ATR) and partial least squares (PLS) regression model for the prediction of sugar content in honey samples was calculated. Standards of trehalose, glucose, fructose, sucrose, melezitose, turanose and maltose were used to identify and quantify the individual sugar components in 63 honey samples by HPAEC-IPAD. Fructose and glucose are the highest sugars in honey with an average value of 36% and 26%, respectively. The 1stDer spectra with MSC or SLS in the wave number range from 1500 to 750cm−1 provide the best calibration model with a r2 of 86.60 and 86.01 with RPD of 2.6 and 2.55, respectively for fructose and glucose. For turanose and melezitose good models were also found. The FTIR-ATR showed to be a good methodology to quantify the main sugar content in honey and easily adapted to routine analysis.","author":[{"dropping-particle":"","family":"Anjos","given":"Ofélia","non-dropping-particle":"","parse-names":false,"suffix":""},{"dropping-particle":"","family":"Campos","given":"Maria Graça","non-dropping-particle":"","parse-names":false,"suffix":""},{"dropping-particle":"","family":"Ruiz","given":"Pablo Contreras","non-dropping-particle":"","parse-names":false,"suffix":""},{"dropping-particle":"","family":"Antunes","given":"Paulo","non-dropping-particle":"","parse-names":false,"suffix":""}],"container-title":"Food Chemistry","id":"ITEM-1","issued":{"date-parts":[["2015","2","15"]]},"page":"218-223","publisher":"Elsevier","title":"Application of FTIR-ATR spectroscopy to the quantification of sugar in honey","type":"article-journal","volume":"169"},"uris":["http://www.mendeley.com/documents/?uuid=95c588e7-21f3-353f-ae0b-4c8d1edcb3e2"]}],"mendeley":{"formattedCitation":"&lt;sup&gt;32&lt;/sup&gt;","plainTextFormattedCitation":"32","previouslyFormattedCitation":"&lt;sup&gt;32&lt;/sup&gt;"},"properties":{"noteIndex":0},"schema":"https://github.com/citation-style-language/schema/raw/master/csl-citation.json"}</w:instrText>
      </w:r>
      <w:r w:rsidR="006F5D32">
        <w:rPr>
          <w:rFonts w:ascii="Times New Roman" w:hAnsi="Times New Roman"/>
          <w:szCs w:val="24"/>
        </w:rPr>
        <w:fldChar w:fldCharType="separate"/>
      </w:r>
      <w:r w:rsidR="006F5D32" w:rsidRPr="00375CAA">
        <w:rPr>
          <w:rFonts w:ascii="Times New Roman" w:hAnsi="Times New Roman"/>
          <w:noProof/>
          <w:szCs w:val="24"/>
          <w:vertAlign w:val="superscript"/>
        </w:rPr>
        <w:t>32</w:t>
      </w:r>
      <w:r w:rsidR="006F5D32">
        <w:rPr>
          <w:rFonts w:ascii="Times New Roman" w:hAnsi="Times New Roman"/>
          <w:szCs w:val="24"/>
        </w:rPr>
        <w:fldChar w:fldCharType="end"/>
      </w:r>
    </w:p>
    <w:p w14:paraId="54B803F4" w14:textId="262B3AB0" w:rsidR="00262D2D" w:rsidRPr="006539A2" w:rsidRDefault="008C2C7D" w:rsidP="006539A2">
      <w:pPr>
        <w:rPr>
          <w:rFonts w:ascii="Arno Pro" w:hAnsi="Arno Pro"/>
          <w:color w:val="FF0000"/>
          <w:sz w:val="19"/>
          <w:szCs w:val="19"/>
        </w:rPr>
      </w:pPr>
      <w:r>
        <w:rPr>
          <w:rFonts w:ascii="Arno Pro" w:hAnsi="Arno Pro"/>
          <w:noProof/>
          <w:color w:val="FF0000"/>
          <w:sz w:val="19"/>
          <w:szCs w:val="19"/>
          <w:lang w:val="en-GB" w:eastAsia="en-GB"/>
        </w:rPr>
        <w:lastRenderedPageBreak/>
        <w:drawing>
          <wp:inline distT="0" distB="0" distL="0" distR="0" wp14:anchorId="6E3F3F70" wp14:editId="23A80B48">
            <wp:extent cx="5933920" cy="45957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182" cy="4597503"/>
                    </a:xfrm>
                    <a:prstGeom prst="rect">
                      <a:avLst/>
                    </a:prstGeom>
                    <a:noFill/>
                  </pic:spPr>
                </pic:pic>
              </a:graphicData>
            </a:graphic>
          </wp:inline>
        </w:drawing>
      </w:r>
    </w:p>
    <w:p w14:paraId="2687A714" w14:textId="1E85D6E5" w:rsidR="00121FB0" w:rsidRPr="006539A2" w:rsidRDefault="00262D2D" w:rsidP="006F5D32">
      <w:pPr>
        <w:pStyle w:val="Caption"/>
        <w:rPr>
          <w:rFonts w:ascii="Arno Pro" w:hAnsi="Arno Pro"/>
          <w:i w:val="0"/>
          <w:color w:val="auto"/>
          <w:sz w:val="24"/>
          <w:szCs w:val="24"/>
        </w:rPr>
      </w:pPr>
      <w:r w:rsidRPr="006539A2">
        <w:rPr>
          <w:i w:val="0"/>
          <w:color w:val="auto"/>
          <w:sz w:val="24"/>
          <w:szCs w:val="24"/>
        </w:rPr>
        <w:t xml:space="preserve">Figure </w:t>
      </w:r>
      <w:r w:rsidRPr="006539A2">
        <w:rPr>
          <w:i w:val="0"/>
          <w:color w:val="auto"/>
          <w:sz w:val="24"/>
          <w:szCs w:val="24"/>
        </w:rPr>
        <w:fldChar w:fldCharType="begin"/>
      </w:r>
      <w:r w:rsidRPr="006539A2">
        <w:rPr>
          <w:i w:val="0"/>
          <w:color w:val="auto"/>
          <w:sz w:val="24"/>
          <w:szCs w:val="24"/>
        </w:rPr>
        <w:instrText xml:space="preserve"> SEQ Figure \* ARABIC </w:instrText>
      </w:r>
      <w:r w:rsidRPr="006539A2">
        <w:rPr>
          <w:i w:val="0"/>
          <w:color w:val="auto"/>
          <w:sz w:val="24"/>
          <w:szCs w:val="24"/>
        </w:rPr>
        <w:fldChar w:fldCharType="separate"/>
      </w:r>
      <w:r w:rsidR="009E7B21">
        <w:rPr>
          <w:i w:val="0"/>
          <w:noProof/>
          <w:color w:val="auto"/>
          <w:sz w:val="24"/>
          <w:szCs w:val="24"/>
        </w:rPr>
        <w:t>2</w:t>
      </w:r>
      <w:r w:rsidRPr="006539A2">
        <w:rPr>
          <w:i w:val="0"/>
          <w:color w:val="auto"/>
          <w:sz w:val="24"/>
          <w:szCs w:val="24"/>
        </w:rPr>
        <w:fldChar w:fldCharType="end"/>
      </w:r>
      <w:r w:rsidR="006539A2" w:rsidRPr="006539A2">
        <w:rPr>
          <w:i w:val="0"/>
          <w:color w:val="auto"/>
          <w:sz w:val="24"/>
          <w:szCs w:val="24"/>
        </w:rPr>
        <w:t xml:space="preserve">. </w:t>
      </w:r>
      <w:r w:rsidR="0054100A">
        <w:rPr>
          <w:i w:val="0"/>
          <w:color w:val="auto"/>
          <w:sz w:val="24"/>
          <w:szCs w:val="24"/>
        </w:rPr>
        <w:t xml:space="preserve">a) </w:t>
      </w:r>
      <w:r w:rsidR="006539A2" w:rsidRPr="006539A2">
        <w:rPr>
          <w:i w:val="0"/>
          <w:color w:val="auto"/>
          <w:sz w:val="24"/>
          <w:szCs w:val="24"/>
        </w:rPr>
        <w:t>FTIR</w:t>
      </w:r>
      <w:r w:rsidR="0054100A">
        <w:rPr>
          <w:i w:val="0"/>
          <w:color w:val="auto"/>
          <w:sz w:val="24"/>
          <w:szCs w:val="24"/>
        </w:rPr>
        <w:t>-ATR</w:t>
      </w:r>
      <w:r w:rsidR="006539A2" w:rsidRPr="006539A2">
        <w:rPr>
          <w:i w:val="0"/>
          <w:color w:val="auto"/>
          <w:sz w:val="24"/>
          <w:szCs w:val="24"/>
        </w:rPr>
        <w:t xml:space="preserve"> spectrum showing the </w:t>
      </w:r>
      <w:r w:rsidR="00F22C1B">
        <w:rPr>
          <w:i w:val="0"/>
          <w:color w:val="auto"/>
          <w:sz w:val="24"/>
          <w:szCs w:val="24"/>
        </w:rPr>
        <w:t>controls</w:t>
      </w:r>
      <w:r w:rsidR="006539A2" w:rsidRPr="006539A2">
        <w:rPr>
          <w:i w:val="0"/>
          <w:color w:val="auto"/>
          <w:sz w:val="24"/>
          <w:szCs w:val="24"/>
        </w:rPr>
        <w:t xml:space="preserve"> (samples incubated with no glucose l</w:t>
      </w:r>
      <w:r w:rsidR="00BD7C60">
        <w:rPr>
          <w:i w:val="0"/>
          <w:color w:val="auto"/>
          <w:sz w:val="24"/>
          <w:szCs w:val="24"/>
        </w:rPr>
        <w:t>abelled S</w:t>
      </w:r>
      <w:r w:rsidR="006539A2" w:rsidRPr="006539A2">
        <w:rPr>
          <w:i w:val="0"/>
          <w:color w:val="auto"/>
          <w:sz w:val="24"/>
          <w:szCs w:val="24"/>
        </w:rPr>
        <w:t xml:space="preserve"> and glycated lysozyme G</w:t>
      </w:r>
      <w:r w:rsidR="00270ED0">
        <w:rPr>
          <w:i w:val="0"/>
          <w:color w:val="auto"/>
          <w:sz w:val="24"/>
          <w:szCs w:val="24"/>
        </w:rPr>
        <w:t xml:space="preserve"> from incubation day 1 through until</w:t>
      </w:r>
      <w:r w:rsidR="006539A2" w:rsidRPr="006539A2">
        <w:rPr>
          <w:i w:val="0"/>
          <w:color w:val="auto"/>
          <w:sz w:val="24"/>
          <w:szCs w:val="24"/>
        </w:rPr>
        <w:t xml:space="preserve"> day 30.</w:t>
      </w:r>
      <w:r w:rsidR="0054100A">
        <w:rPr>
          <w:i w:val="0"/>
          <w:color w:val="auto"/>
          <w:sz w:val="24"/>
          <w:szCs w:val="24"/>
        </w:rPr>
        <w:t xml:space="preserve"> </w:t>
      </w:r>
      <w:r w:rsidR="00A231D3">
        <w:rPr>
          <w:i w:val="0"/>
          <w:color w:val="auto"/>
          <w:sz w:val="24"/>
          <w:szCs w:val="24"/>
        </w:rPr>
        <w:t>Spectra are</w:t>
      </w:r>
      <w:r w:rsidR="0054100A">
        <w:rPr>
          <w:i w:val="0"/>
          <w:color w:val="auto"/>
          <w:sz w:val="24"/>
          <w:szCs w:val="24"/>
        </w:rPr>
        <w:t xml:space="preserve"> cut to only show between 1800 cm</w:t>
      </w:r>
      <w:r w:rsidR="0054100A" w:rsidRPr="002A6C21">
        <w:rPr>
          <w:i w:val="0"/>
          <w:color w:val="auto"/>
          <w:sz w:val="24"/>
          <w:szCs w:val="24"/>
          <w:vertAlign w:val="superscript"/>
        </w:rPr>
        <w:t>-1</w:t>
      </w:r>
      <w:r w:rsidR="0054100A">
        <w:rPr>
          <w:i w:val="0"/>
          <w:color w:val="auto"/>
          <w:sz w:val="24"/>
          <w:szCs w:val="24"/>
        </w:rPr>
        <w:t xml:space="preserve"> to 700 cm</w:t>
      </w:r>
      <w:r w:rsidR="0054100A" w:rsidRPr="002A6C21">
        <w:rPr>
          <w:i w:val="0"/>
          <w:color w:val="auto"/>
          <w:sz w:val="24"/>
          <w:szCs w:val="24"/>
          <w:vertAlign w:val="superscript"/>
        </w:rPr>
        <w:t>-1</w:t>
      </w:r>
      <w:r w:rsidR="002A6C21">
        <w:rPr>
          <w:i w:val="0"/>
          <w:color w:val="auto"/>
          <w:sz w:val="24"/>
          <w:szCs w:val="24"/>
        </w:rPr>
        <w:t xml:space="preserve">, </w:t>
      </w:r>
      <w:r w:rsidR="002A6C21" w:rsidRPr="006539A2">
        <w:rPr>
          <w:i w:val="0"/>
          <w:color w:val="auto"/>
          <w:sz w:val="24"/>
          <w:szCs w:val="24"/>
        </w:rPr>
        <w:t>b</w:t>
      </w:r>
      <w:r w:rsidR="0054100A">
        <w:rPr>
          <w:i w:val="0"/>
          <w:color w:val="auto"/>
          <w:sz w:val="24"/>
          <w:szCs w:val="24"/>
        </w:rPr>
        <w:t>) PC</w:t>
      </w:r>
      <w:r w:rsidR="006539A2" w:rsidRPr="006539A2">
        <w:rPr>
          <w:i w:val="0"/>
          <w:color w:val="auto"/>
          <w:sz w:val="24"/>
          <w:szCs w:val="24"/>
        </w:rPr>
        <w:t>A</w:t>
      </w:r>
      <w:r w:rsidR="0054100A">
        <w:rPr>
          <w:i w:val="0"/>
          <w:color w:val="auto"/>
          <w:sz w:val="24"/>
          <w:szCs w:val="24"/>
        </w:rPr>
        <w:t xml:space="preserve"> </w:t>
      </w:r>
      <w:r w:rsidR="00FF014D">
        <w:rPr>
          <w:i w:val="0"/>
          <w:color w:val="auto"/>
          <w:sz w:val="24"/>
          <w:szCs w:val="24"/>
        </w:rPr>
        <w:t xml:space="preserve">scores plot </w:t>
      </w:r>
      <w:r w:rsidR="0054100A">
        <w:rPr>
          <w:i w:val="0"/>
          <w:color w:val="auto"/>
          <w:sz w:val="24"/>
          <w:szCs w:val="24"/>
        </w:rPr>
        <w:t>car</w:t>
      </w:r>
      <w:r w:rsidR="002A6C21">
        <w:rPr>
          <w:i w:val="0"/>
          <w:color w:val="auto"/>
          <w:sz w:val="24"/>
          <w:szCs w:val="24"/>
        </w:rPr>
        <w:t>ri</w:t>
      </w:r>
      <w:r w:rsidR="0054100A">
        <w:rPr>
          <w:i w:val="0"/>
          <w:color w:val="auto"/>
          <w:sz w:val="24"/>
          <w:szCs w:val="24"/>
        </w:rPr>
        <w:t xml:space="preserve">ed out across full </w:t>
      </w:r>
      <w:r w:rsidR="00A231D3">
        <w:rPr>
          <w:i w:val="0"/>
          <w:color w:val="auto"/>
          <w:sz w:val="24"/>
          <w:szCs w:val="24"/>
        </w:rPr>
        <w:t xml:space="preserve">spectra </w:t>
      </w:r>
      <w:r w:rsidR="0054100A">
        <w:rPr>
          <w:i w:val="0"/>
          <w:color w:val="auto"/>
          <w:sz w:val="24"/>
          <w:szCs w:val="24"/>
        </w:rPr>
        <w:t>(400 – 4000 cm</w:t>
      </w:r>
      <w:r w:rsidR="0054100A" w:rsidRPr="002A6C21">
        <w:rPr>
          <w:i w:val="0"/>
          <w:color w:val="auto"/>
          <w:sz w:val="24"/>
          <w:szCs w:val="24"/>
          <w:vertAlign w:val="superscript"/>
        </w:rPr>
        <w:t>-1</w:t>
      </w:r>
      <w:r w:rsidR="0054100A">
        <w:rPr>
          <w:i w:val="0"/>
          <w:color w:val="auto"/>
          <w:sz w:val="24"/>
          <w:szCs w:val="24"/>
        </w:rPr>
        <w:t xml:space="preserve">) and c) the </w:t>
      </w:r>
      <w:r w:rsidR="00D61559">
        <w:rPr>
          <w:i w:val="0"/>
          <w:color w:val="auto"/>
          <w:sz w:val="24"/>
          <w:szCs w:val="24"/>
        </w:rPr>
        <w:t>corresponding</w:t>
      </w:r>
      <w:r w:rsidR="00FF014D">
        <w:rPr>
          <w:i w:val="0"/>
          <w:color w:val="auto"/>
          <w:sz w:val="24"/>
          <w:szCs w:val="24"/>
        </w:rPr>
        <w:t xml:space="preserve"> PCA</w:t>
      </w:r>
      <w:r w:rsidR="0054100A">
        <w:rPr>
          <w:i w:val="0"/>
          <w:color w:val="auto"/>
          <w:sz w:val="24"/>
          <w:szCs w:val="24"/>
        </w:rPr>
        <w:t xml:space="preserve"> loadings plot. Samples</w:t>
      </w:r>
      <w:r w:rsidR="006539A2" w:rsidRPr="006539A2">
        <w:rPr>
          <w:i w:val="0"/>
          <w:color w:val="auto"/>
          <w:sz w:val="24"/>
          <w:szCs w:val="24"/>
        </w:rPr>
        <w:t xml:space="preserve"> were </w:t>
      </w:r>
      <w:r w:rsidR="002A6C21">
        <w:rPr>
          <w:i w:val="0"/>
          <w:color w:val="auto"/>
          <w:sz w:val="24"/>
          <w:szCs w:val="24"/>
        </w:rPr>
        <w:t>filtered,</w:t>
      </w:r>
      <w:r w:rsidR="003E77AB">
        <w:rPr>
          <w:i w:val="0"/>
          <w:color w:val="auto"/>
          <w:sz w:val="24"/>
          <w:szCs w:val="24"/>
        </w:rPr>
        <w:t xml:space="preserve"> </w:t>
      </w:r>
      <w:r w:rsidR="006539A2" w:rsidRPr="006539A2">
        <w:rPr>
          <w:i w:val="0"/>
          <w:color w:val="auto"/>
          <w:sz w:val="24"/>
          <w:szCs w:val="24"/>
        </w:rPr>
        <w:t xml:space="preserve">buffer </w:t>
      </w:r>
      <w:r w:rsidR="0054100A">
        <w:rPr>
          <w:i w:val="0"/>
          <w:color w:val="auto"/>
          <w:sz w:val="24"/>
          <w:szCs w:val="24"/>
        </w:rPr>
        <w:t>ex</w:t>
      </w:r>
      <w:r w:rsidR="006539A2" w:rsidRPr="006539A2">
        <w:rPr>
          <w:i w:val="0"/>
          <w:color w:val="auto"/>
          <w:sz w:val="24"/>
          <w:szCs w:val="24"/>
        </w:rPr>
        <w:t>changed to H</w:t>
      </w:r>
      <w:r w:rsidR="006539A2" w:rsidRPr="0054100A">
        <w:rPr>
          <w:i w:val="0"/>
          <w:color w:val="auto"/>
          <w:sz w:val="24"/>
          <w:szCs w:val="24"/>
          <w:vertAlign w:val="subscript"/>
        </w:rPr>
        <w:t>2</w:t>
      </w:r>
      <w:r w:rsidR="006539A2" w:rsidRPr="006539A2">
        <w:rPr>
          <w:i w:val="0"/>
          <w:color w:val="auto"/>
          <w:sz w:val="24"/>
          <w:szCs w:val="24"/>
        </w:rPr>
        <w:t>O and stored at -20</w:t>
      </w:r>
      <w:r w:rsidR="0054100A">
        <w:rPr>
          <w:i w:val="0"/>
          <w:color w:val="auto"/>
          <w:sz w:val="24"/>
          <w:szCs w:val="24"/>
        </w:rPr>
        <w:t xml:space="preserve"> </w:t>
      </w:r>
      <w:r w:rsidR="0054100A">
        <w:rPr>
          <w:rFonts w:cs="Times"/>
          <w:i w:val="0"/>
          <w:color w:val="auto"/>
          <w:sz w:val="24"/>
          <w:szCs w:val="24"/>
        </w:rPr>
        <w:t>°</w:t>
      </w:r>
      <w:r w:rsidR="0054100A">
        <w:rPr>
          <w:i w:val="0"/>
          <w:color w:val="auto"/>
          <w:sz w:val="24"/>
          <w:szCs w:val="24"/>
        </w:rPr>
        <w:t>C</w:t>
      </w:r>
      <w:r w:rsidR="006539A2" w:rsidRPr="006539A2">
        <w:rPr>
          <w:i w:val="0"/>
          <w:color w:val="auto"/>
          <w:sz w:val="24"/>
          <w:szCs w:val="24"/>
        </w:rPr>
        <w:t xml:space="preserve"> until the analysis was undertaken. The FTIR was carri</w:t>
      </w:r>
      <w:r w:rsidR="0054100A">
        <w:rPr>
          <w:i w:val="0"/>
          <w:color w:val="auto"/>
          <w:sz w:val="24"/>
          <w:szCs w:val="24"/>
        </w:rPr>
        <w:t xml:space="preserve">ed on solid samples at 25 </w:t>
      </w:r>
      <w:r w:rsidR="0054100A">
        <w:rPr>
          <w:rFonts w:cs="Times"/>
          <w:i w:val="0"/>
          <w:color w:val="auto"/>
          <w:sz w:val="24"/>
          <w:szCs w:val="24"/>
        </w:rPr>
        <w:t>°</w:t>
      </w:r>
      <w:r w:rsidR="006539A2" w:rsidRPr="006539A2">
        <w:rPr>
          <w:i w:val="0"/>
          <w:color w:val="auto"/>
          <w:sz w:val="24"/>
          <w:szCs w:val="24"/>
        </w:rPr>
        <w:t>C using the parameters stated in the methods. All FTIR data is an average of 5 replicates</w:t>
      </w:r>
      <w:r w:rsidR="0054100A">
        <w:rPr>
          <w:i w:val="0"/>
          <w:color w:val="auto"/>
          <w:sz w:val="24"/>
          <w:szCs w:val="24"/>
        </w:rPr>
        <w:t xml:space="preserve"> per sample</w:t>
      </w:r>
      <w:r w:rsidR="006539A2" w:rsidRPr="006539A2">
        <w:rPr>
          <w:i w:val="0"/>
          <w:color w:val="auto"/>
          <w:sz w:val="24"/>
          <w:szCs w:val="24"/>
        </w:rPr>
        <w:t xml:space="preserve">. The data </w:t>
      </w:r>
      <w:r w:rsidR="00A231D3">
        <w:rPr>
          <w:i w:val="0"/>
          <w:color w:val="auto"/>
          <w:sz w:val="24"/>
          <w:szCs w:val="24"/>
        </w:rPr>
        <w:t>were</w:t>
      </w:r>
      <w:r w:rsidR="00A231D3" w:rsidRPr="006539A2">
        <w:rPr>
          <w:i w:val="0"/>
          <w:color w:val="auto"/>
          <w:sz w:val="24"/>
          <w:szCs w:val="24"/>
        </w:rPr>
        <w:t xml:space="preserve"> </w:t>
      </w:r>
      <w:r w:rsidR="006539A2" w:rsidRPr="006539A2">
        <w:rPr>
          <w:i w:val="0"/>
          <w:color w:val="auto"/>
          <w:sz w:val="24"/>
          <w:szCs w:val="24"/>
        </w:rPr>
        <w:t>scaled to allow a more accurate comparison between the samples</w:t>
      </w:r>
      <w:r w:rsidR="009A0B21">
        <w:rPr>
          <w:i w:val="0"/>
          <w:color w:val="auto"/>
          <w:sz w:val="24"/>
          <w:szCs w:val="24"/>
        </w:rPr>
        <w:t xml:space="preserve"> as described in supplementary methods (</w:t>
      </w:r>
      <w:r w:rsidR="009A0B21" w:rsidRPr="009A0B21">
        <w:rPr>
          <w:i w:val="0"/>
          <w:color w:val="auto"/>
          <w:sz w:val="24"/>
          <w:szCs w:val="24"/>
        </w:rPr>
        <w:t>Data Pre-processing and Chemometrics</w:t>
      </w:r>
      <w:r w:rsidR="009A0B21">
        <w:rPr>
          <w:i w:val="0"/>
          <w:color w:val="auto"/>
          <w:sz w:val="24"/>
          <w:szCs w:val="24"/>
        </w:rPr>
        <w:t>)</w:t>
      </w:r>
      <w:r w:rsidR="00FF014D">
        <w:rPr>
          <w:i w:val="0"/>
          <w:color w:val="auto"/>
          <w:sz w:val="24"/>
          <w:szCs w:val="24"/>
        </w:rPr>
        <w:t>.  TEV = total explained variance.</w:t>
      </w:r>
    </w:p>
    <w:p w14:paraId="1B88EA23" w14:textId="22399293" w:rsidR="006539A2" w:rsidRDefault="006820AF" w:rsidP="00F97C40">
      <w:pPr>
        <w:spacing w:line="480" w:lineRule="auto"/>
        <w:rPr>
          <w:rFonts w:ascii="Times New Roman" w:hAnsi="Times New Roman"/>
          <w:szCs w:val="24"/>
        </w:rPr>
      </w:pPr>
      <w:r>
        <w:rPr>
          <w:rFonts w:ascii="Times New Roman" w:hAnsi="Times New Roman"/>
          <w:szCs w:val="24"/>
        </w:rPr>
        <w:t>A</w:t>
      </w:r>
      <w:r w:rsidR="00AF383C" w:rsidRPr="00F97C40">
        <w:rPr>
          <w:rFonts w:ascii="Times New Roman" w:hAnsi="Times New Roman"/>
          <w:szCs w:val="24"/>
        </w:rPr>
        <w:t>mide I is represented by the peak at 1649 cm</w:t>
      </w:r>
      <w:r w:rsidR="00AF383C" w:rsidRPr="00F97C40">
        <w:rPr>
          <w:rFonts w:ascii="Times New Roman" w:hAnsi="Times New Roman"/>
          <w:szCs w:val="24"/>
          <w:vertAlign w:val="superscript"/>
        </w:rPr>
        <w:t>-1</w:t>
      </w:r>
      <w:r w:rsidR="00AF383C" w:rsidRPr="00F97C40">
        <w:rPr>
          <w:rFonts w:ascii="Times New Roman" w:hAnsi="Times New Roman"/>
          <w:szCs w:val="24"/>
        </w:rPr>
        <w:t xml:space="preserve"> and amide II at 1537 cm</w:t>
      </w:r>
      <w:r w:rsidR="00AF383C" w:rsidRPr="00C97D72">
        <w:rPr>
          <w:rFonts w:ascii="Times New Roman" w:hAnsi="Times New Roman"/>
          <w:szCs w:val="24"/>
          <w:vertAlign w:val="superscript"/>
        </w:rPr>
        <w:t>-1</w:t>
      </w:r>
      <w:r w:rsidR="00AF383C" w:rsidRPr="00F97C40">
        <w:rPr>
          <w:rFonts w:ascii="Times New Roman" w:hAnsi="Times New Roman"/>
          <w:szCs w:val="24"/>
        </w:rPr>
        <w:t xml:space="preserve">. Amide III </w:t>
      </w:r>
      <w:r w:rsidR="00D61559">
        <w:rPr>
          <w:rFonts w:ascii="Times New Roman" w:hAnsi="Times New Roman"/>
          <w:szCs w:val="24"/>
        </w:rPr>
        <w:t xml:space="preserve">is </w:t>
      </w:r>
      <w:r w:rsidR="00AF383C" w:rsidRPr="00F97C40">
        <w:rPr>
          <w:rFonts w:ascii="Times New Roman" w:hAnsi="Times New Roman"/>
          <w:szCs w:val="24"/>
        </w:rPr>
        <w:t>1452 cm</w:t>
      </w:r>
      <w:r w:rsidR="00AF383C" w:rsidRPr="0002536C">
        <w:rPr>
          <w:rFonts w:ascii="Times New Roman" w:hAnsi="Times New Roman"/>
          <w:szCs w:val="24"/>
          <w:vertAlign w:val="superscript"/>
        </w:rPr>
        <w:t>-1</w:t>
      </w:r>
      <w:r w:rsidR="00AF383C" w:rsidRPr="00F97C40">
        <w:rPr>
          <w:rFonts w:ascii="Times New Roman" w:hAnsi="Times New Roman"/>
          <w:szCs w:val="24"/>
        </w:rPr>
        <w:t xml:space="preserve"> and 1390 cm</w:t>
      </w:r>
      <w:r w:rsidR="00AF383C" w:rsidRPr="0002536C">
        <w:rPr>
          <w:rFonts w:ascii="Times New Roman" w:hAnsi="Times New Roman"/>
          <w:szCs w:val="24"/>
          <w:vertAlign w:val="superscript"/>
        </w:rPr>
        <w:t>-1</w:t>
      </w:r>
      <w:r w:rsidR="00AF383C" w:rsidRPr="00F97C40">
        <w:rPr>
          <w:rFonts w:ascii="Times New Roman" w:hAnsi="Times New Roman"/>
          <w:szCs w:val="24"/>
        </w:rPr>
        <w:t xml:space="preserve"> with some possible overlap </w:t>
      </w:r>
      <w:r w:rsidR="00A231D3">
        <w:rPr>
          <w:rFonts w:ascii="Times New Roman" w:hAnsi="Times New Roman"/>
          <w:szCs w:val="24"/>
        </w:rPr>
        <w:t>with</w:t>
      </w:r>
      <w:r w:rsidR="00A231D3" w:rsidRPr="00F97C40">
        <w:rPr>
          <w:rFonts w:ascii="Times New Roman" w:hAnsi="Times New Roman"/>
          <w:szCs w:val="24"/>
        </w:rPr>
        <w:t xml:space="preserve"> </w:t>
      </w:r>
      <w:r w:rsidR="00AF383C" w:rsidRPr="00F97C40">
        <w:rPr>
          <w:rFonts w:ascii="Times New Roman" w:hAnsi="Times New Roman"/>
          <w:szCs w:val="24"/>
        </w:rPr>
        <w:t>the sugar peaks</w:t>
      </w:r>
      <w:r w:rsidR="006539A2">
        <w:rPr>
          <w:rFonts w:ascii="Times New Roman" w:hAnsi="Times New Roman"/>
          <w:szCs w:val="24"/>
        </w:rPr>
        <w:t>.</w:t>
      </w:r>
      <w:r w:rsidR="00AF383C" w:rsidRPr="00F97C40">
        <w:rPr>
          <w:rFonts w:ascii="Times New Roman" w:hAnsi="Times New Roman"/>
          <w:szCs w:val="24"/>
        </w:rPr>
        <w:t xml:space="preserve"> The predominant changes </w:t>
      </w:r>
      <w:r w:rsidR="00A231D3">
        <w:rPr>
          <w:rFonts w:ascii="Times New Roman" w:hAnsi="Times New Roman"/>
          <w:szCs w:val="24"/>
        </w:rPr>
        <w:t>are in</w:t>
      </w:r>
      <w:r w:rsidR="00AF383C" w:rsidRPr="00F97C40">
        <w:rPr>
          <w:rFonts w:ascii="Times New Roman" w:hAnsi="Times New Roman"/>
          <w:szCs w:val="24"/>
        </w:rPr>
        <w:t xml:space="preserve"> at the</w:t>
      </w:r>
      <w:r w:rsidR="00F97C40" w:rsidRPr="00F97C40">
        <w:rPr>
          <w:rFonts w:ascii="Times New Roman" w:hAnsi="Times New Roman"/>
          <w:szCs w:val="24"/>
        </w:rPr>
        <w:t xml:space="preserve"> sugar region around 1000 cm</w:t>
      </w:r>
      <w:r w:rsidR="00F97C40" w:rsidRPr="0002536C">
        <w:rPr>
          <w:rFonts w:ascii="Times New Roman" w:hAnsi="Times New Roman"/>
          <w:szCs w:val="24"/>
          <w:vertAlign w:val="superscript"/>
        </w:rPr>
        <w:t>-1</w:t>
      </w:r>
      <w:r w:rsidR="00F97C40" w:rsidRPr="00F97C40">
        <w:rPr>
          <w:rFonts w:ascii="Times New Roman" w:hAnsi="Times New Roman"/>
          <w:szCs w:val="24"/>
        </w:rPr>
        <w:t xml:space="preserve"> </w:t>
      </w:r>
      <w:r w:rsidR="006539A2">
        <w:rPr>
          <w:rFonts w:ascii="Times New Roman" w:hAnsi="Times New Roman"/>
          <w:szCs w:val="24"/>
        </w:rPr>
        <w:t>– 1200 cm</w:t>
      </w:r>
      <w:r w:rsidR="006539A2" w:rsidRPr="00C97D72">
        <w:rPr>
          <w:rFonts w:ascii="Times New Roman" w:hAnsi="Times New Roman"/>
          <w:szCs w:val="24"/>
          <w:vertAlign w:val="superscript"/>
        </w:rPr>
        <w:t>-1</w:t>
      </w:r>
      <w:r w:rsidR="006539A2">
        <w:rPr>
          <w:rFonts w:ascii="Times New Roman" w:hAnsi="Times New Roman"/>
          <w:szCs w:val="24"/>
        </w:rPr>
        <w:t xml:space="preserve"> </w:t>
      </w:r>
      <w:r w:rsidR="003D608F" w:rsidRPr="00F97C40">
        <w:rPr>
          <w:rFonts w:ascii="Times New Roman" w:hAnsi="Times New Roman"/>
          <w:szCs w:val="24"/>
        </w:rPr>
        <w:t>and</w:t>
      </w:r>
      <w:r w:rsidR="00F97C40" w:rsidRPr="00F97C40">
        <w:rPr>
          <w:rFonts w:ascii="Times New Roman" w:hAnsi="Times New Roman"/>
          <w:szCs w:val="24"/>
        </w:rPr>
        <w:t xml:space="preserve"> </w:t>
      </w:r>
      <w:r w:rsidR="00A231D3">
        <w:rPr>
          <w:rFonts w:ascii="Times New Roman" w:hAnsi="Times New Roman"/>
          <w:szCs w:val="24"/>
        </w:rPr>
        <w:t>are</w:t>
      </w:r>
      <w:r w:rsidR="00A231D3" w:rsidRPr="00F97C40">
        <w:rPr>
          <w:rFonts w:ascii="Times New Roman" w:hAnsi="Times New Roman"/>
          <w:szCs w:val="24"/>
        </w:rPr>
        <w:t xml:space="preserve"> </w:t>
      </w:r>
      <w:r w:rsidR="00F97C40" w:rsidRPr="00F97C40">
        <w:rPr>
          <w:rFonts w:ascii="Times New Roman" w:hAnsi="Times New Roman"/>
          <w:szCs w:val="24"/>
        </w:rPr>
        <w:t xml:space="preserve">highlighted in </w:t>
      </w:r>
      <w:r w:rsidR="00FF014D">
        <w:rPr>
          <w:rFonts w:ascii="Times New Roman" w:hAnsi="Times New Roman"/>
          <w:szCs w:val="24"/>
        </w:rPr>
        <w:t>F</w:t>
      </w:r>
      <w:r w:rsidR="00F97C40" w:rsidRPr="00F97C40">
        <w:rPr>
          <w:rFonts w:ascii="Times New Roman" w:hAnsi="Times New Roman"/>
          <w:szCs w:val="24"/>
        </w:rPr>
        <w:t>igure 2a</w:t>
      </w:r>
      <w:r w:rsidR="006539A2">
        <w:rPr>
          <w:rFonts w:ascii="Times New Roman" w:hAnsi="Times New Roman"/>
          <w:szCs w:val="24"/>
        </w:rPr>
        <w:t xml:space="preserve"> where a </w:t>
      </w:r>
      <w:r w:rsidR="0054100A">
        <w:rPr>
          <w:rFonts w:ascii="Times New Roman" w:hAnsi="Times New Roman"/>
          <w:szCs w:val="24"/>
        </w:rPr>
        <w:t>unique</w:t>
      </w:r>
      <w:r w:rsidR="006539A2">
        <w:rPr>
          <w:rFonts w:ascii="Times New Roman" w:hAnsi="Times New Roman"/>
          <w:szCs w:val="24"/>
        </w:rPr>
        <w:t xml:space="preserve"> peak in the spectra of the glycated samples can be seen at 1030 cm</w:t>
      </w:r>
      <w:r w:rsidR="006539A2" w:rsidRPr="0054100A">
        <w:rPr>
          <w:rFonts w:ascii="Times New Roman" w:hAnsi="Times New Roman"/>
          <w:szCs w:val="24"/>
          <w:vertAlign w:val="superscript"/>
        </w:rPr>
        <w:t>-1</w:t>
      </w:r>
      <w:r w:rsidR="00731412">
        <w:rPr>
          <w:rFonts w:ascii="Times New Roman" w:hAnsi="Times New Roman"/>
          <w:szCs w:val="24"/>
        </w:rPr>
        <w:t xml:space="preserve"> </w:t>
      </w:r>
      <w:r w:rsidR="00FF014D">
        <w:rPr>
          <w:rFonts w:ascii="Times New Roman" w:hAnsi="Times New Roman"/>
          <w:szCs w:val="24"/>
        </w:rPr>
        <w:t xml:space="preserve">(highlighted in purple) </w:t>
      </w:r>
      <w:r w:rsidR="00731412">
        <w:rPr>
          <w:rFonts w:ascii="Times New Roman" w:hAnsi="Times New Roman"/>
          <w:szCs w:val="24"/>
        </w:rPr>
        <w:t xml:space="preserve">which is not present in the </w:t>
      </w:r>
      <w:r w:rsidR="00F22C1B">
        <w:rPr>
          <w:rFonts w:ascii="Times New Roman" w:hAnsi="Times New Roman"/>
          <w:szCs w:val="24"/>
        </w:rPr>
        <w:t>control</w:t>
      </w:r>
      <w:r w:rsidR="00731412">
        <w:rPr>
          <w:rFonts w:ascii="Times New Roman" w:hAnsi="Times New Roman"/>
          <w:szCs w:val="24"/>
        </w:rPr>
        <w:t xml:space="preserve"> </w:t>
      </w:r>
      <w:r w:rsidR="0054100A">
        <w:rPr>
          <w:rFonts w:ascii="Times New Roman" w:hAnsi="Times New Roman"/>
          <w:szCs w:val="24"/>
        </w:rPr>
        <w:t>samples</w:t>
      </w:r>
      <w:r w:rsidR="00F97C40" w:rsidRPr="00F97C40">
        <w:rPr>
          <w:rFonts w:ascii="Times New Roman" w:hAnsi="Times New Roman"/>
          <w:szCs w:val="24"/>
        </w:rPr>
        <w:t>.</w:t>
      </w:r>
      <w:r w:rsidR="00152BC1">
        <w:rPr>
          <w:rFonts w:ascii="Times New Roman" w:hAnsi="Times New Roman"/>
          <w:szCs w:val="24"/>
        </w:rPr>
        <w:t xml:space="preserve"> A full spectral assignment is given in </w:t>
      </w:r>
      <w:r w:rsidR="00FF014D">
        <w:rPr>
          <w:rFonts w:ascii="Times New Roman" w:hAnsi="Times New Roman"/>
          <w:szCs w:val="24"/>
        </w:rPr>
        <w:t>T</w:t>
      </w:r>
      <w:r w:rsidR="00152BC1">
        <w:rPr>
          <w:rFonts w:ascii="Times New Roman" w:hAnsi="Times New Roman"/>
          <w:szCs w:val="24"/>
        </w:rPr>
        <w:t>able S2.</w:t>
      </w:r>
    </w:p>
    <w:p w14:paraId="0BD23E0A" w14:textId="5980F474" w:rsidR="00324E0C" w:rsidRPr="001D48B3" w:rsidRDefault="00F97C40" w:rsidP="001D48B3">
      <w:pPr>
        <w:spacing w:line="480" w:lineRule="auto"/>
        <w:rPr>
          <w:rFonts w:ascii="Times New Roman" w:hAnsi="Times New Roman"/>
          <w:szCs w:val="19"/>
        </w:rPr>
      </w:pPr>
      <w:r w:rsidRPr="00F97C40">
        <w:rPr>
          <w:rFonts w:ascii="Times New Roman" w:hAnsi="Times New Roman"/>
          <w:szCs w:val="24"/>
        </w:rPr>
        <w:lastRenderedPageBreak/>
        <w:t xml:space="preserve">In order to determine the </w:t>
      </w:r>
      <w:r w:rsidR="003D608F" w:rsidRPr="00F97C40">
        <w:rPr>
          <w:rFonts w:ascii="Times New Roman" w:hAnsi="Times New Roman"/>
          <w:szCs w:val="24"/>
        </w:rPr>
        <w:t>specific</w:t>
      </w:r>
      <w:r w:rsidRPr="00F97C40">
        <w:rPr>
          <w:rFonts w:ascii="Times New Roman" w:hAnsi="Times New Roman"/>
          <w:szCs w:val="24"/>
        </w:rPr>
        <w:t xml:space="preserve"> peak changes</w:t>
      </w:r>
      <w:r w:rsidR="00EA6313">
        <w:rPr>
          <w:rFonts w:ascii="Times New Roman" w:hAnsi="Times New Roman"/>
          <w:szCs w:val="24"/>
        </w:rPr>
        <w:t>,</w:t>
      </w:r>
      <w:r w:rsidRPr="00F97C40">
        <w:rPr>
          <w:rFonts w:ascii="Times New Roman" w:hAnsi="Times New Roman"/>
          <w:szCs w:val="24"/>
        </w:rPr>
        <w:t xml:space="preserve"> PCA </w:t>
      </w:r>
      <w:r w:rsidR="00C97D72">
        <w:rPr>
          <w:rFonts w:ascii="Times New Roman" w:hAnsi="Times New Roman"/>
          <w:szCs w:val="24"/>
        </w:rPr>
        <w:t>wa</w:t>
      </w:r>
      <w:r w:rsidR="00D61559">
        <w:rPr>
          <w:rFonts w:ascii="Times New Roman" w:hAnsi="Times New Roman"/>
          <w:szCs w:val="24"/>
        </w:rPr>
        <w:t>s</w:t>
      </w:r>
      <w:r w:rsidR="00C97D72">
        <w:rPr>
          <w:rFonts w:ascii="Times New Roman" w:hAnsi="Times New Roman"/>
          <w:szCs w:val="24"/>
        </w:rPr>
        <w:t xml:space="preserve"> </w:t>
      </w:r>
      <w:r w:rsidR="00D61559">
        <w:rPr>
          <w:rFonts w:ascii="Times New Roman" w:hAnsi="Times New Roman"/>
          <w:szCs w:val="24"/>
        </w:rPr>
        <w:t xml:space="preserve">carried out on the glycated </w:t>
      </w:r>
      <w:r w:rsidR="00C97D72">
        <w:rPr>
          <w:rFonts w:ascii="Times New Roman" w:hAnsi="Times New Roman"/>
          <w:szCs w:val="24"/>
        </w:rPr>
        <w:t>samples</w:t>
      </w:r>
      <w:r w:rsidR="00D61559">
        <w:rPr>
          <w:rFonts w:ascii="Times New Roman" w:hAnsi="Times New Roman"/>
          <w:szCs w:val="24"/>
        </w:rPr>
        <w:t xml:space="preserve">. </w:t>
      </w:r>
      <w:r w:rsidR="00C97D72" w:rsidRPr="001D48B3">
        <w:rPr>
          <w:rFonts w:ascii="Times New Roman" w:hAnsi="Times New Roman"/>
          <w:szCs w:val="19"/>
        </w:rPr>
        <w:t xml:space="preserve">PCA </w:t>
      </w:r>
      <w:r w:rsidR="00FF014D">
        <w:rPr>
          <w:rFonts w:ascii="Times New Roman" w:hAnsi="Times New Roman"/>
          <w:szCs w:val="19"/>
        </w:rPr>
        <w:t>scores plots are</w:t>
      </w:r>
      <w:r w:rsidR="00C97D72" w:rsidRPr="001D48B3">
        <w:rPr>
          <w:rFonts w:ascii="Times New Roman" w:hAnsi="Times New Roman"/>
          <w:szCs w:val="19"/>
        </w:rPr>
        <w:t xml:space="preserve"> used to highlight patterns within a dataset</w:t>
      </w:r>
      <w:r w:rsidR="006F5D32">
        <w:rPr>
          <w:rFonts w:ascii="Times New Roman" w:hAnsi="Times New Roman"/>
          <w:szCs w:val="19"/>
        </w:rPr>
        <w:t xml:space="preserve">, </w:t>
      </w:r>
      <w:r w:rsidR="00C97D72" w:rsidRPr="001D48B3">
        <w:rPr>
          <w:rFonts w:ascii="Times New Roman" w:hAnsi="Times New Roman"/>
          <w:szCs w:val="19"/>
        </w:rPr>
        <w:t xml:space="preserve">in this case </w:t>
      </w:r>
      <w:r w:rsidR="00C97D72">
        <w:rPr>
          <w:rFonts w:ascii="Times New Roman" w:hAnsi="Times New Roman"/>
          <w:szCs w:val="24"/>
        </w:rPr>
        <w:t>spectral variation</w:t>
      </w:r>
      <w:r w:rsidR="00C97D72" w:rsidRPr="001D48B3">
        <w:rPr>
          <w:rFonts w:ascii="Times New Roman" w:hAnsi="Times New Roman"/>
          <w:szCs w:val="19"/>
        </w:rPr>
        <w:t xml:space="preserve"> between the peaks from the samples. </w:t>
      </w:r>
      <w:r w:rsidR="00D61559">
        <w:rPr>
          <w:rFonts w:ascii="Times New Roman" w:hAnsi="Times New Roman"/>
          <w:szCs w:val="24"/>
        </w:rPr>
        <w:t xml:space="preserve">It can be seen from </w:t>
      </w:r>
      <w:r w:rsidR="00FF014D">
        <w:rPr>
          <w:rFonts w:ascii="Times New Roman" w:hAnsi="Times New Roman"/>
          <w:szCs w:val="24"/>
        </w:rPr>
        <w:t>F</w:t>
      </w:r>
      <w:r w:rsidR="00D61559">
        <w:rPr>
          <w:rFonts w:ascii="Times New Roman" w:hAnsi="Times New Roman"/>
          <w:szCs w:val="24"/>
        </w:rPr>
        <w:t xml:space="preserve">igure 2b that the </w:t>
      </w:r>
      <w:r w:rsidR="00C97D72">
        <w:rPr>
          <w:rFonts w:ascii="Times New Roman" w:hAnsi="Times New Roman"/>
          <w:szCs w:val="24"/>
        </w:rPr>
        <w:t>samples</w:t>
      </w:r>
      <w:r w:rsidR="00D61559">
        <w:rPr>
          <w:rFonts w:ascii="Times New Roman" w:hAnsi="Times New Roman"/>
          <w:szCs w:val="24"/>
        </w:rPr>
        <w:t xml:space="preserve"> </w:t>
      </w:r>
      <w:r w:rsidR="00C97D72">
        <w:rPr>
          <w:rFonts w:ascii="Times New Roman" w:hAnsi="Times New Roman"/>
          <w:szCs w:val="24"/>
        </w:rPr>
        <w:t>separated</w:t>
      </w:r>
      <w:r w:rsidR="00D61559">
        <w:rPr>
          <w:rFonts w:ascii="Times New Roman" w:hAnsi="Times New Roman"/>
          <w:szCs w:val="24"/>
        </w:rPr>
        <w:t xml:space="preserve"> out</w:t>
      </w:r>
      <w:r w:rsidR="00C97D72">
        <w:rPr>
          <w:rFonts w:ascii="Times New Roman" w:hAnsi="Times New Roman"/>
          <w:szCs w:val="24"/>
        </w:rPr>
        <w:t xml:space="preserve"> on</w:t>
      </w:r>
      <w:r w:rsidR="00D61559">
        <w:rPr>
          <w:rFonts w:ascii="Times New Roman" w:hAnsi="Times New Roman"/>
          <w:szCs w:val="24"/>
        </w:rPr>
        <w:t xml:space="preserve"> PC1 that accounts fo</w:t>
      </w:r>
      <w:r w:rsidR="001604FE">
        <w:rPr>
          <w:rFonts w:ascii="Times New Roman" w:hAnsi="Times New Roman"/>
          <w:szCs w:val="24"/>
        </w:rPr>
        <w:t>r 89</w:t>
      </w:r>
      <w:r w:rsidR="00D61559">
        <w:rPr>
          <w:rFonts w:ascii="Times New Roman" w:hAnsi="Times New Roman"/>
          <w:szCs w:val="24"/>
        </w:rPr>
        <w:t>% of the total explained variance (TEV)</w:t>
      </w:r>
      <w:r w:rsidR="00C97D72">
        <w:rPr>
          <w:rFonts w:ascii="Times New Roman" w:hAnsi="Times New Roman"/>
          <w:szCs w:val="24"/>
        </w:rPr>
        <w:t xml:space="preserve"> with a</w:t>
      </w:r>
      <w:r w:rsidR="00A93EB4">
        <w:rPr>
          <w:rFonts w:ascii="Times New Roman" w:hAnsi="Times New Roman"/>
          <w:szCs w:val="24"/>
        </w:rPr>
        <w:t xml:space="preserve"> general</w:t>
      </w:r>
      <w:r w:rsidR="00C97D72">
        <w:rPr>
          <w:rFonts w:ascii="Times New Roman" w:hAnsi="Times New Roman"/>
          <w:szCs w:val="24"/>
        </w:rPr>
        <w:t xml:space="preserve"> trend from G1 to G30.</w:t>
      </w:r>
      <w:r w:rsidR="00C97D72">
        <w:rPr>
          <w:rFonts w:ascii="Times New Roman" w:hAnsi="Times New Roman"/>
          <w:szCs w:val="19"/>
        </w:rPr>
        <w:t xml:space="preserve"> The </w:t>
      </w:r>
      <w:r w:rsidR="00324E0C" w:rsidRPr="001D48B3">
        <w:rPr>
          <w:rFonts w:ascii="Times New Roman" w:hAnsi="Times New Roman"/>
          <w:szCs w:val="19"/>
        </w:rPr>
        <w:t xml:space="preserve">corresponding </w:t>
      </w:r>
      <w:r w:rsidR="000C4712">
        <w:rPr>
          <w:rFonts w:ascii="Times New Roman" w:hAnsi="Times New Roman"/>
          <w:szCs w:val="19"/>
        </w:rPr>
        <w:t xml:space="preserve">loadings plot </w:t>
      </w:r>
      <w:r w:rsidR="00FF014D">
        <w:rPr>
          <w:rFonts w:ascii="Times New Roman" w:hAnsi="Times New Roman"/>
          <w:szCs w:val="19"/>
        </w:rPr>
        <w:t xml:space="preserve">(Figure </w:t>
      </w:r>
      <w:r w:rsidR="000C4712">
        <w:rPr>
          <w:rFonts w:ascii="Times New Roman" w:hAnsi="Times New Roman"/>
          <w:szCs w:val="19"/>
        </w:rPr>
        <w:t>2c</w:t>
      </w:r>
      <w:r w:rsidR="00FF014D">
        <w:rPr>
          <w:rFonts w:ascii="Times New Roman" w:hAnsi="Times New Roman"/>
          <w:szCs w:val="19"/>
        </w:rPr>
        <w:t>)</w:t>
      </w:r>
      <w:r w:rsidR="000C4712">
        <w:rPr>
          <w:rFonts w:ascii="Times New Roman" w:hAnsi="Times New Roman"/>
          <w:szCs w:val="19"/>
        </w:rPr>
        <w:t xml:space="preserve"> </w:t>
      </w:r>
      <w:r w:rsidR="00324E0C" w:rsidRPr="001D48B3">
        <w:rPr>
          <w:rFonts w:ascii="Times New Roman" w:hAnsi="Times New Roman"/>
          <w:szCs w:val="19"/>
        </w:rPr>
        <w:t xml:space="preserve">can be used to highlight the most important peaks in terms of identifying the variability between samples. </w:t>
      </w:r>
      <w:r w:rsidR="00490AD8">
        <w:rPr>
          <w:rFonts w:ascii="Times New Roman" w:hAnsi="Times New Roman"/>
          <w:szCs w:val="19"/>
        </w:rPr>
        <w:t xml:space="preserve">A </w:t>
      </w:r>
      <w:r w:rsidR="000C4712">
        <w:rPr>
          <w:rFonts w:ascii="Times New Roman" w:hAnsi="Times New Roman"/>
          <w:szCs w:val="19"/>
        </w:rPr>
        <w:t>peak at 1027 cm</w:t>
      </w:r>
      <w:r w:rsidR="000C4712" w:rsidRPr="000C4712">
        <w:rPr>
          <w:rFonts w:ascii="Times New Roman" w:hAnsi="Times New Roman"/>
          <w:szCs w:val="19"/>
          <w:vertAlign w:val="superscript"/>
        </w:rPr>
        <w:t>-1</w:t>
      </w:r>
      <w:r w:rsidR="000C4712">
        <w:rPr>
          <w:rFonts w:ascii="Times New Roman" w:hAnsi="Times New Roman"/>
          <w:szCs w:val="19"/>
        </w:rPr>
        <w:t xml:space="preserve"> has been identified as the main peak causing the separation across PC1.  </w:t>
      </w:r>
      <w:r w:rsidR="00490AD8">
        <w:rPr>
          <w:rFonts w:ascii="Times New Roman" w:hAnsi="Times New Roman"/>
          <w:szCs w:val="19"/>
        </w:rPr>
        <w:t>We therefore deduce</w:t>
      </w:r>
      <w:r w:rsidR="000C4712">
        <w:rPr>
          <w:rFonts w:ascii="Times New Roman" w:hAnsi="Times New Roman"/>
          <w:szCs w:val="19"/>
        </w:rPr>
        <w:t xml:space="preserve"> that the unique peak in the FTIR-ATR spectra in </w:t>
      </w:r>
      <w:r w:rsidR="00FF014D">
        <w:rPr>
          <w:rFonts w:ascii="Times New Roman" w:hAnsi="Times New Roman"/>
          <w:szCs w:val="19"/>
        </w:rPr>
        <w:t>F</w:t>
      </w:r>
      <w:r w:rsidR="000C4712">
        <w:rPr>
          <w:rFonts w:ascii="Times New Roman" w:hAnsi="Times New Roman"/>
          <w:szCs w:val="19"/>
        </w:rPr>
        <w:t>igure 2a at 1030</w:t>
      </w:r>
      <w:r w:rsidR="005D4896">
        <w:rPr>
          <w:rFonts w:ascii="Times New Roman" w:hAnsi="Times New Roman"/>
          <w:szCs w:val="19"/>
        </w:rPr>
        <w:t>/1027</w:t>
      </w:r>
      <w:r w:rsidR="000C4712">
        <w:rPr>
          <w:rFonts w:ascii="Times New Roman" w:hAnsi="Times New Roman"/>
          <w:szCs w:val="19"/>
        </w:rPr>
        <w:t xml:space="preserve"> cm</w:t>
      </w:r>
      <w:r w:rsidR="000C4712" w:rsidRPr="00F83FD2">
        <w:rPr>
          <w:rFonts w:ascii="Times New Roman" w:hAnsi="Times New Roman"/>
          <w:szCs w:val="19"/>
          <w:vertAlign w:val="superscript"/>
        </w:rPr>
        <w:t>-</w:t>
      </w:r>
      <w:proofErr w:type="gramStart"/>
      <w:r w:rsidR="000C4712" w:rsidRPr="00F83FD2">
        <w:rPr>
          <w:rFonts w:ascii="Times New Roman" w:hAnsi="Times New Roman"/>
          <w:szCs w:val="19"/>
          <w:vertAlign w:val="superscript"/>
        </w:rPr>
        <w:t>1</w:t>
      </w:r>
      <w:r w:rsidR="000C4712">
        <w:rPr>
          <w:rFonts w:ascii="Times New Roman" w:hAnsi="Times New Roman"/>
          <w:szCs w:val="19"/>
        </w:rPr>
        <w:t xml:space="preserve"> </w:t>
      </w:r>
      <w:r w:rsidR="00EA6313">
        <w:rPr>
          <w:rFonts w:ascii="Times New Roman" w:hAnsi="Times New Roman"/>
          <w:szCs w:val="19"/>
        </w:rPr>
        <w:t>,</w:t>
      </w:r>
      <w:proofErr w:type="gramEnd"/>
      <w:r w:rsidR="00EA6313">
        <w:rPr>
          <w:rFonts w:ascii="Times New Roman" w:hAnsi="Times New Roman"/>
          <w:szCs w:val="19"/>
        </w:rPr>
        <w:t xml:space="preserve"> due to C-O or C-N bonds, </w:t>
      </w:r>
      <w:r w:rsidR="000C4712">
        <w:rPr>
          <w:rFonts w:ascii="Times New Roman" w:hAnsi="Times New Roman"/>
          <w:szCs w:val="19"/>
        </w:rPr>
        <w:t xml:space="preserve">is </w:t>
      </w:r>
      <w:r w:rsidR="00490AD8">
        <w:rPr>
          <w:rFonts w:ascii="Times New Roman" w:hAnsi="Times New Roman"/>
          <w:szCs w:val="19"/>
        </w:rPr>
        <w:t>caused by</w:t>
      </w:r>
      <w:r w:rsidR="000C4712">
        <w:rPr>
          <w:rFonts w:ascii="Times New Roman" w:hAnsi="Times New Roman"/>
          <w:szCs w:val="19"/>
        </w:rPr>
        <w:t xml:space="preserve"> glycation</w:t>
      </w:r>
      <w:r w:rsidR="00FF014D">
        <w:rPr>
          <w:rFonts w:ascii="Times New Roman" w:hAnsi="Times New Roman"/>
          <w:szCs w:val="19"/>
        </w:rPr>
        <w:t xml:space="preserve"> of</w:t>
      </w:r>
      <w:r w:rsidR="00FF014D" w:rsidRPr="00FF014D">
        <w:rPr>
          <w:rFonts w:ascii="Times New Roman" w:hAnsi="Times New Roman"/>
          <w:szCs w:val="19"/>
        </w:rPr>
        <w:t xml:space="preserve"> </w:t>
      </w:r>
      <w:r w:rsidR="00FF014D">
        <w:rPr>
          <w:rFonts w:ascii="Times New Roman" w:hAnsi="Times New Roman"/>
          <w:szCs w:val="19"/>
        </w:rPr>
        <w:t>lysozyme</w:t>
      </w:r>
      <w:r w:rsidR="00EA6313">
        <w:rPr>
          <w:rFonts w:ascii="Times New Roman" w:hAnsi="Times New Roman"/>
          <w:szCs w:val="19"/>
        </w:rPr>
        <w:t>.</w:t>
      </w:r>
    </w:p>
    <w:p w14:paraId="64A54DCA" w14:textId="77777777" w:rsidR="00262D2D" w:rsidRDefault="00121FB0" w:rsidP="002A6C21">
      <w:pPr>
        <w:keepNext/>
        <w:jc w:val="center"/>
      </w:pPr>
      <w:r>
        <w:rPr>
          <w:rFonts w:ascii="Arno Pro" w:hAnsi="Arno Pro"/>
          <w:noProof/>
          <w:color w:val="FF0000"/>
          <w:sz w:val="19"/>
          <w:szCs w:val="19"/>
          <w:lang w:val="en-GB" w:eastAsia="en-GB"/>
        </w:rPr>
        <w:drawing>
          <wp:inline distT="0" distB="0" distL="0" distR="0" wp14:anchorId="5216C2D8" wp14:editId="44F9BD23">
            <wp:extent cx="5541645" cy="25971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1645" cy="2597150"/>
                    </a:xfrm>
                    <a:prstGeom prst="rect">
                      <a:avLst/>
                    </a:prstGeom>
                    <a:noFill/>
                  </pic:spPr>
                </pic:pic>
              </a:graphicData>
            </a:graphic>
          </wp:inline>
        </w:drawing>
      </w:r>
    </w:p>
    <w:p w14:paraId="13C81EC8" w14:textId="01A3EA82" w:rsidR="00121FB0" w:rsidRPr="00374A81" w:rsidRDefault="00374A81" w:rsidP="00262D2D">
      <w:pPr>
        <w:pStyle w:val="Caption"/>
        <w:rPr>
          <w:i w:val="0"/>
          <w:color w:val="auto"/>
          <w:sz w:val="24"/>
        </w:rPr>
      </w:pPr>
      <w:r>
        <w:rPr>
          <w:i w:val="0"/>
          <w:color w:val="auto"/>
          <w:sz w:val="24"/>
        </w:rPr>
        <w:t xml:space="preserve">Figure </w:t>
      </w:r>
      <w:r w:rsidR="00262D2D" w:rsidRPr="00374A81">
        <w:rPr>
          <w:i w:val="0"/>
          <w:color w:val="auto"/>
          <w:sz w:val="24"/>
        </w:rPr>
        <w:fldChar w:fldCharType="begin"/>
      </w:r>
      <w:r w:rsidR="00262D2D" w:rsidRPr="00374A81">
        <w:rPr>
          <w:i w:val="0"/>
          <w:color w:val="auto"/>
          <w:sz w:val="24"/>
        </w:rPr>
        <w:instrText xml:space="preserve"> SEQ Figure \* ARABIC </w:instrText>
      </w:r>
      <w:r w:rsidR="00262D2D" w:rsidRPr="00374A81">
        <w:rPr>
          <w:i w:val="0"/>
          <w:color w:val="auto"/>
          <w:sz w:val="24"/>
        </w:rPr>
        <w:fldChar w:fldCharType="separate"/>
      </w:r>
      <w:r w:rsidR="009E7B21" w:rsidRPr="00374A81">
        <w:rPr>
          <w:i w:val="0"/>
          <w:noProof/>
          <w:color w:val="auto"/>
          <w:sz w:val="24"/>
        </w:rPr>
        <w:t>3</w:t>
      </w:r>
      <w:r w:rsidR="00262D2D" w:rsidRPr="00374A81">
        <w:rPr>
          <w:i w:val="0"/>
          <w:color w:val="auto"/>
          <w:sz w:val="24"/>
        </w:rPr>
        <w:fldChar w:fldCharType="end"/>
      </w:r>
      <w:r>
        <w:rPr>
          <w:i w:val="0"/>
          <w:color w:val="auto"/>
          <w:sz w:val="24"/>
        </w:rPr>
        <w:t>.</w:t>
      </w:r>
      <w:r w:rsidR="001E5AA7" w:rsidRPr="00374A81">
        <w:rPr>
          <w:i w:val="0"/>
          <w:color w:val="auto"/>
          <w:sz w:val="24"/>
        </w:rPr>
        <w:t xml:space="preserve"> FTIR-ATR </w:t>
      </w:r>
      <w:r w:rsidR="00E44266">
        <w:rPr>
          <w:i w:val="0"/>
          <w:color w:val="auto"/>
          <w:sz w:val="24"/>
        </w:rPr>
        <w:t>spectra of</w:t>
      </w:r>
      <w:r>
        <w:rPr>
          <w:i w:val="0"/>
          <w:color w:val="auto"/>
          <w:sz w:val="24"/>
        </w:rPr>
        <w:t xml:space="preserve"> </w:t>
      </w:r>
      <w:r w:rsidR="00BA14C2">
        <w:rPr>
          <w:i w:val="0"/>
          <w:color w:val="auto"/>
          <w:sz w:val="24"/>
        </w:rPr>
        <w:t>control</w:t>
      </w:r>
      <w:r w:rsidR="001E5AA7" w:rsidRPr="00374A81">
        <w:rPr>
          <w:i w:val="0"/>
          <w:color w:val="auto"/>
          <w:sz w:val="24"/>
        </w:rPr>
        <w:t xml:space="preserve"> lysozyme (S30) after 30 days of incubation with no glucose</w:t>
      </w:r>
      <w:r w:rsidR="00420691">
        <w:rPr>
          <w:i w:val="0"/>
          <w:color w:val="auto"/>
          <w:sz w:val="24"/>
        </w:rPr>
        <w:t>;</w:t>
      </w:r>
      <w:r w:rsidR="001E5AA7" w:rsidRPr="00374A81">
        <w:rPr>
          <w:i w:val="0"/>
          <w:color w:val="auto"/>
          <w:sz w:val="24"/>
        </w:rPr>
        <w:t xml:space="preserve"> </w:t>
      </w:r>
      <w:r w:rsidRPr="00374A81">
        <w:rPr>
          <w:i w:val="0"/>
          <w:color w:val="auto"/>
          <w:sz w:val="24"/>
        </w:rPr>
        <w:t>glycated lysozyme after 30 day (G30)</w:t>
      </w:r>
      <w:r w:rsidR="00420691">
        <w:rPr>
          <w:i w:val="0"/>
          <w:color w:val="auto"/>
          <w:sz w:val="24"/>
        </w:rPr>
        <w:t>; and</w:t>
      </w:r>
      <w:r w:rsidRPr="00374A81">
        <w:rPr>
          <w:i w:val="0"/>
          <w:color w:val="auto"/>
          <w:sz w:val="24"/>
        </w:rPr>
        <w:t xml:space="preserve"> </w:t>
      </w:r>
      <w:r w:rsidR="00420691">
        <w:rPr>
          <w:i w:val="0"/>
          <w:color w:val="auto"/>
          <w:sz w:val="24"/>
        </w:rPr>
        <w:t>l</w:t>
      </w:r>
      <w:r w:rsidRPr="00374A81">
        <w:rPr>
          <w:i w:val="0"/>
          <w:color w:val="auto"/>
          <w:sz w:val="24"/>
        </w:rPr>
        <w:t xml:space="preserve">ysozyme </w:t>
      </w:r>
      <w:r w:rsidR="00420691">
        <w:rPr>
          <w:i w:val="0"/>
          <w:color w:val="auto"/>
          <w:sz w:val="24"/>
        </w:rPr>
        <w:t>mixed</w:t>
      </w:r>
      <w:r w:rsidRPr="00374A81">
        <w:rPr>
          <w:i w:val="0"/>
          <w:color w:val="auto"/>
          <w:sz w:val="24"/>
        </w:rPr>
        <w:t xml:space="preserve"> with </w:t>
      </w:r>
      <w:r w:rsidR="00420691">
        <w:rPr>
          <w:i w:val="0"/>
          <w:color w:val="auto"/>
          <w:sz w:val="24"/>
        </w:rPr>
        <w:t xml:space="preserve">free </w:t>
      </w:r>
      <w:r w:rsidRPr="00374A81">
        <w:rPr>
          <w:i w:val="0"/>
          <w:color w:val="auto"/>
          <w:sz w:val="24"/>
        </w:rPr>
        <w:t>glucose</w:t>
      </w:r>
      <w:r w:rsidR="00420691">
        <w:rPr>
          <w:i w:val="0"/>
          <w:color w:val="auto"/>
          <w:sz w:val="24"/>
        </w:rPr>
        <w:t>.</w:t>
      </w:r>
      <w:r w:rsidRPr="00374A81">
        <w:rPr>
          <w:i w:val="0"/>
          <w:color w:val="auto"/>
          <w:sz w:val="24"/>
        </w:rPr>
        <w:t xml:space="preserve"> </w:t>
      </w:r>
      <w:r w:rsidR="00420691">
        <w:rPr>
          <w:i w:val="0"/>
          <w:color w:val="auto"/>
          <w:sz w:val="24"/>
        </w:rPr>
        <w:t xml:space="preserve">Samples are </w:t>
      </w:r>
      <w:r w:rsidRPr="00374A81">
        <w:rPr>
          <w:i w:val="0"/>
          <w:color w:val="auto"/>
          <w:sz w:val="24"/>
        </w:rPr>
        <w:t>lyophilized and an</w:t>
      </w:r>
      <w:r w:rsidR="00420691">
        <w:rPr>
          <w:i w:val="0"/>
          <w:color w:val="auto"/>
          <w:sz w:val="24"/>
        </w:rPr>
        <w:t>al</w:t>
      </w:r>
      <w:r w:rsidRPr="00374A81">
        <w:rPr>
          <w:i w:val="0"/>
          <w:color w:val="auto"/>
          <w:sz w:val="24"/>
        </w:rPr>
        <w:t xml:space="preserve">ysed under the same </w:t>
      </w:r>
      <w:r w:rsidR="00420691">
        <w:rPr>
          <w:i w:val="0"/>
          <w:color w:val="auto"/>
          <w:sz w:val="24"/>
        </w:rPr>
        <w:t>conditions</w:t>
      </w:r>
      <w:r w:rsidR="00420691" w:rsidRPr="00374A81">
        <w:rPr>
          <w:i w:val="0"/>
          <w:color w:val="auto"/>
          <w:sz w:val="24"/>
        </w:rPr>
        <w:t xml:space="preserve"> </w:t>
      </w:r>
      <w:r w:rsidRPr="00374A81">
        <w:rPr>
          <w:i w:val="0"/>
          <w:color w:val="auto"/>
          <w:sz w:val="24"/>
        </w:rPr>
        <w:t>to compare bound and free glucose peaks.</w:t>
      </w:r>
    </w:p>
    <w:p w14:paraId="4D237537" w14:textId="77777777" w:rsidR="00FF014D" w:rsidRDefault="00FF014D" w:rsidP="002D066B">
      <w:pPr>
        <w:spacing w:line="480" w:lineRule="auto"/>
      </w:pPr>
    </w:p>
    <w:p w14:paraId="65E6979E" w14:textId="77777777" w:rsidR="00EC1705" w:rsidRDefault="003A08EE" w:rsidP="002D066B">
      <w:pPr>
        <w:spacing w:line="480" w:lineRule="auto"/>
      </w:pPr>
      <w:r>
        <w:t xml:space="preserve">Figure 3 shows </w:t>
      </w:r>
      <w:r w:rsidR="00FF014D">
        <w:t>three</w:t>
      </w:r>
      <w:r>
        <w:t xml:space="preserve"> FTIR-ATR spectra to determine the </w:t>
      </w:r>
      <w:r w:rsidR="002F420A">
        <w:t>difference</w:t>
      </w:r>
      <w:r>
        <w:t xml:space="preserve"> between free glucose an</w:t>
      </w:r>
      <w:r w:rsidR="002F420A">
        <w:t>d</w:t>
      </w:r>
      <w:r>
        <w:t xml:space="preserve"> </w:t>
      </w:r>
      <w:r w:rsidR="002F420A">
        <w:t>bound</w:t>
      </w:r>
      <w:r>
        <w:t xml:space="preserve"> glucose peaks. Lysozyme </w:t>
      </w:r>
      <w:r w:rsidR="00420691">
        <w:t xml:space="preserve">mixed with free </w:t>
      </w:r>
      <w:r w:rsidR="002F420A">
        <w:t xml:space="preserve">glucose </w:t>
      </w:r>
      <w:r w:rsidR="00420691">
        <w:t>in</w:t>
      </w:r>
      <w:r>
        <w:t xml:space="preserve"> solution and then freeze dried has a main peak at 1022 cm</w:t>
      </w:r>
      <w:r w:rsidRPr="005B4935">
        <w:rPr>
          <w:vertAlign w:val="superscript"/>
        </w:rPr>
        <w:t>-1</w:t>
      </w:r>
      <w:r>
        <w:t xml:space="preserve">. The S30 </w:t>
      </w:r>
      <w:r w:rsidR="002F420A">
        <w:t>sample</w:t>
      </w:r>
      <w:r w:rsidR="000B3247">
        <w:t xml:space="preserve"> </w:t>
      </w:r>
      <w:r w:rsidR="00420691">
        <w:t>of</w:t>
      </w:r>
      <w:r w:rsidR="000B3247">
        <w:t xml:space="preserve"> lysozyme incubated with no glucose for 30 days </w:t>
      </w:r>
      <w:r w:rsidR="000B3247">
        <w:lastRenderedPageBreak/>
        <w:t>has a peak at 1046 cm</w:t>
      </w:r>
      <w:r w:rsidR="000B3247" w:rsidRPr="005B4935">
        <w:rPr>
          <w:vertAlign w:val="superscript"/>
        </w:rPr>
        <w:t>-1</w:t>
      </w:r>
      <w:r w:rsidR="000B3247">
        <w:t xml:space="preserve"> therefore further validating that</w:t>
      </w:r>
      <w:r w:rsidR="00A72577">
        <w:t xml:space="preserve"> in G30</w:t>
      </w:r>
      <w:r w:rsidR="000B3247">
        <w:t xml:space="preserve"> the peak at 1030</w:t>
      </w:r>
      <w:r w:rsidR="005B4935">
        <w:t xml:space="preserve"> </w:t>
      </w:r>
      <w:r w:rsidR="000B3247">
        <w:t>cm</w:t>
      </w:r>
      <w:r w:rsidR="000B3247" w:rsidRPr="005B4935">
        <w:rPr>
          <w:vertAlign w:val="superscript"/>
        </w:rPr>
        <w:t>-1</w:t>
      </w:r>
      <w:r w:rsidR="000B3247">
        <w:t xml:space="preserve"> is</w:t>
      </w:r>
      <w:r w:rsidR="002F420A">
        <w:t xml:space="preserve"> </w:t>
      </w:r>
      <w:r w:rsidR="000B3247">
        <w:t xml:space="preserve">only found in </w:t>
      </w:r>
      <w:r w:rsidR="002F420A">
        <w:t>glycated</w:t>
      </w:r>
      <w:r w:rsidR="000B3247">
        <w:t xml:space="preserve"> </w:t>
      </w:r>
      <w:r w:rsidR="002F420A">
        <w:t>samples</w:t>
      </w:r>
      <w:r w:rsidR="000B3247">
        <w:t xml:space="preserve"> and could be </w:t>
      </w:r>
      <w:r w:rsidR="002F420A">
        <w:t>attributed</w:t>
      </w:r>
      <w:r w:rsidR="000B3247">
        <w:t xml:space="preserve"> to </w:t>
      </w:r>
      <w:r w:rsidR="00FF014D">
        <w:t xml:space="preserve">covalently </w:t>
      </w:r>
      <w:r w:rsidR="000B3247">
        <w:t>bound glucose only.</w:t>
      </w:r>
    </w:p>
    <w:p w14:paraId="78273A07" w14:textId="3DEEE4A7" w:rsidR="00EC1705" w:rsidRDefault="00920C43" w:rsidP="00EC1705">
      <w:pPr>
        <w:spacing w:line="480" w:lineRule="auto"/>
        <w:rPr>
          <w:b/>
        </w:rPr>
      </w:pPr>
      <w:r w:rsidRPr="00920C43">
        <w:rPr>
          <w:b/>
        </w:rPr>
        <w:t xml:space="preserve">Analysis </w:t>
      </w:r>
      <w:r w:rsidR="005F5B55">
        <w:rPr>
          <w:b/>
        </w:rPr>
        <w:t>of glycation using R</w:t>
      </w:r>
      <w:r w:rsidR="005F5B55" w:rsidRPr="00920C43">
        <w:rPr>
          <w:b/>
        </w:rPr>
        <w:t>aman spectroscopy</w:t>
      </w:r>
    </w:p>
    <w:p w14:paraId="67CFCA07" w14:textId="6EC10585" w:rsidR="00EC1705" w:rsidRPr="001604FE" w:rsidRDefault="000B3247" w:rsidP="001604FE">
      <w:pPr>
        <w:spacing w:line="480" w:lineRule="auto"/>
      </w:pPr>
      <w:r w:rsidRPr="00BA14C2">
        <w:t xml:space="preserve">Raman </w:t>
      </w:r>
      <w:r w:rsidR="002F420A" w:rsidRPr="00BA14C2">
        <w:t>spectroscopy</w:t>
      </w:r>
      <w:r w:rsidRPr="00BA14C2">
        <w:t xml:space="preserve"> is a compl</w:t>
      </w:r>
      <w:r w:rsidR="001D38D7" w:rsidRPr="00BA14C2">
        <w:t>e</w:t>
      </w:r>
      <w:r w:rsidRPr="00BA14C2">
        <w:t xml:space="preserve">mentary vibrational </w:t>
      </w:r>
      <w:r w:rsidR="00F24536" w:rsidRPr="00BA14C2">
        <w:t>analysis</w:t>
      </w:r>
      <w:r w:rsidRPr="00BA14C2">
        <w:t xml:space="preserve"> technique </w:t>
      </w:r>
      <w:r w:rsidR="001D38D7" w:rsidRPr="00BA14C2">
        <w:t xml:space="preserve">to FTIR </w:t>
      </w:r>
      <w:r w:rsidR="00246B3B">
        <w:t xml:space="preserve">spectroscopy </w:t>
      </w:r>
      <w:r w:rsidRPr="00BA14C2">
        <w:t xml:space="preserve">with the benefit of having little </w:t>
      </w:r>
      <w:r w:rsidR="00246B3B">
        <w:t xml:space="preserve">spectral </w:t>
      </w:r>
      <w:r w:rsidRPr="00BA14C2">
        <w:t xml:space="preserve">contribution </w:t>
      </w:r>
      <w:r w:rsidR="00246B3B">
        <w:t xml:space="preserve">from </w:t>
      </w:r>
      <w:r w:rsidRPr="00BA14C2">
        <w:t xml:space="preserve">water. A larger scale </w:t>
      </w:r>
      <w:r w:rsidR="00F24536" w:rsidRPr="00BA14C2">
        <w:t>glycation</w:t>
      </w:r>
      <w:r w:rsidRPr="00BA14C2">
        <w:t xml:space="preserve"> set-</w:t>
      </w:r>
      <w:r w:rsidR="001604FE">
        <w:t>up was used in order to create two</w:t>
      </w:r>
      <w:r w:rsidRPr="00BA14C2">
        <w:t xml:space="preserve"> sets of </w:t>
      </w:r>
      <w:r w:rsidR="00F24536" w:rsidRPr="00BA14C2">
        <w:t>samples</w:t>
      </w:r>
      <w:r w:rsidR="001D38D7" w:rsidRPr="00BA14C2">
        <w:t>:</w:t>
      </w:r>
      <w:r w:rsidRPr="00BA14C2">
        <w:t xml:space="preserve"> lysozyme </w:t>
      </w:r>
      <w:r w:rsidR="00246B3B">
        <w:t xml:space="preserve">was </w:t>
      </w:r>
      <w:r w:rsidRPr="00BA14C2">
        <w:t xml:space="preserve">incubated </w:t>
      </w:r>
      <w:r w:rsidR="001D38D7" w:rsidRPr="00BA14C2">
        <w:t xml:space="preserve">for 30 days, </w:t>
      </w:r>
      <w:r w:rsidRPr="00BA14C2">
        <w:t xml:space="preserve">with </w:t>
      </w:r>
      <w:r w:rsidR="001D38D7" w:rsidRPr="00BA14C2">
        <w:t xml:space="preserve">and without </w:t>
      </w:r>
      <w:r w:rsidRPr="00BA14C2">
        <w:t>glucose.</w:t>
      </w:r>
      <w:r w:rsidR="00520834">
        <w:t xml:space="preserve"> Raman spectroscopy requires </w:t>
      </w:r>
      <w:r w:rsidR="00EA6313">
        <w:t xml:space="preserve">a </w:t>
      </w:r>
      <w:r w:rsidR="00520834">
        <w:t>minimum concentration of &gt;10 mg/</w:t>
      </w:r>
      <w:commentRangeStart w:id="8"/>
      <w:r w:rsidR="00520834">
        <w:t xml:space="preserve">ml </w:t>
      </w:r>
      <w:commentRangeEnd w:id="8"/>
      <w:r w:rsidR="00C40214">
        <w:rPr>
          <w:rStyle w:val="CommentReference"/>
        </w:rPr>
        <w:commentReference w:id="8"/>
      </w:r>
      <w:r w:rsidR="00520834">
        <w:t>and the 96 well plate set-up needs 360 µL per well</w:t>
      </w:r>
      <w:r w:rsidR="00EA6313">
        <w:t>.</w:t>
      </w:r>
      <w:r w:rsidR="00520834">
        <w:t xml:space="preserve"> </w:t>
      </w:r>
      <w:r w:rsidR="00EA6313">
        <w:t>We</w:t>
      </w:r>
      <w:r w:rsidR="00520834">
        <w:t xml:space="preserve"> therefore simplified the incubation set-up in order to create larger volumes </w:t>
      </w:r>
      <w:r w:rsidR="00EA6313">
        <w:t>so we could</w:t>
      </w:r>
      <w:r w:rsidR="00520834">
        <w:t xml:space="preserve"> create </w:t>
      </w:r>
      <w:r w:rsidR="00EA6313">
        <w:t xml:space="preserve">a </w:t>
      </w:r>
      <w:proofErr w:type="spellStart"/>
      <w:r w:rsidR="00EA6313">
        <w:t>concen</w:t>
      </w:r>
      <w:r w:rsidR="00520834">
        <w:t>tation</w:t>
      </w:r>
      <w:proofErr w:type="spellEnd"/>
      <w:r w:rsidR="00520834">
        <w:t xml:space="preserve"> gradient.</w:t>
      </w:r>
      <w:r w:rsidRPr="00BA14C2">
        <w:t xml:space="preserve"> </w:t>
      </w:r>
      <w:r w:rsidR="001D38D7" w:rsidRPr="00BA14C2">
        <w:t>G</w:t>
      </w:r>
      <w:r w:rsidRPr="00BA14C2">
        <w:t xml:space="preserve">lycated </w:t>
      </w:r>
      <w:r w:rsidR="00F24536" w:rsidRPr="00BA14C2">
        <w:t>samples were buffer exch</w:t>
      </w:r>
      <w:r w:rsidRPr="00BA14C2">
        <w:t>a</w:t>
      </w:r>
      <w:r w:rsidR="00F24536" w:rsidRPr="00BA14C2">
        <w:t>n</w:t>
      </w:r>
      <w:r w:rsidRPr="00BA14C2">
        <w:t xml:space="preserve">ged to remove free </w:t>
      </w:r>
      <w:r w:rsidR="00F24536" w:rsidRPr="00BA14C2">
        <w:t>glucose (</w:t>
      </w:r>
      <w:r w:rsidRPr="00BA14C2">
        <w:t xml:space="preserve">full details </w:t>
      </w:r>
      <w:r w:rsidR="009E1BE8" w:rsidRPr="00BA14C2">
        <w:t xml:space="preserve">are </w:t>
      </w:r>
      <w:r w:rsidR="001D38D7" w:rsidRPr="00BA14C2">
        <w:t xml:space="preserve">described </w:t>
      </w:r>
      <w:r w:rsidRPr="00BA14C2">
        <w:t xml:space="preserve">in </w:t>
      </w:r>
      <w:r w:rsidR="001928B1" w:rsidRPr="00BA14C2">
        <w:t>sample preparation</w:t>
      </w:r>
      <w:r w:rsidRPr="00BA14C2">
        <w:t>)</w:t>
      </w:r>
      <w:r w:rsidR="002F420A" w:rsidRPr="00BA14C2">
        <w:t xml:space="preserve">. The </w:t>
      </w:r>
      <w:r w:rsidR="00F24536" w:rsidRPr="00BA14C2">
        <w:t>samples</w:t>
      </w:r>
      <w:r w:rsidR="002F420A" w:rsidRPr="00BA14C2">
        <w:t xml:space="preserve"> were anlaysed using </w:t>
      </w:r>
      <w:r w:rsidR="002A62E7" w:rsidRPr="00BA14C2">
        <w:t>MS</w:t>
      </w:r>
      <w:r w:rsidR="001D38D7" w:rsidRPr="00BA14C2">
        <w:t>,</w:t>
      </w:r>
      <w:r w:rsidR="002F420A" w:rsidRPr="00BA14C2">
        <w:t xml:space="preserve"> </w:t>
      </w:r>
      <w:r w:rsidR="00246B3B">
        <w:t xml:space="preserve">which is </w:t>
      </w:r>
      <w:r w:rsidR="002F420A" w:rsidRPr="00BA14C2">
        <w:t xml:space="preserve">summarised in </w:t>
      </w:r>
      <w:r w:rsidR="00246B3B">
        <w:t>T</w:t>
      </w:r>
      <w:r w:rsidR="002F420A" w:rsidRPr="00BA14C2">
        <w:t>able 2 below.</w:t>
      </w:r>
      <w:r w:rsidR="002A62E7" w:rsidRPr="00BA14C2">
        <w:t xml:space="preserve"> In comparison to the first glycation </w:t>
      </w:r>
      <w:r w:rsidR="008D722F" w:rsidRPr="00BA14C2">
        <w:t>(</w:t>
      </w:r>
      <w:r w:rsidR="00246B3B">
        <w:t>T</w:t>
      </w:r>
      <w:r w:rsidR="002A62E7" w:rsidRPr="00BA14C2">
        <w:t>able 1</w:t>
      </w:r>
      <w:r w:rsidR="008D722F" w:rsidRPr="00BA14C2">
        <w:t>)</w:t>
      </w:r>
      <w:r w:rsidR="002A62E7" w:rsidRPr="00BA14C2">
        <w:t xml:space="preserve"> this method shows that although the most abundant species is lysozyme with 2 glucose bound</w:t>
      </w:r>
      <w:r w:rsidR="008D722F" w:rsidRPr="00BA14C2">
        <w:t xml:space="preserve">, there </w:t>
      </w:r>
      <w:r w:rsidR="00EA6313">
        <w:t>are</w:t>
      </w:r>
      <w:r w:rsidR="008D722F" w:rsidRPr="00BA14C2">
        <w:t xml:space="preserve"> fewer lysozyme</w:t>
      </w:r>
      <w:r w:rsidR="00EA6313">
        <w:t>s</w:t>
      </w:r>
      <w:r w:rsidR="008D722F" w:rsidRPr="00BA14C2">
        <w:t xml:space="preserve"> with 3 glucose bound</w:t>
      </w:r>
      <w:r w:rsidR="00EA6313">
        <w:t>,</w:t>
      </w:r>
      <w:r w:rsidR="008D722F" w:rsidRPr="00BA14C2">
        <w:t xml:space="preserve"> suggesting that the </w:t>
      </w:r>
      <w:r w:rsidR="00EA6313">
        <w:t>altered</w:t>
      </w:r>
      <w:r w:rsidR="008D722F" w:rsidRPr="00BA14C2">
        <w:t xml:space="preserve"> reaction condition</w:t>
      </w:r>
      <w:r w:rsidR="001604FE">
        <w:t>s may affect the glycation rate.</w:t>
      </w:r>
    </w:p>
    <w:p w14:paraId="6075FC8A" w14:textId="4261CCCE" w:rsidR="00E55E08" w:rsidRDefault="00E55E08" w:rsidP="00E55E08">
      <w:pPr>
        <w:pStyle w:val="Caption"/>
        <w:keepNext/>
        <w:rPr>
          <w:i w:val="0"/>
          <w:color w:val="auto"/>
          <w:sz w:val="24"/>
        </w:rPr>
      </w:pPr>
      <w:r w:rsidRPr="00D5564E">
        <w:rPr>
          <w:i w:val="0"/>
          <w:color w:val="auto"/>
          <w:sz w:val="24"/>
        </w:rPr>
        <w:t xml:space="preserve">Table </w:t>
      </w:r>
      <w:r w:rsidR="00D5564E" w:rsidRPr="00D5564E">
        <w:rPr>
          <w:i w:val="0"/>
          <w:color w:val="auto"/>
          <w:sz w:val="24"/>
        </w:rPr>
        <w:t>2</w:t>
      </w:r>
      <w:r w:rsidRPr="00D5564E">
        <w:rPr>
          <w:i w:val="0"/>
          <w:color w:val="auto"/>
          <w:sz w:val="24"/>
        </w:rPr>
        <w:t xml:space="preserve">. </w:t>
      </w:r>
      <w:r w:rsidR="00D5564E" w:rsidRPr="00D5564E">
        <w:rPr>
          <w:i w:val="0"/>
          <w:color w:val="auto"/>
          <w:sz w:val="24"/>
        </w:rPr>
        <w:t>Summary of glycation % of Lysozyme after 30 days incubation at 5 mg/m</w:t>
      </w:r>
      <w:r w:rsidR="00246B3B">
        <w:rPr>
          <w:i w:val="0"/>
          <w:color w:val="auto"/>
          <w:sz w:val="24"/>
        </w:rPr>
        <w:t>L</w:t>
      </w:r>
      <w:r w:rsidR="00D5564E" w:rsidRPr="00D5564E">
        <w:rPr>
          <w:i w:val="0"/>
          <w:color w:val="auto"/>
          <w:sz w:val="24"/>
        </w:rPr>
        <w:t xml:space="preserve"> with 0.5 M glucose. Analysis carried out using Q </w:t>
      </w:r>
      <w:proofErr w:type="spellStart"/>
      <w:r w:rsidR="00D5564E" w:rsidRPr="00D5564E">
        <w:rPr>
          <w:i w:val="0"/>
          <w:color w:val="auto"/>
          <w:sz w:val="24"/>
        </w:rPr>
        <w:t>Exactive</w:t>
      </w:r>
      <w:proofErr w:type="spellEnd"/>
      <w:r w:rsidR="00D5564E" w:rsidRPr="00D5564E">
        <w:rPr>
          <w:i w:val="0"/>
          <w:color w:val="auto"/>
          <w:sz w:val="24"/>
        </w:rPr>
        <w:t xml:space="preserve"> UHMR hybrid quadrupole-orbitrap mass spectrometer (Thermo Fisher scientific). Integrations were carried under the 7</w:t>
      </w:r>
      <w:r w:rsidR="00D5564E" w:rsidRPr="001928B1">
        <w:rPr>
          <w:i w:val="0"/>
          <w:color w:val="auto"/>
          <w:sz w:val="24"/>
          <w:vertAlign w:val="superscript"/>
        </w:rPr>
        <w:t>+</w:t>
      </w:r>
      <w:r w:rsidR="00D5564E" w:rsidRPr="00D5564E">
        <w:rPr>
          <w:i w:val="0"/>
          <w:color w:val="auto"/>
          <w:sz w:val="24"/>
        </w:rPr>
        <w:t xml:space="preserve"> charge state</w:t>
      </w:r>
      <w:r w:rsidR="001928B1">
        <w:rPr>
          <w:i w:val="0"/>
          <w:color w:val="auto"/>
          <w:sz w:val="24"/>
        </w:rPr>
        <w:t xml:space="preserve"> (only one intense enough to analyse)</w:t>
      </w:r>
      <w:r w:rsidR="00D5564E" w:rsidRPr="00D5564E">
        <w:rPr>
          <w:i w:val="0"/>
          <w:color w:val="auto"/>
          <w:sz w:val="24"/>
        </w:rPr>
        <w:t xml:space="preserve">. </w:t>
      </w:r>
      <w:r w:rsidRPr="00D5564E">
        <w:rPr>
          <w:i w:val="0"/>
          <w:color w:val="auto"/>
          <w:sz w:val="24"/>
        </w:rPr>
        <w:t xml:space="preserve">Full </w:t>
      </w:r>
      <w:r w:rsidR="00D5564E" w:rsidRPr="00D5564E">
        <w:rPr>
          <w:i w:val="0"/>
          <w:color w:val="auto"/>
          <w:sz w:val="24"/>
        </w:rPr>
        <w:t>calculations</w:t>
      </w:r>
      <w:r w:rsidRPr="00D5564E">
        <w:rPr>
          <w:i w:val="0"/>
          <w:color w:val="auto"/>
          <w:sz w:val="24"/>
        </w:rPr>
        <w:t xml:space="preserve"> and masses are shown in </w:t>
      </w:r>
      <w:r w:rsidR="00246B3B">
        <w:rPr>
          <w:i w:val="0"/>
          <w:color w:val="auto"/>
          <w:sz w:val="24"/>
        </w:rPr>
        <w:t>F</w:t>
      </w:r>
      <w:r w:rsidRPr="00D5564E">
        <w:rPr>
          <w:i w:val="0"/>
          <w:color w:val="auto"/>
          <w:sz w:val="24"/>
        </w:rPr>
        <w:t xml:space="preserve">igure S3 and </w:t>
      </w:r>
      <w:r w:rsidR="00246B3B">
        <w:rPr>
          <w:i w:val="0"/>
          <w:color w:val="auto"/>
          <w:sz w:val="24"/>
        </w:rPr>
        <w:t>T</w:t>
      </w:r>
      <w:r w:rsidRPr="00D5564E">
        <w:rPr>
          <w:i w:val="0"/>
          <w:color w:val="auto"/>
          <w:sz w:val="24"/>
        </w:rPr>
        <w:t>able S4.</w:t>
      </w:r>
    </w:p>
    <w:p w14:paraId="5B9346EB" w14:textId="77777777" w:rsidR="00967910" w:rsidRPr="00967910" w:rsidRDefault="00967910" w:rsidP="00967910"/>
    <w:tbl>
      <w:tblPr>
        <w:tblW w:w="6984" w:type="dxa"/>
        <w:jc w:val="center"/>
        <w:tblCellMar>
          <w:left w:w="0" w:type="dxa"/>
          <w:right w:w="0" w:type="dxa"/>
        </w:tblCellMar>
        <w:tblLook w:val="04A0" w:firstRow="1" w:lastRow="0" w:firstColumn="1" w:lastColumn="0" w:noHBand="0" w:noVBand="1"/>
      </w:tblPr>
      <w:tblGrid>
        <w:gridCol w:w="2093"/>
        <w:gridCol w:w="2481"/>
        <w:gridCol w:w="2410"/>
      </w:tblGrid>
      <w:tr w:rsidR="00841004" w:rsidRPr="00B24A0E" w14:paraId="20C9FCE3" w14:textId="77777777" w:rsidTr="00933DD1">
        <w:trPr>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59F966" w14:textId="736470D9" w:rsidR="00841004" w:rsidRPr="00841004" w:rsidRDefault="00841004" w:rsidP="00B24A0E">
            <w:pPr>
              <w:autoSpaceDN/>
              <w:spacing w:after="0"/>
              <w:jc w:val="center"/>
              <w:textAlignment w:val="auto"/>
              <w:rPr>
                <w:rFonts w:ascii="Times New Roman" w:hAnsi="Times New Roman"/>
                <w:b/>
                <w:szCs w:val="24"/>
                <w:lang w:val="en-GB" w:eastAsia="en-GB"/>
              </w:rPr>
            </w:pPr>
            <w:r w:rsidRPr="00841004">
              <w:rPr>
                <w:rFonts w:ascii="Times New Roman" w:hAnsi="Times New Roman"/>
                <w:b/>
                <w:szCs w:val="24"/>
                <w:lang w:val="en-GB" w:eastAsia="en-GB"/>
              </w:rPr>
              <w:t>Population of Lysozyme with bound Glucose</w:t>
            </w:r>
          </w:p>
        </w:tc>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53BE92" w14:textId="6CCD5041" w:rsidR="00841004" w:rsidRPr="00B24A0E" w:rsidRDefault="00BA14C2" w:rsidP="00B24A0E">
            <w:pPr>
              <w:autoSpaceDN/>
              <w:spacing w:after="0"/>
              <w:jc w:val="center"/>
              <w:textAlignment w:val="auto"/>
              <w:rPr>
                <w:rFonts w:ascii="Times New Roman" w:hAnsi="Times New Roman"/>
                <w:b/>
                <w:color w:val="000000"/>
                <w:kern w:val="24"/>
                <w:szCs w:val="24"/>
                <w:lang w:val="en-GB" w:eastAsia="en-GB"/>
              </w:rPr>
            </w:pPr>
            <w:r>
              <w:rPr>
                <w:rFonts w:ascii="Times New Roman" w:hAnsi="Times New Roman"/>
                <w:b/>
                <w:color w:val="000000"/>
                <w:kern w:val="24"/>
                <w:szCs w:val="24"/>
                <w:lang w:val="en-GB" w:eastAsia="en-GB"/>
              </w:rPr>
              <w:t>Control</w:t>
            </w:r>
            <w:r w:rsidR="00841004" w:rsidRPr="00841004">
              <w:rPr>
                <w:rFonts w:ascii="Times New Roman" w:hAnsi="Times New Roman"/>
                <w:b/>
                <w:color w:val="000000"/>
                <w:kern w:val="24"/>
                <w:szCs w:val="24"/>
                <w:lang w:val="en-GB" w:eastAsia="en-GB"/>
              </w:rPr>
              <w:t xml:space="preserve"> (%)                   30 day Incubation</w:t>
            </w:r>
            <w:r>
              <w:rPr>
                <w:rFonts w:ascii="Times New Roman" w:hAnsi="Times New Roman"/>
                <w:b/>
                <w:color w:val="000000"/>
                <w:kern w:val="24"/>
                <w:szCs w:val="24"/>
                <w:lang w:val="en-GB" w:eastAsia="en-GB"/>
              </w:rPr>
              <w:t xml:space="preserve"> </w:t>
            </w:r>
            <w:r w:rsidR="00841004" w:rsidRPr="00841004">
              <w:rPr>
                <w:rFonts w:ascii="Times New Roman" w:hAnsi="Times New Roman"/>
                <w:b/>
                <w:color w:val="000000"/>
                <w:kern w:val="24"/>
                <w:szCs w:val="24"/>
                <w:lang w:val="en-GB" w:eastAsia="en-GB"/>
              </w:rPr>
              <w:t xml:space="preserve"> </w:t>
            </w:r>
            <w:r w:rsidR="00246B3B">
              <w:rPr>
                <w:rFonts w:ascii="Times New Roman" w:hAnsi="Times New Roman"/>
                <w:b/>
                <w:color w:val="000000"/>
                <w:kern w:val="24"/>
                <w:szCs w:val="24"/>
                <w:lang w:val="en-GB" w:eastAsia="en-GB"/>
              </w:rPr>
              <w:br/>
            </w:r>
            <w:r w:rsidR="00841004" w:rsidRPr="00841004">
              <w:rPr>
                <w:rFonts w:ascii="Times New Roman" w:hAnsi="Times New Roman"/>
                <w:b/>
                <w:color w:val="000000"/>
                <w:kern w:val="24"/>
                <w:szCs w:val="24"/>
                <w:lang w:val="en-GB" w:eastAsia="en-GB"/>
              </w:rPr>
              <w:t>(No Glucose)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C1AB01" w14:textId="095DB46D" w:rsidR="00841004" w:rsidRPr="00B24A0E" w:rsidRDefault="00841004" w:rsidP="00B24A0E">
            <w:pPr>
              <w:autoSpaceDN/>
              <w:spacing w:after="0"/>
              <w:jc w:val="center"/>
              <w:textAlignment w:val="auto"/>
              <w:rPr>
                <w:rFonts w:ascii="Times New Roman" w:hAnsi="Times New Roman"/>
                <w:b/>
                <w:szCs w:val="24"/>
                <w:lang w:val="en-GB" w:eastAsia="en-GB"/>
              </w:rPr>
            </w:pPr>
            <w:r w:rsidRPr="00841004">
              <w:rPr>
                <w:rFonts w:ascii="Times New Roman" w:hAnsi="Times New Roman"/>
                <w:b/>
                <w:szCs w:val="24"/>
                <w:lang w:val="en-GB" w:eastAsia="en-GB"/>
              </w:rPr>
              <w:t>Glycated (%)           30 Day Glucose Incubation</w:t>
            </w:r>
          </w:p>
        </w:tc>
      </w:tr>
      <w:tr w:rsidR="00841004" w:rsidRPr="00841004" w14:paraId="411D3788" w14:textId="77777777" w:rsidTr="00841004">
        <w:trPr>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8F6C7" w14:textId="162F1D2F" w:rsidR="00841004" w:rsidRPr="00841004" w:rsidRDefault="00841004" w:rsidP="00841004">
            <w:pPr>
              <w:autoSpaceDN/>
              <w:spacing w:after="0"/>
              <w:jc w:val="center"/>
              <w:textAlignment w:val="auto"/>
              <w:rPr>
                <w:rFonts w:ascii="Times New Roman" w:hAnsi="Times New Roman"/>
                <w:b/>
                <w:szCs w:val="24"/>
                <w:lang w:val="en-GB" w:eastAsia="en-GB"/>
              </w:rPr>
            </w:pPr>
            <w:r w:rsidRPr="00841004">
              <w:rPr>
                <w:rFonts w:ascii="Times New Roman" w:hAnsi="Times New Roman"/>
                <w:b/>
                <w:szCs w:val="24"/>
                <w:lang w:val="en-GB" w:eastAsia="en-GB"/>
              </w:rPr>
              <w:t>0</w:t>
            </w:r>
          </w:p>
        </w:tc>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0FFF32" w14:textId="37642CD3" w:rsidR="00841004" w:rsidRPr="00841004" w:rsidRDefault="00841004" w:rsidP="00841004">
            <w:pPr>
              <w:autoSpaceDN/>
              <w:spacing w:after="0"/>
              <w:jc w:val="center"/>
              <w:textAlignment w:val="auto"/>
              <w:rPr>
                <w:rFonts w:ascii="Times New Roman" w:hAnsi="Times New Roman"/>
                <w:color w:val="000000"/>
                <w:kern w:val="24"/>
                <w:szCs w:val="24"/>
                <w:lang w:val="en-GB" w:eastAsia="en-GB"/>
              </w:rPr>
            </w:pPr>
            <w:r w:rsidRPr="00841004">
              <w:rPr>
                <w:rFonts w:ascii="Times New Roman" w:hAnsi="Times New Roman"/>
                <w:color w:val="000000"/>
                <w:kern w:val="24"/>
                <w:szCs w:val="24"/>
                <w:lang w:val="en-GB" w:eastAsia="en-GB"/>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BDDEE7" w14:textId="5920241E" w:rsidR="00841004" w:rsidRPr="00841004" w:rsidRDefault="00841004" w:rsidP="00841004">
            <w:pPr>
              <w:autoSpaceDN/>
              <w:spacing w:after="0"/>
              <w:jc w:val="center"/>
              <w:textAlignment w:val="auto"/>
              <w:rPr>
                <w:rFonts w:ascii="Times New Roman" w:hAnsi="Times New Roman"/>
                <w:szCs w:val="24"/>
                <w:lang w:val="en-GB" w:eastAsia="en-GB"/>
              </w:rPr>
            </w:pPr>
            <w:r w:rsidRPr="00841004">
              <w:rPr>
                <w:rFonts w:ascii="Times New Roman" w:hAnsi="Times New Roman"/>
                <w:szCs w:val="24"/>
                <w:lang w:val="en-GB" w:eastAsia="en-GB"/>
              </w:rPr>
              <w:t>24</w:t>
            </w:r>
          </w:p>
        </w:tc>
      </w:tr>
      <w:tr w:rsidR="00841004" w:rsidRPr="00841004" w14:paraId="31740F04" w14:textId="77777777" w:rsidTr="00841004">
        <w:trPr>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E840AA" w14:textId="174D3E31" w:rsidR="00841004" w:rsidRPr="00841004" w:rsidRDefault="00841004" w:rsidP="00841004">
            <w:pPr>
              <w:autoSpaceDN/>
              <w:spacing w:after="0"/>
              <w:jc w:val="center"/>
              <w:textAlignment w:val="auto"/>
              <w:rPr>
                <w:rFonts w:ascii="Times New Roman" w:hAnsi="Times New Roman"/>
                <w:b/>
                <w:szCs w:val="24"/>
                <w:lang w:val="en-GB" w:eastAsia="en-GB"/>
              </w:rPr>
            </w:pPr>
            <w:r w:rsidRPr="00841004">
              <w:rPr>
                <w:rFonts w:ascii="Times New Roman" w:hAnsi="Times New Roman"/>
                <w:b/>
                <w:szCs w:val="24"/>
                <w:lang w:val="en-GB" w:eastAsia="en-GB"/>
              </w:rPr>
              <w:t>1</w:t>
            </w:r>
          </w:p>
        </w:tc>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056E96" w14:textId="030AB8D3" w:rsidR="00841004" w:rsidRPr="00841004" w:rsidRDefault="00841004" w:rsidP="00841004">
            <w:pPr>
              <w:autoSpaceDN/>
              <w:spacing w:after="0"/>
              <w:jc w:val="center"/>
              <w:textAlignment w:val="auto"/>
              <w:rPr>
                <w:rFonts w:ascii="Times New Roman" w:hAnsi="Times New Roman"/>
                <w:color w:val="000000"/>
                <w:kern w:val="24"/>
                <w:szCs w:val="24"/>
                <w:lang w:val="en-GB" w:eastAsia="en-GB"/>
              </w:rPr>
            </w:pPr>
            <w:r w:rsidRPr="00841004">
              <w:rPr>
                <w:rFonts w:ascii="Times New Roman" w:hAnsi="Times New Roman"/>
                <w:color w:val="000000"/>
                <w:kern w:val="24"/>
                <w:szCs w:val="24"/>
                <w:lang w:val="en-GB" w:eastAsia="en-GB"/>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702624" w14:textId="25E46B48" w:rsidR="00841004" w:rsidRPr="00841004" w:rsidRDefault="00841004" w:rsidP="00841004">
            <w:pPr>
              <w:autoSpaceDN/>
              <w:spacing w:after="0"/>
              <w:jc w:val="center"/>
              <w:textAlignment w:val="auto"/>
              <w:rPr>
                <w:rFonts w:ascii="Times New Roman" w:hAnsi="Times New Roman"/>
                <w:szCs w:val="24"/>
                <w:lang w:val="en-GB" w:eastAsia="en-GB"/>
              </w:rPr>
            </w:pPr>
            <w:r w:rsidRPr="00841004">
              <w:rPr>
                <w:rFonts w:ascii="Times New Roman" w:hAnsi="Times New Roman"/>
                <w:szCs w:val="24"/>
                <w:lang w:val="en-GB" w:eastAsia="en-GB"/>
              </w:rPr>
              <w:t>47</w:t>
            </w:r>
          </w:p>
        </w:tc>
      </w:tr>
      <w:tr w:rsidR="00841004" w:rsidRPr="00841004" w14:paraId="05BCF5E4" w14:textId="77777777" w:rsidTr="00841004">
        <w:trPr>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70E16C" w14:textId="2B7237E8" w:rsidR="00841004" w:rsidRPr="00841004" w:rsidRDefault="00841004" w:rsidP="00841004">
            <w:pPr>
              <w:autoSpaceDN/>
              <w:spacing w:after="0"/>
              <w:jc w:val="center"/>
              <w:textAlignment w:val="auto"/>
              <w:rPr>
                <w:rFonts w:ascii="Times New Roman" w:hAnsi="Times New Roman"/>
                <w:b/>
                <w:szCs w:val="24"/>
                <w:lang w:val="en-GB" w:eastAsia="en-GB"/>
              </w:rPr>
            </w:pPr>
            <w:r w:rsidRPr="00841004">
              <w:rPr>
                <w:rFonts w:ascii="Times New Roman" w:hAnsi="Times New Roman"/>
                <w:b/>
                <w:szCs w:val="24"/>
                <w:lang w:val="en-GB" w:eastAsia="en-GB"/>
              </w:rPr>
              <w:t>2</w:t>
            </w:r>
          </w:p>
        </w:tc>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84C554" w14:textId="04AFB0B9" w:rsidR="00841004" w:rsidRPr="00841004" w:rsidRDefault="00841004" w:rsidP="00841004">
            <w:pPr>
              <w:autoSpaceDN/>
              <w:spacing w:after="0"/>
              <w:jc w:val="center"/>
              <w:textAlignment w:val="auto"/>
              <w:rPr>
                <w:rFonts w:ascii="Times New Roman" w:hAnsi="Times New Roman"/>
                <w:color w:val="000000"/>
                <w:kern w:val="24"/>
                <w:szCs w:val="24"/>
                <w:lang w:val="en-GB" w:eastAsia="en-GB"/>
              </w:rPr>
            </w:pPr>
            <w:r w:rsidRPr="00841004">
              <w:rPr>
                <w:rFonts w:ascii="Times New Roman" w:hAnsi="Times New Roman"/>
                <w:color w:val="000000"/>
                <w:kern w:val="24"/>
                <w:szCs w:val="24"/>
                <w:lang w:val="en-GB" w:eastAsia="en-GB"/>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92D9DD" w14:textId="2B88D9B4" w:rsidR="00841004" w:rsidRPr="00841004" w:rsidRDefault="00841004" w:rsidP="00841004">
            <w:pPr>
              <w:autoSpaceDN/>
              <w:spacing w:after="0"/>
              <w:jc w:val="center"/>
              <w:textAlignment w:val="auto"/>
              <w:rPr>
                <w:rFonts w:ascii="Times New Roman" w:hAnsi="Times New Roman"/>
                <w:szCs w:val="24"/>
                <w:lang w:val="en-GB" w:eastAsia="en-GB"/>
              </w:rPr>
            </w:pPr>
            <w:r w:rsidRPr="00841004">
              <w:rPr>
                <w:rFonts w:ascii="Times New Roman" w:hAnsi="Times New Roman"/>
                <w:szCs w:val="24"/>
                <w:lang w:val="en-GB" w:eastAsia="en-GB"/>
              </w:rPr>
              <w:t>23</w:t>
            </w:r>
          </w:p>
        </w:tc>
      </w:tr>
      <w:tr w:rsidR="00841004" w:rsidRPr="00841004" w14:paraId="13159EC3" w14:textId="77777777" w:rsidTr="00841004">
        <w:trPr>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31D005" w14:textId="7FB1CF29" w:rsidR="00841004" w:rsidRPr="00841004" w:rsidRDefault="00841004" w:rsidP="00841004">
            <w:pPr>
              <w:autoSpaceDN/>
              <w:spacing w:after="0"/>
              <w:jc w:val="center"/>
              <w:textAlignment w:val="auto"/>
              <w:rPr>
                <w:rFonts w:ascii="Times New Roman" w:hAnsi="Times New Roman"/>
                <w:b/>
                <w:szCs w:val="24"/>
                <w:lang w:val="en-GB" w:eastAsia="en-GB"/>
              </w:rPr>
            </w:pPr>
            <w:r w:rsidRPr="00841004">
              <w:rPr>
                <w:rFonts w:ascii="Times New Roman" w:hAnsi="Times New Roman"/>
                <w:b/>
                <w:szCs w:val="24"/>
                <w:lang w:val="en-GB" w:eastAsia="en-GB"/>
              </w:rPr>
              <w:t>3</w:t>
            </w:r>
          </w:p>
        </w:tc>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61F64" w14:textId="441C4FCB" w:rsidR="00841004" w:rsidRPr="00841004" w:rsidRDefault="00841004" w:rsidP="00841004">
            <w:pPr>
              <w:autoSpaceDN/>
              <w:spacing w:after="0"/>
              <w:jc w:val="center"/>
              <w:textAlignment w:val="auto"/>
              <w:rPr>
                <w:rFonts w:ascii="Times New Roman" w:hAnsi="Times New Roman"/>
                <w:color w:val="000000"/>
                <w:kern w:val="24"/>
                <w:szCs w:val="24"/>
                <w:lang w:val="en-GB" w:eastAsia="en-GB"/>
              </w:rPr>
            </w:pPr>
            <w:r w:rsidRPr="00841004">
              <w:rPr>
                <w:rFonts w:ascii="Times New Roman" w:hAnsi="Times New Roman"/>
                <w:color w:val="000000"/>
                <w:kern w:val="24"/>
                <w:szCs w:val="24"/>
                <w:lang w:val="en-GB" w:eastAsia="en-GB"/>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EF156B" w14:textId="391EF339" w:rsidR="00841004" w:rsidRPr="00841004" w:rsidRDefault="00841004" w:rsidP="00841004">
            <w:pPr>
              <w:autoSpaceDN/>
              <w:spacing w:after="0"/>
              <w:jc w:val="center"/>
              <w:textAlignment w:val="auto"/>
              <w:rPr>
                <w:rFonts w:ascii="Times New Roman" w:hAnsi="Times New Roman"/>
                <w:szCs w:val="24"/>
                <w:lang w:val="en-GB" w:eastAsia="en-GB"/>
              </w:rPr>
            </w:pPr>
            <w:r w:rsidRPr="00841004">
              <w:rPr>
                <w:rFonts w:ascii="Times New Roman" w:hAnsi="Times New Roman"/>
                <w:szCs w:val="24"/>
                <w:lang w:val="en-GB" w:eastAsia="en-GB"/>
              </w:rPr>
              <w:t>6</w:t>
            </w:r>
          </w:p>
        </w:tc>
      </w:tr>
    </w:tbl>
    <w:p w14:paraId="3C6E849F" w14:textId="77777777" w:rsidR="00B24A0E" w:rsidRPr="00B24A0E" w:rsidRDefault="00B24A0E" w:rsidP="002D066B">
      <w:pPr>
        <w:spacing w:line="480" w:lineRule="auto"/>
        <w:rPr>
          <w:rFonts w:ascii="Times New Roman" w:hAnsi="Times New Roman"/>
          <w:szCs w:val="24"/>
        </w:rPr>
      </w:pPr>
    </w:p>
    <w:p w14:paraId="5650D28F" w14:textId="5E6959EF" w:rsidR="000C4712" w:rsidRPr="000C4712" w:rsidRDefault="002F420A" w:rsidP="002D066B">
      <w:pPr>
        <w:spacing w:line="480" w:lineRule="auto"/>
      </w:pPr>
      <w:r>
        <w:lastRenderedPageBreak/>
        <w:t xml:space="preserve">The </w:t>
      </w:r>
      <w:r w:rsidR="00B006E6">
        <w:t>samples</w:t>
      </w:r>
      <w:r w:rsidR="00F11C90">
        <w:t xml:space="preserve"> were concentrated to 12 mg/m</w:t>
      </w:r>
      <w:r w:rsidR="00246B3B">
        <w:t>L</w:t>
      </w:r>
      <w:r w:rsidR="00F11C90">
        <w:t xml:space="preserve"> and a concentration</w:t>
      </w:r>
      <w:r>
        <w:t xml:space="preserve"> gradient was </w:t>
      </w:r>
      <w:r w:rsidR="00B006E6">
        <w:t>created</w:t>
      </w:r>
      <w:r>
        <w:t xml:space="preserve"> by spiking glycated </w:t>
      </w:r>
      <w:r w:rsidR="00246B3B">
        <w:t xml:space="preserve">lysozyme </w:t>
      </w:r>
      <w:r>
        <w:t xml:space="preserve">into the </w:t>
      </w:r>
      <w:r w:rsidR="00BA14C2">
        <w:t>control</w:t>
      </w:r>
      <w:r w:rsidR="00B5253B">
        <w:t xml:space="preserve"> samples to create </w:t>
      </w:r>
      <w:r w:rsidR="00246B3B">
        <w:t xml:space="preserve">a series of </w:t>
      </w:r>
      <w:r w:rsidR="001604FE">
        <w:t>0</w:t>
      </w:r>
      <w:r w:rsidR="00B5253B">
        <w:t xml:space="preserve">% to 100% glycated </w:t>
      </w:r>
      <w:r w:rsidR="00246B3B">
        <w:t xml:space="preserve">lysozyme </w:t>
      </w:r>
      <w:r w:rsidR="00B5253B">
        <w:t xml:space="preserve">samples. The full concentration gradient is </w:t>
      </w:r>
      <w:r w:rsidR="00096E82">
        <w:t xml:space="preserve">shown </w:t>
      </w:r>
      <w:r w:rsidR="00E55E08">
        <w:t>in Table S7</w:t>
      </w:r>
      <w:r w:rsidR="00B5253B">
        <w:t>.</w:t>
      </w:r>
      <w:r w:rsidR="00FD3E04">
        <w:t xml:space="preserve"> Using a</w:t>
      </w:r>
      <w:r w:rsidR="0075719C">
        <w:t xml:space="preserve"> 96 </w:t>
      </w:r>
      <w:r w:rsidR="006B512D">
        <w:t>wel</w:t>
      </w:r>
      <w:r w:rsidR="0075719C">
        <w:t>l</w:t>
      </w:r>
      <w:r w:rsidR="006B512D">
        <w:t xml:space="preserve"> </w:t>
      </w:r>
      <w:r w:rsidR="00FD3E04">
        <w:t>plate set-</w:t>
      </w:r>
      <w:r w:rsidR="0075719C">
        <w:t>up</w:t>
      </w:r>
      <w:r w:rsidR="00096E82">
        <w:t>,</w:t>
      </w:r>
      <w:r w:rsidR="0075719C">
        <w:t xml:space="preserve"> </w:t>
      </w:r>
      <w:r w:rsidR="00096E82">
        <w:t xml:space="preserve">described </w:t>
      </w:r>
      <w:r w:rsidR="0075719C">
        <w:t xml:space="preserve">in </w:t>
      </w:r>
      <w:r w:rsidR="00246B3B">
        <w:t>the Experimental Section</w:t>
      </w:r>
      <w:r w:rsidR="00B720A4">
        <w:t>,</w:t>
      </w:r>
      <w:r w:rsidR="00246B3B">
        <w:t xml:space="preserve"> </w:t>
      </w:r>
      <w:r w:rsidR="0075719C">
        <w:t xml:space="preserve">the samples were run </w:t>
      </w:r>
      <w:r w:rsidR="00246B3B">
        <w:t xml:space="preserve">in a </w:t>
      </w:r>
      <w:r w:rsidR="006B512D">
        <w:t>randomised</w:t>
      </w:r>
      <w:r w:rsidR="0075719C">
        <w:t xml:space="preserve"> </w:t>
      </w:r>
      <w:r w:rsidR="00246B3B">
        <w:t xml:space="preserve">order so </w:t>
      </w:r>
      <w:r w:rsidR="0075719C">
        <w:t>as to avoid bias from laser power</w:t>
      </w:r>
      <w:r w:rsidR="00096E82">
        <w:t xml:space="preserve"> variation between the wells</w:t>
      </w:r>
      <w:r w:rsidR="00246B3B">
        <w:t>, or for any time-dependent changes</w:t>
      </w:r>
      <w:r w:rsidR="0075719C">
        <w:t xml:space="preserve">. The </w:t>
      </w:r>
      <w:r w:rsidR="006B512D">
        <w:t>samples</w:t>
      </w:r>
      <w:r w:rsidR="0075719C">
        <w:t xml:space="preserve"> were measured in triplicate and the average of each </w:t>
      </w:r>
      <w:r w:rsidR="006B512D">
        <w:t>sample</w:t>
      </w:r>
      <w:r w:rsidR="0075719C">
        <w:t xml:space="preserve"> is shown in </w:t>
      </w:r>
      <w:r w:rsidR="00246B3B">
        <w:t>F</w:t>
      </w:r>
      <w:r w:rsidR="0075719C">
        <w:t xml:space="preserve">igure 4a. The </w:t>
      </w:r>
      <w:r w:rsidR="001604FE">
        <w:t>39%, 78% and 94</w:t>
      </w:r>
      <w:r w:rsidR="00A34DB0">
        <w:t xml:space="preserve">% </w:t>
      </w:r>
      <w:r w:rsidR="0075719C">
        <w:t xml:space="preserve">glycated samples were outliers and were </w:t>
      </w:r>
      <w:r w:rsidR="006B512D">
        <w:t>removed</w:t>
      </w:r>
      <w:r w:rsidR="00C10125">
        <w:t xml:space="preserve"> (PCA including these </w:t>
      </w:r>
      <w:r w:rsidR="00FD09EF">
        <w:t>data</w:t>
      </w:r>
      <w:r w:rsidR="00400A1E">
        <w:t xml:space="preserve"> points </w:t>
      </w:r>
      <w:r w:rsidR="000C6932">
        <w:t>are</w:t>
      </w:r>
      <w:r w:rsidR="001A3EF8">
        <w:t xml:space="preserve"> </w:t>
      </w:r>
      <w:r w:rsidR="00FD09EF">
        <w:t xml:space="preserve">shown in </w:t>
      </w:r>
      <w:r w:rsidR="00246B3B">
        <w:t>F</w:t>
      </w:r>
      <w:r w:rsidR="00FD09EF">
        <w:t>igure S6</w:t>
      </w:r>
      <w:r w:rsidR="00C10125">
        <w:t>).</w:t>
      </w:r>
      <w:r w:rsidR="0075719C">
        <w:t xml:space="preserve"> </w:t>
      </w:r>
    </w:p>
    <w:p w14:paraId="21F1471A" w14:textId="6A62EFC4" w:rsidR="00262D2D" w:rsidRDefault="00CE1C8F" w:rsidP="00262D2D">
      <w:pPr>
        <w:keepNext/>
      </w:pPr>
      <w:r>
        <w:rPr>
          <w:noProof/>
          <w:lang w:val="en-GB" w:eastAsia="en-GB"/>
        </w:rPr>
        <w:drawing>
          <wp:inline distT="0" distB="0" distL="0" distR="0" wp14:anchorId="7095346D" wp14:editId="263513A8">
            <wp:extent cx="5731510" cy="3612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tif"/>
                    <pic:cNvPicPr/>
                  </pic:nvPicPr>
                  <pic:blipFill>
                    <a:blip r:embed="rId15">
                      <a:extLst>
                        <a:ext uri="{28A0092B-C50C-407E-A947-70E740481C1C}">
                          <a14:useLocalDpi xmlns:a14="http://schemas.microsoft.com/office/drawing/2010/main" val="0"/>
                        </a:ext>
                      </a:extLst>
                    </a:blip>
                    <a:stretch>
                      <a:fillRect/>
                    </a:stretch>
                  </pic:blipFill>
                  <pic:spPr>
                    <a:xfrm>
                      <a:off x="0" y="0"/>
                      <a:ext cx="5731510" cy="3612515"/>
                    </a:xfrm>
                    <a:prstGeom prst="rect">
                      <a:avLst/>
                    </a:prstGeom>
                  </pic:spPr>
                </pic:pic>
              </a:graphicData>
            </a:graphic>
          </wp:inline>
        </w:drawing>
      </w:r>
    </w:p>
    <w:p w14:paraId="40551DA4" w14:textId="28DECD72" w:rsidR="00121FB0" w:rsidRPr="00B37ECD" w:rsidRDefault="00262D2D" w:rsidP="00262D2D">
      <w:pPr>
        <w:pStyle w:val="Caption"/>
        <w:rPr>
          <w:rFonts w:ascii="Arno Pro" w:hAnsi="Arno Pro"/>
          <w:i w:val="0"/>
          <w:color w:val="auto"/>
          <w:sz w:val="25"/>
          <w:szCs w:val="19"/>
        </w:rPr>
      </w:pPr>
      <w:r w:rsidRPr="00B37ECD">
        <w:rPr>
          <w:i w:val="0"/>
          <w:color w:val="auto"/>
          <w:sz w:val="24"/>
        </w:rPr>
        <w:t xml:space="preserve">Figure </w:t>
      </w:r>
      <w:r w:rsidRPr="00B37ECD">
        <w:rPr>
          <w:i w:val="0"/>
          <w:color w:val="auto"/>
          <w:sz w:val="24"/>
        </w:rPr>
        <w:fldChar w:fldCharType="begin"/>
      </w:r>
      <w:r w:rsidRPr="00B37ECD">
        <w:rPr>
          <w:i w:val="0"/>
          <w:color w:val="auto"/>
          <w:sz w:val="24"/>
        </w:rPr>
        <w:instrText xml:space="preserve"> SEQ Figure \* ARABIC </w:instrText>
      </w:r>
      <w:r w:rsidRPr="00B37ECD">
        <w:rPr>
          <w:i w:val="0"/>
          <w:color w:val="auto"/>
          <w:sz w:val="24"/>
        </w:rPr>
        <w:fldChar w:fldCharType="separate"/>
      </w:r>
      <w:r w:rsidR="009E7B21" w:rsidRPr="00B37ECD">
        <w:rPr>
          <w:i w:val="0"/>
          <w:noProof/>
          <w:color w:val="auto"/>
          <w:sz w:val="24"/>
        </w:rPr>
        <w:t>4</w:t>
      </w:r>
      <w:r w:rsidRPr="00B37ECD">
        <w:rPr>
          <w:i w:val="0"/>
          <w:color w:val="auto"/>
          <w:sz w:val="24"/>
        </w:rPr>
        <w:fldChar w:fldCharType="end"/>
      </w:r>
      <w:r w:rsidR="00E60731" w:rsidRPr="00B37ECD">
        <w:rPr>
          <w:i w:val="0"/>
          <w:color w:val="auto"/>
          <w:sz w:val="24"/>
        </w:rPr>
        <w:t xml:space="preserve">. </w:t>
      </w:r>
      <w:r w:rsidR="00B37ECD" w:rsidRPr="00B37ECD">
        <w:rPr>
          <w:i w:val="0"/>
          <w:color w:val="auto"/>
          <w:sz w:val="24"/>
        </w:rPr>
        <w:t>Raman Spectra and PCA of</w:t>
      </w:r>
      <w:r w:rsidR="001604FE">
        <w:rPr>
          <w:i w:val="0"/>
          <w:color w:val="auto"/>
          <w:sz w:val="24"/>
        </w:rPr>
        <w:t xml:space="preserve"> glycation concentration with 9%, 78% and 94</w:t>
      </w:r>
      <w:r w:rsidR="00B37ECD" w:rsidRPr="00B37ECD">
        <w:rPr>
          <w:i w:val="0"/>
          <w:color w:val="auto"/>
          <w:sz w:val="24"/>
        </w:rPr>
        <w:t>% glycated sample outliers removed. a) Pre</w:t>
      </w:r>
      <w:r w:rsidR="003B3029">
        <w:rPr>
          <w:i w:val="0"/>
          <w:color w:val="auto"/>
          <w:sz w:val="24"/>
        </w:rPr>
        <w:t>-</w:t>
      </w:r>
      <w:r w:rsidR="001604FE">
        <w:rPr>
          <w:i w:val="0"/>
          <w:color w:val="auto"/>
          <w:sz w:val="24"/>
        </w:rPr>
        <w:t>processed Raman spectra with three</w:t>
      </w:r>
      <w:r w:rsidR="00B37ECD" w:rsidRPr="00B37ECD">
        <w:rPr>
          <w:i w:val="0"/>
          <w:color w:val="auto"/>
          <w:sz w:val="24"/>
        </w:rPr>
        <w:t xml:space="preserve"> repeats per sample</w:t>
      </w:r>
      <w:r w:rsidR="00246B3B">
        <w:rPr>
          <w:i w:val="0"/>
          <w:color w:val="auto"/>
          <w:sz w:val="24"/>
        </w:rPr>
        <w:t>,</w:t>
      </w:r>
      <w:r w:rsidR="00B37ECD" w:rsidRPr="00B37ECD">
        <w:rPr>
          <w:i w:val="0"/>
          <w:color w:val="auto"/>
          <w:sz w:val="24"/>
        </w:rPr>
        <w:t xml:space="preserve"> b) PCA </w:t>
      </w:r>
      <w:r w:rsidR="00246B3B">
        <w:rPr>
          <w:i w:val="0"/>
          <w:color w:val="auto"/>
          <w:sz w:val="24"/>
        </w:rPr>
        <w:t xml:space="preserve">scores plot </w:t>
      </w:r>
      <w:r w:rsidR="00B37ECD" w:rsidRPr="00B37ECD">
        <w:rPr>
          <w:i w:val="0"/>
          <w:color w:val="auto"/>
          <w:sz w:val="24"/>
        </w:rPr>
        <w:t>of samples</w:t>
      </w:r>
      <w:r w:rsidR="00951E1E">
        <w:rPr>
          <w:i w:val="0"/>
          <w:color w:val="auto"/>
          <w:sz w:val="24"/>
        </w:rPr>
        <w:t xml:space="preserve"> excluding outliers</w:t>
      </w:r>
      <w:r w:rsidR="00B37ECD" w:rsidRPr="00B37ECD">
        <w:rPr>
          <w:i w:val="0"/>
          <w:color w:val="auto"/>
          <w:sz w:val="24"/>
        </w:rPr>
        <w:t xml:space="preserve"> showing PC</w:t>
      </w:r>
      <w:r w:rsidR="001604FE">
        <w:rPr>
          <w:i w:val="0"/>
          <w:color w:val="auto"/>
          <w:sz w:val="24"/>
        </w:rPr>
        <w:t xml:space="preserve"> </w:t>
      </w:r>
      <w:r w:rsidR="00B37ECD" w:rsidRPr="00B37ECD">
        <w:rPr>
          <w:i w:val="0"/>
          <w:color w:val="auto"/>
          <w:sz w:val="24"/>
        </w:rPr>
        <w:t xml:space="preserve">1 has a total explained variance (TEV) of 63% </w:t>
      </w:r>
      <w:r w:rsidR="00B720A4">
        <w:rPr>
          <w:i w:val="0"/>
          <w:color w:val="auto"/>
          <w:sz w:val="24"/>
        </w:rPr>
        <w:t>and PC 3 has a TEV of 10</w:t>
      </w:r>
      <w:r w:rsidR="00E44266">
        <w:rPr>
          <w:i w:val="0"/>
          <w:color w:val="auto"/>
          <w:sz w:val="24"/>
        </w:rPr>
        <w:t>%</w:t>
      </w:r>
      <w:r w:rsidR="00246B3B">
        <w:rPr>
          <w:i w:val="0"/>
          <w:color w:val="auto"/>
          <w:sz w:val="24"/>
        </w:rPr>
        <w:t>,</w:t>
      </w:r>
      <w:r w:rsidR="00E44266">
        <w:rPr>
          <w:i w:val="0"/>
          <w:color w:val="auto"/>
          <w:sz w:val="24"/>
        </w:rPr>
        <w:t xml:space="preserve"> and c</w:t>
      </w:r>
      <w:r w:rsidR="00B37ECD" w:rsidRPr="00B37ECD">
        <w:rPr>
          <w:i w:val="0"/>
          <w:color w:val="auto"/>
          <w:sz w:val="24"/>
        </w:rPr>
        <w:t>) the corresponding loadings plot to highlight peaks that contributed to the separation of samples in the PCA.</w:t>
      </w:r>
    </w:p>
    <w:p w14:paraId="5B7671AC" w14:textId="77777777" w:rsidR="00246B3B" w:rsidRDefault="00246B3B" w:rsidP="009B7933">
      <w:pPr>
        <w:spacing w:line="480" w:lineRule="auto"/>
        <w:rPr>
          <w:rFonts w:ascii="Times New Roman" w:hAnsi="Times New Roman"/>
          <w:szCs w:val="19"/>
        </w:rPr>
      </w:pPr>
    </w:p>
    <w:p w14:paraId="74259C87" w14:textId="419C1A0D" w:rsidR="0031459A" w:rsidRDefault="006B512D" w:rsidP="009B7933">
      <w:pPr>
        <w:spacing w:line="480" w:lineRule="auto"/>
        <w:rPr>
          <w:rFonts w:ascii="Times New Roman" w:hAnsi="Times New Roman"/>
          <w:szCs w:val="19"/>
        </w:rPr>
      </w:pPr>
      <w:r w:rsidRPr="00AE2B61">
        <w:rPr>
          <w:rFonts w:ascii="Times New Roman" w:hAnsi="Times New Roman"/>
          <w:szCs w:val="19"/>
        </w:rPr>
        <w:t xml:space="preserve">The full </w:t>
      </w:r>
      <w:r w:rsidR="009B7933" w:rsidRPr="00AE2B61">
        <w:rPr>
          <w:rFonts w:ascii="Times New Roman" w:hAnsi="Times New Roman"/>
          <w:szCs w:val="19"/>
        </w:rPr>
        <w:t>Raman</w:t>
      </w:r>
      <w:r w:rsidRPr="00AE2B61">
        <w:rPr>
          <w:rFonts w:ascii="Times New Roman" w:hAnsi="Times New Roman"/>
          <w:szCs w:val="19"/>
        </w:rPr>
        <w:t xml:space="preserve"> spectr</w:t>
      </w:r>
      <w:r w:rsidR="001A3EF8">
        <w:rPr>
          <w:rFonts w:ascii="Times New Roman" w:hAnsi="Times New Roman"/>
          <w:szCs w:val="19"/>
        </w:rPr>
        <w:t>a</w:t>
      </w:r>
      <w:r w:rsidRPr="00AE2B61">
        <w:rPr>
          <w:rFonts w:ascii="Times New Roman" w:hAnsi="Times New Roman"/>
          <w:szCs w:val="19"/>
        </w:rPr>
        <w:t xml:space="preserve"> </w:t>
      </w:r>
      <w:r w:rsidR="001A3EF8">
        <w:rPr>
          <w:rFonts w:ascii="Times New Roman" w:hAnsi="Times New Roman"/>
          <w:szCs w:val="19"/>
        </w:rPr>
        <w:t>are</w:t>
      </w:r>
      <w:r w:rsidRPr="00AE2B61">
        <w:rPr>
          <w:rFonts w:ascii="Times New Roman" w:hAnsi="Times New Roman"/>
          <w:szCs w:val="19"/>
        </w:rPr>
        <w:t xml:space="preserve"> shown in </w:t>
      </w:r>
      <w:r w:rsidR="00246B3B">
        <w:rPr>
          <w:rFonts w:ascii="Times New Roman" w:hAnsi="Times New Roman"/>
          <w:szCs w:val="19"/>
        </w:rPr>
        <w:t>F</w:t>
      </w:r>
      <w:r w:rsidRPr="00AE2B61">
        <w:rPr>
          <w:rFonts w:ascii="Times New Roman" w:hAnsi="Times New Roman"/>
          <w:szCs w:val="19"/>
        </w:rPr>
        <w:t xml:space="preserve">igure 4a. The vibrational </w:t>
      </w:r>
      <w:r w:rsidR="009B7933" w:rsidRPr="00AE2B61">
        <w:rPr>
          <w:rFonts w:ascii="Times New Roman" w:hAnsi="Times New Roman"/>
          <w:szCs w:val="19"/>
        </w:rPr>
        <w:t>frequency</w:t>
      </w:r>
      <w:r w:rsidRPr="00AE2B61">
        <w:rPr>
          <w:rFonts w:ascii="Times New Roman" w:hAnsi="Times New Roman"/>
          <w:szCs w:val="19"/>
        </w:rPr>
        <w:t xml:space="preserve"> regions can </w:t>
      </w:r>
      <w:r w:rsidR="00B720A4">
        <w:rPr>
          <w:rFonts w:ascii="Times New Roman" w:hAnsi="Times New Roman"/>
          <w:szCs w:val="19"/>
        </w:rPr>
        <w:t xml:space="preserve">be </w:t>
      </w:r>
      <w:r w:rsidRPr="00AE2B61">
        <w:rPr>
          <w:rFonts w:ascii="Times New Roman" w:hAnsi="Times New Roman"/>
          <w:szCs w:val="19"/>
        </w:rPr>
        <w:t xml:space="preserve">split up </w:t>
      </w:r>
      <w:r w:rsidR="009B7933" w:rsidRPr="00AE2B61">
        <w:rPr>
          <w:rFonts w:ascii="Times New Roman" w:hAnsi="Times New Roman"/>
          <w:szCs w:val="19"/>
        </w:rPr>
        <w:t>similarly</w:t>
      </w:r>
      <w:r w:rsidRPr="00AE2B61">
        <w:rPr>
          <w:rFonts w:ascii="Times New Roman" w:hAnsi="Times New Roman"/>
          <w:szCs w:val="19"/>
        </w:rPr>
        <w:t xml:space="preserve"> to </w:t>
      </w:r>
      <w:r w:rsidR="009B7933" w:rsidRPr="00AE2B61">
        <w:rPr>
          <w:rFonts w:ascii="Times New Roman" w:hAnsi="Times New Roman"/>
          <w:szCs w:val="19"/>
        </w:rPr>
        <w:t>that</w:t>
      </w:r>
      <w:r w:rsidRPr="00AE2B61">
        <w:rPr>
          <w:rFonts w:ascii="Times New Roman" w:hAnsi="Times New Roman"/>
          <w:szCs w:val="19"/>
        </w:rPr>
        <w:t xml:space="preserve"> of FTIR-ATR where 1600-1800</w:t>
      </w:r>
      <w:r w:rsidR="00E60731" w:rsidRPr="00AE2B61">
        <w:rPr>
          <w:rFonts w:ascii="Times New Roman" w:hAnsi="Times New Roman"/>
          <w:szCs w:val="19"/>
        </w:rPr>
        <w:t xml:space="preserve"> cm</w:t>
      </w:r>
      <w:r w:rsidR="00E60731" w:rsidRPr="00AE2B61">
        <w:rPr>
          <w:rFonts w:ascii="Times New Roman" w:hAnsi="Times New Roman"/>
          <w:szCs w:val="19"/>
          <w:vertAlign w:val="superscript"/>
        </w:rPr>
        <w:t>-1</w:t>
      </w:r>
      <w:r w:rsidRPr="00AE2B61">
        <w:rPr>
          <w:rFonts w:ascii="Times New Roman" w:hAnsi="Times New Roman"/>
          <w:szCs w:val="19"/>
        </w:rPr>
        <w:t xml:space="preserve"> is the Amide I, 1400- 1500</w:t>
      </w:r>
      <w:r w:rsidR="00E60731" w:rsidRPr="00AE2B61">
        <w:rPr>
          <w:rFonts w:ascii="Times New Roman" w:hAnsi="Times New Roman"/>
          <w:szCs w:val="19"/>
        </w:rPr>
        <w:t xml:space="preserve"> cm</w:t>
      </w:r>
      <w:r w:rsidR="00E60731" w:rsidRPr="00AE2B61">
        <w:rPr>
          <w:rFonts w:ascii="Times New Roman" w:hAnsi="Times New Roman"/>
          <w:szCs w:val="19"/>
          <w:vertAlign w:val="superscript"/>
        </w:rPr>
        <w:t>-1</w:t>
      </w:r>
      <w:r w:rsidR="00E60731" w:rsidRPr="00AE2B61">
        <w:rPr>
          <w:rFonts w:ascii="Times New Roman" w:hAnsi="Times New Roman"/>
          <w:szCs w:val="19"/>
        </w:rPr>
        <w:t xml:space="preserve"> </w:t>
      </w:r>
      <w:r w:rsidRPr="00AE2B61">
        <w:rPr>
          <w:rFonts w:ascii="Times New Roman" w:hAnsi="Times New Roman"/>
          <w:szCs w:val="19"/>
        </w:rPr>
        <w:t xml:space="preserve">is </w:t>
      </w:r>
      <w:r w:rsidRPr="00AE2B61">
        <w:rPr>
          <w:rFonts w:ascii="Times New Roman" w:hAnsi="Times New Roman"/>
          <w:szCs w:val="19"/>
        </w:rPr>
        <w:lastRenderedPageBreak/>
        <w:t>the A</w:t>
      </w:r>
      <w:r w:rsidR="00246B3B">
        <w:rPr>
          <w:rFonts w:ascii="Times New Roman" w:hAnsi="Times New Roman"/>
          <w:szCs w:val="19"/>
        </w:rPr>
        <w:t>m</w:t>
      </w:r>
      <w:r w:rsidRPr="00AE2B61">
        <w:rPr>
          <w:rFonts w:ascii="Times New Roman" w:hAnsi="Times New Roman"/>
          <w:szCs w:val="19"/>
        </w:rPr>
        <w:t xml:space="preserve">ide II and </w:t>
      </w:r>
      <w:r w:rsidR="00E60731" w:rsidRPr="00AE2B61">
        <w:rPr>
          <w:rFonts w:ascii="Times New Roman" w:hAnsi="Times New Roman"/>
          <w:szCs w:val="19"/>
        </w:rPr>
        <w:t>1200-1400 cm</w:t>
      </w:r>
      <w:r w:rsidR="00E60731" w:rsidRPr="00AE2B61">
        <w:rPr>
          <w:rFonts w:ascii="Times New Roman" w:hAnsi="Times New Roman"/>
          <w:szCs w:val="19"/>
          <w:vertAlign w:val="superscript"/>
        </w:rPr>
        <w:t>-1</w:t>
      </w:r>
      <w:r w:rsidR="00E60731" w:rsidRPr="00AE2B61">
        <w:rPr>
          <w:rFonts w:ascii="Times New Roman" w:hAnsi="Times New Roman"/>
          <w:szCs w:val="19"/>
        </w:rPr>
        <w:t xml:space="preserve"> is the Amide III region. At lower wavenumbers</w:t>
      </w:r>
      <w:r w:rsidR="001A3EF8">
        <w:rPr>
          <w:rFonts w:ascii="Times New Roman" w:hAnsi="Times New Roman"/>
          <w:szCs w:val="19"/>
        </w:rPr>
        <w:t>,</w:t>
      </w:r>
      <w:r w:rsidR="00E60731" w:rsidRPr="00AE2B61">
        <w:rPr>
          <w:rFonts w:ascii="Times New Roman" w:hAnsi="Times New Roman"/>
          <w:szCs w:val="19"/>
        </w:rPr>
        <w:t xml:space="preserve"> such as between 750 – 1100 </w:t>
      </w:r>
      <w:r w:rsidR="00AE2B61">
        <w:rPr>
          <w:rFonts w:ascii="Times New Roman" w:hAnsi="Times New Roman"/>
          <w:szCs w:val="19"/>
        </w:rPr>
        <w:t>cm</w:t>
      </w:r>
      <w:r w:rsidR="00AE2B61" w:rsidRPr="00AE2B61">
        <w:rPr>
          <w:rFonts w:ascii="Times New Roman" w:hAnsi="Times New Roman"/>
          <w:szCs w:val="19"/>
          <w:vertAlign w:val="superscript"/>
        </w:rPr>
        <w:t>-1</w:t>
      </w:r>
      <w:r w:rsidR="001A3EF8">
        <w:rPr>
          <w:rFonts w:ascii="Times New Roman" w:hAnsi="Times New Roman"/>
          <w:szCs w:val="19"/>
        </w:rPr>
        <w:t xml:space="preserve">, </w:t>
      </w:r>
      <w:r w:rsidR="00E60731" w:rsidRPr="00AE2B61">
        <w:rPr>
          <w:rFonts w:ascii="Times New Roman" w:hAnsi="Times New Roman"/>
          <w:szCs w:val="19"/>
        </w:rPr>
        <w:t xml:space="preserve">the amino acid and sugar molecules vibrational </w:t>
      </w:r>
      <w:r w:rsidR="00AE2B61" w:rsidRPr="00AE2B61">
        <w:rPr>
          <w:rFonts w:ascii="Times New Roman" w:hAnsi="Times New Roman"/>
          <w:szCs w:val="19"/>
        </w:rPr>
        <w:t>frequencies</w:t>
      </w:r>
      <w:r w:rsidR="00E60731" w:rsidRPr="00AE2B61">
        <w:rPr>
          <w:rFonts w:ascii="Times New Roman" w:hAnsi="Times New Roman"/>
          <w:szCs w:val="19"/>
        </w:rPr>
        <w:t xml:space="preserve"> result from C-O bonds</w:t>
      </w:r>
      <w:r w:rsidR="00A72577">
        <w:rPr>
          <w:rFonts w:ascii="Times New Roman" w:hAnsi="Times New Roman"/>
          <w:szCs w:val="19"/>
        </w:rPr>
        <w:t xml:space="preserve"> vibrations and others</w:t>
      </w:r>
      <w:r w:rsidR="00E60731" w:rsidRPr="00AE2B61">
        <w:rPr>
          <w:rFonts w:ascii="Times New Roman" w:hAnsi="Times New Roman"/>
          <w:szCs w:val="19"/>
        </w:rPr>
        <w:t xml:space="preserve">. </w:t>
      </w:r>
      <w:r w:rsidR="00FD09EF">
        <w:rPr>
          <w:rFonts w:ascii="Times New Roman" w:hAnsi="Times New Roman"/>
          <w:szCs w:val="19"/>
        </w:rPr>
        <w:t xml:space="preserve">A full spectral assignment can be found in </w:t>
      </w:r>
      <w:r w:rsidR="00246B3B">
        <w:rPr>
          <w:rFonts w:ascii="Times New Roman" w:hAnsi="Times New Roman"/>
          <w:szCs w:val="19"/>
        </w:rPr>
        <w:t>T</w:t>
      </w:r>
      <w:r w:rsidR="00FD09EF">
        <w:rPr>
          <w:rFonts w:ascii="Times New Roman" w:hAnsi="Times New Roman"/>
          <w:szCs w:val="19"/>
        </w:rPr>
        <w:t xml:space="preserve">able S8. </w:t>
      </w:r>
      <w:r w:rsidR="00C81D42">
        <w:rPr>
          <w:rFonts w:ascii="Times New Roman" w:hAnsi="Times New Roman"/>
          <w:szCs w:val="19"/>
        </w:rPr>
        <w:t>In ge</w:t>
      </w:r>
      <w:r w:rsidR="00AE2B61">
        <w:rPr>
          <w:rFonts w:ascii="Times New Roman" w:hAnsi="Times New Roman"/>
          <w:szCs w:val="19"/>
        </w:rPr>
        <w:t>n</w:t>
      </w:r>
      <w:r w:rsidR="00C81D42">
        <w:rPr>
          <w:rFonts w:ascii="Times New Roman" w:hAnsi="Times New Roman"/>
          <w:szCs w:val="19"/>
        </w:rPr>
        <w:t>er</w:t>
      </w:r>
      <w:r w:rsidR="00AE2B61">
        <w:rPr>
          <w:rFonts w:ascii="Times New Roman" w:hAnsi="Times New Roman"/>
          <w:szCs w:val="19"/>
        </w:rPr>
        <w:t>al</w:t>
      </w:r>
      <w:r w:rsidR="001A3EF8">
        <w:rPr>
          <w:rFonts w:ascii="Times New Roman" w:hAnsi="Times New Roman"/>
          <w:szCs w:val="19"/>
        </w:rPr>
        <w:t>,</w:t>
      </w:r>
      <w:r w:rsidR="00AE2B61">
        <w:rPr>
          <w:rFonts w:ascii="Times New Roman" w:hAnsi="Times New Roman"/>
          <w:szCs w:val="19"/>
        </w:rPr>
        <w:t xml:space="preserve"> it is difficult to pull out spectral difference</w:t>
      </w:r>
      <w:r w:rsidR="00FD3E04">
        <w:rPr>
          <w:rFonts w:ascii="Times New Roman" w:hAnsi="Times New Roman"/>
          <w:szCs w:val="19"/>
        </w:rPr>
        <w:t>s</w:t>
      </w:r>
      <w:r w:rsidR="00AE2B61">
        <w:rPr>
          <w:rFonts w:ascii="Times New Roman" w:hAnsi="Times New Roman"/>
          <w:szCs w:val="19"/>
        </w:rPr>
        <w:t xml:space="preserve"> between the % glycation of </w:t>
      </w:r>
      <w:r w:rsidR="00C81D42">
        <w:rPr>
          <w:rFonts w:ascii="Times New Roman" w:hAnsi="Times New Roman"/>
          <w:szCs w:val="19"/>
        </w:rPr>
        <w:t>samples</w:t>
      </w:r>
      <w:r w:rsidR="00AE2B61">
        <w:rPr>
          <w:rFonts w:ascii="Times New Roman" w:hAnsi="Times New Roman"/>
          <w:szCs w:val="19"/>
        </w:rPr>
        <w:t xml:space="preserve"> in </w:t>
      </w:r>
      <w:r w:rsidR="00246B3B">
        <w:rPr>
          <w:rFonts w:ascii="Times New Roman" w:hAnsi="Times New Roman"/>
          <w:szCs w:val="19"/>
        </w:rPr>
        <w:t>F</w:t>
      </w:r>
      <w:r w:rsidR="00AE2B61">
        <w:rPr>
          <w:rFonts w:ascii="Times New Roman" w:hAnsi="Times New Roman"/>
          <w:szCs w:val="19"/>
        </w:rPr>
        <w:t xml:space="preserve">igure 4a. Therefore, in order to highlight smaller </w:t>
      </w:r>
      <w:r w:rsidR="00C81D42">
        <w:rPr>
          <w:rFonts w:ascii="Times New Roman" w:hAnsi="Times New Roman"/>
          <w:szCs w:val="19"/>
        </w:rPr>
        <w:t>spectral differences and to look at correlations within the data</w:t>
      </w:r>
      <w:r w:rsidR="001A3EF8">
        <w:rPr>
          <w:rFonts w:ascii="Times New Roman" w:hAnsi="Times New Roman"/>
          <w:szCs w:val="19"/>
        </w:rPr>
        <w:t>,</w:t>
      </w:r>
      <w:r w:rsidR="001604FE">
        <w:rPr>
          <w:rFonts w:ascii="Times New Roman" w:hAnsi="Times New Roman"/>
          <w:szCs w:val="19"/>
        </w:rPr>
        <w:t xml:space="preserve"> we have used PCA with the three</w:t>
      </w:r>
      <w:r w:rsidR="00C81D42">
        <w:rPr>
          <w:rFonts w:ascii="Times New Roman" w:hAnsi="Times New Roman"/>
          <w:szCs w:val="19"/>
        </w:rPr>
        <w:t xml:space="preserve"> spectral repeats for each sample plotted separately.</w:t>
      </w:r>
      <w:r w:rsidR="00FD3E04">
        <w:rPr>
          <w:rFonts w:ascii="Times New Roman" w:hAnsi="Times New Roman"/>
          <w:szCs w:val="19"/>
        </w:rPr>
        <w:t xml:space="preserve"> </w:t>
      </w:r>
      <w:r w:rsidR="00246B3B">
        <w:rPr>
          <w:rFonts w:ascii="Times New Roman" w:hAnsi="Times New Roman"/>
          <w:szCs w:val="19"/>
        </w:rPr>
        <w:t xml:space="preserve">PC 1 </w:t>
      </w:r>
      <w:r w:rsidR="00246B3B" w:rsidRPr="007B0A4C">
        <w:rPr>
          <w:rFonts w:ascii="Times New Roman" w:hAnsi="Times New Roman"/>
          <w:i/>
          <w:szCs w:val="19"/>
        </w:rPr>
        <w:t>vs</w:t>
      </w:r>
      <w:r w:rsidR="00246B3B">
        <w:rPr>
          <w:rFonts w:ascii="Times New Roman" w:hAnsi="Times New Roman"/>
          <w:szCs w:val="19"/>
        </w:rPr>
        <w:t xml:space="preserve">. PC 2 showed no clear separation between glycated and non-glycated samples; by contrast, </w:t>
      </w:r>
      <w:r w:rsidR="00D017B8">
        <w:rPr>
          <w:rFonts w:ascii="Times New Roman" w:hAnsi="Times New Roman"/>
          <w:szCs w:val="19"/>
        </w:rPr>
        <w:t>P</w:t>
      </w:r>
      <w:r w:rsidR="00FD3E04">
        <w:rPr>
          <w:rFonts w:ascii="Times New Roman" w:hAnsi="Times New Roman"/>
          <w:szCs w:val="19"/>
        </w:rPr>
        <w:t>C</w:t>
      </w:r>
      <w:r w:rsidR="001604FE">
        <w:rPr>
          <w:rFonts w:ascii="Times New Roman" w:hAnsi="Times New Roman"/>
          <w:szCs w:val="19"/>
        </w:rPr>
        <w:t xml:space="preserve"> </w:t>
      </w:r>
      <w:r w:rsidR="00FD3E04">
        <w:rPr>
          <w:rFonts w:ascii="Times New Roman" w:hAnsi="Times New Roman"/>
          <w:szCs w:val="19"/>
        </w:rPr>
        <w:t xml:space="preserve">1 </w:t>
      </w:r>
      <w:r w:rsidR="00D017B8">
        <w:rPr>
          <w:rFonts w:ascii="Times New Roman" w:hAnsi="Times New Roman"/>
          <w:szCs w:val="19"/>
        </w:rPr>
        <w:t>plotted against P</w:t>
      </w:r>
      <w:r w:rsidR="00FD3E04">
        <w:rPr>
          <w:rFonts w:ascii="Times New Roman" w:hAnsi="Times New Roman"/>
          <w:szCs w:val="19"/>
        </w:rPr>
        <w:t>C</w:t>
      </w:r>
      <w:r w:rsidR="001604FE">
        <w:rPr>
          <w:rFonts w:ascii="Times New Roman" w:hAnsi="Times New Roman"/>
          <w:szCs w:val="19"/>
        </w:rPr>
        <w:t xml:space="preserve"> </w:t>
      </w:r>
      <w:r w:rsidR="00FD3E04">
        <w:rPr>
          <w:rFonts w:ascii="Times New Roman" w:hAnsi="Times New Roman"/>
          <w:szCs w:val="19"/>
        </w:rPr>
        <w:t xml:space="preserve">3 </w:t>
      </w:r>
      <w:r w:rsidR="00246B3B">
        <w:rPr>
          <w:rFonts w:ascii="Times New Roman" w:hAnsi="Times New Roman"/>
          <w:szCs w:val="19"/>
        </w:rPr>
        <w:t xml:space="preserve">(Figure 4b) </w:t>
      </w:r>
      <w:r w:rsidR="001A3EF8">
        <w:rPr>
          <w:rFonts w:ascii="Times New Roman" w:hAnsi="Times New Roman"/>
          <w:szCs w:val="19"/>
        </w:rPr>
        <w:t>separated the spectra on</w:t>
      </w:r>
      <w:r w:rsidR="00B720A4">
        <w:rPr>
          <w:rFonts w:ascii="Times New Roman" w:hAnsi="Times New Roman"/>
          <w:szCs w:val="19"/>
        </w:rPr>
        <w:t xml:space="preserve"> amount</w:t>
      </w:r>
      <w:r w:rsidR="00FD3E04">
        <w:rPr>
          <w:rFonts w:ascii="Times New Roman" w:hAnsi="Times New Roman"/>
          <w:szCs w:val="19"/>
        </w:rPr>
        <w:t xml:space="preserve"> of </w:t>
      </w:r>
      <w:r w:rsidR="00D017B8">
        <w:rPr>
          <w:rFonts w:ascii="Times New Roman" w:hAnsi="Times New Roman"/>
          <w:szCs w:val="19"/>
        </w:rPr>
        <w:t>lysozyme</w:t>
      </w:r>
      <w:r w:rsidR="00FD3E04">
        <w:rPr>
          <w:rFonts w:ascii="Times New Roman" w:hAnsi="Times New Roman"/>
          <w:szCs w:val="19"/>
        </w:rPr>
        <w:t xml:space="preserve"> glycation.</w:t>
      </w:r>
      <w:r w:rsidR="001604FE">
        <w:rPr>
          <w:rFonts w:ascii="Times New Roman" w:hAnsi="Times New Roman"/>
          <w:szCs w:val="19"/>
        </w:rPr>
        <w:t xml:space="preserve"> The three</w:t>
      </w:r>
      <w:r w:rsidR="00FD34CB">
        <w:rPr>
          <w:rFonts w:ascii="Times New Roman" w:hAnsi="Times New Roman"/>
          <w:szCs w:val="19"/>
        </w:rPr>
        <w:t xml:space="preserve"> repeats from each sample show goo</w:t>
      </w:r>
      <w:r w:rsidR="00B80BCC">
        <w:rPr>
          <w:rFonts w:ascii="Times New Roman" w:hAnsi="Times New Roman"/>
          <w:szCs w:val="19"/>
        </w:rPr>
        <w:t>d</w:t>
      </w:r>
      <w:r w:rsidR="00FD34CB">
        <w:rPr>
          <w:rFonts w:ascii="Times New Roman" w:hAnsi="Times New Roman"/>
          <w:szCs w:val="19"/>
        </w:rPr>
        <w:t xml:space="preserve"> </w:t>
      </w:r>
      <w:r w:rsidR="00D017B8">
        <w:rPr>
          <w:rFonts w:ascii="Times New Roman" w:hAnsi="Times New Roman"/>
          <w:szCs w:val="19"/>
        </w:rPr>
        <w:t>reproducibility</w:t>
      </w:r>
      <w:r w:rsidR="00FD34CB">
        <w:rPr>
          <w:rFonts w:ascii="Times New Roman" w:hAnsi="Times New Roman"/>
          <w:szCs w:val="19"/>
        </w:rPr>
        <w:t xml:space="preserve"> as they can be seen to </w:t>
      </w:r>
      <w:r w:rsidR="00D017B8">
        <w:rPr>
          <w:rFonts w:ascii="Times New Roman" w:hAnsi="Times New Roman"/>
          <w:szCs w:val="19"/>
        </w:rPr>
        <w:t>cluster</w:t>
      </w:r>
      <w:r w:rsidR="00FD34CB">
        <w:rPr>
          <w:rFonts w:ascii="Times New Roman" w:hAnsi="Times New Roman"/>
          <w:szCs w:val="19"/>
        </w:rPr>
        <w:t xml:space="preserve"> together for each set. Figure 4c shows the </w:t>
      </w:r>
      <w:r w:rsidR="00D017B8">
        <w:rPr>
          <w:rFonts w:ascii="Times New Roman" w:hAnsi="Times New Roman"/>
          <w:szCs w:val="19"/>
        </w:rPr>
        <w:t>corresponding loadings plot. PC</w:t>
      </w:r>
      <w:r w:rsidR="0079748A">
        <w:rPr>
          <w:rFonts w:ascii="Times New Roman" w:hAnsi="Times New Roman"/>
          <w:szCs w:val="19"/>
        </w:rPr>
        <w:t xml:space="preserve"> </w:t>
      </w:r>
      <w:r w:rsidR="00D017B8">
        <w:rPr>
          <w:rFonts w:ascii="Times New Roman" w:hAnsi="Times New Roman"/>
          <w:szCs w:val="19"/>
        </w:rPr>
        <w:t>1</w:t>
      </w:r>
      <w:r w:rsidR="00FD34CB">
        <w:rPr>
          <w:rFonts w:ascii="Times New Roman" w:hAnsi="Times New Roman"/>
          <w:szCs w:val="19"/>
        </w:rPr>
        <w:t xml:space="preserve"> </w:t>
      </w:r>
      <w:r w:rsidR="00D017B8">
        <w:rPr>
          <w:rFonts w:ascii="Times New Roman" w:hAnsi="Times New Roman"/>
          <w:szCs w:val="19"/>
        </w:rPr>
        <w:t>l</w:t>
      </w:r>
      <w:r w:rsidR="00FD34CB">
        <w:rPr>
          <w:rFonts w:ascii="Times New Roman" w:hAnsi="Times New Roman"/>
          <w:szCs w:val="19"/>
        </w:rPr>
        <w:t>oadings</w:t>
      </w:r>
      <w:r w:rsidR="00D017B8">
        <w:rPr>
          <w:rFonts w:ascii="Times New Roman" w:hAnsi="Times New Roman"/>
          <w:szCs w:val="19"/>
        </w:rPr>
        <w:t xml:space="preserve"> are</w:t>
      </w:r>
      <w:r w:rsidR="00FD34CB">
        <w:rPr>
          <w:rFonts w:ascii="Times New Roman" w:hAnsi="Times New Roman"/>
          <w:szCs w:val="19"/>
        </w:rPr>
        <w:t xml:space="preserve"> </w:t>
      </w:r>
      <w:r w:rsidR="00D017B8">
        <w:rPr>
          <w:rFonts w:ascii="Times New Roman" w:hAnsi="Times New Roman"/>
          <w:szCs w:val="19"/>
        </w:rPr>
        <w:t>difficult</w:t>
      </w:r>
      <w:r w:rsidR="00FD34CB">
        <w:rPr>
          <w:rFonts w:ascii="Times New Roman" w:hAnsi="Times New Roman"/>
          <w:szCs w:val="19"/>
        </w:rPr>
        <w:t xml:space="preserve"> to interpret but separation </w:t>
      </w:r>
      <w:r w:rsidR="00B80BCC">
        <w:rPr>
          <w:rFonts w:ascii="Times New Roman" w:hAnsi="Times New Roman"/>
          <w:szCs w:val="19"/>
        </w:rPr>
        <w:t xml:space="preserve">does </w:t>
      </w:r>
      <w:r w:rsidR="00D017B8">
        <w:rPr>
          <w:rFonts w:ascii="Times New Roman" w:hAnsi="Times New Roman"/>
          <w:szCs w:val="19"/>
        </w:rPr>
        <w:t>depend</w:t>
      </w:r>
      <w:r w:rsidR="00735C4A">
        <w:rPr>
          <w:rFonts w:ascii="Times New Roman" w:hAnsi="Times New Roman"/>
          <w:szCs w:val="19"/>
        </w:rPr>
        <w:t xml:space="preserve"> on a peak at 1452 cm</w:t>
      </w:r>
      <w:r w:rsidR="00735C4A" w:rsidRPr="00FB5081">
        <w:rPr>
          <w:rFonts w:ascii="Times New Roman" w:hAnsi="Times New Roman"/>
          <w:szCs w:val="19"/>
          <w:vertAlign w:val="superscript"/>
        </w:rPr>
        <w:t>-1</w:t>
      </w:r>
      <w:r w:rsidR="00735C4A">
        <w:rPr>
          <w:rFonts w:ascii="Times New Roman" w:hAnsi="Times New Roman"/>
          <w:szCs w:val="19"/>
        </w:rPr>
        <w:t xml:space="preserve"> which is the CH/CH</w:t>
      </w:r>
      <w:r w:rsidR="004E79C3" w:rsidRPr="004E79C3">
        <w:rPr>
          <w:rFonts w:ascii="Times New Roman" w:hAnsi="Times New Roman"/>
          <w:szCs w:val="19"/>
          <w:vertAlign w:val="subscript"/>
        </w:rPr>
        <w:t>2</w:t>
      </w:r>
      <w:r w:rsidR="004E79C3">
        <w:rPr>
          <w:rFonts w:ascii="Times New Roman" w:hAnsi="Times New Roman"/>
          <w:szCs w:val="19"/>
        </w:rPr>
        <w:t>/CH</w:t>
      </w:r>
      <w:r w:rsidR="004E79C3" w:rsidRPr="004E79C3">
        <w:rPr>
          <w:rFonts w:ascii="Times New Roman" w:hAnsi="Times New Roman"/>
          <w:szCs w:val="19"/>
          <w:vertAlign w:val="subscript"/>
        </w:rPr>
        <w:t>3</w:t>
      </w:r>
      <w:r w:rsidR="00735C4A" w:rsidRPr="00FB5081">
        <w:rPr>
          <w:rFonts w:ascii="Times New Roman" w:hAnsi="Times New Roman"/>
          <w:szCs w:val="19"/>
          <w:vertAlign w:val="subscript"/>
        </w:rPr>
        <w:t xml:space="preserve"> </w:t>
      </w:r>
      <w:r w:rsidR="00735C4A">
        <w:rPr>
          <w:rFonts w:ascii="Times New Roman" w:hAnsi="Times New Roman"/>
          <w:szCs w:val="19"/>
        </w:rPr>
        <w:t xml:space="preserve">vibrational frequency. </w:t>
      </w:r>
      <w:r w:rsidR="00A33DD0">
        <w:rPr>
          <w:rFonts w:ascii="Times New Roman" w:hAnsi="Times New Roman"/>
          <w:szCs w:val="19"/>
        </w:rPr>
        <w:t>The peaks in PC 3 were found to correspond to glucose peaks.</w:t>
      </w:r>
      <w:r w:rsidR="00A33DD0" w:rsidRPr="00A33DD0">
        <w:rPr>
          <w:rFonts w:ascii="Times New Roman" w:hAnsi="Times New Roman"/>
          <w:szCs w:val="19"/>
        </w:rPr>
        <w:t xml:space="preserve"> </w:t>
      </w:r>
      <w:r w:rsidR="00A33DD0">
        <w:rPr>
          <w:rFonts w:ascii="Times New Roman" w:hAnsi="Times New Roman"/>
          <w:szCs w:val="19"/>
        </w:rPr>
        <w:t>PC 3 loadings highlight important spectral bands within the sugar regions at 1038 cm</w:t>
      </w:r>
      <w:r w:rsidR="00A33DD0" w:rsidRPr="007F4F97">
        <w:rPr>
          <w:rFonts w:ascii="Times New Roman" w:hAnsi="Times New Roman"/>
          <w:szCs w:val="19"/>
          <w:vertAlign w:val="superscript"/>
        </w:rPr>
        <w:t>-1</w:t>
      </w:r>
      <w:r w:rsidR="00A33DD0">
        <w:rPr>
          <w:rFonts w:ascii="Times New Roman" w:hAnsi="Times New Roman"/>
          <w:szCs w:val="19"/>
        </w:rPr>
        <w:t>, 1060 cm</w:t>
      </w:r>
      <w:r w:rsidR="00A33DD0" w:rsidRPr="007F4F97">
        <w:rPr>
          <w:rFonts w:ascii="Times New Roman" w:hAnsi="Times New Roman"/>
          <w:szCs w:val="19"/>
          <w:vertAlign w:val="superscript"/>
        </w:rPr>
        <w:t>-1</w:t>
      </w:r>
      <w:r w:rsidR="00A33DD0">
        <w:rPr>
          <w:rFonts w:ascii="Times New Roman" w:hAnsi="Times New Roman"/>
          <w:szCs w:val="19"/>
        </w:rPr>
        <w:t xml:space="preserve"> and 1121 cm</w:t>
      </w:r>
      <w:r w:rsidR="00A33DD0" w:rsidRPr="007F4F97">
        <w:rPr>
          <w:rFonts w:ascii="Times New Roman" w:hAnsi="Times New Roman"/>
          <w:szCs w:val="19"/>
          <w:vertAlign w:val="superscript"/>
        </w:rPr>
        <w:t>-1</w:t>
      </w:r>
      <w:r w:rsidR="00B720A4">
        <w:rPr>
          <w:rFonts w:ascii="Times New Roman" w:hAnsi="Times New Roman"/>
          <w:szCs w:val="19"/>
        </w:rPr>
        <w:t>, reflecting</w:t>
      </w:r>
      <w:r w:rsidR="00246B3B">
        <w:rPr>
          <w:rFonts w:ascii="Times New Roman" w:hAnsi="Times New Roman"/>
          <w:szCs w:val="19"/>
        </w:rPr>
        <w:t xml:space="preserve"> the level of glycation of lysozyme</w:t>
      </w:r>
      <w:r w:rsidR="00A33DD0">
        <w:rPr>
          <w:rFonts w:ascii="Times New Roman" w:hAnsi="Times New Roman"/>
          <w:szCs w:val="19"/>
        </w:rPr>
        <w:t>.</w:t>
      </w:r>
    </w:p>
    <w:p w14:paraId="4208690F" w14:textId="5B2D5D4C" w:rsidR="00121FB0" w:rsidRDefault="00FB5081" w:rsidP="009B7933">
      <w:pPr>
        <w:spacing w:line="480" w:lineRule="auto"/>
        <w:rPr>
          <w:rFonts w:ascii="Times New Roman" w:hAnsi="Times New Roman"/>
          <w:szCs w:val="19"/>
        </w:rPr>
      </w:pPr>
      <w:r>
        <w:rPr>
          <w:rFonts w:ascii="Times New Roman" w:hAnsi="Times New Roman"/>
          <w:szCs w:val="19"/>
        </w:rPr>
        <w:t xml:space="preserve">In order to help </w:t>
      </w:r>
      <w:r w:rsidR="00B80BCC">
        <w:rPr>
          <w:rFonts w:ascii="Times New Roman" w:hAnsi="Times New Roman"/>
          <w:szCs w:val="19"/>
        </w:rPr>
        <w:t xml:space="preserve">distinguish glycated protein from protein with </w:t>
      </w:r>
      <w:r>
        <w:rPr>
          <w:rFonts w:ascii="Times New Roman" w:hAnsi="Times New Roman"/>
          <w:szCs w:val="19"/>
        </w:rPr>
        <w:t xml:space="preserve">free glucose we again performed a glucose spike in experiment with lysozyme </w:t>
      </w:r>
      <w:r w:rsidR="00B80BCC">
        <w:rPr>
          <w:rFonts w:ascii="Times New Roman" w:hAnsi="Times New Roman"/>
          <w:szCs w:val="19"/>
        </w:rPr>
        <w:t>(</w:t>
      </w:r>
      <w:r w:rsidR="00246B3B">
        <w:rPr>
          <w:rFonts w:ascii="Times New Roman" w:hAnsi="Times New Roman"/>
          <w:szCs w:val="19"/>
        </w:rPr>
        <w:t>F</w:t>
      </w:r>
      <w:r>
        <w:rPr>
          <w:rFonts w:ascii="Times New Roman" w:hAnsi="Times New Roman"/>
          <w:szCs w:val="19"/>
        </w:rPr>
        <w:t>igure 5</w:t>
      </w:r>
      <w:r w:rsidR="00B80BCC">
        <w:rPr>
          <w:rFonts w:ascii="Times New Roman" w:hAnsi="Times New Roman"/>
          <w:szCs w:val="19"/>
        </w:rPr>
        <w:t>)</w:t>
      </w:r>
      <w:r>
        <w:rPr>
          <w:rFonts w:ascii="Times New Roman" w:hAnsi="Times New Roman"/>
          <w:szCs w:val="19"/>
        </w:rPr>
        <w:t>.</w:t>
      </w:r>
      <w:r w:rsidR="0031459A">
        <w:rPr>
          <w:rFonts w:ascii="Times New Roman" w:hAnsi="Times New Roman"/>
          <w:szCs w:val="19"/>
        </w:rPr>
        <w:t xml:space="preserve"> Furthermore</w:t>
      </w:r>
      <w:r w:rsidR="00B80BCC">
        <w:rPr>
          <w:rFonts w:ascii="Times New Roman" w:hAnsi="Times New Roman"/>
          <w:szCs w:val="19"/>
        </w:rPr>
        <w:t>,</w:t>
      </w:r>
      <w:r w:rsidR="0031459A">
        <w:rPr>
          <w:rFonts w:ascii="Times New Roman" w:hAnsi="Times New Roman"/>
          <w:szCs w:val="19"/>
        </w:rPr>
        <w:t xml:space="preserve"> we glycated albumin, a protein that is known to </w:t>
      </w:r>
      <w:r w:rsidR="00B80BCC">
        <w:rPr>
          <w:rFonts w:ascii="Times New Roman" w:hAnsi="Times New Roman"/>
          <w:szCs w:val="19"/>
        </w:rPr>
        <w:t xml:space="preserve">be </w:t>
      </w:r>
      <w:r w:rsidR="0031459A">
        <w:rPr>
          <w:rFonts w:ascii="Times New Roman" w:hAnsi="Times New Roman"/>
          <w:szCs w:val="19"/>
        </w:rPr>
        <w:t>glycated in</w:t>
      </w:r>
      <w:r w:rsidR="00B60DE3">
        <w:rPr>
          <w:rFonts w:ascii="Times New Roman" w:hAnsi="Times New Roman"/>
          <w:szCs w:val="19"/>
        </w:rPr>
        <w:t xml:space="preserve"> the</w:t>
      </w:r>
      <w:r w:rsidR="0031459A">
        <w:rPr>
          <w:rFonts w:ascii="Times New Roman" w:hAnsi="Times New Roman"/>
          <w:szCs w:val="19"/>
        </w:rPr>
        <w:t xml:space="preserve"> blood of diabetic patients.</w:t>
      </w:r>
      <w:r w:rsidR="006F5D32">
        <w:rPr>
          <w:rFonts w:ascii="Times New Roman" w:hAnsi="Times New Roman"/>
          <w:szCs w:val="19"/>
        </w:rPr>
        <w:fldChar w:fldCharType="begin" w:fldLock="1"/>
      </w:r>
      <w:r w:rsidR="006F5D32">
        <w:rPr>
          <w:rFonts w:ascii="Times New Roman" w:hAnsi="Times New Roman"/>
          <w:szCs w:val="19"/>
        </w:rPr>
        <w:instrText>ADDIN CSL_CITATION {"citationItems":[{"id":"ITEM-1","itemData":{"DOI":"10.2337/DC15-2727","ISSN":"0149-5992","PMID":"27457632","abstract":"Blood oligosaccharides are attached to many proteins after translation, forming glycoproteins. Glycosylation refers to an enzyme-mediated modification that alters protein function, for example, their life span or their interactions with other proteins (1). By contrast, glycation refers to a monosaccharide (usually glucose) attaching nonenzymatically to the amino group of a protein. Glycated hemoglobin is formed by the condensation of glucose with select amino acid residues, commonly lysine, in hemoglobin to form an unstable Schiff base (aldimine, pre-HbA1c) (Fig. 1). The Schiff base may dissociate or may undergo an Amadori rearrangement to form a stable ketoamine.\n\n\n\nFigure 1 \nFormation of glycated protein. A reversible interaction between a primary amino group (depicted as NH2) of a protein and the carbonyl group of d-glucose yields a labile intermediate, called a Schiff base. This can undergo a slow and spontaneous Amadori rearrangement to form a stable ketoamine. HbA1c is formed if glucose attaches to the N-terminal valine of the β-chain of hemoglobin. If the glucose attaches to proteins in the plasma, fructosamine or glycated albumin results. RBC, red blood cell.\n\n\n\nGlycated hemoglobin, particularly HbA1c, has for decades been widely incorporated into the management (and, more recently, the diagnosis) of patients with diabetes. An important attribute is that glycation occurs continuously over the lifetime of the protein, so the concentration of the glycated protein reflects the average blood glucose value over a period of time. This contrasts with the measurement of blood glucose, which reveals the glucose concentration at the instant blood is sampled and which is acutely altered by multiple factors such as hormones, illness, food ingestion, and exercise (2). While HbA1c is by far the most extensively used—and studied—glycated protein (2–4), other glycated proteins that have been evaluated in clinical studies include fructosamine, glycated albumin, and …","author":[{"dropping-particle":"","family":"Welsh","given":"Kerry J.","non-dropping-particle":"","parse-names":false,"suffix":""},{"dropping-particle":"","family":"Kirkman","given":"M. Sue","non-dropping-particle":"","parse-names":false,"suffix":""},{"dropping-particle":"","family":"Sacks","given":"David B.","non-dropping-particle":"","parse-names":false,"suffix":""}],"container-title":"Diabetes Care","id":"ITEM-1","issue":"8","issued":{"date-parts":[["2016","8","1"]]},"page":"1299-1306","publisher":"American Diabetes Association","title":"Role of Glycated Proteins in the Diagnosis and Management of Diabetes: Research Gaps and Future Directions","type":"article-journal","volume":"39"},"uris":["http://www.mendeley.com/documents/?uuid=c3e55224-5783-3705-824f-b7feb6053691"]}],"mendeley":{"formattedCitation":"&lt;sup&gt;33&lt;/sup&gt;","plainTextFormattedCitation":"33","previouslyFormattedCitation":"&lt;sup&gt;33&lt;/sup&gt;"},"properties":{"noteIndex":0},"schema":"https://github.com/citation-style-language/schema/raw/master/csl-citation.json"}</w:instrText>
      </w:r>
      <w:r w:rsidR="006F5D32">
        <w:rPr>
          <w:rFonts w:ascii="Times New Roman" w:hAnsi="Times New Roman"/>
          <w:szCs w:val="19"/>
        </w:rPr>
        <w:fldChar w:fldCharType="separate"/>
      </w:r>
      <w:r w:rsidR="006F5D32" w:rsidRPr="00375CAA">
        <w:rPr>
          <w:rFonts w:ascii="Times New Roman" w:hAnsi="Times New Roman"/>
          <w:noProof/>
          <w:szCs w:val="19"/>
          <w:vertAlign w:val="superscript"/>
        </w:rPr>
        <w:t>33</w:t>
      </w:r>
      <w:r w:rsidR="006F5D32">
        <w:rPr>
          <w:rFonts w:ascii="Times New Roman" w:hAnsi="Times New Roman"/>
          <w:szCs w:val="19"/>
        </w:rPr>
        <w:fldChar w:fldCharType="end"/>
      </w:r>
      <w:r w:rsidR="00B828EC">
        <w:rPr>
          <w:rFonts w:ascii="Times New Roman" w:hAnsi="Times New Roman"/>
          <w:szCs w:val="19"/>
        </w:rPr>
        <w:t xml:space="preserve"> Human albumin has an expected mass of </w:t>
      </w:r>
      <w:r w:rsidR="00B828EC" w:rsidRPr="00B828EC">
        <w:rPr>
          <w:rFonts w:ascii="Times New Roman" w:hAnsi="Times New Roman"/>
          <w:szCs w:val="19"/>
        </w:rPr>
        <w:t>~6</w:t>
      </w:r>
      <w:r w:rsidR="00184505">
        <w:rPr>
          <w:rFonts w:ascii="Times New Roman" w:hAnsi="Times New Roman"/>
          <w:szCs w:val="19"/>
        </w:rPr>
        <w:t>6.</w:t>
      </w:r>
      <w:r w:rsidR="0064732F">
        <w:rPr>
          <w:rFonts w:ascii="Times New Roman" w:hAnsi="Times New Roman"/>
          <w:szCs w:val="19"/>
        </w:rPr>
        <w:t>5</w:t>
      </w:r>
      <w:r w:rsidR="00B828EC" w:rsidRPr="00B828EC">
        <w:rPr>
          <w:rFonts w:ascii="Times New Roman" w:hAnsi="Times New Roman"/>
          <w:szCs w:val="19"/>
        </w:rPr>
        <w:t xml:space="preserve"> </w:t>
      </w:r>
      <w:proofErr w:type="spellStart"/>
      <w:r w:rsidR="00B828EC" w:rsidRPr="00B828EC">
        <w:rPr>
          <w:rFonts w:ascii="Times New Roman" w:hAnsi="Times New Roman"/>
          <w:szCs w:val="19"/>
        </w:rPr>
        <w:t>kDa</w:t>
      </w:r>
      <w:proofErr w:type="spellEnd"/>
      <w:r w:rsidR="003F30B0">
        <w:rPr>
          <w:rFonts w:ascii="Times New Roman" w:hAnsi="Times New Roman"/>
          <w:szCs w:val="19"/>
        </w:rPr>
        <w:t>,</w:t>
      </w:r>
      <w:r w:rsidR="00A90984">
        <w:rPr>
          <w:rFonts w:ascii="Times New Roman" w:hAnsi="Times New Roman"/>
          <w:szCs w:val="19"/>
        </w:rPr>
        <w:t xml:space="preserve"> </w:t>
      </w:r>
      <w:r w:rsidR="003F30B0">
        <w:rPr>
          <w:rFonts w:ascii="Times New Roman" w:hAnsi="Times New Roman"/>
          <w:szCs w:val="19"/>
        </w:rPr>
        <w:t>c</w:t>
      </w:r>
      <w:r w:rsidR="0014710B">
        <w:rPr>
          <w:rFonts w:ascii="Times New Roman" w:hAnsi="Times New Roman"/>
          <w:szCs w:val="19"/>
        </w:rPr>
        <w:t>ongruent</w:t>
      </w:r>
      <w:r w:rsidR="00B60DE3">
        <w:rPr>
          <w:rFonts w:ascii="Times New Roman" w:hAnsi="Times New Roman"/>
          <w:szCs w:val="19"/>
        </w:rPr>
        <w:t xml:space="preserve"> with our MS findings </w:t>
      </w:r>
      <w:r w:rsidR="00FD09EF" w:rsidRPr="00FD09EF">
        <w:rPr>
          <w:rFonts w:ascii="Times New Roman" w:hAnsi="Times New Roman"/>
          <w:szCs w:val="19"/>
        </w:rPr>
        <w:t>(</w:t>
      </w:r>
      <w:r w:rsidR="00FD09EF">
        <w:rPr>
          <w:rFonts w:ascii="Times New Roman" w:hAnsi="Times New Roman"/>
          <w:szCs w:val="19"/>
        </w:rPr>
        <w:t>shown in Table S6</w:t>
      </w:r>
      <w:r w:rsidR="00FD09EF" w:rsidRPr="00FD09EF">
        <w:rPr>
          <w:rFonts w:ascii="Times New Roman" w:hAnsi="Times New Roman"/>
          <w:szCs w:val="19"/>
        </w:rPr>
        <w:t>)</w:t>
      </w:r>
      <w:r w:rsidR="00A90984">
        <w:rPr>
          <w:rFonts w:ascii="Times New Roman" w:hAnsi="Times New Roman"/>
          <w:szCs w:val="19"/>
        </w:rPr>
        <w:t>.</w:t>
      </w:r>
      <w:r w:rsidR="00B828EC">
        <w:rPr>
          <w:rFonts w:ascii="Times New Roman" w:hAnsi="Times New Roman"/>
          <w:szCs w:val="19"/>
        </w:rPr>
        <w:t xml:space="preserve"> </w:t>
      </w:r>
      <w:r w:rsidR="00AA0559">
        <w:rPr>
          <w:rFonts w:ascii="Times New Roman" w:hAnsi="Times New Roman"/>
          <w:szCs w:val="19"/>
        </w:rPr>
        <w:t>Albumin has</w:t>
      </w:r>
      <w:r w:rsidR="00B828EC">
        <w:rPr>
          <w:rFonts w:ascii="Times New Roman" w:hAnsi="Times New Roman"/>
          <w:szCs w:val="19"/>
        </w:rPr>
        <w:t xml:space="preserve"> </w:t>
      </w:r>
      <w:r w:rsidR="00A90984" w:rsidRPr="00A90984">
        <w:rPr>
          <w:rFonts w:ascii="Times New Roman" w:hAnsi="Times New Roman"/>
          <w:szCs w:val="19"/>
        </w:rPr>
        <w:t xml:space="preserve">59 </w:t>
      </w:r>
      <w:r w:rsidR="0005040A">
        <w:rPr>
          <w:rFonts w:ascii="Times New Roman" w:hAnsi="Times New Roman"/>
          <w:szCs w:val="19"/>
        </w:rPr>
        <w:t>Lys</w:t>
      </w:r>
      <w:r w:rsidR="00A90984">
        <w:rPr>
          <w:rFonts w:ascii="Times New Roman" w:hAnsi="Times New Roman"/>
          <w:szCs w:val="19"/>
        </w:rPr>
        <w:t xml:space="preserve">, 23 </w:t>
      </w:r>
      <w:proofErr w:type="spellStart"/>
      <w:r w:rsidR="00AA0559">
        <w:rPr>
          <w:rFonts w:ascii="Times New Roman" w:hAnsi="Times New Roman"/>
          <w:szCs w:val="19"/>
        </w:rPr>
        <w:t>Arg</w:t>
      </w:r>
      <w:proofErr w:type="spellEnd"/>
      <w:r w:rsidR="00AA0559">
        <w:rPr>
          <w:rFonts w:ascii="Times New Roman" w:hAnsi="Times New Roman"/>
          <w:szCs w:val="19"/>
        </w:rPr>
        <w:t xml:space="preserve"> and</w:t>
      </w:r>
      <w:r w:rsidR="00A90984">
        <w:rPr>
          <w:rFonts w:ascii="Times New Roman" w:hAnsi="Times New Roman"/>
          <w:szCs w:val="19"/>
        </w:rPr>
        <w:t xml:space="preserve"> </w:t>
      </w:r>
      <w:r w:rsidR="00A90984" w:rsidRPr="00A90984">
        <w:rPr>
          <w:rFonts w:ascii="Times New Roman" w:hAnsi="Times New Roman"/>
          <w:szCs w:val="19"/>
        </w:rPr>
        <w:t>the N-terminal amine</w:t>
      </w:r>
      <w:r w:rsidR="00A90984">
        <w:rPr>
          <w:rFonts w:ascii="Times New Roman" w:hAnsi="Times New Roman"/>
          <w:szCs w:val="19"/>
        </w:rPr>
        <w:t xml:space="preserve"> that </w:t>
      </w:r>
      <w:r w:rsidR="00246B3B">
        <w:rPr>
          <w:rFonts w:ascii="Times New Roman" w:hAnsi="Times New Roman"/>
          <w:szCs w:val="19"/>
        </w:rPr>
        <w:t>can</w:t>
      </w:r>
      <w:r w:rsidR="00A90984">
        <w:rPr>
          <w:rFonts w:ascii="Times New Roman" w:hAnsi="Times New Roman"/>
          <w:szCs w:val="19"/>
        </w:rPr>
        <w:t xml:space="preserve"> </w:t>
      </w:r>
      <w:r w:rsidR="00AA0559">
        <w:rPr>
          <w:rFonts w:ascii="Times New Roman" w:hAnsi="Times New Roman"/>
          <w:szCs w:val="19"/>
        </w:rPr>
        <w:t xml:space="preserve">potentially </w:t>
      </w:r>
      <w:r w:rsidR="003F30B0">
        <w:rPr>
          <w:rFonts w:ascii="Times New Roman" w:hAnsi="Times New Roman"/>
          <w:szCs w:val="19"/>
        </w:rPr>
        <w:t>be</w:t>
      </w:r>
      <w:r w:rsidR="00A90984">
        <w:rPr>
          <w:rFonts w:ascii="Times New Roman" w:hAnsi="Times New Roman"/>
          <w:szCs w:val="19"/>
        </w:rPr>
        <w:t xml:space="preserve"> glycated. </w:t>
      </w:r>
      <w:r w:rsidR="00AA0559">
        <w:rPr>
          <w:rFonts w:ascii="Times New Roman" w:hAnsi="Times New Roman"/>
          <w:szCs w:val="19"/>
        </w:rPr>
        <w:t>Lys side chains</w:t>
      </w:r>
      <w:r w:rsidR="00A90984">
        <w:rPr>
          <w:rFonts w:ascii="Times New Roman" w:hAnsi="Times New Roman"/>
          <w:szCs w:val="19"/>
        </w:rPr>
        <w:t xml:space="preserve"> are the most </w:t>
      </w:r>
      <w:r w:rsidR="00E569E6">
        <w:rPr>
          <w:rFonts w:ascii="Times New Roman" w:hAnsi="Times New Roman"/>
          <w:szCs w:val="19"/>
        </w:rPr>
        <w:t>susceptible</w:t>
      </w:r>
      <w:r w:rsidR="00A90984">
        <w:rPr>
          <w:rFonts w:ascii="Times New Roman" w:hAnsi="Times New Roman"/>
          <w:szCs w:val="19"/>
        </w:rPr>
        <w:t xml:space="preserve"> to</w:t>
      </w:r>
      <w:r w:rsidR="00E569E6">
        <w:rPr>
          <w:rFonts w:ascii="Times New Roman" w:hAnsi="Times New Roman"/>
          <w:szCs w:val="19"/>
        </w:rPr>
        <w:t xml:space="preserve"> be</w:t>
      </w:r>
      <w:r w:rsidR="00A90984">
        <w:rPr>
          <w:rFonts w:ascii="Times New Roman" w:hAnsi="Times New Roman"/>
          <w:szCs w:val="19"/>
        </w:rPr>
        <w:t xml:space="preserve"> </w:t>
      </w:r>
      <w:r w:rsidR="00E569E6">
        <w:rPr>
          <w:rFonts w:ascii="Times New Roman" w:hAnsi="Times New Roman"/>
          <w:szCs w:val="19"/>
        </w:rPr>
        <w:t>glycated</w:t>
      </w:r>
      <w:r w:rsidR="00A90984">
        <w:rPr>
          <w:rFonts w:ascii="Times New Roman" w:hAnsi="Times New Roman"/>
          <w:szCs w:val="19"/>
        </w:rPr>
        <w:t>.</w:t>
      </w:r>
      <w:r w:rsidR="006F5D32">
        <w:rPr>
          <w:rFonts w:ascii="Times New Roman" w:hAnsi="Times New Roman"/>
          <w:szCs w:val="19"/>
        </w:rPr>
        <w:fldChar w:fldCharType="begin" w:fldLock="1"/>
      </w:r>
      <w:r w:rsidR="006F5D32">
        <w:rPr>
          <w:rFonts w:ascii="Times New Roman" w:hAnsi="Times New Roman"/>
          <w:szCs w:val="19"/>
        </w:rPr>
        <w:instrText>ADDIN CSL_CITATION {"citationItems":[{"id":"ITEM-1","itemData":{"DOI":"10.3233/DMA-2011-0791","ISSN":"1875-8630","PMID":"21725160","abstract":"Nonenzymatic glycosylation or glycation of macromolecules, especially proteins leading to their oxidation, play an important role in diseases. Glycation of proteins primarily results in the formation of an early stage and stable Amadori-lysine product which undergo further irreversible chemical reactions to form advanced glycation endproducts (AGEs). This review focuses these products in lysine rich proteins such as collagen and human serum albumin for their role in aging and age-related diseases. Antigenic characteristics of glycated lysine residues in proteins together with the presence of serum autoantibodies to the glycated lysine products and lysine-rich proteins in diabetes and arthritis patients indicates that these modified lysine residues may be a novel biomarker for protein glycation in aging and age-related diseases.","author":[{"dropping-particle":"","family":"Ansari","given":"Nadeem A","non-dropping-particle":"","parse-names":false,"suffix":""},{"dropping-particle":"","family":"Moinuddin","given":"","non-dropping-particle":"","parse-names":false,"suffix":""},{"dropping-particle":"","family":"Ali","given":"Rashid","non-dropping-particle":"","parse-names":false,"suffix":""}],"container-title":"Disease markers","id":"ITEM-1","issue":"6","issued":{"date-parts":[["2011"]]},"page":"317-24","publisher":"Hindawi","title":"Glycated lysine residues: a marker for non-enzymatic protein glycation in age-related diseases.","type":"article-journal","volume":"30"},"uris":["http://www.mendeley.com/documents/?uuid=f5bd89fd-6127-3f1c-8f4b-39db85aa6cc3"]}],"mendeley":{"formattedCitation":"&lt;sup&gt;34&lt;/sup&gt;","plainTextFormattedCitation":"34","previouslyFormattedCitation":"&lt;sup&gt;34&lt;/sup&gt;"},"properties":{"noteIndex":0},"schema":"https://github.com/citation-style-language/schema/raw/master/csl-citation.json"}</w:instrText>
      </w:r>
      <w:r w:rsidR="006F5D32">
        <w:rPr>
          <w:rFonts w:ascii="Times New Roman" w:hAnsi="Times New Roman"/>
          <w:szCs w:val="19"/>
        </w:rPr>
        <w:fldChar w:fldCharType="separate"/>
      </w:r>
      <w:r w:rsidR="006F5D32" w:rsidRPr="00375CAA">
        <w:rPr>
          <w:rFonts w:ascii="Times New Roman" w:hAnsi="Times New Roman"/>
          <w:noProof/>
          <w:szCs w:val="19"/>
          <w:vertAlign w:val="superscript"/>
        </w:rPr>
        <w:t>34</w:t>
      </w:r>
      <w:r w:rsidR="006F5D32">
        <w:rPr>
          <w:rFonts w:ascii="Times New Roman" w:hAnsi="Times New Roman"/>
          <w:szCs w:val="19"/>
        </w:rPr>
        <w:fldChar w:fldCharType="end"/>
      </w:r>
      <w:r w:rsidR="00A90984">
        <w:rPr>
          <w:rFonts w:ascii="Times New Roman" w:hAnsi="Times New Roman"/>
          <w:szCs w:val="19"/>
        </w:rPr>
        <w:t xml:space="preserve"> Peptide mapping is</w:t>
      </w:r>
      <w:r w:rsidR="00E569E6">
        <w:rPr>
          <w:rFonts w:ascii="Times New Roman" w:hAnsi="Times New Roman"/>
          <w:szCs w:val="19"/>
        </w:rPr>
        <w:t xml:space="preserve"> often</w:t>
      </w:r>
      <w:r w:rsidR="00A90984">
        <w:rPr>
          <w:rFonts w:ascii="Times New Roman" w:hAnsi="Times New Roman"/>
          <w:szCs w:val="19"/>
        </w:rPr>
        <w:t xml:space="preserve"> used to quantify and </w:t>
      </w:r>
      <w:r w:rsidR="00E569E6">
        <w:rPr>
          <w:rFonts w:ascii="Times New Roman" w:hAnsi="Times New Roman"/>
          <w:szCs w:val="19"/>
        </w:rPr>
        <w:t>identify</w:t>
      </w:r>
      <w:r w:rsidR="00A90984">
        <w:rPr>
          <w:rFonts w:ascii="Times New Roman" w:hAnsi="Times New Roman"/>
          <w:szCs w:val="19"/>
        </w:rPr>
        <w:t xml:space="preserve"> the </w:t>
      </w:r>
      <w:r w:rsidR="00E569E6">
        <w:rPr>
          <w:rFonts w:ascii="Times New Roman" w:hAnsi="Times New Roman"/>
          <w:szCs w:val="19"/>
        </w:rPr>
        <w:t>glycation</w:t>
      </w:r>
      <w:r w:rsidR="00A90984">
        <w:rPr>
          <w:rFonts w:ascii="Times New Roman" w:hAnsi="Times New Roman"/>
          <w:szCs w:val="19"/>
        </w:rPr>
        <w:t xml:space="preserve"> sites </w:t>
      </w:r>
      <w:r w:rsidR="00E569E6">
        <w:rPr>
          <w:rFonts w:ascii="Times New Roman" w:hAnsi="Times New Roman"/>
          <w:szCs w:val="19"/>
        </w:rPr>
        <w:t xml:space="preserve">with the number of glycation sites </w:t>
      </w:r>
      <w:r w:rsidR="0014710B">
        <w:rPr>
          <w:rFonts w:ascii="Times New Roman" w:hAnsi="Times New Roman"/>
          <w:szCs w:val="19"/>
        </w:rPr>
        <w:t>dependent</w:t>
      </w:r>
      <w:r w:rsidR="00B60DE3">
        <w:rPr>
          <w:rFonts w:ascii="Times New Roman" w:hAnsi="Times New Roman"/>
          <w:szCs w:val="19"/>
        </w:rPr>
        <w:t xml:space="preserve"> up</w:t>
      </w:r>
      <w:r w:rsidR="00E569E6">
        <w:rPr>
          <w:rFonts w:ascii="Times New Roman" w:hAnsi="Times New Roman"/>
          <w:szCs w:val="19"/>
        </w:rPr>
        <w:t xml:space="preserve">on the method of glycation used. Albumin is </w:t>
      </w:r>
      <w:r w:rsidR="00F142D3">
        <w:rPr>
          <w:rFonts w:ascii="Times New Roman" w:hAnsi="Times New Roman"/>
          <w:szCs w:val="19"/>
        </w:rPr>
        <w:t>usually</w:t>
      </w:r>
      <w:r w:rsidR="00E569E6">
        <w:rPr>
          <w:rFonts w:ascii="Times New Roman" w:hAnsi="Times New Roman"/>
          <w:szCs w:val="19"/>
        </w:rPr>
        <w:t xml:space="preserve"> reported to have higher </w:t>
      </w:r>
      <w:r w:rsidR="00F142D3">
        <w:rPr>
          <w:rFonts w:ascii="Times New Roman" w:hAnsi="Times New Roman"/>
          <w:szCs w:val="19"/>
        </w:rPr>
        <w:t>levels of</w:t>
      </w:r>
      <w:r w:rsidR="00111BC2">
        <w:rPr>
          <w:rFonts w:ascii="Times New Roman" w:hAnsi="Times New Roman"/>
          <w:szCs w:val="19"/>
        </w:rPr>
        <w:t xml:space="preserve"> </w:t>
      </w:r>
      <w:r w:rsidR="006D584B">
        <w:rPr>
          <w:rFonts w:ascii="Times New Roman" w:hAnsi="Times New Roman"/>
          <w:szCs w:val="19"/>
        </w:rPr>
        <w:t>glycation</w:t>
      </w:r>
      <w:r w:rsidR="0014710B">
        <w:rPr>
          <w:rFonts w:ascii="Times New Roman" w:hAnsi="Times New Roman"/>
          <w:szCs w:val="19"/>
        </w:rPr>
        <w:t xml:space="preserve"> than lysozyme</w:t>
      </w:r>
      <w:r w:rsidR="006D584B">
        <w:rPr>
          <w:rFonts w:ascii="Times New Roman" w:hAnsi="Times New Roman"/>
          <w:szCs w:val="19"/>
        </w:rPr>
        <w:t xml:space="preserve">. </w:t>
      </w:r>
      <w:r w:rsidR="00F142D3">
        <w:rPr>
          <w:rFonts w:ascii="Times New Roman" w:hAnsi="Times New Roman"/>
          <w:szCs w:val="19"/>
        </w:rPr>
        <w:t>Bovine</w:t>
      </w:r>
      <w:r w:rsidR="006D584B">
        <w:rPr>
          <w:rFonts w:ascii="Times New Roman" w:hAnsi="Times New Roman"/>
          <w:szCs w:val="19"/>
        </w:rPr>
        <w:t xml:space="preserve"> serum</w:t>
      </w:r>
      <w:r w:rsidR="00F142D3">
        <w:rPr>
          <w:rFonts w:ascii="Times New Roman" w:hAnsi="Times New Roman"/>
          <w:szCs w:val="19"/>
        </w:rPr>
        <w:t xml:space="preserve"> albumin</w:t>
      </w:r>
      <w:r w:rsidR="006D584B">
        <w:rPr>
          <w:rFonts w:ascii="Times New Roman" w:hAnsi="Times New Roman"/>
          <w:szCs w:val="19"/>
        </w:rPr>
        <w:t xml:space="preserve"> </w:t>
      </w:r>
      <w:r w:rsidR="00F142D3">
        <w:rPr>
          <w:rFonts w:ascii="Times New Roman" w:hAnsi="Times New Roman"/>
          <w:szCs w:val="19"/>
        </w:rPr>
        <w:t>incubated</w:t>
      </w:r>
      <w:r w:rsidR="006D584B">
        <w:rPr>
          <w:rFonts w:ascii="Times New Roman" w:hAnsi="Times New Roman"/>
          <w:szCs w:val="19"/>
        </w:rPr>
        <w:t xml:space="preserve"> with </w:t>
      </w:r>
      <w:r w:rsidR="00F142D3">
        <w:rPr>
          <w:rFonts w:ascii="Times New Roman" w:hAnsi="Times New Roman"/>
          <w:szCs w:val="19"/>
        </w:rPr>
        <w:t>glucose</w:t>
      </w:r>
      <w:r w:rsidR="006D584B">
        <w:rPr>
          <w:rFonts w:ascii="Times New Roman" w:hAnsi="Times New Roman"/>
          <w:szCs w:val="19"/>
        </w:rPr>
        <w:t xml:space="preserve"> in a</w:t>
      </w:r>
      <w:r w:rsidR="00F142D3">
        <w:rPr>
          <w:rFonts w:ascii="Times New Roman" w:hAnsi="Times New Roman"/>
          <w:szCs w:val="19"/>
        </w:rPr>
        <w:t xml:space="preserve"> </w:t>
      </w:r>
      <w:r w:rsidR="006D584B">
        <w:rPr>
          <w:rFonts w:ascii="Times New Roman" w:hAnsi="Times New Roman"/>
          <w:szCs w:val="19"/>
        </w:rPr>
        <w:t xml:space="preserve">similar manner showed that up </w:t>
      </w:r>
      <w:r w:rsidR="00F142D3">
        <w:rPr>
          <w:rFonts w:ascii="Times New Roman" w:hAnsi="Times New Roman"/>
          <w:szCs w:val="19"/>
        </w:rPr>
        <w:t>to</w:t>
      </w:r>
      <w:r w:rsidR="006D584B">
        <w:rPr>
          <w:rFonts w:ascii="Times New Roman" w:hAnsi="Times New Roman"/>
          <w:szCs w:val="19"/>
        </w:rPr>
        <w:t xml:space="preserve"> 48 glucose</w:t>
      </w:r>
      <w:r w:rsidR="003F30B0">
        <w:rPr>
          <w:rFonts w:ascii="Times New Roman" w:hAnsi="Times New Roman"/>
          <w:szCs w:val="19"/>
        </w:rPr>
        <w:t xml:space="preserve"> molecules</w:t>
      </w:r>
      <w:r w:rsidR="006D584B">
        <w:rPr>
          <w:rFonts w:ascii="Times New Roman" w:hAnsi="Times New Roman"/>
          <w:szCs w:val="19"/>
        </w:rPr>
        <w:t xml:space="preserve"> had bound to the protein.</w:t>
      </w:r>
      <w:r w:rsidR="006F5D32">
        <w:rPr>
          <w:rFonts w:ascii="Times New Roman" w:hAnsi="Times New Roman"/>
          <w:szCs w:val="19"/>
        </w:rPr>
        <w:fldChar w:fldCharType="begin" w:fldLock="1"/>
      </w:r>
      <w:r w:rsidR="006F5D32">
        <w:rPr>
          <w:rFonts w:ascii="Times New Roman" w:hAnsi="Times New Roman"/>
          <w:szCs w:val="19"/>
        </w:rPr>
        <w:instrText>ADDIN CSL_CITATION {"citationItems":[{"id":"ITEM-1","itemData":{"DOI":"10.1093/glycob/cwn034","ISSN":"0959-6658","author":[{"dropping-particle":"","family":"Rubio-Ruiz","given":"M. E.","non-dropping-particle":"","parse-names":false,"suffix":""},{"dropping-particle":"","family":"Diaz-Diaz","given":"E.","non-dropping-particle":"","parse-names":false,"suffix":""},{"dropping-particle":"","family":"Cardenas-Leon","given":"M.","non-dropping-particle":"","parse-names":false,"suffix":""},{"dropping-particle":"","family":"Arguelles-Medina","given":"R.","non-dropping-particle":"","parse-names":false,"suffix":""},{"dropping-particle":"","family":"Sanchez-Canales","given":"P.","non-dropping-particle":"","parse-names":false,"suffix":""},{"dropping-particle":"","family":"Larrea-Gallo","given":"F.","non-dropping-particle":"","parse-names":false,"suffix":""},{"dropping-particle":"","family":"Soria-Castro","given":"E.","non-dropping-particle":"","parse-names":false,"suffix":""},{"dropping-particle":"","family":"Guarner-Lans","given":"V.","non-dropping-particle":"","parse-names":false,"suffix":""}],"container-title":"Glycobiology","id":"ITEM-1","issue":"7","issued":{"date-parts":[["2008","4","9"]]},"page":"517-525","publisher":"Narnia","title":"Glycation does not modify bovine serum albumin (BSA)-induced reduction of rat aortic relaxation: The response to glycated and nonglycated BSA is lost in metabolic syndrome","type":"article-journal","volume":"18"},"uris":["http://www.mendeley.com/documents/?uuid=7f263712-ed1b-3639-833f-12cbe35f1b33"]}],"mendeley":{"formattedCitation":"&lt;sup&gt;35&lt;/sup&gt;","plainTextFormattedCitation":"35","previouslyFormattedCitation":"&lt;sup&gt;35&lt;/sup&gt;"},"properties":{"noteIndex":0},"schema":"https://github.com/citation-style-language/schema/raw/master/csl-citation.json"}</w:instrText>
      </w:r>
      <w:r w:rsidR="006F5D32">
        <w:rPr>
          <w:rFonts w:ascii="Times New Roman" w:hAnsi="Times New Roman"/>
          <w:szCs w:val="19"/>
        </w:rPr>
        <w:fldChar w:fldCharType="separate"/>
      </w:r>
      <w:r w:rsidR="006F5D32" w:rsidRPr="00375CAA">
        <w:rPr>
          <w:rFonts w:ascii="Times New Roman" w:hAnsi="Times New Roman"/>
          <w:noProof/>
          <w:szCs w:val="19"/>
          <w:vertAlign w:val="superscript"/>
        </w:rPr>
        <w:t>35</w:t>
      </w:r>
      <w:r w:rsidR="006F5D32">
        <w:rPr>
          <w:rFonts w:ascii="Times New Roman" w:hAnsi="Times New Roman"/>
          <w:szCs w:val="19"/>
        </w:rPr>
        <w:fldChar w:fldCharType="end"/>
      </w:r>
      <w:r w:rsidR="006D584B">
        <w:rPr>
          <w:rFonts w:ascii="Times New Roman" w:hAnsi="Times New Roman"/>
          <w:szCs w:val="19"/>
        </w:rPr>
        <w:t xml:space="preserve"> </w:t>
      </w:r>
      <w:r w:rsidR="00D46B69">
        <w:rPr>
          <w:rFonts w:ascii="Times New Roman" w:hAnsi="Times New Roman"/>
          <w:szCs w:val="19"/>
        </w:rPr>
        <w:t xml:space="preserve"> Increasing the temperature can push this number up to ~57.</w:t>
      </w:r>
      <w:r w:rsidR="006F5D32">
        <w:rPr>
          <w:rFonts w:ascii="Times New Roman" w:hAnsi="Times New Roman"/>
          <w:szCs w:val="19"/>
        </w:rPr>
        <w:fldChar w:fldCharType="begin" w:fldLock="1"/>
      </w:r>
      <w:r w:rsidR="006F5D32">
        <w:rPr>
          <w:rFonts w:ascii="Times New Roman" w:hAnsi="Times New Roman"/>
          <w:szCs w:val="19"/>
        </w:rPr>
        <w:instrText xml:space="preserve">ADDIN CSL_CITATION {"citationItems":[{"id":"ITEM-1","itemData":{"DOI":"10.1016/J.IJMS.2006.07.005","ISSN":"1387-3806","abstract":"Non-enzymatic glycation of proteins with the reducing agent glucose is implicated to be responsible for diabetes-derived complications, food browning, and aging. However, the non-enzymatic glycation process of peptides/proteins is not well understood and further research is needed to gain an understanding of the underlying principles involved in diabetes-related complications. In this study, matrix-assisted laser desorption/ionization time-of-flight mass spectrometry is used to analyze the in vitro glycation of peptides/proteins. In addition to the physiological conditions, harsh conditions (higher concentration of glucose, higher or lower pH, and higher temperature) are also used in this study. Peptides/proteins are reacted with glucose for up to 120h at 4°C, 37°C, or 65°C. Single and/or multiple glycations are observed using broad pH conditions (from 10% TFA with pKa of 0.5 to pH 10) at various glucose concentrations (from 0.01M to 1M). Data suggest that glucose reacts readily with both peptides and proteins, and the efficiency of the glycation increases with higher temperature, higher pH, higher glucose concentration, or longer incubation time. However, influence of the buffer pH on the efficiency of the glycation of peptides is less pronounced compared to that of proteins. This effect could result from denaturation of proteins at higher pH and the resultant exposure of potential glycation sites. This data could lead to the inference that the glycation process of peptides/proteins would occur but proceed very slowly under the diabetes conditions in vivo (37°C, </w:instrText>
      </w:r>
      <w:r w:rsidR="006F5D32">
        <w:rPr>
          <w:rFonts w:ascii="Cambria Math" w:hAnsi="Cambria Math" w:cs="Cambria Math"/>
          <w:szCs w:val="19"/>
        </w:rPr>
        <w:instrText>∼</w:instrText>
      </w:r>
      <w:r w:rsidR="006F5D32">
        <w:rPr>
          <w:rFonts w:ascii="Times New Roman" w:hAnsi="Times New Roman"/>
          <w:szCs w:val="19"/>
        </w:rPr>
        <w:instrText xml:space="preserve">neutral pH, </w:instrText>
      </w:r>
      <w:r w:rsidR="006F5D32">
        <w:rPr>
          <w:rFonts w:ascii="Cambria Math" w:hAnsi="Cambria Math" w:cs="Cambria Math"/>
          <w:szCs w:val="19"/>
        </w:rPr>
        <w:instrText>∼</w:instrText>
      </w:r>
      <w:r w:rsidR="006F5D32">
        <w:rPr>
          <w:rFonts w:ascii="Times New Roman" w:hAnsi="Times New Roman"/>
          <w:szCs w:val="19"/>
        </w:rPr>
        <w:instrText>0.007M glucose). Postsource decay and MS/MS results of singly glycated angiotensin I, P14R (PPPPPPPPPPPPPPR), and human adrenocorticotropic hormone (ATCH) fragments 1–13 indicate that glucose reacts with the amino group of the N-terminal of ATCH 1–13 and the guanidino group of the arginine residue of both angiotensin I and P14R.","author":[{"dropping-particle":"","family":"Lee","given":"Bao-Shiang","non-dropping-particle":"","parse-names":false,"suffix":""},{"dropping-particle":"","family":"Krishnanchettiar","given":"Sangeeth","non-dropping-particle":"","parse-names":false,"suffix":""},{"dropping-particle":"","family":"Lateef","given":"Syed Salman","non-dropping-particle":"","parse-names":false,"suffix":""},{"dropping-particle":"","family":"Gupta","given":"Shalini","non-dropping-particle":"","parse-names":false,"suffix":""}],"container-title":"International Journal of Mass Spectrometry","id":"ITEM-1","issue":"1","issued":{"date-parts":[["2007","1","15"]]},"page":"67-74","publisher":"Elsevier","title":"Analyses of the in vitro non-enzymatic glycation of peptides/proteins by matrix-assisted laser desorption/ionization mass spectrometry","type":"article-journal","volume":"260"},"uris":["http://www.mendeley.com/documents/?uuid=d8cb0e7d-3ebf-3ef3-b063-a215f0ecc53c"]}],"mendeley":{"formattedCitation":"&lt;sup&gt;36&lt;/sup&gt;","plainTextFormattedCitation":"36","previouslyFormattedCitation":"&lt;sup&gt;36&lt;/sup&gt;"},"properties":{"noteIndex":0},"schema":"https://github.com/citation-style-language/schema/raw/master/csl-citation.json"}</w:instrText>
      </w:r>
      <w:r w:rsidR="006F5D32">
        <w:rPr>
          <w:rFonts w:ascii="Times New Roman" w:hAnsi="Times New Roman"/>
          <w:szCs w:val="19"/>
        </w:rPr>
        <w:fldChar w:fldCharType="separate"/>
      </w:r>
      <w:r w:rsidR="006F5D32" w:rsidRPr="00375CAA">
        <w:rPr>
          <w:rFonts w:ascii="Times New Roman" w:hAnsi="Times New Roman"/>
          <w:noProof/>
          <w:szCs w:val="19"/>
          <w:vertAlign w:val="superscript"/>
        </w:rPr>
        <w:t>36</w:t>
      </w:r>
      <w:r w:rsidR="006F5D32">
        <w:rPr>
          <w:rFonts w:ascii="Times New Roman" w:hAnsi="Times New Roman"/>
          <w:szCs w:val="19"/>
        </w:rPr>
        <w:fldChar w:fldCharType="end"/>
      </w:r>
      <w:r w:rsidR="00D46B69">
        <w:rPr>
          <w:rFonts w:ascii="Times New Roman" w:hAnsi="Times New Roman"/>
          <w:szCs w:val="19"/>
        </w:rPr>
        <w:t xml:space="preserve"> </w:t>
      </w:r>
      <w:r w:rsidR="00F142D3">
        <w:rPr>
          <w:rFonts w:ascii="Times New Roman" w:hAnsi="Times New Roman"/>
          <w:szCs w:val="19"/>
        </w:rPr>
        <w:t>Quantification</w:t>
      </w:r>
      <w:r w:rsidR="006D584B">
        <w:rPr>
          <w:rFonts w:ascii="Times New Roman" w:hAnsi="Times New Roman"/>
          <w:szCs w:val="19"/>
        </w:rPr>
        <w:t xml:space="preserve"> of </w:t>
      </w:r>
      <w:r w:rsidR="009C13C4">
        <w:rPr>
          <w:rFonts w:ascii="Times New Roman" w:hAnsi="Times New Roman"/>
          <w:szCs w:val="19"/>
        </w:rPr>
        <w:t>human serum albumin (</w:t>
      </w:r>
      <w:r w:rsidR="006D584B">
        <w:rPr>
          <w:rFonts w:ascii="Times New Roman" w:hAnsi="Times New Roman"/>
          <w:szCs w:val="19"/>
        </w:rPr>
        <w:t>HSA</w:t>
      </w:r>
      <w:r w:rsidR="009C13C4">
        <w:rPr>
          <w:rFonts w:ascii="Times New Roman" w:hAnsi="Times New Roman"/>
          <w:szCs w:val="19"/>
        </w:rPr>
        <w:t>)</w:t>
      </w:r>
      <w:r w:rsidR="006D584B">
        <w:rPr>
          <w:rFonts w:ascii="Times New Roman" w:hAnsi="Times New Roman"/>
          <w:szCs w:val="19"/>
        </w:rPr>
        <w:t xml:space="preserve"> from diabetic patients has found up to </w:t>
      </w:r>
      <w:r w:rsidR="006D584B">
        <w:rPr>
          <w:rFonts w:ascii="Times New Roman" w:hAnsi="Times New Roman"/>
          <w:szCs w:val="19"/>
        </w:rPr>
        <w:lastRenderedPageBreak/>
        <w:t xml:space="preserve">15 </w:t>
      </w:r>
      <w:r w:rsidR="001604FE">
        <w:rPr>
          <w:rFonts w:ascii="Times New Roman" w:hAnsi="Times New Roman"/>
          <w:szCs w:val="19"/>
        </w:rPr>
        <w:t>Lys</w:t>
      </w:r>
      <w:r w:rsidR="006D584B">
        <w:rPr>
          <w:rFonts w:ascii="Times New Roman" w:hAnsi="Times New Roman"/>
          <w:szCs w:val="19"/>
        </w:rPr>
        <w:t xml:space="preserve"> residues with </w:t>
      </w:r>
      <w:r w:rsidR="00F142D3">
        <w:rPr>
          <w:rFonts w:ascii="Times New Roman" w:hAnsi="Times New Roman"/>
          <w:szCs w:val="19"/>
        </w:rPr>
        <w:t>glycation</w:t>
      </w:r>
      <w:r w:rsidR="006D584B">
        <w:rPr>
          <w:rFonts w:ascii="Times New Roman" w:hAnsi="Times New Roman"/>
          <w:szCs w:val="19"/>
        </w:rPr>
        <w:t>.</w:t>
      </w:r>
      <w:r w:rsidR="006F5D32">
        <w:rPr>
          <w:rFonts w:ascii="Times New Roman" w:hAnsi="Times New Roman"/>
          <w:szCs w:val="19"/>
        </w:rPr>
        <w:fldChar w:fldCharType="begin" w:fldLock="1"/>
      </w:r>
      <w:r w:rsidR="006F5D32">
        <w:rPr>
          <w:rFonts w:ascii="Times New Roman" w:hAnsi="Times New Roman"/>
          <w:szCs w:val="19"/>
        </w:rPr>
        <w:instrText>ADDIN CSL_CITATION {"citationItems":[{"id":"ITEM-1","itemData":{"DOI":"10.1007/s00216-010-3810-9","ISSN":"1618-2642","author":[{"dropping-particle":"","family":"Frolov","given":"Andrej","non-dropping-particle":"","parse-names":false,"suffix":""},{"dropping-particle":"","family":"Hoffmann","given":"Ralf","non-dropping-particle":"","parse-names":false,"suffix":""}],"container-title":"Analytical and Bioanalytical Chemistry","id":"ITEM-1","issue":"6","issued":{"date-parts":[["2010","7","22"]]},"page":"2349-2356","publisher":"Springer-Verlag","title":"Identification and relative quantification of specific glycation sites in human serum albumin","type":"article-journal","volume":"397"},"uris":["http://www.mendeley.com/documents/?uuid=e067c562-d48b-38c9-bdf2-d38abafc5a6c"]}],"mendeley":{"formattedCitation":"&lt;sup&gt;37&lt;/sup&gt;","plainTextFormattedCitation":"37","previouslyFormattedCitation":"&lt;sup&gt;37&lt;/sup&gt;"},"properties":{"noteIndex":0},"schema":"https://github.com/citation-style-language/schema/raw/master/csl-citation.json"}</w:instrText>
      </w:r>
      <w:r w:rsidR="006F5D32">
        <w:rPr>
          <w:rFonts w:ascii="Times New Roman" w:hAnsi="Times New Roman"/>
          <w:szCs w:val="19"/>
        </w:rPr>
        <w:fldChar w:fldCharType="separate"/>
      </w:r>
      <w:r w:rsidR="006F5D32" w:rsidRPr="00375CAA">
        <w:rPr>
          <w:rFonts w:ascii="Times New Roman" w:hAnsi="Times New Roman"/>
          <w:noProof/>
          <w:szCs w:val="19"/>
          <w:vertAlign w:val="superscript"/>
        </w:rPr>
        <w:t>37</w:t>
      </w:r>
      <w:r w:rsidR="006F5D32">
        <w:rPr>
          <w:rFonts w:ascii="Times New Roman" w:hAnsi="Times New Roman"/>
          <w:szCs w:val="19"/>
        </w:rPr>
        <w:fldChar w:fldCharType="end"/>
      </w:r>
      <w:r w:rsidR="006D584B">
        <w:rPr>
          <w:rFonts w:ascii="Times New Roman" w:hAnsi="Times New Roman"/>
          <w:szCs w:val="19"/>
        </w:rPr>
        <w:t xml:space="preserve"> Therefore albumin serves as model protein that is able to achieve </w:t>
      </w:r>
      <w:r w:rsidR="00F142D3">
        <w:rPr>
          <w:rFonts w:ascii="Times New Roman" w:hAnsi="Times New Roman"/>
          <w:szCs w:val="19"/>
        </w:rPr>
        <w:t>higher</w:t>
      </w:r>
      <w:r w:rsidR="006D584B">
        <w:rPr>
          <w:rFonts w:ascii="Times New Roman" w:hAnsi="Times New Roman"/>
          <w:szCs w:val="19"/>
        </w:rPr>
        <w:t xml:space="preserve"> levels of glycation tha</w:t>
      </w:r>
      <w:r w:rsidR="00B60DE3">
        <w:rPr>
          <w:rFonts w:ascii="Times New Roman" w:hAnsi="Times New Roman"/>
          <w:szCs w:val="19"/>
        </w:rPr>
        <w:t>n</w:t>
      </w:r>
      <w:r w:rsidR="006D584B">
        <w:rPr>
          <w:rFonts w:ascii="Times New Roman" w:hAnsi="Times New Roman"/>
          <w:szCs w:val="19"/>
        </w:rPr>
        <w:t xml:space="preserve"> that of </w:t>
      </w:r>
      <w:r w:rsidR="00F142D3">
        <w:rPr>
          <w:rFonts w:ascii="Times New Roman" w:hAnsi="Times New Roman"/>
          <w:szCs w:val="19"/>
        </w:rPr>
        <w:t>lysozyme</w:t>
      </w:r>
      <w:r w:rsidR="006D584B">
        <w:rPr>
          <w:rFonts w:ascii="Times New Roman" w:hAnsi="Times New Roman"/>
          <w:szCs w:val="19"/>
        </w:rPr>
        <w:t xml:space="preserve">. </w:t>
      </w:r>
      <w:r w:rsidR="009C13C4">
        <w:rPr>
          <w:rFonts w:ascii="Times New Roman" w:hAnsi="Times New Roman"/>
          <w:szCs w:val="19"/>
        </w:rPr>
        <w:t xml:space="preserve">Glycation levels of albumin are dependent on the conditions used to induce glucose binding.  </w:t>
      </w:r>
      <w:r w:rsidR="00B60DE3">
        <w:rPr>
          <w:rFonts w:ascii="Times New Roman" w:hAnsi="Times New Roman"/>
          <w:szCs w:val="19"/>
        </w:rPr>
        <w:t>From our MS analysis</w:t>
      </w:r>
      <w:r w:rsidR="00FD09EF">
        <w:rPr>
          <w:rFonts w:ascii="Times New Roman" w:hAnsi="Times New Roman"/>
          <w:szCs w:val="19"/>
        </w:rPr>
        <w:t xml:space="preserve"> </w:t>
      </w:r>
      <w:r w:rsidR="006C1485">
        <w:rPr>
          <w:rFonts w:ascii="Times New Roman" w:hAnsi="Times New Roman"/>
          <w:szCs w:val="19"/>
        </w:rPr>
        <w:t xml:space="preserve">we </w:t>
      </w:r>
      <w:r w:rsidR="00246B3B">
        <w:rPr>
          <w:rFonts w:ascii="Times New Roman" w:hAnsi="Times New Roman"/>
          <w:szCs w:val="19"/>
        </w:rPr>
        <w:t>can estimate that</w:t>
      </w:r>
      <w:r w:rsidR="00B60DE3">
        <w:rPr>
          <w:rFonts w:ascii="Times New Roman" w:hAnsi="Times New Roman"/>
          <w:szCs w:val="19"/>
        </w:rPr>
        <w:t xml:space="preserve"> 9-24 glucose molecules bound to albumin</w:t>
      </w:r>
      <w:r w:rsidR="00246B3B">
        <w:rPr>
          <w:rFonts w:ascii="Times New Roman" w:hAnsi="Times New Roman"/>
          <w:szCs w:val="19"/>
        </w:rPr>
        <w:t xml:space="preserve"> </w:t>
      </w:r>
      <w:r w:rsidR="00B60DE3">
        <w:rPr>
          <w:rFonts w:ascii="Times New Roman" w:hAnsi="Times New Roman"/>
          <w:szCs w:val="19"/>
        </w:rPr>
        <w:t>with the most prevalent number of glycations being</w:t>
      </w:r>
      <w:r w:rsidR="006C1485">
        <w:rPr>
          <w:rFonts w:ascii="Times New Roman" w:hAnsi="Times New Roman"/>
          <w:szCs w:val="19"/>
        </w:rPr>
        <w:t xml:space="preserve"> </w:t>
      </w:r>
      <w:r w:rsidR="009C13C4">
        <w:rPr>
          <w:rFonts w:ascii="Times New Roman" w:hAnsi="Times New Roman"/>
          <w:szCs w:val="19"/>
        </w:rPr>
        <w:t>17</w:t>
      </w:r>
      <w:r w:rsidR="006C1485">
        <w:rPr>
          <w:rFonts w:ascii="Times New Roman" w:hAnsi="Times New Roman"/>
          <w:szCs w:val="19"/>
        </w:rPr>
        <w:t xml:space="preserve"> </w:t>
      </w:r>
      <w:r w:rsidR="00B60DE3">
        <w:rPr>
          <w:rFonts w:ascii="Times New Roman" w:hAnsi="Times New Roman"/>
          <w:szCs w:val="19"/>
        </w:rPr>
        <w:t>under our experimental conditions (</w:t>
      </w:r>
      <w:r w:rsidR="00972A51">
        <w:rPr>
          <w:rFonts w:ascii="Times New Roman" w:hAnsi="Times New Roman"/>
          <w:szCs w:val="19"/>
        </w:rPr>
        <w:t xml:space="preserve">Figure S4 &amp; </w:t>
      </w:r>
      <w:r w:rsidR="006F5D32">
        <w:rPr>
          <w:rFonts w:ascii="Times New Roman" w:hAnsi="Times New Roman"/>
          <w:szCs w:val="19"/>
        </w:rPr>
        <w:t>Tables S5-</w:t>
      </w:r>
      <w:r w:rsidR="00B60DE3">
        <w:rPr>
          <w:rFonts w:ascii="Times New Roman" w:hAnsi="Times New Roman"/>
          <w:szCs w:val="19"/>
        </w:rPr>
        <w:t>S6)</w:t>
      </w:r>
      <w:r w:rsidR="006D584B">
        <w:rPr>
          <w:rFonts w:ascii="Times New Roman" w:hAnsi="Times New Roman"/>
          <w:szCs w:val="19"/>
        </w:rPr>
        <w:t>.</w:t>
      </w:r>
      <w:r w:rsidR="009C13C4">
        <w:rPr>
          <w:rFonts w:ascii="Times New Roman" w:hAnsi="Times New Roman"/>
          <w:szCs w:val="19"/>
        </w:rPr>
        <w:t xml:space="preserve"> </w:t>
      </w:r>
    </w:p>
    <w:p w14:paraId="0DAD50DF" w14:textId="01F762E8" w:rsidR="009E7B21" w:rsidRDefault="00E50650" w:rsidP="009B7933">
      <w:pPr>
        <w:spacing w:line="480" w:lineRule="auto"/>
        <w:rPr>
          <w:rFonts w:ascii="Times New Roman" w:hAnsi="Times New Roman"/>
          <w:szCs w:val="19"/>
        </w:rPr>
      </w:pPr>
      <w:r>
        <w:rPr>
          <w:rFonts w:ascii="Times New Roman" w:hAnsi="Times New Roman"/>
          <w:szCs w:val="19"/>
        </w:rPr>
        <w:t xml:space="preserve">Glycated and </w:t>
      </w:r>
      <w:r w:rsidR="00972A51">
        <w:rPr>
          <w:rFonts w:ascii="Times New Roman" w:hAnsi="Times New Roman"/>
          <w:szCs w:val="19"/>
        </w:rPr>
        <w:t xml:space="preserve">non-glycated </w:t>
      </w:r>
      <w:r>
        <w:rPr>
          <w:rFonts w:ascii="Times New Roman" w:hAnsi="Times New Roman"/>
          <w:szCs w:val="19"/>
        </w:rPr>
        <w:t>albumin were produced using identical methods to that of lysozyme</w:t>
      </w:r>
      <w:r w:rsidR="00D46B69">
        <w:rPr>
          <w:rFonts w:ascii="Times New Roman" w:hAnsi="Times New Roman"/>
          <w:szCs w:val="19"/>
        </w:rPr>
        <w:t xml:space="preserve"> detailed in the experimental section.</w:t>
      </w:r>
      <w:r>
        <w:rPr>
          <w:rFonts w:ascii="Times New Roman" w:hAnsi="Times New Roman"/>
          <w:szCs w:val="19"/>
        </w:rPr>
        <w:t xml:space="preserve"> </w:t>
      </w:r>
      <w:r w:rsidR="009E7B21">
        <w:rPr>
          <w:rFonts w:ascii="Times New Roman" w:hAnsi="Times New Roman"/>
          <w:szCs w:val="19"/>
        </w:rPr>
        <w:t xml:space="preserve">The inclusion of a further protein </w:t>
      </w:r>
      <w:r w:rsidR="00246B3B">
        <w:rPr>
          <w:rFonts w:ascii="Times New Roman" w:hAnsi="Times New Roman"/>
          <w:szCs w:val="19"/>
        </w:rPr>
        <w:t xml:space="preserve">that can become glycated and is of medical importance </w:t>
      </w:r>
      <w:r w:rsidR="009E7B21">
        <w:rPr>
          <w:rFonts w:ascii="Times New Roman" w:hAnsi="Times New Roman"/>
          <w:szCs w:val="19"/>
        </w:rPr>
        <w:t xml:space="preserve">was used to determine whether the </w:t>
      </w:r>
      <w:r w:rsidR="00246B3B">
        <w:rPr>
          <w:rFonts w:ascii="Times New Roman" w:hAnsi="Times New Roman"/>
          <w:szCs w:val="19"/>
        </w:rPr>
        <w:t xml:space="preserve">vibrational </w:t>
      </w:r>
      <w:r w:rsidR="009E7B21">
        <w:rPr>
          <w:rFonts w:ascii="Times New Roman" w:hAnsi="Times New Roman"/>
          <w:szCs w:val="19"/>
        </w:rPr>
        <w:t xml:space="preserve">bands identified </w:t>
      </w:r>
      <w:r w:rsidR="00B81112">
        <w:rPr>
          <w:rFonts w:ascii="Times New Roman" w:hAnsi="Times New Roman"/>
          <w:szCs w:val="19"/>
        </w:rPr>
        <w:t>originate</w:t>
      </w:r>
      <w:r w:rsidR="00246B3B">
        <w:rPr>
          <w:rFonts w:ascii="Times New Roman" w:hAnsi="Times New Roman"/>
          <w:szCs w:val="19"/>
        </w:rPr>
        <w:t>d</w:t>
      </w:r>
      <w:r w:rsidR="00B81112">
        <w:rPr>
          <w:rFonts w:ascii="Times New Roman" w:hAnsi="Times New Roman"/>
          <w:szCs w:val="19"/>
        </w:rPr>
        <w:t xml:space="preserve"> from</w:t>
      </w:r>
      <w:r w:rsidR="009E7B21">
        <w:rPr>
          <w:rFonts w:ascii="Times New Roman" w:hAnsi="Times New Roman"/>
          <w:szCs w:val="19"/>
        </w:rPr>
        <w:t xml:space="preserve"> bound glucose </w:t>
      </w:r>
      <w:r w:rsidR="00972A51">
        <w:rPr>
          <w:rFonts w:ascii="Times New Roman" w:hAnsi="Times New Roman"/>
          <w:szCs w:val="19"/>
        </w:rPr>
        <w:t xml:space="preserve">and </w:t>
      </w:r>
      <w:r w:rsidR="00246B3B">
        <w:rPr>
          <w:rFonts w:ascii="Times New Roman" w:hAnsi="Times New Roman"/>
          <w:szCs w:val="19"/>
        </w:rPr>
        <w:t xml:space="preserve">could be translated </w:t>
      </w:r>
      <w:r w:rsidR="009E7B21">
        <w:rPr>
          <w:rFonts w:ascii="Times New Roman" w:hAnsi="Times New Roman"/>
          <w:szCs w:val="19"/>
        </w:rPr>
        <w:t xml:space="preserve">to other proteins.  </w:t>
      </w:r>
    </w:p>
    <w:p w14:paraId="246EF257" w14:textId="0EA7DFF1" w:rsidR="00246B3B" w:rsidRPr="001604FE" w:rsidRDefault="00F22C1B" w:rsidP="001604FE">
      <w:pPr>
        <w:pStyle w:val="Caption"/>
        <w:rPr>
          <w:i w:val="0"/>
          <w:color w:val="auto"/>
          <w:sz w:val="24"/>
        </w:rPr>
      </w:pPr>
      <w:r>
        <w:rPr>
          <w:rFonts w:ascii="Times New Roman" w:hAnsi="Times New Roman"/>
          <w:noProof/>
          <w:szCs w:val="19"/>
          <w:lang w:val="en-GB" w:eastAsia="en-GB"/>
        </w:rPr>
        <w:drawing>
          <wp:inline distT="0" distB="0" distL="0" distR="0" wp14:anchorId="64644978" wp14:editId="76C8C5E3">
            <wp:extent cx="6208295" cy="44641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9853" cy="4458034"/>
                    </a:xfrm>
                    <a:prstGeom prst="rect">
                      <a:avLst/>
                    </a:prstGeom>
                    <a:noFill/>
                  </pic:spPr>
                </pic:pic>
              </a:graphicData>
            </a:graphic>
          </wp:inline>
        </w:drawing>
      </w:r>
      <w:r w:rsidR="009E7B21" w:rsidRPr="002D0E5B">
        <w:rPr>
          <w:i w:val="0"/>
          <w:color w:val="auto"/>
          <w:sz w:val="24"/>
        </w:rPr>
        <w:t xml:space="preserve">Figure </w:t>
      </w:r>
      <w:r w:rsidR="009E7B21" w:rsidRPr="002D0E5B">
        <w:rPr>
          <w:i w:val="0"/>
          <w:color w:val="auto"/>
          <w:sz w:val="24"/>
        </w:rPr>
        <w:fldChar w:fldCharType="begin"/>
      </w:r>
      <w:r w:rsidR="009E7B21" w:rsidRPr="002D0E5B">
        <w:rPr>
          <w:i w:val="0"/>
          <w:color w:val="auto"/>
          <w:sz w:val="24"/>
        </w:rPr>
        <w:instrText xml:space="preserve"> SEQ Figure \* ARABIC </w:instrText>
      </w:r>
      <w:r w:rsidR="009E7B21" w:rsidRPr="002D0E5B">
        <w:rPr>
          <w:i w:val="0"/>
          <w:color w:val="auto"/>
          <w:sz w:val="24"/>
        </w:rPr>
        <w:fldChar w:fldCharType="separate"/>
      </w:r>
      <w:r w:rsidR="009E7B21" w:rsidRPr="002D0E5B">
        <w:rPr>
          <w:i w:val="0"/>
          <w:noProof/>
          <w:color w:val="auto"/>
          <w:sz w:val="24"/>
        </w:rPr>
        <w:t>5</w:t>
      </w:r>
      <w:r w:rsidR="009E7B21" w:rsidRPr="002D0E5B">
        <w:rPr>
          <w:i w:val="0"/>
          <w:color w:val="auto"/>
          <w:sz w:val="24"/>
        </w:rPr>
        <w:fldChar w:fldCharType="end"/>
      </w:r>
      <w:r w:rsidR="00400A1E" w:rsidRPr="002D0E5B">
        <w:rPr>
          <w:i w:val="0"/>
          <w:color w:val="auto"/>
          <w:sz w:val="24"/>
        </w:rPr>
        <w:t>. Raman spectra of Lysozyme and Albu</w:t>
      </w:r>
      <w:r w:rsidR="001604FE">
        <w:rPr>
          <w:i w:val="0"/>
          <w:color w:val="auto"/>
          <w:sz w:val="24"/>
        </w:rPr>
        <w:t>min all shown as an average of three</w:t>
      </w:r>
      <w:r w:rsidR="00400A1E" w:rsidRPr="002D0E5B">
        <w:rPr>
          <w:i w:val="0"/>
          <w:color w:val="auto"/>
          <w:sz w:val="24"/>
        </w:rPr>
        <w:t xml:space="preserve"> replicates. a)</w:t>
      </w:r>
      <w:r w:rsidR="002D0E5B">
        <w:rPr>
          <w:i w:val="0"/>
          <w:color w:val="auto"/>
          <w:sz w:val="24"/>
        </w:rPr>
        <w:t xml:space="preserve"> and d) show</w:t>
      </w:r>
      <w:r w:rsidR="00400A1E" w:rsidRPr="002D0E5B">
        <w:rPr>
          <w:i w:val="0"/>
          <w:color w:val="auto"/>
          <w:sz w:val="24"/>
        </w:rPr>
        <w:t xml:space="preserve"> </w:t>
      </w:r>
      <w:r w:rsidR="002D0E5B" w:rsidRPr="002D0E5B">
        <w:rPr>
          <w:i w:val="0"/>
          <w:color w:val="auto"/>
          <w:sz w:val="24"/>
        </w:rPr>
        <w:t>Lysozyme</w:t>
      </w:r>
      <w:r w:rsidR="002D0E5B">
        <w:rPr>
          <w:i w:val="0"/>
          <w:color w:val="auto"/>
          <w:sz w:val="24"/>
        </w:rPr>
        <w:t xml:space="preserve"> and Albumin at</w:t>
      </w:r>
      <w:r w:rsidR="00400A1E" w:rsidRPr="002D0E5B">
        <w:rPr>
          <w:i w:val="0"/>
          <w:color w:val="auto"/>
          <w:sz w:val="24"/>
        </w:rPr>
        <w:t xml:space="preserve"> 12 mg/m</w:t>
      </w:r>
      <w:r w:rsidR="00246B3B">
        <w:rPr>
          <w:i w:val="0"/>
          <w:color w:val="auto"/>
          <w:sz w:val="24"/>
        </w:rPr>
        <w:t>L</w:t>
      </w:r>
      <w:r w:rsidR="00400A1E" w:rsidRPr="002D0E5B">
        <w:rPr>
          <w:i w:val="0"/>
          <w:color w:val="auto"/>
          <w:sz w:val="24"/>
        </w:rPr>
        <w:t xml:space="preserve"> </w:t>
      </w:r>
      <w:r w:rsidR="000169C6">
        <w:rPr>
          <w:i w:val="0"/>
          <w:color w:val="auto"/>
          <w:sz w:val="24"/>
        </w:rPr>
        <w:t>in 25mM MOPS</w:t>
      </w:r>
      <w:r w:rsidR="002D0E5B">
        <w:rPr>
          <w:i w:val="0"/>
          <w:color w:val="auto"/>
          <w:sz w:val="24"/>
        </w:rPr>
        <w:t xml:space="preserve"> and 115 mM Na</w:t>
      </w:r>
      <w:r w:rsidR="00B81112">
        <w:rPr>
          <w:i w:val="0"/>
          <w:color w:val="auto"/>
          <w:sz w:val="24"/>
        </w:rPr>
        <w:t>C</w:t>
      </w:r>
      <w:r w:rsidR="002D0E5B">
        <w:rPr>
          <w:i w:val="0"/>
          <w:color w:val="auto"/>
          <w:sz w:val="24"/>
        </w:rPr>
        <w:t xml:space="preserve">l at pH 7.4 </w:t>
      </w:r>
      <w:r w:rsidR="00400A1E" w:rsidRPr="002D0E5B">
        <w:rPr>
          <w:i w:val="0"/>
          <w:color w:val="auto"/>
          <w:sz w:val="24"/>
        </w:rPr>
        <w:t>glycated</w:t>
      </w:r>
      <w:r w:rsidR="00B81112">
        <w:rPr>
          <w:i w:val="0"/>
          <w:color w:val="auto"/>
          <w:sz w:val="24"/>
        </w:rPr>
        <w:t>,</w:t>
      </w:r>
      <w:r w:rsidR="00400A1E" w:rsidRPr="002D0E5B">
        <w:rPr>
          <w:i w:val="0"/>
          <w:color w:val="auto"/>
          <w:sz w:val="24"/>
        </w:rPr>
        <w:t xml:space="preserve"> </w:t>
      </w:r>
      <w:r w:rsidR="00BA14C2">
        <w:rPr>
          <w:i w:val="0"/>
          <w:color w:val="auto"/>
          <w:sz w:val="24"/>
        </w:rPr>
        <w:t>control</w:t>
      </w:r>
      <w:r w:rsidR="000169C6">
        <w:rPr>
          <w:i w:val="0"/>
          <w:color w:val="auto"/>
          <w:sz w:val="24"/>
        </w:rPr>
        <w:t xml:space="preserve"> and with 10 mg/mL</w:t>
      </w:r>
      <w:r w:rsidR="00400A1E" w:rsidRPr="002D0E5B">
        <w:rPr>
          <w:i w:val="0"/>
          <w:color w:val="auto"/>
          <w:sz w:val="24"/>
        </w:rPr>
        <w:t xml:space="preserve"> glucose added. b) </w:t>
      </w:r>
      <w:r w:rsidR="002D0E5B">
        <w:rPr>
          <w:i w:val="0"/>
          <w:color w:val="auto"/>
          <w:sz w:val="24"/>
        </w:rPr>
        <w:t xml:space="preserve">and e) PCA </w:t>
      </w:r>
      <w:r w:rsidR="00246B3B">
        <w:rPr>
          <w:i w:val="0"/>
          <w:color w:val="auto"/>
          <w:sz w:val="24"/>
        </w:rPr>
        <w:t xml:space="preserve">scores </w:t>
      </w:r>
      <w:r w:rsidR="002D0E5B">
        <w:rPr>
          <w:i w:val="0"/>
          <w:color w:val="auto"/>
          <w:sz w:val="24"/>
        </w:rPr>
        <w:t>plots of the albumin an</w:t>
      </w:r>
      <w:r w:rsidR="001604FE">
        <w:rPr>
          <w:i w:val="0"/>
          <w:color w:val="auto"/>
          <w:sz w:val="24"/>
        </w:rPr>
        <w:t>d lysozyme samples showing the three</w:t>
      </w:r>
      <w:r w:rsidR="002D0E5B">
        <w:rPr>
          <w:i w:val="0"/>
          <w:color w:val="auto"/>
          <w:sz w:val="24"/>
        </w:rPr>
        <w:t xml:space="preserve"> separate replicates per condition. </w:t>
      </w:r>
      <w:r w:rsidR="00400A1E" w:rsidRPr="002D0E5B">
        <w:rPr>
          <w:i w:val="0"/>
          <w:color w:val="auto"/>
          <w:sz w:val="24"/>
        </w:rPr>
        <w:t xml:space="preserve">c) </w:t>
      </w:r>
      <w:r w:rsidR="002D0E5B">
        <w:rPr>
          <w:i w:val="0"/>
          <w:color w:val="auto"/>
          <w:sz w:val="24"/>
        </w:rPr>
        <w:t xml:space="preserve">and e) </w:t>
      </w:r>
      <w:r w:rsidR="002D0E5B">
        <w:rPr>
          <w:i w:val="0"/>
          <w:color w:val="auto"/>
          <w:sz w:val="24"/>
        </w:rPr>
        <w:lastRenderedPageBreak/>
        <w:t xml:space="preserve">show the </w:t>
      </w:r>
      <w:r w:rsidR="002D0E5B" w:rsidRPr="002D0E5B">
        <w:rPr>
          <w:i w:val="0"/>
          <w:color w:val="auto"/>
          <w:sz w:val="24"/>
        </w:rPr>
        <w:t>corresponding</w:t>
      </w:r>
      <w:r w:rsidR="00400A1E" w:rsidRPr="002D0E5B">
        <w:rPr>
          <w:i w:val="0"/>
          <w:color w:val="auto"/>
          <w:sz w:val="24"/>
        </w:rPr>
        <w:t xml:space="preserve"> </w:t>
      </w:r>
      <w:r w:rsidR="00246B3B">
        <w:rPr>
          <w:i w:val="0"/>
          <w:color w:val="auto"/>
          <w:sz w:val="24"/>
        </w:rPr>
        <w:t xml:space="preserve">PCA </w:t>
      </w:r>
      <w:r w:rsidR="00400A1E" w:rsidRPr="002D0E5B">
        <w:rPr>
          <w:i w:val="0"/>
          <w:color w:val="auto"/>
          <w:sz w:val="24"/>
        </w:rPr>
        <w:t>loadings plot</w:t>
      </w:r>
      <w:r w:rsidR="002D0E5B">
        <w:rPr>
          <w:i w:val="0"/>
          <w:color w:val="auto"/>
          <w:sz w:val="24"/>
        </w:rPr>
        <w:t xml:space="preserve"> for </w:t>
      </w:r>
      <w:r w:rsidR="00246B3B" w:rsidRPr="002D0E5B">
        <w:rPr>
          <w:i w:val="0"/>
          <w:color w:val="auto"/>
          <w:sz w:val="24"/>
        </w:rPr>
        <w:t>Lysozyme and Albumin</w:t>
      </w:r>
      <w:r w:rsidR="00400A1E" w:rsidRPr="002D0E5B">
        <w:rPr>
          <w:i w:val="0"/>
          <w:color w:val="auto"/>
          <w:sz w:val="24"/>
        </w:rPr>
        <w:t>.</w:t>
      </w:r>
      <w:r w:rsidR="00D8431F">
        <w:rPr>
          <w:i w:val="0"/>
          <w:color w:val="auto"/>
          <w:sz w:val="24"/>
        </w:rPr>
        <w:t xml:space="preserve"> Both loadings plots highlight peaks at 1040 cm</w:t>
      </w:r>
      <w:r w:rsidR="00D8431F" w:rsidRPr="00D8431F">
        <w:rPr>
          <w:i w:val="0"/>
          <w:color w:val="auto"/>
          <w:sz w:val="24"/>
          <w:vertAlign w:val="superscript"/>
        </w:rPr>
        <w:t>-1</w:t>
      </w:r>
      <w:r w:rsidR="00D8431F">
        <w:rPr>
          <w:i w:val="0"/>
          <w:color w:val="auto"/>
          <w:sz w:val="24"/>
        </w:rPr>
        <w:t xml:space="preserve"> as being significant to the separation in PC 2.</w:t>
      </w:r>
      <w:r w:rsidR="00400A1E" w:rsidRPr="002D0E5B">
        <w:rPr>
          <w:i w:val="0"/>
          <w:color w:val="auto"/>
          <w:sz w:val="24"/>
        </w:rPr>
        <w:t xml:space="preserve"> </w:t>
      </w:r>
    </w:p>
    <w:p w14:paraId="295E2B65" w14:textId="5DC53348" w:rsidR="00771AE0" w:rsidRPr="00B84FD7" w:rsidRDefault="00022474" w:rsidP="00946A49">
      <w:pPr>
        <w:spacing w:line="480" w:lineRule="auto"/>
      </w:pPr>
      <w:r>
        <w:t xml:space="preserve">The spectra in </w:t>
      </w:r>
      <w:r w:rsidR="00246B3B">
        <w:t>F</w:t>
      </w:r>
      <w:r w:rsidR="00A32D2D">
        <w:t>igure</w:t>
      </w:r>
      <w:r>
        <w:t xml:space="preserve"> 5 are plotted without buffer subtraction due to the addition</w:t>
      </w:r>
      <w:r w:rsidR="00A32D2D">
        <w:t xml:space="preserve"> </w:t>
      </w:r>
      <w:r>
        <w:t xml:space="preserve">of spiked in glucose </w:t>
      </w:r>
      <w:r w:rsidR="00A32D2D">
        <w:t>changing</w:t>
      </w:r>
      <w:r>
        <w:t xml:space="preserve"> the </w:t>
      </w:r>
      <w:r w:rsidR="00B81112">
        <w:t xml:space="preserve">baseline </w:t>
      </w:r>
      <w:r>
        <w:t xml:space="preserve">slope and intensity. The spectra have been </w:t>
      </w:r>
      <w:proofErr w:type="spellStart"/>
      <w:r w:rsidR="00A32D2D">
        <w:t>normalised</w:t>
      </w:r>
      <w:proofErr w:type="spellEnd"/>
      <w:r>
        <w:t xml:space="preserve"> and baselined using EMSC to allow comparison. </w:t>
      </w:r>
      <w:r w:rsidR="00E27374">
        <w:t xml:space="preserve">Figure 5a shows the </w:t>
      </w:r>
      <w:r w:rsidR="001604FE">
        <w:t>three</w:t>
      </w:r>
      <w:r w:rsidR="00A25B62">
        <w:t xml:space="preserve"> repeated</w:t>
      </w:r>
      <w:r w:rsidR="00E27374">
        <w:t xml:space="preserve"> spectra of Lysozyme </w:t>
      </w:r>
      <w:r w:rsidR="00BA14C2">
        <w:t>control</w:t>
      </w:r>
      <w:r w:rsidR="00E27374">
        <w:t xml:space="preserve">, Lysozyme glycated and Lysozyme with glucose </w:t>
      </w:r>
      <w:r w:rsidR="00A33DD0">
        <w:t>spike. We have also included a spectrum of Glucose in the same buffer (</w:t>
      </w:r>
      <w:r w:rsidR="00BA692E">
        <w:t>25mM MOPS</w:t>
      </w:r>
      <w:r w:rsidR="00A33DD0" w:rsidRPr="00A33DD0">
        <w:t xml:space="preserve"> and 115 mM NaCl at pH 7.4</w:t>
      </w:r>
      <w:r w:rsidR="00A33DD0">
        <w:t xml:space="preserve">) in </w:t>
      </w:r>
      <w:r w:rsidR="00F247BC">
        <w:t>F</w:t>
      </w:r>
      <w:r w:rsidR="00A33DD0">
        <w:t>igure S8 for comparison.</w:t>
      </w:r>
      <w:r w:rsidR="00A33DD0" w:rsidRPr="00A33DD0">
        <w:t xml:space="preserve"> </w:t>
      </w:r>
      <w:r w:rsidR="005C69F3">
        <w:t xml:space="preserve">The labelled peaks are ones which showed a spectral shift between the glycated </w:t>
      </w:r>
      <w:r w:rsidR="00946A49">
        <w:t>samples</w:t>
      </w:r>
      <w:r w:rsidR="005C69F3">
        <w:t xml:space="preserve"> and the spiked in glucose at peak positions </w:t>
      </w:r>
      <w:r w:rsidR="00C86C28">
        <w:t>already</w:t>
      </w:r>
      <w:r w:rsidR="005C69F3">
        <w:t xml:space="preserve"> attributed to different </w:t>
      </w:r>
      <w:r w:rsidR="00946A49">
        <w:t>forms</w:t>
      </w:r>
      <w:r w:rsidR="005C69F3">
        <w:t xml:space="preserve"> of glucose. </w:t>
      </w:r>
      <w:r w:rsidR="00A31927">
        <w:t>I</w:t>
      </w:r>
      <w:r w:rsidR="00E76AE6">
        <w:t>n the</w:t>
      </w:r>
      <w:r w:rsidR="00A31927">
        <w:t xml:space="preserve"> sample with</w:t>
      </w:r>
      <w:r w:rsidR="00E76AE6">
        <w:t xml:space="preserve"> </w:t>
      </w:r>
      <w:r w:rsidR="00551E59">
        <w:t>spike</w:t>
      </w:r>
      <w:r w:rsidR="00E76AE6">
        <w:t>d</w:t>
      </w:r>
      <w:r w:rsidR="00F36555">
        <w:t xml:space="preserve"> in</w:t>
      </w:r>
      <w:r w:rsidR="00E76AE6">
        <w:t xml:space="preserve"> </w:t>
      </w:r>
      <w:r w:rsidR="00A31927">
        <w:t xml:space="preserve">glucose the intensity of the peak at </w:t>
      </w:r>
      <w:r w:rsidR="00E76AE6">
        <w:t>1121 cm</w:t>
      </w:r>
      <w:r w:rsidR="00E76AE6" w:rsidRPr="000E758A">
        <w:rPr>
          <w:vertAlign w:val="superscript"/>
        </w:rPr>
        <w:t>-1</w:t>
      </w:r>
      <w:r w:rsidR="00E76AE6">
        <w:t xml:space="preserve"> </w:t>
      </w:r>
      <w:r w:rsidR="00551E59">
        <w:t>arising</w:t>
      </w:r>
      <w:r w:rsidR="00E76AE6">
        <w:t xml:space="preserve"> from</w:t>
      </w:r>
      <w:r w:rsidR="00130077">
        <w:t xml:space="preserve"> </w:t>
      </w:r>
      <w:r w:rsidR="00A31927">
        <w:t>the C</w:t>
      </w:r>
      <w:r w:rsidR="00E76AE6">
        <w:t>-OH vibration</w:t>
      </w:r>
      <w:r w:rsidR="00A31927">
        <w:t>, increases</w:t>
      </w:r>
      <w:r w:rsidR="00F247BC">
        <w:t>.</w:t>
      </w:r>
      <w:r w:rsidR="00E76AE6">
        <w:t xml:space="preserve"> </w:t>
      </w:r>
      <w:r w:rsidR="00130077">
        <w:t>T</w:t>
      </w:r>
      <w:r w:rsidR="00E76AE6">
        <w:t xml:space="preserve">his peak is very </w:t>
      </w:r>
      <w:r w:rsidR="00765F56">
        <w:t>weak and</w:t>
      </w:r>
      <w:r w:rsidR="00F36555">
        <w:t xml:space="preserve"> broad</w:t>
      </w:r>
      <w:r w:rsidR="00E76AE6">
        <w:t xml:space="preserve"> in both the </w:t>
      </w:r>
      <w:r w:rsidR="00BA14C2">
        <w:t>control</w:t>
      </w:r>
      <w:r w:rsidR="00E76AE6">
        <w:t xml:space="preserve"> and glycated </w:t>
      </w:r>
      <w:r w:rsidR="00551E59">
        <w:t>Lysozyme</w:t>
      </w:r>
      <w:r w:rsidR="00E76AE6">
        <w:t>. In the CH</w:t>
      </w:r>
      <w:r w:rsidR="00E76AE6" w:rsidRPr="00765F56">
        <w:rPr>
          <w:vertAlign w:val="subscript"/>
        </w:rPr>
        <w:t>2</w:t>
      </w:r>
      <w:r w:rsidR="00E76AE6">
        <w:t>/CH</w:t>
      </w:r>
      <w:r w:rsidR="00E76AE6" w:rsidRPr="00765F56">
        <w:rPr>
          <w:vertAlign w:val="subscript"/>
        </w:rPr>
        <w:t>3</w:t>
      </w:r>
      <w:r w:rsidR="00E76AE6">
        <w:t xml:space="preserve"> region there is </w:t>
      </w:r>
      <w:r w:rsidR="00C86C28">
        <w:t xml:space="preserve">a </w:t>
      </w:r>
      <w:r w:rsidR="00E76AE6">
        <w:t xml:space="preserve">peak shift </w:t>
      </w:r>
      <w:r w:rsidR="00C86C28">
        <w:t>from 1448 cm</w:t>
      </w:r>
      <w:r w:rsidR="00C86C28" w:rsidRPr="00AB557D">
        <w:rPr>
          <w:vertAlign w:val="superscript"/>
        </w:rPr>
        <w:t>-1</w:t>
      </w:r>
      <w:r w:rsidR="00C86C28">
        <w:t xml:space="preserve"> </w:t>
      </w:r>
      <w:r w:rsidR="00E76AE6">
        <w:t>in the spiked glucose sample to 1452 cm</w:t>
      </w:r>
      <w:r w:rsidR="00E76AE6" w:rsidRPr="00AB557D">
        <w:rPr>
          <w:vertAlign w:val="superscript"/>
        </w:rPr>
        <w:t>-1</w:t>
      </w:r>
      <w:r w:rsidR="00E76AE6">
        <w:t xml:space="preserve"> in the glycated and </w:t>
      </w:r>
      <w:r w:rsidR="00B84FD7">
        <w:t>control</w:t>
      </w:r>
      <w:r w:rsidR="00E76AE6">
        <w:t xml:space="preserve"> sample</w:t>
      </w:r>
      <w:r w:rsidR="00C86C28">
        <w:t>,</w:t>
      </w:r>
      <w:r w:rsidR="00E76AE6">
        <w:t xml:space="preserve"> </w:t>
      </w:r>
      <w:r w:rsidR="00F36555">
        <w:t>suggesting that</w:t>
      </w:r>
      <w:r w:rsidR="00E76AE6">
        <w:t xml:space="preserve"> vibration</w:t>
      </w:r>
      <w:r w:rsidR="00C86C28">
        <w:t>s</w:t>
      </w:r>
      <w:r w:rsidR="00E76AE6">
        <w:t xml:space="preserve"> arising from C-H </w:t>
      </w:r>
      <w:r w:rsidR="00551E59">
        <w:t>stretching</w:t>
      </w:r>
      <w:r w:rsidR="00E3407D">
        <w:t xml:space="preserve"> </w:t>
      </w:r>
      <w:r w:rsidR="00C86C28">
        <w:t xml:space="preserve">are </w:t>
      </w:r>
      <w:r w:rsidR="00E3407D">
        <w:t>different in glucose than</w:t>
      </w:r>
      <w:r w:rsidR="00E76AE6">
        <w:t xml:space="preserve"> </w:t>
      </w:r>
      <w:r w:rsidR="00C86C28">
        <w:t xml:space="preserve">in </w:t>
      </w:r>
      <w:r w:rsidR="00E3407D">
        <w:t>t</w:t>
      </w:r>
      <w:r w:rsidR="00E76AE6">
        <w:t xml:space="preserve">he protein. </w:t>
      </w:r>
      <w:r w:rsidR="00551E59">
        <w:t>The Amide I region also shows</w:t>
      </w:r>
      <w:r w:rsidR="00C86C28">
        <w:t xml:space="preserve"> a</w:t>
      </w:r>
      <w:r w:rsidR="00551E59">
        <w:t xml:space="preserve"> slight shift in the band at 16</w:t>
      </w:r>
      <w:r w:rsidR="00FF0780">
        <w:t>5</w:t>
      </w:r>
      <w:r w:rsidR="00551E59">
        <w:t>0 cm</w:t>
      </w:r>
      <w:r w:rsidR="00551E59" w:rsidRPr="00B303BB">
        <w:rPr>
          <w:vertAlign w:val="superscript"/>
        </w:rPr>
        <w:t>-1</w:t>
      </w:r>
      <w:r w:rsidR="00551E59">
        <w:t xml:space="preserve"> in the </w:t>
      </w:r>
      <w:r w:rsidR="00B84FD7">
        <w:t>control</w:t>
      </w:r>
      <w:r w:rsidR="00551E59">
        <w:t xml:space="preserve"> </w:t>
      </w:r>
      <w:r w:rsidR="009072DD">
        <w:t xml:space="preserve">and glycated </w:t>
      </w:r>
      <w:r w:rsidR="00C86C28">
        <w:t>protein to 1642 cm</w:t>
      </w:r>
      <w:r w:rsidR="00C86C28" w:rsidRPr="00B303BB">
        <w:rPr>
          <w:vertAlign w:val="superscript"/>
        </w:rPr>
        <w:t>-1</w:t>
      </w:r>
      <w:r w:rsidR="00C86C28">
        <w:t xml:space="preserve"> in the spiked sample </w:t>
      </w:r>
      <w:r w:rsidR="00A31927">
        <w:t xml:space="preserve">suggesting a </w:t>
      </w:r>
      <w:r w:rsidR="00691261">
        <w:t xml:space="preserve">change in the </w:t>
      </w:r>
      <w:r w:rsidR="00A31927">
        <w:rPr>
          <w:rFonts w:cs="Times"/>
        </w:rPr>
        <w:t>α</w:t>
      </w:r>
      <w:r w:rsidR="00A31927">
        <w:t>-</w:t>
      </w:r>
      <w:r w:rsidR="00691261">
        <w:t xml:space="preserve">helical </w:t>
      </w:r>
      <w:r w:rsidR="00A31927">
        <w:t>content</w:t>
      </w:r>
      <w:r w:rsidR="00691261">
        <w:t xml:space="preserve"> of lysozyme</w:t>
      </w:r>
      <w:r w:rsidR="00965A14">
        <w:t>,</w:t>
      </w:r>
      <w:r w:rsidR="00691261">
        <w:t xml:space="preserve"> but </w:t>
      </w:r>
      <w:r w:rsidR="00965A14">
        <w:t xml:space="preserve">this </w:t>
      </w:r>
      <w:r w:rsidR="00691261">
        <w:t xml:space="preserve">could be </w:t>
      </w:r>
      <w:r w:rsidR="00A31927">
        <w:t>obscured</w:t>
      </w:r>
      <w:r w:rsidR="00691261">
        <w:t xml:space="preserve"> by the C=O of the aldehyde group</w:t>
      </w:r>
      <w:r w:rsidR="00A31927">
        <w:t xml:space="preserve"> </w:t>
      </w:r>
      <w:r w:rsidR="00691261">
        <w:t>in the open form of glucose</w:t>
      </w:r>
      <w:r w:rsidR="00A31927">
        <w:t>.</w:t>
      </w:r>
      <w:r w:rsidR="00551E59">
        <w:t xml:space="preserve"> </w:t>
      </w:r>
      <w:r w:rsidR="00E76AE6">
        <w:t xml:space="preserve">Similar spectral differences can be picked out in </w:t>
      </w:r>
      <w:r w:rsidR="00F247BC">
        <w:t>F</w:t>
      </w:r>
      <w:r w:rsidR="00E76AE6">
        <w:t xml:space="preserve">igure </w:t>
      </w:r>
      <w:r w:rsidR="00C86C28">
        <w:t>5</w:t>
      </w:r>
      <w:r w:rsidR="00E76AE6">
        <w:t>d for albumin</w:t>
      </w:r>
      <w:r w:rsidR="00A31927">
        <w:t>,</w:t>
      </w:r>
      <w:r w:rsidR="00E76AE6">
        <w:t xml:space="preserve"> where 1121 cm</w:t>
      </w:r>
      <w:r w:rsidR="00E76AE6" w:rsidRPr="00661BF3">
        <w:rPr>
          <w:vertAlign w:val="superscript"/>
        </w:rPr>
        <w:t>-1</w:t>
      </w:r>
      <w:r w:rsidR="00E76AE6">
        <w:t xml:space="preserve"> is the main peak shown in the </w:t>
      </w:r>
      <w:r w:rsidR="00CF5C74">
        <w:t>glucose</w:t>
      </w:r>
      <w:r w:rsidR="00E76AE6">
        <w:t xml:space="preserve"> </w:t>
      </w:r>
      <w:r w:rsidR="00CF5C74">
        <w:t>spike</w:t>
      </w:r>
      <w:r w:rsidR="00E76AE6">
        <w:t xml:space="preserve"> and sub</w:t>
      </w:r>
      <w:r w:rsidR="00691261">
        <w:t>tle</w:t>
      </w:r>
      <w:r w:rsidR="00E76AE6">
        <w:t xml:space="preserve"> spectral </w:t>
      </w:r>
      <w:r w:rsidR="00CF5C74">
        <w:t>shifts</w:t>
      </w:r>
      <w:r w:rsidR="00E76AE6">
        <w:t xml:space="preserve"> </w:t>
      </w:r>
      <w:r w:rsidR="00CF5C74">
        <w:t>agai</w:t>
      </w:r>
      <w:r w:rsidR="00E76AE6">
        <w:t>n are seen</w:t>
      </w:r>
      <w:r w:rsidR="00CF5C74">
        <w:t xml:space="preserve"> for</w:t>
      </w:r>
      <w:r w:rsidR="00EA3193">
        <w:t xml:space="preserve"> CH</w:t>
      </w:r>
      <w:r w:rsidR="00EA3193" w:rsidRPr="00B303BB">
        <w:rPr>
          <w:vertAlign w:val="subscript"/>
        </w:rPr>
        <w:t>2</w:t>
      </w:r>
      <w:r w:rsidR="00EA3193">
        <w:t>/CH</w:t>
      </w:r>
      <w:r w:rsidR="00E76AE6" w:rsidRPr="00B303BB">
        <w:rPr>
          <w:vertAlign w:val="subscript"/>
        </w:rPr>
        <w:t>3</w:t>
      </w:r>
      <w:r w:rsidR="00EA3193">
        <w:t xml:space="preserve"> </w:t>
      </w:r>
      <w:r w:rsidR="00551E59">
        <w:t>and the amide I region.</w:t>
      </w:r>
      <w:r w:rsidR="004E6738">
        <w:t xml:space="preserve"> </w:t>
      </w:r>
      <w:r w:rsidR="00C86C28">
        <w:t>We again</w:t>
      </w:r>
      <w:r w:rsidR="00E07429">
        <w:t xml:space="preserve"> use</w:t>
      </w:r>
      <w:r w:rsidR="00C86C28">
        <w:t>d</w:t>
      </w:r>
      <w:r w:rsidR="00E07429">
        <w:t xml:space="preserve"> PCA to pul</w:t>
      </w:r>
      <w:r w:rsidR="00CF5C74">
        <w:t>l</w:t>
      </w:r>
      <w:r w:rsidR="00E07429">
        <w:t xml:space="preserve"> </w:t>
      </w:r>
      <w:r w:rsidR="00CF5C74">
        <w:t xml:space="preserve">out smaller differences in the spectra for both </w:t>
      </w:r>
      <w:r w:rsidR="00C86C28">
        <w:t>l</w:t>
      </w:r>
      <w:r w:rsidR="00CF5C74">
        <w:t>ysozyme and albumin</w:t>
      </w:r>
      <w:r w:rsidR="00C86C28">
        <w:t>.</w:t>
      </w:r>
      <w:r w:rsidR="00CF5C74">
        <w:t xml:space="preserve"> </w:t>
      </w:r>
      <w:r w:rsidR="00C86C28">
        <w:t>F</w:t>
      </w:r>
      <w:r w:rsidR="00CF5C74">
        <w:t xml:space="preserve">igures 5b and 5e </w:t>
      </w:r>
      <w:r w:rsidR="00735225">
        <w:t xml:space="preserve">show the three spectral repeats of each </w:t>
      </w:r>
      <w:r w:rsidR="00946A49">
        <w:t>sample</w:t>
      </w:r>
      <w:r w:rsidR="00CF5C74">
        <w:t>.</w:t>
      </w:r>
      <w:r w:rsidR="00735225">
        <w:t xml:space="preserve"> In both PCA plots</w:t>
      </w:r>
      <w:r w:rsidR="00C86C28">
        <w:t>,</w:t>
      </w:r>
      <w:r w:rsidR="00735225">
        <w:t xml:space="preserve"> PC1 accounts for </w:t>
      </w:r>
      <w:r w:rsidR="00C86C28">
        <w:t xml:space="preserve">by far the </w:t>
      </w:r>
      <w:r w:rsidR="00735225">
        <w:t>largest tota</w:t>
      </w:r>
      <w:r w:rsidR="00777E81">
        <w:t>l explained variance</w:t>
      </w:r>
      <w:r w:rsidR="00C86C28">
        <w:t>.</w:t>
      </w:r>
      <w:r w:rsidR="00735225">
        <w:t xml:space="preserve"> In general the PCA</w:t>
      </w:r>
      <w:r w:rsidR="00C86C28">
        <w:t xml:space="preserve"> plot</w:t>
      </w:r>
      <w:r w:rsidR="00735225">
        <w:t>s are very similar</w:t>
      </w:r>
      <w:r w:rsidR="00C86C28">
        <w:t>,</w:t>
      </w:r>
      <w:r w:rsidR="00735225">
        <w:t xml:space="preserve"> showing a mirror </w:t>
      </w:r>
      <w:r w:rsidR="00965A14">
        <w:t>image of one another along the y</w:t>
      </w:r>
      <w:r w:rsidR="00F247BC">
        <w:t>-</w:t>
      </w:r>
      <w:r w:rsidR="00735225">
        <w:t>axis</w:t>
      </w:r>
      <w:r w:rsidR="00946A49">
        <w:t xml:space="preserve"> suggesting</w:t>
      </w:r>
      <w:r w:rsidR="00735225">
        <w:t xml:space="preserve"> the spectral </w:t>
      </w:r>
      <w:r w:rsidR="00E14D16">
        <w:t>differences in the samples follow</w:t>
      </w:r>
      <w:r w:rsidR="00735225">
        <w:t xml:space="preserve"> a similar pattern</w:t>
      </w:r>
      <w:r w:rsidR="009A4D13">
        <w:t xml:space="preserve"> of </w:t>
      </w:r>
      <w:r w:rsidR="00E07429">
        <w:t>separation</w:t>
      </w:r>
      <w:r w:rsidR="00735225">
        <w:t>. For lysozyme</w:t>
      </w:r>
      <w:r w:rsidR="00C86C28">
        <w:t>,</w:t>
      </w:r>
      <w:r w:rsidR="00735225">
        <w:t xml:space="preserve"> </w:t>
      </w:r>
      <w:r w:rsidR="0099573E">
        <w:t>t</w:t>
      </w:r>
      <w:r w:rsidR="00735225">
        <w:t xml:space="preserve">he most </w:t>
      </w:r>
      <w:r w:rsidR="00946A49">
        <w:t>significant</w:t>
      </w:r>
      <w:r w:rsidR="00735225">
        <w:t xml:space="preserve"> peaks that led to the </w:t>
      </w:r>
      <w:r w:rsidR="00946A49">
        <w:t>separation</w:t>
      </w:r>
      <w:r w:rsidR="00735225">
        <w:t xml:space="preserve"> of the data points in </w:t>
      </w:r>
      <w:r w:rsidR="00E07429">
        <w:t>lysozyme</w:t>
      </w:r>
      <w:r w:rsidR="00946A49">
        <w:t xml:space="preserve"> across P</w:t>
      </w:r>
      <w:r w:rsidR="0099573E">
        <w:t>C</w:t>
      </w:r>
      <w:r w:rsidR="00E3407D">
        <w:t xml:space="preserve"> </w:t>
      </w:r>
      <w:r w:rsidR="0099573E">
        <w:t>1 are</w:t>
      </w:r>
      <w:r w:rsidR="00777E81">
        <w:t xml:space="preserve"> 1046 cm</w:t>
      </w:r>
      <w:r w:rsidR="00777E81" w:rsidRPr="00E3407D">
        <w:rPr>
          <w:vertAlign w:val="superscript"/>
        </w:rPr>
        <w:t>-1</w:t>
      </w:r>
      <w:r w:rsidR="00777E81">
        <w:t>,</w:t>
      </w:r>
      <w:r w:rsidR="00A6731D">
        <w:t xml:space="preserve"> 1121</w:t>
      </w:r>
      <w:r w:rsidR="0099573E">
        <w:t xml:space="preserve"> cm</w:t>
      </w:r>
      <w:r w:rsidR="0099573E" w:rsidRPr="0099573E">
        <w:rPr>
          <w:vertAlign w:val="superscript"/>
        </w:rPr>
        <w:t>-1</w:t>
      </w:r>
      <w:r w:rsidR="0099573E">
        <w:t xml:space="preserve"> and</w:t>
      </w:r>
      <w:r w:rsidR="00946A49">
        <w:t xml:space="preserve"> 1376 cm</w:t>
      </w:r>
      <w:r w:rsidR="00946A49" w:rsidRPr="0099573E">
        <w:rPr>
          <w:vertAlign w:val="superscript"/>
        </w:rPr>
        <w:t>-1</w:t>
      </w:r>
      <w:r w:rsidR="00946A49">
        <w:t xml:space="preserve"> shown from the intensity of the corresponding loadings </w:t>
      </w:r>
      <w:r w:rsidR="00946A49">
        <w:lastRenderedPageBreak/>
        <w:t xml:space="preserve">plot in </w:t>
      </w:r>
      <w:r w:rsidR="00F247BC">
        <w:t>F</w:t>
      </w:r>
      <w:r w:rsidR="006C1485">
        <w:t>igure 5c where</w:t>
      </w:r>
      <w:r w:rsidR="00F22C1B">
        <w:t xml:space="preserve"> 1121 cm</w:t>
      </w:r>
      <w:r w:rsidR="00F22C1B" w:rsidRPr="0005040A">
        <w:rPr>
          <w:vertAlign w:val="superscript"/>
        </w:rPr>
        <w:t>-1</w:t>
      </w:r>
      <w:r w:rsidR="00F22C1B">
        <w:t xml:space="preserve"> and 1376 cm</w:t>
      </w:r>
      <w:r w:rsidR="00F22C1B" w:rsidRPr="0005040A">
        <w:rPr>
          <w:vertAlign w:val="superscript"/>
        </w:rPr>
        <w:t>-1</w:t>
      </w:r>
      <w:r w:rsidR="006C1485">
        <w:t xml:space="preserve"> are more intense in the spiked </w:t>
      </w:r>
      <w:r w:rsidR="00E07429">
        <w:t>sample</w:t>
      </w:r>
      <w:r w:rsidR="00661BF3">
        <w:t>.</w:t>
      </w:r>
      <w:r w:rsidR="00A03C7E">
        <w:t xml:space="preserve"> </w:t>
      </w:r>
      <w:r w:rsidR="009A4D13">
        <w:t>The peak</w:t>
      </w:r>
      <w:r w:rsidR="00E07429">
        <w:t xml:space="preserve"> </w:t>
      </w:r>
      <w:r w:rsidR="009A4D13">
        <w:t>at 1046 cm</w:t>
      </w:r>
      <w:r w:rsidR="009A4D13" w:rsidRPr="00AB557D">
        <w:rPr>
          <w:vertAlign w:val="superscript"/>
        </w:rPr>
        <w:t>-1</w:t>
      </w:r>
      <w:r w:rsidR="00965A14">
        <w:t xml:space="preserve">, which </w:t>
      </w:r>
      <w:r w:rsidR="00567F07">
        <w:t>is</w:t>
      </w:r>
      <w:r w:rsidR="00F22C1B">
        <w:t xml:space="preserve"> increased in the glycated and </w:t>
      </w:r>
      <w:r w:rsidR="00313EF1">
        <w:t>control</w:t>
      </w:r>
      <w:r w:rsidR="00965A14">
        <w:t>, is</w:t>
      </w:r>
      <w:r w:rsidR="00567F07">
        <w:t xml:space="preserve"> assigned to C-O vibration</w:t>
      </w:r>
      <w:r w:rsidR="00691261">
        <w:t xml:space="preserve"> of lysozyme in the Raman spectrum summarised in</w:t>
      </w:r>
      <w:r w:rsidR="00A33DD0">
        <w:t xml:space="preserve"> </w:t>
      </w:r>
      <w:r w:rsidR="00F247BC">
        <w:t>T</w:t>
      </w:r>
      <w:r w:rsidR="009A4D13">
        <w:t xml:space="preserve">able </w:t>
      </w:r>
      <w:r w:rsidR="007D4C69">
        <w:t>S</w:t>
      </w:r>
      <w:r w:rsidR="00567F07">
        <w:t>8</w:t>
      </w:r>
      <w:r w:rsidR="00965A14">
        <w:t>.</w:t>
      </w:r>
      <w:r w:rsidR="009A4D13">
        <w:t xml:space="preserve"> </w:t>
      </w:r>
      <w:r w:rsidR="00965A14">
        <w:t>It</w:t>
      </w:r>
      <w:r w:rsidR="00691261">
        <w:t xml:space="preserve"> can also be seen </w:t>
      </w:r>
      <w:r w:rsidR="000A5477">
        <w:t xml:space="preserve">in FTIR-ATR </w:t>
      </w:r>
      <w:r w:rsidR="00567F07">
        <w:t>(</w:t>
      </w:r>
      <w:r w:rsidR="00F247BC">
        <w:t>F</w:t>
      </w:r>
      <w:r w:rsidR="000A5477">
        <w:t>igure 3</w:t>
      </w:r>
      <w:r w:rsidR="00567F07">
        <w:t>)</w:t>
      </w:r>
      <w:r w:rsidR="009A4D13">
        <w:t xml:space="preserve">. </w:t>
      </w:r>
      <w:r w:rsidR="004D6E8D">
        <w:t>Therefore</w:t>
      </w:r>
      <w:r w:rsidR="00E64D27">
        <w:t>,</w:t>
      </w:r>
      <w:r w:rsidR="004D6E8D">
        <w:t xml:space="preserve"> </w:t>
      </w:r>
      <w:r w:rsidR="00AE1536">
        <w:t>PC</w:t>
      </w:r>
      <w:r w:rsidR="00E3407D">
        <w:t xml:space="preserve"> </w:t>
      </w:r>
      <w:r w:rsidR="00471C3C">
        <w:t xml:space="preserve">1 separates </w:t>
      </w:r>
      <w:r w:rsidR="00E64D27">
        <w:t xml:space="preserve">spectra </w:t>
      </w:r>
      <w:r w:rsidR="00471C3C">
        <w:t>based on the free glucose in solution</w:t>
      </w:r>
      <w:r w:rsidR="00F279FE">
        <w:t xml:space="preserve"> from the glucose spiked in sample</w:t>
      </w:r>
      <w:r w:rsidR="00471C3C">
        <w:t>. PC</w:t>
      </w:r>
      <w:r w:rsidR="00E3407D">
        <w:t xml:space="preserve"> </w:t>
      </w:r>
      <w:r w:rsidR="00965A14">
        <w:t>2, on the y</w:t>
      </w:r>
      <w:r w:rsidR="00F247BC">
        <w:t>-</w:t>
      </w:r>
      <w:r w:rsidR="00471C3C">
        <w:t>axis, acc</w:t>
      </w:r>
      <w:r w:rsidR="00112C14">
        <w:t xml:space="preserve">ounts for </w:t>
      </w:r>
      <w:r w:rsidR="00E64D27">
        <w:t xml:space="preserve">only 4% </w:t>
      </w:r>
      <w:r w:rsidR="00112C14">
        <w:t>of the variance fo</w:t>
      </w:r>
      <w:r w:rsidR="00471C3C">
        <w:t>r</w:t>
      </w:r>
      <w:r w:rsidR="00112C14">
        <w:t xml:space="preserve"> lysozyme</w:t>
      </w:r>
      <w:r w:rsidR="00E64D27">
        <w:t xml:space="preserve">, </w:t>
      </w:r>
      <w:r w:rsidR="00972087">
        <w:t xml:space="preserve">but </w:t>
      </w:r>
      <w:r w:rsidR="00E64D27">
        <w:t>still accurately separates the</w:t>
      </w:r>
      <w:r w:rsidR="00471C3C">
        <w:t xml:space="preserve"> </w:t>
      </w:r>
      <w:r w:rsidR="006D10D2">
        <w:t>sample</w:t>
      </w:r>
      <w:r w:rsidR="00E64D27">
        <w:t>s</w:t>
      </w:r>
      <w:r w:rsidR="006D10D2">
        <w:t>. The PC</w:t>
      </w:r>
      <w:r w:rsidR="00702697">
        <w:t xml:space="preserve"> </w:t>
      </w:r>
      <w:r w:rsidR="006D10D2">
        <w:t xml:space="preserve">2 </w:t>
      </w:r>
      <w:r w:rsidR="002E3288">
        <w:t>loading</w:t>
      </w:r>
      <w:r w:rsidR="006D10D2">
        <w:t>s</w:t>
      </w:r>
      <w:r w:rsidR="002E3288">
        <w:t xml:space="preserve"> </w:t>
      </w:r>
      <w:r w:rsidR="006D10D2">
        <w:t xml:space="preserve">in </w:t>
      </w:r>
      <w:r w:rsidR="00F247BC">
        <w:t xml:space="preserve">Figure </w:t>
      </w:r>
      <w:r w:rsidR="006D10D2">
        <w:t>5c highlight peaks at 1040 cm</w:t>
      </w:r>
      <w:r w:rsidR="006D10D2" w:rsidRPr="00EA747E">
        <w:rPr>
          <w:vertAlign w:val="superscript"/>
        </w:rPr>
        <w:t>-1</w:t>
      </w:r>
      <w:r w:rsidR="006D10D2">
        <w:t xml:space="preserve"> and 1121 cm</w:t>
      </w:r>
      <w:r w:rsidR="006D10D2" w:rsidRPr="00EA747E">
        <w:rPr>
          <w:vertAlign w:val="superscript"/>
        </w:rPr>
        <w:t>-1</w:t>
      </w:r>
      <w:r w:rsidR="006D10D2">
        <w:t xml:space="preserve"> as contributing to the most variance. Both these bands are </w:t>
      </w:r>
      <w:r w:rsidR="00313EF1">
        <w:t xml:space="preserve">increased </w:t>
      </w:r>
      <w:r w:rsidR="006D10D2">
        <w:t>in the glycated sample</w:t>
      </w:r>
      <w:r w:rsidR="00815FFD">
        <w:t>,</w:t>
      </w:r>
      <w:r w:rsidR="006D10D2">
        <w:t xml:space="preserve"> but no</w:t>
      </w:r>
      <w:r w:rsidR="00A322CD">
        <w:t>t</w:t>
      </w:r>
      <w:r w:rsidR="006D10D2">
        <w:t xml:space="preserve"> in </w:t>
      </w:r>
      <w:r w:rsidR="00F279FE">
        <w:t>control samples</w:t>
      </w:r>
      <w:r w:rsidR="00A03C7E">
        <w:t>. Thus 1040 cm</w:t>
      </w:r>
      <w:r w:rsidR="00A03C7E" w:rsidRPr="00765F56">
        <w:rPr>
          <w:vertAlign w:val="superscript"/>
        </w:rPr>
        <w:t>-1</w:t>
      </w:r>
      <w:r w:rsidR="00A03C7E">
        <w:t xml:space="preserve"> </w:t>
      </w:r>
      <w:r w:rsidR="00A322CD">
        <w:t>and 1121 cm</w:t>
      </w:r>
      <w:r w:rsidR="00A322CD" w:rsidRPr="0005040A">
        <w:rPr>
          <w:vertAlign w:val="superscript"/>
        </w:rPr>
        <w:t>-1</w:t>
      </w:r>
      <w:r w:rsidR="00A322CD">
        <w:t xml:space="preserve"> </w:t>
      </w:r>
      <w:r w:rsidR="00A03C7E">
        <w:t>appear to</w:t>
      </w:r>
      <w:r w:rsidR="00E636A2">
        <w:t xml:space="preserve"> </w:t>
      </w:r>
      <w:r w:rsidR="00A322CD">
        <w:t>distinguish between glycated and control samples with or without buffer subtraction.</w:t>
      </w:r>
      <w:r w:rsidR="00691261">
        <w:t xml:space="preserve"> </w:t>
      </w:r>
    </w:p>
    <w:p w14:paraId="092E1F21" w14:textId="43E5C56D" w:rsidR="006170B4" w:rsidRDefault="00A03C7E" w:rsidP="00946A49">
      <w:pPr>
        <w:spacing w:line="480" w:lineRule="auto"/>
      </w:pPr>
      <w:r>
        <w:t xml:space="preserve"> </w:t>
      </w:r>
      <w:r w:rsidR="003E5C8A">
        <w:t>I</w:t>
      </w:r>
      <w:r>
        <w:t xml:space="preserve">n </w:t>
      </w:r>
      <w:r w:rsidR="002F20DB">
        <w:t>a</w:t>
      </w:r>
      <w:r>
        <w:t>lbumin</w:t>
      </w:r>
      <w:r w:rsidR="002F20DB">
        <w:t>,</w:t>
      </w:r>
      <w:r>
        <w:t xml:space="preserve"> PC1 is dominated </w:t>
      </w:r>
      <w:r w:rsidR="00600374">
        <w:t xml:space="preserve">by </w:t>
      </w:r>
      <w:r w:rsidR="00156CC6">
        <w:t xml:space="preserve">an increase in </w:t>
      </w:r>
      <w:r w:rsidR="00600374">
        <w:t>peaks at 1</w:t>
      </w:r>
      <w:r w:rsidR="003E5C8A">
        <w:t>624</w:t>
      </w:r>
      <w:r w:rsidR="00E07429">
        <w:t xml:space="preserve"> cm</w:t>
      </w:r>
      <w:r w:rsidR="00E07429" w:rsidRPr="00CC18A8">
        <w:rPr>
          <w:vertAlign w:val="superscript"/>
        </w:rPr>
        <w:t>-1</w:t>
      </w:r>
      <w:r w:rsidR="00016477">
        <w:t xml:space="preserve"> and</w:t>
      </w:r>
      <w:r w:rsidR="00E07429">
        <w:t xml:space="preserve"> </w:t>
      </w:r>
      <w:r w:rsidR="003E5C8A">
        <w:t>1365</w:t>
      </w:r>
      <w:r w:rsidR="00E07429">
        <w:t xml:space="preserve"> c</w:t>
      </w:r>
      <w:r>
        <w:t>m</w:t>
      </w:r>
      <w:r w:rsidRPr="00CC18A8">
        <w:rPr>
          <w:vertAlign w:val="superscript"/>
        </w:rPr>
        <w:t>-</w:t>
      </w:r>
      <w:r w:rsidR="00E07429" w:rsidRPr="00CC18A8">
        <w:rPr>
          <w:vertAlign w:val="superscript"/>
        </w:rPr>
        <w:t>1</w:t>
      </w:r>
      <w:r w:rsidR="003E5070">
        <w:t xml:space="preserve"> </w:t>
      </w:r>
      <w:r w:rsidR="00156CC6">
        <w:t xml:space="preserve">in the </w:t>
      </w:r>
      <w:r w:rsidR="00016477">
        <w:t>glycated</w:t>
      </w:r>
      <w:r w:rsidR="00156CC6">
        <w:t xml:space="preserve"> samples </w:t>
      </w:r>
      <w:r w:rsidR="003E5070">
        <w:t>(</w:t>
      </w:r>
      <w:r w:rsidR="00F247BC">
        <w:t xml:space="preserve">Figure </w:t>
      </w:r>
      <w:r w:rsidR="003E5070">
        <w:t>5f).</w:t>
      </w:r>
      <w:r w:rsidR="00E07429">
        <w:t xml:space="preserve"> </w:t>
      </w:r>
      <w:r w:rsidR="007A5AFA">
        <w:t>The peak at 1624 cm</w:t>
      </w:r>
      <w:r w:rsidR="007A5AFA" w:rsidRPr="00F85C9D">
        <w:rPr>
          <w:vertAlign w:val="superscript"/>
        </w:rPr>
        <w:t>-1</w:t>
      </w:r>
      <w:r w:rsidR="007A5AFA">
        <w:t xml:space="preserve"> is </w:t>
      </w:r>
      <w:r w:rsidR="00016477">
        <w:t>usually</w:t>
      </w:r>
      <w:r w:rsidR="007A5AFA">
        <w:t xml:space="preserve"> assigned to changes of protein str</w:t>
      </w:r>
      <w:r w:rsidR="00016477">
        <w:t>u</w:t>
      </w:r>
      <w:r w:rsidR="007A5AFA">
        <w:t>c</w:t>
      </w:r>
      <w:r w:rsidR="00016477">
        <w:t>t</w:t>
      </w:r>
      <w:r w:rsidR="007A5AFA">
        <w:t>u</w:t>
      </w:r>
      <w:r w:rsidR="00016477">
        <w:t>r</w:t>
      </w:r>
      <w:r w:rsidR="007A5AFA">
        <w:t xml:space="preserve">e and can </w:t>
      </w:r>
      <w:r w:rsidR="00016477">
        <w:t>indicate</w:t>
      </w:r>
      <w:r w:rsidR="007A5AFA">
        <w:t xml:space="preserve"> </w:t>
      </w:r>
      <w:r w:rsidR="003100C0">
        <w:t xml:space="preserve">increased </w:t>
      </w:r>
      <w:r w:rsidR="00F85C9D">
        <w:rPr>
          <w:rFonts w:cs="Times"/>
        </w:rPr>
        <w:t>β</w:t>
      </w:r>
      <w:r w:rsidR="003100C0">
        <w:t>-sheet formation</w:t>
      </w:r>
      <w:r w:rsidR="000C22EF">
        <w:t>.</w:t>
      </w:r>
      <w:r w:rsidR="003100C0">
        <w:t xml:space="preserve"> </w:t>
      </w:r>
      <w:r w:rsidR="000C22EF">
        <w:t>A</w:t>
      </w:r>
      <w:r w:rsidR="00016477">
        <w:t xml:space="preserve">lternatively it may </w:t>
      </w:r>
      <w:r w:rsidR="000C22EF">
        <w:t>report on</w:t>
      </w:r>
      <w:r w:rsidR="00016477">
        <w:t xml:space="preserve"> Tyr/</w:t>
      </w:r>
      <w:proofErr w:type="spellStart"/>
      <w:r w:rsidR="00016477">
        <w:t>Trp</w:t>
      </w:r>
      <w:proofErr w:type="spellEnd"/>
      <w:r w:rsidR="00016477">
        <w:t>/</w:t>
      </w:r>
      <w:proofErr w:type="spellStart"/>
      <w:r w:rsidR="00016477">
        <w:t>Phe</w:t>
      </w:r>
      <w:proofErr w:type="spellEnd"/>
      <w:r w:rsidR="000C22EF">
        <w:t>,</w:t>
      </w:r>
      <w:r w:rsidR="00016477">
        <w:t xml:space="preserve"> where an increase in intensity would suggest unfolding. Ultimately these results suggest that incubation of lysozyme </w:t>
      </w:r>
      <w:r w:rsidR="000C22EF">
        <w:t>at high concentration may be de</w:t>
      </w:r>
      <w:r w:rsidR="002C52C0">
        <w:t>stabilising</w:t>
      </w:r>
      <w:r w:rsidR="00016477">
        <w:t xml:space="preserve"> </w:t>
      </w:r>
      <w:r w:rsidR="00F247BC">
        <w:t xml:space="preserve">the protein; </w:t>
      </w:r>
      <w:r w:rsidR="00016477">
        <w:t xml:space="preserve">this seems to be reversible as </w:t>
      </w:r>
      <w:r w:rsidR="00F247BC">
        <w:t>F</w:t>
      </w:r>
      <w:r w:rsidR="00016477">
        <w:t xml:space="preserve">igure </w:t>
      </w:r>
      <w:r w:rsidR="005F5A09">
        <w:t>5d</w:t>
      </w:r>
      <w:r w:rsidR="00016477">
        <w:t xml:space="preserve"> shows no </w:t>
      </w:r>
      <w:r w:rsidR="002C52C0">
        <w:t>secondary</w:t>
      </w:r>
      <w:r w:rsidR="00016477">
        <w:t xml:space="preserve"> structure change after free glucose removal from glycated albumin.</w:t>
      </w:r>
      <w:r w:rsidR="006F5D32">
        <w:fldChar w:fldCharType="begin" w:fldLock="1"/>
      </w:r>
      <w:r w:rsidR="006F5D32">
        <w:instrText>ADDIN CSL_CITATION {"citationItems":[{"id":"ITEM-1","itemData":{"DOI":"10.1016/j.bpj.2008.12.3901","ISSN":"1542-0086","PMID":"19289061","abstract":"The fibrillation propensity of the multidomain protein human serum albumin (HSA) was analyzed under different solution conditions. The aggregation kinetics, protein conformational changes upon self-assembly, and structure of the different intermediates on the fibrillation pathway were determined by means of thioflavin T (ThT) fluorescence and Congo Red absorbance; far- and near-ultraviolet circular dichroism; tryptophan fluorescence; Fourier transform infrared spectroscopy; x-ray diffraction; and transmission electron, scanning electron, atomic force, and microscopies. HSA fibrillation extends over several days of incubation without the presence of a lag phase, except for HSA samples incubated at acidic pH and room temperature in the absence of electrolyte. The absence of a lag phase occurs if the initial aggregation is a downhill process that does not require a highly organized and unstable nucleus. The fibrillation process is accompanied by a progressive increase in the beta-sheet (up to 26%) and unordered conformation at the expense of alpha-helical conformation, as revealed by ThT fluorescence and circular dichroism and Fourier transform infrared spectroscopies, but changes in the secondary structure contents depend on solution conditions. These changes also involve the presence of different structural intermediates in the aggregation pathway, such as oligomeric clusters (globules), bead-like structures, and ring-shaped aggregates. We suggest that fibril formation may take place through the role of association-competent oligomeric intermediates, resulting in a kinetic pathway via clustering of these oligomeric species to yield protofibrils and then fibrils. The resultant fibrils are elongated but curly, and differ in length depending on solution conditions. Under acidic conditions, circular fibrils are commonly observed if the fibrils are sufficiently flexible and long enough for the ends to find themselves regularly in close proximity to each other. These fibrils can be formed by an antiparallel arrangement of beta-strands forming the beta-sheet structure of the HSA fibrils as the most probable configuration. Very long incubation times lead to a more complex morphological variability of amyloid mature fibrils (i.e., long straight fibrils, flat-ribbon structures, laterally connected fibers, etc.). We also observed that mature straight fibrils can also grow by protein oligomers tending to align within the immediate vicinity of the fibers. This filame…","author":[{"dropping-particle":"","family":"Juárez","given":"Josué","non-dropping-particle":"","parse-names":false,"suffix":""},{"dropping-particle":"","family":"Taboada","given":"Pablo","non-dropping-particle":"","parse-names":false,"suffix":""},{"dropping-particle":"","family":"Mosquera","given":"Víctor","non-dropping-particle":"","parse-names":false,"suffix":""}],"container-title":"Biophysical journal","id":"ITEM-1","issue":"6","issued":{"date-parts":[["2009","3","18"]]},"page":"2353-70","publisher":"The Biophysical Society","title":"Existence of different structural intermediates on the fibrillation pathway of human serum albumin.","type":"article-journal","volume":"96"},"uris":["http://www.mendeley.com/documents/?uuid=507333fd-0262-3cbe-870b-ed3f03458720"]}],"mendeley":{"formattedCitation":"&lt;sup&gt;38&lt;/sup&gt;","plainTextFormattedCitation":"38","previouslyFormattedCitation":"&lt;sup&gt;38&lt;/sup&gt;"},"properties":{"noteIndex":0},"schema":"https://github.com/citation-style-language/schema/raw/master/csl-citation.json"}</w:instrText>
      </w:r>
      <w:r w:rsidR="006F5D32">
        <w:fldChar w:fldCharType="separate"/>
      </w:r>
      <w:r w:rsidR="006F5D32" w:rsidRPr="00375CAA">
        <w:rPr>
          <w:noProof/>
          <w:vertAlign w:val="superscript"/>
        </w:rPr>
        <w:t>38</w:t>
      </w:r>
      <w:r w:rsidR="006F5D32">
        <w:fldChar w:fldCharType="end"/>
      </w:r>
      <w:r w:rsidR="002C52C0">
        <w:t xml:space="preserve"> The peak at </w:t>
      </w:r>
      <w:r w:rsidR="005F5A09">
        <w:t>1365 cm</w:t>
      </w:r>
      <w:r w:rsidR="005F5A09" w:rsidRPr="002C52C0">
        <w:rPr>
          <w:vertAlign w:val="superscript"/>
        </w:rPr>
        <w:t>-1</w:t>
      </w:r>
      <w:r w:rsidR="005F5A09">
        <w:t xml:space="preserve"> is assigned to the CH</w:t>
      </w:r>
      <w:r w:rsidR="005F5A09" w:rsidRPr="002C52C0">
        <w:rPr>
          <w:vertAlign w:val="subscript"/>
        </w:rPr>
        <w:t>2</w:t>
      </w:r>
      <w:r w:rsidR="005F5A09">
        <w:t xml:space="preserve"> </w:t>
      </w:r>
      <w:r w:rsidR="002C52C0">
        <w:t>groups</w:t>
      </w:r>
      <w:r w:rsidR="005F5A09">
        <w:t xml:space="preserve"> of free glucose.  PC</w:t>
      </w:r>
      <w:r w:rsidR="002C52C0">
        <w:t xml:space="preserve"> </w:t>
      </w:r>
      <w:r w:rsidR="005F5A09">
        <w:t xml:space="preserve">1 also shows that there is loss of a peak at </w:t>
      </w:r>
      <w:r w:rsidR="00016477">
        <w:t>937 cm</w:t>
      </w:r>
      <w:r w:rsidR="00016477" w:rsidRPr="002C52C0">
        <w:rPr>
          <w:vertAlign w:val="superscript"/>
        </w:rPr>
        <w:t>-1</w:t>
      </w:r>
      <w:r w:rsidR="005F5A09">
        <w:t xml:space="preserve"> in the </w:t>
      </w:r>
      <w:r w:rsidR="002C52C0">
        <w:t>glucose</w:t>
      </w:r>
      <w:r w:rsidR="005F5A09">
        <w:t xml:space="preserve"> s</w:t>
      </w:r>
      <w:r w:rsidR="002C52C0">
        <w:t>pi</w:t>
      </w:r>
      <w:r w:rsidR="005F5A09">
        <w:t xml:space="preserve">ked samples </w:t>
      </w:r>
      <w:r w:rsidR="002C52C0">
        <w:t>assigned</w:t>
      </w:r>
      <w:r w:rsidR="00016477">
        <w:t xml:space="preserve"> </w:t>
      </w:r>
      <w:r w:rsidR="005F5A09">
        <w:t>to</w:t>
      </w:r>
      <w:r w:rsidR="00016477">
        <w:t xml:space="preserve"> N-C-C </w:t>
      </w:r>
      <w:r w:rsidR="005F5A09">
        <w:t xml:space="preserve">which </w:t>
      </w:r>
      <w:r w:rsidR="002C52C0">
        <w:t>i</w:t>
      </w:r>
      <w:r w:rsidR="005F5A09">
        <w:t xml:space="preserve">s </w:t>
      </w:r>
      <w:r w:rsidR="002C52C0">
        <w:t>usually</w:t>
      </w:r>
      <w:r w:rsidR="005F5A09">
        <w:t xml:space="preserve"> vibration</w:t>
      </w:r>
      <w:r w:rsidR="002C52C0">
        <w:t>s</w:t>
      </w:r>
      <w:r w:rsidR="005F5A09">
        <w:t xml:space="preserve"> from the protein backbone</w:t>
      </w:r>
      <w:r w:rsidR="000C22EF">
        <w:t>.</w:t>
      </w:r>
      <w:r w:rsidR="005F5A09">
        <w:t xml:space="preserve"> </w:t>
      </w:r>
      <w:r w:rsidR="000C22EF">
        <w:t>H</w:t>
      </w:r>
      <w:r w:rsidR="002C52C0">
        <w:t>owever</w:t>
      </w:r>
      <w:r w:rsidR="000C22EF">
        <w:t>,</w:t>
      </w:r>
      <w:r w:rsidR="005F5A09">
        <w:t xml:space="preserve"> a peak at 940 cm</w:t>
      </w:r>
      <w:r w:rsidR="005F5A09" w:rsidRPr="002C52C0">
        <w:rPr>
          <w:vertAlign w:val="superscript"/>
        </w:rPr>
        <w:t>-1</w:t>
      </w:r>
      <w:r w:rsidR="005F5A09">
        <w:t xml:space="preserve"> is also </w:t>
      </w:r>
      <w:r w:rsidR="002C52C0">
        <w:t>dominant</w:t>
      </w:r>
      <w:r w:rsidR="005F5A09">
        <w:t xml:space="preserve"> in PC 2 in the glycated </w:t>
      </w:r>
      <w:r w:rsidR="002C52C0">
        <w:t>samples</w:t>
      </w:r>
      <w:r w:rsidR="005F5A09">
        <w:t xml:space="preserve"> and therefore it could be N-C-C </w:t>
      </w:r>
      <w:r w:rsidR="002C52C0">
        <w:t>vibrations</w:t>
      </w:r>
      <w:r w:rsidR="005F5A09">
        <w:t xml:space="preserve"> from the formation</w:t>
      </w:r>
      <w:r w:rsidR="002C52C0">
        <w:t xml:space="preserve"> of </w:t>
      </w:r>
      <w:proofErr w:type="spellStart"/>
      <w:r w:rsidR="005F5A09">
        <w:t>Amad</w:t>
      </w:r>
      <w:r w:rsidR="002C52C0">
        <w:t>o</w:t>
      </w:r>
      <w:r w:rsidR="000C22EF">
        <w:t>ri</w:t>
      </w:r>
      <w:proofErr w:type="spellEnd"/>
      <w:r w:rsidR="000C22EF">
        <w:t xml:space="preserve"> products</w:t>
      </w:r>
      <w:r w:rsidR="005F5A09">
        <w:t xml:space="preserve">. </w:t>
      </w:r>
      <w:r w:rsidR="00771AE0">
        <w:t>PC</w:t>
      </w:r>
      <w:r w:rsidR="00702697">
        <w:t xml:space="preserve"> </w:t>
      </w:r>
      <w:r w:rsidR="00771AE0">
        <w:t xml:space="preserve">2 </w:t>
      </w:r>
      <w:r w:rsidR="002E3288">
        <w:t>also</w:t>
      </w:r>
      <w:r w:rsidR="003E5070">
        <w:t xml:space="preserve"> highlights</w:t>
      </w:r>
      <w:r w:rsidR="002E3288">
        <w:t xml:space="preserve"> peak</w:t>
      </w:r>
      <w:r w:rsidR="000C22EF">
        <w:t>s</w:t>
      </w:r>
      <w:r w:rsidR="002E3288">
        <w:t xml:space="preserve"> at 1040 cm</w:t>
      </w:r>
      <w:r w:rsidR="002E3288" w:rsidRPr="00CC18A8">
        <w:rPr>
          <w:vertAlign w:val="superscript"/>
        </w:rPr>
        <w:t>-1</w:t>
      </w:r>
      <w:r w:rsidR="005F5A09">
        <w:t>and 1083 cm</w:t>
      </w:r>
      <w:r w:rsidR="005F5A09" w:rsidRPr="002C52C0">
        <w:rPr>
          <w:vertAlign w:val="superscript"/>
        </w:rPr>
        <w:t>-1</w:t>
      </w:r>
      <w:r w:rsidR="005F5A09">
        <w:t xml:space="preserve"> in the </w:t>
      </w:r>
      <w:r w:rsidR="002C52C0">
        <w:t>sugar</w:t>
      </w:r>
      <w:r w:rsidR="005F5A09">
        <w:t xml:space="preserve"> region. </w:t>
      </w:r>
      <w:r w:rsidR="002C52C0">
        <w:t>T</w:t>
      </w:r>
      <w:r w:rsidR="005F5A09">
        <w:t xml:space="preserve">he </w:t>
      </w:r>
      <w:r w:rsidR="002C52C0">
        <w:t>p</w:t>
      </w:r>
      <w:r w:rsidR="005F5A09">
        <w:t>eak at 1</w:t>
      </w:r>
      <w:r w:rsidR="002C52C0">
        <w:t>040</w:t>
      </w:r>
      <w:r w:rsidR="005F5A09">
        <w:t xml:space="preserve"> cm</w:t>
      </w:r>
      <w:r w:rsidR="005F5A09" w:rsidRPr="002C52C0">
        <w:rPr>
          <w:vertAlign w:val="superscript"/>
        </w:rPr>
        <w:t>-1</w:t>
      </w:r>
      <w:r w:rsidR="002C52C0">
        <w:t xml:space="preserve">, </w:t>
      </w:r>
      <w:r w:rsidR="005F5A09">
        <w:t xml:space="preserve">similarly </w:t>
      </w:r>
      <w:r w:rsidR="000C22EF">
        <w:t>to</w:t>
      </w:r>
      <w:r w:rsidR="005F5A09">
        <w:t xml:space="preserve"> lysozyme</w:t>
      </w:r>
      <w:r w:rsidR="002C52C0">
        <w:t>,</w:t>
      </w:r>
      <w:r w:rsidR="005F5A09">
        <w:t xml:space="preserve"> shows an increase in intensity</w:t>
      </w:r>
      <w:r w:rsidR="000C22EF">
        <w:t>,</w:t>
      </w:r>
      <w:r w:rsidR="005F5A09">
        <w:t xml:space="preserve"> whereas the peak at 1086 cm</w:t>
      </w:r>
      <w:r w:rsidR="005F5A09" w:rsidRPr="002C52C0">
        <w:rPr>
          <w:vertAlign w:val="superscript"/>
        </w:rPr>
        <w:t>-1</w:t>
      </w:r>
      <w:r w:rsidR="005F5A09">
        <w:t xml:space="preserve"> is only present in the glycated samples in PC 2.</w:t>
      </w:r>
      <w:r w:rsidR="002E3288">
        <w:t xml:space="preserve"> T</w:t>
      </w:r>
      <w:r w:rsidR="00771AE0">
        <w:t>h</w:t>
      </w:r>
      <w:r w:rsidR="005F5A09">
        <w:t>ese peak</w:t>
      </w:r>
      <w:r w:rsidR="002C52C0">
        <w:t>s</w:t>
      </w:r>
      <w:r w:rsidR="005F5A09">
        <w:t xml:space="preserve"> are</w:t>
      </w:r>
      <w:r w:rsidR="00771AE0">
        <w:t xml:space="preserve"> not</w:t>
      </w:r>
      <w:r w:rsidR="002E3288">
        <w:t xml:space="preserve"> assigned to free</w:t>
      </w:r>
      <w:r w:rsidR="00771AE0">
        <w:t xml:space="preserve"> gluc</w:t>
      </w:r>
      <w:r w:rsidR="002D0E5B">
        <w:t xml:space="preserve">ose in the same </w:t>
      </w:r>
      <w:r w:rsidR="00AE1536">
        <w:t>buffer (</w:t>
      </w:r>
      <w:r w:rsidR="00F247BC">
        <w:t xml:space="preserve">Figure </w:t>
      </w:r>
      <w:r w:rsidR="002D0E5B">
        <w:t>S8</w:t>
      </w:r>
      <w:r w:rsidR="00AE1536">
        <w:t>)</w:t>
      </w:r>
      <w:r w:rsidR="00E07429">
        <w:t xml:space="preserve">. </w:t>
      </w:r>
      <w:r w:rsidR="00CE5405">
        <w:t xml:space="preserve">Overall the peak at </w:t>
      </w:r>
      <w:r w:rsidR="00D66090">
        <w:t>1027/1030 cm</w:t>
      </w:r>
      <w:r w:rsidR="00D66090" w:rsidRPr="00AA23F7">
        <w:rPr>
          <w:vertAlign w:val="superscript"/>
        </w:rPr>
        <w:t>-1</w:t>
      </w:r>
      <w:r w:rsidR="00D66090">
        <w:t xml:space="preserve"> in FTIR-ATR for glycated lysozyme and the peaks at </w:t>
      </w:r>
      <w:r w:rsidR="002E3288">
        <w:t>1040</w:t>
      </w:r>
      <w:r w:rsidR="00CE5405">
        <w:t>/1038</w:t>
      </w:r>
      <w:r w:rsidR="00771AE0">
        <w:t xml:space="preserve"> cm</w:t>
      </w:r>
      <w:r w:rsidR="00771AE0" w:rsidRPr="00CC18A8">
        <w:rPr>
          <w:vertAlign w:val="superscript"/>
        </w:rPr>
        <w:t>-1</w:t>
      </w:r>
      <w:r w:rsidR="005F5A09">
        <w:t xml:space="preserve"> and 1121</w:t>
      </w:r>
      <w:r w:rsidR="002C52C0">
        <w:t xml:space="preserve"> cm</w:t>
      </w:r>
      <w:r w:rsidR="002C52C0" w:rsidRPr="002C52C0">
        <w:rPr>
          <w:vertAlign w:val="superscript"/>
        </w:rPr>
        <w:t>-1</w:t>
      </w:r>
      <w:r w:rsidR="005F5A09">
        <w:t xml:space="preserve"> </w:t>
      </w:r>
      <w:r w:rsidR="00CC18A8">
        <w:t xml:space="preserve">in </w:t>
      </w:r>
      <w:r w:rsidR="00D66090">
        <w:t xml:space="preserve">Raman </w:t>
      </w:r>
      <w:r w:rsidR="00CE5405">
        <w:t>for</w:t>
      </w:r>
      <w:r w:rsidR="00D66090">
        <w:t xml:space="preserve"> both lysozyme</w:t>
      </w:r>
      <w:r w:rsidR="00CE5405">
        <w:t xml:space="preserve"> </w:t>
      </w:r>
      <w:r w:rsidR="00D66090">
        <w:t>and</w:t>
      </w:r>
      <w:r w:rsidR="00CE5405">
        <w:t xml:space="preserve"> </w:t>
      </w:r>
      <w:r w:rsidR="00765F56">
        <w:t>albumin</w:t>
      </w:r>
      <w:r w:rsidR="000C22EF">
        <w:t xml:space="preserve"> seem</w:t>
      </w:r>
      <w:r w:rsidR="00CE5405">
        <w:t xml:space="preserve"> to be </w:t>
      </w:r>
      <w:r w:rsidR="002C52C0">
        <w:t>increasing in intensity in</w:t>
      </w:r>
      <w:r w:rsidR="00CE5405">
        <w:t xml:space="preserve"> </w:t>
      </w:r>
      <w:r w:rsidR="00CE5405">
        <w:lastRenderedPageBreak/>
        <w:t>glycated only samples.</w:t>
      </w:r>
      <w:r w:rsidR="002C52C0">
        <w:t xml:space="preserve"> Albumin shows a further peak at 1086 cm</w:t>
      </w:r>
      <w:r w:rsidR="002C52C0" w:rsidRPr="0005040A">
        <w:rPr>
          <w:vertAlign w:val="superscript"/>
        </w:rPr>
        <w:t>-</w:t>
      </w:r>
      <w:r w:rsidR="002C52C0" w:rsidRPr="002C52C0">
        <w:rPr>
          <w:vertAlign w:val="superscript"/>
        </w:rPr>
        <w:t>1</w:t>
      </w:r>
      <w:r w:rsidR="002C52C0">
        <w:t xml:space="preserve"> that is only present in glycated samples.</w:t>
      </w:r>
      <w:r w:rsidR="00B83628">
        <w:t xml:space="preserve"> These peaks all originate from the C-O vibrations</w:t>
      </w:r>
      <w:r w:rsidR="002C52C0">
        <w:t xml:space="preserve"> and are within the sugar region of a Raman spectrum.</w:t>
      </w:r>
    </w:p>
    <w:p w14:paraId="61C1366F" w14:textId="343837AE" w:rsidR="00FD4714" w:rsidRDefault="009E7B21" w:rsidP="00CB643B">
      <w:pPr>
        <w:keepNext/>
        <w:jc w:val="left"/>
        <w:rPr>
          <w:b/>
        </w:rPr>
      </w:pPr>
      <w:r w:rsidRPr="009E7B21">
        <w:rPr>
          <w:b/>
        </w:rPr>
        <w:t>Quantific</w:t>
      </w:r>
      <w:r w:rsidR="005F5B55" w:rsidRPr="009E7B21">
        <w:rPr>
          <w:b/>
        </w:rPr>
        <w:t>ation of glycation</w:t>
      </w:r>
    </w:p>
    <w:p w14:paraId="5FB9B6B3" w14:textId="6CB5F4B3" w:rsidR="00CE5405" w:rsidRPr="00CE5405" w:rsidRDefault="00CE5405" w:rsidP="00DC4421">
      <w:pPr>
        <w:keepNext/>
        <w:spacing w:line="480" w:lineRule="auto"/>
      </w:pPr>
      <w:r w:rsidRPr="00CE5405">
        <w:t>In order to determine</w:t>
      </w:r>
      <w:r>
        <w:t xml:space="preserve"> the </w:t>
      </w:r>
      <w:r w:rsidRPr="00CE5405">
        <w:t xml:space="preserve">ability of Raman </w:t>
      </w:r>
      <w:r w:rsidR="00007216">
        <w:t>to quantify</w:t>
      </w:r>
      <w:r w:rsidRPr="00CE5405">
        <w:t xml:space="preserve"> </w:t>
      </w:r>
      <w:r w:rsidR="00007216">
        <w:t>the extent of glycation in lysozyme,</w:t>
      </w:r>
      <w:r w:rsidR="00DC4421">
        <w:t xml:space="preserve"> we used PLSR to generate</w:t>
      </w:r>
      <w:r w:rsidR="000A328C">
        <w:t xml:space="preserve"> a</w:t>
      </w:r>
      <w:r w:rsidR="00DC4421">
        <w:t xml:space="preserve"> linear predictive model</w:t>
      </w:r>
      <w:r w:rsidR="00057B0B">
        <w:t>.  T</w:t>
      </w:r>
      <w:r w:rsidR="00DC4421">
        <w:t xml:space="preserve">o </w:t>
      </w:r>
      <w:r w:rsidR="000A328C">
        <w:t>produce</w:t>
      </w:r>
      <w:r w:rsidR="00DC4421">
        <w:t xml:space="preserve"> samples</w:t>
      </w:r>
      <w:r w:rsidR="00057B0B">
        <w:t xml:space="preserve"> </w:t>
      </w:r>
      <w:r w:rsidR="00DC4421">
        <w:t xml:space="preserve">for liquid </w:t>
      </w:r>
      <w:r w:rsidR="00057B0B">
        <w:t>Raman</w:t>
      </w:r>
      <w:r w:rsidR="00DC4421">
        <w:t xml:space="preserve"> </w:t>
      </w:r>
      <w:r w:rsidR="00057B0B">
        <w:t>analysis,</w:t>
      </w:r>
      <w:r w:rsidR="00DC4421">
        <w:t xml:space="preserve"> a larger </w:t>
      </w:r>
      <w:r w:rsidR="00057B0B">
        <w:t>incubation volume</w:t>
      </w:r>
      <w:r w:rsidR="00DC4421">
        <w:t xml:space="preserve"> was </w:t>
      </w:r>
      <w:r w:rsidR="00F247BC">
        <w:t>need</w:t>
      </w:r>
      <w:r w:rsidR="00B350E8">
        <w:t>ed</w:t>
      </w:r>
      <w:r w:rsidR="00F247BC">
        <w:t xml:space="preserve"> </w:t>
      </w:r>
      <w:r w:rsidR="00DC4421">
        <w:t>in which lysozyme was glycated using the same conditions as before</w:t>
      </w:r>
      <w:r w:rsidR="00B350E8">
        <w:t>,</w:t>
      </w:r>
      <w:r w:rsidR="00DC4421">
        <w:t xml:space="preserve"> but in two large vial</w:t>
      </w:r>
      <w:r w:rsidR="00057B0B">
        <w:t>s of 1</w:t>
      </w:r>
      <w:r w:rsidR="00DC4421">
        <w:t xml:space="preserve">00 </w:t>
      </w:r>
      <w:r w:rsidR="00F247BC">
        <w:t xml:space="preserve">mL </w:t>
      </w:r>
      <w:r w:rsidR="00DC4421">
        <w:t xml:space="preserve">each for </w:t>
      </w:r>
      <w:r w:rsidR="00B84FD7">
        <w:t>control</w:t>
      </w:r>
      <w:r w:rsidR="00DC4421">
        <w:t xml:space="preserve"> </w:t>
      </w:r>
      <w:r w:rsidR="00285D7E">
        <w:t>(without glucose) and glycated (</w:t>
      </w:r>
      <w:r w:rsidR="00DC4421">
        <w:t>with 0.5 M glucose)</w:t>
      </w:r>
      <w:r w:rsidR="00007216">
        <w:t>.</w:t>
      </w:r>
      <w:r w:rsidR="00DC4421">
        <w:t xml:space="preserve"> </w:t>
      </w:r>
      <w:r w:rsidR="00007216">
        <w:t>T</w:t>
      </w:r>
      <w:r w:rsidR="00DC4421">
        <w:t>he sa</w:t>
      </w:r>
      <w:r w:rsidR="001C6CE8">
        <w:t>m</w:t>
      </w:r>
      <w:r w:rsidR="00DC4421">
        <w:t xml:space="preserve">ples were </w:t>
      </w:r>
      <w:r w:rsidR="001C6CE8">
        <w:t>again</w:t>
      </w:r>
      <w:r w:rsidR="00DC4421">
        <w:t xml:space="preserve"> filter buffer </w:t>
      </w:r>
      <w:r w:rsidR="001C6CE8">
        <w:t>exchanged</w:t>
      </w:r>
      <w:r w:rsidR="00DC4421">
        <w:t xml:space="preserve"> into </w:t>
      </w:r>
      <w:r w:rsidR="00BA692E">
        <w:t>25 mM MOPS</w:t>
      </w:r>
      <w:r w:rsidR="005B2F22">
        <w:t>, 11</w:t>
      </w:r>
      <w:r w:rsidR="001C6CE8">
        <w:t xml:space="preserve">5 mM </w:t>
      </w:r>
      <w:proofErr w:type="spellStart"/>
      <w:r w:rsidR="00DC4421">
        <w:t>NaCL</w:t>
      </w:r>
      <w:proofErr w:type="spellEnd"/>
      <w:r w:rsidR="001C6CE8">
        <w:t xml:space="preserve"> at pH 7.4</w:t>
      </w:r>
      <w:r w:rsidR="00DC4421">
        <w:t xml:space="preserve"> and were </w:t>
      </w:r>
      <w:r w:rsidR="001C6CE8">
        <w:t>concentrated</w:t>
      </w:r>
      <w:r w:rsidR="00DC4421">
        <w:t xml:space="preserve"> to 12 mg/</w:t>
      </w:r>
      <w:proofErr w:type="spellStart"/>
      <w:r w:rsidR="00DC4421">
        <w:t>m</w:t>
      </w:r>
      <w:r w:rsidR="00F247BC">
        <w:t>L</w:t>
      </w:r>
      <w:r w:rsidR="0026593E">
        <w:t>.</w:t>
      </w:r>
      <w:proofErr w:type="spellEnd"/>
      <w:r w:rsidR="00DC4421">
        <w:t xml:space="preserve"> From these samples</w:t>
      </w:r>
      <w:r w:rsidR="00007216">
        <w:t>,</w:t>
      </w:r>
      <w:r w:rsidR="00DC4421">
        <w:t xml:space="preserve"> a </w:t>
      </w:r>
      <w:r w:rsidR="001C6CE8">
        <w:t>conce</w:t>
      </w:r>
      <w:r w:rsidR="00007216">
        <w:t>n</w:t>
      </w:r>
      <w:r w:rsidR="001C6CE8">
        <w:t>t</w:t>
      </w:r>
      <w:r w:rsidR="000C519B">
        <w:t>r</w:t>
      </w:r>
      <w:r w:rsidR="001C6CE8">
        <w:t>ation</w:t>
      </w:r>
      <w:r w:rsidR="00DC4421">
        <w:t xml:space="preserve"> gradient wa</w:t>
      </w:r>
      <w:r w:rsidR="000A0E1C">
        <w:t xml:space="preserve">s created </w:t>
      </w:r>
      <w:r w:rsidR="00007216">
        <w:t>(</w:t>
      </w:r>
      <w:r w:rsidR="00F247BC">
        <w:t xml:space="preserve">Table </w:t>
      </w:r>
      <w:r w:rsidR="000A0E1C">
        <w:t>S7</w:t>
      </w:r>
      <w:r w:rsidR="00007216">
        <w:t>),</w:t>
      </w:r>
      <w:r w:rsidR="00DC4421">
        <w:t xml:space="preserve"> where we had con</w:t>
      </w:r>
      <w:r w:rsidR="00285D7E">
        <w:t>cent</w:t>
      </w:r>
      <w:r w:rsidR="00DC4421">
        <w:t xml:space="preserve">rations of glycated </w:t>
      </w:r>
      <w:r w:rsidR="00007216">
        <w:t>mixed with</w:t>
      </w:r>
      <w:r w:rsidR="00B84FD7">
        <w:t xml:space="preserve"> control</w:t>
      </w:r>
      <w:r w:rsidR="00DC4421">
        <w:t xml:space="preserve"> samples to create a </w:t>
      </w:r>
      <w:r w:rsidR="00007216">
        <w:t xml:space="preserve">total </w:t>
      </w:r>
      <w:r w:rsidR="00DC4421">
        <w:t>v</w:t>
      </w:r>
      <w:r w:rsidR="00285D7E">
        <w:t xml:space="preserve">olume of 360 </w:t>
      </w:r>
      <w:r w:rsidR="00F247BC">
        <w:rPr>
          <w:rFonts w:cs="Times"/>
        </w:rPr>
        <w:t>µ</w:t>
      </w:r>
      <w:r w:rsidR="00F247BC">
        <w:t xml:space="preserve">L </w:t>
      </w:r>
      <w:r w:rsidR="00007216">
        <w:t>and</w:t>
      </w:r>
      <w:r w:rsidR="000C519B">
        <w:t xml:space="preserve"> </w:t>
      </w:r>
      <w:r w:rsidR="00285D7E">
        <w:t xml:space="preserve">a concentration gradient of </w:t>
      </w:r>
      <w:r w:rsidR="00C90CD0">
        <w:t>0</w:t>
      </w:r>
      <w:r w:rsidR="00810055">
        <w:t xml:space="preserve"> </w:t>
      </w:r>
      <w:r w:rsidR="00C90CD0">
        <w:t>% to 100 % glycated in increments of ~6 %.</w:t>
      </w:r>
      <w:r w:rsidR="00DC4421">
        <w:t xml:space="preserve"> </w:t>
      </w:r>
      <w:r w:rsidR="002C4911">
        <w:t xml:space="preserve"> As the lysozyme could have anywhere between 0 – 3 </w:t>
      </w:r>
      <w:r w:rsidR="00285D7E">
        <w:t>lysine</w:t>
      </w:r>
      <w:r w:rsidR="000C519B">
        <w:t xml:space="preserve"> residues</w:t>
      </w:r>
      <w:r w:rsidR="00285D7E">
        <w:t xml:space="preserve"> glycated</w:t>
      </w:r>
      <w:r w:rsidR="0026593E">
        <w:t>,</w:t>
      </w:r>
      <w:r w:rsidR="00285D7E">
        <w:t xml:space="preserve"> the</w:t>
      </w:r>
      <w:r w:rsidR="00691261">
        <w:t xml:space="preserve"> known</w:t>
      </w:r>
      <w:r w:rsidR="00285D7E">
        <w:t xml:space="preserve"> % glycation</w:t>
      </w:r>
      <w:r w:rsidR="002C4911">
        <w:t xml:space="preserve"> was an approximation. </w:t>
      </w:r>
      <w:r w:rsidR="00C90CD0">
        <w:t xml:space="preserve">This generated a total </w:t>
      </w:r>
      <w:r w:rsidR="00C90CD0">
        <w:lastRenderedPageBreak/>
        <w:t>of 19 samples</w:t>
      </w:r>
      <w:r w:rsidR="00A85412">
        <w:t>, three</w:t>
      </w:r>
      <w:r w:rsidR="00492852">
        <w:t xml:space="preserve"> of which were removed due</w:t>
      </w:r>
      <w:r w:rsidR="002859BC">
        <w:t xml:space="preserve"> to</w:t>
      </w:r>
      <w:r w:rsidR="00492852">
        <w:t xml:space="preserve"> being outliers</w:t>
      </w:r>
      <w:r w:rsidR="00AA23F7">
        <w:t>,</w:t>
      </w:r>
      <w:r w:rsidR="00057B0B">
        <w:t xml:space="preserve"> </w:t>
      </w:r>
      <w:r w:rsidR="00492852">
        <w:t xml:space="preserve">leaving a </w:t>
      </w:r>
      <w:r w:rsidR="00AE1E43">
        <w:t>total</w:t>
      </w:r>
      <w:r w:rsidR="00492852">
        <w:t xml:space="preserve"> of 16 samples</w:t>
      </w:r>
      <w:r w:rsidR="00285D7E">
        <w:t>,</w:t>
      </w:r>
      <w:r w:rsidR="00492852">
        <w:t xml:space="preserve"> 8 of which were used for a training set and 8 for the test set. </w:t>
      </w:r>
    </w:p>
    <w:p w14:paraId="3E19C57A" w14:textId="030E071F" w:rsidR="00637228" w:rsidRDefault="00C46B06" w:rsidP="00E02C87">
      <w:pPr>
        <w:keepNext/>
        <w:jc w:val="center"/>
      </w:pPr>
      <w:r>
        <w:rPr>
          <w:noProof/>
          <w:lang w:val="en-GB" w:eastAsia="en-GB"/>
        </w:rPr>
        <w:drawing>
          <wp:inline distT="0" distB="0" distL="0" distR="0" wp14:anchorId="5109CCE1" wp14:editId="363580F8">
            <wp:extent cx="5743575" cy="32280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3228048"/>
                    </a:xfrm>
                    <a:prstGeom prst="rect">
                      <a:avLst/>
                    </a:prstGeom>
                    <a:noFill/>
                  </pic:spPr>
                </pic:pic>
              </a:graphicData>
            </a:graphic>
          </wp:inline>
        </w:drawing>
      </w:r>
    </w:p>
    <w:p w14:paraId="6448F106" w14:textId="2C4AC289" w:rsidR="001C6CE8" w:rsidRPr="00DD6B28" w:rsidRDefault="00637228" w:rsidP="00637228">
      <w:pPr>
        <w:pStyle w:val="Caption"/>
        <w:rPr>
          <w:i w:val="0"/>
          <w:color w:val="auto"/>
          <w:sz w:val="24"/>
        </w:rPr>
      </w:pPr>
      <w:r w:rsidRPr="00E02C87">
        <w:rPr>
          <w:i w:val="0"/>
          <w:color w:val="auto"/>
          <w:sz w:val="24"/>
        </w:rPr>
        <w:t xml:space="preserve">Figure </w:t>
      </w:r>
      <w:r w:rsidRPr="00E02C87">
        <w:rPr>
          <w:i w:val="0"/>
          <w:color w:val="auto"/>
          <w:sz w:val="24"/>
        </w:rPr>
        <w:fldChar w:fldCharType="begin"/>
      </w:r>
      <w:r w:rsidRPr="00E02C87">
        <w:rPr>
          <w:i w:val="0"/>
          <w:color w:val="auto"/>
          <w:sz w:val="24"/>
        </w:rPr>
        <w:instrText xml:space="preserve"> SEQ Figure \* ARABIC </w:instrText>
      </w:r>
      <w:r w:rsidRPr="00E02C87">
        <w:rPr>
          <w:i w:val="0"/>
          <w:color w:val="auto"/>
          <w:sz w:val="24"/>
        </w:rPr>
        <w:fldChar w:fldCharType="separate"/>
      </w:r>
      <w:r w:rsidR="009E7B21" w:rsidRPr="00E02C87">
        <w:rPr>
          <w:i w:val="0"/>
          <w:noProof/>
          <w:color w:val="auto"/>
          <w:sz w:val="24"/>
        </w:rPr>
        <w:t>6</w:t>
      </w:r>
      <w:r w:rsidRPr="00E02C87">
        <w:rPr>
          <w:i w:val="0"/>
          <w:color w:val="auto"/>
          <w:sz w:val="24"/>
        </w:rPr>
        <w:fldChar w:fldCharType="end"/>
      </w:r>
      <w:r w:rsidR="00DD6B28">
        <w:rPr>
          <w:i w:val="0"/>
          <w:color w:val="auto"/>
          <w:sz w:val="24"/>
        </w:rPr>
        <w:t xml:space="preserve">. </w:t>
      </w:r>
      <w:r w:rsidR="008925B7" w:rsidRPr="00E02C87">
        <w:rPr>
          <w:i w:val="0"/>
          <w:color w:val="auto"/>
          <w:sz w:val="24"/>
        </w:rPr>
        <w:t xml:space="preserve"> </w:t>
      </w:r>
      <w:r w:rsidR="004D2505">
        <w:rPr>
          <w:i w:val="0"/>
          <w:color w:val="auto"/>
          <w:sz w:val="24"/>
        </w:rPr>
        <w:t>PLSR linear predictive model of % glycation of Lysozyme from 0 to 100% in ~6 % increments</w:t>
      </w:r>
      <w:r w:rsidR="006C299E">
        <w:rPr>
          <w:i w:val="0"/>
          <w:color w:val="auto"/>
          <w:sz w:val="24"/>
        </w:rPr>
        <w:t xml:space="preserve"> totaling 16 concentrations. The model was built on 8 data sets</w:t>
      </w:r>
      <w:r w:rsidR="00EE3FD9">
        <w:rPr>
          <w:i w:val="0"/>
          <w:color w:val="auto"/>
          <w:sz w:val="24"/>
        </w:rPr>
        <w:t xml:space="preserve"> each with three</w:t>
      </w:r>
      <w:r w:rsidR="006C299E">
        <w:rPr>
          <w:i w:val="0"/>
          <w:color w:val="auto"/>
          <w:sz w:val="24"/>
        </w:rPr>
        <w:t xml:space="preserve"> spectral repeats</w:t>
      </w:r>
      <w:r w:rsidR="0018584B">
        <w:rPr>
          <w:i w:val="0"/>
          <w:color w:val="auto"/>
          <w:sz w:val="24"/>
        </w:rPr>
        <w:t>.</w:t>
      </w:r>
      <w:r w:rsidR="006C299E">
        <w:rPr>
          <w:i w:val="0"/>
          <w:color w:val="auto"/>
          <w:sz w:val="24"/>
        </w:rPr>
        <w:t xml:space="preserve"> The model was tested on the remaining 8 data sets. </w:t>
      </w:r>
      <w:r w:rsidR="00DD6B28">
        <w:rPr>
          <w:i w:val="0"/>
          <w:color w:val="auto"/>
          <w:sz w:val="24"/>
        </w:rPr>
        <w:t xml:space="preserve">The model test set had a </w:t>
      </w:r>
      <w:r w:rsidR="00DD6B28" w:rsidRPr="00BA692E">
        <w:rPr>
          <w:color w:val="auto"/>
          <w:sz w:val="24"/>
        </w:rPr>
        <w:t>Q</w:t>
      </w:r>
      <w:r w:rsidR="00DD6B28" w:rsidRPr="00BA692E">
        <w:rPr>
          <w:color w:val="auto"/>
          <w:sz w:val="24"/>
          <w:vertAlign w:val="superscript"/>
        </w:rPr>
        <w:t>2</w:t>
      </w:r>
      <w:r w:rsidR="00EE3FD9">
        <w:rPr>
          <w:i w:val="0"/>
          <w:color w:val="auto"/>
          <w:sz w:val="24"/>
        </w:rPr>
        <w:t xml:space="preserve">p of 0.97 and an </w:t>
      </w:r>
      <w:proofErr w:type="spellStart"/>
      <w:r w:rsidR="00EE3FD9">
        <w:rPr>
          <w:i w:val="0"/>
          <w:color w:val="auto"/>
          <w:sz w:val="24"/>
        </w:rPr>
        <w:t>RMSEp</w:t>
      </w:r>
      <w:proofErr w:type="spellEnd"/>
      <w:r w:rsidR="00EE3FD9">
        <w:rPr>
          <w:i w:val="0"/>
          <w:color w:val="auto"/>
          <w:sz w:val="24"/>
        </w:rPr>
        <w:t xml:space="preserve"> of 5.53</w:t>
      </w:r>
      <w:r w:rsidR="00DD6B28">
        <w:rPr>
          <w:i w:val="0"/>
          <w:color w:val="auto"/>
          <w:sz w:val="24"/>
        </w:rPr>
        <w:t>%.</w:t>
      </w:r>
    </w:p>
    <w:p w14:paraId="5D736C5F" w14:textId="3A29FD06" w:rsidR="00810055" w:rsidRPr="00E02C87" w:rsidRDefault="00810055" w:rsidP="00810055">
      <w:pPr>
        <w:pStyle w:val="Caption"/>
        <w:keepNext/>
        <w:rPr>
          <w:i w:val="0"/>
          <w:color w:val="auto"/>
          <w:sz w:val="24"/>
        </w:rPr>
      </w:pPr>
      <w:r w:rsidRPr="00E02C87">
        <w:rPr>
          <w:i w:val="0"/>
          <w:color w:val="auto"/>
          <w:sz w:val="24"/>
        </w:rPr>
        <w:t xml:space="preserve">Table </w:t>
      </w:r>
      <w:r w:rsidR="004D2505">
        <w:rPr>
          <w:i w:val="0"/>
          <w:color w:val="auto"/>
          <w:sz w:val="24"/>
        </w:rPr>
        <w:t>3</w:t>
      </w:r>
      <w:r w:rsidR="00DD6B28">
        <w:rPr>
          <w:i w:val="0"/>
          <w:color w:val="auto"/>
          <w:sz w:val="24"/>
        </w:rPr>
        <w:t>. Summary of the statistical analysis of the PLSR predictive model.</w:t>
      </w:r>
    </w:p>
    <w:tbl>
      <w:tblPr>
        <w:tblW w:w="5757" w:type="dxa"/>
        <w:jc w:val="center"/>
        <w:tblCellMar>
          <w:left w:w="0" w:type="dxa"/>
          <w:right w:w="0" w:type="dxa"/>
        </w:tblCellMar>
        <w:tblLook w:val="0420" w:firstRow="1" w:lastRow="0" w:firstColumn="0" w:lastColumn="0" w:noHBand="0" w:noVBand="1"/>
      </w:tblPr>
      <w:tblGrid>
        <w:gridCol w:w="2670"/>
        <w:gridCol w:w="1995"/>
        <w:gridCol w:w="1092"/>
      </w:tblGrid>
      <w:tr w:rsidR="00002B84" w:rsidRPr="00042DD3" w14:paraId="653C4F38" w14:textId="77777777" w:rsidTr="00002B84">
        <w:trPr>
          <w:trHeight w:val="120"/>
          <w:jc w:val="center"/>
        </w:trPr>
        <w:tc>
          <w:tcPr>
            <w:tcW w:w="2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3D0CDE7" w14:textId="77777777" w:rsidR="00042DD3" w:rsidRPr="00042DD3" w:rsidRDefault="00042DD3" w:rsidP="00042DD3">
            <w:pPr>
              <w:autoSpaceDN/>
              <w:spacing w:after="0"/>
              <w:jc w:val="left"/>
              <w:textAlignment w:val="auto"/>
              <w:rPr>
                <w:rFonts w:ascii="Arial" w:hAnsi="Arial" w:cs="Arial"/>
                <w:sz w:val="36"/>
                <w:szCs w:val="36"/>
                <w:lang w:val="en-GB" w:eastAsia="en-GB"/>
              </w:rPr>
            </w:pPr>
          </w:p>
        </w:tc>
        <w:tc>
          <w:tcPr>
            <w:tcW w:w="1995" w:type="dxa"/>
            <w:tcBorders>
              <w:top w:val="single" w:sz="4" w:space="0" w:color="auto"/>
              <w:left w:val="single" w:sz="4" w:space="0" w:color="auto"/>
              <w:bottom w:val="single" w:sz="4" w:space="0" w:color="auto"/>
              <w:right w:val="nil"/>
            </w:tcBorders>
            <w:shd w:val="clear" w:color="auto" w:fill="auto"/>
            <w:tcMar>
              <w:top w:w="72" w:type="dxa"/>
              <w:left w:w="144" w:type="dxa"/>
              <w:bottom w:w="72" w:type="dxa"/>
              <w:right w:w="144" w:type="dxa"/>
            </w:tcMar>
            <w:hideMark/>
          </w:tcPr>
          <w:p w14:paraId="3C77E884" w14:textId="77777777" w:rsidR="00042DD3" w:rsidRPr="00042DD3" w:rsidRDefault="00042DD3" w:rsidP="00042DD3">
            <w:pPr>
              <w:autoSpaceDN/>
              <w:spacing w:after="0"/>
              <w:jc w:val="center"/>
              <w:textAlignment w:val="auto"/>
              <w:rPr>
                <w:rFonts w:ascii="Arial" w:hAnsi="Arial" w:cs="Arial"/>
                <w:sz w:val="36"/>
                <w:szCs w:val="36"/>
                <w:lang w:val="en-GB" w:eastAsia="en-GB"/>
              </w:rPr>
            </w:pPr>
            <w:r w:rsidRPr="00042DD3">
              <w:rPr>
                <w:rFonts w:ascii="Calibri" w:hAnsi="Calibri" w:cs="Arial"/>
                <w:b/>
                <w:bCs/>
                <w:color w:val="000000" w:themeColor="text1"/>
                <w:kern w:val="24"/>
                <w:szCs w:val="24"/>
                <w:lang w:val="en-GB" w:eastAsia="en-GB"/>
              </w:rPr>
              <w:t>PLSR Statistics</w:t>
            </w:r>
          </w:p>
        </w:tc>
        <w:tc>
          <w:tcPr>
            <w:tcW w:w="1092" w:type="dxa"/>
            <w:tcBorders>
              <w:top w:val="single" w:sz="4" w:space="0" w:color="auto"/>
              <w:left w:val="nil"/>
              <w:bottom w:val="single" w:sz="4" w:space="0" w:color="auto"/>
              <w:right w:val="single" w:sz="4" w:space="0" w:color="auto"/>
            </w:tcBorders>
            <w:shd w:val="clear" w:color="auto" w:fill="auto"/>
            <w:tcMar>
              <w:top w:w="72" w:type="dxa"/>
              <w:left w:w="144" w:type="dxa"/>
              <w:bottom w:w="72" w:type="dxa"/>
              <w:right w:w="144" w:type="dxa"/>
            </w:tcMar>
            <w:hideMark/>
          </w:tcPr>
          <w:p w14:paraId="5F1FE25F" w14:textId="0B562169" w:rsidR="00042DD3" w:rsidRPr="00042DD3" w:rsidRDefault="0018584B" w:rsidP="00042DD3">
            <w:pPr>
              <w:autoSpaceDN/>
              <w:spacing w:after="0"/>
              <w:jc w:val="center"/>
              <w:textAlignment w:val="auto"/>
              <w:rPr>
                <w:rFonts w:ascii="Arial" w:hAnsi="Arial" w:cs="Arial"/>
                <w:sz w:val="36"/>
                <w:szCs w:val="36"/>
                <w:lang w:val="en-GB" w:eastAsia="en-GB"/>
              </w:rPr>
            </w:pPr>
            <w:r>
              <w:rPr>
                <w:rFonts w:ascii="Calibri" w:hAnsi="Calibri" w:cs="Arial"/>
                <w:b/>
                <w:bCs/>
                <w:color w:val="000000" w:themeColor="text1"/>
                <w:kern w:val="24"/>
                <w:szCs w:val="24"/>
                <w:lang w:val="en-GB" w:eastAsia="en-GB"/>
              </w:rPr>
              <w:t>Value</w:t>
            </w:r>
            <w:r w:rsidRPr="00042DD3">
              <w:rPr>
                <w:rFonts w:ascii="Calibri" w:hAnsi="Calibri" w:cs="Arial"/>
                <w:b/>
                <w:bCs/>
                <w:color w:val="000000" w:themeColor="text1"/>
                <w:kern w:val="24"/>
                <w:szCs w:val="24"/>
                <w:lang w:val="en-GB" w:eastAsia="en-GB"/>
              </w:rPr>
              <w:t xml:space="preserve"> </w:t>
            </w:r>
          </w:p>
        </w:tc>
      </w:tr>
      <w:tr w:rsidR="00002B84" w:rsidRPr="00042DD3" w14:paraId="51069A33" w14:textId="77777777" w:rsidTr="00002B84">
        <w:trPr>
          <w:trHeight w:val="98"/>
          <w:jc w:val="center"/>
        </w:trPr>
        <w:tc>
          <w:tcPr>
            <w:tcW w:w="2670" w:type="dxa"/>
            <w:tcBorders>
              <w:top w:val="single" w:sz="4" w:space="0" w:color="auto"/>
              <w:left w:val="single" w:sz="4" w:space="0" w:color="auto"/>
              <w:bottom w:val="nil"/>
              <w:right w:val="single" w:sz="4" w:space="0" w:color="auto"/>
            </w:tcBorders>
            <w:shd w:val="clear" w:color="auto" w:fill="auto"/>
            <w:tcMar>
              <w:top w:w="72" w:type="dxa"/>
              <w:left w:w="144" w:type="dxa"/>
              <w:bottom w:w="72" w:type="dxa"/>
              <w:right w:w="144" w:type="dxa"/>
            </w:tcMar>
            <w:hideMark/>
          </w:tcPr>
          <w:p w14:paraId="55B80915" w14:textId="77777777" w:rsidR="00042DD3" w:rsidRPr="00042DD3" w:rsidRDefault="00042DD3" w:rsidP="00042DD3">
            <w:pPr>
              <w:autoSpaceDN/>
              <w:spacing w:after="0"/>
              <w:jc w:val="center"/>
              <w:textAlignment w:val="auto"/>
              <w:rPr>
                <w:rFonts w:ascii="Arial" w:hAnsi="Arial" w:cs="Arial"/>
                <w:sz w:val="36"/>
                <w:szCs w:val="36"/>
                <w:lang w:val="en-GB" w:eastAsia="en-GB"/>
              </w:rPr>
            </w:pPr>
            <w:r w:rsidRPr="00042DD3">
              <w:rPr>
                <w:rFonts w:ascii="Calibri" w:hAnsi="Calibri" w:cs="Arial"/>
                <w:b/>
                <w:bCs/>
                <w:color w:val="000000" w:themeColor="text1"/>
                <w:kern w:val="24"/>
                <w:szCs w:val="24"/>
                <w:lang w:val="en-GB" w:eastAsia="en-GB"/>
              </w:rPr>
              <w:t>Training Set</w:t>
            </w:r>
          </w:p>
        </w:tc>
        <w:tc>
          <w:tcPr>
            <w:tcW w:w="1995" w:type="dxa"/>
            <w:tcBorders>
              <w:top w:val="single" w:sz="4" w:space="0" w:color="auto"/>
              <w:left w:val="single" w:sz="4" w:space="0" w:color="auto"/>
              <w:bottom w:val="nil"/>
              <w:right w:val="nil"/>
            </w:tcBorders>
            <w:shd w:val="clear" w:color="auto" w:fill="auto"/>
            <w:tcMar>
              <w:top w:w="72" w:type="dxa"/>
              <w:left w:w="144" w:type="dxa"/>
              <w:bottom w:w="72" w:type="dxa"/>
              <w:right w:w="144" w:type="dxa"/>
            </w:tcMar>
            <w:hideMark/>
          </w:tcPr>
          <w:p w14:paraId="1041607F" w14:textId="77777777" w:rsidR="00042DD3" w:rsidRPr="00042DD3" w:rsidRDefault="00042DD3" w:rsidP="00042DD3">
            <w:pPr>
              <w:autoSpaceDN/>
              <w:spacing w:after="0"/>
              <w:jc w:val="center"/>
              <w:textAlignment w:val="auto"/>
              <w:rPr>
                <w:rFonts w:ascii="Arial" w:hAnsi="Arial" w:cs="Arial"/>
                <w:sz w:val="36"/>
                <w:szCs w:val="36"/>
                <w:lang w:val="en-GB" w:eastAsia="en-GB"/>
              </w:rPr>
            </w:pPr>
            <w:r w:rsidRPr="00520834">
              <w:rPr>
                <w:rFonts w:ascii="Calibri" w:hAnsi="Calibri" w:cs="Arial"/>
                <w:i/>
                <w:color w:val="000000" w:themeColor="text1"/>
                <w:kern w:val="24"/>
                <w:szCs w:val="24"/>
                <w:lang w:val="en-GB" w:eastAsia="en-GB"/>
              </w:rPr>
              <w:t>R</w:t>
            </w:r>
            <w:r w:rsidRPr="00042DD3">
              <w:rPr>
                <w:rFonts w:ascii="Calibri" w:hAnsi="Calibri" w:cs="Arial"/>
                <w:color w:val="000000" w:themeColor="text1"/>
                <w:kern w:val="24"/>
                <w:position w:val="7"/>
                <w:szCs w:val="24"/>
                <w:vertAlign w:val="superscript"/>
                <w:lang w:val="en-GB" w:eastAsia="en-GB"/>
              </w:rPr>
              <w:t>2</w:t>
            </w:r>
          </w:p>
        </w:tc>
        <w:tc>
          <w:tcPr>
            <w:tcW w:w="1092" w:type="dxa"/>
            <w:tcBorders>
              <w:top w:val="single" w:sz="4" w:space="0" w:color="auto"/>
              <w:left w:val="nil"/>
              <w:bottom w:val="nil"/>
              <w:right w:val="single" w:sz="4" w:space="0" w:color="auto"/>
            </w:tcBorders>
            <w:shd w:val="clear" w:color="auto" w:fill="auto"/>
            <w:tcMar>
              <w:top w:w="72" w:type="dxa"/>
              <w:left w:w="144" w:type="dxa"/>
              <w:bottom w:w="72" w:type="dxa"/>
              <w:right w:w="144" w:type="dxa"/>
            </w:tcMar>
            <w:hideMark/>
          </w:tcPr>
          <w:p w14:paraId="371F90E6" w14:textId="77777777" w:rsidR="00042DD3" w:rsidRPr="00042DD3" w:rsidRDefault="00042DD3" w:rsidP="00042DD3">
            <w:pPr>
              <w:autoSpaceDN/>
              <w:spacing w:after="0"/>
              <w:jc w:val="center"/>
              <w:textAlignment w:val="auto"/>
              <w:rPr>
                <w:rFonts w:ascii="Arial" w:hAnsi="Arial" w:cs="Arial"/>
                <w:sz w:val="36"/>
                <w:szCs w:val="36"/>
                <w:lang w:val="en-GB" w:eastAsia="en-GB"/>
              </w:rPr>
            </w:pPr>
            <w:r w:rsidRPr="00042DD3">
              <w:rPr>
                <w:rFonts w:ascii="Calibri" w:hAnsi="Calibri" w:cs="Arial"/>
                <w:color w:val="000000" w:themeColor="text1"/>
                <w:kern w:val="24"/>
                <w:szCs w:val="24"/>
                <w:lang w:val="en-GB" w:eastAsia="en-GB"/>
              </w:rPr>
              <w:t>0.99</w:t>
            </w:r>
          </w:p>
        </w:tc>
      </w:tr>
      <w:tr w:rsidR="00002B84" w:rsidRPr="00042DD3" w14:paraId="4C7CF1BB" w14:textId="77777777" w:rsidTr="00002B84">
        <w:trPr>
          <w:trHeight w:val="89"/>
          <w:jc w:val="center"/>
        </w:trPr>
        <w:tc>
          <w:tcPr>
            <w:tcW w:w="2670" w:type="dxa"/>
            <w:tcBorders>
              <w:top w:val="nil"/>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5567DC8" w14:textId="77777777" w:rsidR="00042DD3" w:rsidRPr="00042DD3" w:rsidRDefault="00042DD3" w:rsidP="00042DD3">
            <w:pPr>
              <w:autoSpaceDN/>
              <w:spacing w:after="0"/>
              <w:jc w:val="left"/>
              <w:textAlignment w:val="auto"/>
              <w:rPr>
                <w:rFonts w:ascii="Arial" w:hAnsi="Arial" w:cs="Arial"/>
                <w:sz w:val="36"/>
                <w:szCs w:val="36"/>
                <w:lang w:val="en-GB" w:eastAsia="en-GB"/>
              </w:rPr>
            </w:pPr>
          </w:p>
        </w:tc>
        <w:tc>
          <w:tcPr>
            <w:tcW w:w="1995" w:type="dxa"/>
            <w:tcBorders>
              <w:top w:val="nil"/>
              <w:left w:val="single" w:sz="4" w:space="0" w:color="auto"/>
              <w:bottom w:val="single" w:sz="4" w:space="0" w:color="auto"/>
              <w:right w:val="nil"/>
            </w:tcBorders>
            <w:shd w:val="clear" w:color="auto" w:fill="auto"/>
            <w:tcMar>
              <w:top w:w="72" w:type="dxa"/>
              <w:left w:w="144" w:type="dxa"/>
              <w:bottom w:w="72" w:type="dxa"/>
              <w:right w:w="144" w:type="dxa"/>
            </w:tcMar>
            <w:hideMark/>
          </w:tcPr>
          <w:p w14:paraId="622420AB" w14:textId="3F8FF8C0" w:rsidR="00042DD3" w:rsidRPr="00042DD3" w:rsidRDefault="00151FF3" w:rsidP="00042DD3">
            <w:pPr>
              <w:autoSpaceDN/>
              <w:spacing w:after="0"/>
              <w:jc w:val="center"/>
              <w:textAlignment w:val="auto"/>
              <w:rPr>
                <w:rFonts w:ascii="Arial" w:hAnsi="Arial" w:cs="Arial"/>
                <w:sz w:val="36"/>
                <w:szCs w:val="36"/>
                <w:lang w:val="en-GB" w:eastAsia="en-GB"/>
              </w:rPr>
            </w:pPr>
            <w:proofErr w:type="spellStart"/>
            <w:r>
              <w:rPr>
                <w:rFonts w:ascii="Calibri" w:hAnsi="Calibri" w:cs="Arial"/>
                <w:color w:val="000000" w:themeColor="text1"/>
                <w:kern w:val="24"/>
                <w:szCs w:val="24"/>
                <w:lang w:val="en-GB" w:eastAsia="en-GB"/>
              </w:rPr>
              <w:t>RMSEc</w:t>
            </w:r>
            <w:proofErr w:type="spellEnd"/>
          </w:p>
        </w:tc>
        <w:tc>
          <w:tcPr>
            <w:tcW w:w="1092" w:type="dxa"/>
            <w:tcBorders>
              <w:top w:val="nil"/>
              <w:left w:val="nil"/>
              <w:bottom w:val="single" w:sz="4" w:space="0" w:color="auto"/>
              <w:right w:val="single" w:sz="4" w:space="0" w:color="auto"/>
            </w:tcBorders>
            <w:shd w:val="clear" w:color="auto" w:fill="auto"/>
            <w:tcMar>
              <w:top w:w="72" w:type="dxa"/>
              <w:left w:w="144" w:type="dxa"/>
              <w:bottom w:w="72" w:type="dxa"/>
              <w:right w:w="144" w:type="dxa"/>
            </w:tcMar>
            <w:hideMark/>
          </w:tcPr>
          <w:p w14:paraId="1F06371C" w14:textId="77777777" w:rsidR="00042DD3" w:rsidRPr="00042DD3" w:rsidRDefault="00042DD3" w:rsidP="00042DD3">
            <w:pPr>
              <w:autoSpaceDN/>
              <w:spacing w:after="0"/>
              <w:jc w:val="center"/>
              <w:textAlignment w:val="auto"/>
              <w:rPr>
                <w:rFonts w:ascii="Arial" w:hAnsi="Arial" w:cs="Arial"/>
                <w:sz w:val="36"/>
                <w:szCs w:val="36"/>
                <w:lang w:val="en-GB" w:eastAsia="en-GB"/>
              </w:rPr>
            </w:pPr>
            <w:r w:rsidRPr="00042DD3">
              <w:rPr>
                <w:rFonts w:ascii="Calibri" w:hAnsi="Calibri" w:cs="Arial"/>
                <w:color w:val="000000" w:themeColor="text1"/>
                <w:kern w:val="24"/>
                <w:szCs w:val="24"/>
                <w:lang w:val="en-GB" w:eastAsia="en-GB"/>
              </w:rPr>
              <w:t>2.80</w:t>
            </w:r>
          </w:p>
        </w:tc>
      </w:tr>
      <w:tr w:rsidR="00002B84" w:rsidRPr="00042DD3" w14:paraId="2FAD3039" w14:textId="77777777" w:rsidTr="00002B84">
        <w:trPr>
          <w:trHeight w:val="117"/>
          <w:jc w:val="center"/>
        </w:trPr>
        <w:tc>
          <w:tcPr>
            <w:tcW w:w="2670" w:type="dxa"/>
            <w:tcBorders>
              <w:top w:val="single" w:sz="4" w:space="0" w:color="auto"/>
              <w:left w:val="single" w:sz="4" w:space="0" w:color="auto"/>
              <w:bottom w:val="nil"/>
              <w:right w:val="single" w:sz="4" w:space="0" w:color="auto"/>
            </w:tcBorders>
            <w:shd w:val="clear" w:color="auto" w:fill="auto"/>
            <w:tcMar>
              <w:top w:w="72" w:type="dxa"/>
              <w:left w:w="144" w:type="dxa"/>
              <w:bottom w:w="72" w:type="dxa"/>
              <w:right w:w="144" w:type="dxa"/>
            </w:tcMar>
            <w:hideMark/>
          </w:tcPr>
          <w:p w14:paraId="7052747D" w14:textId="77777777" w:rsidR="00042DD3" w:rsidRPr="00042DD3" w:rsidRDefault="00042DD3" w:rsidP="00042DD3">
            <w:pPr>
              <w:autoSpaceDN/>
              <w:spacing w:after="0"/>
              <w:jc w:val="center"/>
              <w:textAlignment w:val="auto"/>
              <w:rPr>
                <w:rFonts w:ascii="Arial" w:hAnsi="Arial" w:cs="Arial"/>
                <w:sz w:val="36"/>
                <w:szCs w:val="36"/>
                <w:lang w:val="en-GB" w:eastAsia="en-GB"/>
              </w:rPr>
            </w:pPr>
            <w:r w:rsidRPr="00042DD3">
              <w:rPr>
                <w:rFonts w:ascii="Calibri" w:hAnsi="Calibri" w:cs="Arial"/>
                <w:b/>
                <w:bCs/>
                <w:color w:val="000000" w:themeColor="text1"/>
                <w:kern w:val="24"/>
                <w:szCs w:val="24"/>
                <w:lang w:val="en-GB" w:eastAsia="en-GB"/>
              </w:rPr>
              <w:t xml:space="preserve">Cross-validation set </w:t>
            </w:r>
          </w:p>
        </w:tc>
        <w:tc>
          <w:tcPr>
            <w:tcW w:w="1995" w:type="dxa"/>
            <w:tcBorders>
              <w:top w:val="single" w:sz="4" w:space="0" w:color="auto"/>
              <w:left w:val="single" w:sz="4" w:space="0" w:color="auto"/>
              <w:bottom w:val="nil"/>
              <w:right w:val="nil"/>
            </w:tcBorders>
            <w:shd w:val="clear" w:color="auto" w:fill="auto"/>
            <w:tcMar>
              <w:top w:w="72" w:type="dxa"/>
              <w:left w:w="144" w:type="dxa"/>
              <w:bottom w:w="72" w:type="dxa"/>
              <w:right w:w="144" w:type="dxa"/>
            </w:tcMar>
            <w:hideMark/>
          </w:tcPr>
          <w:p w14:paraId="264BCC48" w14:textId="77777777" w:rsidR="00042DD3" w:rsidRPr="00042DD3" w:rsidRDefault="00042DD3" w:rsidP="00042DD3">
            <w:pPr>
              <w:autoSpaceDN/>
              <w:spacing w:after="0"/>
              <w:jc w:val="center"/>
              <w:textAlignment w:val="auto"/>
              <w:rPr>
                <w:rFonts w:ascii="Arial" w:hAnsi="Arial" w:cs="Arial"/>
                <w:sz w:val="36"/>
                <w:szCs w:val="36"/>
                <w:lang w:val="en-GB" w:eastAsia="en-GB"/>
              </w:rPr>
            </w:pPr>
            <w:r w:rsidRPr="00520834">
              <w:rPr>
                <w:rFonts w:ascii="Calibri" w:hAnsi="Calibri" w:cs="Arial"/>
                <w:i/>
                <w:color w:val="000000" w:themeColor="text1"/>
                <w:kern w:val="24"/>
                <w:szCs w:val="24"/>
                <w:lang w:val="en-GB" w:eastAsia="en-GB"/>
              </w:rPr>
              <w:t>Q</w:t>
            </w:r>
            <w:r w:rsidRPr="00042DD3">
              <w:rPr>
                <w:rFonts w:ascii="Calibri" w:hAnsi="Calibri" w:cs="Arial"/>
                <w:color w:val="000000" w:themeColor="text1"/>
                <w:kern w:val="24"/>
                <w:position w:val="7"/>
                <w:szCs w:val="24"/>
                <w:vertAlign w:val="superscript"/>
                <w:lang w:val="en-GB" w:eastAsia="en-GB"/>
              </w:rPr>
              <w:t>2</w:t>
            </w:r>
            <w:r w:rsidRPr="00042DD3">
              <w:rPr>
                <w:rFonts w:ascii="Calibri" w:hAnsi="Calibri" w:cs="Arial"/>
                <w:color w:val="000000" w:themeColor="text1"/>
                <w:kern w:val="24"/>
                <w:szCs w:val="24"/>
                <w:lang w:val="en-GB" w:eastAsia="en-GB"/>
              </w:rPr>
              <w:t>cv</w:t>
            </w:r>
          </w:p>
        </w:tc>
        <w:tc>
          <w:tcPr>
            <w:tcW w:w="1092" w:type="dxa"/>
            <w:tcBorders>
              <w:top w:val="single" w:sz="4" w:space="0" w:color="auto"/>
              <w:left w:val="nil"/>
              <w:bottom w:val="nil"/>
              <w:right w:val="single" w:sz="4" w:space="0" w:color="auto"/>
            </w:tcBorders>
            <w:shd w:val="clear" w:color="auto" w:fill="auto"/>
            <w:tcMar>
              <w:top w:w="72" w:type="dxa"/>
              <w:left w:w="144" w:type="dxa"/>
              <w:bottom w:w="72" w:type="dxa"/>
              <w:right w:w="144" w:type="dxa"/>
            </w:tcMar>
            <w:hideMark/>
          </w:tcPr>
          <w:p w14:paraId="44E8BD26" w14:textId="77777777" w:rsidR="00042DD3" w:rsidRPr="00042DD3" w:rsidRDefault="00042DD3" w:rsidP="00042DD3">
            <w:pPr>
              <w:autoSpaceDN/>
              <w:spacing w:after="0"/>
              <w:jc w:val="center"/>
              <w:textAlignment w:val="auto"/>
              <w:rPr>
                <w:rFonts w:ascii="Arial" w:hAnsi="Arial" w:cs="Arial"/>
                <w:sz w:val="36"/>
                <w:szCs w:val="36"/>
                <w:lang w:val="en-GB" w:eastAsia="en-GB"/>
              </w:rPr>
            </w:pPr>
            <w:r w:rsidRPr="00042DD3">
              <w:rPr>
                <w:rFonts w:ascii="Calibri" w:hAnsi="Calibri" w:cs="Arial"/>
                <w:color w:val="000000" w:themeColor="text1"/>
                <w:kern w:val="24"/>
                <w:szCs w:val="24"/>
                <w:lang w:val="en-GB" w:eastAsia="en-GB"/>
              </w:rPr>
              <w:t>0.96</w:t>
            </w:r>
          </w:p>
        </w:tc>
      </w:tr>
      <w:tr w:rsidR="00002B84" w:rsidRPr="00042DD3" w14:paraId="14F909A3" w14:textId="77777777" w:rsidTr="00002B84">
        <w:trPr>
          <w:trHeight w:val="84"/>
          <w:jc w:val="center"/>
        </w:trPr>
        <w:tc>
          <w:tcPr>
            <w:tcW w:w="2670" w:type="dxa"/>
            <w:tcBorders>
              <w:top w:val="nil"/>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21FD73F" w14:textId="77777777" w:rsidR="00042DD3" w:rsidRPr="00042DD3" w:rsidRDefault="00042DD3" w:rsidP="00042DD3">
            <w:pPr>
              <w:autoSpaceDN/>
              <w:spacing w:after="0"/>
              <w:jc w:val="left"/>
              <w:textAlignment w:val="auto"/>
              <w:rPr>
                <w:rFonts w:ascii="Arial" w:hAnsi="Arial" w:cs="Arial"/>
                <w:sz w:val="36"/>
                <w:szCs w:val="36"/>
                <w:lang w:val="en-GB" w:eastAsia="en-GB"/>
              </w:rPr>
            </w:pPr>
          </w:p>
        </w:tc>
        <w:tc>
          <w:tcPr>
            <w:tcW w:w="1995" w:type="dxa"/>
            <w:tcBorders>
              <w:top w:val="nil"/>
              <w:left w:val="single" w:sz="4" w:space="0" w:color="auto"/>
              <w:bottom w:val="single" w:sz="4" w:space="0" w:color="auto"/>
              <w:right w:val="nil"/>
            </w:tcBorders>
            <w:shd w:val="clear" w:color="auto" w:fill="auto"/>
            <w:tcMar>
              <w:top w:w="72" w:type="dxa"/>
              <w:left w:w="144" w:type="dxa"/>
              <w:bottom w:w="72" w:type="dxa"/>
              <w:right w:w="144" w:type="dxa"/>
            </w:tcMar>
            <w:hideMark/>
          </w:tcPr>
          <w:p w14:paraId="3A914BE0" w14:textId="5DA365EE" w:rsidR="00042DD3" w:rsidRPr="00042DD3" w:rsidRDefault="00151FF3" w:rsidP="00042DD3">
            <w:pPr>
              <w:autoSpaceDN/>
              <w:spacing w:after="0"/>
              <w:jc w:val="center"/>
              <w:textAlignment w:val="auto"/>
              <w:rPr>
                <w:rFonts w:ascii="Arial" w:hAnsi="Arial" w:cs="Arial"/>
                <w:sz w:val="36"/>
                <w:szCs w:val="36"/>
                <w:lang w:val="en-GB" w:eastAsia="en-GB"/>
              </w:rPr>
            </w:pPr>
            <w:proofErr w:type="spellStart"/>
            <w:r>
              <w:rPr>
                <w:rFonts w:ascii="Calibri" w:hAnsi="Calibri" w:cs="Arial"/>
                <w:color w:val="000000" w:themeColor="text1"/>
                <w:kern w:val="24"/>
                <w:szCs w:val="24"/>
                <w:lang w:val="en-GB" w:eastAsia="en-GB"/>
              </w:rPr>
              <w:t>RMSEcv</w:t>
            </w:r>
            <w:proofErr w:type="spellEnd"/>
          </w:p>
        </w:tc>
        <w:tc>
          <w:tcPr>
            <w:tcW w:w="1092" w:type="dxa"/>
            <w:tcBorders>
              <w:top w:val="nil"/>
              <w:left w:val="nil"/>
              <w:bottom w:val="single" w:sz="4" w:space="0" w:color="auto"/>
              <w:right w:val="single" w:sz="4" w:space="0" w:color="auto"/>
            </w:tcBorders>
            <w:shd w:val="clear" w:color="auto" w:fill="auto"/>
            <w:tcMar>
              <w:top w:w="72" w:type="dxa"/>
              <w:left w:w="144" w:type="dxa"/>
              <w:bottom w:w="72" w:type="dxa"/>
              <w:right w:w="144" w:type="dxa"/>
            </w:tcMar>
            <w:hideMark/>
          </w:tcPr>
          <w:p w14:paraId="7318AEDB" w14:textId="77777777" w:rsidR="00042DD3" w:rsidRPr="00042DD3" w:rsidRDefault="00042DD3" w:rsidP="00042DD3">
            <w:pPr>
              <w:autoSpaceDN/>
              <w:spacing w:after="0"/>
              <w:jc w:val="center"/>
              <w:textAlignment w:val="auto"/>
              <w:rPr>
                <w:rFonts w:ascii="Arial" w:hAnsi="Arial" w:cs="Arial"/>
                <w:sz w:val="36"/>
                <w:szCs w:val="36"/>
                <w:lang w:val="en-GB" w:eastAsia="en-GB"/>
              </w:rPr>
            </w:pPr>
            <w:r w:rsidRPr="00042DD3">
              <w:rPr>
                <w:rFonts w:ascii="Calibri" w:hAnsi="Calibri" w:cs="Arial"/>
                <w:color w:val="000000" w:themeColor="text1"/>
                <w:kern w:val="24"/>
                <w:szCs w:val="24"/>
                <w:lang w:val="en-GB" w:eastAsia="en-GB"/>
              </w:rPr>
              <w:t>5.31</w:t>
            </w:r>
          </w:p>
        </w:tc>
      </w:tr>
      <w:tr w:rsidR="00002B84" w:rsidRPr="00042DD3" w14:paraId="3958221F" w14:textId="77777777" w:rsidTr="00002B84">
        <w:trPr>
          <w:trHeight w:val="120"/>
          <w:jc w:val="center"/>
        </w:trPr>
        <w:tc>
          <w:tcPr>
            <w:tcW w:w="2670" w:type="dxa"/>
            <w:tcBorders>
              <w:top w:val="single" w:sz="4" w:space="0" w:color="auto"/>
              <w:left w:val="single" w:sz="4" w:space="0" w:color="auto"/>
              <w:bottom w:val="nil"/>
              <w:right w:val="single" w:sz="4" w:space="0" w:color="auto"/>
            </w:tcBorders>
            <w:shd w:val="clear" w:color="auto" w:fill="auto"/>
            <w:tcMar>
              <w:top w:w="72" w:type="dxa"/>
              <w:left w:w="144" w:type="dxa"/>
              <w:bottom w:w="72" w:type="dxa"/>
              <w:right w:w="144" w:type="dxa"/>
            </w:tcMar>
            <w:hideMark/>
          </w:tcPr>
          <w:p w14:paraId="30F37248" w14:textId="77777777" w:rsidR="00042DD3" w:rsidRPr="00042DD3" w:rsidRDefault="00042DD3" w:rsidP="00042DD3">
            <w:pPr>
              <w:autoSpaceDN/>
              <w:spacing w:after="0"/>
              <w:jc w:val="center"/>
              <w:textAlignment w:val="auto"/>
              <w:rPr>
                <w:rFonts w:ascii="Arial" w:hAnsi="Arial" w:cs="Arial"/>
                <w:sz w:val="36"/>
                <w:szCs w:val="36"/>
                <w:lang w:val="en-GB" w:eastAsia="en-GB"/>
              </w:rPr>
            </w:pPr>
            <w:r w:rsidRPr="00042DD3">
              <w:rPr>
                <w:rFonts w:ascii="Calibri" w:hAnsi="Calibri" w:cs="Arial"/>
                <w:b/>
                <w:bCs/>
                <w:color w:val="000000" w:themeColor="text1"/>
                <w:kern w:val="24"/>
                <w:szCs w:val="24"/>
                <w:lang w:val="en-GB" w:eastAsia="en-GB"/>
              </w:rPr>
              <w:t>Test set</w:t>
            </w:r>
          </w:p>
        </w:tc>
        <w:tc>
          <w:tcPr>
            <w:tcW w:w="1995" w:type="dxa"/>
            <w:tcBorders>
              <w:top w:val="single" w:sz="4" w:space="0" w:color="auto"/>
              <w:left w:val="single" w:sz="4" w:space="0" w:color="auto"/>
              <w:bottom w:val="nil"/>
              <w:right w:val="nil"/>
            </w:tcBorders>
            <w:shd w:val="clear" w:color="auto" w:fill="auto"/>
            <w:tcMar>
              <w:top w:w="72" w:type="dxa"/>
              <w:left w:w="144" w:type="dxa"/>
              <w:bottom w:w="72" w:type="dxa"/>
              <w:right w:w="144" w:type="dxa"/>
            </w:tcMar>
            <w:hideMark/>
          </w:tcPr>
          <w:p w14:paraId="0673F340" w14:textId="77777777" w:rsidR="00042DD3" w:rsidRPr="00042DD3" w:rsidRDefault="00042DD3" w:rsidP="00042DD3">
            <w:pPr>
              <w:autoSpaceDN/>
              <w:spacing w:after="0"/>
              <w:jc w:val="center"/>
              <w:textAlignment w:val="auto"/>
              <w:rPr>
                <w:rFonts w:ascii="Arial" w:hAnsi="Arial" w:cs="Arial"/>
                <w:sz w:val="36"/>
                <w:szCs w:val="36"/>
                <w:lang w:val="en-GB" w:eastAsia="en-GB"/>
              </w:rPr>
            </w:pPr>
            <w:r w:rsidRPr="00520834">
              <w:rPr>
                <w:rFonts w:ascii="Calibri" w:hAnsi="Calibri" w:cs="Arial"/>
                <w:i/>
                <w:color w:val="000000" w:themeColor="text1"/>
                <w:kern w:val="24"/>
                <w:szCs w:val="24"/>
                <w:lang w:val="en-GB" w:eastAsia="en-GB"/>
              </w:rPr>
              <w:t>Q</w:t>
            </w:r>
            <w:r w:rsidRPr="00042DD3">
              <w:rPr>
                <w:rFonts w:ascii="Calibri" w:hAnsi="Calibri" w:cs="Arial"/>
                <w:color w:val="000000" w:themeColor="text1"/>
                <w:kern w:val="24"/>
                <w:position w:val="7"/>
                <w:szCs w:val="24"/>
                <w:vertAlign w:val="superscript"/>
                <w:lang w:val="en-GB" w:eastAsia="en-GB"/>
              </w:rPr>
              <w:t>2</w:t>
            </w:r>
            <w:r w:rsidRPr="00042DD3">
              <w:rPr>
                <w:rFonts w:ascii="Calibri" w:hAnsi="Calibri" w:cs="Arial"/>
                <w:color w:val="000000" w:themeColor="text1"/>
                <w:kern w:val="24"/>
                <w:szCs w:val="24"/>
                <w:lang w:val="en-GB" w:eastAsia="en-GB"/>
              </w:rPr>
              <w:t>p</w:t>
            </w:r>
          </w:p>
        </w:tc>
        <w:tc>
          <w:tcPr>
            <w:tcW w:w="1092" w:type="dxa"/>
            <w:tcBorders>
              <w:top w:val="single" w:sz="4" w:space="0" w:color="auto"/>
              <w:left w:val="nil"/>
              <w:bottom w:val="nil"/>
              <w:right w:val="single" w:sz="4" w:space="0" w:color="auto"/>
            </w:tcBorders>
            <w:shd w:val="clear" w:color="auto" w:fill="auto"/>
            <w:tcMar>
              <w:top w:w="72" w:type="dxa"/>
              <w:left w:w="144" w:type="dxa"/>
              <w:bottom w:w="72" w:type="dxa"/>
              <w:right w:w="144" w:type="dxa"/>
            </w:tcMar>
            <w:hideMark/>
          </w:tcPr>
          <w:p w14:paraId="29478F7B" w14:textId="77777777" w:rsidR="00042DD3" w:rsidRPr="00042DD3" w:rsidRDefault="00042DD3" w:rsidP="00042DD3">
            <w:pPr>
              <w:autoSpaceDN/>
              <w:spacing w:after="0"/>
              <w:jc w:val="center"/>
              <w:textAlignment w:val="auto"/>
              <w:rPr>
                <w:rFonts w:ascii="Arial" w:hAnsi="Arial" w:cs="Arial"/>
                <w:sz w:val="36"/>
                <w:szCs w:val="36"/>
                <w:lang w:val="en-GB" w:eastAsia="en-GB"/>
              </w:rPr>
            </w:pPr>
            <w:r w:rsidRPr="00042DD3">
              <w:rPr>
                <w:rFonts w:ascii="Calibri" w:hAnsi="Calibri" w:cs="Arial"/>
                <w:color w:val="000000" w:themeColor="text1"/>
                <w:kern w:val="24"/>
                <w:szCs w:val="24"/>
                <w:lang w:val="en-GB" w:eastAsia="en-GB"/>
              </w:rPr>
              <w:t>0.97</w:t>
            </w:r>
          </w:p>
        </w:tc>
      </w:tr>
      <w:tr w:rsidR="00002B84" w:rsidRPr="00042DD3" w14:paraId="6E129F14" w14:textId="77777777" w:rsidTr="00002B84">
        <w:trPr>
          <w:trHeight w:val="120"/>
          <w:jc w:val="center"/>
        </w:trPr>
        <w:tc>
          <w:tcPr>
            <w:tcW w:w="2670" w:type="dxa"/>
            <w:tcBorders>
              <w:top w:val="nil"/>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521E132" w14:textId="77777777" w:rsidR="00042DD3" w:rsidRPr="00042DD3" w:rsidRDefault="00042DD3" w:rsidP="00042DD3">
            <w:pPr>
              <w:autoSpaceDN/>
              <w:spacing w:after="0"/>
              <w:jc w:val="left"/>
              <w:textAlignment w:val="auto"/>
              <w:rPr>
                <w:rFonts w:ascii="Arial" w:hAnsi="Arial" w:cs="Arial"/>
                <w:sz w:val="36"/>
                <w:szCs w:val="36"/>
                <w:lang w:val="en-GB" w:eastAsia="en-GB"/>
              </w:rPr>
            </w:pPr>
          </w:p>
        </w:tc>
        <w:tc>
          <w:tcPr>
            <w:tcW w:w="1995" w:type="dxa"/>
            <w:tcBorders>
              <w:top w:val="nil"/>
              <w:left w:val="single" w:sz="4" w:space="0" w:color="auto"/>
              <w:bottom w:val="single" w:sz="4" w:space="0" w:color="auto"/>
              <w:right w:val="nil"/>
            </w:tcBorders>
            <w:shd w:val="clear" w:color="auto" w:fill="auto"/>
            <w:tcMar>
              <w:top w:w="72" w:type="dxa"/>
              <w:left w:w="144" w:type="dxa"/>
              <w:bottom w:w="72" w:type="dxa"/>
              <w:right w:w="144" w:type="dxa"/>
            </w:tcMar>
            <w:hideMark/>
          </w:tcPr>
          <w:p w14:paraId="7FC8FE25" w14:textId="52EA4AE0" w:rsidR="00042DD3" w:rsidRPr="00042DD3" w:rsidRDefault="00151FF3" w:rsidP="00042DD3">
            <w:pPr>
              <w:autoSpaceDN/>
              <w:spacing w:after="0"/>
              <w:jc w:val="center"/>
              <w:textAlignment w:val="auto"/>
              <w:rPr>
                <w:rFonts w:ascii="Arial" w:hAnsi="Arial" w:cs="Arial"/>
                <w:sz w:val="36"/>
                <w:szCs w:val="36"/>
                <w:lang w:val="en-GB" w:eastAsia="en-GB"/>
              </w:rPr>
            </w:pPr>
            <w:proofErr w:type="spellStart"/>
            <w:r>
              <w:rPr>
                <w:rFonts w:ascii="Calibri" w:hAnsi="Calibri" w:cs="Arial"/>
                <w:color w:val="000000" w:themeColor="text1"/>
                <w:kern w:val="24"/>
                <w:szCs w:val="24"/>
                <w:lang w:val="en-GB" w:eastAsia="en-GB"/>
              </w:rPr>
              <w:t>RMSEp</w:t>
            </w:r>
            <w:proofErr w:type="spellEnd"/>
          </w:p>
        </w:tc>
        <w:tc>
          <w:tcPr>
            <w:tcW w:w="1092" w:type="dxa"/>
            <w:tcBorders>
              <w:top w:val="nil"/>
              <w:left w:val="nil"/>
              <w:bottom w:val="single" w:sz="4" w:space="0" w:color="auto"/>
              <w:right w:val="single" w:sz="4" w:space="0" w:color="auto"/>
            </w:tcBorders>
            <w:shd w:val="clear" w:color="auto" w:fill="auto"/>
            <w:tcMar>
              <w:top w:w="72" w:type="dxa"/>
              <w:left w:w="144" w:type="dxa"/>
              <w:bottom w:w="72" w:type="dxa"/>
              <w:right w:w="144" w:type="dxa"/>
            </w:tcMar>
            <w:hideMark/>
          </w:tcPr>
          <w:p w14:paraId="5CCAE07A" w14:textId="77777777" w:rsidR="00042DD3" w:rsidRPr="00042DD3" w:rsidRDefault="00042DD3" w:rsidP="00042DD3">
            <w:pPr>
              <w:autoSpaceDN/>
              <w:spacing w:after="0"/>
              <w:jc w:val="center"/>
              <w:textAlignment w:val="auto"/>
              <w:rPr>
                <w:rFonts w:ascii="Arial" w:hAnsi="Arial" w:cs="Arial"/>
                <w:sz w:val="36"/>
                <w:szCs w:val="36"/>
                <w:lang w:val="en-GB" w:eastAsia="en-GB"/>
              </w:rPr>
            </w:pPr>
            <w:r w:rsidRPr="00042DD3">
              <w:rPr>
                <w:rFonts w:ascii="Calibri" w:hAnsi="Calibri" w:cs="Arial"/>
                <w:color w:val="000000" w:themeColor="text1"/>
                <w:kern w:val="24"/>
                <w:szCs w:val="24"/>
                <w:lang w:val="en-GB" w:eastAsia="en-GB"/>
              </w:rPr>
              <w:t>5.53</w:t>
            </w:r>
          </w:p>
        </w:tc>
      </w:tr>
    </w:tbl>
    <w:p w14:paraId="26C13EF3" w14:textId="77777777" w:rsidR="00042DD3" w:rsidRDefault="00042DD3" w:rsidP="00FB5081">
      <w:pPr>
        <w:spacing w:line="480" w:lineRule="auto"/>
        <w:rPr>
          <w:rFonts w:ascii="Times New Roman" w:hAnsi="Times New Roman"/>
          <w:szCs w:val="19"/>
        </w:rPr>
      </w:pPr>
    </w:p>
    <w:p w14:paraId="45526762" w14:textId="6A6A3B71" w:rsidR="0018584B" w:rsidRPr="003B3029" w:rsidRDefault="001C6CE8" w:rsidP="003B3029">
      <w:pPr>
        <w:spacing w:line="480" w:lineRule="auto"/>
        <w:rPr>
          <w:rFonts w:ascii="Times New Roman" w:hAnsi="Times New Roman"/>
          <w:szCs w:val="19"/>
        </w:rPr>
      </w:pPr>
      <w:r>
        <w:rPr>
          <w:rFonts w:ascii="Times New Roman" w:hAnsi="Times New Roman"/>
          <w:szCs w:val="19"/>
        </w:rPr>
        <w:t xml:space="preserve">The </w:t>
      </w:r>
      <w:r w:rsidR="00151FF3">
        <w:rPr>
          <w:rFonts w:ascii="Times New Roman" w:hAnsi="Times New Roman"/>
          <w:szCs w:val="19"/>
        </w:rPr>
        <w:t>statistical</w:t>
      </w:r>
      <w:r>
        <w:rPr>
          <w:rFonts w:ascii="Times New Roman" w:hAnsi="Times New Roman"/>
          <w:szCs w:val="19"/>
        </w:rPr>
        <w:t xml:space="preserve"> results for PLSR model a</w:t>
      </w:r>
      <w:r w:rsidR="002C4911">
        <w:rPr>
          <w:rFonts w:ascii="Times New Roman" w:hAnsi="Times New Roman"/>
          <w:szCs w:val="19"/>
        </w:rPr>
        <w:t xml:space="preserve">re </w:t>
      </w:r>
      <w:r w:rsidR="0018584B">
        <w:rPr>
          <w:rFonts w:ascii="Times New Roman" w:hAnsi="Times New Roman"/>
          <w:szCs w:val="19"/>
        </w:rPr>
        <w:t xml:space="preserve">shown </w:t>
      </w:r>
      <w:r w:rsidR="002C4911">
        <w:rPr>
          <w:rFonts w:ascii="Times New Roman" w:hAnsi="Times New Roman"/>
          <w:szCs w:val="19"/>
        </w:rPr>
        <w:t>i</w:t>
      </w:r>
      <w:r w:rsidR="00C46B06">
        <w:rPr>
          <w:rFonts w:ascii="Times New Roman" w:hAnsi="Times New Roman"/>
          <w:szCs w:val="19"/>
        </w:rPr>
        <w:t xml:space="preserve">n </w:t>
      </w:r>
      <w:commentRangeStart w:id="9"/>
      <w:r w:rsidR="00C46B06">
        <w:rPr>
          <w:rFonts w:ascii="Times New Roman" w:hAnsi="Times New Roman"/>
          <w:szCs w:val="19"/>
        </w:rPr>
        <w:t xml:space="preserve">Figure </w:t>
      </w:r>
      <w:r w:rsidR="00242008">
        <w:rPr>
          <w:rFonts w:ascii="Times New Roman" w:hAnsi="Times New Roman"/>
          <w:szCs w:val="19"/>
        </w:rPr>
        <w:t xml:space="preserve">6 </w:t>
      </w:r>
      <w:commentRangeEnd w:id="9"/>
      <w:r w:rsidR="0015121E">
        <w:rPr>
          <w:rStyle w:val="CommentReference"/>
        </w:rPr>
        <w:commentReference w:id="9"/>
      </w:r>
      <w:r w:rsidR="00242008">
        <w:rPr>
          <w:rFonts w:ascii="Times New Roman" w:hAnsi="Times New Roman"/>
          <w:szCs w:val="19"/>
        </w:rPr>
        <w:t>ba</w:t>
      </w:r>
      <w:r w:rsidR="00151FF3">
        <w:rPr>
          <w:rFonts w:ascii="Times New Roman" w:hAnsi="Times New Roman"/>
          <w:szCs w:val="19"/>
        </w:rPr>
        <w:t xml:space="preserve">sed on the 3 PLS factors using </w:t>
      </w:r>
      <w:r w:rsidR="00242008">
        <w:rPr>
          <w:rFonts w:ascii="Times New Roman" w:hAnsi="Times New Roman"/>
          <w:szCs w:val="19"/>
        </w:rPr>
        <w:t xml:space="preserve">cross validation with a leave one method and </w:t>
      </w:r>
      <w:r w:rsidR="00242008" w:rsidRPr="00520834">
        <w:rPr>
          <w:rFonts w:ascii="Times New Roman" w:hAnsi="Times New Roman"/>
          <w:i/>
          <w:szCs w:val="19"/>
        </w:rPr>
        <w:t>k</w:t>
      </w:r>
      <w:r w:rsidR="00242008">
        <w:rPr>
          <w:rFonts w:ascii="Times New Roman" w:hAnsi="Times New Roman"/>
          <w:szCs w:val="19"/>
        </w:rPr>
        <w:t xml:space="preserve"> = 20 iterations. The model chosen </w:t>
      </w:r>
      <w:r w:rsidR="004948FB">
        <w:rPr>
          <w:rFonts w:ascii="Times New Roman" w:hAnsi="Times New Roman"/>
          <w:szCs w:val="19"/>
        </w:rPr>
        <w:t>uses</w:t>
      </w:r>
      <w:r w:rsidR="00242008">
        <w:rPr>
          <w:rFonts w:ascii="Times New Roman" w:hAnsi="Times New Roman"/>
          <w:szCs w:val="19"/>
        </w:rPr>
        <w:t xml:space="preserve"> the </w:t>
      </w:r>
      <w:r w:rsidR="00242008">
        <w:rPr>
          <w:rFonts w:ascii="Times New Roman" w:hAnsi="Times New Roman"/>
          <w:szCs w:val="19"/>
        </w:rPr>
        <w:lastRenderedPageBreak/>
        <w:t>min</w:t>
      </w:r>
      <w:r w:rsidR="00151FF3">
        <w:rPr>
          <w:rFonts w:ascii="Times New Roman" w:hAnsi="Times New Roman"/>
          <w:szCs w:val="19"/>
        </w:rPr>
        <w:t>im</w:t>
      </w:r>
      <w:r w:rsidR="00242008">
        <w:rPr>
          <w:rFonts w:ascii="Times New Roman" w:hAnsi="Times New Roman"/>
          <w:szCs w:val="19"/>
        </w:rPr>
        <w:t>um number of PLS factors need</w:t>
      </w:r>
      <w:r w:rsidR="004948FB">
        <w:rPr>
          <w:rFonts w:ascii="Times New Roman" w:hAnsi="Times New Roman"/>
          <w:szCs w:val="19"/>
        </w:rPr>
        <w:t>ed</w:t>
      </w:r>
      <w:r w:rsidR="00242008">
        <w:rPr>
          <w:rFonts w:ascii="Times New Roman" w:hAnsi="Times New Roman"/>
          <w:szCs w:val="19"/>
        </w:rPr>
        <w:t xml:space="preserve"> </w:t>
      </w:r>
      <w:r w:rsidR="0018584B">
        <w:rPr>
          <w:rFonts w:ascii="Times New Roman" w:hAnsi="Times New Roman"/>
          <w:szCs w:val="19"/>
        </w:rPr>
        <w:t xml:space="preserve">in the </w:t>
      </w:r>
      <w:r w:rsidR="0018584B" w:rsidRPr="007B0A4C">
        <w:rPr>
          <w:rFonts w:ascii="Times New Roman" w:hAnsi="Times New Roman"/>
          <w:i/>
          <w:szCs w:val="19"/>
        </w:rPr>
        <w:t>k</w:t>
      </w:r>
      <w:r w:rsidR="0018584B">
        <w:rPr>
          <w:rFonts w:ascii="Times New Roman" w:hAnsi="Times New Roman"/>
          <w:szCs w:val="19"/>
        </w:rPr>
        <w:t xml:space="preserve"> iterations </w:t>
      </w:r>
      <w:r w:rsidR="00242008">
        <w:rPr>
          <w:rFonts w:ascii="Times New Roman" w:hAnsi="Times New Roman"/>
          <w:szCs w:val="19"/>
        </w:rPr>
        <w:t xml:space="preserve">to obtain a low root mean square error of cross </w:t>
      </w:r>
      <w:r w:rsidR="00151FF3">
        <w:rPr>
          <w:rFonts w:ascii="Times New Roman" w:hAnsi="Times New Roman"/>
          <w:szCs w:val="19"/>
        </w:rPr>
        <w:t>validation</w:t>
      </w:r>
      <w:r w:rsidR="00242008">
        <w:rPr>
          <w:rFonts w:ascii="Times New Roman" w:hAnsi="Times New Roman"/>
          <w:szCs w:val="19"/>
        </w:rPr>
        <w:t xml:space="preserve"> (</w:t>
      </w:r>
      <w:proofErr w:type="spellStart"/>
      <w:r w:rsidR="00242008">
        <w:rPr>
          <w:rFonts w:ascii="Times New Roman" w:hAnsi="Times New Roman"/>
          <w:szCs w:val="19"/>
        </w:rPr>
        <w:t>RMSE</w:t>
      </w:r>
      <w:r w:rsidR="00753530" w:rsidRPr="00753530">
        <w:rPr>
          <w:rFonts w:ascii="Times New Roman" w:hAnsi="Times New Roman"/>
          <w:szCs w:val="19"/>
        </w:rPr>
        <w:t>cv</w:t>
      </w:r>
      <w:proofErr w:type="spellEnd"/>
      <w:r w:rsidR="00242008">
        <w:rPr>
          <w:rFonts w:ascii="Times New Roman" w:hAnsi="Times New Roman"/>
          <w:szCs w:val="19"/>
        </w:rPr>
        <w:t>)</w:t>
      </w:r>
      <w:r w:rsidR="00BF183A">
        <w:rPr>
          <w:rFonts w:ascii="Times New Roman" w:hAnsi="Times New Roman"/>
          <w:szCs w:val="19"/>
        </w:rPr>
        <w:t>,</w:t>
      </w:r>
      <w:r w:rsidR="00691261">
        <w:rPr>
          <w:rFonts w:ascii="Times New Roman" w:hAnsi="Times New Roman"/>
          <w:szCs w:val="19"/>
        </w:rPr>
        <w:t xml:space="preserve"> which in this case was 3</w:t>
      </w:r>
      <w:r w:rsidR="00242008">
        <w:rPr>
          <w:rFonts w:ascii="Times New Roman" w:hAnsi="Times New Roman"/>
          <w:szCs w:val="19"/>
        </w:rPr>
        <w:t xml:space="preserve">. </w:t>
      </w:r>
      <w:r w:rsidR="001C0C05">
        <w:rPr>
          <w:rFonts w:ascii="Times New Roman" w:hAnsi="Times New Roman"/>
          <w:szCs w:val="19"/>
        </w:rPr>
        <w:t xml:space="preserve">Here the </w:t>
      </w:r>
      <w:r w:rsidR="001C0C05" w:rsidRPr="00520834">
        <w:rPr>
          <w:rFonts w:ascii="Times New Roman" w:hAnsi="Times New Roman"/>
          <w:i/>
          <w:szCs w:val="19"/>
        </w:rPr>
        <w:t>R</w:t>
      </w:r>
      <w:r w:rsidR="001C0C05" w:rsidRPr="001C0C05">
        <w:rPr>
          <w:rFonts w:ascii="Times New Roman" w:hAnsi="Times New Roman"/>
          <w:szCs w:val="19"/>
          <w:vertAlign w:val="superscript"/>
        </w:rPr>
        <w:t>2</w:t>
      </w:r>
      <w:r w:rsidR="001C0C05">
        <w:rPr>
          <w:rFonts w:ascii="Times New Roman" w:hAnsi="Times New Roman"/>
          <w:szCs w:val="19"/>
        </w:rPr>
        <w:t xml:space="preserve"> value provides a measure of how </w:t>
      </w:r>
      <w:r w:rsidR="00BF183A">
        <w:rPr>
          <w:rFonts w:ascii="Times New Roman" w:hAnsi="Times New Roman"/>
          <w:szCs w:val="19"/>
        </w:rPr>
        <w:t>well</w:t>
      </w:r>
      <w:r w:rsidR="0018584B">
        <w:rPr>
          <w:rFonts w:ascii="Times New Roman" w:hAnsi="Times New Roman"/>
          <w:szCs w:val="19"/>
        </w:rPr>
        <w:t xml:space="preserve"> </w:t>
      </w:r>
      <w:r w:rsidR="00BF183A">
        <w:rPr>
          <w:rFonts w:ascii="Times New Roman" w:hAnsi="Times New Roman"/>
          <w:szCs w:val="19"/>
        </w:rPr>
        <w:t>a linear</w:t>
      </w:r>
      <w:r w:rsidR="001C0C05">
        <w:rPr>
          <w:rFonts w:ascii="Times New Roman" w:hAnsi="Times New Roman"/>
          <w:szCs w:val="19"/>
        </w:rPr>
        <w:t xml:space="preserve"> model fits the training data and the </w:t>
      </w:r>
      <w:r w:rsidR="001C0C05" w:rsidRPr="00520834">
        <w:rPr>
          <w:rFonts w:ascii="Times New Roman" w:hAnsi="Times New Roman"/>
          <w:i/>
          <w:szCs w:val="19"/>
        </w:rPr>
        <w:t>Q</w:t>
      </w:r>
      <w:r w:rsidR="001C0C05" w:rsidRPr="001C0C05">
        <w:rPr>
          <w:rFonts w:ascii="Times New Roman" w:hAnsi="Times New Roman"/>
          <w:szCs w:val="19"/>
          <w:vertAlign w:val="superscript"/>
        </w:rPr>
        <w:t>2</w:t>
      </w:r>
      <w:r w:rsidR="001C0C05">
        <w:rPr>
          <w:rFonts w:ascii="Times New Roman" w:hAnsi="Times New Roman"/>
          <w:szCs w:val="19"/>
        </w:rPr>
        <w:t xml:space="preserve"> </w:t>
      </w:r>
      <w:r w:rsidR="0018584B">
        <w:rPr>
          <w:rFonts w:ascii="Times New Roman" w:hAnsi="Times New Roman"/>
          <w:szCs w:val="19"/>
        </w:rPr>
        <w:t xml:space="preserve">is the same linear correlation coefficient for the two types of </w:t>
      </w:r>
      <w:r w:rsidR="00BF183A">
        <w:rPr>
          <w:rFonts w:ascii="Times New Roman" w:hAnsi="Times New Roman"/>
          <w:szCs w:val="19"/>
        </w:rPr>
        <w:t>model</w:t>
      </w:r>
      <w:r w:rsidR="001C0C05">
        <w:rPr>
          <w:rFonts w:ascii="Times New Roman" w:hAnsi="Times New Roman"/>
          <w:szCs w:val="19"/>
        </w:rPr>
        <w:t xml:space="preserve">. </w:t>
      </w:r>
      <w:r w:rsidR="001C0C05" w:rsidRPr="00520834">
        <w:rPr>
          <w:rFonts w:ascii="Times New Roman" w:hAnsi="Times New Roman"/>
          <w:i/>
          <w:szCs w:val="19"/>
        </w:rPr>
        <w:t>Q</w:t>
      </w:r>
      <w:r w:rsidR="001C0C05" w:rsidRPr="001C0C05">
        <w:rPr>
          <w:rFonts w:ascii="Times New Roman" w:hAnsi="Times New Roman"/>
          <w:szCs w:val="19"/>
          <w:vertAlign w:val="superscript"/>
        </w:rPr>
        <w:t>2</w:t>
      </w:r>
      <w:r w:rsidR="001C0C05">
        <w:rPr>
          <w:rFonts w:ascii="Times New Roman" w:hAnsi="Times New Roman"/>
          <w:szCs w:val="19"/>
        </w:rPr>
        <w:t xml:space="preserve">cv is the performance on prediction with the </w:t>
      </w:r>
      <w:r w:rsidR="0018584B" w:rsidRPr="00520834">
        <w:rPr>
          <w:rFonts w:ascii="Times New Roman" w:hAnsi="Times New Roman"/>
          <w:i/>
          <w:szCs w:val="19"/>
        </w:rPr>
        <w:t>k</w:t>
      </w:r>
      <w:r w:rsidR="0018584B">
        <w:rPr>
          <w:rFonts w:ascii="Times New Roman" w:hAnsi="Times New Roman"/>
          <w:szCs w:val="19"/>
        </w:rPr>
        <w:t>-</w:t>
      </w:r>
      <w:r w:rsidR="001C0C05">
        <w:rPr>
          <w:rFonts w:ascii="Times New Roman" w:hAnsi="Times New Roman"/>
          <w:szCs w:val="19"/>
        </w:rPr>
        <w:t xml:space="preserve">fold cross validation where as </w:t>
      </w:r>
      <w:r w:rsidR="001C0C05" w:rsidRPr="00520834">
        <w:rPr>
          <w:rFonts w:ascii="Times New Roman" w:hAnsi="Times New Roman"/>
          <w:i/>
          <w:szCs w:val="19"/>
        </w:rPr>
        <w:t>Q</w:t>
      </w:r>
      <w:r w:rsidR="001C0C05" w:rsidRPr="001C0C05">
        <w:rPr>
          <w:rFonts w:ascii="Times New Roman" w:hAnsi="Times New Roman"/>
          <w:szCs w:val="19"/>
          <w:vertAlign w:val="superscript"/>
        </w:rPr>
        <w:t>2</w:t>
      </w:r>
      <w:r w:rsidR="001C0C05">
        <w:rPr>
          <w:rFonts w:ascii="Times New Roman" w:hAnsi="Times New Roman"/>
          <w:szCs w:val="19"/>
        </w:rPr>
        <w:t>p is the performance prediction of the model on the test data set</w:t>
      </w:r>
      <w:r w:rsidR="0018584B">
        <w:rPr>
          <w:rFonts w:ascii="Times New Roman" w:hAnsi="Times New Roman"/>
          <w:szCs w:val="19"/>
        </w:rPr>
        <w:t xml:space="preserve">; these are the </w:t>
      </w:r>
      <w:r w:rsidR="001C0C05">
        <w:rPr>
          <w:rFonts w:ascii="Times New Roman" w:hAnsi="Times New Roman"/>
          <w:szCs w:val="19"/>
        </w:rPr>
        <w:t>8 samples left out of the model</w:t>
      </w:r>
      <w:r w:rsidR="0018584B">
        <w:rPr>
          <w:rFonts w:ascii="Times New Roman" w:hAnsi="Times New Roman"/>
          <w:szCs w:val="19"/>
        </w:rPr>
        <w:t xml:space="preserve"> and not used during cross validation</w:t>
      </w:r>
      <w:r w:rsidR="001C0C05">
        <w:rPr>
          <w:rFonts w:ascii="Times New Roman" w:hAnsi="Times New Roman"/>
          <w:szCs w:val="19"/>
        </w:rPr>
        <w:t xml:space="preserve">). A robust model seeks to have </w:t>
      </w:r>
      <w:r w:rsidR="001C0C05" w:rsidRPr="00520834">
        <w:rPr>
          <w:rFonts w:ascii="Times New Roman" w:hAnsi="Times New Roman"/>
          <w:i/>
          <w:szCs w:val="19"/>
        </w:rPr>
        <w:t>Q</w:t>
      </w:r>
      <w:r w:rsidR="001C0C05" w:rsidRPr="001C0C05">
        <w:rPr>
          <w:rFonts w:ascii="Times New Roman" w:hAnsi="Times New Roman"/>
          <w:szCs w:val="19"/>
          <w:vertAlign w:val="superscript"/>
        </w:rPr>
        <w:t>2</w:t>
      </w:r>
      <w:r w:rsidR="001C0C05">
        <w:rPr>
          <w:rFonts w:ascii="Times New Roman" w:hAnsi="Times New Roman"/>
          <w:szCs w:val="19"/>
        </w:rPr>
        <w:t xml:space="preserve"> values close to the </w:t>
      </w:r>
      <w:r w:rsidR="001C0C05" w:rsidRPr="00520834">
        <w:rPr>
          <w:rFonts w:ascii="Times New Roman" w:hAnsi="Times New Roman"/>
          <w:i/>
          <w:szCs w:val="19"/>
        </w:rPr>
        <w:t>R</w:t>
      </w:r>
      <w:r w:rsidR="001C0C05" w:rsidRPr="001C0C05">
        <w:rPr>
          <w:rFonts w:ascii="Times New Roman" w:hAnsi="Times New Roman"/>
          <w:szCs w:val="19"/>
          <w:vertAlign w:val="superscript"/>
        </w:rPr>
        <w:t>2</w:t>
      </w:r>
      <w:r w:rsidR="0018584B">
        <w:rPr>
          <w:rFonts w:ascii="Times New Roman" w:hAnsi="Times New Roman"/>
          <w:szCs w:val="19"/>
        </w:rPr>
        <w:t>, with a perfect linear relationship being 1</w:t>
      </w:r>
      <w:r w:rsidR="001C0C05">
        <w:rPr>
          <w:rFonts w:ascii="Times New Roman" w:hAnsi="Times New Roman"/>
          <w:szCs w:val="19"/>
        </w:rPr>
        <w:t xml:space="preserve">.  </w:t>
      </w:r>
      <w:r w:rsidR="005562A7">
        <w:rPr>
          <w:rFonts w:ascii="Times New Roman" w:hAnsi="Times New Roman"/>
          <w:szCs w:val="19"/>
        </w:rPr>
        <w:t>Overall, t</w:t>
      </w:r>
      <w:r w:rsidR="002C4911">
        <w:rPr>
          <w:rFonts w:ascii="Times New Roman" w:hAnsi="Times New Roman"/>
          <w:szCs w:val="19"/>
        </w:rPr>
        <w:t>he</w:t>
      </w:r>
      <w:r w:rsidR="00151FF3">
        <w:rPr>
          <w:rFonts w:ascii="Times New Roman" w:hAnsi="Times New Roman"/>
          <w:szCs w:val="19"/>
        </w:rPr>
        <w:t xml:space="preserve"> training set fits the</w:t>
      </w:r>
      <w:r w:rsidR="002C4911">
        <w:rPr>
          <w:rFonts w:ascii="Times New Roman" w:hAnsi="Times New Roman"/>
          <w:szCs w:val="19"/>
        </w:rPr>
        <w:t xml:space="preserve"> model</w:t>
      </w:r>
      <w:r w:rsidR="00151FF3">
        <w:rPr>
          <w:rFonts w:ascii="Times New Roman" w:hAnsi="Times New Roman"/>
          <w:szCs w:val="19"/>
        </w:rPr>
        <w:t xml:space="preserve"> with</w:t>
      </w:r>
      <w:r w:rsidR="002C4911">
        <w:rPr>
          <w:rFonts w:ascii="Times New Roman" w:hAnsi="Times New Roman"/>
          <w:szCs w:val="19"/>
        </w:rPr>
        <w:t xml:space="preserve"> an </w:t>
      </w:r>
      <w:r w:rsidR="002C4911" w:rsidRPr="00520834">
        <w:rPr>
          <w:rFonts w:ascii="Times New Roman" w:hAnsi="Times New Roman"/>
          <w:i/>
          <w:szCs w:val="19"/>
        </w:rPr>
        <w:t>R</w:t>
      </w:r>
      <w:r w:rsidR="002C4911" w:rsidRPr="00E65A6D">
        <w:rPr>
          <w:rFonts w:ascii="Times New Roman" w:hAnsi="Times New Roman"/>
          <w:szCs w:val="19"/>
          <w:vertAlign w:val="superscript"/>
        </w:rPr>
        <w:t>2</w:t>
      </w:r>
      <w:r w:rsidR="002C4911">
        <w:rPr>
          <w:rFonts w:ascii="Times New Roman" w:hAnsi="Times New Roman"/>
          <w:szCs w:val="19"/>
        </w:rPr>
        <w:t xml:space="preserve"> value of 0.99</w:t>
      </w:r>
      <w:r w:rsidR="00151FF3">
        <w:rPr>
          <w:rFonts w:ascii="Times New Roman" w:hAnsi="Times New Roman"/>
          <w:szCs w:val="19"/>
        </w:rPr>
        <w:t xml:space="preserve"> and a root mean square error of </w:t>
      </w:r>
      <w:r w:rsidR="00753530">
        <w:rPr>
          <w:rFonts w:ascii="Times New Roman" w:hAnsi="Times New Roman"/>
          <w:szCs w:val="19"/>
        </w:rPr>
        <w:t>covariance (</w:t>
      </w:r>
      <w:proofErr w:type="spellStart"/>
      <w:r w:rsidR="00151FF3">
        <w:rPr>
          <w:rFonts w:ascii="Times New Roman" w:hAnsi="Times New Roman"/>
          <w:szCs w:val="19"/>
        </w:rPr>
        <w:t>RMSEc</w:t>
      </w:r>
      <w:proofErr w:type="spellEnd"/>
      <w:r w:rsidR="00151FF3">
        <w:rPr>
          <w:rFonts w:ascii="Times New Roman" w:hAnsi="Times New Roman"/>
          <w:szCs w:val="19"/>
        </w:rPr>
        <w:t>)</w:t>
      </w:r>
      <w:r w:rsidR="00753530">
        <w:rPr>
          <w:rFonts w:ascii="Times New Roman" w:hAnsi="Times New Roman"/>
          <w:szCs w:val="19"/>
        </w:rPr>
        <w:t xml:space="preserve"> of</w:t>
      </w:r>
      <w:r w:rsidR="00EE3FD9">
        <w:rPr>
          <w:rFonts w:ascii="Times New Roman" w:hAnsi="Times New Roman"/>
          <w:szCs w:val="19"/>
        </w:rPr>
        <w:t xml:space="preserve"> 2.80</w:t>
      </w:r>
      <w:r w:rsidR="00151FF3">
        <w:rPr>
          <w:rFonts w:ascii="Times New Roman" w:hAnsi="Times New Roman"/>
          <w:szCs w:val="19"/>
        </w:rPr>
        <w:t>%. Using the cross validation set the model</w:t>
      </w:r>
      <w:r w:rsidR="001C0C05">
        <w:rPr>
          <w:rFonts w:ascii="Times New Roman" w:hAnsi="Times New Roman"/>
          <w:szCs w:val="19"/>
        </w:rPr>
        <w:t>,</w:t>
      </w:r>
      <w:r w:rsidR="00151FF3">
        <w:rPr>
          <w:rFonts w:ascii="Times New Roman" w:hAnsi="Times New Roman"/>
          <w:szCs w:val="19"/>
        </w:rPr>
        <w:t xml:space="preserve"> with</w:t>
      </w:r>
      <w:r w:rsidR="004948FB">
        <w:rPr>
          <w:rFonts w:ascii="Times New Roman" w:hAnsi="Times New Roman"/>
          <w:szCs w:val="19"/>
        </w:rPr>
        <w:t xml:space="preserve"> </w:t>
      </w:r>
      <w:r w:rsidR="00151FF3">
        <w:rPr>
          <w:rFonts w:ascii="Times New Roman" w:hAnsi="Times New Roman"/>
          <w:szCs w:val="19"/>
        </w:rPr>
        <w:t>3 PLS factors</w:t>
      </w:r>
      <w:r w:rsidR="001C0C05">
        <w:rPr>
          <w:rFonts w:ascii="Times New Roman" w:hAnsi="Times New Roman"/>
          <w:szCs w:val="19"/>
        </w:rPr>
        <w:t>,</w:t>
      </w:r>
      <w:r w:rsidR="00151FF3">
        <w:rPr>
          <w:rFonts w:ascii="Times New Roman" w:hAnsi="Times New Roman"/>
          <w:szCs w:val="19"/>
        </w:rPr>
        <w:t xml:space="preserve"> had</w:t>
      </w:r>
      <w:r w:rsidR="002C4911">
        <w:rPr>
          <w:rFonts w:ascii="Times New Roman" w:hAnsi="Times New Roman"/>
          <w:szCs w:val="19"/>
        </w:rPr>
        <w:t xml:space="preserve"> a </w:t>
      </w:r>
      <w:r w:rsidR="00753530" w:rsidRPr="00520834">
        <w:rPr>
          <w:rFonts w:ascii="Times New Roman" w:hAnsi="Times New Roman"/>
          <w:i/>
          <w:szCs w:val="19"/>
        </w:rPr>
        <w:t>Q</w:t>
      </w:r>
      <w:r w:rsidR="00753530" w:rsidRPr="00753530">
        <w:rPr>
          <w:rFonts w:ascii="Times New Roman" w:hAnsi="Times New Roman"/>
          <w:szCs w:val="19"/>
          <w:vertAlign w:val="superscript"/>
        </w:rPr>
        <w:t>2</w:t>
      </w:r>
      <w:r w:rsidR="00753530">
        <w:rPr>
          <w:rFonts w:ascii="Times New Roman" w:hAnsi="Times New Roman"/>
          <w:szCs w:val="19"/>
        </w:rPr>
        <w:t xml:space="preserve">cv </w:t>
      </w:r>
      <w:r w:rsidR="004948FB">
        <w:rPr>
          <w:rFonts w:ascii="Times New Roman" w:hAnsi="Times New Roman"/>
          <w:szCs w:val="19"/>
        </w:rPr>
        <w:t xml:space="preserve">of 0.96 </w:t>
      </w:r>
      <w:r w:rsidR="00753530">
        <w:rPr>
          <w:rFonts w:ascii="Times New Roman" w:hAnsi="Times New Roman"/>
          <w:szCs w:val="19"/>
        </w:rPr>
        <w:t>and</w:t>
      </w:r>
      <w:r w:rsidR="002C4911">
        <w:rPr>
          <w:rFonts w:ascii="Times New Roman" w:hAnsi="Times New Roman"/>
          <w:szCs w:val="19"/>
        </w:rPr>
        <w:t xml:space="preserve"> </w:t>
      </w:r>
      <w:r w:rsidR="002C4911" w:rsidRPr="00520834">
        <w:rPr>
          <w:rFonts w:ascii="Times New Roman" w:hAnsi="Times New Roman"/>
          <w:i/>
          <w:szCs w:val="19"/>
        </w:rPr>
        <w:t>Q</w:t>
      </w:r>
      <w:r w:rsidR="002C4911" w:rsidRPr="00753530">
        <w:rPr>
          <w:rFonts w:ascii="Times New Roman" w:hAnsi="Times New Roman"/>
          <w:szCs w:val="19"/>
          <w:vertAlign w:val="superscript"/>
        </w:rPr>
        <w:t>2</w:t>
      </w:r>
      <w:r w:rsidR="002C4911">
        <w:rPr>
          <w:rFonts w:ascii="Times New Roman" w:hAnsi="Times New Roman"/>
          <w:szCs w:val="19"/>
        </w:rPr>
        <w:t>p</w:t>
      </w:r>
      <w:r w:rsidR="001C0C05">
        <w:rPr>
          <w:rFonts w:ascii="Times New Roman" w:hAnsi="Times New Roman"/>
          <w:szCs w:val="19"/>
        </w:rPr>
        <w:t xml:space="preserve"> of </w:t>
      </w:r>
      <w:r w:rsidR="002C4911">
        <w:rPr>
          <w:rFonts w:ascii="Times New Roman" w:hAnsi="Times New Roman"/>
          <w:szCs w:val="19"/>
        </w:rPr>
        <w:t>0.97</w:t>
      </w:r>
      <w:r w:rsidR="001C0C05">
        <w:rPr>
          <w:rFonts w:ascii="Times New Roman" w:hAnsi="Times New Roman"/>
          <w:szCs w:val="19"/>
        </w:rPr>
        <w:t>.</w:t>
      </w:r>
      <w:r w:rsidR="002C4911">
        <w:rPr>
          <w:rFonts w:ascii="Times New Roman" w:hAnsi="Times New Roman"/>
          <w:szCs w:val="19"/>
        </w:rPr>
        <w:t xml:space="preserve"> The root mean squared error for cross validation </w:t>
      </w:r>
      <w:r w:rsidR="00753530">
        <w:rPr>
          <w:rFonts w:ascii="Times New Roman" w:hAnsi="Times New Roman"/>
          <w:szCs w:val="19"/>
        </w:rPr>
        <w:t>for predictive ability of the model (</w:t>
      </w:r>
      <w:proofErr w:type="spellStart"/>
      <w:r w:rsidR="00753530">
        <w:rPr>
          <w:rFonts w:ascii="Times New Roman" w:hAnsi="Times New Roman"/>
          <w:szCs w:val="19"/>
        </w:rPr>
        <w:t>RMSEp</w:t>
      </w:r>
      <w:proofErr w:type="spellEnd"/>
      <w:r w:rsidR="00753530">
        <w:rPr>
          <w:rFonts w:ascii="Times New Roman" w:hAnsi="Times New Roman"/>
          <w:szCs w:val="19"/>
        </w:rPr>
        <w:t>)</w:t>
      </w:r>
      <w:r w:rsidR="002C4911">
        <w:rPr>
          <w:rFonts w:ascii="Times New Roman" w:hAnsi="Times New Roman"/>
          <w:szCs w:val="19"/>
        </w:rPr>
        <w:t xml:space="preserve"> </w:t>
      </w:r>
      <w:r w:rsidR="00753530">
        <w:rPr>
          <w:rFonts w:ascii="Times New Roman" w:hAnsi="Times New Roman"/>
          <w:szCs w:val="19"/>
        </w:rPr>
        <w:t>is 5.5</w:t>
      </w:r>
      <w:r w:rsidR="00BA692E">
        <w:rPr>
          <w:rFonts w:ascii="Times New Roman" w:hAnsi="Times New Roman"/>
          <w:szCs w:val="19"/>
        </w:rPr>
        <w:t>3</w:t>
      </w:r>
      <w:r w:rsidR="00753530">
        <w:rPr>
          <w:rFonts w:ascii="Times New Roman" w:hAnsi="Times New Roman"/>
          <w:szCs w:val="19"/>
        </w:rPr>
        <w:t>%</w:t>
      </w:r>
      <w:r w:rsidR="004948FB">
        <w:rPr>
          <w:rFonts w:ascii="Times New Roman" w:hAnsi="Times New Roman"/>
          <w:szCs w:val="19"/>
        </w:rPr>
        <w:t xml:space="preserve">, showing that we had a </w:t>
      </w:r>
      <w:r w:rsidR="0018584B">
        <w:rPr>
          <w:rFonts w:ascii="Times New Roman" w:hAnsi="Times New Roman"/>
          <w:szCs w:val="19"/>
        </w:rPr>
        <w:t xml:space="preserve">very </w:t>
      </w:r>
      <w:r w:rsidR="004948FB">
        <w:rPr>
          <w:rFonts w:ascii="Times New Roman" w:hAnsi="Times New Roman"/>
          <w:szCs w:val="19"/>
        </w:rPr>
        <w:t>robust model for the prediction of glycation % from Raman data.</w:t>
      </w:r>
    </w:p>
    <w:p w14:paraId="21A9D4B0" w14:textId="3F665D20" w:rsidR="00397B78" w:rsidRPr="003B3029" w:rsidRDefault="00E155EA" w:rsidP="00F33CBF">
      <w:pPr>
        <w:rPr>
          <w:rFonts w:ascii="Times New Roman" w:hAnsi="Times New Roman"/>
          <w:b/>
          <w:szCs w:val="19"/>
        </w:rPr>
      </w:pPr>
      <w:r w:rsidRPr="003B3029">
        <w:rPr>
          <w:rFonts w:ascii="Times New Roman" w:hAnsi="Times New Roman"/>
          <w:b/>
          <w:szCs w:val="19"/>
        </w:rPr>
        <w:t>C</w:t>
      </w:r>
      <w:r w:rsidR="00A85412" w:rsidRPr="003B3029">
        <w:rPr>
          <w:rFonts w:ascii="Times New Roman" w:hAnsi="Times New Roman"/>
          <w:b/>
          <w:szCs w:val="19"/>
        </w:rPr>
        <w:t>onclusion</w:t>
      </w:r>
    </w:p>
    <w:p w14:paraId="7834F90F" w14:textId="74295B96" w:rsidR="00C03DA1" w:rsidRDefault="008E24DB" w:rsidP="00C03DA1">
      <w:pPr>
        <w:spacing w:line="480" w:lineRule="auto"/>
        <w:rPr>
          <w:rFonts w:ascii="Times New Roman" w:hAnsi="Times New Roman"/>
          <w:szCs w:val="19"/>
        </w:rPr>
      </w:pPr>
      <w:r w:rsidRPr="003B3029">
        <w:rPr>
          <w:rFonts w:ascii="Times New Roman" w:hAnsi="Times New Roman"/>
          <w:szCs w:val="19"/>
        </w:rPr>
        <w:t>Vibrational</w:t>
      </w:r>
      <w:r w:rsidR="003B3029" w:rsidRPr="003B3029">
        <w:rPr>
          <w:rFonts w:ascii="Times New Roman" w:hAnsi="Times New Roman"/>
          <w:szCs w:val="19"/>
        </w:rPr>
        <w:t xml:space="preserve"> </w:t>
      </w:r>
      <w:r w:rsidRPr="003B3029">
        <w:rPr>
          <w:rFonts w:ascii="Times New Roman" w:hAnsi="Times New Roman"/>
          <w:szCs w:val="19"/>
        </w:rPr>
        <w:t>spectroscopy</w:t>
      </w:r>
      <w:r w:rsidR="00347EBC">
        <w:rPr>
          <w:rFonts w:ascii="Times New Roman" w:hAnsi="Times New Roman"/>
          <w:szCs w:val="19"/>
        </w:rPr>
        <w:t xml:space="preserve"> has successfully been used</w:t>
      </w:r>
      <w:r w:rsidR="003B3029" w:rsidRPr="003B3029">
        <w:rPr>
          <w:rFonts w:ascii="Times New Roman" w:hAnsi="Times New Roman"/>
          <w:szCs w:val="19"/>
        </w:rPr>
        <w:t xml:space="preserve"> to distinguish between glycated and non-glycated proteins.</w:t>
      </w:r>
      <w:r w:rsidR="005D0AD8">
        <w:rPr>
          <w:rFonts w:ascii="Times New Roman" w:hAnsi="Times New Roman"/>
          <w:szCs w:val="19"/>
        </w:rPr>
        <w:t xml:space="preserve"> F</w:t>
      </w:r>
      <w:r w:rsidR="003B3029" w:rsidRPr="003B3029">
        <w:rPr>
          <w:rFonts w:ascii="Times New Roman" w:hAnsi="Times New Roman"/>
          <w:szCs w:val="19"/>
        </w:rPr>
        <w:t xml:space="preserve">or the first time, </w:t>
      </w:r>
      <w:r w:rsidR="005D0AD8">
        <w:rPr>
          <w:rFonts w:ascii="Times New Roman" w:hAnsi="Times New Roman"/>
          <w:szCs w:val="19"/>
        </w:rPr>
        <w:t>w</w:t>
      </w:r>
      <w:r w:rsidR="005D0AD8" w:rsidRPr="003B3029">
        <w:rPr>
          <w:rFonts w:ascii="Times New Roman" w:hAnsi="Times New Roman"/>
          <w:szCs w:val="19"/>
        </w:rPr>
        <w:t xml:space="preserve">e have demonstrated </w:t>
      </w:r>
      <w:r w:rsidR="003B3029" w:rsidRPr="003B3029">
        <w:rPr>
          <w:rFonts w:ascii="Times New Roman" w:hAnsi="Times New Roman"/>
          <w:szCs w:val="19"/>
        </w:rPr>
        <w:t xml:space="preserve">the </w:t>
      </w:r>
      <w:r>
        <w:rPr>
          <w:rFonts w:ascii="Times New Roman" w:hAnsi="Times New Roman"/>
          <w:szCs w:val="19"/>
        </w:rPr>
        <w:t>sensitivity of</w:t>
      </w:r>
      <w:r w:rsidR="003B3029" w:rsidRPr="003B3029">
        <w:rPr>
          <w:rFonts w:ascii="Times New Roman" w:hAnsi="Times New Roman"/>
          <w:szCs w:val="19"/>
        </w:rPr>
        <w:t xml:space="preserve"> Raman </w:t>
      </w:r>
      <w:r w:rsidRPr="003B3029">
        <w:rPr>
          <w:rFonts w:ascii="Times New Roman" w:hAnsi="Times New Roman"/>
          <w:szCs w:val="19"/>
        </w:rPr>
        <w:t>spectroscopy</w:t>
      </w:r>
      <w:r w:rsidR="003B3029" w:rsidRPr="003B3029">
        <w:rPr>
          <w:rFonts w:ascii="Times New Roman" w:hAnsi="Times New Roman"/>
          <w:szCs w:val="19"/>
        </w:rPr>
        <w:t xml:space="preserve"> to quantify glycation</w:t>
      </w:r>
      <w:r w:rsidR="002C52C0">
        <w:rPr>
          <w:rFonts w:ascii="Times New Roman" w:hAnsi="Times New Roman"/>
          <w:szCs w:val="19"/>
        </w:rPr>
        <w:t xml:space="preserve"> of proteins in solution</w:t>
      </w:r>
      <w:r w:rsidR="00691261">
        <w:rPr>
          <w:rFonts w:ascii="Times New Roman" w:hAnsi="Times New Roman"/>
          <w:szCs w:val="19"/>
        </w:rPr>
        <w:t>.</w:t>
      </w:r>
      <w:r w:rsidR="0046364E">
        <w:rPr>
          <w:rFonts w:ascii="Times New Roman" w:hAnsi="Times New Roman"/>
          <w:szCs w:val="19"/>
        </w:rPr>
        <w:t xml:space="preserve"> </w:t>
      </w:r>
      <w:r w:rsidR="002C52C0">
        <w:rPr>
          <w:rFonts w:ascii="Times New Roman" w:hAnsi="Times New Roman"/>
          <w:szCs w:val="19"/>
        </w:rPr>
        <w:t xml:space="preserve">Furthermore, we used a 96 well plate set-up </w:t>
      </w:r>
      <w:r w:rsidR="00BF183A">
        <w:rPr>
          <w:rFonts w:ascii="Times New Roman" w:hAnsi="Times New Roman"/>
          <w:szCs w:val="19"/>
        </w:rPr>
        <w:t>suggesting the potential</w:t>
      </w:r>
      <w:r w:rsidR="002C52C0">
        <w:rPr>
          <w:rFonts w:ascii="Times New Roman" w:hAnsi="Times New Roman"/>
          <w:szCs w:val="19"/>
        </w:rPr>
        <w:t xml:space="preserve"> for high throughput, automated analysis of protein samples. Raman spectroscopy a</w:t>
      </w:r>
      <w:r w:rsidR="00C03DA1">
        <w:rPr>
          <w:rFonts w:ascii="Times New Roman" w:hAnsi="Times New Roman"/>
          <w:szCs w:val="19"/>
        </w:rPr>
        <w:t>nalysis</w:t>
      </w:r>
      <w:r w:rsidR="00347EBC">
        <w:rPr>
          <w:rFonts w:ascii="Times New Roman" w:hAnsi="Times New Roman"/>
          <w:szCs w:val="19"/>
        </w:rPr>
        <w:t xml:space="preserve"> of glycated proteins in </w:t>
      </w:r>
      <w:r w:rsidR="00AE4738">
        <w:rPr>
          <w:rFonts w:ascii="Times New Roman" w:hAnsi="Times New Roman"/>
          <w:szCs w:val="19"/>
        </w:rPr>
        <w:t xml:space="preserve">less than </w:t>
      </w:r>
      <w:r w:rsidR="00BA692E">
        <w:rPr>
          <w:rFonts w:ascii="Times New Roman" w:hAnsi="Times New Roman"/>
          <w:szCs w:val="19"/>
        </w:rPr>
        <w:t>two</w:t>
      </w:r>
      <w:r w:rsidR="00347EBC">
        <w:rPr>
          <w:rFonts w:ascii="Times New Roman" w:hAnsi="Times New Roman"/>
          <w:szCs w:val="19"/>
        </w:rPr>
        <w:t xml:space="preserve"> min</w:t>
      </w:r>
      <w:r w:rsidR="00BA692E">
        <w:rPr>
          <w:rFonts w:ascii="Times New Roman" w:hAnsi="Times New Roman"/>
          <w:szCs w:val="19"/>
        </w:rPr>
        <w:t>ute</w:t>
      </w:r>
      <w:r w:rsidR="00EE3FD9">
        <w:rPr>
          <w:rFonts w:ascii="Times New Roman" w:hAnsi="Times New Roman"/>
          <w:szCs w:val="19"/>
        </w:rPr>
        <w:t>s</w:t>
      </w:r>
      <w:r w:rsidR="00347EBC">
        <w:rPr>
          <w:rFonts w:ascii="Times New Roman" w:hAnsi="Times New Roman"/>
          <w:szCs w:val="19"/>
        </w:rPr>
        <w:t xml:space="preserve"> </w:t>
      </w:r>
      <w:r w:rsidR="00C03DA1">
        <w:rPr>
          <w:rFonts w:ascii="Times New Roman" w:hAnsi="Times New Roman"/>
          <w:szCs w:val="19"/>
        </w:rPr>
        <w:t>allows</w:t>
      </w:r>
      <w:r w:rsidR="00347EBC">
        <w:rPr>
          <w:rFonts w:ascii="Times New Roman" w:hAnsi="Times New Roman"/>
          <w:szCs w:val="19"/>
        </w:rPr>
        <w:t xml:space="preserve"> rapid screening </w:t>
      </w:r>
      <w:r w:rsidR="00C03DA1">
        <w:rPr>
          <w:rFonts w:ascii="Times New Roman" w:hAnsi="Times New Roman"/>
          <w:szCs w:val="19"/>
        </w:rPr>
        <w:t>t</w:t>
      </w:r>
      <w:r w:rsidR="00C03DA1" w:rsidRPr="003B3029">
        <w:rPr>
          <w:rFonts w:ascii="Times New Roman" w:hAnsi="Times New Roman"/>
          <w:szCs w:val="19"/>
        </w:rPr>
        <w:t>hus providing</w:t>
      </w:r>
      <w:r w:rsidR="00EE3FD9">
        <w:rPr>
          <w:rFonts w:ascii="Times New Roman" w:hAnsi="Times New Roman"/>
          <w:szCs w:val="19"/>
        </w:rPr>
        <w:t xml:space="preserve"> proof-</w:t>
      </w:r>
      <w:r w:rsidR="00C03DA1">
        <w:rPr>
          <w:rFonts w:ascii="Times New Roman" w:hAnsi="Times New Roman"/>
          <w:szCs w:val="19"/>
        </w:rPr>
        <w:t>of</w:t>
      </w:r>
      <w:r w:rsidR="00EE3FD9">
        <w:rPr>
          <w:rFonts w:ascii="Times New Roman" w:hAnsi="Times New Roman"/>
          <w:szCs w:val="19"/>
        </w:rPr>
        <w:t>-</w:t>
      </w:r>
      <w:r w:rsidR="00C03DA1" w:rsidRPr="003B3029">
        <w:rPr>
          <w:rFonts w:ascii="Times New Roman" w:hAnsi="Times New Roman"/>
          <w:szCs w:val="19"/>
        </w:rPr>
        <w:t>concept for the development of Ra</w:t>
      </w:r>
      <w:r w:rsidR="00C03DA1">
        <w:rPr>
          <w:rFonts w:ascii="Times New Roman" w:hAnsi="Times New Roman"/>
          <w:szCs w:val="19"/>
        </w:rPr>
        <w:t>man spectroscopy for in-line protein characterisation.</w:t>
      </w:r>
    </w:p>
    <w:p w14:paraId="77455E89" w14:textId="3E4FC5B5" w:rsidR="00C03DA1" w:rsidRDefault="005D0AD8" w:rsidP="00C03DA1">
      <w:pPr>
        <w:spacing w:line="480" w:lineRule="auto"/>
        <w:rPr>
          <w:rFonts w:ascii="Times New Roman" w:hAnsi="Times New Roman"/>
          <w:szCs w:val="19"/>
        </w:rPr>
      </w:pPr>
      <w:r>
        <w:rPr>
          <w:rFonts w:ascii="Times New Roman" w:hAnsi="Times New Roman"/>
          <w:szCs w:val="19"/>
        </w:rPr>
        <w:t>Lysozyme</w:t>
      </w:r>
      <w:r w:rsidR="00C03DA1">
        <w:rPr>
          <w:rFonts w:ascii="Times New Roman" w:hAnsi="Times New Roman"/>
          <w:szCs w:val="19"/>
        </w:rPr>
        <w:t xml:space="preserve"> was </w:t>
      </w:r>
      <w:r>
        <w:rPr>
          <w:rFonts w:ascii="Times New Roman" w:hAnsi="Times New Roman"/>
          <w:szCs w:val="19"/>
        </w:rPr>
        <w:t>incubated</w:t>
      </w:r>
      <w:r w:rsidR="00C03DA1">
        <w:rPr>
          <w:rFonts w:ascii="Times New Roman" w:hAnsi="Times New Roman"/>
          <w:szCs w:val="19"/>
        </w:rPr>
        <w:t xml:space="preserve"> with </w:t>
      </w:r>
      <w:r>
        <w:rPr>
          <w:rFonts w:ascii="Times New Roman" w:hAnsi="Times New Roman"/>
          <w:szCs w:val="19"/>
        </w:rPr>
        <w:t>glucose</w:t>
      </w:r>
      <w:r w:rsidR="00C03DA1">
        <w:rPr>
          <w:rFonts w:ascii="Times New Roman" w:hAnsi="Times New Roman"/>
          <w:szCs w:val="19"/>
        </w:rPr>
        <w:t xml:space="preserve"> over a 30 day </w:t>
      </w:r>
      <w:r>
        <w:rPr>
          <w:rFonts w:ascii="Times New Roman" w:hAnsi="Times New Roman"/>
          <w:szCs w:val="19"/>
        </w:rPr>
        <w:t>period</w:t>
      </w:r>
      <w:r w:rsidR="00C03DA1">
        <w:rPr>
          <w:rFonts w:ascii="Times New Roman" w:hAnsi="Times New Roman"/>
          <w:szCs w:val="19"/>
        </w:rPr>
        <w:t xml:space="preserve"> and </w:t>
      </w:r>
      <w:r>
        <w:rPr>
          <w:rFonts w:ascii="Times New Roman" w:hAnsi="Times New Roman"/>
          <w:szCs w:val="19"/>
        </w:rPr>
        <w:t>samples</w:t>
      </w:r>
      <w:r w:rsidR="00C03DA1">
        <w:rPr>
          <w:rFonts w:ascii="Times New Roman" w:hAnsi="Times New Roman"/>
          <w:szCs w:val="19"/>
        </w:rPr>
        <w:t xml:space="preserve"> were removed at </w:t>
      </w:r>
      <w:r w:rsidR="0018584B">
        <w:rPr>
          <w:rFonts w:ascii="Times New Roman" w:hAnsi="Times New Roman"/>
          <w:szCs w:val="19"/>
        </w:rPr>
        <w:t xml:space="preserve">regular </w:t>
      </w:r>
      <w:r w:rsidR="00C03DA1">
        <w:rPr>
          <w:rFonts w:ascii="Times New Roman" w:hAnsi="Times New Roman"/>
          <w:szCs w:val="19"/>
        </w:rPr>
        <w:t>intervals for</w:t>
      </w:r>
      <w:r>
        <w:rPr>
          <w:rFonts w:ascii="Times New Roman" w:hAnsi="Times New Roman"/>
          <w:szCs w:val="19"/>
        </w:rPr>
        <w:t xml:space="preserve"> a time course analysis. Mass spectrometry</w:t>
      </w:r>
      <w:r w:rsidR="00C03DA1">
        <w:rPr>
          <w:rFonts w:ascii="Times New Roman" w:hAnsi="Times New Roman"/>
          <w:szCs w:val="19"/>
        </w:rPr>
        <w:t xml:space="preserve"> was used t</w:t>
      </w:r>
      <w:r>
        <w:rPr>
          <w:rFonts w:ascii="Times New Roman" w:hAnsi="Times New Roman"/>
          <w:szCs w:val="19"/>
        </w:rPr>
        <w:t>o</w:t>
      </w:r>
      <w:r w:rsidR="00C03DA1">
        <w:rPr>
          <w:rFonts w:ascii="Times New Roman" w:hAnsi="Times New Roman"/>
          <w:szCs w:val="19"/>
        </w:rPr>
        <w:t xml:space="preserve"> determine the number of bound glucose </w:t>
      </w:r>
      <w:r>
        <w:rPr>
          <w:rFonts w:ascii="Times New Roman" w:hAnsi="Times New Roman"/>
          <w:szCs w:val="19"/>
        </w:rPr>
        <w:t>molecules</w:t>
      </w:r>
      <w:r w:rsidR="00C03DA1">
        <w:rPr>
          <w:rFonts w:ascii="Times New Roman" w:hAnsi="Times New Roman"/>
          <w:szCs w:val="19"/>
        </w:rPr>
        <w:t xml:space="preserve"> to the protein. </w:t>
      </w:r>
      <w:r w:rsidR="00AE4738">
        <w:rPr>
          <w:rFonts w:ascii="Times New Roman" w:hAnsi="Times New Roman"/>
          <w:szCs w:val="19"/>
        </w:rPr>
        <w:t>L</w:t>
      </w:r>
      <w:r w:rsidR="00C03DA1">
        <w:rPr>
          <w:rFonts w:ascii="Times New Roman" w:hAnsi="Times New Roman"/>
          <w:szCs w:val="19"/>
        </w:rPr>
        <w:t xml:space="preserve">ysozyme was glycated </w:t>
      </w:r>
      <w:r w:rsidR="00AE4738">
        <w:rPr>
          <w:rFonts w:ascii="Times New Roman" w:hAnsi="Times New Roman"/>
          <w:szCs w:val="19"/>
        </w:rPr>
        <w:t xml:space="preserve">to some extent </w:t>
      </w:r>
      <w:r w:rsidR="00C03DA1">
        <w:rPr>
          <w:rFonts w:ascii="Times New Roman" w:hAnsi="Times New Roman"/>
          <w:szCs w:val="19"/>
        </w:rPr>
        <w:t>within 24 hours</w:t>
      </w:r>
      <w:r w:rsidR="00AE4738">
        <w:rPr>
          <w:rFonts w:ascii="Times New Roman" w:hAnsi="Times New Roman"/>
          <w:szCs w:val="19"/>
        </w:rPr>
        <w:t>.</w:t>
      </w:r>
      <w:r w:rsidR="00C03DA1">
        <w:rPr>
          <w:rFonts w:ascii="Times New Roman" w:hAnsi="Times New Roman"/>
          <w:szCs w:val="19"/>
        </w:rPr>
        <w:t xml:space="preserve"> </w:t>
      </w:r>
      <w:r w:rsidR="00AE4738">
        <w:rPr>
          <w:rFonts w:ascii="Times New Roman" w:hAnsi="Times New Roman"/>
          <w:szCs w:val="19"/>
        </w:rPr>
        <w:t>B</w:t>
      </w:r>
      <w:r w:rsidR="00C03DA1">
        <w:rPr>
          <w:rFonts w:ascii="Times New Roman" w:hAnsi="Times New Roman"/>
          <w:szCs w:val="19"/>
        </w:rPr>
        <w:t>y day 30</w:t>
      </w:r>
      <w:r w:rsidR="00AE4738">
        <w:rPr>
          <w:rFonts w:ascii="Times New Roman" w:hAnsi="Times New Roman"/>
          <w:szCs w:val="19"/>
        </w:rPr>
        <w:t>,</w:t>
      </w:r>
      <w:r w:rsidR="00C03DA1">
        <w:rPr>
          <w:rFonts w:ascii="Times New Roman" w:hAnsi="Times New Roman"/>
          <w:szCs w:val="19"/>
        </w:rPr>
        <w:t xml:space="preserve"> the most abundant </w:t>
      </w:r>
      <w:r>
        <w:rPr>
          <w:rFonts w:ascii="Times New Roman" w:hAnsi="Times New Roman"/>
          <w:szCs w:val="19"/>
        </w:rPr>
        <w:t>species</w:t>
      </w:r>
      <w:r w:rsidR="00EE3FD9">
        <w:rPr>
          <w:rFonts w:ascii="Times New Roman" w:hAnsi="Times New Roman"/>
          <w:szCs w:val="19"/>
        </w:rPr>
        <w:t xml:space="preserve"> was lysozyme with one</w:t>
      </w:r>
      <w:r w:rsidR="00C03DA1">
        <w:rPr>
          <w:rFonts w:ascii="Times New Roman" w:hAnsi="Times New Roman"/>
          <w:szCs w:val="19"/>
        </w:rPr>
        <w:t xml:space="preserve"> glucose </w:t>
      </w:r>
      <w:r>
        <w:rPr>
          <w:rFonts w:ascii="Times New Roman" w:hAnsi="Times New Roman"/>
          <w:szCs w:val="19"/>
        </w:rPr>
        <w:t>molecule</w:t>
      </w:r>
      <w:r w:rsidR="00C03DA1">
        <w:rPr>
          <w:rFonts w:ascii="Times New Roman" w:hAnsi="Times New Roman"/>
          <w:szCs w:val="19"/>
        </w:rPr>
        <w:t xml:space="preserve"> bound </w:t>
      </w:r>
      <w:r w:rsidR="00AE4738">
        <w:rPr>
          <w:rFonts w:ascii="Times New Roman" w:hAnsi="Times New Roman"/>
          <w:szCs w:val="19"/>
        </w:rPr>
        <w:t xml:space="preserve">though </w:t>
      </w:r>
      <w:r>
        <w:rPr>
          <w:rFonts w:ascii="Times New Roman" w:hAnsi="Times New Roman"/>
          <w:szCs w:val="19"/>
        </w:rPr>
        <w:t>up to 4</w:t>
      </w:r>
      <w:r w:rsidR="00C03DA1">
        <w:rPr>
          <w:rFonts w:ascii="Times New Roman" w:hAnsi="Times New Roman"/>
          <w:szCs w:val="19"/>
        </w:rPr>
        <w:t xml:space="preserve"> </w:t>
      </w:r>
      <w:r w:rsidR="00AE4738">
        <w:rPr>
          <w:rFonts w:ascii="Times New Roman" w:hAnsi="Times New Roman"/>
          <w:szCs w:val="19"/>
        </w:rPr>
        <w:t xml:space="preserve">was </w:t>
      </w:r>
      <w:r w:rsidR="00C03DA1">
        <w:rPr>
          <w:rFonts w:ascii="Times New Roman" w:hAnsi="Times New Roman"/>
          <w:szCs w:val="19"/>
        </w:rPr>
        <w:t xml:space="preserve">possible. </w:t>
      </w:r>
      <w:proofErr w:type="spellStart"/>
      <w:r>
        <w:rPr>
          <w:rFonts w:ascii="Times New Roman" w:hAnsi="Times New Roman"/>
          <w:szCs w:val="19"/>
        </w:rPr>
        <w:t>Lyophilised</w:t>
      </w:r>
      <w:proofErr w:type="spellEnd"/>
      <w:r>
        <w:rPr>
          <w:rFonts w:ascii="Times New Roman" w:hAnsi="Times New Roman"/>
          <w:szCs w:val="19"/>
        </w:rPr>
        <w:t xml:space="preserve"> samples</w:t>
      </w:r>
      <w:r w:rsidR="00C03DA1">
        <w:rPr>
          <w:rFonts w:ascii="Times New Roman" w:hAnsi="Times New Roman"/>
          <w:szCs w:val="19"/>
        </w:rPr>
        <w:t xml:space="preserve"> from each time course </w:t>
      </w:r>
      <w:r w:rsidR="00C03DA1">
        <w:rPr>
          <w:rFonts w:ascii="Times New Roman" w:hAnsi="Times New Roman"/>
          <w:szCs w:val="19"/>
        </w:rPr>
        <w:lastRenderedPageBreak/>
        <w:t xml:space="preserve">interval were anlaysed using FTIR-ATR. PCA </w:t>
      </w:r>
      <w:r>
        <w:rPr>
          <w:rFonts w:ascii="Times New Roman" w:hAnsi="Times New Roman"/>
          <w:szCs w:val="19"/>
        </w:rPr>
        <w:t>identified</w:t>
      </w:r>
      <w:r w:rsidR="00C03DA1">
        <w:rPr>
          <w:rFonts w:ascii="Times New Roman" w:hAnsi="Times New Roman"/>
          <w:szCs w:val="19"/>
        </w:rPr>
        <w:t xml:space="preserve"> </w:t>
      </w:r>
      <w:r>
        <w:rPr>
          <w:rFonts w:ascii="Times New Roman" w:hAnsi="Times New Roman"/>
          <w:szCs w:val="19"/>
        </w:rPr>
        <w:t xml:space="preserve">a peak at </w:t>
      </w:r>
      <w:r w:rsidR="00AD04BF">
        <w:rPr>
          <w:rFonts w:ascii="Times New Roman" w:hAnsi="Times New Roman"/>
          <w:szCs w:val="19"/>
        </w:rPr>
        <w:t>1027 cm</w:t>
      </w:r>
      <w:r w:rsidR="00AD04BF" w:rsidRPr="005D0AD8">
        <w:rPr>
          <w:rFonts w:ascii="Times New Roman" w:hAnsi="Times New Roman"/>
          <w:szCs w:val="19"/>
          <w:vertAlign w:val="superscript"/>
        </w:rPr>
        <w:t>-1</w:t>
      </w:r>
      <w:r>
        <w:rPr>
          <w:rFonts w:ascii="Times New Roman" w:hAnsi="Times New Roman"/>
          <w:szCs w:val="19"/>
        </w:rPr>
        <w:t xml:space="preserve"> which correlated with glycation levels</w:t>
      </w:r>
      <w:r w:rsidR="00AD04BF">
        <w:rPr>
          <w:rFonts w:ascii="Times New Roman" w:hAnsi="Times New Roman"/>
          <w:szCs w:val="19"/>
        </w:rPr>
        <w:t>.</w:t>
      </w:r>
      <w:r w:rsidR="005A708B">
        <w:rPr>
          <w:rFonts w:ascii="Times New Roman" w:hAnsi="Times New Roman"/>
          <w:szCs w:val="19"/>
        </w:rPr>
        <w:t xml:space="preserve"> This peak was not present in the</w:t>
      </w:r>
      <w:r w:rsidR="00571E39">
        <w:rPr>
          <w:rFonts w:ascii="Times New Roman" w:hAnsi="Times New Roman"/>
          <w:szCs w:val="19"/>
        </w:rPr>
        <w:t xml:space="preserve"> </w:t>
      </w:r>
      <w:r w:rsidR="00B84FD7">
        <w:rPr>
          <w:rFonts w:ascii="Times New Roman" w:hAnsi="Times New Roman"/>
          <w:szCs w:val="19"/>
        </w:rPr>
        <w:t>control</w:t>
      </w:r>
      <w:r w:rsidR="00571E39">
        <w:rPr>
          <w:rFonts w:ascii="Times New Roman" w:hAnsi="Times New Roman"/>
          <w:szCs w:val="19"/>
        </w:rPr>
        <w:t xml:space="preserve"> lysozyme or the</w:t>
      </w:r>
      <w:r w:rsidR="005A708B">
        <w:rPr>
          <w:rFonts w:ascii="Times New Roman" w:hAnsi="Times New Roman"/>
          <w:szCs w:val="19"/>
        </w:rPr>
        <w:t xml:space="preserve"> lysozyme sample spiked with </w:t>
      </w:r>
      <w:r>
        <w:rPr>
          <w:rFonts w:ascii="Times New Roman" w:hAnsi="Times New Roman"/>
          <w:szCs w:val="19"/>
        </w:rPr>
        <w:t>g</w:t>
      </w:r>
      <w:r w:rsidR="005A708B">
        <w:rPr>
          <w:rFonts w:ascii="Times New Roman" w:hAnsi="Times New Roman"/>
          <w:szCs w:val="19"/>
        </w:rPr>
        <w:t>lu</w:t>
      </w:r>
      <w:r>
        <w:rPr>
          <w:rFonts w:ascii="Times New Roman" w:hAnsi="Times New Roman"/>
          <w:szCs w:val="19"/>
        </w:rPr>
        <w:t>cose and therefore we assign</w:t>
      </w:r>
      <w:r w:rsidR="005A708B">
        <w:rPr>
          <w:rFonts w:ascii="Times New Roman" w:hAnsi="Times New Roman"/>
          <w:szCs w:val="19"/>
        </w:rPr>
        <w:t xml:space="preserve"> 1027 cm</w:t>
      </w:r>
      <w:r w:rsidR="005A708B" w:rsidRPr="005D0AD8">
        <w:rPr>
          <w:rFonts w:ascii="Times New Roman" w:hAnsi="Times New Roman"/>
          <w:szCs w:val="19"/>
          <w:vertAlign w:val="superscript"/>
        </w:rPr>
        <w:t>-1</w:t>
      </w:r>
      <w:r w:rsidR="005A708B">
        <w:rPr>
          <w:rFonts w:ascii="Times New Roman" w:hAnsi="Times New Roman"/>
          <w:szCs w:val="19"/>
        </w:rPr>
        <w:t xml:space="preserve"> to bound glucose.</w:t>
      </w:r>
    </w:p>
    <w:p w14:paraId="1C34D5FE" w14:textId="77777777" w:rsidR="00BF183A" w:rsidRDefault="00E90002" w:rsidP="001B7367">
      <w:pPr>
        <w:spacing w:line="480" w:lineRule="auto"/>
        <w:rPr>
          <w:rFonts w:ascii="Times New Roman" w:hAnsi="Times New Roman"/>
          <w:szCs w:val="19"/>
        </w:rPr>
      </w:pPr>
      <w:r>
        <w:rPr>
          <w:rFonts w:ascii="Times New Roman" w:hAnsi="Times New Roman"/>
          <w:szCs w:val="19"/>
        </w:rPr>
        <w:t>Raman spectroscopy</w:t>
      </w:r>
      <w:r w:rsidR="00043F5A">
        <w:rPr>
          <w:rFonts w:ascii="Times New Roman" w:hAnsi="Times New Roman"/>
          <w:szCs w:val="19"/>
        </w:rPr>
        <w:t xml:space="preserve"> analysis required a</w:t>
      </w:r>
      <w:r>
        <w:rPr>
          <w:rFonts w:ascii="Times New Roman" w:hAnsi="Times New Roman"/>
          <w:szCs w:val="19"/>
        </w:rPr>
        <w:t xml:space="preserve"> larger incubation set-up </w:t>
      </w:r>
      <w:r w:rsidR="00BF183A">
        <w:rPr>
          <w:rFonts w:ascii="Times New Roman" w:hAnsi="Times New Roman"/>
          <w:szCs w:val="19"/>
        </w:rPr>
        <w:t>using larger sample</w:t>
      </w:r>
      <w:r w:rsidR="002C52C0">
        <w:rPr>
          <w:rFonts w:ascii="Times New Roman" w:hAnsi="Times New Roman"/>
          <w:szCs w:val="19"/>
        </w:rPr>
        <w:t xml:space="preserve"> volumes required for solution analysis. </w:t>
      </w:r>
      <w:r w:rsidR="00BF183A">
        <w:rPr>
          <w:rFonts w:ascii="Times New Roman" w:hAnsi="Times New Roman"/>
          <w:szCs w:val="19"/>
        </w:rPr>
        <w:t>These were</w:t>
      </w:r>
      <w:r w:rsidR="002C52C0">
        <w:rPr>
          <w:rFonts w:ascii="Times New Roman" w:hAnsi="Times New Roman"/>
          <w:szCs w:val="19"/>
        </w:rPr>
        <w:t xml:space="preserve"> generated using lysozyme incubated with glucose and a non-glycated control</w:t>
      </w:r>
      <w:r w:rsidR="00043F5A">
        <w:rPr>
          <w:rFonts w:ascii="Times New Roman" w:hAnsi="Times New Roman"/>
          <w:szCs w:val="19"/>
        </w:rPr>
        <w:t xml:space="preserve"> incubated under the same environmental conditions with no </w:t>
      </w:r>
      <w:r w:rsidR="002C52C0">
        <w:rPr>
          <w:rFonts w:ascii="Times New Roman" w:hAnsi="Times New Roman"/>
          <w:szCs w:val="19"/>
        </w:rPr>
        <w:t>glucose. Both were incubated for 30 days.</w:t>
      </w:r>
      <w:r>
        <w:rPr>
          <w:rFonts w:ascii="Times New Roman" w:hAnsi="Times New Roman"/>
          <w:szCs w:val="19"/>
        </w:rPr>
        <w:t xml:space="preserve"> </w:t>
      </w:r>
      <w:r w:rsidR="0018584B">
        <w:rPr>
          <w:rFonts w:ascii="Times New Roman" w:hAnsi="Times New Roman"/>
          <w:szCs w:val="19"/>
        </w:rPr>
        <w:t>MS</w:t>
      </w:r>
      <w:r>
        <w:rPr>
          <w:rFonts w:ascii="Times New Roman" w:hAnsi="Times New Roman"/>
          <w:szCs w:val="19"/>
        </w:rPr>
        <w:t xml:space="preserve"> analysis </w:t>
      </w:r>
      <w:r w:rsidR="00043F5A">
        <w:rPr>
          <w:rFonts w:ascii="Times New Roman" w:hAnsi="Times New Roman"/>
          <w:szCs w:val="19"/>
        </w:rPr>
        <w:t>revealed</w:t>
      </w:r>
      <w:r>
        <w:rPr>
          <w:rFonts w:ascii="Times New Roman" w:hAnsi="Times New Roman"/>
          <w:szCs w:val="19"/>
        </w:rPr>
        <w:t xml:space="preserve"> that after 30 days the main species present was </w:t>
      </w:r>
      <w:r w:rsidR="00D0665B">
        <w:rPr>
          <w:rFonts w:ascii="Times New Roman" w:hAnsi="Times New Roman"/>
          <w:szCs w:val="19"/>
        </w:rPr>
        <w:t>again l</w:t>
      </w:r>
      <w:r w:rsidR="00043F5A">
        <w:rPr>
          <w:rFonts w:ascii="Times New Roman" w:hAnsi="Times New Roman"/>
          <w:szCs w:val="19"/>
        </w:rPr>
        <w:t>ysozyme</w:t>
      </w:r>
      <w:r w:rsidR="00EE3FD9">
        <w:rPr>
          <w:rFonts w:ascii="Times New Roman" w:hAnsi="Times New Roman"/>
          <w:szCs w:val="19"/>
        </w:rPr>
        <w:t xml:space="preserve"> with one</w:t>
      </w:r>
      <w:r>
        <w:rPr>
          <w:rFonts w:ascii="Times New Roman" w:hAnsi="Times New Roman"/>
          <w:szCs w:val="19"/>
        </w:rPr>
        <w:t xml:space="preserve"> </w:t>
      </w:r>
      <w:r w:rsidR="00043F5A">
        <w:rPr>
          <w:rFonts w:ascii="Times New Roman" w:hAnsi="Times New Roman"/>
          <w:szCs w:val="19"/>
        </w:rPr>
        <w:t>glucose</w:t>
      </w:r>
      <w:r>
        <w:rPr>
          <w:rFonts w:ascii="Times New Roman" w:hAnsi="Times New Roman"/>
          <w:szCs w:val="19"/>
        </w:rPr>
        <w:t xml:space="preserve"> bound</w:t>
      </w:r>
      <w:r w:rsidR="00EE3FD9">
        <w:rPr>
          <w:rFonts w:ascii="Times New Roman" w:hAnsi="Times New Roman"/>
          <w:szCs w:val="19"/>
        </w:rPr>
        <w:t xml:space="preserve"> (47</w:t>
      </w:r>
      <w:r w:rsidR="00241F78">
        <w:rPr>
          <w:rFonts w:ascii="Times New Roman" w:hAnsi="Times New Roman"/>
          <w:szCs w:val="19"/>
        </w:rPr>
        <w:t>%)</w:t>
      </w:r>
      <w:r>
        <w:rPr>
          <w:rFonts w:ascii="Times New Roman" w:hAnsi="Times New Roman"/>
          <w:szCs w:val="19"/>
        </w:rPr>
        <w:t xml:space="preserve"> </w:t>
      </w:r>
      <w:r w:rsidR="00D0665B">
        <w:rPr>
          <w:rFonts w:ascii="Times New Roman" w:hAnsi="Times New Roman"/>
          <w:szCs w:val="19"/>
        </w:rPr>
        <w:t xml:space="preserve">up to </w:t>
      </w:r>
      <w:r w:rsidR="00EE3FD9">
        <w:rPr>
          <w:rFonts w:ascii="Times New Roman" w:hAnsi="Times New Roman"/>
          <w:szCs w:val="19"/>
        </w:rPr>
        <w:t>a maximum of three</w:t>
      </w:r>
      <w:r>
        <w:rPr>
          <w:rFonts w:ascii="Times New Roman" w:hAnsi="Times New Roman"/>
          <w:szCs w:val="19"/>
        </w:rPr>
        <w:t xml:space="preserve"> </w:t>
      </w:r>
      <w:r w:rsidR="00241F78">
        <w:rPr>
          <w:rFonts w:ascii="Times New Roman" w:hAnsi="Times New Roman"/>
          <w:szCs w:val="19"/>
        </w:rPr>
        <w:t>(6 %)</w:t>
      </w:r>
      <w:r>
        <w:rPr>
          <w:rFonts w:ascii="Times New Roman" w:hAnsi="Times New Roman"/>
          <w:szCs w:val="19"/>
        </w:rPr>
        <w:t>.</w:t>
      </w:r>
      <w:r w:rsidR="00211DD9">
        <w:rPr>
          <w:rFonts w:ascii="Times New Roman" w:hAnsi="Times New Roman"/>
          <w:szCs w:val="19"/>
        </w:rPr>
        <w:t xml:space="preserve"> </w:t>
      </w:r>
      <w:r w:rsidR="00586BCC">
        <w:rPr>
          <w:rFonts w:ascii="Times New Roman" w:hAnsi="Times New Roman"/>
          <w:szCs w:val="19"/>
        </w:rPr>
        <w:t>It can be noted here that the populations of glycated</w:t>
      </w:r>
      <w:r w:rsidR="00972A51">
        <w:rPr>
          <w:rFonts w:ascii="Times New Roman" w:hAnsi="Times New Roman"/>
          <w:szCs w:val="19"/>
        </w:rPr>
        <w:t xml:space="preserve"> species</w:t>
      </w:r>
      <w:r w:rsidR="00586BCC">
        <w:rPr>
          <w:rFonts w:ascii="Times New Roman" w:hAnsi="Times New Roman"/>
          <w:szCs w:val="19"/>
        </w:rPr>
        <w:t xml:space="preserve"> in large set-up</w:t>
      </w:r>
      <w:r w:rsidR="00972A51">
        <w:rPr>
          <w:rFonts w:ascii="Times New Roman" w:hAnsi="Times New Roman"/>
          <w:szCs w:val="19"/>
        </w:rPr>
        <w:t>s</w:t>
      </w:r>
      <w:r w:rsidR="00586BCC">
        <w:rPr>
          <w:rFonts w:ascii="Times New Roman" w:hAnsi="Times New Roman"/>
          <w:szCs w:val="19"/>
        </w:rPr>
        <w:t xml:space="preserve"> differ to th</w:t>
      </w:r>
      <w:r w:rsidR="00972A51">
        <w:rPr>
          <w:rFonts w:ascii="Times New Roman" w:hAnsi="Times New Roman"/>
          <w:szCs w:val="19"/>
        </w:rPr>
        <w:t>ose</w:t>
      </w:r>
      <w:r w:rsidR="00586BCC">
        <w:rPr>
          <w:rFonts w:ascii="Times New Roman" w:hAnsi="Times New Roman"/>
          <w:szCs w:val="19"/>
        </w:rPr>
        <w:t xml:space="preserve"> in the </w:t>
      </w:r>
      <w:proofErr w:type="gramStart"/>
      <w:r w:rsidR="00EE3FD9">
        <w:rPr>
          <w:rFonts w:ascii="Times New Roman" w:hAnsi="Times New Roman"/>
          <w:szCs w:val="19"/>
        </w:rPr>
        <w:t>small scale</w:t>
      </w:r>
      <w:proofErr w:type="gramEnd"/>
      <w:r w:rsidR="00EE3FD9">
        <w:rPr>
          <w:rFonts w:ascii="Times New Roman" w:hAnsi="Times New Roman"/>
          <w:szCs w:val="19"/>
        </w:rPr>
        <w:t xml:space="preserve"> set-up for FTIR (36</w:t>
      </w:r>
      <w:r w:rsidR="00BA692E">
        <w:rPr>
          <w:rFonts w:ascii="Times New Roman" w:hAnsi="Times New Roman"/>
          <w:szCs w:val="19"/>
        </w:rPr>
        <w:t>% one</w:t>
      </w:r>
      <w:r w:rsidR="00EE3FD9">
        <w:rPr>
          <w:rFonts w:ascii="Times New Roman" w:hAnsi="Times New Roman"/>
          <w:szCs w:val="19"/>
        </w:rPr>
        <w:t xml:space="preserve"> glucose bound 14</w:t>
      </w:r>
      <w:r w:rsidR="00BA692E">
        <w:rPr>
          <w:rFonts w:ascii="Times New Roman" w:hAnsi="Times New Roman"/>
          <w:szCs w:val="19"/>
        </w:rPr>
        <w:t>% for three</w:t>
      </w:r>
      <w:r w:rsidR="00586BCC">
        <w:rPr>
          <w:rFonts w:ascii="Times New Roman" w:hAnsi="Times New Roman"/>
          <w:szCs w:val="19"/>
        </w:rPr>
        <w:t xml:space="preserve"> glucose bound) and therefore incubation factors such as volume may</w:t>
      </w:r>
      <w:r w:rsidR="00705A2A">
        <w:rPr>
          <w:rFonts w:ascii="Times New Roman" w:hAnsi="Times New Roman"/>
          <w:szCs w:val="19"/>
        </w:rPr>
        <w:t xml:space="preserve"> affect the glycation rate.</w:t>
      </w:r>
      <w:r w:rsidR="00586BCC">
        <w:rPr>
          <w:rFonts w:ascii="Times New Roman" w:hAnsi="Times New Roman"/>
          <w:szCs w:val="19"/>
        </w:rPr>
        <w:t xml:space="preserve"> </w:t>
      </w:r>
      <w:r w:rsidR="00211DD9">
        <w:rPr>
          <w:rFonts w:ascii="Times New Roman" w:hAnsi="Times New Roman"/>
          <w:szCs w:val="19"/>
        </w:rPr>
        <w:t xml:space="preserve">These samples were buffer </w:t>
      </w:r>
      <w:r w:rsidR="00043F5A">
        <w:rPr>
          <w:rFonts w:ascii="Times New Roman" w:hAnsi="Times New Roman"/>
          <w:szCs w:val="19"/>
        </w:rPr>
        <w:t>exchanged and concentrated</w:t>
      </w:r>
      <w:r w:rsidR="00211DD9">
        <w:rPr>
          <w:rFonts w:ascii="Times New Roman" w:hAnsi="Times New Roman"/>
          <w:szCs w:val="19"/>
        </w:rPr>
        <w:t xml:space="preserve"> to 12 mg/</w:t>
      </w:r>
      <w:r w:rsidR="0018584B">
        <w:rPr>
          <w:rFonts w:ascii="Times New Roman" w:hAnsi="Times New Roman"/>
          <w:szCs w:val="19"/>
        </w:rPr>
        <w:t xml:space="preserve">mL </w:t>
      </w:r>
      <w:r w:rsidR="00211DD9">
        <w:rPr>
          <w:rFonts w:ascii="Times New Roman" w:hAnsi="Times New Roman"/>
          <w:szCs w:val="19"/>
        </w:rPr>
        <w:t xml:space="preserve">and then </w:t>
      </w:r>
      <w:r w:rsidR="00043F5A">
        <w:rPr>
          <w:rFonts w:ascii="Times New Roman" w:hAnsi="Times New Roman"/>
          <w:szCs w:val="19"/>
        </w:rPr>
        <w:t>used to create 16 samples</w:t>
      </w:r>
      <w:r w:rsidR="00EE3FD9">
        <w:rPr>
          <w:rFonts w:ascii="Times New Roman" w:hAnsi="Times New Roman"/>
          <w:szCs w:val="19"/>
        </w:rPr>
        <w:t xml:space="preserve"> from 0 to 100</w:t>
      </w:r>
      <w:r w:rsidR="00211DD9">
        <w:rPr>
          <w:rFonts w:ascii="Times New Roman" w:hAnsi="Times New Roman"/>
          <w:szCs w:val="19"/>
        </w:rPr>
        <w:t xml:space="preserve">% glycated </w:t>
      </w:r>
      <w:r w:rsidR="00D0665B">
        <w:rPr>
          <w:rFonts w:ascii="Times New Roman" w:hAnsi="Times New Roman"/>
          <w:szCs w:val="19"/>
        </w:rPr>
        <w:t xml:space="preserve">at </w:t>
      </w:r>
      <w:r w:rsidR="00211DD9">
        <w:rPr>
          <w:rFonts w:ascii="Times New Roman" w:hAnsi="Times New Roman"/>
          <w:szCs w:val="19"/>
        </w:rPr>
        <w:t xml:space="preserve">~6% </w:t>
      </w:r>
      <w:r w:rsidR="00241F78">
        <w:rPr>
          <w:rFonts w:ascii="Times New Roman" w:hAnsi="Times New Roman"/>
          <w:szCs w:val="19"/>
        </w:rPr>
        <w:t>intervals</w:t>
      </w:r>
      <w:r w:rsidR="00211DD9">
        <w:rPr>
          <w:rFonts w:ascii="Times New Roman" w:hAnsi="Times New Roman"/>
          <w:szCs w:val="19"/>
        </w:rPr>
        <w:t>. Using a 96 well plate set-up</w:t>
      </w:r>
      <w:r w:rsidR="00D0665B">
        <w:rPr>
          <w:rFonts w:ascii="Times New Roman" w:hAnsi="Times New Roman"/>
          <w:szCs w:val="19"/>
        </w:rPr>
        <w:t>,</w:t>
      </w:r>
      <w:r w:rsidR="00211DD9">
        <w:rPr>
          <w:rFonts w:ascii="Times New Roman" w:hAnsi="Times New Roman"/>
          <w:szCs w:val="19"/>
        </w:rPr>
        <w:t xml:space="preserve"> the samples were </w:t>
      </w:r>
      <w:r w:rsidR="0018584B">
        <w:rPr>
          <w:rFonts w:ascii="Times New Roman" w:hAnsi="Times New Roman"/>
          <w:szCs w:val="19"/>
        </w:rPr>
        <w:t xml:space="preserve">analysed </w:t>
      </w:r>
      <w:r w:rsidR="00043F5A">
        <w:rPr>
          <w:rFonts w:ascii="Times New Roman" w:hAnsi="Times New Roman"/>
          <w:szCs w:val="19"/>
        </w:rPr>
        <w:t>with</w:t>
      </w:r>
      <w:r w:rsidR="00211DD9">
        <w:rPr>
          <w:rFonts w:ascii="Times New Roman" w:hAnsi="Times New Roman"/>
          <w:szCs w:val="19"/>
        </w:rPr>
        <w:t xml:space="preserve"> Raman</w:t>
      </w:r>
      <w:r w:rsidR="00043F5A">
        <w:rPr>
          <w:rFonts w:ascii="Times New Roman" w:hAnsi="Times New Roman"/>
          <w:szCs w:val="19"/>
        </w:rPr>
        <w:t xml:space="preserve"> spectroscopy</w:t>
      </w:r>
      <w:r w:rsidR="0018584B">
        <w:rPr>
          <w:rFonts w:ascii="Times New Roman" w:hAnsi="Times New Roman"/>
          <w:szCs w:val="19"/>
        </w:rPr>
        <w:t xml:space="preserve"> via automation on a Raman microscope</w:t>
      </w:r>
      <w:r w:rsidR="00211DD9">
        <w:rPr>
          <w:rFonts w:ascii="Times New Roman" w:hAnsi="Times New Roman"/>
          <w:szCs w:val="19"/>
        </w:rPr>
        <w:t xml:space="preserve">. PCA </w:t>
      </w:r>
      <w:r w:rsidR="00043F5A">
        <w:rPr>
          <w:rFonts w:ascii="Times New Roman" w:hAnsi="Times New Roman"/>
          <w:szCs w:val="19"/>
        </w:rPr>
        <w:t>revealed</w:t>
      </w:r>
      <w:r w:rsidR="00211DD9">
        <w:rPr>
          <w:rFonts w:ascii="Times New Roman" w:hAnsi="Times New Roman"/>
          <w:szCs w:val="19"/>
        </w:rPr>
        <w:t xml:space="preserve"> a more complex variance</w:t>
      </w:r>
      <w:r w:rsidR="00951CEB">
        <w:rPr>
          <w:rFonts w:ascii="Times New Roman" w:hAnsi="Times New Roman"/>
          <w:szCs w:val="19"/>
        </w:rPr>
        <w:t xml:space="preserve">, with more </w:t>
      </w:r>
      <w:r w:rsidR="009218A2">
        <w:rPr>
          <w:rFonts w:ascii="Times New Roman" w:hAnsi="Times New Roman"/>
          <w:szCs w:val="19"/>
        </w:rPr>
        <w:t>contributing</w:t>
      </w:r>
      <w:r w:rsidR="00951CEB">
        <w:rPr>
          <w:rFonts w:ascii="Times New Roman" w:hAnsi="Times New Roman"/>
          <w:szCs w:val="19"/>
        </w:rPr>
        <w:t xml:space="preserve"> peaks,</w:t>
      </w:r>
      <w:r w:rsidR="00211DD9">
        <w:rPr>
          <w:rFonts w:ascii="Times New Roman" w:hAnsi="Times New Roman"/>
          <w:szCs w:val="19"/>
        </w:rPr>
        <w:t xml:space="preserve"> across PC</w:t>
      </w:r>
      <w:r w:rsidR="005A708B">
        <w:rPr>
          <w:rFonts w:ascii="Times New Roman" w:hAnsi="Times New Roman"/>
          <w:szCs w:val="19"/>
        </w:rPr>
        <w:t xml:space="preserve"> </w:t>
      </w:r>
      <w:r w:rsidR="00211DD9">
        <w:rPr>
          <w:rFonts w:ascii="Times New Roman" w:hAnsi="Times New Roman"/>
          <w:szCs w:val="19"/>
        </w:rPr>
        <w:t>1 and PC</w:t>
      </w:r>
      <w:r w:rsidR="005A708B">
        <w:rPr>
          <w:rFonts w:ascii="Times New Roman" w:hAnsi="Times New Roman"/>
          <w:szCs w:val="19"/>
        </w:rPr>
        <w:t xml:space="preserve"> </w:t>
      </w:r>
      <w:r w:rsidR="00951CEB">
        <w:rPr>
          <w:rFonts w:ascii="Times New Roman" w:hAnsi="Times New Roman"/>
          <w:szCs w:val="19"/>
        </w:rPr>
        <w:t>2</w:t>
      </w:r>
      <w:r w:rsidR="00211DD9">
        <w:rPr>
          <w:rFonts w:ascii="Times New Roman" w:hAnsi="Times New Roman"/>
          <w:szCs w:val="19"/>
        </w:rPr>
        <w:t xml:space="preserve"> compared to FTIR-ATR samples</w:t>
      </w:r>
      <w:r w:rsidR="00BF183A">
        <w:rPr>
          <w:rFonts w:ascii="Times New Roman" w:hAnsi="Times New Roman"/>
          <w:szCs w:val="19"/>
        </w:rPr>
        <w:t>,</w:t>
      </w:r>
      <w:r w:rsidR="00211DD9">
        <w:rPr>
          <w:rFonts w:ascii="Times New Roman" w:hAnsi="Times New Roman"/>
          <w:szCs w:val="19"/>
        </w:rPr>
        <w:t xml:space="preserve"> due to t</w:t>
      </w:r>
      <w:r w:rsidR="00043F5A">
        <w:rPr>
          <w:rFonts w:ascii="Times New Roman" w:hAnsi="Times New Roman"/>
          <w:szCs w:val="19"/>
        </w:rPr>
        <w:t>h</w:t>
      </w:r>
      <w:r w:rsidR="00211DD9">
        <w:rPr>
          <w:rFonts w:ascii="Times New Roman" w:hAnsi="Times New Roman"/>
          <w:szCs w:val="19"/>
        </w:rPr>
        <w:t>e addition of vibrations of buffer and water</w:t>
      </w:r>
      <w:r w:rsidR="00951CEB">
        <w:rPr>
          <w:rFonts w:ascii="Times New Roman" w:hAnsi="Times New Roman"/>
          <w:szCs w:val="19"/>
        </w:rPr>
        <w:t xml:space="preserve"> from</w:t>
      </w:r>
      <w:r w:rsidR="00211DD9">
        <w:rPr>
          <w:rFonts w:ascii="Times New Roman" w:hAnsi="Times New Roman"/>
          <w:szCs w:val="19"/>
        </w:rPr>
        <w:t xml:space="preserve"> using samples</w:t>
      </w:r>
      <w:r w:rsidR="00586F72">
        <w:rPr>
          <w:rFonts w:ascii="Times New Roman" w:hAnsi="Times New Roman"/>
          <w:szCs w:val="19"/>
        </w:rPr>
        <w:t xml:space="preserve"> in solution</w:t>
      </w:r>
      <w:r w:rsidR="00211DD9">
        <w:rPr>
          <w:rFonts w:ascii="Times New Roman" w:hAnsi="Times New Roman"/>
          <w:szCs w:val="19"/>
        </w:rPr>
        <w:t xml:space="preserve">. </w:t>
      </w:r>
      <w:r w:rsidR="00951CEB">
        <w:rPr>
          <w:rFonts w:ascii="Times New Roman" w:hAnsi="Times New Roman"/>
          <w:szCs w:val="19"/>
        </w:rPr>
        <w:t xml:space="preserve">Both the Raman spectra in </w:t>
      </w:r>
      <w:r w:rsidR="0018584B">
        <w:rPr>
          <w:rFonts w:ascii="Times New Roman" w:hAnsi="Times New Roman"/>
          <w:szCs w:val="19"/>
        </w:rPr>
        <w:t xml:space="preserve">Figure </w:t>
      </w:r>
      <w:r w:rsidR="00951CEB">
        <w:rPr>
          <w:rFonts w:ascii="Times New Roman" w:hAnsi="Times New Roman"/>
          <w:szCs w:val="19"/>
        </w:rPr>
        <w:t xml:space="preserve">5a and loadings plots in </w:t>
      </w:r>
      <w:r w:rsidR="0018584B">
        <w:rPr>
          <w:rFonts w:ascii="Times New Roman" w:hAnsi="Times New Roman"/>
          <w:szCs w:val="19"/>
        </w:rPr>
        <w:t xml:space="preserve">Figure </w:t>
      </w:r>
      <w:r w:rsidR="00951CEB">
        <w:rPr>
          <w:rFonts w:ascii="Times New Roman" w:hAnsi="Times New Roman"/>
          <w:szCs w:val="19"/>
        </w:rPr>
        <w:t>5c highlighted increased</w:t>
      </w:r>
      <w:r w:rsidR="009218A2">
        <w:rPr>
          <w:rFonts w:ascii="Times New Roman" w:hAnsi="Times New Roman"/>
          <w:szCs w:val="19"/>
        </w:rPr>
        <w:t xml:space="preserve"> intensity</w:t>
      </w:r>
      <w:r w:rsidR="00951CEB">
        <w:rPr>
          <w:rFonts w:ascii="Times New Roman" w:hAnsi="Times New Roman"/>
          <w:szCs w:val="19"/>
        </w:rPr>
        <w:t xml:space="preserve"> of peaks at 1038 cm</w:t>
      </w:r>
      <w:r w:rsidR="00951CEB" w:rsidRPr="009218A2">
        <w:rPr>
          <w:rFonts w:ascii="Times New Roman" w:hAnsi="Times New Roman"/>
          <w:szCs w:val="19"/>
          <w:vertAlign w:val="superscript"/>
        </w:rPr>
        <w:t>-1</w:t>
      </w:r>
      <w:r w:rsidR="00951CEB">
        <w:rPr>
          <w:rFonts w:ascii="Times New Roman" w:hAnsi="Times New Roman"/>
          <w:szCs w:val="19"/>
        </w:rPr>
        <w:t>, 1060 cm</w:t>
      </w:r>
      <w:r w:rsidR="00951CEB" w:rsidRPr="009218A2">
        <w:rPr>
          <w:rFonts w:ascii="Times New Roman" w:hAnsi="Times New Roman"/>
          <w:szCs w:val="19"/>
          <w:vertAlign w:val="superscript"/>
        </w:rPr>
        <w:t>-1</w:t>
      </w:r>
      <w:r w:rsidR="00951CEB">
        <w:rPr>
          <w:rFonts w:ascii="Times New Roman" w:hAnsi="Times New Roman"/>
          <w:szCs w:val="19"/>
        </w:rPr>
        <w:t xml:space="preserve"> and 1121 cm</w:t>
      </w:r>
      <w:r w:rsidR="00951CEB" w:rsidRPr="009218A2">
        <w:rPr>
          <w:rFonts w:ascii="Times New Roman" w:hAnsi="Times New Roman"/>
          <w:szCs w:val="19"/>
          <w:vertAlign w:val="superscript"/>
        </w:rPr>
        <w:t>-1</w:t>
      </w:r>
      <w:r w:rsidR="00951CEB">
        <w:rPr>
          <w:rFonts w:ascii="Times New Roman" w:hAnsi="Times New Roman"/>
          <w:szCs w:val="19"/>
        </w:rPr>
        <w:t xml:space="preserve"> </w:t>
      </w:r>
      <w:r w:rsidR="009218A2">
        <w:rPr>
          <w:rFonts w:ascii="Times New Roman" w:hAnsi="Times New Roman"/>
          <w:szCs w:val="19"/>
        </w:rPr>
        <w:t>compared</w:t>
      </w:r>
      <w:r w:rsidR="00951CEB">
        <w:rPr>
          <w:rFonts w:ascii="Times New Roman" w:hAnsi="Times New Roman"/>
          <w:szCs w:val="19"/>
        </w:rPr>
        <w:t xml:space="preserve"> to that of the peaks in the control.</w:t>
      </w:r>
      <w:r w:rsidR="009218A2">
        <w:rPr>
          <w:rFonts w:ascii="Times New Roman" w:hAnsi="Times New Roman"/>
          <w:szCs w:val="19"/>
        </w:rPr>
        <w:t xml:space="preserve"> Furthermore, the peaks highlighted at 1038 cm</w:t>
      </w:r>
      <w:r w:rsidR="009218A2" w:rsidRPr="009218A2">
        <w:rPr>
          <w:rFonts w:ascii="Times New Roman" w:hAnsi="Times New Roman"/>
          <w:szCs w:val="19"/>
          <w:vertAlign w:val="superscript"/>
        </w:rPr>
        <w:t>-1</w:t>
      </w:r>
      <w:r w:rsidR="009218A2">
        <w:rPr>
          <w:rFonts w:ascii="Times New Roman" w:hAnsi="Times New Roman"/>
          <w:szCs w:val="19"/>
        </w:rPr>
        <w:t xml:space="preserve"> and 1060 cm</w:t>
      </w:r>
      <w:r w:rsidR="009218A2" w:rsidRPr="009218A2">
        <w:rPr>
          <w:rFonts w:ascii="Times New Roman" w:hAnsi="Times New Roman"/>
          <w:szCs w:val="19"/>
          <w:vertAlign w:val="superscript"/>
        </w:rPr>
        <w:t>-1</w:t>
      </w:r>
      <w:r w:rsidR="009218A2">
        <w:rPr>
          <w:rFonts w:ascii="Times New Roman" w:hAnsi="Times New Roman"/>
          <w:szCs w:val="19"/>
        </w:rPr>
        <w:t xml:space="preserve"> were not found in free glucose alone (</w:t>
      </w:r>
      <w:r w:rsidR="0018584B">
        <w:rPr>
          <w:rFonts w:ascii="Times New Roman" w:hAnsi="Times New Roman"/>
          <w:szCs w:val="19"/>
        </w:rPr>
        <w:t xml:space="preserve">Figure </w:t>
      </w:r>
      <w:r w:rsidR="009218A2">
        <w:rPr>
          <w:rFonts w:ascii="Times New Roman" w:hAnsi="Times New Roman"/>
          <w:szCs w:val="19"/>
        </w:rPr>
        <w:t>S8).</w:t>
      </w:r>
      <w:r w:rsidR="00241F78">
        <w:rPr>
          <w:rFonts w:ascii="Times New Roman" w:hAnsi="Times New Roman"/>
          <w:szCs w:val="19"/>
        </w:rPr>
        <w:t xml:space="preserve"> To</w:t>
      </w:r>
      <w:r w:rsidR="00327F91">
        <w:rPr>
          <w:rFonts w:ascii="Times New Roman" w:hAnsi="Times New Roman"/>
          <w:szCs w:val="19"/>
        </w:rPr>
        <w:t xml:space="preserve"> </w:t>
      </w:r>
      <w:r w:rsidR="00D0665B">
        <w:rPr>
          <w:rFonts w:ascii="Times New Roman" w:hAnsi="Times New Roman"/>
          <w:szCs w:val="19"/>
        </w:rPr>
        <w:t xml:space="preserve">confirm </w:t>
      </w:r>
      <w:r w:rsidR="00241F78">
        <w:rPr>
          <w:rFonts w:ascii="Times New Roman" w:hAnsi="Times New Roman"/>
          <w:szCs w:val="19"/>
        </w:rPr>
        <w:t>the</w:t>
      </w:r>
      <w:r w:rsidR="00327F91">
        <w:rPr>
          <w:rFonts w:ascii="Times New Roman" w:hAnsi="Times New Roman"/>
          <w:szCs w:val="19"/>
        </w:rPr>
        <w:t xml:space="preserve"> </w:t>
      </w:r>
      <w:r w:rsidR="00D0665B">
        <w:rPr>
          <w:rFonts w:ascii="Times New Roman" w:hAnsi="Times New Roman"/>
          <w:szCs w:val="19"/>
        </w:rPr>
        <w:t xml:space="preserve">relevance </w:t>
      </w:r>
      <w:r w:rsidR="00327F91">
        <w:rPr>
          <w:rFonts w:ascii="Times New Roman" w:hAnsi="Times New Roman"/>
          <w:szCs w:val="19"/>
        </w:rPr>
        <w:t>o</w:t>
      </w:r>
      <w:r w:rsidR="00241F78">
        <w:rPr>
          <w:rFonts w:ascii="Times New Roman" w:hAnsi="Times New Roman"/>
          <w:szCs w:val="19"/>
        </w:rPr>
        <w:t>f</w:t>
      </w:r>
      <w:r w:rsidR="00327F91">
        <w:rPr>
          <w:rFonts w:ascii="Times New Roman" w:hAnsi="Times New Roman"/>
          <w:szCs w:val="19"/>
        </w:rPr>
        <w:t xml:space="preserve"> these peaks </w:t>
      </w:r>
      <w:r w:rsidR="00D0665B">
        <w:rPr>
          <w:rFonts w:ascii="Times New Roman" w:hAnsi="Times New Roman"/>
          <w:szCs w:val="19"/>
        </w:rPr>
        <w:t xml:space="preserve">to </w:t>
      </w:r>
      <w:r w:rsidR="00327F91">
        <w:rPr>
          <w:rFonts w:ascii="Times New Roman" w:hAnsi="Times New Roman"/>
          <w:szCs w:val="19"/>
        </w:rPr>
        <w:t xml:space="preserve">other </w:t>
      </w:r>
      <w:r w:rsidR="00241F78">
        <w:rPr>
          <w:rFonts w:ascii="Times New Roman" w:hAnsi="Times New Roman"/>
          <w:szCs w:val="19"/>
        </w:rPr>
        <w:t xml:space="preserve">glycated </w:t>
      </w:r>
      <w:r w:rsidR="00327F91">
        <w:rPr>
          <w:rFonts w:ascii="Times New Roman" w:hAnsi="Times New Roman"/>
          <w:szCs w:val="19"/>
        </w:rPr>
        <w:t>protein</w:t>
      </w:r>
      <w:r w:rsidR="00241F78">
        <w:rPr>
          <w:rFonts w:ascii="Times New Roman" w:hAnsi="Times New Roman"/>
          <w:szCs w:val="19"/>
        </w:rPr>
        <w:t>s</w:t>
      </w:r>
      <w:r w:rsidR="00D0665B">
        <w:rPr>
          <w:rFonts w:ascii="Times New Roman" w:hAnsi="Times New Roman"/>
          <w:szCs w:val="19"/>
        </w:rPr>
        <w:t>,</w:t>
      </w:r>
      <w:r w:rsidR="00327F91">
        <w:rPr>
          <w:rFonts w:ascii="Times New Roman" w:hAnsi="Times New Roman"/>
          <w:szCs w:val="19"/>
        </w:rPr>
        <w:t xml:space="preserve"> albumin was glycated using the </w:t>
      </w:r>
      <w:r w:rsidR="00BF183A">
        <w:rPr>
          <w:rFonts w:ascii="Times New Roman" w:hAnsi="Times New Roman"/>
          <w:szCs w:val="19"/>
        </w:rPr>
        <w:t xml:space="preserve">same </w:t>
      </w:r>
      <w:r w:rsidR="00D0665B">
        <w:rPr>
          <w:rFonts w:ascii="Times New Roman" w:hAnsi="Times New Roman"/>
          <w:szCs w:val="19"/>
        </w:rPr>
        <w:t>conditions</w:t>
      </w:r>
      <w:r w:rsidR="00241F78">
        <w:rPr>
          <w:rFonts w:ascii="Times New Roman" w:hAnsi="Times New Roman"/>
          <w:szCs w:val="19"/>
        </w:rPr>
        <w:t>. In</w:t>
      </w:r>
      <w:r w:rsidR="00327F91">
        <w:rPr>
          <w:rFonts w:ascii="Times New Roman" w:hAnsi="Times New Roman"/>
          <w:szCs w:val="19"/>
        </w:rPr>
        <w:t xml:space="preserve"> </w:t>
      </w:r>
      <w:r w:rsidR="0018584B">
        <w:rPr>
          <w:rFonts w:ascii="Times New Roman" w:hAnsi="Times New Roman"/>
          <w:szCs w:val="19"/>
        </w:rPr>
        <w:t>F</w:t>
      </w:r>
      <w:r w:rsidR="00327F91">
        <w:rPr>
          <w:rFonts w:ascii="Times New Roman" w:hAnsi="Times New Roman"/>
          <w:szCs w:val="19"/>
        </w:rPr>
        <w:t>igure</w:t>
      </w:r>
      <w:r w:rsidR="00241F78">
        <w:rPr>
          <w:rFonts w:ascii="Times New Roman" w:hAnsi="Times New Roman"/>
          <w:szCs w:val="19"/>
        </w:rPr>
        <w:t xml:space="preserve"> 5</w:t>
      </w:r>
      <w:r w:rsidR="00327F91">
        <w:rPr>
          <w:rFonts w:ascii="Times New Roman" w:hAnsi="Times New Roman"/>
          <w:szCs w:val="19"/>
        </w:rPr>
        <w:t xml:space="preserve"> we compared both glycated albumin and </w:t>
      </w:r>
      <w:r w:rsidR="00241F78">
        <w:rPr>
          <w:rFonts w:ascii="Times New Roman" w:hAnsi="Times New Roman"/>
          <w:szCs w:val="19"/>
        </w:rPr>
        <w:t>lysozyme</w:t>
      </w:r>
      <w:r w:rsidR="00327F91">
        <w:rPr>
          <w:rFonts w:ascii="Times New Roman" w:hAnsi="Times New Roman"/>
          <w:szCs w:val="19"/>
        </w:rPr>
        <w:t xml:space="preserve"> with </w:t>
      </w:r>
      <w:r w:rsidR="009218A2">
        <w:rPr>
          <w:rFonts w:ascii="Times New Roman" w:hAnsi="Times New Roman"/>
          <w:szCs w:val="19"/>
        </w:rPr>
        <w:t xml:space="preserve">controls </w:t>
      </w:r>
      <w:r w:rsidR="00327F91">
        <w:rPr>
          <w:rFonts w:ascii="Times New Roman" w:hAnsi="Times New Roman"/>
          <w:szCs w:val="19"/>
        </w:rPr>
        <w:t xml:space="preserve">and </w:t>
      </w:r>
      <w:r w:rsidR="00241F78">
        <w:rPr>
          <w:rFonts w:ascii="Times New Roman" w:hAnsi="Times New Roman"/>
          <w:szCs w:val="19"/>
        </w:rPr>
        <w:t>glucose</w:t>
      </w:r>
      <w:r w:rsidR="00327F91">
        <w:rPr>
          <w:rFonts w:ascii="Times New Roman" w:hAnsi="Times New Roman"/>
          <w:szCs w:val="19"/>
        </w:rPr>
        <w:t xml:space="preserve"> spiked in</w:t>
      </w:r>
      <w:r w:rsidR="009218A2">
        <w:rPr>
          <w:rFonts w:ascii="Times New Roman" w:hAnsi="Times New Roman"/>
          <w:szCs w:val="19"/>
        </w:rPr>
        <w:t xml:space="preserve"> to the </w:t>
      </w:r>
      <w:r w:rsidR="006C226E">
        <w:rPr>
          <w:rFonts w:ascii="Times New Roman" w:hAnsi="Times New Roman"/>
          <w:szCs w:val="19"/>
        </w:rPr>
        <w:t>control</w:t>
      </w:r>
      <w:r w:rsidR="009218A2">
        <w:rPr>
          <w:rFonts w:ascii="Times New Roman" w:hAnsi="Times New Roman"/>
          <w:szCs w:val="19"/>
        </w:rPr>
        <w:t xml:space="preserve"> protein</w:t>
      </w:r>
      <w:r w:rsidR="00241F78">
        <w:rPr>
          <w:rFonts w:ascii="Times New Roman" w:hAnsi="Times New Roman"/>
          <w:szCs w:val="19"/>
        </w:rPr>
        <w:t xml:space="preserve">. The </w:t>
      </w:r>
      <w:r w:rsidR="000539B0">
        <w:rPr>
          <w:rFonts w:ascii="Times New Roman" w:hAnsi="Times New Roman"/>
          <w:szCs w:val="19"/>
        </w:rPr>
        <w:t>spectra</w:t>
      </w:r>
      <w:r w:rsidR="009218A2">
        <w:rPr>
          <w:rFonts w:ascii="Times New Roman" w:hAnsi="Times New Roman"/>
          <w:szCs w:val="19"/>
        </w:rPr>
        <w:t xml:space="preserve"> </w:t>
      </w:r>
      <w:r w:rsidR="00327F91">
        <w:rPr>
          <w:rFonts w:ascii="Times New Roman" w:hAnsi="Times New Roman"/>
          <w:szCs w:val="19"/>
        </w:rPr>
        <w:t>and</w:t>
      </w:r>
      <w:r w:rsidR="009218A2">
        <w:rPr>
          <w:rFonts w:ascii="Times New Roman" w:hAnsi="Times New Roman"/>
          <w:szCs w:val="19"/>
        </w:rPr>
        <w:t xml:space="preserve"> PCA</w:t>
      </w:r>
      <w:r w:rsidR="00327F91">
        <w:rPr>
          <w:rFonts w:ascii="Times New Roman" w:hAnsi="Times New Roman"/>
          <w:szCs w:val="19"/>
        </w:rPr>
        <w:t xml:space="preserve"> </w:t>
      </w:r>
      <w:r w:rsidR="00241F78">
        <w:rPr>
          <w:rFonts w:ascii="Times New Roman" w:hAnsi="Times New Roman"/>
          <w:szCs w:val="19"/>
        </w:rPr>
        <w:t>loadings</w:t>
      </w:r>
      <w:r w:rsidR="00327F91">
        <w:rPr>
          <w:rFonts w:ascii="Times New Roman" w:hAnsi="Times New Roman"/>
          <w:szCs w:val="19"/>
        </w:rPr>
        <w:t xml:space="preserve"> </w:t>
      </w:r>
      <w:r w:rsidR="00D0665B">
        <w:rPr>
          <w:rFonts w:ascii="Times New Roman" w:hAnsi="Times New Roman"/>
          <w:szCs w:val="19"/>
        </w:rPr>
        <w:t xml:space="preserve">again </w:t>
      </w:r>
      <w:r w:rsidR="00327F91">
        <w:rPr>
          <w:rFonts w:ascii="Times New Roman" w:hAnsi="Times New Roman"/>
          <w:szCs w:val="19"/>
        </w:rPr>
        <w:t xml:space="preserve">highlighted </w:t>
      </w:r>
      <w:r w:rsidR="00241F78">
        <w:rPr>
          <w:rFonts w:ascii="Times New Roman" w:hAnsi="Times New Roman"/>
          <w:szCs w:val="19"/>
        </w:rPr>
        <w:t>peak</w:t>
      </w:r>
      <w:r w:rsidR="009218A2">
        <w:rPr>
          <w:rFonts w:ascii="Times New Roman" w:hAnsi="Times New Roman"/>
          <w:szCs w:val="19"/>
        </w:rPr>
        <w:t xml:space="preserve"> </w:t>
      </w:r>
      <w:r w:rsidR="000539B0">
        <w:rPr>
          <w:rFonts w:ascii="Times New Roman" w:hAnsi="Times New Roman"/>
          <w:szCs w:val="19"/>
        </w:rPr>
        <w:t>intensities</w:t>
      </w:r>
      <w:r w:rsidR="00241F78">
        <w:rPr>
          <w:rFonts w:ascii="Times New Roman" w:hAnsi="Times New Roman"/>
          <w:szCs w:val="19"/>
        </w:rPr>
        <w:t xml:space="preserve"> at 1040 cm</w:t>
      </w:r>
      <w:r w:rsidR="00241F78" w:rsidRPr="00241F78">
        <w:rPr>
          <w:rFonts w:ascii="Times New Roman" w:hAnsi="Times New Roman"/>
          <w:szCs w:val="19"/>
          <w:vertAlign w:val="superscript"/>
        </w:rPr>
        <w:t>-1</w:t>
      </w:r>
      <w:r w:rsidR="00327F91">
        <w:rPr>
          <w:rFonts w:ascii="Times New Roman" w:hAnsi="Times New Roman"/>
          <w:szCs w:val="19"/>
        </w:rPr>
        <w:t xml:space="preserve"> </w:t>
      </w:r>
      <w:r w:rsidR="009218A2">
        <w:rPr>
          <w:rFonts w:ascii="Times New Roman" w:hAnsi="Times New Roman"/>
          <w:szCs w:val="19"/>
        </w:rPr>
        <w:t>and 1121cm</w:t>
      </w:r>
      <w:r w:rsidR="009218A2" w:rsidRPr="00AD785C">
        <w:rPr>
          <w:rFonts w:ascii="Times New Roman" w:hAnsi="Times New Roman"/>
          <w:szCs w:val="19"/>
          <w:vertAlign w:val="superscript"/>
        </w:rPr>
        <w:t>-1</w:t>
      </w:r>
      <w:r w:rsidR="009218A2">
        <w:rPr>
          <w:rFonts w:ascii="Times New Roman" w:hAnsi="Times New Roman"/>
          <w:szCs w:val="19"/>
        </w:rPr>
        <w:t xml:space="preserve"> </w:t>
      </w:r>
      <w:r w:rsidR="00327F91">
        <w:rPr>
          <w:rFonts w:ascii="Times New Roman" w:hAnsi="Times New Roman"/>
          <w:szCs w:val="19"/>
        </w:rPr>
        <w:t xml:space="preserve">as </w:t>
      </w:r>
      <w:r w:rsidR="009218A2">
        <w:rPr>
          <w:rFonts w:ascii="Times New Roman" w:hAnsi="Times New Roman"/>
          <w:szCs w:val="19"/>
        </w:rPr>
        <w:t>important</w:t>
      </w:r>
      <w:r w:rsidR="00D0665B">
        <w:rPr>
          <w:rFonts w:ascii="Times New Roman" w:hAnsi="Times New Roman"/>
          <w:szCs w:val="19"/>
        </w:rPr>
        <w:t xml:space="preserve"> </w:t>
      </w:r>
      <w:r w:rsidR="00327F91">
        <w:rPr>
          <w:rFonts w:ascii="Times New Roman" w:hAnsi="Times New Roman"/>
          <w:szCs w:val="19"/>
        </w:rPr>
        <w:t xml:space="preserve">to </w:t>
      </w:r>
      <w:r w:rsidR="00D0665B">
        <w:rPr>
          <w:rFonts w:ascii="Times New Roman" w:hAnsi="Times New Roman"/>
          <w:szCs w:val="19"/>
        </w:rPr>
        <w:t>distinguish</w:t>
      </w:r>
      <w:r w:rsidR="00327F91">
        <w:rPr>
          <w:rFonts w:ascii="Times New Roman" w:hAnsi="Times New Roman"/>
          <w:szCs w:val="19"/>
        </w:rPr>
        <w:t xml:space="preserve"> between glycated and</w:t>
      </w:r>
      <w:r w:rsidR="00241F78">
        <w:rPr>
          <w:rFonts w:ascii="Times New Roman" w:hAnsi="Times New Roman"/>
          <w:szCs w:val="19"/>
        </w:rPr>
        <w:t xml:space="preserve"> </w:t>
      </w:r>
      <w:r w:rsidR="00586F72">
        <w:rPr>
          <w:rFonts w:ascii="Times New Roman" w:hAnsi="Times New Roman"/>
          <w:szCs w:val="19"/>
        </w:rPr>
        <w:t xml:space="preserve">non-glycated control </w:t>
      </w:r>
      <w:r w:rsidR="00A255F1">
        <w:rPr>
          <w:rFonts w:ascii="Times New Roman" w:hAnsi="Times New Roman"/>
          <w:szCs w:val="19"/>
        </w:rPr>
        <w:t>protein</w:t>
      </w:r>
      <w:r w:rsidR="00327F91">
        <w:rPr>
          <w:rFonts w:ascii="Times New Roman" w:hAnsi="Times New Roman"/>
          <w:szCs w:val="19"/>
        </w:rPr>
        <w:t>.</w:t>
      </w:r>
      <w:r w:rsidR="009218A2">
        <w:rPr>
          <w:rFonts w:ascii="Times New Roman" w:hAnsi="Times New Roman"/>
          <w:szCs w:val="19"/>
        </w:rPr>
        <w:t xml:space="preserve"> </w:t>
      </w:r>
      <w:r w:rsidR="000539B0">
        <w:rPr>
          <w:rFonts w:ascii="Times New Roman" w:hAnsi="Times New Roman"/>
          <w:szCs w:val="19"/>
        </w:rPr>
        <w:t>Albumin,</w:t>
      </w:r>
      <w:r w:rsidR="009218A2">
        <w:rPr>
          <w:rFonts w:ascii="Times New Roman" w:hAnsi="Times New Roman"/>
          <w:szCs w:val="19"/>
        </w:rPr>
        <w:t xml:space="preserve"> which was found to be most </w:t>
      </w:r>
      <w:r w:rsidR="000539B0">
        <w:rPr>
          <w:rFonts w:ascii="Times New Roman" w:hAnsi="Times New Roman"/>
          <w:szCs w:val="19"/>
        </w:rPr>
        <w:t>abundant</w:t>
      </w:r>
      <w:r w:rsidR="009218A2">
        <w:rPr>
          <w:rFonts w:ascii="Times New Roman" w:hAnsi="Times New Roman"/>
          <w:szCs w:val="19"/>
        </w:rPr>
        <w:t xml:space="preserve"> </w:t>
      </w:r>
      <w:r w:rsidR="000539B0">
        <w:rPr>
          <w:rFonts w:ascii="Times New Roman" w:hAnsi="Times New Roman"/>
          <w:szCs w:val="19"/>
        </w:rPr>
        <w:t>with</w:t>
      </w:r>
      <w:r w:rsidR="009218A2">
        <w:rPr>
          <w:rFonts w:ascii="Times New Roman" w:hAnsi="Times New Roman"/>
          <w:szCs w:val="19"/>
        </w:rPr>
        <w:t xml:space="preserve"> 17 glucose bound, had a peak at 1086 cm</w:t>
      </w:r>
      <w:r w:rsidR="009218A2" w:rsidRPr="000539B0">
        <w:rPr>
          <w:rFonts w:ascii="Times New Roman" w:hAnsi="Times New Roman"/>
          <w:szCs w:val="19"/>
          <w:vertAlign w:val="superscript"/>
        </w:rPr>
        <w:t>-1</w:t>
      </w:r>
      <w:r w:rsidR="009218A2">
        <w:rPr>
          <w:rFonts w:ascii="Times New Roman" w:hAnsi="Times New Roman"/>
          <w:szCs w:val="19"/>
        </w:rPr>
        <w:t xml:space="preserve"> </w:t>
      </w:r>
      <w:r w:rsidR="000539B0">
        <w:rPr>
          <w:rFonts w:ascii="Times New Roman" w:hAnsi="Times New Roman"/>
          <w:szCs w:val="19"/>
        </w:rPr>
        <w:t>which</w:t>
      </w:r>
      <w:r w:rsidR="009218A2">
        <w:rPr>
          <w:rFonts w:ascii="Times New Roman" w:hAnsi="Times New Roman"/>
          <w:szCs w:val="19"/>
        </w:rPr>
        <w:t xml:space="preserve"> was </w:t>
      </w:r>
      <w:r w:rsidR="009218A2">
        <w:rPr>
          <w:rFonts w:ascii="Times New Roman" w:hAnsi="Times New Roman"/>
          <w:szCs w:val="19"/>
        </w:rPr>
        <w:lastRenderedPageBreak/>
        <w:t xml:space="preserve">only present in the glycated samples and </w:t>
      </w:r>
      <w:r w:rsidR="000539B0">
        <w:rPr>
          <w:rFonts w:ascii="Times New Roman" w:hAnsi="Times New Roman"/>
          <w:szCs w:val="19"/>
        </w:rPr>
        <w:t>therefore could</w:t>
      </w:r>
      <w:r w:rsidR="009218A2">
        <w:rPr>
          <w:rFonts w:ascii="Times New Roman" w:hAnsi="Times New Roman"/>
          <w:szCs w:val="19"/>
        </w:rPr>
        <w:t xml:space="preserve"> indicate bound glucose only.</w:t>
      </w:r>
      <w:r w:rsidR="00241F78">
        <w:rPr>
          <w:rFonts w:ascii="Times New Roman" w:hAnsi="Times New Roman"/>
          <w:szCs w:val="19"/>
        </w:rPr>
        <w:t xml:space="preserve"> T</w:t>
      </w:r>
      <w:r w:rsidR="00327F91">
        <w:rPr>
          <w:rFonts w:ascii="Times New Roman" w:hAnsi="Times New Roman"/>
          <w:szCs w:val="19"/>
        </w:rPr>
        <w:t xml:space="preserve">he </w:t>
      </w:r>
      <w:r w:rsidR="00241F78">
        <w:rPr>
          <w:rFonts w:ascii="Times New Roman" w:hAnsi="Times New Roman"/>
          <w:szCs w:val="19"/>
        </w:rPr>
        <w:t>sensitivity of</w:t>
      </w:r>
      <w:r w:rsidR="00327F91">
        <w:rPr>
          <w:rFonts w:ascii="Times New Roman" w:hAnsi="Times New Roman"/>
          <w:szCs w:val="19"/>
        </w:rPr>
        <w:t xml:space="preserve"> </w:t>
      </w:r>
      <w:r w:rsidR="00241F78">
        <w:rPr>
          <w:rFonts w:ascii="Times New Roman" w:hAnsi="Times New Roman"/>
          <w:szCs w:val="19"/>
        </w:rPr>
        <w:t>Raman</w:t>
      </w:r>
      <w:r w:rsidR="00327F91">
        <w:rPr>
          <w:rFonts w:ascii="Times New Roman" w:hAnsi="Times New Roman"/>
          <w:szCs w:val="19"/>
        </w:rPr>
        <w:t xml:space="preserve"> </w:t>
      </w:r>
      <w:r w:rsidR="00241F78">
        <w:rPr>
          <w:rFonts w:ascii="Times New Roman" w:hAnsi="Times New Roman"/>
          <w:szCs w:val="19"/>
        </w:rPr>
        <w:t>spectroscopy</w:t>
      </w:r>
      <w:r w:rsidR="00327F91">
        <w:rPr>
          <w:rFonts w:ascii="Times New Roman" w:hAnsi="Times New Roman"/>
          <w:szCs w:val="19"/>
        </w:rPr>
        <w:t xml:space="preserve"> to </w:t>
      </w:r>
      <w:r w:rsidR="00241F78">
        <w:rPr>
          <w:rFonts w:ascii="Times New Roman" w:hAnsi="Times New Roman"/>
          <w:szCs w:val="19"/>
        </w:rPr>
        <w:t>quantify</w:t>
      </w:r>
      <w:r w:rsidR="00327F91">
        <w:rPr>
          <w:rFonts w:ascii="Times New Roman" w:hAnsi="Times New Roman"/>
          <w:szCs w:val="19"/>
        </w:rPr>
        <w:t xml:space="preserve"> and </w:t>
      </w:r>
      <w:r w:rsidR="00241F78">
        <w:rPr>
          <w:rFonts w:ascii="Times New Roman" w:hAnsi="Times New Roman"/>
          <w:szCs w:val="19"/>
        </w:rPr>
        <w:t>predict</w:t>
      </w:r>
      <w:r w:rsidR="00327F91">
        <w:rPr>
          <w:rFonts w:ascii="Times New Roman" w:hAnsi="Times New Roman"/>
          <w:szCs w:val="19"/>
        </w:rPr>
        <w:t xml:space="preserve"> glycation </w:t>
      </w:r>
      <w:r w:rsidR="00241F78">
        <w:rPr>
          <w:rFonts w:ascii="Times New Roman" w:hAnsi="Times New Roman"/>
          <w:szCs w:val="19"/>
        </w:rPr>
        <w:t xml:space="preserve">was investigated using </w:t>
      </w:r>
      <w:r w:rsidR="0018584B">
        <w:rPr>
          <w:rFonts w:ascii="Times New Roman" w:hAnsi="Times New Roman"/>
          <w:szCs w:val="19"/>
        </w:rPr>
        <w:t xml:space="preserve">multivariate </w:t>
      </w:r>
      <w:r w:rsidR="00241F78">
        <w:rPr>
          <w:rFonts w:ascii="Times New Roman" w:hAnsi="Times New Roman"/>
          <w:szCs w:val="19"/>
        </w:rPr>
        <w:t xml:space="preserve">linear regression model. The </w:t>
      </w:r>
      <w:r w:rsidR="00327F91">
        <w:rPr>
          <w:rFonts w:ascii="Times New Roman" w:hAnsi="Times New Roman"/>
          <w:szCs w:val="19"/>
        </w:rPr>
        <w:t>conc</w:t>
      </w:r>
      <w:r w:rsidR="00241F78">
        <w:rPr>
          <w:rFonts w:ascii="Times New Roman" w:hAnsi="Times New Roman"/>
          <w:szCs w:val="19"/>
        </w:rPr>
        <w:t>en</w:t>
      </w:r>
      <w:r w:rsidR="00327F91">
        <w:rPr>
          <w:rFonts w:ascii="Times New Roman" w:hAnsi="Times New Roman"/>
          <w:szCs w:val="19"/>
        </w:rPr>
        <w:t xml:space="preserve">tration </w:t>
      </w:r>
      <w:r w:rsidR="00241F78">
        <w:rPr>
          <w:rFonts w:ascii="Times New Roman" w:hAnsi="Times New Roman"/>
          <w:szCs w:val="19"/>
        </w:rPr>
        <w:t>gradient</w:t>
      </w:r>
      <w:r w:rsidR="00327F91">
        <w:rPr>
          <w:rFonts w:ascii="Times New Roman" w:hAnsi="Times New Roman"/>
          <w:szCs w:val="19"/>
        </w:rPr>
        <w:t xml:space="preserve"> </w:t>
      </w:r>
      <w:r w:rsidR="005D0AD8">
        <w:rPr>
          <w:rFonts w:ascii="Times New Roman" w:hAnsi="Times New Roman"/>
          <w:szCs w:val="19"/>
        </w:rPr>
        <w:t xml:space="preserve">was used to build </w:t>
      </w:r>
      <w:r w:rsidR="00241F78">
        <w:rPr>
          <w:rFonts w:ascii="Times New Roman" w:hAnsi="Times New Roman"/>
          <w:szCs w:val="19"/>
        </w:rPr>
        <w:t>a</w:t>
      </w:r>
      <w:r w:rsidR="005D0AD8">
        <w:rPr>
          <w:rFonts w:ascii="Times New Roman" w:hAnsi="Times New Roman"/>
          <w:szCs w:val="19"/>
        </w:rPr>
        <w:t xml:space="preserve"> PLSR model which produced a</w:t>
      </w:r>
      <w:r w:rsidR="00882783">
        <w:rPr>
          <w:rFonts w:ascii="Times New Roman" w:hAnsi="Times New Roman"/>
          <w:szCs w:val="19"/>
        </w:rPr>
        <w:t>n</w:t>
      </w:r>
      <w:r w:rsidR="005D0AD8">
        <w:rPr>
          <w:rFonts w:ascii="Times New Roman" w:hAnsi="Times New Roman"/>
          <w:szCs w:val="19"/>
        </w:rPr>
        <w:t xml:space="preserve"> </w:t>
      </w:r>
      <w:r w:rsidR="00882783">
        <w:rPr>
          <w:rFonts w:ascii="Times New Roman" w:hAnsi="Times New Roman"/>
          <w:szCs w:val="19"/>
        </w:rPr>
        <w:t xml:space="preserve">accurate </w:t>
      </w:r>
      <w:r w:rsidR="005D0AD8">
        <w:rPr>
          <w:rFonts w:ascii="Times New Roman" w:hAnsi="Times New Roman"/>
          <w:szCs w:val="19"/>
        </w:rPr>
        <w:t xml:space="preserve">predictive model with an </w:t>
      </w:r>
      <w:proofErr w:type="spellStart"/>
      <w:r w:rsidR="005D0AD8">
        <w:rPr>
          <w:rFonts w:ascii="Times New Roman" w:hAnsi="Times New Roman"/>
          <w:szCs w:val="19"/>
        </w:rPr>
        <w:t>RMSEp</w:t>
      </w:r>
      <w:proofErr w:type="spellEnd"/>
      <w:r w:rsidR="005D0AD8">
        <w:rPr>
          <w:rFonts w:ascii="Times New Roman" w:hAnsi="Times New Roman"/>
          <w:szCs w:val="19"/>
        </w:rPr>
        <w:t xml:space="preserve"> of 5.5</w:t>
      </w:r>
      <w:r w:rsidR="00E62D71">
        <w:rPr>
          <w:rFonts w:ascii="Times New Roman" w:hAnsi="Times New Roman"/>
          <w:szCs w:val="19"/>
        </w:rPr>
        <w:t>3</w:t>
      </w:r>
      <w:r w:rsidR="005D0AD8">
        <w:rPr>
          <w:rFonts w:ascii="Times New Roman" w:hAnsi="Times New Roman"/>
          <w:szCs w:val="19"/>
        </w:rPr>
        <w:t>%</w:t>
      </w:r>
      <w:r w:rsidR="00A72C07">
        <w:rPr>
          <w:rFonts w:ascii="Times New Roman" w:hAnsi="Times New Roman"/>
          <w:szCs w:val="19"/>
        </w:rPr>
        <w:t>. Raman</w:t>
      </w:r>
      <w:r w:rsidR="00241F78">
        <w:rPr>
          <w:rFonts w:ascii="Times New Roman" w:hAnsi="Times New Roman"/>
          <w:szCs w:val="19"/>
        </w:rPr>
        <w:t xml:space="preserve"> </w:t>
      </w:r>
      <w:r w:rsidR="00A72C07">
        <w:rPr>
          <w:rFonts w:ascii="Times New Roman" w:hAnsi="Times New Roman"/>
          <w:szCs w:val="19"/>
        </w:rPr>
        <w:t>spectroscopy, when used with chemometrics</w:t>
      </w:r>
      <w:r w:rsidR="00241F78">
        <w:rPr>
          <w:rFonts w:ascii="Times New Roman" w:hAnsi="Times New Roman"/>
          <w:szCs w:val="19"/>
        </w:rPr>
        <w:t xml:space="preserve">, </w:t>
      </w:r>
      <w:r w:rsidR="00882783">
        <w:rPr>
          <w:rFonts w:ascii="Times New Roman" w:hAnsi="Times New Roman"/>
          <w:szCs w:val="19"/>
        </w:rPr>
        <w:t xml:space="preserve">therefore </w:t>
      </w:r>
      <w:r w:rsidR="00241F78">
        <w:rPr>
          <w:rFonts w:ascii="Times New Roman" w:hAnsi="Times New Roman"/>
          <w:szCs w:val="19"/>
        </w:rPr>
        <w:t>has the capabilit</w:t>
      </w:r>
      <w:r w:rsidR="00882783">
        <w:rPr>
          <w:rFonts w:ascii="Times New Roman" w:hAnsi="Times New Roman"/>
          <w:szCs w:val="19"/>
        </w:rPr>
        <w:t>y</w:t>
      </w:r>
      <w:r w:rsidR="00A72C07">
        <w:rPr>
          <w:rFonts w:ascii="Times New Roman" w:hAnsi="Times New Roman"/>
          <w:szCs w:val="19"/>
        </w:rPr>
        <w:t xml:space="preserve"> </w:t>
      </w:r>
      <w:r w:rsidR="00241F78">
        <w:rPr>
          <w:rFonts w:ascii="Times New Roman" w:hAnsi="Times New Roman"/>
          <w:szCs w:val="19"/>
        </w:rPr>
        <w:t>to rapid</w:t>
      </w:r>
      <w:r w:rsidR="00882783">
        <w:rPr>
          <w:rFonts w:ascii="Times New Roman" w:hAnsi="Times New Roman"/>
          <w:szCs w:val="19"/>
        </w:rPr>
        <w:t>ly</w:t>
      </w:r>
      <w:r w:rsidR="00241F78">
        <w:rPr>
          <w:rFonts w:ascii="Times New Roman" w:hAnsi="Times New Roman"/>
          <w:szCs w:val="19"/>
        </w:rPr>
        <w:t xml:space="preserve"> </w:t>
      </w:r>
      <w:r w:rsidR="00BF183A">
        <w:rPr>
          <w:rFonts w:ascii="Times New Roman" w:hAnsi="Times New Roman"/>
          <w:szCs w:val="19"/>
        </w:rPr>
        <w:t>quantify protein glycation.</w:t>
      </w:r>
    </w:p>
    <w:p w14:paraId="1B085D16" w14:textId="71264709" w:rsidR="000C6932" w:rsidRDefault="0006587D" w:rsidP="001B7367">
      <w:pPr>
        <w:spacing w:line="480" w:lineRule="auto"/>
        <w:rPr>
          <w:rFonts w:ascii="Times New Roman" w:hAnsi="Times New Roman"/>
          <w:szCs w:val="19"/>
        </w:rPr>
      </w:pPr>
      <w:r>
        <w:rPr>
          <w:rFonts w:ascii="Times New Roman" w:hAnsi="Times New Roman"/>
          <w:szCs w:val="19"/>
        </w:rPr>
        <w:t xml:space="preserve">Overall, </w:t>
      </w:r>
      <w:r w:rsidR="00450192">
        <w:rPr>
          <w:rFonts w:ascii="Times New Roman" w:hAnsi="Times New Roman"/>
          <w:szCs w:val="19"/>
        </w:rPr>
        <w:t>these studies show</w:t>
      </w:r>
      <w:r>
        <w:rPr>
          <w:rFonts w:ascii="Times New Roman" w:hAnsi="Times New Roman"/>
          <w:szCs w:val="19"/>
        </w:rPr>
        <w:t xml:space="preserve"> the scope of Raman spectroscopy </w:t>
      </w:r>
      <w:r w:rsidR="0065746B">
        <w:rPr>
          <w:rFonts w:ascii="Times New Roman" w:hAnsi="Times New Roman"/>
          <w:szCs w:val="19"/>
        </w:rPr>
        <w:t xml:space="preserve">in </w:t>
      </w:r>
      <w:r>
        <w:rPr>
          <w:rFonts w:ascii="Times New Roman" w:hAnsi="Times New Roman"/>
          <w:szCs w:val="19"/>
        </w:rPr>
        <w:t>the identification and quantification of glycation</w:t>
      </w:r>
      <w:r w:rsidR="0065746B">
        <w:rPr>
          <w:rFonts w:ascii="Times New Roman" w:hAnsi="Times New Roman"/>
          <w:szCs w:val="19"/>
        </w:rPr>
        <w:t xml:space="preserve"> in</w:t>
      </w:r>
      <w:r>
        <w:rPr>
          <w:rFonts w:ascii="Times New Roman" w:hAnsi="Times New Roman"/>
          <w:szCs w:val="19"/>
        </w:rPr>
        <w:t xml:space="preserve"> proteins </w:t>
      </w:r>
      <w:r w:rsidR="0065746B">
        <w:rPr>
          <w:rFonts w:ascii="Times New Roman" w:hAnsi="Times New Roman"/>
          <w:szCs w:val="19"/>
        </w:rPr>
        <w:t xml:space="preserve">central to </w:t>
      </w:r>
      <w:r>
        <w:rPr>
          <w:rFonts w:ascii="Times New Roman" w:hAnsi="Times New Roman"/>
          <w:szCs w:val="19"/>
        </w:rPr>
        <w:t>disease diagnostics and quality control of protein thera</w:t>
      </w:r>
      <w:r w:rsidR="0065746B">
        <w:rPr>
          <w:rFonts w:ascii="Times New Roman" w:hAnsi="Times New Roman"/>
          <w:szCs w:val="19"/>
        </w:rPr>
        <w:t>pe</w:t>
      </w:r>
      <w:r>
        <w:rPr>
          <w:rFonts w:ascii="Times New Roman" w:hAnsi="Times New Roman"/>
          <w:szCs w:val="19"/>
        </w:rPr>
        <w:t>utics.</w:t>
      </w:r>
      <w:r w:rsidR="00E17B11">
        <w:rPr>
          <w:rFonts w:ascii="Times New Roman" w:hAnsi="Times New Roman"/>
          <w:szCs w:val="19"/>
        </w:rPr>
        <w:t xml:space="preserve"> Furthermore, it serves as simple model for the determination of </w:t>
      </w:r>
      <w:proofErr w:type="spellStart"/>
      <w:r w:rsidR="00E17B11">
        <w:rPr>
          <w:rFonts w:ascii="Times New Roman" w:hAnsi="Times New Roman"/>
          <w:szCs w:val="19"/>
        </w:rPr>
        <w:t>mAb</w:t>
      </w:r>
      <w:proofErr w:type="spellEnd"/>
      <w:r w:rsidR="00E17B11">
        <w:rPr>
          <w:rFonts w:ascii="Times New Roman" w:hAnsi="Times New Roman"/>
          <w:szCs w:val="19"/>
        </w:rPr>
        <w:t xml:space="preserve"> glycosylation</w:t>
      </w:r>
      <w:r w:rsidR="00BF183A">
        <w:rPr>
          <w:rFonts w:ascii="Times New Roman" w:hAnsi="Times New Roman"/>
          <w:szCs w:val="19"/>
        </w:rPr>
        <w:t>.</w:t>
      </w:r>
      <w:r w:rsidR="00E17B11">
        <w:rPr>
          <w:rFonts w:ascii="Times New Roman" w:hAnsi="Times New Roman"/>
          <w:szCs w:val="19"/>
        </w:rPr>
        <w:t xml:space="preserve"> </w:t>
      </w:r>
      <w:r w:rsidR="00BF183A">
        <w:rPr>
          <w:rFonts w:ascii="Times New Roman" w:hAnsi="Times New Roman"/>
          <w:szCs w:val="19"/>
        </w:rPr>
        <w:t>These</w:t>
      </w:r>
      <w:r w:rsidR="00E17B11">
        <w:rPr>
          <w:rFonts w:ascii="Times New Roman" w:hAnsi="Times New Roman"/>
          <w:szCs w:val="19"/>
        </w:rPr>
        <w:t xml:space="preserve"> complex carbohydrates structures protruding from the constant domain allowing for specific binding to receptors </w:t>
      </w:r>
      <w:r w:rsidR="00E17B11" w:rsidRPr="00E17B11">
        <w:rPr>
          <w:rFonts w:ascii="Times New Roman" w:hAnsi="Times New Roman"/>
          <w:i/>
          <w:szCs w:val="19"/>
        </w:rPr>
        <w:t>in</w:t>
      </w:r>
      <w:r w:rsidR="00DC6AE4">
        <w:rPr>
          <w:rFonts w:ascii="Times New Roman" w:hAnsi="Times New Roman"/>
          <w:i/>
          <w:szCs w:val="19"/>
        </w:rPr>
        <w:t xml:space="preserve"> </w:t>
      </w:r>
      <w:r w:rsidR="00E17B11" w:rsidRPr="00E17B11">
        <w:rPr>
          <w:rFonts w:ascii="Times New Roman" w:hAnsi="Times New Roman"/>
          <w:i/>
          <w:szCs w:val="19"/>
        </w:rPr>
        <w:t>vivo</w:t>
      </w:r>
      <w:r w:rsidR="006F5D32">
        <w:rPr>
          <w:rFonts w:ascii="Times New Roman" w:hAnsi="Times New Roman"/>
          <w:szCs w:val="19"/>
        </w:rPr>
        <w:t>.</w:t>
      </w:r>
      <w:r w:rsidR="006F5D32">
        <w:rPr>
          <w:rFonts w:ascii="Times New Roman" w:hAnsi="Times New Roman"/>
          <w:i/>
          <w:szCs w:val="19"/>
        </w:rPr>
        <w:fldChar w:fldCharType="begin" w:fldLock="1"/>
      </w:r>
      <w:r w:rsidR="006F5D32">
        <w:rPr>
          <w:rFonts w:ascii="Times New Roman" w:hAnsi="Times New Roman"/>
          <w:i/>
          <w:szCs w:val="19"/>
        </w:rPr>
        <w:instrText>ADDIN CSL_CITATION {"citationItems":[{"id":"ITEM-1","itemData":{"ISSN":"1942-0870","PMID":"22123061","abstract":"Antibody glycosylation is a common post-translational modification and has a critical role in antibody effector function. The use of glycoengineering to produce antibodies with specific glycoforms may be required to achieve the desired therapeutic efficacy. However, the modified molecule could have unusual behavior during development due to the alteration of its intrinsic properties and stability. In this study, we focused on the differences between glycosylated and deglycosylated antibodies, as aglycosyl antibodies are often chosen when effector function is not desired or unimportant. We selected three human IgG1 antibodies and used PNGase F to remove their oligosaccharide chains. Although there were no detected secondary or tertiary structural changes after deglycosylation, other intrinsic properties of the antibody were altered with the removal of oligosaccharide chains in the Fc region. The apparent molecular hydrodynamic radius increased after deglycosylation based on size-exclusion chromatography analysis. Deglycosylated antibodies exhibited less thermal stability for the CH2 domain and less resistance to GdnHCl induced unfolding. Susceptibility to proteolytic cleavage demonstrated that the deglycosylated version was more susceptible to papain. An accelerated stability study revealed that deglycosylated antibodies had higher aggregation rates. These changes may impact the development of aglycosyl antibody biotherapeutics.","author":[{"dropping-particle":"","family":"Zheng","given":"Kai","non-dropping-particle":"","parse-names":false,"suffix":""},{"dropping-particle":"","family":"Bantog","given":"Christopher","non-dropping-particle":"","parse-names":false,"suffix":""},{"dropping-particle":"","family":"Bayer","given":"Robert","non-dropping-particle":"","parse-names":false,"suffix":""}],"container-title":"mAbs","id":"ITEM-1","issue":"6","issued":{"date-parts":[["2011"]]},"page":"568-76","publisher":"Taylor &amp; Francis","title":"The impact of glycosylation on monoclonal antibody conformation and stability.","type":"article-journal","volume":"3"},"uris":["http://www.mendeley.com/documents/?uuid=f0b4000e-d294-3b22-a677-097b2c4e1227"]}],"mendeley":{"formattedCitation":"&lt;sup&gt;39&lt;/sup&gt;","plainTextFormattedCitation":"39","previouslyFormattedCitation":"&lt;sup&gt;39&lt;/sup&gt;"},"properties":{"noteIndex":0},"schema":"https://github.com/citation-style-language/schema/raw/master/csl-citation.json"}</w:instrText>
      </w:r>
      <w:r w:rsidR="006F5D32">
        <w:rPr>
          <w:rFonts w:ascii="Times New Roman" w:hAnsi="Times New Roman"/>
          <w:i/>
          <w:szCs w:val="19"/>
        </w:rPr>
        <w:fldChar w:fldCharType="separate"/>
      </w:r>
      <w:r w:rsidR="006F5D32" w:rsidRPr="00375CAA">
        <w:rPr>
          <w:rFonts w:ascii="Times New Roman" w:hAnsi="Times New Roman"/>
          <w:noProof/>
          <w:szCs w:val="19"/>
          <w:vertAlign w:val="superscript"/>
        </w:rPr>
        <w:t>39</w:t>
      </w:r>
      <w:r w:rsidR="006F5D32">
        <w:rPr>
          <w:rFonts w:ascii="Times New Roman" w:hAnsi="Times New Roman"/>
          <w:i/>
          <w:szCs w:val="19"/>
        </w:rPr>
        <w:fldChar w:fldCharType="end"/>
      </w:r>
      <w:r w:rsidR="006F5D32">
        <w:rPr>
          <w:rFonts w:ascii="Times New Roman" w:hAnsi="Times New Roman"/>
          <w:i/>
          <w:szCs w:val="19"/>
        </w:rPr>
        <w:t xml:space="preserve"> </w:t>
      </w:r>
      <w:r w:rsidR="00E17B11">
        <w:rPr>
          <w:rFonts w:ascii="Times New Roman" w:hAnsi="Times New Roman"/>
          <w:szCs w:val="19"/>
        </w:rPr>
        <w:t xml:space="preserve">A rapid method for glycosylation analysis </w:t>
      </w:r>
      <w:r w:rsidR="00E17B11" w:rsidRPr="00E17B11">
        <w:rPr>
          <w:rFonts w:ascii="Times New Roman" w:hAnsi="Times New Roman"/>
          <w:i/>
          <w:szCs w:val="19"/>
        </w:rPr>
        <w:t>in</w:t>
      </w:r>
      <w:r w:rsidR="00DC6AE4">
        <w:rPr>
          <w:rFonts w:ascii="Times New Roman" w:hAnsi="Times New Roman"/>
          <w:i/>
          <w:szCs w:val="19"/>
        </w:rPr>
        <w:t xml:space="preserve"> </w:t>
      </w:r>
      <w:r w:rsidR="00E17B11" w:rsidRPr="00E17B11">
        <w:rPr>
          <w:rFonts w:ascii="Times New Roman" w:hAnsi="Times New Roman"/>
          <w:i/>
          <w:szCs w:val="19"/>
        </w:rPr>
        <w:t>situ</w:t>
      </w:r>
      <w:r w:rsidR="00E17B11">
        <w:rPr>
          <w:rFonts w:ascii="Times New Roman" w:hAnsi="Times New Roman"/>
          <w:szCs w:val="19"/>
        </w:rPr>
        <w:t xml:space="preserve"> could significantly simplify reduce the time needed for quality control</w:t>
      </w:r>
      <w:r w:rsidR="00BF183A">
        <w:rPr>
          <w:rFonts w:ascii="Times New Roman" w:hAnsi="Times New Roman"/>
          <w:szCs w:val="19"/>
        </w:rPr>
        <w:t xml:space="preserve"> and </w:t>
      </w:r>
      <w:proofErr w:type="spellStart"/>
      <w:r w:rsidR="00BF183A">
        <w:rPr>
          <w:rFonts w:ascii="Times New Roman" w:hAnsi="Times New Roman"/>
          <w:szCs w:val="19"/>
        </w:rPr>
        <w:t>mAb</w:t>
      </w:r>
      <w:proofErr w:type="spellEnd"/>
      <w:r w:rsidR="00BF183A">
        <w:rPr>
          <w:rFonts w:ascii="Times New Roman" w:hAnsi="Times New Roman"/>
          <w:szCs w:val="19"/>
        </w:rPr>
        <w:t xml:space="preserve"> production</w:t>
      </w:r>
      <w:r w:rsidR="006F5D32">
        <w:rPr>
          <w:rFonts w:ascii="Times New Roman" w:hAnsi="Times New Roman"/>
          <w:szCs w:val="19"/>
        </w:rPr>
        <w:t>.</w:t>
      </w:r>
      <w:r w:rsidR="006F5D32">
        <w:rPr>
          <w:rFonts w:ascii="Times New Roman" w:hAnsi="Times New Roman"/>
          <w:szCs w:val="19"/>
        </w:rPr>
        <w:fldChar w:fldCharType="begin" w:fldLock="1"/>
      </w:r>
      <w:r w:rsidR="006F5D32">
        <w:rPr>
          <w:rFonts w:ascii="Times New Roman" w:hAnsi="Times New Roman"/>
          <w:szCs w:val="19"/>
        </w:rPr>
        <w:instrText>ADDIN CSL_CITATION {"citationItems":[{"id":"ITEM-1","itemData":{"ISSN":"87567938","author":[{"dropping-particle":"","family":"Li","given":"Meng-Yao","non-dropping-particle":"","parse-names":false,"suffix":""},{"dropping-particle":"","family":"Ebel","given":"Bruno","non-dropping-particle":"","parse-names":false,"suffix":""},{"dropping-particle":"","family":"Paris","given":"Cédric","non-dropping-particle":"","parse-names":false,"suffix":""},{"dropping-particle":"","family":"Chauchard","given":"Fabien","non-dropping-particle":"","parse-names":false,"suffix":""},{"dropping-particle":"","family":"Guedon","given":"Emmanuel","non-dropping-particle":"","parse-names":false,"suffix":""},{"dropping-particle":"","family":"Marc","given":"Annie","non-dropping-particle":"","parse-names":false,"suffix":""}],"container-title":"Biotechnology Progress","id":"ITEM-1","issue":"2","issued":{"date-parts":[["2018","3","1"]]},"page":"486-493","publisher":"American Chemical Society (ACS)","title":"Real-time monitoring of antibody glycosylation site occupancy by in situ Raman spectroscopy during bioreactor CHO cell cultures","type":"article-journal","volume":"34"},"uris":["http://www.mendeley.com/documents/?uuid=16ca844a-ebf7-38c7-8f13-8c96e68f8651"]},{"id":"ITEM-2","itemData":{"DOI":"10.1016/J.DRUDIS.2016.01.006","ISSN":"1359-6446","abstract":"Glycosylation of therapeutic proteins has a profound impact on their safety and efficacy. Many factors shape the glycosylation of biotherapeutics, ranging from expression systems and cell culture processes to downstream purification strategies. Various analytical technologies have been developed to address questions concerning different aspects of glycosylation. Informatics tools are also crucial for a systematic understanding of the glycosylation processes. Hence, an integrated approach is required to harness glycosylation for the production of optimal and consistent glycoprotein-based therapeutic drugs. Here, we review the latest developments and challenges in glycosylation analysis and control in the context of bioprocessing monoclonal antibodies.","author":[{"dropping-particle":"","family":"Zhang","given":"Peiqing","non-dropping-particle":"","parse-names":false,"suffix":""},{"dropping-particle":"","family":"Woen","given":"Susanto","non-dropping-particle":"","parse-names":false,"suffix":""},{"dropping-particle":"","family":"Wang","given":"Tianhua","non-dropping-particle":"","parse-names":false,"suffix":""},{"dropping-particle":"","family":"Liau","given":"Brian","non-dropping-particle":"","parse-names":false,"suffix":""},{"dropping-particle":"","family":"Zhao","given":"Sophie","non-dropping-particle":"","parse-names":false,"suffix":""},{"dropping-particle":"","family":"Chen","given":"Chen","non-dropping-particle":"","parse-names":false,"suffix":""},{"dropping-particle":"","family":"Yang","given":"Yuansheng","non-dropping-particle":"","parse-names":false,"suffix":""},{"dropping-particle":"","family":"Song","given":"Zhiwei","non-dropping-particle":"","parse-names":false,"suffix":""},{"dropping-particle":"","family":"Wormald","given":"Mark R.","non-dropping-particle":"","parse-names":false,"suffix":""},{"dropping-particle":"","family":"Yu","given":"Chuanfei","non-dropping-particle":"","parse-names":false,"suffix":""},{"dropping-particle":"","family":"Rudd","given":"Pauline M.","non-dropping-particle":"","parse-names":false,"suffix":""}],"container-title":"Drug Discovery Today","id":"ITEM-2","issue":"5","issued":{"date-parts":[["2016","5","1"]]},"page":"740-765","publisher":"Elsevier Current Trends","title":"Challenges of glycosylation analysis and control: an integrated approach to producing optimal and consistent therapeutic drugs","type":"article-journal","volume":"21"},"uris":["http://www.mendeley.com/documents/?uuid=9819dbc8-144f-3f33-a446-6a0e615d16e9"]}],"mendeley":{"formattedCitation":"&lt;sup&gt;40,41&lt;/sup&gt;","plainTextFormattedCitation":"40,41","previouslyFormattedCitation":"&lt;sup&gt;40,41&lt;/sup&gt;"},"properties":{"noteIndex":0},"schema":"https://github.com/citation-style-language/schema/raw/master/csl-citation.json"}</w:instrText>
      </w:r>
      <w:r w:rsidR="006F5D32">
        <w:rPr>
          <w:rFonts w:ascii="Times New Roman" w:hAnsi="Times New Roman"/>
          <w:szCs w:val="19"/>
        </w:rPr>
        <w:fldChar w:fldCharType="separate"/>
      </w:r>
      <w:r w:rsidR="006F5D32" w:rsidRPr="006F5D32">
        <w:rPr>
          <w:rFonts w:ascii="Times New Roman" w:hAnsi="Times New Roman"/>
          <w:noProof/>
          <w:szCs w:val="19"/>
          <w:vertAlign w:val="superscript"/>
        </w:rPr>
        <w:t>40,41</w:t>
      </w:r>
      <w:r w:rsidR="006F5D32">
        <w:rPr>
          <w:rFonts w:ascii="Times New Roman" w:hAnsi="Times New Roman"/>
          <w:szCs w:val="19"/>
        </w:rPr>
        <w:fldChar w:fldCharType="end"/>
      </w:r>
      <w:r w:rsidR="006F5D32">
        <w:rPr>
          <w:rFonts w:ascii="Times New Roman" w:hAnsi="Times New Roman"/>
          <w:szCs w:val="19"/>
        </w:rPr>
        <w:t xml:space="preserve"> </w:t>
      </w:r>
      <w:r>
        <w:rPr>
          <w:rFonts w:ascii="Times New Roman" w:hAnsi="Times New Roman"/>
          <w:szCs w:val="19"/>
        </w:rPr>
        <w:t>The development of Raman spectroscopy in these fields would allow for rapid sample analysis in</w:t>
      </w:r>
      <w:r w:rsidR="00BF183A">
        <w:rPr>
          <w:rFonts w:ascii="Times New Roman" w:hAnsi="Times New Roman"/>
          <w:szCs w:val="19"/>
        </w:rPr>
        <w:t xml:space="preserve"> solution and therefore provide</w:t>
      </w:r>
      <w:r>
        <w:rPr>
          <w:rFonts w:ascii="Times New Roman" w:hAnsi="Times New Roman"/>
          <w:szCs w:val="19"/>
        </w:rPr>
        <w:t xml:space="preserve"> the foundation </w:t>
      </w:r>
      <w:r w:rsidR="00BF183A">
        <w:rPr>
          <w:rFonts w:ascii="Times New Roman" w:hAnsi="Times New Roman"/>
          <w:szCs w:val="19"/>
        </w:rPr>
        <w:t>for</w:t>
      </w:r>
      <w:r>
        <w:rPr>
          <w:rFonts w:ascii="Times New Roman" w:hAnsi="Times New Roman"/>
          <w:szCs w:val="19"/>
        </w:rPr>
        <w:t xml:space="preserve"> </w:t>
      </w:r>
      <w:r w:rsidR="0065746B">
        <w:rPr>
          <w:rFonts w:ascii="Times New Roman" w:hAnsi="Times New Roman"/>
          <w:szCs w:val="19"/>
        </w:rPr>
        <w:t>evolving</w:t>
      </w:r>
      <w:r>
        <w:rPr>
          <w:rFonts w:ascii="Times New Roman" w:hAnsi="Times New Roman"/>
          <w:szCs w:val="19"/>
        </w:rPr>
        <w:t xml:space="preserve"> on-line and in</w:t>
      </w:r>
      <w:r w:rsidR="0065746B">
        <w:rPr>
          <w:rFonts w:ascii="Times New Roman" w:hAnsi="Times New Roman"/>
          <w:szCs w:val="19"/>
        </w:rPr>
        <w:t>-</w:t>
      </w:r>
      <w:r>
        <w:rPr>
          <w:rFonts w:ascii="Times New Roman" w:hAnsi="Times New Roman"/>
          <w:szCs w:val="19"/>
        </w:rPr>
        <w:t>line analyt</w:t>
      </w:r>
      <w:r w:rsidR="0065746B">
        <w:rPr>
          <w:rFonts w:ascii="Times New Roman" w:hAnsi="Times New Roman"/>
          <w:szCs w:val="19"/>
        </w:rPr>
        <w:t>ical and diagnostic tools.</w:t>
      </w:r>
    </w:p>
    <w:p w14:paraId="6BBCE99F" w14:textId="2A245FFC" w:rsidR="005F5B55" w:rsidRDefault="005F5B55" w:rsidP="001B7367">
      <w:pPr>
        <w:spacing w:line="480" w:lineRule="auto"/>
        <w:rPr>
          <w:rFonts w:ascii="Times New Roman" w:hAnsi="Times New Roman"/>
          <w:b/>
          <w:szCs w:val="19"/>
        </w:rPr>
      </w:pPr>
      <w:r w:rsidRPr="005F5B55">
        <w:rPr>
          <w:rFonts w:ascii="Times New Roman" w:hAnsi="Times New Roman"/>
          <w:b/>
          <w:szCs w:val="19"/>
        </w:rPr>
        <w:t>Conflicts of interest</w:t>
      </w:r>
    </w:p>
    <w:p w14:paraId="508310F3" w14:textId="083AABC5" w:rsidR="005F5B55" w:rsidRPr="005F5B55" w:rsidRDefault="005F5B55" w:rsidP="001B7367">
      <w:pPr>
        <w:spacing w:line="480" w:lineRule="auto"/>
        <w:rPr>
          <w:rFonts w:ascii="Times New Roman" w:hAnsi="Times New Roman"/>
          <w:szCs w:val="19"/>
        </w:rPr>
      </w:pPr>
      <w:r w:rsidRPr="005F5B55">
        <w:rPr>
          <w:rFonts w:ascii="Times New Roman" w:hAnsi="Times New Roman"/>
          <w:szCs w:val="19"/>
        </w:rPr>
        <w:t>There are no conflicts to declare.</w:t>
      </w:r>
    </w:p>
    <w:p w14:paraId="42216237" w14:textId="77777777" w:rsidR="00ED35E0" w:rsidRDefault="00F33CBF" w:rsidP="00ED35E0">
      <w:pPr>
        <w:spacing w:line="480" w:lineRule="auto"/>
        <w:rPr>
          <w:rFonts w:ascii="Times New Roman" w:hAnsi="Times New Roman"/>
          <w:b/>
          <w:szCs w:val="19"/>
        </w:rPr>
      </w:pPr>
      <w:r w:rsidRPr="001B7367">
        <w:rPr>
          <w:rFonts w:ascii="Times New Roman" w:hAnsi="Times New Roman"/>
          <w:b/>
          <w:szCs w:val="19"/>
        </w:rPr>
        <w:lastRenderedPageBreak/>
        <w:t>A</w:t>
      </w:r>
      <w:r w:rsidR="00ED35E0" w:rsidRPr="001B7367">
        <w:rPr>
          <w:rFonts w:ascii="Times New Roman" w:hAnsi="Times New Roman"/>
          <w:b/>
          <w:szCs w:val="19"/>
        </w:rPr>
        <w:t>cknowledgment</w:t>
      </w:r>
      <w:r w:rsidR="00ED35E0">
        <w:rPr>
          <w:rFonts w:ascii="Times New Roman" w:hAnsi="Times New Roman"/>
          <w:b/>
          <w:szCs w:val="19"/>
        </w:rPr>
        <w:t>s</w:t>
      </w:r>
      <w:r w:rsidR="00ED35E0" w:rsidRPr="001B7367">
        <w:rPr>
          <w:rFonts w:ascii="Times New Roman" w:hAnsi="Times New Roman"/>
          <w:b/>
          <w:szCs w:val="19"/>
        </w:rPr>
        <w:t xml:space="preserve"> </w:t>
      </w:r>
    </w:p>
    <w:p w14:paraId="25B2C48C" w14:textId="77777777" w:rsidR="00ED35E0" w:rsidRDefault="00ED35E0" w:rsidP="001B7367">
      <w:pPr>
        <w:spacing w:line="480" w:lineRule="auto"/>
        <w:rPr>
          <w:rFonts w:ascii="Times New Roman" w:hAnsi="Times New Roman"/>
          <w:szCs w:val="19"/>
        </w:rPr>
      </w:pPr>
      <w:r w:rsidRPr="00586BCC">
        <w:rPr>
          <w:rFonts w:ascii="Times New Roman" w:hAnsi="Times New Roman"/>
          <w:szCs w:val="19"/>
        </w:rPr>
        <w:t>BBSRC CASE award with UCB Pharma BB/L014734/1.</w:t>
      </w:r>
      <w:r>
        <w:rPr>
          <w:rFonts w:ascii="Times New Roman" w:hAnsi="Times New Roman"/>
          <w:szCs w:val="19"/>
        </w:rPr>
        <w:t xml:space="preserve"> </w:t>
      </w:r>
      <w:r w:rsidRPr="0018584B">
        <w:rPr>
          <w:rFonts w:ascii="Times New Roman" w:hAnsi="Times New Roman"/>
          <w:szCs w:val="19"/>
        </w:rPr>
        <w:t>RG thank</w:t>
      </w:r>
      <w:r>
        <w:rPr>
          <w:rFonts w:ascii="Times New Roman" w:hAnsi="Times New Roman"/>
          <w:szCs w:val="19"/>
        </w:rPr>
        <w:t>s the UK</w:t>
      </w:r>
      <w:r w:rsidRPr="0018584B">
        <w:rPr>
          <w:rFonts w:ascii="Times New Roman" w:hAnsi="Times New Roman"/>
          <w:szCs w:val="19"/>
        </w:rPr>
        <w:t xml:space="preserve"> BBSRC (BB/L014823/1) for support for Raman spectroscopy</w:t>
      </w:r>
      <w:r>
        <w:rPr>
          <w:rFonts w:ascii="Times New Roman" w:hAnsi="Times New Roman"/>
          <w:szCs w:val="19"/>
        </w:rPr>
        <w:t>.</w:t>
      </w:r>
    </w:p>
    <w:p w14:paraId="23222CE7" w14:textId="562AF4FE" w:rsidR="00F33CBF" w:rsidRPr="00ED35E0" w:rsidRDefault="00F33CBF" w:rsidP="001B7367">
      <w:pPr>
        <w:spacing w:line="480" w:lineRule="auto"/>
        <w:rPr>
          <w:rFonts w:ascii="Times New Roman" w:hAnsi="Times New Roman"/>
          <w:szCs w:val="19"/>
        </w:rPr>
      </w:pPr>
      <w:r w:rsidRPr="001B7367">
        <w:rPr>
          <w:rFonts w:ascii="Times New Roman" w:hAnsi="Times New Roman"/>
          <w:b/>
          <w:szCs w:val="19"/>
        </w:rPr>
        <w:t>R</w:t>
      </w:r>
      <w:r w:rsidR="00ED35E0" w:rsidRPr="001B7367">
        <w:rPr>
          <w:rFonts w:ascii="Times New Roman" w:hAnsi="Times New Roman"/>
          <w:b/>
          <w:szCs w:val="19"/>
        </w:rPr>
        <w:t>eferences</w:t>
      </w:r>
    </w:p>
    <w:p w14:paraId="7543BB62" w14:textId="3901C7F2" w:rsidR="00E87A76" w:rsidRPr="00E87A76" w:rsidRDefault="00DF773C" w:rsidP="00E87A76">
      <w:pPr>
        <w:widowControl w:val="0"/>
        <w:autoSpaceDE w:val="0"/>
        <w:adjustRightInd w:val="0"/>
        <w:spacing w:after="160"/>
        <w:ind w:left="640" w:hanging="640"/>
        <w:rPr>
          <w:rFonts w:ascii="Calibri" w:hAnsi="Calibri"/>
          <w:noProof/>
          <w:sz w:val="22"/>
          <w:szCs w:val="24"/>
        </w:rPr>
      </w:pPr>
      <w:r>
        <w:rPr>
          <w:rFonts w:ascii="Calibri" w:eastAsia="Calibri" w:hAnsi="Calibri"/>
          <w:sz w:val="22"/>
          <w:szCs w:val="22"/>
          <w:lang w:val="en-GB"/>
        </w:rPr>
        <w:fldChar w:fldCharType="begin" w:fldLock="1"/>
      </w:r>
      <w:r>
        <w:rPr>
          <w:rFonts w:ascii="Calibri" w:eastAsia="Calibri" w:hAnsi="Calibri"/>
          <w:sz w:val="22"/>
          <w:szCs w:val="22"/>
          <w:lang w:val="en-GB"/>
        </w:rPr>
        <w:instrText xml:space="preserve">ADDIN Mendeley Bibliography CSL_BIBLIOGRAPHY </w:instrText>
      </w:r>
      <w:r>
        <w:rPr>
          <w:rFonts w:ascii="Calibri" w:eastAsia="Calibri" w:hAnsi="Calibri"/>
          <w:sz w:val="22"/>
          <w:szCs w:val="22"/>
          <w:lang w:val="en-GB"/>
        </w:rPr>
        <w:fldChar w:fldCharType="separate"/>
      </w:r>
      <w:r w:rsidR="00E87A76" w:rsidRPr="00E87A76">
        <w:rPr>
          <w:rFonts w:ascii="Calibri" w:hAnsi="Calibri"/>
          <w:noProof/>
          <w:sz w:val="22"/>
          <w:szCs w:val="24"/>
        </w:rPr>
        <w:t>1</w:t>
      </w:r>
      <w:r w:rsidR="00E87A76" w:rsidRPr="00E87A76">
        <w:rPr>
          <w:rFonts w:ascii="Calibri" w:hAnsi="Calibri"/>
          <w:noProof/>
          <w:sz w:val="22"/>
          <w:szCs w:val="24"/>
        </w:rPr>
        <w:tab/>
        <w:t xml:space="preserve">L. C. Maillard, </w:t>
      </w:r>
      <w:r w:rsidR="00E87A76" w:rsidRPr="00E87A76">
        <w:rPr>
          <w:rFonts w:ascii="Calibri" w:hAnsi="Calibri"/>
          <w:i/>
          <w:iCs/>
          <w:noProof/>
          <w:sz w:val="22"/>
          <w:szCs w:val="24"/>
        </w:rPr>
        <w:t>C. R. Hebd. Séances Acad. Sci.</w:t>
      </w:r>
    </w:p>
    <w:p w14:paraId="4278A6F9"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2</w:t>
      </w:r>
      <w:r w:rsidRPr="00E87A76">
        <w:rPr>
          <w:rFonts w:ascii="Calibri" w:hAnsi="Calibri"/>
          <w:noProof/>
          <w:sz w:val="22"/>
          <w:szCs w:val="24"/>
        </w:rPr>
        <w:tab/>
        <w:t xml:space="preserve">J. S. Ramalho, C. Marques, P. C. Pereira and M. C. Mota, </w:t>
      </w:r>
      <w:r w:rsidRPr="00E87A76">
        <w:rPr>
          <w:rFonts w:ascii="Calibri" w:hAnsi="Calibri"/>
          <w:i/>
          <w:iCs/>
          <w:noProof/>
          <w:sz w:val="22"/>
          <w:szCs w:val="24"/>
        </w:rPr>
        <w:t>Eur. J. Ophthalmol.</w:t>
      </w:r>
      <w:r w:rsidRPr="00E87A76">
        <w:rPr>
          <w:rFonts w:ascii="Calibri" w:hAnsi="Calibri"/>
          <w:noProof/>
          <w:sz w:val="22"/>
          <w:szCs w:val="24"/>
        </w:rPr>
        <w:t xml:space="preserve">, 1996, </w:t>
      </w:r>
      <w:r w:rsidRPr="00E87A76">
        <w:rPr>
          <w:rFonts w:ascii="Calibri" w:hAnsi="Calibri"/>
          <w:b/>
          <w:bCs/>
          <w:noProof/>
          <w:sz w:val="22"/>
          <w:szCs w:val="24"/>
        </w:rPr>
        <w:t>6</w:t>
      </w:r>
      <w:r w:rsidRPr="00E87A76">
        <w:rPr>
          <w:rFonts w:ascii="Calibri" w:hAnsi="Calibri"/>
          <w:noProof/>
          <w:sz w:val="22"/>
          <w:szCs w:val="24"/>
        </w:rPr>
        <w:t>, 155–161.</w:t>
      </w:r>
    </w:p>
    <w:p w14:paraId="29AA686A"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3</w:t>
      </w:r>
      <w:r w:rsidRPr="00E87A76">
        <w:rPr>
          <w:rFonts w:ascii="Calibri" w:hAnsi="Calibri"/>
          <w:noProof/>
          <w:sz w:val="22"/>
          <w:szCs w:val="24"/>
        </w:rPr>
        <w:tab/>
        <w:t xml:space="preserve">C. Iannuzzi, G. Irace and I. Sirangelo, </w:t>
      </w:r>
      <w:r w:rsidRPr="00E87A76">
        <w:rPr>
          <w:rFonts w:ascii="Calibri" w:hAnsi="Calibri"/>
          <w:i/>
          <w:iCs/>
          <w:noProof/>
          <w:sz w:val="22"/>
          <w:szCs w:val="24"/>
        </w:rPr>
        <w:t>Front. Mol. Biosci.</w:t>
      </w:r>
      <w:r w:rsidRPr="00E87A76">
        <w:rPr>
          <w:rFonts w:ascii="Calibri" w:hAnsi="Calibri"/>
          <w:noProof/>
          <w:sz w:val="22"/>
          <w:szCs w:val="24"/>
        </w:rPr>
        <w:t xml:space="preserve">, 2014, </w:t>
      </w:r>
      <w:r w:rsidRPr="00E87A76">
        <w:rPr>
          <w:rFonts w:ascii="Calibri" w:hAnsi="Calibri"/>
          <w:b/>
          <w:bCs/>
          <w:noProof/>
          <w:sz w:val="22"/>
          <w:szCs w:val="24"/>
        </w:rPr>
        <w:t>1</w:t>
      </w:r>
      <w:r w:rsidRPr="00E87A76">
        <w:rPr>
          <w:rFonts w:ascii="Calibri" w:hAnsi="Calibri"/>
          <w:noProof/>
          <w:sz w:val="22"/>
          <w:szCs w:val="24"/>
        </w:rPr>
        <w:t>, 9.</w:t>
      </w:r>
    </w:p>
    <w:p w14:paraId="097468B4"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4</w:t>
      </w:r>
      <w:r w:rsidRPr="00E87A76">
        <w:rPr>
          <w:rFonts w:ascii="Calibri" w:hAnsi="Calibri"/>
          <w:noProof/>
          <w:sz w:val="22"/>
          <w:szCs w:val="24"/>
        </w:rPr>
        <w:tab/>
        <w:t xml:space="preserve">J. M. Ashraf, S. Ahmad, G. Rabbani, A. Tasleem Jan, E. Ju Lee, R. Hasan Khan and I. Choi, </w:t>
      </w:r>
      <w:r w:rsidRPr="00E87A76">
        <w:rPr>
          <w:rFonts w:ascii="Calibri" w:hAnsi="Calibri"/>
          <w:i/>
          <w:iCs/>
          <w:noProof/>
          <w:sz w:val="22"/>
          <w:szCs w:val="24"/>
        </w:rPr>
        <w:t>IUBMB Life</w:t>
      </w:r>
      <w:r w:rsidRPr="00E87A76">
        <w:rPr>
          <w:rFonts w:ascii="Calibri" w:hAnsi="Calibri"/>
          <w:noProof/>
          <w:sz w:val="22"/>
          <w:szCs w:val="24"/>
        </w:rPr>
        <w:t xml:space="preserve">, 2014, </w:t>
      </w:r>
      <w:r w:rsidRPr="00E87A76">
        <w:rPr>
          <w:rFonts w:ascii="Calibri" w:hAnsi="Calibri"/>
          <w:b/>
          <w:bCs/>
          <w:noProof/>
          <w:sz w:val="22"/>
          <w:szCs w:val="24"/>
        </w:rPr>
        <w:t>66</w:t>
      </w:r>
      <w:r w:rsidRPr="00E87A76">
        <w:rPr>
          <w:rFonts w:ascii="Calibri" w:hAnsi="Calibri"/>
          <w:noProof/>
          <w:sz w:val="22"/>
          <w:szCs w:val="24"/>
        </w:rPr>
        <w:t>, 686–693.</w:t>
      </w:r>
    </w:p>
    <w:p w14:paraId="51E16BB9"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5</w:t>
      </w:r>
      <w:r w:rsidRPr="00E87A76">
        <w:rPr>
          <w:rFonts w:ascii="Calibri" w:hAnsi="Calibri"/>
          <w:noProof/>
          <w:sz w:val="22"/>
          <w:szCs w:val="24"/>
        </w:rPr>
        <w:tab/>
        <w:t xml:space="preserve">M. Luthra and D. Balasubramanians, </w:t>
      </w:r>
      <w:r w:rsidRPr="00E87A76">
        <w:rPr>
          <w:rFonts w:ascii="Calibri" w:hAnsi="Calibri"/>
          <w:i/>
          <w:iCs/>
          <w:noProof/>
          <w:sz w:val="22"/>
          <w:szCs w:val="24"/>
        </w:rPr>
        <w:t>J. Biol. Chem.</w:t>
      </w:r>
      <w:r w:rsidRPr="00E87A76">
        <w:rPr>
          <w:rFonts w:ascii="Calibri" w:hAnsi="Calibri"/>
          <w:noProof/>
          <w:sz w:val="22"/>
          <w:szCs w:val="24"/>
        </w:rPr>
        <w:t xml:space="preserve">, 1993, </w:t>
      </w:r>
      <w:r w:rsidRPr="00E87A76">
        <w:rPr>
          <w:rFonts w:ascii="Calibri" w:hAnsi="Calibri"/>
          <w:b/>
          <w:bCs/>
          <w:noProof/>
          <w:sz w:val="22"/>
          <w:szCs w:val="24"/>
        </w:rPr>
        <w:t>268</w:t>
      </w:r>
      <w:r w:rsidRPr="00E87A76">
        <w:rPr>
          <w:rFonts w:ascii="Calibri" w:hAnsi="Calibri"/>
          <w:noProof/>
          <w:sz w:val="22"/>
          <w:szCs w:val="24"/>
        </w:rPr>
        <w:t>, 18119–18127.</w:t>
      </w:r>
    </w:p>
    <w:p w14:paraId="4FEE8A19"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6</w:t>
      </w:r>
      <w:r w:rsidRPr="00E87A76">
        <w:rPr>
          <w:rFonts w:ascii="Calibri" w:hAnsi="Calibri"/>
          <w:noProof/>
          <w:sz w:val="22"/>
          <w:szCs w:val="24"/>
        </w:rPr>
        <w:tab/>
        <w:t xml:space="preserve">S. Ghosh, N. K. Pandey, A. Singha Roy, D. R. Tripathy, A. K. Dinda and S. Dasgupta, </w:t>
      </w:r>
      <w:r w:rsidRPr="00E87A76">
        <w:rPr>
          <w:rFonts w:ascii="Calibri" w:hAnsi="Calibri"/>
          <w:i/>
          <w:iCs/>
          <w:noProof/>
          <w:sz w:val="22"/>
          <w:szCs w:val="24"/>
        </w:rPr>
        <w:t>PLoS One</w:t>
      </w:r>
      <w:r w:rsidRPr="00E87A76">
        <w:rPr>
          <w:rFonts w:ascii="Calibri" w:hAnsi="Calibri"/>
          <w:noProof/>
          <w:sz w:val="22"/>
          <w:szCs w:val="24"/>
        </w:rPr>
        <w:t xml:space="preserve">, 2013, </w:t>
      </w:r>
      <w:r w:rsidRPr="00E87A76">
        <w:rPr>
          <w:rFonts w:ascii="Calibri" w:hAnsi="Calibri"/>
          <w:b/>
          <w:bCs/>
          <w:noProof/>
          <w:sz w:val="22"/>
          <w:szCs w:val="24"/>
        </w:rPr>
        <w:t>8</w:t>
      </w:r>
      <w:r w:rsidRPr="00E87A76">
        <w:rPr>
          <w:rFonts w:ascii="Calibri" w:hAnsi="Calibri"/>
          <w:noProof/>
          <w:sz w:val="22"/>
          <w:szCs w:val="24"/>
        </w:rPr>
        <w:t>, e74336.</w:t>
      </w:r>
    </w:p>
    <w:p w14:paraId="0D34BE85"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7</w:t>
      </w:r>
      <w:r w:rsidRPr="00E87A76">
        <w:rPr>
          <w:rFonts w:ascii="Calibri" w:hAnsi="Calibri"/>
          <w:noProof/>
          <w:sz w:val="22"/>
          <w:szCs w:val="24"/>
        </w:rPr>
        <w:tab/>
        <w:t xml:space="preserve">J. M. Berg, J. L. Tymoczko, L. Stryer and L. Stryer, </w:t>
      </w:r>
      <w:r w:rsidRPr="00E87A76">
        <w:rPr>
          <w:rFonts w:ascii="Calibri" w:hAnsi="Calibri"/>
          <w:i/>
          <w:iCs/>
          <w:noProof/>
          <w:sz w:val="22"/>
          <w:szCs w:val="24"/>
        </w:rPr>
        <w:t>Biochemistry</w:t>
      </w:r>
      <w:r w:rsidRPr="00E87A76">
        <w:rPr>
          <w:rFonts w:ascii="Calibri" w:hAnsi="Calibri"/>
          <w:noProof/>
          <w:sz w:val="22"/>
          <w:szCs w:val="24"/>
        </w:rPr>
        <w:t>, W.H. Freeman, New York, 5th edn., 2002.</w:t>
      </w:r>
    </w:p>
    <w:p w14:paraId="3B7DBB33"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8</w:t>
      </w:r>
      <w:r w:rsidRPr="00E87A76">
        <w:rPr>
          <w:rFonts w:ascii="Calibri" w:hAnsi="Calibri"/>
          <w:noProof/>
          <w:sz w:val="22"/>
          <w:szCs w:val="24"/>
        </w:rPr>
        <w:tab/>
        <w:t xml:space="preserve">Q. Zhang, J. M. Ames, R. D. Smith, J. W. Baynes and T. O. Metz, </w:t>
      </w:r>
      <w:r w:rsidRPr="00E87A76">
        <w:rPr>
          <w:rFonts w:ascii="Calibri" w:hAnsi="Calibri"/>
          <w:i/>
          <w:iCs/>
          <w:noProof/>
          <w:sz w:val="22"/>
          <w:szCs w:val="24"/>
        </w:rPr>
        <w:t>J. Proteome Res.</w:t>
      </w:r>
      <w:r w:rsidRPr="00E87A76">
        <w:rPr>
          <w:rFonts w:ascii="Calibri" w:hAnsi="Calibri"/>
          <w:noProof/>
          <w:sz w:val="22"/>
          <w:szCs w:val="24"/>
        </w:rPr>
        <w:t xml:space="preserve">, 2009, </w:t>
      </w:r>
      <w:r w:rsidRPr="00E87A76">
        <w:rPr>
          <w:rFonts w:ascii="Calibri" w:hAnsi="Calibri"/>
          <w:b/>
          <w:bCs/>
          <w:noProof/>
          <w:sz w:val="22"/>
          <w:szCs w:val="24"/>
        </w:rPr>
        <w:t>8</w:t>
      </w:r>
      <w:r w:rsidRPr="00E87A76">
        <w:rPr>
          <w:rFonts w:ascii="Calibri" w:hAnsi="Calibri"/>
          <w:noProof/>
          <w:sz w:val="22"/>
          <w:szCs w:val="24"/>
        </w:rPr>
        <w:t>, 754–69.</w:t>
      </w:r>
    </w:p>
    <w:p w14:paraId="618366EC"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9</w:t>
      </w:r>
      <w:r w:rsidRPr="00E87A76">
        <w:rPr>
          <w:rFonts w:ascii="Calibri" w:hAnsi="Calibri"/>
          <w:noProof/>
          <w:sz w:val="22"/>
          <w:szCs w:val="24"/>
        </w:rPr>
        <w:tab/>
        <w:t xml:space="preserve">A. Goldin, J. A. Beckman, A. M. Schmidt and M. A. Creager, </w:t>
      </w:r>
      <w:r w:rsidRPr="00E87A76">
        <w:rPr>
          <w:rFonts w:ascii="Calibri" w:hAnsi="Calibri"/>
          <w:i/>
          <w:iCs/>
          <w:noProof/>
          <w:sz w:val="22"/>
          <w:szCs w:val="24"/>
        </w:rPr>
        <w:t>Circulation</w:t>
      </w:r>
      <w:r w:rsidRPr="00E87A76">
        <w:rPr>
          <w:rFonts w:ascii="Calibri" w:hAnsi="Calibri"/>
          <w:noProof/>
          <w:sz w:val="22"/>
          <w:szCs w:val="24"/>
        </w:rPr>
        <w:t xml:space="preserve">, 2006, </w:t>
      </w:r>
      <w:r w:rsidRPr="00E87A76">
        <w:rPr>
          <w:rFonts w:ascii="Calibri" w:hAnsi="Calibri"/>
          <w:b/>
          <w:bCs/>
          <w:noProof/>
          <w:sz w:val="22"/>
          <w:szCs w:val="24"/>
        </w:rPr>
        <w:t>114</w:t>
      </w:r>
      <w:r w:rsidRPr="00E87A76">
        <w:rPr>
          <w:rFonts w:ascii="Calibri" w:hAnsi="Calibri"/>
          <w:noProof/>
          <w:sz w:val="22"/>
          <w:szCs w:val="24"/>
        </w:rPr>
        <w:t>, 597–605.</w:t>
      </w:r>
    </w:p>
    <w:p w14:paraId="09104BF2"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10</w:t>
      </w:r>
      <w:r w:rsidRPr="00E87A76">
        <w:rPr>
          <w:rFonts w:ascii="Calibri" w:hAnsi="Calibri"/>
          <w:noProof/>
          <w:sz w:val="22"/>
          <w:szCs w:val="24"/>
        </w:rPr>
        <w:tab/>
        <w:t xml:space="preserve">V. P. Singh, A. Bali, N. Singh and A. S. Jaggi, </w:t>
      </w:r>
      <w:r w:rsidRPr="00E87A76">
        <w:rPr>
          <w:rFonts w:ascii="Calibri" w:hAnsi="Calibri"/>
          <w:i/>
          <w:iCs/>
          <w:noProof/>
          <w:sz w:val="22"/>
          <w:szCs w:val="24"/>
        </w:rPr>
        <w:t>Korean J. Physiol. Pharmacol.</w:t>
      </w:r>
      <w:r w:rsidRPr="00E87A76">
        <w:rPr>
          <w:rFonts w:ascii="Calibri" w:hAnsi="Calibri"/>
          <w:noProof/>
          <w:sz w:val="22"/>
          <w:szCs w:val="24"/>
        </w:rPr>
        <w:t xml:space="preserve">, 2014, </w:t>
      </w:r>
      <w:r w:rsidRPr="00E87A76">
        <w:rPr>
          <w:rFonts w:ascii="Calibri" w:hAnsi="Calibri"/>
          <w:b/>
          <w:bCs/>
          <w:noProof/>
          <w:sz w:val="22"/>
          <w:szCs w:val="24"/>
        </w:rPr>
        <w:t>18</w:t>
      </w:r>
      <w:r w:rsidRPr="00E87A76">
        <w:rPr>
          <w:rFonts w:ascii="Calibri" w:hAnsi="Calibri"/>
          <w:noProof/>
          <w:sz w:val="22"/>
          <w:szCs w:val="24"/>
        </w:rPr>
        <w:t>, 1–14.</w:t>
      </w:r>
    </w:p>
    <w:p w14:paraId="513E3F15"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11</w:t>
      </w:r>
      <w:r w:rsidRPr="00E87A76">
        <w:rPr>
          <w:rFonts w:ascii="Calibri" w:hAnsi="Calibri"/>
          <w:noProof/>
          <w:sz w:val="22"/>
          <w:szCs w:val="24"/>
        </w:rPr>
        <w:tab/>
        <w:t xml:space="preserve">A. Rahmadi, N. Steiner and G. Mü, </w:t>
      </w:r>
      <w:r w:rsidRPr="00E87A76">
        <w:rPr>
          <w:rFonts w:ascii="Calibri" w:hAnsi="Calibri"/>
          <w:i/>
          <w:iCs/>
          <w:noProof/>
          <w:sz w:val="22"/>
          <w:szCs w:val="24"/>
        </w:rPr>
        <w:t>Clin Chem Lab Med</w:t>
      </w:r>
      <w:r w:rsidRPr="00E87A76">
        <w:rPr>
          <w:rFonts w:ascii="Calibri" w:hAnsi="Calibri"/>
          <w:noProof/>
          <w:sz w:val="22"/>
          <w:szCs w:val="24"/>
        </w:rPr>
        <w:t xml:space="preserve">, 2011, </w:t>
      </w:r>
      <w:r w:rsidRPr="00E87A76">
        <w:rPr>
          <w:rFonts w:ascii="Calibri" w:hAnsi="Calibri"/>
          <w:b/>
          <w:bCs/>
          <w:noProof/>
          <w:sz w:val="22"/>
          <w:szCs w:val="24"/>
        </w:rPr>
        <w:t>49</w:t>
      </w:r>
      <w:r w:rsidRPr="00E87A76">
        <w:rPr>
          <w:rFonts w:ascii="Calibri" w:hAnsi="Calibri"/>
          <w:noProof/>
          <w:sz w:val="22"/>
          <w:szCs w:val="24"/>
        </w:rPr>
        <w:t>, 385–391.</w:t>
      </w:r>
    </w:p>
    <w:p w14:paraId="5C06DCFF"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12</w:t>
      </w:r>
      <w:r w:rsidRPr="00E87A76">
        <w:rPr>
          <w:rFonts w:ascii="Calibri" w:hAnsi="Calibri"/>
          <w:noProof/>
          <w:sz w:val="22"/>
          <w:szCs w:val="24"/>
        </w:rPr>
        <w:tab/>
        <w:t xml:space="preserve">S. R. Thorpe, J. W. Baynes, M. I. Horowitz, P. W. Eds, C. P. ; ) Quan, S. Wu, N. Dasovich, C. Hsu, T. Patapoff, E. Canova-Davis, N. G. Watkins, A. A. Booth, R. G. Khalifah, P. Todd, B. G. Hudson, Y. Al-Abed, A. Kapurniotu, R. Bucala, N. Ahmed, P. Thornalley, Y. Zhang, R. R. Cocklin, K. R. Bidasee, M. Wang, C. I. Neglia-Fisher, D. G. Dyer, J. W. Brock, D. J. Hinton, W. E. Cotham, T. O. Metz, J. M. Ames, R. Shapiro, M. J. Mcmanus, C. Zalut and H. F. Bunn, </w:t>
      </w:r>
      <w:r w:rsidRPr="00E87A76">
        <w:rPr>
          <w:rFonts w:ascii="Calibri" w:hAnsi="Calibri"/>
          <w:i/>
          <w:iCs/>
          <w:noProof/>
          <w:sz w:val="22"/>
          <w:szCs w:val="24"/>
        </w:rPr>
        <w:t>J. Biochem. Soc. Trans</w:t>
      </w:r>
      <w:r w:rsidRPr="00E87A76">
        <w:rPr>
          <w:rFonts w:ascii="Calibri" w:hAnsi="Calibri"/>
          <w:noProof/>
          <w:sz w:val="22"/>
          <w:szCs w:val="24"/>
        </w:rPr>
        <w:t xml:space="preserve">, 1982, </w:t>
      </w:r>
      <w:r w:rsidRPr="00E87A76">
        <w:rPr>
          <w:rFonts w:ascii="Calibri" w:hAnsi="Calibri"/>
          <w:b/>
          <w:bCs/>
          <w:noProof/>
          <w:sz w:val="22"/>
          <w:szCs w:val="24"/>
        </w:rPr>
        <w:t>3</w:t>
      </w:r>
      <w:r w:rsidRPr="00E87A76">
        <w:rPr>
          <w:rFonts w:ascii="Calibri" w:hAnsi="Calibri"/>
          <w:noProof/>
          <w:sz w:val="22"/>
          <w:szCs w:val="24"/>
        </w:rPr>
        <w:t>, 2379–2390.</w:t>
      </w:r>
    </w:p>
    <w:p w14:paraId="0E5910B6"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13</w:t>
      </w:r>
      <w:r w:rsidRPr="00E87A76">
        <w:rPr>
          <w:rFonts w:ascii="Calibri" w:hAnsi="Calibri"/>
          <w:noProof/>
          <w:sz w:val="22"/>
          <w:szCs w:val="24"/>
        </w:rPr>
        <w:tab/>
        <w:t xml:space="preserve">M. K. Joubert, M. Deshpande, J. Yang, H. Reynolds, C. Bryson, M. Fogg, M. P. Baker, J. Herskovitz, T. J. Goletz, L. Zhou, M. Moxness, G. C. Flynn, L. O. Narhi and V. Jawa, </w:t>
      </w:r>
      <w:r w:rsidRPr="00E87A76">
        <w:rPr>
          <w:rFonts w:ascii="Calibri" w:hAnsi="Calibri"/>
          <w:i/>
          <w:iCs/>
          <w:noProof/>
          <w:sz w:val="22"/>
          <w:szCs w:val="24"/>
        </w:rPr>
        <w:t>PLoS One</w:t>
      </w:r>
      <w:r w:rsidRPr="00E87A76">
        <w:rPr>
          <w:rFonts w:ascii="Calibri" w:hAnsi="Calibri"/>
          <w:noProof/>
          <w:sz w:val="22"/>
          <w:szCs w:val="24"/>
        </w:rPr>
        <w:t xml:space="preserve">, 2016, </w:t>
      </w:r>
      <w:r w:rsidRPr="00E87A76">
        <w:rPr>
          <w:rFonts w:ascii="Calibri" w:hAnsi="Calibri"/>
          <w:b/>
          <w:bCs/>
          <w:noProof/>
          <w:sz w:val="22"/>
          <w:szCs w:val="24"/>
        </w:rPr>
        <w:t>11</w:t>
      </w:r>
      <w:r w:rsidRPr="00E87A76">
        <w:rPr>
          <w:rFonts w:ascii="Calibri" w:hAnsi="Calibri"/>
          <w:noProof/>
          <w:sz w:val="22"/>
          <w:szCs w:val="24"/>
        </w:rPr>
        <w:t>, e0159328.</w:t>
      </w:r>
    </w:p>
    <w:p w14:paraId="09E2C314"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14</w:t>
      </w:r>
      <w:r w:rsidRPr="00E87A76">
        <w:rPr>
          <w:rFonts w:ascii="Calibri" w:hAnsi="Calibri"/>
          <w:noProof/>
          <w:sz w:val="22"/>
          <w:szCs w:val="24"/>
        </w:rPr>
        <w:tab/>
        <w:t xml:space="preserve">D. M. Kennedy, A. W. Skillen and C. H. Self, </w:t>
      </w:r>
      <w:r w:rsidRPr="00E87A76">
        <w:rPr>
          <w:rFonts w:ascii="Calibri" w:hAnsi="Calibri"/>
          <w:i/>
          <w:iCs/>
          <w:noProof/>
          <w:sz w:val="22"/>
          <w:szCs w:val="24"/>
        </w:rPr>
        <w:t>Clin. Exp. Immunol.</w:t>
      </w:r>
      <w:r w:rsidRPr="00E87A76">
        <w:rPr>
          <w:rFonts w:ascii="Calibri" w:hAnsi="Calibri"/>
          <w:noProof/>
          <w:sz w:val="22"/>
          <w:szCs w:val="24"/>
        </w:rPr>
        <w:t xml:space="preserve">, 1994, </w:t>
      </w:r>
      <w:r w:rsidRPr="00E87A76">
        <w:rPr>
          <w:rFonts w:ascii="Calibri" w:hAnsi="Calibri"/>
          <w:b/>
          <w:bCs/>
          <w:noProof/>
          <w:sz w:val="22"/>
          <w:szCs w:val="24"/>
        </w:rPr>
        <w:t>98</w:t>
      </w:r>
      <w:r w:rsidRPr="00E87A76">
        <w:rPr>
          <w:rFonts w:ascii="Calibri" w:hAnsi="Calibri"/>
          <w:noProof/>
          <w:sz w:val="22"/>
          <w:szCs w:val="24"/>
        </w:rPr>
        <w:t>, 245–51.</w:t>
      </w:r>
    </w:p>
    <w:p w14:paraId="5B628924"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15</w:t>
      </w:r>
      <w:r w:rsidRPr="00E87A76">
        <w:rPr>
          <w:rFonts w:ascii="Calibri" w:hAnsi="Calibri"/>
          <w:noProof/>
          <w:sz w:val="22"/>
          <w:szCs w:val="24"/>
        </w:rPr>
        <w:tab/>
        <w:t xml:space="preserve">R. Dolhofer, E. A. Siess and O. H. Wieland, </w:t>
      </w:r>
      <w:r w:rsidRPr="00E87A76">
        <w:rPr>
          <w:rFonts w:ascii="Calibri" w:hAnsi="Calibri"/>
          <w:i/>
          <w:iCs/>
          <w:noProof/>
          <w:sz w:val="22"/>
          <w:szCs w:val="24"/>
        </w:rPr>
        <w:t>Biol. Chem. Hoppe-Seyler</w:t>
      </w:r>
      <w:r w:rsidRPr="00E87A76">
        <w:rPr>
          <w:rFonts w:ascii="Calibri" w:hAnsi="Calibri"/>
          <w:noProof/>
          <w:sz w:val="22"/>
          <w:szCs w:val="24"/>
        </w:rPr>
        <w:t xml:space="preserve">, 1985, </w:t>
      </w:r>
      <w:r w:rsidRPr="00E87A76">
        <w:rPr>
          <w:rFonts w:ascii="Calibri" w:hAnsi="Calibri"/>
          <w:b/>
          <w:bCs/>
          <w:noProof/>
          <w:sz w:val="22"/>
          <w:szCs w:val="24"/>
        </w:rPr>
        <w:t>366</w:t>
      </w:r>
      <w:r w:rsidRPr="00E87A76">
        <w:rPr>
          <w:rFonts w:ascii="Calibri" w:hAnsi="Calibri"/>
          <w:noProof/>
          <w:sz w:val="22"/>
          <w:szCs w:val="24"/>
        </w:rPr>
        <w:t>, 361–366.</w:t>
      </w:r>
    </w:p>
    <w:p w14:paraId="6E3410BA"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16</w:t>
      </w:r>
      <w:r w:rsidRPr="00E87A76">
        <w:rPr>
          <w:rFonts w:ascii="Calibri" w:hAnsi="Calibri"/>
          <w:noProof/>
          <w:sz w:val="22"/>
          <w:szCs w:val="24"/>
        </w:rPr>
        <w:tab/>
        <w:t xml:space="preserve">ICH, </w:t>
      </w:r>
      <w:r w:rsidRPr="00E87A76">
        <w:rPr>
          <w:rFonts w:ascii="Calibri" w:hAnsi="Calibri"/>
          <w:i/>
          <w:iCs/>
          <w:noProof/>
          <w:sz w:val="22"/>
          <w:szCs w:val="24"/>
        </w:rPr>
        <w:t>ICH Topic Q 6 B Specifications: Test Procedures and Acceptance Criteria for Biotechnological/Biological Products</w:t>
      </w:r>
      <w:r w:rsidRPr="00E87A76">
        <w:rPr>
          <w:rFonts w:ascii="Calibri" w:hAnsi="Calibri"/>
          <w:noProof/>
          <w:sz w:val="22"/>
          <w:szCs w:val="24"/>
        </w:rPr>
        <w:t>, 1999.</w:t>
      </w:r>
    </w:p>
    <w:p w14:paraId="5E72A9ED"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17</w:t>
      </w:r>
      <w:r w:rsidRPr="00E87A76">
        <w:rPr>
          <w:rFonts w:ascii="Calibri" w:hAnsi="Calibri"/>
          <w:noProof/>
          <w:sz w:val="22"/>
          <w:szCs w:val="24"/>
        </w:rPr>
        <w:tab/>
        <w:t>European Medicines Agency, Committee for Medicinal Products for Human Use (CHMP) Guideline on similar biological medicinal products containing monoclonal antibodies-non-</w:t>
      </w:r>
      <w:r w:rsidRPr="00E87A76">
        <w:rPr>
          <w:rFonts w:ascii="Calibri" w:hAnsi="Calibri"/>
          <w:noProof/>
          <w:sz w:val="22"/>
          <w:szCs w:val="24"/>
        </w:rPr>
        <w:lastRenderedPageBreak/>
        <w:t>clinical and clinical issues, www.ema.europa.eu, (accessed 17 June 2019).</w:t>
      </w:r>
    </w:p>
    <w:p w14:paraId="6FEDDAC3"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18</w:t>
      </w:r>
      <w:r w:rsidRPr="00E87A76">
        <w:rPr>
          <w:rFonts w:ascii="Calibri" w:hAnsi="Calibri"/>
          <w:noProof/>
          <w:sz w:val="22"/>
          <w:szCs w:val="24"/>
        </w:rPr>
        <w:tab/>
        <w:t>FDA, Development of Therapeutic Protein Biosimilars: Comparative Analytical Assessment and Other Quality-Related Considerations Guidance for Industry DRAFT GUIDANCE, https://www.fda.gov/vaccines-blood-biologics/guidance-compliance-regulatory-information-biologics/biologics-guidances, (accessed 17 June 2019).</w:t>
      </w:r>
    </w:p>
    <w:p w14:paraId="12EE59BD"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19</w:t>
      </w:r>
      <w:r w:rsidRPr="00E87A76">
        <w:rPr>
          <w:rFonts w:ascii="Calibri" w:hAnsi="Calibri"/>
          <w:noProof/>
          <w:sz w:val="22"/>
          <w:szCs w:val="24"/>
        </w:rPr>
        <w:tab/>
        <w:t xml:space="preserve">N. Alt, T. Y. Zhang, P. Motchnik, R. Taticek, V. Quarmby, T. Schlothauer, H. Beck, T. Emrich and R. J. Harris, </w:t>
      </w:r>
      <w:r w:rsidRPr="00E87A76">
        <w:rPr>
          <w:rFonts w:ascii="Calibri" w:hAnsi="Calibri"/>
          <w:i/>
          <w:iCs/>
          <w:noProof/>
          <w:sz w:val="22"/>
          <w:szCs w:val="24"/>
        </w:rPr>
        <w:t>Biologicals</w:t>
      </w:r>
      <w:r w:rsidRPr="00E87A76">
        <w:rPr>
          <w:rFonts w:ascii="Calibri" w:hAnsi="Calibri"/>
          <w:noProof/>
          <w:sz w:val="22"/>
          <w:szCs w:val="24"/>
        </w:rPr>
        <w:t xml:space="preserve">, 2016, </w:t>
      </w:r>
      <w:r w:rsidRPr="00E87A76">
        <w:rPr>
          <w:rFonts w:ascii="Calibri" w:hAnsi="Calibri"/>
          <w:b/>
          <w:bCs/>
          <w:noProof/>
          <w:sz w:val="22"/>
          <w:szCs w:val="24"/>
        </w:rPr>
        <w:t>44</w:t>
      </w:r>
      <w:r w:rsidRPr="00E87A76">
        <w:rPr>
          <w:rFonts w:ascii="Calibri" w:hAnsi="Calibri"/>
          <w:noProof/>
          <w:sz w:val="22"/>
          <w:szCs w:val="24"/>
        </w:rPr>
        <w:t>, 291–305.</w:t>
      </w:r>
    </w:p>
    <w:p w14:paraId="5CF5548A"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20</w:t>
      </w:r>
      <w:r w:rsidRPr="00E87A76">
        <w:rPr>
          <w:rFonts w:ascii="Calibri" w:hAnsi="Calibri"/>
          <w:noProof/>
          <w:sz w:val="22"/>
          <w:szCs w:val="24"/>
        </w:rPr>
        <w:tab/>
        <w:t xml:space="preserve">B. Wei, K. Berning, C. Quan and Y. T. Zhang, </w:t>
      </w:r>
      <w:r w:rsidRPr="00E87A76">
        <w:rPr>
          <w:rFonts w:ascii="Calibri" w:hAnsi="Calibri"/>
          <w:i/>
          <w:iCs/>
          <w:noProof/>
          <w:sz w:val="22"/>
          <w:szCs w:val="24"/>
        </w:rPr>
        <w:t>MAbs</w:t>
      </w:r>
      <w:r w:rsidRPr="00E87A76">
        <w:rPr>
          <w:rFonts w:ascii="Calibri" w:hAnsi="Calibri"/>
          <w:noProof/>
          <w:sz w:val="22"/>
          <w:szCs w:val="24"/>
        </w:rPr>
        <w:t xml:space="preserve">, 2017, </w:t>
      </w:r>
      <w:r w:rsidRPr="00E87A76">
        <w:rPr>
          <w:rFonts w:ascii="Calibri" w:hAnsi="Calibri"/>
          <w:b/>
          <w:bCs/>
          <w:noProof/>
          <w:sz w:val="22"/>
          <w:szCs w:val="24"/>
        </w:rPr>
        <w:t>9</w:t>
      </w:r>
      <w:r w:rsidRPr="00E87A76">
        <w:rPr>
          <w:rFonts w:ascii="Calibri" w:hAnsi="Calibri"/>
          <w:noProof/>
          <w:sz w:val="22"/>
          <w:szCs w:val="24"/>
        </w:rPr>
        <w:t>, 586–594.</w:t>
      </w:r>
    </w:p>
    <w:p w14:paraId="4AB92AC4"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21</w:t>
      </w:r>
      <w:r w:rsidRPr="00E87A76">
        <w:rPr>
          <w:rFonts w:ascii="Calibri" w:hAnsi="Calibri"/>
          <w:noProof/>
          <w:sz w:val="22"/>
          <w:szCs w:val="24"/>
        </w:rPr>
        <w:tab/>
        <w:t xml:space="preserve">C. Quan, E. Alcala, I. Petkovska, D. Matthews, E. Canova-Davis, R. Taticek and S. Ma, </w:t>
      </w:r>
      <w:r w:rsidRPr="00E87A76">
        <w:rPr>
          <w:rFonts w:ascii="Calibri" w:hAnsi="Calibri"/>
          <w:i/>
          <w:iCs/>
          <w:noProof/>
          <w:sz w:val="22"/>
          <w:szCs w:val="24"/>
        </w:rPr>
        <w:t>Anal. Biochem.</w:t>
      </w:r>
      <w:r w:rsidRPr="00E87A76">
        <w:rPr>
          <w:rFonts w:ascii="Calibri" w:hAnsi="Calibri"/>
          <w:noProof/>
          <w:sz w:val="22"/>
          <w:szCs w:val="24"/>
        </w:rPr>
        <w:t xml:space="preserve">, 2008, </w:t>
      </w:r>
      <w:r w:rsidRPr="00E87A76">
        <w:rPr>
          <w:rFonts w:ascii="Calibri" w:hAnsi="Calibri"/>
          <w:b/>
          <w:bCs/>
          <w:noProof/>
          <w:sz w:val="22"/>
          <w:szCs w:val="24"/>
        </w:rPr>
        <w:t>373</w:t>
      </w:r>
      <w:r w:rsidRPr="00E87A76">
        <w:rPr>
          <w:rFonts w:ascii="Calibri" w:hAnsi="Calibri"/>
          <w:noProof/>
          <w:sz w:val="22"/>
          <w:szCs w:val="24"/>
        </w:rPr>
        <w:t>, 179–191.</w:t>
      </w:r>
    </w:p>
    <w:p w14:paraId="3CAA8BFA"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22</w:t>
      </w:r>
      <w:r w:rsidRPr="00E87A76">
        <w:rPr>
          <w:rFonts w:ascii="Calibri" w:hAnsi="Calibri"/>
          <w:noProof/>
          <w:sz w:val="22"/>
          <w:szCs w:val="24"/>
        </w:rPr>
        <w:tab/>
        <w:t xml:space="preserve">Lowell J. Brady, A. Theresa Martinez and A. Balland, </w:t>
      </w:r>
      <w:r w:rsidRPr="00E87A76">
        <w:rPr>
          <w:rFonts w:ascii="Calibri" w:hAnsi="Calibri"/>
          <w:i/>
          <w:iCs/>
          <w:noProof/>
          <w:sz w:val="22"/>
          <w:szCs w:val="24"/>
        </w:rPr>
        <w:t>Anal. Chem</w:t>
      </w:r>
      <w:r w:rsidRPr="00E87A76">
        <w:rPr>
          <w:rFonts w:ascii="Calibri" w:hAnsi="Calibri"/>
          <w:noProof/>
          <w:sz w:val="22"/>
          <w:szCs w:val="24"/>
        </w:rPr>
        <w:t xml:space="preserve">, 2007, </w:t>
      </w:r>
      <w:r w:rsidRPr="00E87A76">
        <w:rPr>
          <w:rFonts w:ascii="Calibri" w:hAnsi="Calibri"/>
          <w:b/>
          <w:bCs/>
          <w:noProof/>
          <w:sz w:val="22"/>
          <w:szCs w:val="24"/>
        </w:rPr>
        <w:t>79</w:t>
      </w:r>
      <w:r w:rsidRPr="00E87A76">
        <w:rPr>
          <w:rFonts w:ascii="Calibri" w:hAnsi="Calibri"/>
          <w:noProof/>
          <w:sz w:val="22"/>
          <w:szCs w:val="24"/>
        </w:rPr>
        <w:t>, 9403–9413.</w:t>
      </w:r>
    </w:p>
    <w:p w14:paraId="75C8C970"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23</w:t>
      </w:r>
      <w:r w:rsidRPr="00E87A76">
        <w:rPr>
          <w:rFonts w:ascii="Calibri" w:hAnsi="Calibri"/>
          <w:noProof/>
          <w:sz w:val="22"/>
          <w:szCs w:val="24"/>
        </w:rPr>
        <w:tab/>
        <w:t xml:space="preserve">N. C. Dingari, G. L. Horowitz, J. W. Kang, R. R. Dasari and I. Barman, </w:t>
      </w:r>
      <w:r w:rsidRPr="00E87A76">
        <w:rPr>
          <w:rFonts w:ascii="Calibri" w:hAnsi="Calibri"/>
          <w:i/>
          <w:iCs/>
          <w:noProof/>
          <w:sz w:val="22"/>
          <w:szCs w:val="24"/>
        </w:rPr>
        <w:t>PLoS One</w:t>
      </w:r>
      <w:r w:rsidRPr="00E87A76">
        <w:rPr>
          <w:rFonts w:ascii="Calibri" w:hAnsi="Calibri"/>
          <w:noProof/>
          <w:sz w:val="22"/>
          <w:szCs w:val="24"/>
        </w:rPr>
        <w:t xml:space="preserve">, 2012, </w:t>
      </w:r>
      <w:r w:rsidRPr="00E87A76">
        <w:rPr>
          <w:rFonts w:ascii="Calibri" w:hAnsi="Calibri"/>
          <w:b/>
          <w:bCs/>
          <w:noProof/>
          <w:sz w:val="22"/>
          <w:szCs w:val="24"/>
        </w:rPr>
        <w:t>7</w:t>
      </w:r>
      <w:r w:rsidRPr="00E87A76">
        <w:rPr>
          <w:rFonts w:ascii="Calibri" w:hAnsi="Calibri"/>
          <w:noProof/>
          <w:sz w:val="22"/>
          <w:szCs w:val="24"/>
        </w:rPr>
        <w:t>, e32406.</w:t>
      </w:r>
    </w:p>
    <w:p w14:paraId="32E4C2CD"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24</w:t>
      </w:r>
      <w:r w:rsidRPr="00E87A76">
        <w:rPr>
          <w:rFonts w:ascii="Calibri" w:hAnsi="Calibri"/>
          <w:noProof/>
          <w:sz w:val="22"/>
          <w:szCs w:val="24"/>
        </w:rPr>
        <w:tab/>
        <w:t xml:space="preserve">Y. Han, J. Chen, T. Pan and G. Liu, </w:t>
      </w:r>
      <w:r w:rsidRPr="00E87A76">
        <w:rPr>
          <w:rFonts w:ascii="Calibri" w:hAnsi="Calibri"/>
          <w:i/>
          <w:iCs/>
          <w:noProof/>
          <w:sz w:val="22"/>
          <w:szCs w:val="24"/>
        </w:rPr>
        <w:t>Chemom. Intell. Lab. Syst.</w:t>
      </w:r>
      <w:r w:rsidRPr="00E87A76">
        <w:rPr>
          <w:rFonts w:ascii="Calibri" w:hAnsi="Calibri"/>
          <w:noProof/>
          <w:sz w:val="22"/>
          <w:szCs w:val="24"/>
        </w:rPr>
        <w:t xml:space="preserve">, 2015, </w:t>
      </w:r>
      <w:r w:rsidRPr="00E87A76">
        <w:rPr>
          <w:rFonts w:ascii="Calibri" w:hAnsi="Calibri"/>
          <w:b/>
          <w:bCs/>
          <w:noProof/>
          <w:sz w:val="22"/>
          <w:szCs w:val="24"/>
        </w:rPr>
        <w:t>145</w:t>
      </w:r>
      <w:r w:rsidRPr="00E87A76">
        <w:rPr>
          <w:rFonts w:ascii="Calibri" w:hAnsi="Calibri"/>
          <w:noProof/>
          <w:sz w:val="22"/>
          <w:szCs w:val="24"/>
        </w:rPr>
        <w:t>, 84–92.</w:t>
      </w:r>
    </w:p>
    <w:p w14:paraId="0D1208B8"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25</w:t>
      </w:r>
      <w:r w:rsidRPr="00E87A76">
        <w:rPr>
          <w:rFonts w:ascii="Calibri" w:hAnsi="Calibri"/>
          <w:noProof/>
          <w:sz w:val="22"/>
          <w:szCs w:val="24"/>
        </w:rPr>
        <w:tab/>
        <w:t xml:space="preserve">J. V. Glenn, J. R. Beattie, L. Barrett, N. Frizzell, S. R. Thorpe, M. E. Boulton, J. J. McGarvey and A. W. Stitt, </w:t>
      </w:r>
      <w:r w:rsidRPr="00E87A76">
        <w:rPr>
          <w:rFonts w:ascii="Calibri" w:hAnsi="Calibri"/>
          <w:i/>
          <w:iCs/>
          <w:noProof/>
          <w:sz w:val="22"/>
          <w:szCs w:val="24"/>
        </w:rPr>
        <w:t>FASEB J.</w:t>
      </w:r>
      <w:r w:rsidRPr="00E87A76">
        <w:rPr>
          <w:rFonts w:ascii="Calibri" w:hAnsi="Calibri"/>
          <w:noProof/>
          <w:sz w:val="22"/>
          <w:szCs w:val="24"/>
        </w:rPr>
        <w:t xml:space="preserve">, 2007, </w:t>
      </w:r>
      <w:r w:rsidRPr="00E87A76">
        <w:rPr>
          <w:rFonts w:ascii="Calibri" w:hAnsi="Calibri"/>
          <w:b/>
          <w:bCs/>
          <w:noProof/>
          <w:sz w:val="22"/>
          <w:szCs w:val="24"/>
        </w:rPr>
        <w:t>21</w:t>
      </w:r>
      <w:r w:rsidRPr="00E87A76">
        <w:rPr>
          <w:rFonts w:ascii="Calibri" w:hAnsi="Calibri"/>
          <w:noProof/>
          <w:sz w:val="22"/>
          <w:szCs w:val="24"/>
        </w:rPr>
        <w:t>, 3542–3552.</w:t>
      </w:r>
    </w:p>
    <w:p w14:paraId="07E530F2"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26</w:t>
      </w:r>
      <w:r w:rsidRPr="00E87A76">
        <w:rPr>
          <w:rFonts w:ascii="Calibri" w:hAnsi="Calibri"/>
          <w:noProof/>
          <w:sz w:val="22"/>
          <w:szCs w:val="24"/>
        </w:rPr>
        <w:tab/>
        <w:t xml:space="preserve">T. Pan, M. Li, J. Chen and H. Xue, </w:t>
      </w:r>
      <w:r w:rsidRPr="00E87A76">
        <w:rPr>
          <w:rFonts w:ascii="Calibri" w:hAnsi="Calibri"/>
          <w:i/>
          <w:iCs/>
          <w:noProof/>
          <w:sz w:val="22"/>
          <w:szCs w:val="24"/>
        </w:rPr>
        <w:t>J. Innov. Opt. Health Sci.</w:t>
      </w:r>
      <w:r w:rsidRPr="00E87A76">
        <w:rPr>
          <w:rFonts w:ascii="Calibri" w:hAnsi="Calibri"/>
          <w:noProof/>
          <w:sz w:val="22"/>
          <w:szCs w:val="24"/>
        </w:rPr>
        <w:t xml:space="preserve">, 2014, </w:t>
      </w:r>
      <w:r w:rsidRPr="00E87A76">
        <w:rPr>
          <w:rFonts w:ascii="Calibri" w:hAnsi="Calibri"/>
          <w:b/>
          <w:bCs/>
          <w:noProof/>
          <w:sz w:val="22"/>
          <w:szCs w:val="24"/>
        </w:rPr>
        <w:t>07</w:t>
      </w:r>
      <w:r w:rsidRPr="00E87A76">
        <w:rPr>
          <w:rFonts w:ascii="Calibri" w:hAnsi="Calibri"/>
          <w:noProof/>
          <w:sz w:val="22"/>
          <w:szCs w:val="24"/>
        </w:rPr>
        <w:t>, 1350060.</w:t>
      </w:r>
    </w:p>
    <w:p w14:paraId="7E936CEE"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27</w:t>
      </w:r>
      <w:r w:rsidRPr="00E87A76">
        <w:rPr>
          <w:rFonts w:ascii="Calibri" w:hAnsi="Calibri"/>
          <w:noProof/>
          <w:sz w:val="22"/>
          <w:szCs w:val="24"/>
        </w:rPr>
        <w:tab/>
        <w:t xml:space="preserve">K. A. Esmonde-White, M. Cuellar, C. Uerpmann, B. Lenain and I. R. Lewis, </w:t>
      </w:r>
      <w:r w:rsidRPr="00E87A76">
        <w:rPr>
          <w:rFonts w:ascii="Calibri" w:hAnsi="Calibri"/>
          <w:i/>
          <w:iCs/>
          <w:noProof/>
          <w:sz w:val="22"/>
          <w:szCs w:val="24"/>
        </w:rPr>
        <w:t>Anal. Bioanal. Chem.</w:t>
      </w:r>
      <w:r w:rsidRPr="00E87A76">
        <w:rPr>
          <w:rFonts w:ascii="Calibri" w:hAnsi="Calibri"/>
          <w:noProof/>
          <w:sz w:val="22"/>
          <w:szCs w:val="24"/>
        </w:rPr>
        <w:t xml:space="preserve">, 2017, </w:t>
      </w:r>
      <w:r w:rsidRPr="00E87A76">
        <w:rPr>
          <w:rFonts w:ascii="Calibri" w:hAnsi="Calibri"/>
          <w:b/>
          <w:bCs/>
          <w:noProof/>
          <w:sz w:val="22"/>
          <w:szCs w:val="24"/>
        </w:rPr>
        <w:t>409</w:t>
      </w:r>
      <w:r w:rsidRPr="00E87A76">
        <w:rPr>
          <w:rFonts w:ascii="Calibri" w:hAnsi="Calibri"/>
          <w:noProof/>
          <w:sz w:val="22"/>
          <w:szCs w:val="24"/>
        </w:rPr>
        <w:t>, 637–649.</w:t>
      </w:r>
    </w:p>
    <w:p w14:paraId="78C6EF6D"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28</w:t>
      </w:r>
      <w:r w:rsidRPr="00E87A76">
        <w:rPr>
          <w:rFonts w:ascii="Calibri" w:hAnsi="Calibri"/>
          <w:noProof/>
          <w:sz w:val="22"/>
          <w:szCs w:val="24"/>
        </w:rPr>
        <w:tab/>
        <w:t xml:space="preserve">T. De Beer, A. Burggraeve, M. Fonteyne, L. Saerens, J. P. Remon and C. Vervaet, </w:t>
      </w:r>
      <w:r w:rsidRPr="00E87A76">
        <w:rPr>
          <w:rFonts w:ascii="Calibri" w:hAnsi="Calibri"/>
          <w:i/>
          <w:iCs/>
          <w:noProof/>
          <w:sz w:val="22"/>
          <w:szCs w:val="24"/>
        </w:rPr>
        <w:t>Int. J. Pharm.</w:t>
      </w:r>
      <w:r w:rsidRPr="00E87A76">
        <w:rPr>
          <w:rFonts w:ascii="Calibri" w:hAnsi="Calibri"/>
          <w:noProof/>
          <w:sz w:val="22"/>
          <w:szCs w:val="24"/>
        </w:rPr>
        <w:t xml:space="preserve">, 2011, </w:t>
      </w:r>
      <w:r w:rsidRPr="00E87A76">
        <w:rPr>
          <w:rFonts w:ascii="Calibri" w:hAnsi="Calibri"/>
          <w:b/>
          <w:bCs/>
          <w:noProof/>
          <w:sz w:val="22"/>
          <w:szCs w:val="24"/>
        </w:rPr>
        <w:t>417</w:t>
      </w:r>
      <w:r w:rsidRPr="00E87A76">
        <w:rPr>
          <w:rFonts w:ascii="Calibri" w:hAnsi="Calibri"/>
          <w:noProof/>
          <w:sz w:val="22"/>
          <w:szCs w:val="24"/>
        </w:rPr>
        <w:t>, 32–47.</w:t>
      </w:r>
    </w:p>
    <w:p w14:paraId="02DC2A4D"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29</w:t>
      </w:r>
      <w:r w:rsidRPr="00E87A76">
        <w:rPr>
          <w:rFonts w:ascii="Calibri" w:hAnsi="Calibri"/>
          <w:noProof/>
          <w:sz w:val="22"/>
          <w:szCs w:val="24"/>
        </w:rPr>
        <w:tab/>
        <w:t xml:space="preserve">J. Müller, K. Knop, M. Wirges and P. Kleinebudde, </w:t>
      </w:r>
      <w:r w:rsidRPr="00E87A76">
        <w:rPr>
          <w:rFonts w:ascii="Calibri" w:hAnsi="Calibri"/>
          <w:i/>
          <w:iCs/>
          <w:noProof/>
          <w:sz w:val="22"/>
          <w:szCs w:val="24"/>
        </w:rPr>
        <w:t>J. Pharm. Biomed. Anal.</w:t>
      </w:r>
      <w:r w:rsidRPr="00E87A76">
        <w:rPr>
          <w:rFonts w:ascii="Calibri" w:hAnsi="Calibri"/>
          <w:noProof/>
          <w:sz w:val="22"/>
          <w:szCs w:val="24"/>
        </w:rPr>
        <w:t xml:space="preserve">, 2010, </w:t>
      </w:r>
      <w:r w:rsidRPr="00E87A76">
        <w:rPr>
          <w:rFonts w:ascii="Calibri" w:hAnsi="Calibri"/>
          <w:b/>
          <w:bCs/>
          <w:noProof/>
          <w:sz w:val="22"/>
          <w:szCs w:val="24"/>
        </w:rPr>
        <w:t>53</w:t>
      </w:r>
      <w:r w:rsidRPr="00E87A76">
        <w:rPr>
          <w:rFonts w:ascii="Calibri" w:hAnsi="Calibri"/>
          <w:noProof/>
          <w:sz w:val="22"/>
          <w:szCs w:val="24"/>
        </w:rPr>
        <w:t>, 884–894.</w:t>
      </w:r>
    </w:p>
    <w:p w14:paraId="534F8FA2"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30</w:t>
      </w:r>
      <w:r w:rsidRPr="00E87A76">
        <w:rPr>
          <w:rFonts w:ascii="Calibri" w:hAnsi="Calibri"/>
          <w:noProof/>
          <w:sz w:val="22"/>
          <w:szCs w:val="24"/>
        </w:rPr>
        <w:tab/>
        <w:t xml:space="preserve">H. F. Bunn, R. Shapiro, M. Mcmanus, L. Garrick, M. J. Mcdonald, P. M. Gallop, K. H. Gabbay@, P. Bent and B. Hospital, </w:t>
      </w:r>
      <w:r w:rsidRPr="00E87A76">
        <w:rPr>
          <w:rFonts w:ascii="Calibri" w:hAnsi="Calibri"/>
          <w:i/>
          <w:iCs/>
          <w:noProof/>
          <w:sz w:val="22"/>
          <w:szCs w:val="24"/>
        </w:rPr>
        <w:t>J. Biol. Chem.</w:t>
      </w:r>
      <w:r w:rsidRPr="00E87A76">
        <w:rPr>
          <w:rFonts w:ascii="Calibri" w:hAnsi="Calibri"/>
          <w:noProof/>
          <w:sz w:val="22"/>
          <w:szCs w:val="24"/>
        </w:rPr>
        <w:t xml:space="preserve">, 1979, </w:t>
      </w:r>
      <w:r w:rsidRPr="00E87A76">
        <w:rPr>
          <w:rFonts w:ascii="Calibri" w:hAnsi="Calibri"/>
          <w:b/>
          <w:bCs/>
          <w:noProof/>
          <w:sz w:val="22"/>
          <w:szCs w:val="24"/>
        </w:rPr>
        <w:t>254</w:t>
      </w:r>
      <w:r w:rsidRPr="00E87A76">
        <w:rPr>
          <w:rFonts w:ascii="Calibri" w:hAnsi="Calibri"/>
          <w:noProof/>
          <w:sz w:val="22"/>
          <w:szCs w:val="24"/>
        </w:rPr>
        <w:t>, 3892–3898.</w:t>
      </w:r>
    </w:p>
    <w:p w14:paraId="2E461485"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31</w:t>
      </w:r>
      <w:r w:rsidRPr="00E87A76">
        <w:rPr>
          <w:rFonts w:ascii="Calibri" w:hAnsi="Calibri"/>
          <w:noProof/>
          <w:sz w:val="22"/>
          <w:szCs w:val="24"/>
        </w:rPr>
        <w:tab/>
        <w:t xml:space="preserve">B. H. Shilton, R. L. Campbell and D. J. Walton, </w:t>
      </w:r>
      <w:r w:rsidRPr="00E87A76">
        <w:rPr>
          <w:rFonts w:ascii="Calibri" w:hAnsi="Calibri"/>
          <w:i/>
          <w:iCs/>
          <w:noProof/>
          <w:sz w:val="22"/>
          <w:szCs w:val="24"/>
        </w:rPr>
        <w:t>Eur. J. Biochem.</w:t>
      </w:r>
      <w:r w:rsidRPr="00E87A76">
        <w:rPr>
          <w:rFonts w:ascii="Calibri" w:hAnsi="Calibri"/>
          <w:noProof/>
          <w:sz w:val="22"/>
          <w:szCs w:val="24"/>
        </w:rPr>
        <w:t xml:space="preserve">, 1993, </w:t>
      </w:r>
      <w:r w:rsidRPr="00E87A76">
        <w:rPr>
          <w:rFonts w:ascii="Calibri" w:hAnsi="Calibri"/>
          <w:b/>
          <w:bCs/>
          <w:noProof/>
          <w:sz w:val="22"/>
          <w:szCs w:val="24"/>
        </w:rPr>
        <w:t>215</w:t>
      </w:r>
      <w:r w:rsidRPr="00E87A76">
        <w:rPr>
          <w:rFonts w:ascii="Calibri" w:hAnsi="Calibri"/>
          <w:noProof/>
          <w:sz w:val="22"/>
          <w:szCs w:val="24"/>
        </w:rPr>
        <w:t>, 567–572.</w:t>
      </w:r>
    </w:p>
    <w:p w14:paraId="518DF48D"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32</w:t>
      </w:r>
      <w:r w:rsidRPr="00E87A76">
        <w:rPr>
          <w:rFonts w:ascii="Calibri" w:hAnsi="Calibri"/>
          <w:noProof/>
          <w:sz w:val="22"/>
          <w:szCs w:val="24"/>
        </w:rPr>
        <w:tab/>
        <w:t xml:space="preserve">O. Anjos, M. G. Campos, P. C. Ruiz and P. Antunes, </w:t>
      </w:r>
      <w:r w:rsidRPr="00E87A76">
        <w:rPr>
          <w:rFonts w:ascii="Calibri" w:hAnsi="Calibri"/>
          <w:i/>
          <w:iCs/>
          <w:noProof/>
          <w:sz w:val="22"/>
          <w:szCs w:val="24"/>
        </w:rPr>
        <w:t>Food Chem.</w:t>
      </w:r>
      <w:r w:rsidRPr="00E87A76">
        <w:rPr>
          <w:rFonts w:ascii="Calibri" w:hAnsi="Calibri"/>
          <w:noProof/>
          <w:sz w:val="22"/>
          <w:szCs w:val="24"/>
        </w:rPr>
        <w:t xml:space="preserve">, 2015, </w:t>
      </w:r>
      <w:r w:rsidRPr="00E87A76">
        <w:rPr>
          <w:rFonts w:ascii="Calibri" w:hAnsi="Calibri"/>
          <w:b/>
          <w:bCs/>
          <w:noProof/>
          <w:sz w:val="22"/>
          <w:szCs w:val="24"/>
        </w:rPr>
        <w:t>169</w:t>
      </w:r>
      <w:r w:rsidRPr="00E87A76">
        <w:rPr>
          <w:rFonts w:ascii="Calibri" w:hAnsi="Calibri"/>
          <w:noProof/>
          <w:sz w:val="22"/>
          <w:szCs w:val="24"/>
        </w:rPr>
        <w:t>, 218–223.</w:t>
      </w:r>
    </w:p>
    <w:p w14:paraId="4DEBB4F1"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33</w:t>
      </w:r>
      <w:r w:rsidRPr="00E87A76">
        <w:rPr>
          <w:rFonts w:ascii="Calibri" w:hAnsi="Calibri"/>
          <w:noProof/>
          <w:sz w:val="22"/>
          <w:szCs w:val="24"/>
        </w:rPr>
        <w:tab/>
        <w:t xml:space="preserve">K. J. Welsh, M. S. Kirkman and D. B. Sacks, </w:t>
      </w:r>
      <w:r w:rsidRPr="00E87A76">
        <w:rPr>
          <w:rFonts w:ascii="Calibri" w:hAnsi="Calibri"/>
          <w:i/>
          <w:iCs/>
          <w:noProof/>
          <w:sz w:val="22"/>
          <w:szCs w:val="24"/>
        </w:rPr>
        <w:t>Diabetes Care</w:t>
      </w:r>
      <w:r w:rsidRPr="00E87A76">
        <w:rPr>
          <w:rFonts w:ascii="Calibri" w:hAnsi="Calibri"/>
          <w:noProof/>
          <w:sz w:val="22"/>
          <w:szCs w:val="24"/>
        </w:rPr>
        <w:t xml:space="preserve">, 2016, </w:t>
      </w:r>
      <w:r w:rsidRPr="00E87A76">
        <w:rPr>
          <w:rFonts w:ascii="Calibri" w:hAnsi="Calibri"/>
          <w:b/>
          <w:bCs/>
          <w:noProof/>
          <w:sz w:val="22"/>
          <w:szCs w:val="24"/>
        </w:rPr>
        <w:t>39</w:t>
      </w:r>
      <w:r w:rsidRPr="00E87A76">
        <w:rPr>
          <w:rFonts w:ascii="Calibri" w:hAnsi="Calibri"/>
          <w:noProof/>
          <w:sz w:val="22"/>
          <w:szCs w:val="24"/>
        </w:rPr>
        <w:t>, 1299–1306.</w:t>
      </w:r>
    </w:p>
    <w:p w14:paraId="668954B8"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34</w:t>
      </w:r>
      <w:r w:rsidRPr="00E87A76">
        <w:rPr>
          <w:rFonts w:ascii="Calibri" w:hAnsi="Calibri"/>
          <w:noProof/>
          <w:sz w:val="22"/>
          <w:szCs w:val="24"/>
        </w:rPr>
        <w:tab/>
        <w:t xml:space="preserve">N. A. Ansari, Moinuddin and R. Ali, </w:t>
      </w:r>
      <w:r w:rsidRPr="00E87A76">
        <w:rPr>
          <w:rFonts w:ascii="Calibri" w:hAnsi="Calibri"/>
          <w:i/>
          <w:iCs/>
          <w:noProof/>
          <w:sz w:val="22"/>
          <w:szCs w:val="24"/>
        </w:rPr>
        <w:t>Dis. Markers</w:t>
      </w:r>
      <w:r w:rsidRPr="00E87A76">
        <w:rPr>
          <w:rFonts w:ascii="Calibri" w:hAnsi="Calibri"/>
          <w:noProof/>
          <w:sz w:val="22"/>
          <w:szCs w:val="24"/>
        </w:rPr>
        <w:t xml:space="preserve">, 2011, </w:t>
      </w:r>
      <w:r w:rsidRPr="00E87A76">
        <w:rPr>
          <w:rFonts w:ascii="Calibri" w:hAnsi="Calibri"/>
          <w:b/>
          <w:bCs/>
          <w:noProof/>
          <w:sz w:val="22"/>
          <w:szCs w:val="24"/>
        </w:rPr>
        <w:t>30</w:t>
      </w:r>
      <w:r w:rsidRPr="00E87A76">
        <w:rPr>
          <w:rFonts w:ascii="Calibri" w:hAnsi="Calibri"/>
          <w:noProof/>
          <w:sz w:val="22"/>
          <w:szCs w:val="24"/>
        </w:rPr>
        <w:t>, 317–24.</w:t>
      </w:r>
    </w:p>
    <w:p w14:paraId="3D840883"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35</w:t>
      </w:r>
      <w:r w:rsidRPr="00E87A76">
        <w:rPr>
          <w:rFonts w:ascii="Calibri" w:hAnsi="Calibri"/>
          <w:noProof/>
          <w:sz w:val="22"/>
          <w:szCs w:val="24"/>
        </w:rPr>
        <w:tab/>
        <w:t xml:space="preserve">M. E. Rubio-Ruiz, E. Diaz-Diaz, M. Cardenas-Leon, R. Arguelles-Medina, P. Sanchez-Canales, F. Larrea-Gallo, E. Soria-Castro and V. Guarner-Lans, </w:t>
      </w:r>
      <w:r w:rsidRPr="00E87A76">
        <w:rPr>
          <w:rFonts w:ascii="Calibri" w:hAnsi="Calibri"/>
          <w:i/>
          <w:iCs/>
          <w:noProof/>
          <w:sz w:val="22"/>
          <w:szCs w:val="24"/>
        </w:rPr>
        <w:t>Glycobiology</w:t>
      </w:r>
      <w:r w:rsidRPr="00E87A76">
        <w:rPr>
          <w:rFonts w:ascii="Calibri" w:hAnsi="Calibri"/>
          <w:noProof/>
          <w:sz w:val="22"/>
          <w:szCs w:val="24"/>
        </w:rPr>
        <w:t xml:space="preserve">, 2008, </w:t>
      </w:r>
      <w:r w:rsidRPr="00E87A76">
        <w:rPr>
          <w:rFonts w:ascii="Calibri" w:hAnsi="Calibri"/>
          <w:b/>
          <w:bCs/>
          <w:noProof/>
          <w:sz w:val="22"/>
          <w:szCs w:val="24"/>
        </w:rPr>
        <w:t>18</w:t>
      </w:r>
      <w:r w:rsidRPr="00E87A76">
        <w:rPr>
          <w:rFonts w:ascii="Calibri" w:hAnsi="Calibri"/>
          <w:noProof/>
          <w:sz w:val="22"/>
          <w:szCs w:val="24"/>
        </w:rPr>
        <w:t>, 517–525.</w:t>
      </w:r>
    </w:p>
    <w:p w14:paraId="0D475220"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36</w:t>
      </w:r>
      <w:r w:rsidRPr="00E87A76">
        <w:rPr>
          <w:rFonts w:ascii="Calibri" w:hAnsi="Calibri"/>
          <w:noProof/>
          <w:sz w:val="22"/>
          <w:szCs w:val="24"/>
        </w:rPr>
        <w:tab/>
        <w:t xml:space="preserve">B.-S. Lee, S. Krishnanchettiar, S. S. Lateef and S. Gupta, </w:t>
      </w:r>
      <w:r w:rsidRPr="00E87A76">
        <w:rPr>
          <w:rFonts w:ascii="Calibri" w:hAnsi="Calibri"/>
          <w:i/>
          <w:iCs/>
          <w:noProof/>
          <w:sz w:val="22"/>
          <w:szCs w:val="24"/>
        </w:rPr>
        <w:t>Int. J. Mass Spectrom.</w:t>
      </w:r>
      <w:r w:rsidRPr="00E87A76">
        <w:rPr>
          <w:rFonts w:ascii="Calibri" w:hAnsi="Calibri"/>
          <w:noProof/>
          <w:sz w:val="22"/>
          <w:szCs w:val="24"/>
        </w:rPr>
        <w:t xml:space="preserve">, 2007, </w:t>
      </w:r>
      <w:r w:rsidRPr="00E87A76">
        <w:rPr>
          <w:rFonts w:ascii="Calibri" w:hAnsi="Calibri"/>
          <w:b/>
          <w:bCs/>
          <w:noProof/>
          <w:sz w:val="22"/>
          <w:szCs w:val="24"/>
        </w:rPr>
        <w:t>260</w:t>
      </w:r>
      <w:r w:rsidRPr="00E87A76">
        <w:rPr>
          <w:rFonts w:ascii="Calibri" w:hAnsi="Calibri"/>
          <w:noProof/>
          <w:sz w:val="22"/>
          <w:szCs w:val="24"/>
        </w:rPr>
        <w:t>, 67–74.</w:t>
      </w:r>
    </w:p>
    <w:p w14:paraId="04264283"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37</w:t>
      </w:r>
      <w:r w:rsidRPr="00E87A76">
        <w:rPr>
          <w:rFonts w:ascii="Calibri" w:hAnsi="Calibri"/>
          <w:noProof/>
          <w:sz w:val="22"/>
          <w:szCs w:val="24"/>
        </w:rPr>
        <w:tab/>
        <w:t xml:space="preserve">A. Frolov and R. Hoffmann, </w:t>
      </w:r>
      <w:r w:rsidRPr="00E87A76">
        <w:rPr>
          <w:rFonts w:ascii="Calibri" w:hAnsi="Calibri"/>
          <w:i/>
          <w:iCs/>
          <w:noProof/>
          <w:sz w:val="22"/>
          <w:szCs w:val="24"/>
        </w:rPr>
        <w:t>Anal. Bioanal. Chem.</w:t>
      </w:r>
      <w:r w:rsidRPr="00E87A76">
        <w:rPr>
          <w:rFonts w:ascii="Calibri" w:hAnsi="Calibri"/>
          <w:noProof/>
          <w:sz w:val="22"/>
          <w:szCs w:val="24"/>
        </w:rPr>
        <w:t xml:space="preserve">, 2010, </w:t>
      </w:r>
      <w:r w:rsidRPr="00E87A76">
        <w:rPr>
          <w:rFonts w:ascii="Calibri" w:hAnsi="Calibri"/>
          <w:b/>
          <w:bCs/>
          <w:noProof/>
          <w:sz w:val="22"/>
          <w:szCs w:val="24"/>
        </w:rPr>
        <w:t>397</w:t>
      </w:r>
      <w:r w:rsidRPr="00E87A76">
        <w:rPr>
          <w:rFonts w:ascii="Calibri" w:hAnsi="Calibri"/>
          <w:noProof/>
          <w:sz w:val="22"/>
          <w:szCs w:val="24"/>
        </w:rPr>
        <w:t>, 2349–2356.</w:t>
      </w:r>
    </w:p>
    <w:p w14:paraId="4AD2477F"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38</w:t>
      </w:r>
      <w:r w:rsidRPr="00E87A76">
        <w:rPr>
          <w:rFonts w:ascii="Calibri" w:hAnsi="Calibri"/>
          <w:noProof/>
          <w:sz w:val="22"/>
          <w:szCs w:val="24"/>
        </w:rPr>
        <w:tab/>
        <w:t xml:space="preserve">J. Juárez, P. Taboada and V. Mosquera, </w:t>
      </w:r>
      <w:r w:rsidRPr="00E87A76">
        <w:rPr>
          <w:rFonts w:ascii="Calibri" w:hAnsi="Calibri"/>
          <w:i/>
          <w:iCs/>
          <w:noProof/>
          <w:sz w:val="22"/>
          <w:szCs w:val="24"/>
        </w:rPr>
        <w:t>Biophys. J.</w:t>
      </w:r>
      <w:r w:rsidRPr="00E87A76">
        <w:rPr>
          <w:rFonts w:ascii="Calibri" w:hAnsi="Calibri"/>
          <w:noProof/>
          <w:sz w:val="22"/>
          <w:szCs w:val="24"/>
        </w:rPr>
        <w:t xml:space="preserve">, 2009, </w:t>
      </w:r>
      <w:r w:rsidRPr="00E87A76">
        <w:rPr>
          <w:rFonts w:ascii="Calibri" w:hAnsi="Calibri"/>
          <w:b/>
          <w:bCs/>
          <w:noProof/>
          <w:sz w:val="22"/>
          <w:szCs w:val="24"/>
        </w:rPr>
        <w:t>96</w:t>
      </w:r>
      <w:r w:rsidRPr="00E87A76">
        <w:rPr>
          <w:rFonts w:ascii="Calibri" w:hAnsi="Calibri"/>
          <w:noProof/>
          <w:sz w:val="22"/>
          <w:szCs w:val="24"/>
        </w:rPr>
        <w:t>, 2353–70.</w:t>
      </w:r>
    </w:p>
    <w:p w14:paraId="000DBDEA"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39</w:t>
      </w:r>
      <w:r w:rsidRPr="00E87A76">
        <w:rPr>
          <w:rFonts w:ascii="Calibri" w:hAnsi="Calibri"/>
          <w:noProof/>
          <w:sz w:val="22"/>
          <w:szCs w:val="24"/>
        </w:rPr>
        <w:tab/>
        <w:t xml:space="preserve">K. Zheng, C. Bantog and R. Bayer, </w:t>
      </w:r>
      <w:r w:rsidRPr="00E87A76">
        <w:rPr>
          <w:rFonts w:ascii="Calibri" w:hAnsi="Calibri"/>
          <w:i/>
          <w:iCs/>
          <w:noProof/>
          <w:sz w:val="22"/>
          <w:szCs w:val="24"/>
        </w:rPr>
        <w:t>MAbs</w:t>
      </w:r>
      <w:r w:rsidRPr="00E87A76">
        <w:rPr>
          <w:rFonts w:ascii="Calibri" w:hAnsi="Calibri"/>
          <w:noProof/>
          <w:sz w:val="22"/>
          <w:szCs w:val="24"/>
        </w:rPr>
        <w:t xml:space="preserve">, 2011, </w:t>
      </w:r>
      <w:r w:rsidRPr="00E87A76">
        <w:rPr>
          <w:rFonts w:ascii="Calibri" w:hAnsi="Calibri"/>
          <w:b/>
          <w:bCs/>
          <w:noProof/>
          <w:sz w:val="22"/>
          <w:szCs w:val="24"/>
        </w:rPr>
        <w:t>3</w:t>
      </w:r>
      <w:r w:rsidRPr="00E87A76">
        <w:rPr>
          <w:rFonts w:ascii="Calibri" w:hAnsi="Calibri"/>
          <w:noProof/>
          <w:sz w:val="22"/>
          <w:szCs w:val="24"/>
        </w:rPr>
        <w:t>, 568–76.</w:t>
      </w:r>
    </w:p>
    <w:p w14:paraId="2A3B6744" w14:textId="77777777" w:rsidR="00E87A76" w:rsidRPr="00E87A76" w:rsidRDefault="00E87A76" w:rsidP="00E87A76">
      <w:pPr>
        <w:widowControl w:val="0"/>
        <w:autoSpaceDE w:val="0"/>
        <w:adjustRightInd w:val="0"/>
        <w:spacing w:after="160"/>
        <w:ind w:left="640" w:hanging="640"/>
        <w:rPr>
          <w:rFonts w:ascii="Calibri" w:hAnsi="Calibri"/>
          <w:noProof/>
          <w:sz w:val="22"/>
          <w:szCs w:val="24"/>
        </w:rPr>
      </w:pPr>
      <w:r w:rsidRPr="00E87A76">
        <w:rPr>
          <w:rFonts w:ascii="Calibri" w:hAnsi="Calibri"/>
          <w:noProof/>
          <w:sz w:val="22"/>
          <w:szCs w:val="24"/>
        </w:rPr>
        <w:t>40</w:t>
      </w:r>
      <w:r w:rsidRPr="00E87A76">
        <w:rPr>
          <w:rFonts w:ascii="Calibri" w:hAnsi="Calibri"/>
          <w:noProof/>
          <w:sz w:val="22"/>
          <w:szCs w:val="24"/>
        </w:rPr>
        <w:tab/>
        <w:t xml:space="preserve">M.-Y. Li, B. Ebel, C. Paris, F. Chauchard, E. Guedon and A. Marc, </w:t>
      </w:r>
      <w:r w:rsidRPr="00E87A76">
        <w:rPr>
          <w:rFonts w:ascii="Calibri" w:hAnsi="Calibri"/>
          <w:i/>
          <w:iCs/>
          <w:noProof/>
          <w:sz w:val="22"/>
          <w:szCs w:val="24"/>
        </w:rPr>
        <w:t>Biotechnol. Prog.</w:t>
      </w:r>
      <w:r w:rsidRPr="00E87A76">
        <w:rPr>
          <w:rFonts w:ascii="Calibri" w:hAnsi="Calibri"/>
          <w:noProof/>
          <w:sz w:val="22"/>
          <w:szCs w:val="24"/>
        </w:rPr>
        <w:t xml:space="preserve">, 2018, </w:t>
      </w:r>
      <w:r w:rsidRPr="00E87A76">
        <w:rPr>
          <w:rFonts w:ascii="Calibri" w:hAnsi="Calibri"/>
          <w:b/>
          <w:bCs/>
          <w:noProof/>
          <w:sz w:val="22"/>
          <w:szCs w:val="24"/>
        </w:rPr>
        <w:t>34</w:t>
      </w:r>
      <w:r w:rsidRPr="00E87A76">
        <w:rPr>
          <w:rFonts w:ascii="Calibri" w:hAnsi="Calibri"/>
          <w:noProof/>
          <w:sz w:val="22"/>
          <w:szCs w:val="24"/>
        </w:rPr>
        <w:t>, 486–493.</w:t>
      </w:r>
    </w:p>
    <w:p w14:paraId="43F56A74" w14:textId="77777777" w:rsidR="00E87A76" w:rsidRPr="00E87A76" w:rsidRDefault="00E87A76" w:rsidP="00E87A76">
      <w:pPr>
        <w:widowControl w:val="0"/>
        <w:autoSpaceDE w:val="0"/>
        <w:adjustRightInd w:val="0"/>
        <w:spacing w:after="160"/>
        <w:ind w:left="640" w:hanging="640"/>
        <w:rPr>
          <w:rFonts w:ascii="Calibri" w:hAnsi="Calibri"/>
          <w:noProof/>
          <w:sz w:val="22"/>
        </w:rPr>
      </w:pPr>
      <w:r w:rsidRPr="00E87A76">
        <w:rPr>
          <w:rFonts w:ascii="Calibri" w:hAnsi="Calibri"/>
          <w:noProof/>
          <w:sz w:val="22"/>
          <w:szCs w:val="24"/>
        </w:rPr>
        <w:lastRenderedPageBreak/>
        <w:t>41</w:t>
      </w:r>
      <w:r w:rsidRPr="00E87A76">
        <w:rPr>
          <w:rFonts w:ascii="Calibri" w:hAnsi="Calibri"/>
          <w:noProof/>
          <w:sz w:val="22"/>
          <w:szCs w:val="24"/>
        </w:rPr>
        <w:tab/>
        <w:t xml:space="preserve">P. Zhang, S. Woen, T. Wang, B. Liau, S. Zhao, C. Chen, Y. Yang, Z. Song, M. R. Wormald, C. Yu and P. M. Rudd, </w:t>
      </w:r>
      <w:r w:rsidRPr="00E87A76">
        <w:rPr>
          <w:rFonts w:ascii="Calibri" w:hAnsi="Calibri"/>
          <w:i/>
          <w:iCs/>
          <w:noProof/>
          <w:sz w:val="22"/>
          <w:szCs w:val="24"/>
        </w:rPr>
        <w:t>Drug Discov. Today</w:t>
      </w:r>
      <w:r w:rsidRPr="00E87A76">
        <w:rPr>
          <w:rFonts w:ascii="Calibri" w:hAnsi="Calibri"/>
          <w:noProof/>
          <w:sz w:val="22"/>
          <w:szCs w:val="24"/>
        </w:rPr>
        <w:t xml:space="preserve">, 2016, </w:t>
      </w:r>
      <w:r w:rsidRPr="00E87A76">
        <w:rPr>
          <w:rFonts w:ascii="Calibri" w:hAnsi="Calibri"/>
          <w:b/>
          <w:bCs/>
          <w:noProof/>
          <w:sz w:val="22"/>
          <w:szCs w:val="24"/>
        </w:rPr>
        <w:t>21</w:t>
      </w:r>
      <w:r w:rsidRPr="00E87A76">
        <w:rPr>
          <w:rFonts w:ascii="Calibri" w:hAnsi="Calibri"/>
          <w:noProof/>
          <w:sz w:val="22"/>
          <w:szCs w:val="24"/>
        </w:rPr>
        <w:t>, 740–765.</w:t>
      </w:r>
    </w:p>
    <w:p w14:paraId="52BDF235" w14:textId="015CD9A6" w:rsidR="007F6BE8" w:rsidRPr="007F6BE8" w:rsidRDefault="00DF773C" w:rsidP="00E87A76">
      <w:pPr>
        <w:widowControl w:val="0"/>
        <w:autoSpaceDE w:val="0"/>
        <w:adjustRightInd w:val="0"/>
        <w:spacing w:after="160"/>
        <w:ind w:left="640" w:hanging="640"/>
        <w:rPr>
          <w:rFonts w:ascii="Calibri" w:eastAsia="Calibri" w:hAnsi="Calibri"/>
          <w:sz w:val="22"/>
          <w:szCs w:val="22"/>
          <w:lang w:val="en-GB"/>
        </w:rPr>
      </w:pPr>
      <w:r>
        <w:rPr>
          <w:rFonts w:ascii="Calibri" w:eastAsia="Calibri" w:hAnsi="Calibri"/>
          <w:sz w:val="22"/>
          <w:szCs w:val="22"/>
          <w:lang w:val="en-GB"/>
        </w:rPr>
        <w:fldChar w:fldCharType="end"/>
      </w:r>
    </w:p>
    <w:p w14:paraId="35D18CC6" w14:textId="3FB60716" w:rsidR="007F6BE8" w:rsidRPr="007F6BE8" w:rsidRDefault="007F6BE8" w:rsidP="007F6BE8">
      <w:pPr>
        <w:keepNext/>
        <w:suppressAutoHyphens/>
        <w:spacing w:after="160" w:line="251" w:lineRule="auto"/>
        <w:jc w:val="center"/>
        <w:rPr>
          <w:rFonts w:ascii="Calibri" w:eastAsia="Calibri" w:hAnsi="Calibri"/>
          <w:sz w:val="22"/>
          <w:szCs w:val="22"/>
          <w:lang w:val="en-GB"/>
        </w:rPr>
      </w:pPr>
    </w:p>
    <w:sectPr w:rsidR="007F6BE8" w:rsidRPr="007F6BE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oodacre, Roy" w:date="2019-10-22T22:34:00Z" w:initials="GR">
    <w:p w14:paraId="60D52FBB" w14:textId="77777777" w:rsidR="00FD687B" w:rsidRDefault="00FD687B">
      <w:pPr>
        <w:pStyle w:val="CommentText"/>
      </w:pPr>
      <w:r>
        <w:t>Add in:</w:t>
      </w:r>
    </w:p>
    <w:p w14:paraId="3FC07E8A" w14:textId="46A4537B" w:rsidR="00FD687B" w:rsidRDefault="00FD687B">
      <w:pPr>
        <w:pStyle w:val="CommentText"/>
      </w:pPr>
      <w:r>
        <w:rPr>
          <w:rStyle w:val="CommentReference"/>
        </w:rPr>
        <w:annotationRef/>
      </w:r>
      <w:r>
        <w:rPr>
          <w:rStyle w:val="CommentReference"/>
        </w:rPr>
        <w:t>, w</w:t>
      </w:r>
      <w:r>
        <w:t xml:space="preserve">ith statistical validation, </w:t>
      </w:r>
    </w:p>
  </w:comment>
  <w:comment w:id="1" w:author="Goodacre, Roy" w:date="2019-10-22T22:36:00Z" w:initials="GR">
    <w:p w14:paraId="29236688" w14:textId="72BC2B17" w:rsidR="00FD687B" w:rsidRDefault="00FD687B">
      <w:pPr>
        <w:pStyle w:val="CommentText"/>
      </w:pPr>
      <w:r>
        <w:rPr>
          <w:rStyle w:val="CommentReference"/>
        </w:rPr>
        <w:annotationRef/>
      </w:r>
      <w:r>
        <w:t>Wonder whether the text in the figure is too small. Might be hard to see when published</w:t>
      </w:r>
    </w:p>
  </w:comment>
  <w:comment w:id="2" w:author="Goodacre, Roy" w:date="2019-10-22T22:38:00Z" w:initials="GR">
    <w:p w14:paraId="5C2206FF" w14:textId="37CC2C78" w:rsidR="0065566A" w:rsidRDefault="0065566A">
      <w:pPr>
        <w:pStyle w:val="CommentText"/>
      </w:pPr>
      <w:r>
        <w:rPr>
          <w:rStyle w:val="CommentReference"/>
        </w:rPr>
        <w:annotationRef/>
      </w:r>
      <w:r>
        <w:t>Targeted enzymatic digestion</w:t>
      </w:r>
    </w:p>
  </w:comment>
  <w:comment w:id="3" w:author="Goodacre, Roy" w:date="2019-10-22T22:42:00Z" w:initials="GR">
    <w:p w14:paraId="407C7A3E" w14:textId="36A55E3F" w:rsidR="00AE6F1B" w:rsidRDefault="00AE6F1B">
      <w:pPr>
        <w:pStyle w:val="CommentText"/>
      </w:pPr>
      <w:r>
        <w:rPr>
          <w:rStyle w:val="CommentReference"/>
        </w:rPr>
        <w:annotationRef/>
      </w:r>
      <w:r>
        <w:t>Think it’s Orbitrap</w:t>
      </w:r>
      <w:r w:rsidR="00C96762">
        <w:t xml:space="preserve"> (manufacturer’s name)</w:t>
      </w:r>
    </w:p>
  </w:comment>
  <w:comment w:id="4" w:author="Goodacre, Roy" w:date="2019-10-22T22:44:00Z" w:initials="GR">
    <w:p w14:paraId="011D706E" w14:textId="0F64DBE5" w:rsidR="00C96762" w:rsidRDefault="00C96762">
      <w:pPr>
        <w:pStyle w:val="CommentText"/>
      </w:pPr>
      <w:r>
        <w:rPr>
          <w:rStyle w:val="CommentReference"/>
        </w:rPr>
        <w:annotationRef/>
      </w:r>
      <w:r>
        <w:t>24 coadded scans</w:t>
      </w:r>
    </w:p>
  </w:comment>
  <w:comment w:id="5" w:author="Goodacre, Roy" w:date="2019-10-22T22:44:00Z" w:initials="GR">
    <w:p w14:paraId="2B549B29" w14:textId="7EAA110B" w:rsidR="00C96762" w:rsidRDefault="00C96762">
      <w:pPr>
        <w:pStyle w:val="CommentText"/>
      </w:pPr>
      <w:r>
        <w:rPr>
          <w:rStyle w:val="CommentReference"/>
        </w:rPr>
        <w:annotationRef/>
      </w:r>
      <w:r>
        <w:t xml:space="preserve">(these are available via </w:t>
      </w:r>
      <w:hyperlink r:id="rId1" w:history="1">
        <w:r w:rsidRPr="00C7343D">
          <w:rPr>
            <w:rStyle w:val="Hyperlink"/>
          </w:rPr>
          <w:t>https://github.com/Biospec/</w:t>
        </w:r>
      </w:hyperlink>
      <w:r>
        <w:t xml:space="preserve">) </w:t>
      </w:r>
    </w:p>
  </w:comment>
  <w:comment w:id="6" w:author="Goodacre, Roy" w:date="2019-10-22T22:48:00Z" w:initials="GR">
    <w:p w14:paraId="5D5CC64F" w14:textId="0931DD13" w:rsidR="00C96762" w:rsidRDefault="00C96762">
      <w:pPr>
        <w:pStyle w:val="CommentText"/>
      </w:pPr>
      <w:r>
        <w:rPr>
          <w:rStyle w:val="CommentReference"/>
        </w:rPr>
        <w:annotationRef/>
      </w:r>
      <w:r>
        <w:t>its</w:t>
      </w:r>
    </w:p>
  </w:comment>
  <w:comment w:id="7" w:author="Goodacre, Roy" w:date="2019-10-22T22:50:00Z" w:initials="GR">
    <w:p w14:paraId="58FAD2AE" w14:textId="669826B2" w:rsidR="00C96762" w:rsidRDefault="00C96762">
      <w:pPr>
        <w:pStyle w:val="CommentText"/>
      </w:pPr>
      <w:r>
        <w:rPr>
          <w:rStyle w:val="CommentReference"/>
        </w:rPr>
        <w:annotationRef/>
      </w:r>
      <w:r>
        <w:t>from how many repeats? And is SE appropriate compared to SD?</w:t>
      </w:r>
    </w:p>
  </w:comment>
  <w:comment w:id="8" w:author="Goodacre, Roy" w:date="2019-10-22T22:52:00Z" w:initials="GR">
    <w:p w14:paraId="641C7B25" w14:textId="33FD4E10" w:rsidR="00C40214" w:rsidRDefault="00C40214">
      <w:pPr>
        <w:pStyle w:val="CommentText"/>
      </w:pPr>
      <w:r>
        <w:rPr>
          <w:rStyle w:val="CommentReference"/>
        </w:rPr>
        <w:annotationRef/>
      </w:r>
      <w:r>
        <w:t>mL</w:t>
      </w:r>
    </w:p>
  </w:comment>
  <w:comment w:id="9" w:author="Goodacre, Roy" w:date="2019-10-22T22:55:00Z" w:initials="GR">
    <w:p w14:paraId="4395FD31" w14:textId="4B1B4063" w:rsidR="0015121E" w:rsidRDefault="0015121E">
      <w:pPr>
        <w:pStyle w:val="CommentText"/>
      </w:pPr>
      <w:r>
        <w:rPr>
          <w:rStyle w:val="CommentReference"/>
        </w:rPr>
        <w:annotationRef/>
      </w:r>
      <w:r>
        <w:t>stats are in T3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C07E8A" w15:done="0"/>
  <w15:commentEx w15:paraId="29236688" w15:done="0"/>
  <w15:commentEx w15:paraId="5C2206FF" w15:done="0"/>
  <w15:commentEx w15:paraId="407C7A3E" w15:done="0"/>
  <w15:commentEx w15:paraId="011D706E" w15:done="0"/>
  <w15:commentEx w15:paraId="2B549B29" w15:done="0"/>
  <w15:commentEx w15:paraId="5D5CC64F" w15:done="0"/>
  <w15:commentEx w15:paraId="58FAD2AE" w15:done="0"/>
  <w15:commentEx w15:paraId="641C7B25" w15:done="0"/>
  <w15:commentEx w15:paraId="4395FD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C07E8A" w16cid:durableId="215A0267"/>
  <w16cid:commentId w16cid:paraId="29236688" w16cid:durableId="215A02ED"/>
  <w16cid:commentId w16cid:paraId="5C2206FF" w16cid:durableId="215A0365"/>
  <w16cid:commentId w16cid:paraId="407C7A3E" w16cid:durableId="215A045E"/>
  <w16cid:commentId w16cid:paraId="011D706E" w16cid:durableId="215A04B9"/>
  <w16cid:commentId w16cid:paraId="2B549B29" w16cid:durableId="215A04E8"/>
  <w16cid:commentId w16cid:paraId="5D5CC64F" w16cid:durableId="215A05C3"/>
  <w16cid:commentId w16cid:paraId="58FAD2AE" w16cid:durableId="215A061B"/>
  <w16cid:commentId w16cid:paraId="641C7B25" w16cid:durableId="215A069B"/>
  <w16cid:commentId w16cid:paraId="4395FD31" w16cid:durableId="215A07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4A3A6" w14:textId="77777777" w:rsidR="00D433B7" w:rsidRDefault="00D433B7">
      <w:pPr>
        <w:spacing w:after="0"/>
      </w:pPr>
      <w:r>
        <w:separator/>
      </w:r>
    </w:p>
  </w:endnote>
  <w:endnote w:type="continuationSeparator" w:id="0">
    <w:p w14:paraId="69777814" w14:textId="77777777" w:rsidR="00D433B7" w:rsidRDefault="00D433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no Pro">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9540" w14:textId="77777777" w:rsidR="00B60DE3" w:rsidRDefault="00B60DE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12539" w14:textId="77777777" w:rsidR="00D433B7" w:rsidRDefault="00D433B7">
      <w:pPr>
        <w:spacing w:after="0"/>
      </w:pPr>
      <w:r>
        <w:separator/>
      </w:r>
    </w:p>
  </w:footnote>
  <w:footnote w:type="continuationSeparator" w:id="0">
    <w:p w14:paraId="656C444A" w14:textId="77777777" w:rsidR="00D433B7" w:rsidRDefault="00D433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7610"/>
    <w:multiLevelType w:val="hybridMultilevel"/>
    <w:tmpl w:val="761ECB9E"/>
    <w:lvl w:ilvl="0" w:tplc="3D0C4B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260F9"/>
    <w:multiLevelType w:val="hybridMultilevel"/>
    <w:tmpl w:val="19981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odacre, Roy">
    <w15:presenceInfo w15:providerId="AD" w15:userId="S::roygood@liverpool.ac.uk::83c88ef7-3eab-4c8d-9c4f-283239020f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efaultTableStyle w:val="LightList-Accent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MTI1tDSyMDIyNDZQ0lEKTi0uzszPAykwrAUA89+wmSwAAAA="/>
  </w:docVars>
  <w:rsids>
    <w:rsidRoot w:val="00F33CBF"/>
    <w:rsid w:val="000005C4"/>
    <w:rsid w:val="00000A5B"/>
    <w:rsid w:val="00000EB7"/>
    <w:rsid w:val="00001E3A"/>
    <w:rsid w:val="00002B84"/>
    <w:rsid w:val="00005877"/>
    <w:rsid w:val="00006DED"/>
    <w:rsid w:val="00007216"/>
    <w:rsid w:val="000119DE"/>
    <w:rsid w:val="00013FAB"/>
    <w:rsid w:val="00016477"/>
    <w:rsid w:val="000169C6"/>
    <w:rsid w:val="000203CF"/>
    <w:rsid w:val="00022474"/>
    <w:rsid w:val="00023731"/>
    <w:rsid w:val="00024DCB"/>
    <w:rsid w:val="0002536C"/>
    <w:rsid w:val="0002641F"/>
    <w:rsid w:val="00027C58"/>
    <w:rsid w:val="00030202"/>
    <w:rsid w:val="000323CB"/>
    <w:rsid w:val="000337B7"/>
    <w:rsid w:val="00033D49"/>
    <w:rsid w:val="00042593"/>
    <w:rsid w:val="00042DD3"/>
    <w:rsid w:val="0004305B"/>
    <w:rsid w:val="00043F5A"/>
    <w:rsid w:val="00044061"/>
    <w:rsid w:val="00044363"/>
    <w:rsid w:val="000443E4"/>
    <w:rsid w:val="000444A7"/>
    <w:rsid w:val="000460E5"/>
    <w:rsid w:val="00046CBA"/>
    <w:rsid w:val="00047D76"/>
    <w:rsid w:val="0005040A"/>
    <w:rsid w:val="00052741"/>
    <w:rsid w:val="000539B0"/>
    <w:rsid w:val="00055977"/>
    <w:rsid w:val="00055F7A"/>
    <w:rsid w:val="00056022"/>
    <w:rsid w:val="000564BA"/>
    <w:rsid w:val="00057B0B"/>
    <w:rsid w:val="00060DA9"/>
    <w:rsid w:val="000615AA"/>
    <w:rsid w:val="00061C2C"/>
    <w:rsid w:val="00061CAD"/>
    <w:rsid w:val="00063126"/>
    <w:rsid w:val="0006587D"/>
    <w:rsid w:val="00066CB7"/>
    <w:rsid w:val="000703CE"/>
    <w:rsid w:val="00074C03"/>
    <w:rsid w:val="00075EC3"/>
    <w:rsid w:val="000764E9"/>
    <w:rsid w:val="0007730C"/>
    <w:rsid w:val="00081E09"/>
    <w:rsid w:val="00084040"/>
    <w:rsid w:val="0008496E"/>
    <w:rsid w:val="00087CD2"/>
    <w:rsid w:val="00093A20"/>
    <w:rsid w:val="00096E82"/>
    <w:rsid w:val="000A0D50"/>
    <w:rsid w:val="000A0E1C"/>
    <w:rsid w:val="000A1C8D"/>
    <w:rsid w:val="000A1CAD"/>
    <w:rsid w:val="000A328C"/>
    <w:rsid w:val="000A39A9"/>
    <w:rsid w:val="000A408E"/>
    <w:rsid w:val="000A50DA"/>
    <w:rsid w:val="000A52B4"/>
    <w:rsid w:val="000A5477"/>
    <w:rsid w:val="000A7170"/>
    <w:rsid w:val="000B1218"/>
    <w:rsid w:val="000B311A"/>
    <w:rsid w:val="000B3247"/>
    <w:rsid w:val="000B5273"/>
    <w:rsid w:val="000C1DA0"/>
    <w:rsid w:val="000C22EF"/>
    <w:rsid w:val="000C3BBA"/>
    <w:rsid w:val="000C43CB"/>
    <w:rsid w:val="000C4712"/>
    <w:rsid w:val="000C519B"/>
    <w:rsid w:val="000C6435"/>
    <w:rsid w:val="000C6932"/>
    <w:rsid w:val="000C70A7"/>
    <w:rsid w:val="000C792F"/>
    <w:rsid w:val="000D1EAA"/>
    <w:rsid w:val="000D26EA"/>
    <w:rsid w:val="000D3947"/>
    <w:rsid w:val="000D6983"/>
    <w:rsid w:val="000D6DD9"/>
    <w:rsid w:val="000D770B"/>
    <w:rsid w:val="000E00DE"/>
    <w:rsid w:val="000E03C0"/>
    <w:rsid w:val="000E25F8"/>
    <w:rsid w:val="000E2D16"/>
    <w:rsid w:val="000E353C"/>
    <w:rsid w:val="000E6353"/>
    <w:rsid w:val="000E758A"/>
    <w:rsid w:val="000F3BA0"/>
    <w:rsid w:val="000F41E3"/>
    <w:rsid w:val="00100C5D"/>
    <w:rsid w:val="00101B14"/>
    <w:rsid w:val="001036BF"/>
    <w:rsid w:val="0010729D"/>
    <w:rsid w:val="00111BC2"/>
    <w:rsid w:val="00112C14"/>
    <w:rsid w:val="00112F98"/>
    <w:rsid w:val="0011639C"/>
    <w:rsid w:val="00116476"/>
    <w:rsid w:val="001216BD"/>
    <w:rsid w:val="00121FB0"/>
    <w:rsid w:val="00125C4A"/>
    <w:rsid w:val="00126E53"/>
    <w:rsid w:val="00130077"/>
    <w:rsid w:val="00131C63"/>
    <w:rsid w:val="00132629"/>
    <w:rsid w:val="0013586C"/>
    <w:rsid w:val="00135C34"/>
    <w:rsid w:val="00136518"/>
    <w:rsid w:val="001368F8"/>
    <w:rsid w:val="001401F1"/>
    <w:rsid w:val="0014103C"/>
    <w:rsid w:val="001469F7"/>
    <w:rsid w:val="0014710B"/>
    <w:rsid w:val="00147211"/>
    <w:rsid w:val="0015058A"/>
    <w:rsid w:val="00150A78"/>
    <w:rsid w:val="0015121E"/>
    <w:rsid w:val="001513F6"/>
    <w:rsid w:val="00151FF3"/>
    <w:rsid w:val="00152143"/>
    <w:rsid w:val="00152BC1"/>
    <w:rsid w:val="00152FEB"/>
    <w:rsid w:val="00154F6E"/>
    <w:rsid w:val="00156C91"/>
    <w:rsid w:val="00156CC6"/>
    <w:rsid w:val="001601BC"/>
    <w:rsid w:val="001604FE"/>
    <w:rsid w:val="0016062E"/>
    <w:rsid w:val="001651B4"/>
    <w:rsid w:val="00170419"/>
    <w:rsid w:val="00174173"/>
    <w:rsid w:val="001753FD"/>
    <w:rsid w:val="00183BE6"/>
    <w:rsid w:val="00184505"/>
    <w:rsid w:val="0018584B"/>
    <w:rsid w:val="001928B1"/>
    <w:rsid w:val="001975DF"/>
    <w:rsid w:val="001A0555"/>
    <w:rsid w:val="001A31CA"/>
    <w:rsid w:val="001A3EF8"/>
    <w:rsid w:val="001A4CA3"/>
    <w:rsid w:val="001A5500"/>
    <w:rsid w:val="001A55DD"/>
    <w:rsid w:val="001B00AA"/>
    <w:rsid w:val="001B475A"/>
    <w:rsid w:val="001B4C83"/>
    <w:rsid w:val="001B5578"/>
    <w:rsid w:val="001B7367"/>
    <w:rsid w:val="001C0C05"/>
    <w:rsid w:val="001C1EDD"/>
    <w:rsid w:val="001C27E1"/>
    <w:rsid w:val="001C2C5D"/>
    <w:rsid w:val="001C3C87"/>
    <w:rsid w:val="001C6CE8"/>
    <w:rsid w:val="001C77D4"/>
    <w:rsid w:val="001D09E9"/>
    <w:rsid w:val="001D38D7"/>
    <w:rsid w:val="001D3CE9"/>
    <w:rsid w:val="001D4643"/>
    <w:rsid w:val="001D48B3"/>
    <w:rsid w:val="001D6961"/>
    <w:rsid w:val="001D69FB"/>
    <w:rsid w:val="001D7157"/>
    <w:rsid w:val="001D7814"/>
    <w:rsid w:val="001E2449"/>
    <w:rsid w:val="001E3030"/>
    <w:rsid w:val="001E38FB"/>
    <w:rsid w:val="001E3DF3"/>
    <w:rsid w:val="001E49A7"/>
    <w:rsid w:val="001E4AFB"/>
    <w:rsid w:val="001E4B86"/>
    <w:rsid w:val="001E4CF3"/>
    <w:rsid w:val="001E5AA7"/>
    <w:rsid w:val="001E6747"/>
    <w:rsid w:val="001E712E"/>
    <w:rsid w:val="001E7408"/>
    <w:rsid w:val="001E7A27"/>
    <w:rsid w:val="001F3B9C"/>
    <w:rsid w:val="0020217B"/>
    <w:rsid w:val="00202309"/>
    <w:rsid w:val="002029A6"/>
    <w:rsid w:val="002041F0"/>
    <w:rsid w:val="0020486C"/>
    <w:rsid w:val="00204C52"/>
    <w:rsid w:val="002057B3"/>
    <w:rsid w:val="00211297"/>
    <w:rsid w:val="00211DD9"/>
    <w:rsid w:val="002124BA"/>
    <w:rsid w:val="00226FE2"/>
    <w:rsid w:val="00227464"/>
    <w:rsid w:val="00227A6A"/>
    <w:rsid w:val="00227DD0"/>
    <w:rsid w:val="002309C6"/>
    <w:rsid w:val="0023740D"/>
    <w:rsid w:val="002402A1"/>
    <w:rsid w:val="002402CF"/>
    <w:rsid w:val="00241F78"/>
    <w:rsid w:val="00242008"/>
    <w:rsid w:val="00246B3B"/>
    <w:rsid w:val="00255B08"/>
    <w:rsid w:val="002564C1"/>
    <w:rsid w:val="002573C4"/>
    <w:rsid w:val="00261F0C"/>
    <w:rsid w:val="00262212"/>
    <w:rsid w:val="002625FE"/>
    <w:rsid w:val="00262D2D"/>
    <w:rsid w:val="0026593E"/>
    <w:rsid w:val="00265E81"/>
    <w:rsid w:val="00270806"/>
    <w:rsid w:val="00270ED0"/>
    <w:rsid w:val="002714A0"/>
    <w:rsid w:val="002771C1"/>
    <w:rsid w:val="00277C1E"/>
    <w:rsid w:val="00281C82"/>
    <w:rsid w:val="002847A6"/>
    <w:rsid w:val="002853B0"/>
    <w:rsid w:val="002859BC"/>
    <w:rsid w:val="00285D7E"/>
    <w:rsid w:val="00287254"/>
    <w:rsid w:val="00287D7A"/>
    <w:rsid w:val="0029105C"/>
    <w:rsid w:val="00293907"/>
    <w:rsid w:val="002948BA"/>
    <w:rsid w:val="00295781"/>
    <w:rsid w:val="00295D80"/>
    <w:rsid w:val="00296C46"/>
    <w:rsid w:val="002A4B7A"/>
    <w:rsid w:val="002A4CAC"/>
    <w:rsid w:val="002A62E7"/>
    <w:rsid w:val="002A6C21"/>
    <w:rsid w:val="002B0056"/>
    <w:rsid w:val="002B3214"/>
    <w:rsid w:val="002B5AE9"/>
    <w:rsid w:val="002B64CF"/>
    <w:rsid w:val="002B6946"/>
    <w:rsid w:val="002C4911"/>
    <w:rsid w:val="002C52C0"/>
    <w:rsid w:val="002C5305"/>
    <w:rsid w:val="002C6737"/>
    <w:rsid w:val="002D0287"/>
    <w:rsid w:val="002D066B"/>
    <w:rsid w:val="002D0E5B"/>
    <w:rsid w:val="002D1A50"/>
    <w:rsid w:val="002D1E03"/>
    <w:rsid w:val="002D775A"/>
    <w:rsid w:val="002E22EE"/>
    <w:rsid w:val="002E2AD4"/>
    <w:rsid w:val="002E3288"/>
    <w:rsid w:val="002E3641"/>
    <w:rsid w:val="002E48D3"/>
    <w:rsid w:val="002E4941"/>
    <w:rsid w:val="002E4C8B"/>
    <w:rsid w:val="002E6B06"/>
    <w:rsid w:val="002E797A"/>
    <w:rsid w:val="002F1980"/>
    <w:rsid w:val="002F20DB"/>
    <w:rsid w:val="002F25F2"/>
    <w:rsid w:val="002F420A"/>
    <w:rsid w:val="002F49D4"/>
    <w:rsid w:val="002F4FF2"/>
    <w:rsid w:val="002F5BBE"/>
    <w:rsid w:val="002F62AD"/>
    <w:rsid w:val="003004A0"/>
    <w:rsid w:val="00303BE3"/>
    <w:rsid w:val="00305CBD"/>
    <w:rsid w:val="003100C0"/>
    <w:rsid w:val="00311F80"/>
    <w:rsid w:val="00312EEC"/>
    <w:rsid w:val="00313EF1"/>
    <w:rsid w:val="0031459A"/>
    <w:rsid w:val="003145CA"/>
    <w:rsid w:val="00314B75"/>
    <w:rsid w:val="00315218"/>
    <w:rsid w:val="00323785"/>
    <w:rsid w:val="00324255"/>
    <w:rsid w:val="003244E5"/>
    <w:rsid w:val="00324C0B"/>
    <w:rsid w:val="00324DF0"/>
    <w:rsid w:val="00324E0C"/>
    <w:rsid w:val="00326B2B"/>
    <w:rsid w:val="00327F91"/>
    <w:rsid w:val="003302FB"/>
    <w:rsid w:val="00331F4A"/>
    <w:rsid w:val="003344ED"/>
    <w:rsid w:val="00335067"/>
    <w:rsid w:val="003369F9"/>
    <w:rsid w:val="00337AB4"/>
    <w:rsid w:val="00337BE3"/>
    <w:rsid w:val="00337DBF"/>
    <w:rsid w:val="003408B7"/>
    <w:rsid w:val="0034233A"/>
    <w:rsid w:val="0034293F"/>
    <w:rsid w:val="00343327"/>
    <w:rsid w:val="0034426C"/>
    <w:rsid w:val="00347EBC"/>
    <w:rsid w:val="00354B26"/>
    <w:rsid w:val="003556D6"/>
    <w:rsid w:val="0036085E"/>
    <w:rsid w:val="003608E0"/>
    <w:rsid w:val="00360CA9"/>
    <w:rsid w:val="0036318A"/>
    <w:rsid w:val="0036348D"/>
    <w:rsid w:val="00364193"/>
    <w:rsid w:val="0036625D"/>
    <w:rsid w:val="00367966"/>
    <w:rsid w:val="00367E13"/>
    <w:rsid w:val="00373A30"/>
    <w:rsid w:val="00374148"/>
    <w:rsid w:val="003748AC"/>
    <w:rsid w:val="00374A81"/>
    <w:rsid w:val="00375CAA"/>
    <w:rsid w:val="0037602A"/>
    <w:rsid w:val="00376517"/>
    <w:rsid w:val="00376C10"/>
    <w:rsid w:val="00382B0B"/>
    <w:rsid w:val="00384B71"/>
    <w:rsid w:val="003850EC"/>
    <w:rsid w:val="00390592"/>
    <w:rsid w:val="0039694A"/>
    <w:rsid w:val="00397579"/>
    <w:rsid w:val="00397B78"/>
    <w:rsid w:val="003A08EE"/>
    <w:rsid w:val="003A0F81"/>
    <w:rsid w:val="003A61F6"/>
    <w:rsid w:val="003B0B11"/>
    <w:rsid w:val="003B12BD"/>
    <w:rsid w:val="003B2978"/>
    <w:rsid w:val="003B3029"/>
    <w:rsid w:val="003B43D0"/>
    <w:rsid w:val="003B4679"/>
    <w:rsid w:val="003B5964"/>
    <w:rsid w:val="003B78E9"/>
    <w:rsid w:val="003C3483"/>
    <w:rsid w:val="003D1E19"/>
    <w:rsid w:val="003D3C6F"/>
    <w:rsid w:val="003D4DC1"/>
    <w:rsid w:val="003D608F"/>
    <w:rsid w:val="003D6C2D"/>
    <w:rsid w:val="003E0A25"/>
    <w:rsid w:val="003E2CD7"/>
    <w:rsid w:val="003E3001"/>
    <w:rsid w:val="003E377A"/>
    <w:rsid w:val="003E434B"/>
    <w:rsid w:val="003E4FE8"/>
    <w:rsid w:val="003E5070"/>
    <w:rsid w:val="003E5C8A"/>
    <w:rsid w:val="003E69FE"/>
    <w:rsid w:val="003E77AB"/>
    <w:rsid w:val="003E7A69"/>
    <w:rsid w:val="003F03E4"/>
    <w:rsid w:val="003F1314"/>
    <w:rsid w:val="003F16D2"/>
    <w:rsid w:val="003F24A1"/>
    <w:rsid w:val="003F30B0"/>
    <w:rsid w:val="003F54EA"/>
    <w:rsid w:val="003F7537"/>
    <w:rsid w:val="00400A1E"/>
    <w:rsid w:val="004025B0"/>
    <w:rsid w:val="004036FE"/>
    <w:rsid w:val="004044CF"/>
    <w:rsid w:val="00405378"/>
    <w:rsid w:val="00405EE5"/>
    <w:rsid w:val="004062E8"/>
    <w:rsid w:val="004066CF"/>
    <w:rsid w:val="004076AF"/>
    <w:rsid w:val="00410DF4"/>
    <w:rsid w:val="00412A46"/>
    <w:rsid w:val="004201A9"/>
    <w:rsid w:val="00420691"/>
    <w:rsid w:val="004223EC"/>
    <w:rsid w:val="0042481A"/>
    <w:rsid w:val="004306B8"/>
    <w:rsid w:val="00430878"/>
    <w:rsid w:val="00430C49"/>
    <w:rsid w:val="004315CF"/>
    <w:rsid w:val="00432ADE"/>
    <w:rsid w:val="004346DC"/>
    <w:rsid w:val="00435733"/>
    <w:rsid w:val="00442C63"/>
    <w:rsid w:val="0044559D"/>
    <w:rsid w:val="00445BC3"/>
    <w:rsid w:val="00447531"/>
    <w:rsid w:val="00450192"/>
    <w:rsid w:val="00451937"/>
    <w:rsid w:val="00451D98"/>
    <w:rsid w:val="00455948"/>
    <w:rsid w:val="00455F69"/>
    <w:rsid w:val="00456A53"/>
    <w:rsid w:val="00460F22"/>
    <w:rsid w:val="00461578"/>
    <w:rsid w:val="0046160C"/>
    <w:rsid w:val="00462EF0"/>
    <w:rsid w:val="0046364E"/>
    <w:rsid w:val="004669B9"/>
    <w:rsid w:val="004670E3"/>
    <w:rsid w:val="0046776B"/>
    <w:rsid w:val="0046793C"/>
    <w:rsid w:val="00470A77"/>
    <w:rsid w:val="00471C3C"/>
    <w:rsid w:val="004722E5"/>
    <w:rsid w:val="00473042"/>
    <w:rsid w:val="004734F9"/>
    <w:rsid w:val="004738CA"/>
    <w:rsid w:val="00473CE5"/>
    <w:rsid w:val="0047459C"/>
    <w:rsid w:val="0047529A"/>
    <w:rsid w:val="00480397"/>
    <w:rsid w:val="00481AE5"/>
    <w:rsid w:val="00482692"/>
    <w:rsid w:val="0048455E"/>
    <w:rsid w:val="00485CA9"/>
    <w:rsid w:val="0048722D"/>
    <w:rsid w:val="00487619"/>
    <w:rsid w:val="00490AD8"/>
    <w:rsid w:val="0049164C"/>
    <w:rsid w:val="00492852"/>
    <w:rsid w:val="0049386B"/>
    <w:rsid w:val="00493B26"/>
    <w:rsid w:val="004948FB"/>
    <w:rsid w:val="00497F60"/>
    <w:rsid w:val="004A3DE7"/>
    <w:rsid w:val="004A560C"/>
    <w:rsid w:val="004A6243"/>
    <w:rsid w:val="004A63B2"/>
    <w:rsid w:val="004B0B79"/>
    <w:rsid w:val="004B1355"/>
    <w:rsid w:val="004B3D43"/>
    <w:rsid w:val="004B5147"/>
    <w:rsid w:val="004B72CB"/>
    <w:rsid w:val="004C009C"/>
    <w:rsid w:val="004C0798"/>
    <w:rsid w:val="004C30AA"/>
    <w:rsid w:val="004C4C40"/>
    <w:rsid w:val="004C5180"/>
    <w:rsid w:val="004C56B6"/>
    <w:rsid w:val="004C7AF1"/>
    <w:rsid w:val="004C7B8A"/>
    <w:rsid w:val="004D0070"/>
    <w:rsid w:val="004D1F5A"/>
    <w:rsid w:val="004D2505"/>
    <w:rsid w:val="004D2A39"/>
    <w:rsid w:val="004D2ABE"/>
    <w:rsid w:val="004D407A"/>
    <w:rsid w:val="004D59C3"/>
    <w:rsid w:val="004D6E8D"/>
    <w:rsid w:val="004E27C9"/>
    <w:rsid w:val="004E2F2A"/>
    <w:rsid w:val="004E6738"/>
    <w:rsid w:val="004E79C3"/>
    <w:rsid w:val="004E7DDB"/>
    <w:rsid w:val="004F01CA"/>
    <w:rsid w:val="004F19BB"/>
    <w:rsid w:val="004F5137"/>
    <w:rsid w:val="004F602F"/>
    <w:rsid w:val="004F6A62"/>
    <w:rsid w:val="004F6F54"/>
    <w:rsid w:val="004F768D"/>
    <w:rsid w:val="004F7A15"/>
    <w:rsid w:val="0050377E"/>
    <w:rsid w:val="00503C4D"/>
    <w:rsid w:val="0050472B"/>
    <w:rsid w:val="005051BB"/>
    <w:rsid w:val="00510B52"/>
    <w:rsid w:val="00512020"/>
    <w:rsid w:val="005122EC"/>
    <w:rsid w:val="0051354D"/>
    <w:rsid w:val="00514398"/>
    <w:rsid w:val="00514BB1"/>
    <w:rsid w:val="00517184"/>
    <w:rsid w:val="00517BAC"/>
    <w:rsid w:val="00520834"/>
    <w:rsid w:val="005218ED"/>
    <w:rsid w:val="005237F3"/>
    <w:rsid w:val="00525F0C"/>
    <w:rsid w:val="00526A94"/>
    <w:rsid w:val="00526E3E"/>
    <w:rsid w:val="00533170"/>
    <w:rsid w:val="00533838"/>
    <w:rsid w:val="00533EC7"/>
    <w:rsid w:val="00534C6C"/>
    <w:rsid w:val="005361EA"/>
    <w:rsid w:val="00537114"/>
    <w:rsid w:val="0054100A"/>
    <w:rsid w:val="00541D9D"/>
    <w:rsid w:val="0054471F"/>
    <w:rsid w:val="00546443"/>
    <w:rsid w:val="00547416"/>
    <w:rsid w:val="00550F94"/>
    <w:rsid w:val="00551E59"/>
    <w:rsid w:val="00552452"/>
    <w:rsid w:val="005528B0"/>
    <w:rsid w:val="00552A7F"/>
    <w:rsid w:val="00553A3A"/>
    <w:rsid w:val="005562A7"/>
    <w:rsid w:val="00556957"/>
    <w:rsid w:val="00556B85"/>
    <w:rsid w:val="00560B80"/>
    <w:rsid w:val="005621F7"/>
    <w:rsid w:val="00567D93"/>
    <w:rsid w:val="00567F07"/>
    <w:rsid w:val="005707B8"/>
    <w:rsid w:val="00570F51"/>
    <w:rsid w:val="005719A6"/>
    <w:rsid w:val="00571E39"/>
    <w:rsid w:val="00572FC5"/>
    <w:rsid w:val="00573E8E"/>
    <w:rsid w:val="005752C5"/>
    <w:rsid w:val="005779BB"/>
    <w:rsid w:val="00580BC8"/>
    <w:rsid w:val="00581558"/>
    <w:rsid w:val="00581F10"/>
    <w:rsid w:val="00582876"/>
    <w:rsid w:val="0058398E"/>
    <w:rsid w:val="00583B81"/>
    <w:rsid w:val="00586A24"/>
    <w:rsid w:val="00586BCC"/>
    <w:rsid w:val="00586C6F"/>
    <w:rsid w:val="00586F72"/>
    <w:rsid w:val="0059001D"/>
    <w:rsid w:val="00591949"/>
    <w:rsid w:val="00591B70"/>
    <w:rsid w:val="00592A4C"/>
    <w:rsid w:val="00594CA7"/>
    <w:rsid w:val="00597B6D"/>
    <w:rsid w:val="005A1876"/>
    <w:rsid w:val="005A1B6A"/>
    <w:rsid w:val="005A29C1"/>
    <w:rsid w:val="005A3A15"/>
    <w:rsid w:val="005A4FE5"/>
    <w:rsid w:val="005A56DB"/>
    <w:rsid w:val="005A5EE8"/>
    <w:rsid w:val="005A708B"/>
    <w:rsid w:val="005B097D"/>
    <w:rsid w:val="005B0B58"/>
    <w:rsid w:val="005B2F22"/>
    <w:rsid w:val="005B463D"/>
    <w:rsid w:val="005B4935"/>
    <w:rsid w:val="005B796B"/>
    <w:rsid w:val="005C265B"/>
    <w:rsid w:val="005C69F3"/>
    <w:rsid w:val="005D0AD8"/>
    <w:rsid w:val="005D1AE9"/>
    <w:rsid w:val="005D2F9B"/>
    <w:rsid w:val="005D4896"/>
    <w:rsid w:val="005D4F68"/>
    <w:rsid w:val="005D5408"/>
    <w:rsid w:val="005D7618"/>
    <w:rsid w:val="005E4D16"/>
    <w:rsid w:val="005E5CB0"/>
    <w:rsid w:val="005E5DB0"/>
    <w:rsid w:val="005E744A"/>
    <w:rsid w:val="005F03E7"/>
    <w:rsid w:val="005F095F"/>
    <w:rsid w:val="005F152F"/>
    <w:rsid w:val="005F3D28"/>
    <w:rsid w:val="005F4037"/>
    <w:rsid w:val="005F5A09"/>
    <w:rsid w:val="005F5B55"/>
    <w:rsid w:val="00600374"/>
    <w:rsid w:val="00600B74"/>
    <w:rsid w:val="00600C6D"/>
    <w:rsid w:val="00601D89"/>
    <w:rsid w:val="0060276D"/>
    <w:rsid w:val="00605228"/>
    <w:rsid w:val="00610839"/>
    <w:rsid w:val="006147AC"/>
    <w:rsid w:val="006158B6"/>
    <w:rsid w:val="00616B8F"/>
    <w:rsid w:val="00616EBA"/>
    <w:rsid w:val="006170A9"/>
    <w:rsid w:val="006170B4"/>
    <w:rsid w:val="00623A4B"/>
    <w:rsid w:val="006248EF"/>
    <w:rsid w:val="00625782"/>
    <w:rsid w:val="00634611"/>
    <w:rsid w:val="00634C13"/>
    <w:rsid w:val="0063550C"/>
    <w:rsid w:val="00635B97"/>
    <w:rsid w:val="00636E74"/>
    <w:rsid w:val="00637228"/>
    <w:rsid w:val="0064137D"/>
    <w:rsid w:val="006422B8"/>
    <w:rsid w:val="006423C9"/>
    <w:rsid w:val="006425D3"/>
    <w:rsid w:val="00642FCF"/>
    <w:rsid w:val="006439A0"/>
    <w:rsid w:val="0064539C"/>
    <w:rsid w:val="006455D7"/>
    <w:rsid w:val="00646E6A"/>
    <w:rsid w:val="0064732F"/>
    <w:rsid w:val="00652B1F"/>
    <w:rsid w:val="00653727"/>
    <w:rsid w:val="006539A2"/>
    <w:rsid w:val="00654D75"/>
    <w:rsid w:val="006553C8"/>
    <w:rsid w:val="0065566A"/>
    <w:rsid w:val="0065746B"/>
    <w:rsid w:val="00661BF3"/>
    <w:rsid w:val="00663B93"/>
    <w:rsid w:val="00664486"/>
    <w:rsid w:val="00670F4A"/>
    <w:rsid w:val="006722F0"/>
    <w:rsid w:val="0067299E"/>
    <w:rsid w:val="00675F96"/>
    <w:rsid w:val="006820AF"/>
    <w:rsid w:val="0068259D"/>
    <w:rsid w:val="006859DC"/>
    <w:rsid w:val="00686108"/>
    <w:rsid w:val="00691261"/>
    <w:rsid w:val="006915D1"/>
    <w:rsid w:val="006916B4"/>
    <w:rsid w:val="006921E2"/>
    <w:rsid w:val="00692605"/>
    <w:rsid w:val="00696F4B"/>
    <w:rsid w:val="006A189D"/>
    <w:rsid w:val="006A1DEF"/>
    <w:rsid w:val="006A6A41"/>
    <w:rsid w:val="006A7093"/>
    <w:rsid w:val="006B0360"/>
    <w:rsid w:val="006B196C"/>
    <w:rsid w:val="006B368E"/>
    <w:rsid w:val="006B512D"/>
    <w:rsid w:val="006B76A5"/>
    <w:rsid w:val="006B7A71"/>
    <w:rsid w:val="006C1485"/>
    <w:rsid w:val="006C1D6E"/>
    <w:rsid w:val="006C1F44"/>
    <w:rsid w:val="006C226E"/>
    <w:rsid w:val="006C233C"/>
    <w:rsid w:val="006C299E"/>
    <w:rsid w:val="006C2A2C"/>
    <w:rsid w:val="006C3BB4"/>
    <w:rsid w:val="006C4CC9"/>
    <w:rsid w:val="006C6370"/>
    <w:rsid w:val="006D00D8"/>
    <w:rsid w:val="006D0923"/>
    <w:rsid w:val="006D0BC9"/>
    <w:rsid w:val="006D10D2"/>
    <w:rsid w:val="006D1AC9"/>
    <w:rsid w:val="006D3B1F"/>
    <w:rsid w:val="006D584B"/>
    <w:rsid w:val="006D73A7"/>
    <w:rsid w:val="006D7C5D"/>
    <w:rsid w:val="006E1F98"/>
    <w:rsid w:val="006E2260"/>
    <w:rsid w:val="006E4567"/>
    <w:rsid w:val="006E60BE"/>
    <w:rsid w:val="006E6CC1"/>
    <w:rsid w:val="006F0BDB"/>
    <w:rsid w:val="006F116E"/>
    <w:rsid w:val="006F1C3F"/>
    <w:rsid w:val="006F307A"/>
    <w:rsid w:val="006F37CD"/>
    <w:rsid w:val="006F4C84"/>
    <w:rsid w:val="006F520C"/>
    <w:rsid w:val="006F5D32"/>
    <w:rsid w:val="006F5DA4"/>
    <w:rsid w:val="006F6D53"/>
    <w:rsid w:val="006F7B63"/>
    <w:rsid w:val="00701D03"/>
    <w:rsid w:val="007025AC"/>
    <w:rsid w:val="00702697"/>
    <w:rsid w:val="00702984"/>
    <w:rsid w:val="00702EF4"/>
    <w:rsid w:val="007046A0"/>
    <w:rsid w:val="00704A16"/>
    <w:rsid w:val="00705A2A"/>
    <w:rsid w:val="007069A2"/>
    <w:rsid w:val="007107F8"/>
    <w:rsid w:val="00713CBE"/>
    <w:rsid w:val="007160C2"/>
    <w:rsid w:val="00716BB9"/>
    <w:rsid w:val="00726678"/>
    <w:rsid w:val="00726B20"/>
    <w:rsid w:val="007276D2"/>
    <w:rsid w:val="00727774"/>
    <w:rsid w:val="00730669"/>
    <w:rsid w:val="00731412"/>
    <w:rsid w:val="00735225"/>
    <w:rsid w:val="00735A76"/>
    <w:rsid w:val="00735C4A"/>
    <w:rsid w:val="007367C2"/>
    <w:rsid w:val="00742517"/>
    <w:rsid w:val="00742B87"/>
    <w:rsid w:val="007445DD"/>
    <w:rsid w:val="00744E1C"/>
    <w:rsid w:val="00745254"/>
    <w:rsid w:val="007474AF"/>
    <w:rsid w:val="00747655"/>
    <w:rsid w:val="007477D6"/>
    <w:rsid w:val="007512E5"/>
    <w:rsid w:val="00751877"/>
    <w:rsid w:val="00752C58"/>
    <w:rsid w:val="00753530"/>
    <w:rsid w:val="0075596E"/>
    <w:rsid w:val="0075719C"/>
    <w:rsid w:val="007608A2"/>
    <w:rsid w:val="0076265B"/>
    <w:rsid w:val="007637F7"/>
    <w:rsid w:val="00764840"/>
    <w:rsid w:val="007648CC"/>
    <w:rsid w:val="00764915"/>
    <w:rsid w:val="00764E90"/>
    <w:rsid w:val="00765F56"/>
    <w:rsid w:val="00766B0E"/>
    <w:rsid w:val="007675B6"/>
    <w:rsid w:val="00767C96"/>
    <w:rsid w:val="007712F4"/>
    <w:rsid w:val="00771AE0"/>
    <w:rsid w:val="00772D6F"/>
    <w:rsid w:val="00773458"/>
    <w:rsid w:val="00777AB8"/>
    <w:rsid w:val="00777E81"/>
    <w:rsid w:val="00780075"/>
    <w:rsid w:val="00780BB8"/>
    <w:rsid w:val="00780E4E"/>
    <w:rsid w:val="00782DAE"/>
    <w:rsid w:val="00786231"/>
    <w:rsid w:val="00786A9A"/>
    <w:rsid w:val="007870D5"/>
    <w:rsid w:val="00787354"/>
    <w:rsid w:val="00790AFA"/>
    <w:rsid w:val="00791AB5"/>
    <w:rsid w:val="00793357"/>
    <w:rsid w:val="00794E7E"/>
    <w:rsid w:val="0079598D"/>
    <w:rsid w:val="0079748A"/>
    <w:rsid w:val="007A03DD"/>
    <w:rsid w:val="007A056B"/>
    <w:rsid w:val="007A1FB4"/>
    <w:rsid w:val="007A3DF8"/>
    <w:rsid w:val="007A45A9"/>
    <w:rsid w:val="007A46D9"/>
    <w:rsid w:val="007A5AFA"/>
    <w:rsid w:val="007A6FC6"/>
    <w:rsid w:val="007A788B"/>
    <w:rsid w:val="007B2F28"/>
    <w:rsid w:val="007B7C7A"/>
    <w:rsid w:val="007C088B"/>
    <w:rsid w:val="007C120F"/>
    <w:rsid w:val="007C3CB1"/>
    <w:rsid w:val="007D0B0B"/>
    <w:rsid w:val="007D2CA2"/>
    <w:rsid w:val="007D4C69"/>
    <w:rsid w:val="007D60D3"/>
    <w:rsid w:val="007D6E0E"/>
    <w:rsid w:val="007E0E1B"/>
    <w:rsid w:val="007E205B"/>
    <w:rsid w:val="007E2452"/>
    <w:rsid w:val="007E313D"/>
    <w:rsid w:val="007E65D0"/>
    <w:rsid w:val="007F07D6"/>
    <w:rsid w:val="007F0D04"/>
    <w:rsid w:val="007F4F97"/>
    <w:rsid w:val="007F6BE8"/>
    <w:rsid w:val="00801760"/>
    <w:rsid w:val="00802386"/>
    <w:rsid w:val="00802767"/>
    <w:rsid w:val="00804AA5"/>
    <w:rsid w:val="00806FB2"/>
    <w:rsid w:val="00810055"/>
    <w:rsid w:val="00810799"/>
    <w:rsid w:val="00810C5D"/>
    <w:rsid w:val="00811BBB"/>
    <w:rsid w:val="00814661"/>
    <w:rsid w:val="00815FFD"/>
    <w:rsid w:val="0081653B"/>
    <w:rsid w:val="00816712"/>
    <w:rsid w:val="00816783"/>
    <w:rsid w:val="00816DC6"/>
    <w:rsid w:val="00820664"/>
    <w:rsid w:val="00820918"/>
    <w:rsid w:val="00820942"/>
    <w:rsid w:val="0082137F"/>
    <w:rsid w:val="00822398"/>
    <w:rsid w:val="008243C0"/>
    <w:rsid w:val="008255C5"/>
    <w:rsid w:val="00825B61"/>
    <w:rsid w:val="00825DC1"/>
    <w:rsid w:val="00825F54"/>
    <w:rsid w:val="0082695E"/>
    <w:rsid w:val="008302A1"/>
    <w:rsid w:val="008302C7"/>
    <w:rsid w:val="008336F4"/>
    <w:rsid w:val="008355DB"/>
    <w:rsid w:val="00837058"/>
    <w:rsid w:val="0083763C"/>
    <w:rsid w:val="00837BA2"/>
    <w:rsid w:val="00841004"/>
    <w:rsid w:val="00841A3F"/>
    <w:rsid w:val="0084230F"/>
    <w:rsid w:val="0084385D"/>
    <w:rsid w:val="00844CD4"/>
    <w:rsid w:val="00845587"/>
    <w:rsid w:val="0084568F"/>
    <w:rsid w:val="008469EC"/>
    <w:rsid w:val="00846A89"/>
    <w:rsid w:val="0084779A"/>
    <w:rsid w:val="008519AA"/>
    <w:rsid w:val="00852F10"/>
    <w:rsid w:val="00855715"/>
    <w:rsid w:val="00860047"/>
    <w:rsid w:val="00860539"/>
    <w:rsid w:val="00860E4F"/>
    <w:rsid w:val="008638A6"/>
    <w:rsid w:val="00863EEB"/>
    <w:rsid w:val="008645FB"/>
    <w:rsid w:val="00864E04"/>
    <w:rsid w:val="008662B2"/>
    <w:rsid w:val="00867E1E"/>
    <w:rsid w:val="00873E45"/>
    <w:rsid w:val="00874FC3"/>
    <w:rsid w:val="0088186C"/>
    <w:rsid w:val="00882783"/>
    <w:rsid w:val="00883F33"/>
    <w:rsid w:val="00885118"/>
    <w:rsid w:val="008925B7"/>
    <w:rsid w:val="008951F8"/>
    <w:rsid w:val="00895CAA"/>
    <w:rsid w:val="008970AA"/>
    <w:rsid w:val="00897D72"/>
    <w:rsid w:val="008A4A42"/>
    <w:rsid w:val="008A6B49"/>
    <w:rsid w:val="008A78F5"/>
    <w:rsid w:val="008A7D6A"/>
    <w:rsid w:val="008B033B"/>
    <w:rsid w:val="008B1ED0"/>
    <w:rsid w:val="008B489B"/>
    <w:rsid w:val="008B6C46"/>
    <w:rsid w:val="008B7A5B"/>
    <w:rsid w:val="008C0767"/>
    <w:rsid w:val="008C2C7D"/>
    <w:rsid w:val="008C3A0B"/>
    <w:rsid w:val="008C61C4"/>
    <w:rsid w:val="008D53F1"/>
    <w:rsid w:val="008D5B24"/>
    <w:rsid w:val="008D6E6D"/>
    <w:rsid w:val="008D722F"/>
    <w:rsid w:val="008E0600"/>
    <w:rsid w:val="008E21C0"/>
    <w:rsid w:val="008E2325"/>
    <w:rsid w:val="008E24DB"/>
    <w:rsid w:val="008E2EFA"/>
    <w:rsid w:val="008E5903"/>
    <w:rsid w:val="008E6207"/>
    <w:rsid w:val="008E7AFE"/>
    <w:rsid w:val="008F1555"/>
    <w:rsid w:val="00901215"/>
    <w:rsid w:val="009026F9"/>
    <w:rsid w:val="00906CCF"/>
    <w:rsid w:val="009072DD"/>
    <w:rsid w:val="009102F6"/>
    <w:rsid w:val="00913250"/>
    <w:rsid w:val="00914B5D"/>
    <w:rsid w:val="00914EE3"/>
    <w:rsid w:val="00915660"/>
    <w:rsid w:val="009158C6"/>
    <w:rsid w:val="00920007"/>
    <w:rsid w:val="00920C43"/>
    <w:rsid w:val="0092162D"/>
    <w:rsid w:val="0092176C"/>
    <w:rsid w:val="009218A2"/>
    <w:rsid w:val="00922071"/>
    <w:rsid w:val="0092230F"/>
    <w:rsid w:val="009321B2"/>
    <w:rsid w:val="00933DD1"/>
    <w:rsid w:val="00936544"/>
    <w:rsid w:val="0094056E"/>
    <w:rsid w:val="00940CDA"/>
    <w:rsid w:val="00943F45"/>
    <w:rsid w:val="00944E3B"/>
    <w:rsid w:val="00946A49"/>
    <w:rsid w:val="00946B83"/>
    <w:rsid w:val="00947E13"/>
    <w:rsid w:val="009515E8"/>
    <w:rsid w:val="00951CEB"/>
    <w:rsid w:val="00951E1E"/>
    <w:rsid w:val="00955400"/>
    <w:rsid w:val="00956765"/>
    <w:rsid w:val="00960B12"/>
    <w:rsid w:val="0096168B"/>
    <w:rsid w:val="0096523D"/>
    <w:rsid w:val="00965A14"/>
    <w:rsid w:val="00967910"/>
    <w:rsid w:val="00970F7C"/>
    <w:rsid w:val="00972087"/>
    <w:rsid w:val="00972A51"/>
    <w:rsid w:val="00973E53"/>
    <w:rsid w:val="009747E4"/>
    <w:rsid w:val="00974C1F"/>
    <w:rsid w:val="00983606"/>
    <w:rsid w:val="00983608"/>
    <w:rsid w:val="00984800"/>
    <w:rsid w:val="0098563E"/>
    <w:rsid w:val="009860AE"/>
    <w:rsid w:val="00987908"/>
    <w:rsid w:val="009903C6"/>
    <w:rsid w:val="00993267"/>
    <w:rsid w:val="0099573E"/>
    <w:rsid w:val="00996190"/>
    <w:rsid w:val="009A0B21"/>
    <w:rsid w:val="009A1A27"/>
    <w:rsid w:val="009A1AA3"/>
    <w:rsid w:val="009A1D6C"/>
    <w:rsid w:val="009A2F4A"/>
    <w:rsid w:val="009A37AC"/>
    <w:rsid w:val="009A4D13"/>
    <w:rsid w:val="009A55ED"/>
    <w:rsid w:val="009A5AB7"/>
    <w:rsid w:val="009B03E6"/>
    <w:rsid w:val="009B568C"/>
    <w:rsid w:val="009B7830"/>
    <w:rsid w:val="009B7933"/>
    <w:rsid w:val="009C13C4"/>
    <w:rsid w:val="009C1B2D"/>
    <w:rsid w:val="009C3299"/>
    <w:rsid w:val="009C38A7"/>
    <w:rsid w:val="009C3D4A"/>
    <w:rsid w:val="009C64F0"/>
    <w:rsid w:val="009C6DB6"/>
    <w:rsid w:val="009C73DE"/>
    <w:rsid w:val="009D0D3A"/>
    <w:rsid w:val="009D24F5"/>
    <w:rsid w:val="009D3297"/>
    <w:rsid w:val="009D5EFF"/>
    <w:rsid w:val="009E1BE8"/>
    <w:rsid w:val="009E236A"/>
    <w:rsid w:val="009E395F"/>
    <w:rsid w:val="009E3AA7"/>
    <w:rsid w:val="009E4AF7"/>
    <w:rsid w:val="009E5684"/>
    <w:rsid w:val="009E6C46"/>
    <w:rsid w:val="009E7B21"/>
    <w:rsid w:val="009F07AD"/>
    <w:rsid w:val="009F0B87"/>
    <w:rsid w:val="009F4EE4"/>
    <w:rsid w:val="009F6709"/>
    <w:rsid w:val="009F79E6"/>
    <w:rsid w:val="00A029EF"/>
    <w:rsid w:val="00A03C7E"/>
    <w:rsid w:val="00A044A7"/>
    <w:rsid w:val="00A0468F"/>
    <w:rsid w:val="00A0593C"/>
    <w:rsid w:val="00A05ABB"/>
    <w:rsid w:val="00A0680D"/>
    <w:rsid w:val="00A07F80"/>
    <w:rsid w:val="00A10417"/>
    <w:rsid w:val="00A119E5"/>
    <w:rsid w:val="00A12970"/>
    <w:rsid w:val="00A16DC1"/>
    <w:rsid w:val="00A2063B"/>
    <w:rsid w:val="00A212B9"/>
    <w:rsid w:val="00A231D3"/>
    <w:rsid w:val="00A25439"/>
    <w:rsid w:val="00A255F1"/>
    <w:rsid w:val="00A25B62"/>
    <w:rsid w:val="00A26625"/>
    <w:rsid w:val="00A31927"/>
    <w:rsid w:val="00A31F35"/>
    <w:rsid w:val="00A322CD"/>
    <w:rsid w:val="00A32D2D"/>
    <w:rsid w:val="00A337AE"/>
    <w:rsid w:val="00A33DD0"/>
    <w:rsid w:val="00A34DB0"/>
    <w:rsid w:val="00A37830"/>
    <w:rsid w:val="00A37CB3"/>
    <w:rsid w:val="00A4575F"/>
    <w:rsid w:val="00A464C9"/>
    <w:rsid w:val="00A52379"/>
    <w:rsid w:val="00A61165"/>
    <w:rsid w:val="00A64065"/>
    <w:rsid w:val="00A67055"/>
    <w:rsid w:val="00A6731D"/>
    <w:rsid w:val="00A674AE"/>
    <w:rsid w:val="00A67F96"/>
    <w:rsid w:val="00A707CE"/>
    <w:rsid w:val="00A71FAF"/>
    <w:rsid w:val="00A72577"/>
    <w:rsid w:val="00A72C07"/>
    <w:rsid w:val="00A73485"/>
    <w:rsid w:val="00A74505"/>
    <w:rsid w:val="00A74D66"/>
    <w:rsid w:val="00A7623F"/>
    <w:rsid w:val="00A817D3"/>
    <w:rsid w:val="00A82188"/>
    <w:rsid w:val="00A83FF7"/>
    <w:rsid w:val="00A850C5"/>
    <w:rsid w:val="00A85412"/>
    <w:rsid w:val="00A85AA7"/>
    <w:rsid w:val="00A90984"/>
    <w:rsid w:val="00A92047"/>
    <w:rsid w:val="00A93EB4"/>
    <w:rsid w:val="00A945C9"/>
    <w:rsid w:val="00A94747"/>
    <w:rsid w:val="00A94B7B"/>
    <w:rsid w:val="00A94D36"/>
    <w:rsid w:val="00A95666"/>
    <w:rsid w:val="00A95CA5"/>
    <w:rsid w:val="00A964AB"/>
    <w:rsid w:val="00AA0068"/>
    <w:rsid w:val="00AA0559"/>
    <w:rsid w:val="00AA1471"/>
    <w:rsid w:val="00AA23F7"/>
    <w:rsid w:val="00AA26EF"/>
    <w:rsid w:val="00AA46C4"/>
    <w:rsid w:val="00AA5248"/>
    <w:rsid w:val="00AA569F"/>
    <w:rsid w:val="00AA6496"/>
    <w:rsid w:val="00AA7BE4"/>
    <w:rsid w:val="00AB3DA2"/>
    <w:rsid w:val="00AB4689"/>
    <w:rsid w:val="00AB4CA2"/>
    <w:rsid w:val="00AB557D"/>
    <w:rsid w:val="00AB595F"/>
    <w:rsid w:val="00AB5B04"/>
    <w:rsid w:val="00AB6B6D"/>
    <w:rsid w:val="00AC2DDF"/>
    <w:rsid w:val="00AC44D3"/>
    <w:rsid w:val="00AC4921"/>
    <w:rsid w:val="00AC4D0D"/>
    <w:rsid w:val="00AC4F19"/>
    <w:rsid w:val="00AC5CC3"/>
    <w:rsid w:val="00AD04BF"/>
    <w:rsid w:val="00AD04CA"/>
    <w:rsid w:val="00AD089F"/>
    <w:rsid w:val="00AD0C8E"/>
    <w:rsid w:val="00AD0EDE"/>
    <w:rsid w:val="00AD1A8B"/>
    <w:rsid w:val="00AD2914"/>
    <w:rsid w:val="00AD29B6"/>
    <w:rsid w:val="00AD2DCE"/>
    <w:rsid w:val="00AD46EA"/>
    <w:rsid w:val="00AD6E0E"/>
    <w:rsid w:val="00AD785C"/>
    <w:rsid w:val="00AD7EF9"/>
    <w:rsid w:val="00AE1536"/>
    <w:rsid w:val="00AE1E43"/>
    <w:rsid w:val="00AE2B61"/>
    <w:rsid w:val="00AE3AB3"/>
    <w:rsid w:val="00AE4738"/>
    <w:rsid w:val="00AE6F1B"/>
    <w:rsid w:val="00AE7D3A"/>
    <w:rsid w:val="00AF383C"/>
    <w:rsid w:val="00AF5FC4"/>
    <w:rsid w:val="00AF670E"/>
    <w:rsid w:val="00AF7025"/>
    <w:rsid w:val="00B006E6"/>
    <w:rsid w:val="00B02C26"/>
    <w:rsid w:val="00B05773"/>
    <w:rsid w:val="00B0731F"/>
    <w:rsid w:val="00B07421"/>
    <w:rsid w:val="00B10FB7"/>
    <w:rsid w:val="00B1165F"/>
    <w:rsid w:val="00B123C9"/>
    <w:rsid w:val="00B12718"/>
    <w:rsid w:val="00B14A6A"/>
    <w:rsid w:val="00B16AF5"/>
    <w:rsid w:val="00B174AE"/>
    <w:rsid w:val="00B17E7B"/>
    <w:rsid w:val="00B20249"/>
    <w:rsid w:val="00B207A6"/>
    <w:rsid w:val="00B24A0E"/>
    <w:rsid w:val="00B25F08"/>
    <w:rsid w:val="00B303BB"/>
    <w:rsid w:val="00B31110"/>
    <w:rsid w:val="00B3206A"/>
    <w:rsid w:val="00B340C9"/>
    <w:rsid w:val="00B350E8"/>
    <w:rsid w:val="00B35615"/>
    <w:rsid w:val="00B36B10"/>
    <w:rsid w:val="00B37ECD"/>
    <w:rsid w:val="00B40782"/>
    <w:rsid w:val="00B410C5"/>
    <w:rsid w:val="00B430BC"/>
    <w:rsid w:val="00B457B0"/>
    <w:rsid w:val="00B470CC"/>
    <w:rsid w:val="00B47302"/>
    <w:rsid w:val="00B51964"/>
    <w:rsid w:val="00B5253B"/>
    <w:rsid w:val="00B52EDA"/>
    <w:rsid w:val="00B538F1"/>
    <w:rsid w:val="00B53A20"/>
    <w:rsid w:val="00B552EC"/>
    <w:rsid w:val="00B555C6"/>
    <w:rsid w:val="00B56192"/>
    <w:rsid w:val="00B60DE3"/>
    <w:rsid w:val="00B63C4F"/>
    <w:rsid w:val="00B64676"/>
    <w:rsid w:val="00B64CA8"/>
    <w:rsid w:val="00B66D85"/>
    <w:rsid w:val="00B706BC"/>
    <w:rsid w:val="00B70728"/>
    <w:rsid w:val="00B720A4"/>
    <w:rsid w:val="00B73C3A"/>
    <w:rsid w:val="00B74DA9"/>
    <w:rsid w:val="00B77C4D"/>
    <w:rsid w:val="00B77D8E"/>
    <w:rsid w:val="00B80BCC"/>
    <w:rsid w:val="00B81112"/>
    <w:rsid w:val="00B826FC"/>
    <w:rsid w:val="00B828EC"/>
    <w:rsid w:val="00B82AA5"/>
    <w:rsid w:val="00B83628"/>
    <w:rsid w:val="00B843E8"/>
    <w:rsid w:val="00B84473"/>
    <w:rsid w:val="00B84FD7"/>
    <w:rsid w:val="00B85929"/>
    <w:rsid w:val="00B85B89"/>
    <w:rsid w:val="00B85C8F"/>
    <w:rsid w:val="00B92335"/>
    <w:rsid w:val="00BA14C2"/>
    <w:rsid w:val="00BA1DCC"/>
    <w:rsid w:val="00BA2134"/>
    <w:rsid w:val="00BA4E61"/>
    <w:rsid w:val="00BA692E"/>
    <w:rsid w:val="00BA7C2C"/>
    <w:rsid w:val="00BB16F3"/>
    <w:rsid w:val="00BB28DD"/>
    <w:rsid w:val="00BC0E9E"/>
    <w:rsid w:val="00BC1605"/>
    <w:rsid w:val="00BC2501"/>
    <w:rsid w:val="00BC280A"/>
    <w:rsid w:val="00BC39ED"/>
    <w:rsid w:val="00BC3BE1"/>
    <w:rsid w:val="00BC44E6"/>
    <w:rsid w:val="00BC5CCF"/>
    <w:rsid w:val="00BC74F4"/>
    <w:rsid w:val="00BC7BD1"/>
    <w:rsid w:val="00BD01BD"/>
    <w:rsid w:val="00BD1417"/>
    <w:rsid w:val="00BD1F37"/>
    <w:rsid w:val="00BD4D01"/>
    <w:rsid w:val="00BD65A0"/>
    <w:rsid w:val="00BD7C60"/>
    <w:rsid w:val="00BE2A6D"/>
    <w:rsid w:val="00BE2F4D"/>
    <w:rsid w:val="00BE3A41"/>
    <w:rsid w:val="00BF00AA"/>
    <w:rsid w:val="00BF183A"/>
    <w:rsid w:val="00BF412B"/>
    <w:rsid w:val="00BF4287"/>
    <w:rsid w:val="00BF5E14"/>
    <w:rsid w:val="00BF742C"/>
    <w:rsid w:val="00BF7921"/>
    <w:rsid w:val="00C030EE"/>
    <w:rsid w:val="00C03DA1"/>
    <w:rsid w:val="00C0596F"/>
    <w:rsid w:val="00C05A02"/>
    <w:rsid w:val="00C06247"/>
    <w:rsid w:val="00C10125"/>
    <w:rsid w:val="00C10396"/>
    <w:rsid w:val="00C135FF"/>
    <w:rsid w:val="00C13B1E"/>
    <w:rsid w:val="00C23C7F"/>
    <w:rsid w:val="00C27010"/>
    <w:rsid w:val="00C276A7"/>
    <w:rsid w:val="00C30426"/>
    <w:rsid w:val="00C32170"/>
    <w:rsid w:val="00C35CBB"/>
    <w:rsid w:val="00C372C1"/>
    <w:rsid w:val="00C40214"/>
    <w:rsid w:val="00C409E4"/>
    <w:rsid w:val="00C43ADF"/>
    <w:rsid w:val="00C449C9"/>
    <w:rsid w:val="00C44D8F"/>
    <w:rsid w:val="00C46A82"/>
    <w:rsid w:val="00C46B06"/>
    <w:rsid w:val="00C47246"/>
    <w:rsid w:val="00C47BD5"/>
    <w:rsid w:val="00C504A2"/>
    <w:rsid w:val="00C50567"/>
    <w:rsid w:val="00C51925"/>
    <w:rsid w:val="00C52E59"/>
    <w:rsid w:val="00C53F2A"/>
    <w:rsid w:val="00C549CD"/>
    <w:rsid w:val="00C55317"/>
    <w:rsid w:val="00C56163"/>
    <w:rsid w:val="00C566C6"/>
    <w:rsid w:val="00C623A7"/>
    <w:rsid w:val="00C62500"/>
    <w:rsid w:val="00C63A65"/>
    <w:rsid w:val="00C64F0F"/>
    <w:rsid w:val="00C66860"/>
    <w:rsid w:val="00C66F93"/>
    <w:rsid w:val="00C66FC9"/>
    <w:rsid w:val="00C6726C"/>
    <w:rsid w:val="00C6748F"/>
    <w:rsid w:val="00C67B24"/>
    <w:rsid w:val="00C70C0B"/>
    <w:rsid w:val="00C70ED8"/>
    <w:rsid w:val="00C71CCD"/>
    <w:rsid w:val="00C71D33"/>
    <w:rsid w:val="00C72751"/>
    <w:rsid w:val="00C733E6"/>
    <w:rsid w:val="00C73813"/>
    <w:rsid w:val="00C76570"/>
    <w:rsid w:val="00C77369"/>
    <w:rsid w:val="00C80C47"/>
    <w:rsid w:val="00C81D42"/>
    <w:rsid w:val="00C84A88"/>
    <w:rsid w:val="00C85977"/>
    <w:rsid w:val="00C86312"/>
    <w:rsid w:val="00C86C28"/>
    <w:rsid w:val="00C87336"/>
    <w:rsid w:val="00C878B1"/>
    <w:rsid w:val="00C90CD0"/>
    <w:rsid w:val="00C9213A"/>
    <w:rsid w:val="00C93122"/>
    <w:rsid w:val="00C951AC"/>
    <w:rsid w:val="00C95BC4"/>
    <w:rsid w:val="00C963AF"/>
    <w:rsid w:val="00C96762"/>
    <w:rsid w:val="00C97D72"/>
    <w:rsid w:val="00CA1DE2"/>
    <w:rsid w:val="00CA5096"/>
    <w:rsid w:val="00CB1721"/>
    <w:rsid w:val="00CB2153"/>
    <w:rsid w:val="00CB23ED"/>
    <w:rsid w:val="00CB29B8"/>
    <w:rsid w:val="00CB34F8"/>
    <w:rsid w:val="00CB3CE9"/>
    <w:rsid w:val="00CB52A1"/>
    <w:rsid w:val="00CB643B"/>
    <w:rsid w:val="00CB7CA0"/>
    <w:rsid w:val="00CC18A8"/>
    <w:rsid w:val="00CC7558"/>
    <w:rsid w:val="00CC7AD0"/>
    <w:rsid w:val="00CD2C34"/>
    <w:rsid w:val="00CD2E9A"/>
    <w:rsid w:val="00CD3140"/>
    <w:rsid w:val="00CD3422"/>
    <w:rsid w:val="00CD422C"/>
    <w:rsid w:val="00CD4E4C"/>
    <w:rsid w:val="00CD5420"/>
    <w:rsid w:val="00CD558A"/>
    <w:rsid w:val="00CD5BA1"/>
    <w:rsid w:val="00CD6D38"/>
    <w:rsid w:val="00CD6F4C"/>
    <w:rsid w:val="00CD781E"/>
    <w:rsid w:val="00CE01CE"/>
    <w:rsid w:val="00CE1C8F"/>
    <w:rsid w:val="00CE2124"/>
    <w:rsid w:val="00CE3B98"/>
    <w:rsid w:val="00CE5405"/>
    <w:rsid w:val="00CE5733"/>
    <w:rsid w:val="00CE6738"/>
    <w:rsid w:val="00CE7009"/>
    <w:rsid w:val="00CE73F6"/>
    <w:rsid w:val="00CF01D4"/>
    <w:rsid w:val="00CF5C74"/>
    <w:rsid w:val="00CF719C"/>
    <w:rsid w:val="00CF721C"/>
    <w:rsid w:val="00D00338"/>
    <w:rsid w:val="00D017B8"/>
    <w:rsid w:val="00D03D4B"/>
    <w:rsid w:val="00D0665B"/>
    <w:rsid w:val="00D06A89"/>
    <w:rsid w:val="00D06AA6"/>
    <w:rsid w:val="00D079D7"/>
    <w:rsid w:val="00D11B23"/>
    <w:rsid w:val="00D12B72"/>
    <w:rsid w:val="00D13F6C"/>
    <w:rsid w:val="00D14783"/>
    <w:rsid w:val="00D15DDE"/>
    <w:rsid w:val="00D163B1"/>
    <w:rsid w:val="00D207A7"/>
    <w:rsid w:val="00D216D1"/>
    <w:rsid w:val="00D2186A"/>
    <w:rsid w:val="00D277D6"/>
    <w:rsid w:val="00D30560"/>
    <w:rsid w:val="00D326A7"/>
    <w:rsid w:val="00D32734"/>
    <w:rsid w:val="00D35082"/>
    <w:rsid w:val="00D379BA"/>
    <w:rsid w:val="00D37A83"/>
    <w:rsid w:val="00D433B7"/>
    <w:rsid w:val="00D44970"/>
    <w:rsid w:val="00D44BB8"/>
    <w:rsid w:val="00D46B69"/>
    <w:rsid w:val="00D47CB8"/>
    <w:rsid w:val="00D530D4"/>
    <w:rsid w:val="00D5564E"/>
    <w:rsid w:val="00D5620B"/>
    <w:rsid w:val="00D579D6"/>
    <w:rsid w:val="00D610EE"/>
    <w:rsid w:val="00D61559"/>
    <w:rsid w:val="00D615D2"/>
    <w:rsid w:val="00D61A12"/>
    <w:rsid w:val="00D63F87"/>
    <w:rsid w:val="00D65BCB"/>
    <w:rsid w:val="00D66090"/>
    <w:rsid w:val="00D709E3"/>
    <w:rsid w:val="00D70A1E"/>
    <w:rsid w:val="00D71ADB"/>
    <w:rsid w:val="00D72DBB"/>
    <w:rsid w:val="00D730E5"/>
    <w:rsid w:val="00D73158"/>
    <w:rsid w:val="00D73BA1"/>
    <w:rsid w:val="00D741B0"/>
    <w:rsid w:val="00D75219"/>
    <w:rsid w:val="00D76AF5"/>
    <w:rsid w:val="00D77AC7"/>
    <w:rsid w:val="00D81186"/>
    <w:rsid w:val="00D8154F"/>
    <w:rsid w:val="00D8173B"/>
    <w:rsid w:val="00D81A69"/>
    <w:rsid w:val="00D81B7E"/>
    <w:rsid w:val="00D839D6"/>
    <w:rsid w:val="00D842BD"/>
    <w:rsid w:val="00D8431F"/>
    <w:rsid w:val="00D86844"/>
    <w:rsid w:val="00D86AA6"/>
    <w:rsid w:val="00D925AE"/>
    <w:rsid w:val="00D946F2"/>
    <w:rsid w:val="00D9735E"/>
    <w:rsid w:val="00DA0344"/>
    <w:rsid w:val="00DA5908"/>
    <w:rsid w:val="00DA7796"/>
    <w:rsid w:val="00DB1795"/>
    <w:rsid w:val="00DB4585"/>
    <w:rsid w:val="00DB6075"/>
    <w:rsid w:val="00DB7243"/>
    <w:rsid w:val="00DB769F"/>
    <w:rsid w:val="00DB7996"/>
    <w:rsid w:val="00DC4421"/>
    <w:rsid w:val="00DC4B69"/>
    <w:rsid w:val="00DC5C6E"/>
    <w:rsid w:val="00DC5EF1"/>
    <w:rsid w:val="00DC6AE4"/>
    <w:rsid w:val="00DC76C9"/>
    <w:rsid w:val="00DD153D"/>
    <w:rsid w:val="00DD249D"/>
    <w:rsid w:val="00DD2842"/>
    <w:rsid w:val="00DD313C"/>
    <w:rsid w:val="00DD51C2"/>
    <w:rsid w:val="00DD5352"/>
    <w:rsid w:val="00DD5C08"/>
    <w:rsid w:val="00DD60C3"/>
    <w:rsid w:val="00DD6B28"/>
    <w:rsid w:val="00DD7663"/>
    <w:rsid w:val="00DE3F95"/>
    <w:rsid w:val="00DE4C88"/>
    <w:rsid w:val="00DE5DA1"/>
    <w:rsid w:val="00DE7773"/>
    <w:rsid w:val="00DF0028"/>
    <w:rsid w:val="00DF04CB"/>
    <w:rsid w:val="00DF100E"/>
    <w:rsid w:val="00DF41D5"/>
    <w:rsid w:val="00DF4978"/>
    <w:rsid w:val="00DF773C"/>
    <w:rsid w:val="00E01155"/>
    <w:rsid w:val="00E02C87"/>
    <w:rsid w:val="00E05177"/>
    <w:rsid w:val="00E0607C"/>
    <w:rsid w:val="00E06916"/>
    <w:rsid w:val="00E069D1"/>
    <w:rsid w:val="00E07429"/>
    <w:rsid w:val="00E10354"/>
    <w:rsid w:val="00E122FA"/>
    <w:rsid w:val="00E14D16"/>
    <w:rsid w:val="00E155EA"/>
    <w:rsid w:val="00E158B2"/>
    <w:rsid w:val="00E15E11"/>
    <w:rsid w:val="00E173A2"/>
    <w:rsid w:val="00E17B11"/>
    <w:rsid w:val="00E20D7A"/>
    <w:rsid w:val="00E21E27"/>
    <w:rsid w:val="00E22611"/>
    <w:rsid w:val="00E2687B"/>
    <w:rsid w:val="00E27374"/>
    <w:rsid w:val="00E3205A"/>
    <w:rsid w:val="00E33C34"/>
    <w:rsid w:val="00E3407D"/>
    <w:rsid w:val="00E3578A"/>
    <w:rsid w:val="00E40825"/>
    <w:rsid w:val="00E44266"/>
    <w:rsid w:val="00E44E1B"/>
    <w:rsid w:val="00E451F2"/>
    <w:rsid w:val="00E452DB"/>
    <w:rsid w:val="00E45F9C"/>
    <w:rsid w:val="00E465BA"/>
    <w:rsid w:val="00E46A78"/>
    <w:rsid w:val="00E50650"/>
    <w:rsid w:val="00E512ED"/>
    <w:rsid w:val="00E520F7"/>
    <w:rsid w:val="00E52DE4"/>
    <w:rsid w:val="00E53143"/>
    <w:rsid w:val="00E539EF"/>
    <w:rsid w:val="00E55E08"/>
    <w:rsid w:val="00E569E6"/>
    <w:rsid w:val="00E56C78"/>
    <w:rsid w:val="00E57484"/>
    <w:rsid w:val="00E60731"/>
    <w:rsid w:val="00E6197E"/>
    <w:rsid w:val="00E62016"/>
    <w:rsid w:val="00E62D71"/>
    <w:rsid w:val="00E636A2"/>
    <w:rsid w:val="00E64712"/>
    <w:rsid w:val="00E64CE9"/>
    <w:rsid w:val="00E64D27"/>
    <w:rsid w:val="00E652AB"/>
    <w:rsid w:val="00E65A6D"/>
    <w:rsid w:val="00E669AA"/>
    <w:rsid w:val="00E701CC"/>
    <w:rsid w:val="00E70272"/>
    <w:rsid w:val="00E70AE3"/>
    <w:rsid w:val="00E720B1"/>
    <w:rsid w:val="00E72CC4"/>
    <w:rsid w:val="00E74022"/>
    <w:rsid w:val="00E74DEC"/>
    <w:rsid w:val="00E759CC"/>
    <w:rsid w:val="00E76AE6"/>
    <w:rsid w:val="00E80397"/>
    <w:rsid w:val="00E80ED0"/>
    <w:rsid w:val="00E85147"/>
    <w:rsid w:val="00E861F9"/>
    <w:rsid w:val="00E86E06"/>
    <w:rsid w:val="00E87A76"/>
    <w:rsid w:val="00E87F24"/>
    <w:rsid w:val="00E90002"/>
    <w:rsid w:val="00E9064B"/>
    <w:rsid w:val="00E91685"/>
    <w:rsid w:val="00E924D1"/>
    <w:rsid w:val="00E97D54"/>
    <w:rsid w:val="00EA04F7"/>
    <w:rsid w:val="00EA0671"/>
    <w:rsid w:val="00EA2152"/>
    <w:rsid w:val="00EA2AC6"/>
    <w:rsid w:val="00EA3193"/>
    <w:rsid w:val="00EA3352"/>
    <w:rsid w:val="00EA4753"/>
    <w:rsid w:val="00EA6313"/>
    <w:rsid w:val="00EA747E"/>
    <w:rsid w:val="00EB2551"/>
    <w:rsid w:val="00EB46C8"/>
    <w:rsid w:val="00EB4A71"/>
    <w:rsid w:val="00EB6AEA"/>
    <w:rsid w:val="00EC113E"/>
    <w:rsid w:val="00EC1246"/>
    <w:rsid w:val="00EC1705"/>
    <w:rsid w:val="00EC2802"/>
    <w:rsid w:val="00EC42D9"/>
    <w:rsid w:val="00EC622C"/>
    <w:rsid w:val="00EC6755"/>
    <w:rsid w:val="00ED00D3"/>
    <w:rsid w:val="00ED0803"/>
    <w:rsid w:val="00ED34B2"/>
    <w:rsid w:val="00ED35E0"/>
    <w:rsid w:val="00ED41E3"/>
    <w:rsid w:val="00ED50D1"/>
    <w:rsid w:val="00ED5D3F"/>
    <w:rsid w:val="00ED7CD8"/>
    <w:rsid w:val="00EE12E9"/>
    <w:rsid w:val="00EE29A8"/>
    <w:rsid w:val="00EE3FD9"/>
    <w:rsid w:val="00EE408F"/>
    <w:rsid w:val="00EE4284"/>
    <w:rsid w:val="00EE4CA6"/>
    <w:rsid w:val="00EE5339"/>
    <w:rsid w:val="00EE6221"/>
    <w:rsid w:val="00EF0AFA"/>
    <w:rsid w:val="00EF49A3"/>
    <w:rsid w:val="00F03569"/>
    <w:rsid w:val="00F04BA1"/>
    <w:rsid w:val="00F05024"/>
    <w:rsid w:val="00F105FF"/>
    <w:rsid w:val="00F11C90"/>
    <w:rsid w:val="00F1205D"/>
    <w:rsid w:val="00F142D3"/>
    <w:rsid w:val="00F2050A"/>
    <w:rsid w:val="00F21B05"/>
    <w:rsid w:val="00F2293F"/>
    <w:rsid w:val="00F22B34"/>
    <w:rsid w:val="00F22C1B"/>
    <w:rsid w:val="00F24150"/>
    <w:rsid w:val="00F24536"/>
    <w:rsid w:val="00F247BC"/>
    <w:rsid w:val="00F2652C"/>
    <w:rsid w:val="00F26C82"/>
    <w:rsid w:val="00F279FE"/>
    <w:rsid w:val="00F307A0"/>
    <w:rsid w:val="00F31203"/>
    <w:rsid w:val="00F33456"/>
    <w:rsid w:val="00F33936"/>
    <w:rsid w:val="00F33CBF"/>
    <w:rsid w:val="00F3431B"/>
    <w:rsid w:val="00F34651"/>
    <w:rsid w:val="00F35EE9"/>
    <w:rsid w:val="00F35FA6"/>
    <w:rsid w:val="00F36555"/>
    <w:rsid w:val="00F37F19"/>
    <w:rsid w:val="00F4136D"/>
    <w:rsid w:val="00F4169E"/>
    <w:rsid w:val="00F421EA"/>
    <w:rsid w:val="00F429C5"/>
    <w:rsid w:val="00F42D68"/>
    <w:rsid w:val="00F45616"/>
    <w:rsid w:val="00F54006"/>
    <w:rsid w:val="00F5753E"/>
    <w:rsid w:val="00F604F9"/>
    <w:rsid w:val="00F624E2"/>
    <w:rsid w:val="00F62860"/>
    <w:rsid w:val="00F62D87"/>
    <w:rsid w:val="00F63FD0"/>
    <w:rsid w:val="00F654A4"/>
    <w:rsid w:val="00F66AC5"/>
    <w:rsid w:val="00F67582"/>
    <w:rsid w:val="00F67FDE"/>
    <w:rsid w:val="00F70779"/>
    <w:rsid w:val="00F722B3"/>
    <w:rsid w:val="00F72794"/>
    <w:rsid w:val="00F7461F"/>
    <w:rsid w:val="00F7762D"/>
    <w:rsid w:val="00F8191D"/>
    <w:rsid w:val="00F81BD4"/>
    <w:rsid w:val="00F81F82"/>
    <w:rsid w:val="00F826A7"/>
    <w:rsid w:val="00F83FD2"/>
    <w:rsid w:val="00F846FB"/>
    <w:rsid w:val="00F85C9D"/>
    <w:rsid w:val="00F86D0A"/>
    <w:rsid w:val="00F932DD"/>
    <w:rsid w:val="00F93A4C"/>
    <w:rsid w:val="00F945D2"/>
    <w:rsid w:val="00F94CC3"/>
    <w:rsid w:val="00F953FA"/>
    <w:rsid w:val="00F97C33"/>
    <w:rsid w:val="00F97C40"/>
    <w:rsid w:val="00F97F33"/>
    <w:rsid w:val="00FA0F1A"/>
    <w:rsid w:val="00FA17A2"/>
    <w:rsid w:val="00FA2830"/>
    <w:rsid w:val="00FA44DB"/>
    <w:rsid w:val="00FA594F"/>
    <w:rsid w:val="00FB3FBF"/>
    <w:rsid w:val="00FB4B55"/>
    <w:rsid w:val="00FB5081"/>
    <w:rsid w:val="00FB6609"/>
    <w:rsid w:val="00FC4C3B"/>
    <w:rsid w:val="00FC7257"/>
    <w:rsid w:val="00FC74DF"/>
    <w:rsid w:val="00FC770C"/>
    <w:rsid w:val="00FD09EF"/>
    <w:rsid w:val="00FD2650"/>
    <w:rsid w:val="00FD32E9"/>
    <w:rsid w:val="00FD34CB"/>
    <w:rsid w:val="00FD3E04"/>
    <w:rsid w:val="00FD4714"/>
    <w:rsid w:val="00FD687B"/>
    <w:rsid w:val="00FD7092"/>
    <w:rsid w:val="00FE17D6"/>
    <w:rsid w:val="00FE4B87"/>
    <w:rsid w:val="00FE6EDB"/>
    <w:rsid w:val="00FF014D"/>
    <w:rsid w:val="00FF0780"/>
    <w:rsid w:val="00FF2010"/>
    <w:rsid w:val="00FF2319"/>
    <w:rsid w:val="00FF39F1"/>
    <w:rsid w:val="00FF60D4"/>
    <w:rsid w:val="00FF61D8"/>
    <w:rsid w:val="00FF69BB"/>
    <w:rsid w:val="00FF7EA4"/>
    <w:rsid w:val="00FF7E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447B2"/>
  <w15:docId w15:val="{644E03D6-A906-4742-BD29-28FC86A0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206A"/>
    <w:pPr>
      <w:autoSpaceDN w:val="0"/>
      <w:spacing w:line="240" w:lineRule="auto"/>
      <w:jc w:val="both"/>
      <w:textAlignment w:val="baseline"/>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basedOn w:val="Normal"/>
    <w:next w:val="Normal"/>
    <w:autoRedefine/>
    <w:rsid w:val="007A6FC6"/>
    <w:pPr>
      <w:framePr w:hSpace="180" w:wrap="around" w:vAnchor="text" w:hAnchor="margin" w:y="93"/>
      <w:spacing w:before="1400" w:after="180"/>
      <w:jc w:val="center"/>
    </w:pPr>
    <w:rPr>
      <w:rFonts w:ascii="Times New Roman" w:hAnsi="Times New Roman"/>
      <w:kern w:val="3"/>
      <w:sz w:val="18"/>
      <w:szCs w:val="18"/>
    </w:rPr>
  </w:style>
  <w:style w:type="paragraph" w:customStyle="1" w:styleId="BCAuthorAddress">
    <w:name w:val="BC_Author_Address"/>
    <w:basedOn w:val="Normal"/>
    <w:next w:val="Normal"/>
    <w:autoRedefine/>
    <w:rsid w:val="00FE4B87"/>
    <w:pPr>
      <w:spacing w:before="240" w:after="60"/>
    </w:pPr>
    <w:rPr>
      <w:rFonts w:ascii="Arno Pro" w:hAnsi="Arno Pro"/>
      <w:kern w:val="3"/>
      <w:sz w:val="20"/>
    </w:rPr>
  </w:style>
  <w:style w:type="paragraph" w:customStyle="1" w:styleId="BDAbstract">
    <w:name w:val="BD_Abstract"/>
    <w:basedOn w:val="Normal"/>
    <w:next w:val="Normal"/>
    <w:autoRedefine/>
    <w:rsid w:val="00F33CBF"/>
    <w:pPr>
      <w:pBdr>
        <w:top w:val="single" w:sz="4" w:space="1" w:color="000000"/>
        <w:bottom w:val="single" w:sz="4" w:space="1" w:color="000000"/>
      </w:pBdr>
      <w:spacing w:before="100" w:after="600"/>
      <w:jc w:val="left"/>
    </w:pPr>
    <w:rPr>
      <w:rFonts w:ascii="Arno Pro" w:hAnsi="Arno Pro"/>
      <w:kern w:val="3"/>
      <w:sz w:val="19"/>
    </w:rPr>
  </w:style>
  <w:style w:type="character" w:customStyle="1" w:styleId="BDAbstractTitleChar">
    <w:name w:val="BD_Abstract_Title Char"/>
    <w:rsid w:val="00F33CBF"/>
    <w:rPr>
      <w:rFonts w:ascii="Arno Pro" w:hAnsi="Arno Pro"/>
      <w:b/>
      <w:kern w:val="3"/>
      <w:sz w:val="19"/>
      <w:lang w:val="en-US" w:eastAsia="en-US" w:bidi="ar-SA"/>
    </w:rPr>
  </w:style>
  <w:style w:type="paragraph" w:styleId="ListParagraph">
    <w:name w:val="List Paragraph"/>
    <w:basedOn w:val="Normal"/>
    <w:uiPriority w:val="34"/>
    <w:qFormat/>
    <w:rsid w:val="00F21B05"/>
    <w:pPr>
      <w:ind w:left="720"/>
      <w:contextualSpacing/>
    </w:pPr>
  </w:style>
  <w:style w:type="paragraph" w:styleId="BalloonText">
    <w:name w:val="Balloon Text"/>
    <w:basedOn w:val="Normal"/>
    <w:link w:val="BalloonTextChar"/>
    <w:uiPriority w:val="99"/>
    <w:semiHidden/>
    <w:unhideWhenUsed/>
    <w:rsid w:val="00F21B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05"/>
    <w:rPr>
      <w:rFonts w:ascii="Tahoma" w:eastAsia="Times New Roman" w:hAnsi="Tahoma" w:cs="Tahoma"/>
      <w:sz w:val="16"/>
      <w:szCs w:val="16"/>
      <w:lang w:val="en-US"/>
    </w:rPr>
  </w:style>
  <w:style w:type="table" w:styleId="MediumShading2">
    <w:name w:val="Medium Shading 2"/>
    <w:basedOn w:val="TableNormal"/>
    <w:uiPriority w:val="64"/>
    <w:rsid w:val="008E2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E520F7"/>
    <w:rPr>
      <w:color w:val="0000FF" w:themeColor="hyperlink"/>
      <w:u w:val="single"/>
    </w:rPr>
  </w:style>
  <w:style w:type="paragraph" w:styleId="NormalWeb">
    <w:name w:val="Normal (Web)"/>
    <w:basedOn w:val="Normal"/>
    <w:uiPriority w:val="99"/>
    <w:unhideWhenUsed/>
    <w:rsid w:val="00170419"/>
    <w:pPr>
      <w:autoSpaceDN/>
      <w:spacing w:before="100" w:beforeAutospacing="1" w:after="100" w:afterAutospacing="1"/>
      <w:jc w:val="left"/>
      <w:textAlignment w:val="auto"/>
    </w:pPr>
    <w:rPr>
      <w:rFonts w:ascii="Times New Roman" w:hAnsi="Times New Roman"/>
      <w:szCs w:val="24"/>
      <w:lang w:val="en-GB" w:eastAsia="en-GB"/>
    </w:rPr>
  </w:style>
  <w:style w:type="table" w:styleId="TableGrid">
    <w:name w:val="Table Grid"/>
    <w:basedOn w:val="TableNormal"/>
    <w:uiPriority w:val="59"/>
    <w:rsid w:val="0017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1704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1704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64193"/>
    <w:pPr>
      <w:tabs>
        <w:tab w:val="center" w:pos="4513"/>
        <w:tab w:val="right" w:pos="9026"/>
      </w:tabs>
      <w:spacing w:after="0"/>
    </w:pPr>
  </w:style>
  <w:style w:type="character" w:customStyle="1" w:styleId="HeaderChar">
    <w:name w:val="Header Char"/>
    <w:basedOn w:val="DefaultParagraphFont"/>
    <w:link w:val="Header"/>
    <w:uiPriority w:val="99"/>
    <w:rsid w:val="00364193"/>
    <w:rPr>
      <w:rFonts w:ascii="Times" w:eastAsia="Times New Roman" w:hAnsi="Times" w:cs="Times New Roman"/>
      <w:sz w:val="24"/>
      <w:szCs w:val="20"/>
      <w:lang w:val="en-US"/>
    </w:rPr>
  </w:style>
  <w:style w:type="paragraph" w:styleId="Footer">
    <w:name w:val="footer"/>
    <w:basedOn w:val="Normal"/>
    <w:link w:val="FooterChar"/>
    <w:uiPriority w:val="99"/>
    <w:unhideWhenUsed/>
    <w:rsid w:val="00364193"/>
    <w:pPr>
      <w:tabs>
        <w:tab w:val="center" w:pos="4513"/>
        <w:tab w:val="right" w:pos="9026"/>
      </w:tabs>
      <w:spacing w:after="0"/>
    </w:pPr>
  </w:style>
  <w:style w:type="character" w:customStyle="1" w:styleId="FooterChar">
    <w:name w:val="Footer Char"/>
    <w:basedOn w:val="DefaultParagraphFont"/>
    <w:link w:val="Footer"/>
    <w:uiPriority w:val="99"/>
    <w:rsid w:val="00364193"/>
    <w:rPr>
      <w:rFonts w:ascii="Times" w:eastAsia="Times New Roman" w:hAnsi="Times" w:cs="Times New Roman"/>
      <w:sz w:val="24"/>
      <w:szCs w:val="20"/>
      <w:lang w:val="en-US"/>
    </w:rPr>
  </w:style>
  <w:style w:type="paragraph" w:styleId="Caption">
    <w:name w:val="caption"/>
    <w:basedOn w:val="Normal"/>
    <w:next w:val="Normal"/>
    <w:uiPriority w:val="35"/>
    <w:unhideWhenUsed/>
    <w:qFormat/>
    <w:rsid w:val="009A1AA3"/>
    <w:rPr>
      <w:i/>
      <w:iCs/>
      <w:color w:val="1F497D" w:themeColor="text2"/>
      <w:sz w:val="18"/>
      <w:szCs w:val="18"/>
    </w:rPr>
  </w:style>
  <w:style w:type="table" w:styleId="LightList-Accent3">
    <w:name w:val="Light List Accent 3"/>
    <w:basedOn w:val="TableNormal"/>
    <w:uiPriority w:val="61"/>
    <w:rsid w:val="007559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Shading21">
    <w:name w:val="Medium Shading 21"/>
    <w:basedOn w:val="TableNormal"/>
    <w:next w:val="MediumShading2"/>
    <w:uiPriority w:val="64"/>
    <w:rsid w:val="00087C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087CD2"/>
    <w:rPr>
      <w:sz w:val="16"/>
      <w:szCs w:val="16"/>
    </w:rPr>
  </w:style>
  <w:style w:type="paragraph" w:styleId="CommentText">
    <w:name w:val="annotation text"/>
    <w:basedOn w:val="Normal"/>
    <w:link w:val="CommentTextChar"/>
    <w:uiPriority w:val="99"/>
    <w:semiHidden/>
    <w:unhideWhenUsed/>
    <w:rsid w:val="00087CD2"/>
    <w:rPr>
      <w:sz w:val="20"/>
    </w:rPr>
  </w:style>
  <w:style w:type="character" w:customStyle="1" w:styleId="CommentTextChar">
    <w:name w:val="Comment Text Char"/>
    <w:basedOn w:val="DefaultParagraphFont"/>
    <w:link w:val="CommentText"/>
    <w:uiPriority w:val="99"/>
    <w:semiHidden/>
    <w:rsid w:val="00087CD2"/>
    <w:rPr>
      <w:rFonts w:ascii="Times" w:eastAsia="Times New Roman" w:hAnsi="Times" w:cs="Times New Roman"/>
      <w:sz w:val="20"/>
      <w:szCs w:val="20"/>
      <w:lang w:val="en-US"/>
    </w:rPr>
  </w:style>
  <w:style w:type="table" w:customStyle="1" w:styleId="MediumShading22">
    <w:name w:val="Medium Shading 22"/>
    <w:basedOn w:val="TableNormal"/>
    <w:next w:val="MediumShading2"/>
    <w:uiPriority w:val="64"/>
    <w:rsid w:val="00087C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3E7A69"/>
    <w:pPr>
      <w:spacing w:after="0" w:line="240" w:lineRule="auto"/>
    </w:pPr>
    <w:rPr>
      <w:rFonts w:ascii="Times" w:eastAsia="Times New Roman" w:hAnsi="Times"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49386B"/>
    <w:rPr>
      <w:b/>
      <w:bCs/>
    </w:rPr>
  </w:style>
  <w:style w:type="character" w:customStyle="1" w:styleId="CommentSubjectChar">
    <w:name w:val="Comment Subject Char"/>
    <w:basedOn w:val="CommentTextChar"/>
    <w:link w:val="CommentSubject"/>
    <w:uiPriority w:val="99"/>
    <w:semiHidden/>
    <w:rsid w:val="0049386B"/>
    <w:rPr>
      <w:rFonts w:ascii="Times" w:eastAsia="Times New Roman" w:hAnsi="Times" w:cs="Times New Roman"/>
      <w:b/>
      <w:bCs/>
      <w:sz w:val="20"/>
      <w:szCs w:val="20"/>
      <w:lang w:val="en-US"/>
    </w:rPr>
  </w:style>
  <w:style w:type="character" w:styleId="UnresolvedMention">
    <w:name w:val="Unresolved Mention"/>
    <w:basedOn w:val="DefaultParagraphFont"/>
    <w:uiPriority w:val="99"/>
    <w:semiHidden/>
    <w:unhideWhenUsed/>
    <w:rsid w:val="00C96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2878">
      <w:bodyDiv w:val="1"/>
      <w:marLeft w:val="0"/>
      <w:marRight w:val="0"/>
      <w:marTop w:val="0"/>
      <w:marBottom w:val="0"/>
      <w:divBdr>
        <w:top w:val="none" w:sz="0" w:space="0" w:color="auto"/>
        <w:left w:val="none" w:sz="0" w:space="0" w:color="auto"/>
        <w:bottom w:val="none" w:sz="0" w:space="0" w:color="auto"/>
        <w:right w:val="none" w:sz="0" w:space="0" w:color="auto"/>
      </w:divBdr>
    </w:div>
    <w:div w:id="137041576">
      <w:bodyDiv w:val="1"/>
      <w:marLeft w:val="0"/>
      <w:marRight w:val="0"/>
      <w:marTop w:val="0"/>
      <w:marBottom w:val="0"/>
      <w:divBdr>
        <w:top w:val="none" w:sz="0" w:space="0" w:color="auto"/>
        <w:left w:val="none" w:sz="0" w:space="0" w:color="auto"/>
        <w:bottom w:val="none" w:sz="0" w:space="0" w:color="auto"/>
        <w:right w:val="none" w:sz="0" w:space="0" w:color="auto"/>
      </w:divBdr>
    </w:div>
    <w:div w:id="414862779">
      <w:bodyDiv w:val="1"/>
      <w:marLeft w:val="0"/>
      <w:marRight w:val="0"/>
      <w:marTop w:val="0"/>
      <w:marBottom w:val="0"/>
      <w:divBdr>
        <w:top w:val="none" w:sz="0" w:space="0" w:color="auto"/>
        <w:left w:val="none" w:sz="0" w:space="0" w:color="auto"/>
        <w:bottom w:val="none" w:sz="0" w:space="0" w:color="auto"/>
        <w:right w:val="none" w:sz="0" w:space="0" w:color="auto"/>
      </w:divBdr>
    </w:div>
    <w:div w:id="459960575">
      <w:bodyDiv w:val="1"/>
      <w:marLeft w:val="0"/>
      <w:marRight w:val="0"/>
      <w:marTop w:val="0"/>
      <w:marBottom w:val="0"/>
      <w:divBdr>
        <w:top w:val="none" w:sz="0" w:space="0" w:color="auto"/>
        <w:left w:val="none" w:sz="0" w:space="0" w:color="auto"/>
        <w:bottom w:val="none" w:sz="0" w:space="0" w:color="auto"/>
        <w:right w:val="none" w:sz="0" w:space="0" w:color="auto"/>
      </w:divBdr>
    </w:div>
    <w:div w:id="947929556">
      <w:bodyDiv w:val="1"/>
      <w:marLeft w:val="0"/>
      <w:marRight w:val="0"/>
      <w:marTop w:val="0"/>
      <w:marBottom w:val="0"/>
      <w:divBdr>
        <w:top w:val="none" w:sz="0" w:space="0" w:color="auto"/>
        <w:left w:val="none" w:sz="0" w:space="0" w:color="auto"/>
        <w:bottom w:val="none" w:sz="0" w:space="0" w:color="auto"/>
        <w:right w:val="none" w:sz="0" w:space="0" w:color="auto"/>
      </w:divBdr>
    </w:div>
    <w:div w:id="1160149593">
      <w:bodyDiv w:val="1"/>
      <w:marLeft w:val="0"/>
      <w:marRight w:val="0"/>
      <w:marTop w:val="0"/>
      <w:marBottom w:val="0"/>
      <w:divBdr>
        <w:top w:val="none" w:sz="0" w:space="0" w:color="auto"/>
        <w:left w:val="none" w:sz="0" w:space="0" w:color="auto"/>
        <w:bottom w:val="none" w:sz="0" w:space="0" w:color="auto"/>
        <w:right w:val="none" w:sz="0" w:space="0" w:color="auto"/>
      </w:divBdr>
    </w:div>
    <w:div w:id="1256404030">
      <w:bodyDiv w:val="1"/>
      <w:marLeft w:val="0"/>
      <w:marRight w:val="0"/>
      <w:marTop w:val="0"/>
      <w:marBottom w:val="0"/>
      <w:divBdr>
        <w:top w:val="none" w:sz="0" w:space="0" w:color="auto"/>
        <w:left w:val="none" w:sz="0" w:space="0" w:color="auto"/>
        <w:bottom w:val="none" w:sz="0" w:space="0" w:color="auto"/>
        <w:right w:val="none" w:sz="0" w:space="0" w:color="auto"/>
      </w:divBdr>
    </w:div>
    <w:div w:id="1286305673">
      <w:bodyDiv w:val="1"/>
      <w:marLeft w:val="0"/>
      <w:marRight w:val="0"/>
      <w:marTop w:val="0"/>
      <w:marBottom w:val="0"/>
      <w:divBdr>
        <w:top w:val="none" w:sz="0" w:space="0" w:color="auto"/>
        <w:left w:val="none" w:sz="0" w:space="0" w:color="auto"/>
        <w:bottom w:val="none" w:sz="0" w:space="0" w:color="auto"/>
        <w:right w:val="none" w:sz="0" w:space="0" w:color="auto"/>
      </w:divBdr>
    </w:div>
    <w:div w:id="1519662763">
      <w:bodyDiv w:val="1"/>
      <w:marLeft w:val="0"/>
      <w:marRight w:val="0"/>
      <w:marTop w:val="0"/>
      <w:marBottom w:val="0"/>
      <w:divBdr>
        <w:top w:val="none" w:sz="0" w:space="0" w:color="auto"/>
        <w:left w:val="none" w:sz="0" w:space="0" w:color="auto"/>
        <w:bottom w:val="none" w:sz="0" w:space="0" w:color="auto"/>
        <w:right w:val="none" w:sz="0" w:space="0" w:color="auto"/>
      </w:divBdr>
    </w:div>
    <w:div w:id="1917400662">
      <w:bodyDiv w:val="1"/>
      <w:marLeft w:val="0"/>
      <w:marRight w:val="0"/>
      <w:marTop w:val="0"/>
      <w:marBottom w:val="0"/>
      <w:divBdr>
        <w:top w:val="none" w:sz="0" w:space="0" w:color="auto"/>
        <w:left w:val="none" w:sz="0" w:space="0" w:color="auto"/>
        <w:bottom w:val="none" w:sz="0" w:space="0" w:color="auto"/>
        <w:right w:val="none" w:sz="0" w:space="0" w:color="auto"/>
      </w:divBdr>
    </w:div>
    <w:div w:id="1934626924">
      <w:bodyDiv w:val="1"/>
      <w:marLeft w:val="0"/>
      <w:marRight w:val="0"/>
      <w:marTop w:val="0"/>
      <w:marBottom w:val="0"/>
      <w:divBdr>
        <w:top w:val="none" w:sz="0" w:space="0" w:color="auto"/>
        <w:left w:val="none" w:sz="0" w:space="0" w:color="auto"/>
        <w:bottom w:val="none" w:sz="0" w:space="0" w:color="auto"/>
        <w:right w:val="none" w:sz="0" w:space="0" w:color="auto"/>
      </w:divBdr>
    </w:div>
    <w:div w:id="1938099383">
      <w:bodyDiv w:val="1"/>
      <w:marLeft w:val="0"/>
      <w:marRight w:val="0"/>
      <w:marTop w:val="0"/>
      <w:marBottom w:val="0"/>
      <w:divBdr>
        <w:top w:val="none" w:sz="0" w:space="0" w:color="auto"/>
        <w:left w:val="none" w:sz="0" w:space="0" w:color="auto"/>
        <w:bottom w:val="none" w:sz="0" w:space="0" w:color="auto"/>
        <w:right w:val="none" w:sz="0" w:space="0" w:color="auto"/>
      </w:divBdr>
    </w:div>
    <w:div w:id="21332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github.com/Biospec/"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tif"/><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3342830-22D0-F34B-9C9A-F85D49A2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21727</Words>
  <Characters>123846</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Mcavan</dc:creator>
  <cp:lastModifiedBy>Goodacre, Roy</cp:lastModifiedBy>
  <cp:revision>3</cp:revision>
  <cp:lastPrinted>2018-08-22T12:54:00Z</cp:lastPrinted>
  <dcterms:created xsi:type="dcterms:W3CDTF">2020-04-24T12:58:00Z</dcterms:created>
  <dcterms:modified xsi:type="dcterms:W3CDTF">2020-04-24T12:58:00Z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http://www.zotero.org/styles/analyst</vt:lpwstr>
  </property>
  <property fmtid="{D5CDD505-2E9C-101B-9397-08002B2CF9AE}" pid="5" name="Mendeley Recent Style Name 1_1">
    <vt:lpwstr>Analyst</vt:lpwstr>
  </property>
  <property fmtid="{D5CDD505-2E9C-101B-9397-08002B2CF9AE}" pid="6" name="Mendeley Recent Style Id 2_1">
    <vt:lpwstr>http://csl.mendeley.com/styles/453352951/harvard-cite-them-right-beth-thesis-2</vt:lpwstr>
  </property>
  <property fmtid="{D5CDD505-2E9C-101B-9397-08002B2CF9AE}" pid="7" name="Mendeley Recent Style Name 2_1">
    <vt:lpwstr>Cite Them Right 10th edition - Harvard - bethan mcavan</vt:lpwstr>
  </property>
  <property fmtid="{D5CDD505-2E9C-101B-9397-08002B2CF9AE}" pid="8" name="Mendeley Recent Style Id 3_1">
    <vt:lpwstr>http://csl.mendeley.com/styles/453352951/elsevier-with-titles-2editted</vt:lpwstr>
  </property>
  <property fmtid="{D5CDD505-2E9C-101B-9397-08002B2CF9AE}" pid="9" name="Mendeley Recent Style Name 3_1">
    <vt:lpwstr>Elsevier (numeric, with titles) - bethan mcavan</vt:lpwstr>
  </property>
  <property fmtid="{D5CDD505-2E9C-101B-9397-08002B2CF9AE}" pid="10" name="Mendeley Recent Style Id 4_1">
    <vt:lpwstr>http://www.zotero.org/styles/vancouver</vt:lpwstr>
  </property>
  <property fmtid="{D5CDD505-2E9C-101B-9397-08002B2CF9AE}" pid="11" name="Mendeley Recent Style Name 4_1">
    <vt:lpwstr>Vancouver</vt:lpwstr>
  </property>
  <property fmtid="{D5CDD505-2E9C-101B-9397-08002B2CF9AE}" pid="12" name="Mendeley Recent Style Id 5_1">
    <vt:lpwstr>http://www.zotero.org/styles/vancouver-superscript</vt:lpwstr>
  </property>
  <property fmtid="{D5CDD505-2E9C-101B-9397-08002B2CF9AE}" pid="13" name="Mendeley Recent Style Name 5_1">
    <vt:lpwstr>Vancouver (superscript)</vt:lpwstr>
  </property>
  <property fmtid="{D5CDD505-2E9C-101B-9397-08002B2CF9AE}" pid="14" name="Mendeley Recent Style Id 6_1">
    <vt:lpwstr>http://csl.mendeley.com/styles/453352951/vancouver-superscript</vt:lpwstr>
  </property>
  <property fmtid="{D5CDD505-2E9C-101B-9397-08002B2CF9AE}" pid="15" name="Mendeley Recent Style Name 6_1">
    <vt:lpwstr>Vancouver (superscript) - bethan mcavan</vt:lpwstr>
  </property>
  <property fmtid="{D5CDD505-2E9C-101B-9397-08002B2CF9AE}" pid="16" name="Mendeley Recent Style Id 7_1">
    <vt:lpwstr>http://csl.mendeley.com/styles/453352951/finalvancouver-superscript-4</vt:lpwstr>
  </property>
  <property fmtid="{D5CDD505-2E9C-101B-9397-08002B2CF9AE}" pid="17" name="Mendeley Recent Style Name 7_1">
    <vt:lpwstr>Vancouver (superscript) - bethan mcavan</vt:lpwstr>
  </property>
  <property fmtid="{D5CDD505-2E9C-101B-9397-08002B2CF9AE}" pid="18" name="Mendeley Recent Style Id 8_1">
    <vt:lpwstr>http://csl.mendeley.com/styles/453352951/vancouver-superscript-2</vt:lpwstr>
  </property>
  <property fmtid="{D5CDD505-2E9C-101B-9397-08002B2CF9AE}" pid="19" name="Mendeley Recent Style Name 8_1">
    <vt:lpwstr>Vancouver (superscript) - bethan mcavan</vt:lpwstr>
  </property>
  <property fmtid="{D5CDD505-2E9C-101B-9397-08002B2CF9AE}" pid="20" name="Mendeley Recent Style Id 9_1">
    <vt:lpwstr>http://csl.mendeley.com/styles/453352951/vancouver-superscript-3</vt:lpwstr>
  </property>
  <property fmtid="{D5CDD505-2E9C-101B-9397-08002B2CF9AE}" pid="21" name="Mendeley Recent Style Name 9_1">
    <vt:lpwstr>Vancouver (superscript) - bethan mcavan</vt:lpwstr>
  </property>
  <property fmtid="{D5CDD505-2E9C-101B-9397-08002B2CF9AE}" pid="22" name="Mendeley Document_1">
    <vt:lpwstr>True</vt:lpwstr>
  </property>
  <property fmtid="{D5CDD505-2E9C-101B-9397-08002B2CF9AE}" pid="23" name="Mendeley Citation Style_1">
    <vt:lpwstr>http://www.zotero.org/styles/analyst</vt:lpwstr>
  </property>
  <property fmtid="{D5CDD505-2E9C-101B-9397-08002B2CF9AE}" pid="24" name="Mendeley Unique User Id_1">
    <vt:lpwstr>79d9973d-a0e2-3ef9-a279-8de33bc1e58e</vt:lpwstr>
  </property>
</Properties>
</file>