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BF41" w14:textId="1D9FA4D9" w:rsidR="0086701A" w:rsidRPr="000274D9" w:rsidRDefault="0086701A" w:rsidP="000274D9">
      <w:pPr>
        <w:pStyle w:val="Title"/>
        <w:jc w:val="center"/>
        <w:rPr>
          <w:rStyle w:val="IntenseEmphasis"/>
          <w:rFonts w:ascii="Times New Roman" w:hAnsi="Times New Roman" w:cs="Times New Roman"/>
          <w:color w:val="4472C4" w:themeColor="accent1"/>
          <w:sz w:val="40"/>
          <w:szCs w:val="40"/>
        </w:rPr>
      </w:pPr>
      <w:r w:rsidRPr="000274D9">
        <w:rPr>
          <w:rStyle w:val="IntenseEmphasis"/>
          <w:rFonts w:ascii="Times New Roman" w:hAnsi="Times New Roman" w:cs="Times New Roman"/>
          <w:color w:val="4472C4" w:themeColor="accent1"/>
          <w:sz w:val="40"/>
          <w:szCs w:val="40"/>
        </w:rPr>
        <w:t xml:space="preserve">Process Review as Panacea: A Critique of </w:t>
      </w:r>
      <w:r w:rsidR="00B23579" w:rsidRPr="000274D9">
        <w:rPr>
          <w:rStyle w:val="IntenseEmphasis"/>
          <w:rFonts w:ascii="Times New Roman" w:hAnsi="Times New Roman" w:cs="Times New Roman"/>
          <w:color w:val="4472C4" w:themeColor="accent1"/>
          <w:sz w:val="40"/>
          <w:szCs w:val="40"/>
        </w:rPr>
        <w:t>Process Review Advocacy</w:t>
      </w:r>
      <w:r w:rsidRPr="000274D9">
        <w:rPr>
          <w:rStyle w:val="IntenseEmphasis"/>
          <w:rFonts w:ascii="Times New Roman" w:hAnsi="Times New Roman" w:cs="Times New Roman"/>
          <w:color w:val="4472C4" w:themeColor="accent1"/>
          <w:sz w:val="40"/>
          <w:szCs w:val="40"/>
        </w:rPr>
        <w:t xml:space="preserve"> in the European Union</w:t>
      </w:r>
    </w:p>
    <w:p w14:paraId="6AEAF117" w14:textId="6373BB13" w:rsidR="008326C5" w:rsidRPr="008326C5" w:rsidRDefault="003848AB" w:rsidP="008326C5">
      <w:pPr>
        <w:jc w:val="right"/>
        <w:rPr>
          <w:rFonts w:ascii="Times New Roman" w:hAnsi="Times New Roman" w:cs="Times New Roman"/>
          <w:sz w:val="28"/>
          <w:szCs w:val="28"/>
        </w:rPr>
      </w:pPr>
      <w:r w:rsidRPr="00E06855">
        <w:rPr>
          <w:rFonts w:ascii="Times New Roman" w:hAnsi="Times New Roman" w:cs="Times New Roman"/>
          <w:b/>
          <w:bCs/>
          <w:sz w:val="28"/>
          <w:szCs w:val="28"/>
        </w:rPr>
        <w:t>Andrew Woodhouse</w:t>
      </w:r>
      <w:r w:rsidR="008B537F">
        <w:rPr>
          <w:rFonts w:ascii="Times New Roman" w:hAnsi="Times New Roman" w:cs="Times New Roman"/>
          <w:b/>
          <w:bCs/>
          <w:sz w:val="28"/>
          <w:szCs w:val="28"/>
        </w:rPr>
        <w:t>*</w:t>
      </w:r>
      <w:r w:rsidR="008326C5">
        <w:rPr>
          <w:rFonts w:ascii="Times New Roman" w:hAnsi="Times New Roman" w:cs="Times New Roman"/>
          <w:b/>
          <w:bCs/>
          <w:sz w:val="28"/>
          <w:szCs w:val="28"/>
        </w:rPr>
        <w:br/>
      </w:r>
      <w:r w:rsidR="008326C5">
        <w:rPr>
          <w:rFonts w:ascii="Times New Roman" w:hAnsi="Times New Roman" w:cs="Times New Roman"/>
          <w:i/>
          <w:iCs/>
          <w:sz w:val="28"/>
          <w:szCs w:val="28"/>
        </w:rPr>
        <w:t>University of Liverpool</w:t>
      </w:r>
    </w:p>
    <w:p w14:paraId="7E670ADC" w14:textId="0318740E" w:rsidR="00D458CE" w:rsidRPr="00E06855" w:rsidRDefault="00D458CE" w:rsidP="00D853B3">
      <w:pPr>
        <w:pStyle w:val="Heading1"/>
        <w:rPr>
          <w:rFonts w:ascii="Times New Roman" w:hAnsi="Times New Roman" w:cs="Times New Roman"/>
        </w:rPr>
      </w:pPr>
      <w:r w:rsidRPr="00E06855">
        <w:rPr>
          <w:rFonts w:ascii="Times New Roman" w:hAnsi="Times New Roman" w:cs="Times New Roman"/>
        </w:rPr>
        <w:t>Abstract</w:t>
      </w:r>
    </w:p>
    <w:p w14:paraId="114C6D57" w14:textId="6E21A545" w:rsidR="00D458CE" w:rsidRPr="00E06855" w:rsidRDefault="00723554" w:rsidP="00BA2CE3">
      <w:pPr>
        <w:rPr>
          <w:rFonts w:ascii="Times New Roman" w:hAnsi="Times New Roman" w:cs="Times New Roman"/>
          <w:sz w:val="25"/>
          <w:szCs w:val="25"/>
        </w:rPr>
      </w:pPr>
      <w:r>
        <w:rPr>
          <w:rFonts w:ascii="Times New Roman" w:hAnsi="Times New Roman" w:cs="Times New Roman"/>
          <w:sz w:val="25"/>
          <w:szCs w:val="25"/>
        </w:rPr>
        <w:t xml:space="preserve">This paper </w:t>
      </w:r>
      <w:r w:rsidR="004A0D37">
        <w:rPr>
          <w:rFonts w:ascii="Times New Roman" w:hAnsi="Times New Roman" w:cs="Times New Roman"/>
          <w:sz w:val="25"/>
          <w:szCs w:val="25"/>
        </w:rPr>
        <w:t>responds</w:t>
      </w:r>
      <w:r>
        <w:rPr>
          <w:rFonts w:ascii="Times New Roman" w:hAnsi="Times New Roman" w:cs="Times New Roman"/>
          <w:sz w:val="25"/>
          <w:szCs w:val="25"/>
        </w:rPr>
        <w:t xml:space="preserve"> to the</w:t>
      </w:r>
      <w:r w:rsidR="005851DA">
        <w:rPr>
          <w:rFonts w:ascii="Times New Roman" w:hAnsi="Times New Roman" w:cs="Times New Roman"/>
          <w:sz w:val="25"/>
          <w:szCs w:val="25"/>
        </w:rPr>
        <w:t xml:space="preserve"> trend of process review advocacy in </w:t>
      </w:r>
      <w:r w:rsidR="00E64EEF">
        <w:rPr>
          <w:rFonts w:ascii="Times New Roman" w:hAnsi="Times New Roman" w:cs="Times New Roman"/>
          <w:sz w:val="25"/>
          <w:szCs w:val="25"/>
        </w:rPr>
        <w:t>EU</w:t>
      </w:r>
      <w:r w:rsidR="005851DA">
        <w:rPr>
          <w:rFonts w:ascii="Times New Roman" w:hAnsi="Times New Roman" w:cs="Times New Roman"/>
          <w:sz w:val="25"/>
          <w:szCs w:val="25"/>
        </w:rPr>
        <w:t xml:space="preserve"> academic literature. </w:t>
      </w:r>
      <w:r w:rsidR="00A97CCA">
        <w:rPr>
          <w:rFonts w:ascii="Times New Roman" w:hAnsi="Times New Roman" w:cs="Times New Roman"/>
          <w:sz w:val="25"/>
          <w:szCs w:val="25"/>
        </w:rPr>
        <w:t xml:space="preserve">It offers a critical </w:t>
      </w:r>
      <w:r w:rsidR="00B40779">
        <w:rPr>
          <w:rFonts w:ascii="Times New Roman" w:hAnsi="Times New Roman" w:cs="Times New Roman"/>
          <w:sz w:val="25"/>
          <w:szCs w:val="25"/>
        </w:rPr>
        <w:t>assessment of</w:t>
      </w:r>
      <w:r w:rsidR="00816B32">
        <w:rPr>
          <w:rFonts w:ascii="Times New Roman" w:hAnsi="Times New Roman" w:cs="Times New Roman"/>
          <w:sz w:val="25"/>
          <w:szCs w:val="25"/>
        </w:rPr>
        <w:t xml:space="preserve"> process review</w:t>
      </w:r>
      <w:r w:rsidR="00A97CCA">
        <w:rPr>
          <w:rFonts w:ascii="Times New Roman" w:hAnsi="Times New Roman" w:cs="Times New Roman"/>
          <w:sz w:val="25"/>
          <w:szCs w:val="25"/>
        </w:rPr>
        <w:t xml:space="preserve">, broadly defined as </w:t>
      </w:r>
      <w:r w:rsidR="00A97CCA" w:rsidRPr="00E06855">
        <w:rPr>
          <w:rFonts w:ascii="Times New Roman" w:hAnsi="Times New Roman" w:cs="Times New Roman"/>
          <w:sz w:val="25"/>
          <w:szCs w:val="25"/>
        </w:rPr>
        <w:t xml:space="preserve">idea that the </w:t>
      </w:r>
      <w:r w:rsidR="00FE5862">
        <w:rPr>
          <w:rFonts w:ascii="Times New Roman" w:hAnsi="Times New Roman" w:cs="Times New Roman"/>
          <w:sz w:val="25"/>
          <w:szCs w:val="25"/>
        </w:rPr>
        <w:t>C</w:t>
      </w:r>
      <w:r w:rsidR="00B40779">
        <w:rPr>
          <w:rFonts w:ascii="Times New Roman" w:hAnsi="Times New Roman" w:cs="Times New Roman"/>
          <w:sz w:val="25"/>
          <w:szCs w:val="25"/>
        </w:rPr>
        <w:t>ourt</w:t>
      </w:r>
      <w:r w:rsidR="00A97CCA" w:rsidRPr="00E06855">
        <w:rPr>
          <w:rFonts w:ascii="Times New Roman" w:hAnsi="Times New Roman" w:cs="Times New Roman"/>
          <w:sz w:val="25"/>
          <w:szCs w:val="25"/>
        </w:rPr>
        <w:t xml:space="preserve"> ought to focus on the process by which decisions are made when conductin</w:t>
      </w:r>
      <w:bookmarkStart w:id="0" w:name="_GoBack"/>
      <w:bookmarkEnd w:id="0"/>
      <w:r w:rsidR="00A97CCA" w:rsidRPr="00E06855">
        <w:rPr>
          <w:rFonts w:ascii="Times New Roman" w:hAnsi="Times New Roman" w:cs="Times New Roman"/>
          <w:sz w:val="25"/>
          <w:szCs w:val="25"/>
        </w:rPr>
        <w:t>g its review of a given measure</w:t>
      </w:r>
      <w:r w:rsidR="00B40779">
        <w:rPr>
          <w:rFonts w:ascii="Times New Roman" w:hAnsi="Times New Roman" w:cs="Times New Roman"/>
          <w:sz w:val="25"/>
          <w:szCs w:val="25"/>
        </w:rPr>
        <w:t xml:space="preserve">. </w:t>
      </w:r>
      <w:r w:rsidR="00A97CCA">
        <w:rPr>
          <w:rFonts w:ascii="Times New Roman" w:hAnsi="Times New Roman" w:cs="Times New Roman"/>
          <w:sz w:val="25"/>
          <w:szCs w:val="25"/>
        </w:rPr>
        <w:t xml:space="preserve">The paper </w:t>
      </w:r>
      <w:r w:rsidR="00C60F48">
        <w:rPr>
          <w:rFonts w:ascii="Times New Roman" w:hAnsi="Times New Roman" w:cs="Times New Roman"/>
          <w:sz w:val="25"/>
          <w:szCs w:val="25"/>
        </w:rPr>
        <w:t>explores</w:t>
      </w:r>
      <w:r w:rsidR="00D458CE" w:rsidRPr="00E06855">
        <w:rPr>
          <w:rFonts w:ascii="Times New Roman" w:hAnsi="Times New Roman" w:cs="Times New Roman"/>
          <w:sz w:val="25"/>
          <w:szCs w:val="25"/>
        </w:rPr>
        <w:t xml:space="preserve"> John Hart Ely’s theory of process review, developed in the context of the US Supreme Court, and how this</w:t>
      </w:r>
      <w:r w:rsidR="00AF7CF6" w:rsidRPr="00E06855">
        <w:rPr>
          <w:rFonts w:ascii="Times New Roman" w:hAnsi="Times New Roman" w:cs="Times New Roman"/>
          <w:sz w:val="25"/>
          <w:szCs w:val="25"/>
        </w:rPr>
        <w:t xml:space="preserve"> has</w:t>
      </w:r>
      <w:r w:rsidR="00D458CE" w:rsidRPr="00E06855">
        <w:rPr>
          <w:rFonts w:ascii="Times New Roman" w:hAnsi="Times New Roman" w:cs="Times New Roman"/>
          <w:sz w:val="25"/>
          <w:szCs w:val="25"/>
        </w:rPr>
        <w:t xml:space="preserve"> influenced the EU’s own process review advocates. </w:t>
      </w:r>
      <w:r w:rsidR="00A97CCA">
        <w:rPr>
          <w:rFonts w:ascii="Times New Roman" w:hAnsi="Times New Roman" w:cs="Times New Roman"/>
          <w:sz w:val="25"/>
          <w:szCs w:val="25"/>
        </w:rPr>
        <w:t>It</w:t>
      </w:r>
      <w:r w:rsidR="00D458CE" w:rsidRPr="00E06855">
        <w:rPr>
          <w:rFonts w:ascii="Times New Roman" w:hAnsi="Times New Roman" w:cs="Times New Roman"/>
          <w:sz w:val="25"/>
          <w:szCs w:val="25"/>
        </w:rPr>
        <w:t xml:space="preserve"> seeks to add value to this literature by engaging with the extensive critique of Ely’s theory. In doing so, it argues that process review may fail to live up to the expectations placed </w:t>
      </w:r>
      <w:r w:rsidR="002C0D3C" w:rsidRPr="00E06855">
        <w:rPr>
          <w:rFonts w:ascii="Times New Roman" w:hAnsi="Times New Roman" w:cs="Times New Roman"/>
          <w:sz w:val="25"/>
          <w:szCs w:val="25"/>
        </w:rPr>
        <w:t>up</w:t>
      </w:r>
      <w:r w:rsidR="00D458CE" w:rsidRPr="00E06855">
        <w:rPr>
          <w:rFonts w:ascii="Times New Roman" w:hAnsi="Times New Roman" w:cs="Times New Roman"/>
          <w:sz w:val="25"/>
          <w:szCs w:val="25"/>
        </w:rPr>
        <w:t xml:space="preserve">on it, both in terms of the </w:t>
      </w:r>
      <w:r w:rsidR="00D458CE" w:rsidRPr="00AE6D5E">
        <w:rPr>
          <w:rFonts w:ascii="Times New Roman" w:hAnsi="Times New Roman" w:cs="Times New Roman"/>
          <w:i/>
          <w:iCs/>
          <w:sz w:val="25"/>
          <w:szCs w:val="25"/>
        </w:rPr>
        <w:t>outcomes</w:t>
      </w:r>
      <w:r w:rsidR="00D458CE" w:rsidRPr="00E06855">
        <w:rPr>
          <w:rFonts w:ascii="Times New Roman" w:hAnsi="Times New Roman" w:cs="Times New Roman"/>
          <w:sz w:val="25"/>
          <w:szCs w:val="25"/>
        </w:rPr>
        <w:t xml:space="preserve"> of review and its </w:t>
      </w:r>
      <w:r w:rsidR="00D458CE" w:rsidRPr="00AE6D5E">
        <w:rPr>
          <w:rFonts w:ascii="Times New Roman" w:hAnsi="Times New Roman" w:cs="Times New Roman"/>
          <w:i/>
          <w:iCs/>
          <w:sz w:val="25"/>
          <w:szCs w:val="25"/>
        </w:rPr>
        <w:t>legitimacy</w:t>
      </w:r>
      <w:r w:rsidR="00D458CE" w:rsidRPr="00E06855">
        <w:rPr>
          <w:rFonts w:ascii="Times New Roman" w:hAnsi="Times New Roman" w:cs="Times New Roman"/>
          <w:sz w:val="25"/>
          <w:szCs w:val="25"/>
        </w:rPr>
        <w:t>.</w:t>
      </w:r>
    </w:p>
    <w:p w14:paraId="75BEC7D7" w14:textId="3150BAE9" w:rsidR="00D32C06" w:rsidRPr="00E06855" w:rsidRDefault="00D32C06" w:rsidP="00D853B3">
      <w:pPr>
        <w:pStyle w:val="Heading1"/>
        <w:rPr>
          <w:rFonts w:ascii="Times New Roman" w:hAnsi="Times New Roman" w:cs="Times New Roman"/>
        </w:rPr>
      </w:pPr>
      <w:r w:rsidRPr="00E06855">
        <w:rPr>
          <w:rFonts w:ascii="Times New Roman" w:hAnsi="Times New Roman" w:cs="Times New Roman"/>
        </w:rPr>
        <w:t>Int</w:t>
      </w:r>
      <w:r w:rsidR="00461F01" w:rsidRPr="00E06855">
        <w:rPr>
          <w:rFonts w:ascii="Times New Roman" w:hAnsi="Times New Roman" w:cs="Times New Roman"/>
        </w:rPr>
        <w:t>roduction</w:t>
      </w:r>
    </w:p>
    <w:p w14:paraId="32002C3D" w14:textId="53ED998B" w:rsidR="0035016E" w:rsidRPr="00E06855" w:rsidRDefault="0035016E" w:rsidP="0035016E">
      <w:pPr>
        <w:rPr>
          <w:rFonts w:ascii="Times New Roman" w:hAnsi="Times New Roman" w:cs="Times New Roman"/>
          <w:sz w:val="25"/>
          <w:szCs w:val="25"/>
        </w:rPr>
      </w:pPr>
      <w:r w:rsidRPr="00E06855">
        <w:rPr>
          <w:rFonts w:ascii="Times New Roman" w:hAnsi="Times New Roman" w:cs="Times New Roman"/>
          <w:sz w:val="25"/>
          <w:szCs w:val="25"/>
        </w:rPr>
        <w:t xml:space="preserve">Process review has been the subject of </w:t>
      </w:r>
      <w:r w:rsidR="00017E66" w:rsidRPr="00E06855">
        <w:rPr>
          <w:rFonts w:ascii="Times New Roman" w:hAnsi="Times New Roman" w:cs="Times New Roman"/>
          <w:sz w:val="25"/>
          <w:szCs w:val="25"/>
        </w:rPr>
        <w:t>much attention</w:t>
      </w:r>
      <w:r w:rsidRPr="00E06855">
        <w:rPr>
          <w:rFonts w:ascii="Times New Roman" w:hAnsi="Times New Roman" w:cs="Times New Roman"/>
          <w:sz w:val="25"/>
          <w:szCs w:val="25"/>
        </w:rPr>
        <w:t xml:space="preserve"> in journals across Europe in recent years.</w:t>
      </w:r>
      <w:bookmarkStart w:id="1" w:name="_Ref14695900"/>
      <w:r w:rsidR="00341923" w:rsidRPr="00E06855">
        <w:rPr>
          <w:rStyle w:val="FootnoteReference"/>
          <w:rFonts w:ascii="Times New Roman" w:hAnsi="Times New Roman" w:cs="Times New Roman"/>
          <w:sz w:val="25"/>
          <w:szCs w:val="25"/>
        </w:rPr>
        <w:footnoteReference w:id="2"/>
      </w:r>
      <w:bookmarkEnd w:id="1"/>
      <w:r w:rsidRPr="00E06855">
        <w:rPr>
          <w:rFonts w:ascii="Times New Roman" w:hAnsi="Times New Roman" w:cs="Times New Roman"/>
          <w:sz w:val="25"/>
          <w:szCs w:val="25"/>
        </w:rPr>
        <w:t xml:space="preserve"> There is an increasing trend in the literature to advocate that the Court of Justice ought to conduct judicial review of decision-making processes in a range of areas. It is </w:t>
      </w:r>
      <w:r w:rsidRPr="00E06855">
        <w:rPr>
          <w:rFonts w:ascii="Times New Roman" w:hAnsi="Times New Roman" w:cs="Times New Roman"/>
          <w:sz w:val="25"/>
          <w:szCs w:val="25"/>
        </w:rPr>
        <w:lastRenderedPageBreak/>
        <w:t>the intention of this paper to offer a critical response to this development, highlighting the many issues that exist with process review.</w:t>
      </w:r>
    </w:p>
    <w:p w14:paraId="04D242A8" w14:textId="23CA93D1" w:rsidR="00BA1475" w:rsidRPr="00E06855" w:rsidRDefault="00181981" w:rsidP="00BA1475">
      <w:pPr>
        <w:rPr>
          <w:rFonts w:ascii="Times New Roman" w:hAnsi="Times New Roman" w:cs="Times New Roman"/>
          <w:sz w:val="25"/>
          <w:szCs w:val="25"/>
        </w:rPr>
      </w:pPr>
      <w:r w:rsidRPr="00E06855">
        <w:rPr>
          <w:rFonts w:ascii="Times New Roman" w:hAnsi="Times New Roman" w:cs="Times New Roman"/>
          <w:sz w:val="25"/>
          <w:szCs w:val="25"/>
        </w:rPr>
        <w:t xml:space="preserve">Process review </w:t>
      </w:r>
      <w:r w:rsidR="00856CE5" w:rsidRPr="00E06855">
        <w:rPr>
          <w:rFonts w:ascii="Times New Roman" w:hAnsi="Times New Roman" w:cs="Times New Roman"/>
          <w:sz w:val="25"/>
          <w:szCs w:val="25"/>
        </w:rPr>
        <w:t xml:space="preserve">advocacy emerges </w:t>
      </w:r>
      <w:r w:rsidRPr="00E06855">
        <w:rPr>
          <w:rFonts w:ascii="Times New Roman" w:hAnsi="Times New Roman" w:cs="Times New Roman"/>
          <w:sz w:val="25"/>
          <w:szCs w:val="25"/>
        </w:rPr>
        <w:t>in a range of contexts</w:t>
      </w:r>
      <w:r w:rsidR="0077478D" w:rsidRPr="00E06855">
        <w:rPr>
          <w:rFonts w:ascii="Times New Roman" w:hAnsi="Times New Roman" w:cs="Times New Roman"/>
          <w:sz w:val="25"/>
          <w:szCs w:val="25"/>
        </w:rPr>
        <w:t xml:space="preserve"> and there is much variation in how it is conceived. </w:t>
      </w:r>
      <w:r w:rsidR="00BA1475" w:rsidRPr="00E06855">
        <w:rPr>
          <w:rFonts w:ascii="Times New Roman" w:hAnsi="Times New Roman" w:cs="Times New Roman"/>
          <w:sz w:val="25"/>
          <w:szCs w:val="25"/>
        </w:rPr>
        <w:t>For some, process review can infuse judicial review with “greater force”,</w:t>
      </w:r>
      <w:r w:rsidR="00BA1475" w:rsidRPr="00E06855">
        <w:rPr>
          <w:rStyle w:val="FootnoteReference"/>
          <w:rFonts w:ascii="Times New Roman" w:hAnsi="Times New Roman" w:cs="Times New Roman"/>
          <w:sz w:val="25"/>
          <w:szCs w:val="25"/>
        </w:rPr>
        <w:footnoteReference w:id="3"/>
      </w:r>
      <w:r w:rsidR="00BA1475" w:rsidRPr="00E06855">
        <w:rPr>
          <w:rFonts w:ascii="Times New Roman" w:hAnsi="Times New Roman" w:cs="Times New Roman"/>
          <w:sz w:val="25"/>
          <w:szCs w:val="25"/>
        </w:rPr>
        <w:t xml:space="preserve"> for others, it could form part of a “doctrine of deference” for the Court.</w:t>
      </w:r>
      <w:r w:rsidR="00BA1475" w:rsidRPr="00E06855">
        <w:rPr>
          <w:rStyle w:val="FootnoteReference"/>
          <w:rFonts w:ascii="Times New Roman" w:hAnsi="Times New Roman" w:cs="Times New Roman"/>
          <w:sz w:val="25"/>
          <w:szCs w:val="25"/>
        </w:rPr>
        <w:footnoteReference w:id="4"/>
      </w:r>
      <w:r w:rsidR="00BA1475" w:rsidRPr="00E06855">
        <w:rPr>
          <w:rFonts w:ascii="Times New Roman" w:hAnsi="Times New Roman" w:cs="Times New Roman"/>
          <w:sz w:val="25"/>
          <w:szCs w:val="25"/>
        </w:rPr>
        <w:t xml:space="preserve"> For some process review should be used to escape </w:t>
      </w:r>
      <w:r w:rsidR="001A7EFF" w:rsidRPr="00E06855">
        <w:rPr>
          <w:rFonts w:ascii="Times New Roman" w:hAnsi="Times New Roman" w:cs="Times New Roman"/>
          <w:sz w:val="25"/>
          <w:szCs w:val="25"/>
        </w:rPr>
        <w:t>substantive forms of</w:t>
      </w:r>
      <w:r w:rsidR="00BA1475" w:rsidRPr="00E06855">
        <w:rPr>
          <w:rFonts w:ascii="Times New Roman" w:hAnsi="Times New Roman" w:cs="Times New Roman"/>
          <w:sz w:val="25"/>
          <w:szCs w:val="25"/>
        </w:rPr>
        <w:t xml:space="preserve"> review,</w:t>
      </w:r>
      <w:r w:rsidR="00BA1475" w:rsidRPr="00E06855">
        <w:rPr>
          <w:rStyle w:val="FootnoteReference"/>
          <w:rFonts w:ascii="Times New Roman" w:hAnsi="Times New Roman" w:cs="Times New Roman"/>
          <w:sz w:val="25"/>
          <w:szCs w:val="25"/>
        </w:rPr>
        <w:footnoteReference w:id="5"/>
      </w:r>
      <w:r w:rsidR="00BA1475" w:rsidRPr="00E06855">
        <w:rPr>
          <w:rFonts w:ascii="Times New Roman" w:hAnsi="Times New Roman" w:cs="Times New Roman"/>
          <w:sz w:val="25"/>
          <w:szCs w:val="25"/>
        </w:rPr>
        <w:t xml:space="preserve"> for others it is seen as supplementary to substantive review.</w:t>
      </w:r>
      <w:r w:rsidR="00BA1475" w:rsidRPr="00E06855">
        <w:rPr>
          <w:rStyle w:val="FootnoteReference"/>
          <w:rFonts w:ascii="Times New Roman" w:hAnsi="Times New Roman" w:cs="Times New Roman"/>
          <w:sz w:val="25"/>
          <w:szCs w:val="25"/>
        </w:rPr>
        <w:footnoteReference w:id="6"/>
      </w:r>
      <w:r w:rsidR="00BA1475" w:rsidRPr="00E06855">
        <w:rPr>
          <w:rFonts w:ascii="Times New Roman" w:hAnsi="Times New Roman" w:cs="Times New Roman"/>
          <w:sz w:val="25"/>
          <w:szCs w:val="25"/>
        </w:rPr>
        <w:t xml:space="preserve"> For some, process review should fulfil criterion of “deliberation and democratic legitimacy”,</w:t>
      </w:r>
      <w:r w:rsidR="00BA1475" w:rsidRPr="00E06855">
        <w:rPr>
          <w:rStyle w:val="FootnoteReference"/>
          <w:rFonts w:ascii="Times New Roman" w:hAnsi="Times New Roman" w:cs="Times New Roman"/>
          <w:sz w:val="25"/>
          <w:szCs w:val="25"/>
        </w:rPr>
        <w:footnoteReference w:id="7"/>
      </w:r>
      <w:r w:rsidR="00BA1475" w:rsidRPr="00E06855">
        <w:rPr>
          <w:rFonts w:ascii="Times New Roman" w:hAnsi="Times New Roman" w:cs="Times New Roman"/>
          <w:sz w:val="25"/>
          <w:szCs w:val="25"/>
        </w:rPr>
        <w:t xml:space="preserve"> for others it can be used to discover “protectionist or discriminatory intentions” in Member State</w:t>
      </w:r>
      <w:r w:rsidR="005A1B25" w:rsidRPr="00E06855">
        <w:rPr>
          <w:rFonts w:ascii="Times New Roman" w:hAnsi="Times New Roman" w:cs="Times New Roman"/>
          <w:sz w:val="25"/>
          <w:szCs w:val="25"/>
        </w:rPr>
        <w:t xml:space="preserve"> measures</w:t>
      </w:r>
      <w:r w:rsidR="00BA1475" w:rsidRPr="00E06855">
        <w:rPr>
          <w:rFonts w:ascii="Times New Roman" w:hAnsi="Times New Roman" w:cs="Times New Roman"/>
          <w:sz w:val="25"/>
          <w:szCs w:val="25"/>
        </w:rPr>
        <w:t>,</w:t>
      </w:r>
      <w:r w:rsidR="00BA1475" w:rsidRPr="00E06855">
        <w:rPr>
          <w:rStyle w:val="FootnoteReference"/>
          <w:rFonts w:ascii="Times New Roman" w:hAnsi="Times New Roman" w:cs="Times New Roman"/>
          <w:sz w:val="25"/>
          <w:szCs w:val="25"/>
        </w:rPr>
        <w:footnoteReference w:id="8"/>
      </w:r>
      <w:r w:rsidR="00BA1475" w:rsidRPr="00E06855">
        <w:rPr>
          <w:rFonts w:ascii="Times New Roman" w:hAnsi="Times New Roman" w:cs="Times New Roman"/>
          <w:sz w:val="25"/>
          <w:szCs w:val="25"/>
        </w:rPr>
        <w:t xml:space="preserve"> and for others still, it “may contribute to a more rational law-making”.</w:t>
      </w:r>
      <w:r w:rsidR="00BA1475" w:rsidRPr="00E06855">
        <w:rPr>
          <w:rStyle w:val="FootnoteReference"/>
          <w:rFonts w:ascii="Times New Roman" w:hAnsi="Times New Roman" w:cs="Times New Roman"/>
          <w:sz w:val="25"/>
          <w:szCs w:val="25"/>
        </w:rPr>
        <w:footnoteReference w:id="9"/>
      </w:r>
    </w:p>
    <w:p w14:paraId="1AF4E3A4" w14:textId="5A1431FF" w:rsidR="00BA4BD8" w:rsidRPr="00E06855" w:rsidRDefault="004D2119" w:rsidP="00BA1475">
      <w:pPr>
        <w:rPr>
          <w:rFonts w:ascii="Times New Roman" w:hAnsi="Times New Roman" w:cs="Times New Roman"/>
          <w:sz w:val="25"/>
          <w:szCs w:val="25"/>
        </w:rPr>
      </w:pPr>
      <w:r>
        <w:rPr>
          <w:rFonts w:ascii="Times New Roman" w:hAnsi="Times New Roman" w:cs="Times New Roman"/>
          <w:sz w:val="25"/>
          <w:szCs w:val="25"/>
        </w:rPr>
        <w:t xml:space="preserve">Despite the fact that process review receives </w:t>
      </w:r>
      <w:r w:rsidR="00E82651">
        <w:rPr>
          <w:rFonts w:ascii="Times New Roman" w:hAnsi="Times New Roman" w:cs="Times New Roman"/>
          <w:sz w:val="25"/>
          <w:szCs w:val="25"/>
        </w:rPr>
        <w:t>strikingly broad approval in the literature, t</w:t>
      </w:r>
      <w:r w:rsidR="00BA4BD8" w:rsidRPr="00E06855">
        <w:rPr>
          <w:rFonts w:ascii="Times New Roman" w:hAnsi="Times New Roman" w:cs="Times New Roman"/>
          <w:sz w:val="25"/>
          <w:szCs w:val="25"/>
        </w:rPr>
        <w:t xml:space="preserve">here is clearly great variation in </w:t>
      </w:r>
      <w:r w:rsidR="006A058E">
        <w:rPr>
          <w:rFonts w:ascii="Times New Roman" w:hAnsi="Times New Roman" w:cs="Times New Roman"/>
          <w:sz w:val="25"/>
          <w:szCs w:val="25"/>
        </w:rPr>
        <w:t xml:space="preserve">how it is conceived in terms of </w:t>
      </w:r>
      <w:r w:rsidR="00BA4BD8" w:rsidRPr="00E06855">
        <w:rPr>
          <w:rFonts w:ascii="Times New Roman" w:hAnsi="Times New Roman" w:cs="Times New Roman"/>
          <w:sz w:val="25"/>
          <w:szCs w:val="25"/>
        </w:rPr>
        <w:t xml:space="preserve">types and purposes </w:t>
      </w:r>
      <w:r w:rsidR="002E0DA3" w:rsidRPr="00E06855">
        <w:rPr>
          <w:rFonts w:ascii="Times New Roman" w:hAnsi="Times New Roman" w:cs="Times New Roman"/>
          <w:sz w:val="25"/>
          <w:szCs w:val="25"/>
        </w:rPr>
        <w:t xml:space="preserve">. This paper attempts to capture </w:t>
      </w:r>
      <w:r w:rsidR="004C47B7" w:rsidRPr="00E06855">
        <w:rPr>
          <w:rFonts w:ascii="Times New Roman" w:hAnsi="Times New Roman" w:cs="Times New Roman"/>
          <w:sz w:val="25"/>
          <w:szCs w:val="25"/>
        </w:rPr>
        <w:t xml:space="preserve">this broad phenomenon under the banner of “process review”, despite the many </w:t>
      </w:r>
      <w:r w:rsidR="00123349" w:rsidRPr="00E06855">
        <w:rPr>
          <w:rFonts w:ascii="Times New Roman" w:hAnsi="Times New Roman" w:cs="Times New Roman"/>
          <w:sz w:val="25"/>
          <w:szCs w:val="25"/>
        </w:rPr>
        <w:t>varying names</w:t>
      </w:r>
      <w:r w:rsidR="00091C4B" w:rsidRPr="00E06855">
        <w:rPr>
          <w:rFonts w:ascii="Times New Roman" w:hAnsi="Times New Roman" w:cs="Times New Roman"/>
          <w:sz w:val="25"/>
          <w:szCs w:val="25"/>
        </w:rPr>
        <w:t xml:space="preserve"> - </w:t>
      </w:r>
      <w:r w:rsidR="004D5A41" w:rsidRPr="00E06855">
        <w:rPr>
          <w:rFonts w:ascii="Times New Roman" w:hAnsi="Times New Roman" w:cs="Times New Roman"/>
          <w:sz w:val="25"/>
          <w:szCs w:val="25"/>
        </w:rPr>
        <w:t>process-oriented review,</w:t>
      </w:r>
      <w:r w:rsidR="00A836D7" w:rsidRPr="00E06855">
        <w:rPr>
          <w:rFonts w:ascii="Times New Roman" w:hAnsi="Times New Roman" w:cs="Times New Roman"/>
          <w:sz w:val="25"/>
          <w:szCs w:val="25"/>
        </w:rPr>
        <w:t xml:space="preserve"> semi</w:t>
      </w:r>
      <w:r w:rsidR="00491F42" w:rsidRPr="00E06855">
        <w:rPr>
          <w:rFonts w:ascii="Times New Roman" w:hAnsi="Times New Roman" w:cs="Times New Roman"/>
          <w:sz w:val="25"/>
          <w:szCs w:val="25"/>
        </w:rPr>
        <w:t xml:space="preserve"> </w:t>
      </w:r>
      <w:r w:rsidR="00A836D7" w:rsidRPr="00E06855">
        <w:rPr>
          <w:rFonts w:ascii="Times New Roman" w:hAnsi="Times New Roman" w:cs="Times New Roman"/>
          <w:sz w:val="25"/>
          <w:szCs w:val="25"/>
        </w:rPr>
        <w:t>procedural review,</w:t>
      </w:r>
      <w:r w:rsidR="004D5A41" w:rsidRPr="00E06855">
        <w:rPr>
          <w:rFonts w:ascii="Times New Roman" w:hAnsi="Times New Roman" w:cs="Times New Roman"/>
          <w:sz w:val="25"/>
          <w:szCs w:val="25"/>
        </w:rPr>
        <w:t xml:space="preserve"> procedural proportionality</w:t>
      </w:r>
      <w:r w:rsidR="00A836D7" w:rsidRPr="00E06855">
        <w:rPr>
          <w:rFonts w:ascii="Times New Roman" w:hAnsi="Times New Roman" w:cs="Times New Roman"/>
          <w:sz w:val="25"/>
          <w:szCs w:val="25"/>
        </w:rPr>
        <w:t xml:space="preserve"> </w:t>
      </w:r>
      <w:r w:rsidR="00C41622" w:rsidRPr="00E06855">
        <w:rPr>
          <w:rFonts w:ascii="Times New Roman" w:hAnsi="Times New Roman" w:cs="Times New Roman"/>
          <w:sz w:val="25"/>
          <w:szCs w:val="25"/>
        </w:rPr>
        <w:t>-</w:t>
      </w:r>
      <w:r w:rsidR="004C47B7" w:rsidRPr="00E06855">
        <w:rPr>
          <w:rFonts w:ascii="Times New Roman" w:hAnsi="Times New Roman" w:cs="Times New Roman"/>
          <w:sz w:val="25"/>
          <w:szCs w:val="25"/>
        </w:rPr>
        <w:t xml:space="preserve"> that have been used</w:t>
      </w:r>
      <w:r w:rsidR="00566EB1" w:rsidRPr="00E06855">
        <w:rPr>
          <w:rFonts w:ascii="Times New Roman" w:hAnsi="Times New Roman" w:cs="Times New Roman"/>
          <w:sz w:val="25"/>
          <w:szCs w:val="25"/>
        </w:rPr>
        <w:t xml:space="preserve"> for the concept.</w:t>
      </w:r>
      <w:r w:rsidR="00AD57F4" w:rsidRPr="00E06855">
        <w:rPr>
          <w:rStyle w:val="FootnoteReference"/>
          <w:rFonts w:ascii="Times New Roman" w:hAnsi="Times New Roman" w:cs="Times New Roman"/>
          <w:sz w:val="25"/>
          <w:szCs w:val="25"/>
        </w:rPr>
        <w:footnoteReference w:id="10"/>
      </w:r>
      <w:r w:rsidR="00FD5C06" w:rsidRPr="00E06855">
        <w:rPr>
          <w:rFonts w:ascii="Times New Roman" w:hAnsi="Times New Roman" w:cs="Times New Roman"/>
          <w:sz w:val="25"/>
          <w:szCs w:val="25"/>
        </w:rPr>
        <w:t xml:space="preserve"> All can be captured under the broad idea that the Court ought to </w:t>
      </w:r>
      <w:r w:rsidR="00D70237" w:rsidRPr="00E06855">
        <w:rPr>
          <w:rFonts w:ascii="Times New Roman" w:hAnsi="Times New Roman" w:cs="Times New Roman"/>
          <w:sz w:val="25"/>
          <w:szCs w:val="25"/>
        </w:rPr>
        <w:t xml:space="preserve">focus on the process by which decisions are made when conducting </w:t>
      </w:r>
      <w:r w:rsidR="00DA050C" w:rsidRPr="00E06855">
        <w:rPr>
          <w:rFonts w:ascii="Times New Roman" w:hAnsi="Times New Roman" w:cs="Times New Roman"/>
          <w:sz w:val="25"/>
          <w:szCs w:val="25"/>
        </w:rPr>
        <w:t xml:space="preserve">its </w:t>
      </w:r>
      <w:r w:rsidR="00D70237" w:rsidRPr="00E06855">
        <w:rPr>
          <w:rFonts w:ascii="Times New Roman" w:hAnsi="Times New Roman" w:cs="Times New Roman"/>
          <w:sz w:val="25"/>
          <w:szCs w:val="25"/>
        </w:rPr>
        <w:t>review of a given measure.</w:t>
      </w:r>
      <w:r w:rsidR="009E7397" w:rsidRPr="00E06855">
        <w:rPr>
          <w:rStyle w:val="FootnoteReference"/>
          <w:rFonts w:ascii="Times New Roman" w:hAnsi="Times New Roman" w:cs="Times New Roman"/>
          <w:sz w:val="25"/>
          <w:szCs w:val="25"/>
        </w:rPr>
        <w:footnoteReference w:id="11"/>
      </w:r>
    </w:p>
    <w:p w14:paraId="6A237D47" w14:textId="2CF6D56E" w:rsidR="0035016E" w:rsidRPr="00E06855" w:rsidRDefault="0035016E" w:rsidP="0035016E">
      <w:pPr>
        <w:rPr>
          <w:rFonts w:ascii="Times New Roman" w:hAnsi="Times New Roman" w:cs="Times New Roman"/>
          <w:sz w:val="25"/>
          <w:szCs w:val="25"/>
        </w:rPr>
      </w:pPr>
      <w:r w:rsidRPr="00E06855">
        <w:rPr>
          <w:rFonts w:ascii="Times New Roman" w:hAnsi="Times New Roman" w:cs="Times New Roman"/>
          <w:sz w:val="25"/>
          <w:szCs w:val="25"/>
        </w:rPr>
        <w:t xml:space="preserve">The tendency towards process review finds inspiration in many places, including some </w:t>
      </w:r>
      <w:r w:rsidR="00D95734" w:rsidRPr="00E06855">
        <w:rPr>
          <w:rFonts w:ascii="Times New Roman" w:hAnsi="Times New Roman" w:cs="Times New Roman"/>
          <w:sz w:val="25"/>
          <w:szCs w:val="25"/>
        </w:rPr>
        <w:t>political and judicial developments</w:t>
      </w:r>
      <w:r w:rsidRPr="00E06855">
        <w:rPr>
          <w:rFonts w:ascii="Times New Roman" w:hAnsi="Times New Roman" w:cs="Times New Roman"/>
          <w:sz w:val="25"/>
          <w:szCs w:val="25"/>
        </w:rPr>
        <w:t xml:space="preserve"> which have placed emphasis on decision-making procedure</w:t>
      </w:r>
      <w:r w:rsidR="008D4353" w:rsidRPr="00E06855">
        <w:rPr>
          <w:rFonts w:ascii="Times New Roman" w:hAnsi="Times New Roman" w:cs="Times New Roman"/>
          <w:sz w:val="25"/>
          <w:szCs w:val="25"/>
        </w:rPr>
        <w:t>s</w:t>
      </w:r>
      <w:r w:rsidRPr="00E06855">
        <w:rPr>
          <w:rFonts w:ascii="Times New Roman" w:hAnsi="Times New Roman" w:cs="Times New Roman"/>
          <w:sz w:val="25"/>
          <w:szCs w:val="25"/>
        </w:rPr>
        <w:t xml:space="preserve"> in recent years.</w:t>
      </w:r>
      <w:r w:rsidR="00724996" w:rsidRPr="00E06855">
        <w:rPr>
          <w:rStyle w:val="FootnoteReference"/>
          <w:rFonts w:ascii="Times New Roman" w:hAnsi="Times New Roman" w:cs="Times New Roman"/>
          <w:sz w:val="25"/>
          <w:szCs w:val="25"/>
        </w:rPr>
        <w:footnoteReference w:id="12"/>
      </w:r>
      <w:r w:rsidRPr="00E06855">
        <w:rPr>
          <w:rFonts w:ascii="Times New Roman" w:hAnsi="Times New Roman" w:cs="Times New Roman"/>
          <w:sz w:val="25"/>
          <w:szCs w:val="25"/>
        </w:rPr>
        <w:t xml:space="preserve"> In the literature, much inspiration is taken from theory of </w:t>
      </w:r>
      <w:r w:rsidR="008A74C6" w:rsidRPr="00E06855">
        <w:rPr>
          <w:rFonts w:ascii="Times New Roman" w:hAnsi="Times New Roman" w:cs="Times New Roman"/>
          <w:sz w:val="25"/>
          <w:szCs w:val="25"/>
        </w:rPr>
        <w:t>process review</w:t>
      </w:r>
      <w:r w:rsidRPr="00E06855">
        <w:rPr>
          <w:rFonts w:ascii="Times New Roman" w:hAnsi="Times New Roman" w:cs="Times New Roman"/>
          <w:sz w:val="25"/>
          <w:szCs w:val="25"/>
        </w:rPr>
        <w:t xml:space="preserve"> developed </w:t>
      </w:r>
      <w:r w:rsidR="004F689D" w:rsidRPr="00E06855">
        <w:rPr>
          <w:rFonts w:ascii="Times New Roman" w:hAnsi="Times New Roman" w:cs="Times New Roman"/>
          <w:sz w:val="25"/>
          <w:szCs w:val="25"/>
        </w:rPr>
        <w:t>for</w:t>
      </w:r>
      <w:r w:rsidRPr="00E06855">
        <w:rPr>
          <w:rFonts w:ascii="Times New Roman" w:hAnsi="Times New Roman" w:cs="Times New Roman"/>
          <w:sz w:val="25"/>
          <w:szCs w:val="25"/>
        </w:rPr>
        <w:t xml:space="preserve"> the US Supreme Court in the 1980s. John Hart Ely </w:t>
      </w:r>
      <w:r w:rsidR="00CD630A" w:rsidRPr="00E06855">
        <w:rPr>
          <w:rFonts w:ascii="Times New Roman" w:hAnsi="Times New Roman" w:cs="Times New Roman"/>
          <w:sz w:val="25"/>
          <w:szCs w:val="25"/>
        </w:rPr>
        <w:t>argued that</w:t>
      </w:r>
      <w:r w:rsidRPr="00E06855">
        <w:rPr>
          <w:rFonts w:ascii="Times New Roman" w:hAnsi="Times New Roman" w:cs="Times New Roman"/>
          <w:sz w:val="25"/>
          <w:szCs w:val="25"/>
        </w:rPr>
        <w:t xml:space="preserve"> judges </w:t>
      </w:r>
      <w:r w:rsidR="00C52CE5" w:rsidRPr="00E06855">
        <w:rPr>
          <w:rFonts w:ascii="Times New Roman" w:hAnsi="Times New Roman" w:cs="Times New Roman"/>
          <w:sz w:val="25"/>
          <w:szCs w:val="25"/>
        </w:rPr>
        <w:t>sh</w:t>
      </w:r>
      <w:r w:rsidRPr="00E06855">
        <w:rPr>
          <w:rFonts w:ascii="Times New Roman" w:hAnsi="Times New Roman" w:cs="Times New Roman"/>
          <w:sz w:val="25"/>
          <w:szCs w:val="25"/>
        </w:rPr>
        <w:t>ould conduct “representation-reinforcing review”</w:t>
      </w:r>
      <w:r w:rsidR="008312F1" w:rsidRPr="00E06855">
        <w:rPr>
          <w:rFonts w:ascii="Times New Roman" w:hAnsi="Times New Roman" w:cs="Times New Roman"/>
          <w:sz w:val="25"/>
          <w:szCs w:val="25"/>
        </w:rPr>
        <w:t xml:space="preserve"> of legislation</w:t>
      </w:r>
      <w:r w:rsidRPr="00E06855">
        <w:rPr>
          <w:rFonts w:ascii="Times New Roman" w:hAnsi="Times New Roman" w:cs="Times New Roman"/>
          <w:sz w:val="25"/>
          <w:szCs w:val="25"/>
        </w:rPr>
        <w:t xml:space="preserve"> which </w:t>
      </w:r>
      <w:r w:rsidRPr="00E06855">
        <w:rPr>
          <w:rFonts w:ascii="Times New Roman" w:hAnsi="Times New Roman" w:cs="Times New Roman"/>
          <w:sz w:val="25"/>
          <w:szCs w:val="25"/>
        </w:rPr>
        <w:lastRenderedPageBreak/>
        <w:t>would not determine substantive values, but would rather ensure the process by which decisions were made met certain standards.</w:t>
      </w:r>
      <w:bookmarkStart w:id="2" w:name="_Ref16500676"/>
      <w:r w:rsidR="006A5DF6" w:rsidRPr="00E06855">
        <w:rPr>
          <w:rStyle w:val="FootnoteReference"/>
          <w:rFonts w:ascii="Times New Roman" w:hAnsi="Times New Roman" w:cs="Times New Roman"/>
          <w:sz w:val="25"/>
          <w:szCs w:val="25"/>
        </w:rPr>
        <w:footnoteReference w:id="13"/>
      </w:r>
      <w:bookmarkEnd w:id="2"/>
    </w:p>
    <w:p w14:paraId="6E89F085" w14:textId="50FAE341" w:rsidR="0035016E" w:rsidRPr="00E06855" w:rsidRDefault="00CD11B8" w:rsidP="0035016E">
      <w:pPr>
        <w:rPr>
          <w:rFonts w:ascii="Times New Roman" w:hAnsi="Times New Roman" w:cs="Times New Roman"/>
          <w:sz w:val="25"/>
          <w:szCs w:val="25"/>
        </w:rPr>
      </w:pPr>
      <w:r w:rsidRPr="00E06855">
        <w:rPr>
          <w:rFonts w:ascii="Times New Roman" w:hAnsi="Times New Roman" w:cs="Times New Roman"/>
          <w:sz w:val="25"/>
          <w:szCs w:val="25"/>
        </w:rPr>
        <w:t>Ely’s theory has enjoyed a renaissance in the European Union in recent years</w:t>
      </w:r>
      <w:r w:rsidR="00395C73" w:rsidRPr="00E06855">
        <w:rPr>
          <w:rFonts w:ascii="Times New Roman" w:hAnsi="Times New Roman" w:cs="Times New Roman"/>
          <w:sz w:val="25"/>
          <w:szCs w:val="25"/>
        </w:rPr>
        <w:t>, acting as a clear influence on the recent trend of process review advocacy</w:t>
      </w:r>
      <w:r w:rsidR="005C0719" w:rsidRPr="00E06855">
        <w:rPr>
          <w:rFonts w:ascii="Times New Roman" w:hAnsi="Times New Roman" w:cs="Times New Roman"/>
          <w:sz w:val="25"/>
          <w:szCs w:val="25"/>
        </w:rPr>
        <w:t xml:space="preserve">. </w:t>
      </w:r>
      <w:r w:rsidRPr="00E06855">
        <w:rPr>
          <w:rFonts w:ascii="Times New Roman" w:hAnsi="Times New Roman" w:cs="Times New Roman"/>
          <w:sz w:val="25"/>
          <w:szCs w:val="25"/>
        </w:rPr>
        <w:t xml:space="preserve">It is the intention of this paper to engage with the extensive </w:t>
      </w:r>
      <w:r w:rsidR="00CB6139" w:rsidRPr="00E06855">
        <w:rPr>
          <w:rFonts w:ascii="Times New Roman" w:hAnsi="Times New Roman" w:cs="Times New Roman"/>
          <w:sz w:val="25"/>
          <w:szCs w:val="25"/>
        </w:rPr>
        <w:t>criti</w:t>
      </w:r>
      <w:r w:rsidR="001037A5" w:rsidRPr="00E06855">
        <w:rPr>
          <w:rFonts w:ascii="Times New Roman" w:hAnsi="Times New Roman" w:cs="Times New Roman"/>
          <w:sz w:val="25"/>
          <w:szCs w:val="25"/>
        </w:rPr>
        <w:t>que that followed</w:t>
      </w:r>
      <w:r w:rsidRPr="00E06855">
        <w:rPr>
          <w:rFonts w:ascii="Times New Roman" w:hAnsi="Times New Roman" w:cs="Times New Roman"/>
          <w:sz w:val="25"/>
          <w:szCs w:val="25"/>
        </w:rPr>
        <w:t xml:space="preserve">. Overall, Ely’s theory places too much reliance on the process-substance distinction. As a result, </w:t>
      </w:r>
      <w:r w:rsidR="00113BF1" w:rsidRPr="00E06855">
        <w:rPr>
          <w:rFonts w:ascii="Times New Roman" w:hAnsi="Times New Roman" w:cs="Times New Roman"/>
          <w:sz w:val="25"/>
          <w:szCs w:val="25"/>
        </w:rPr>
        <w:t>it</w:t>
      </w:r>
      <w:r w:rsidRPr="00E06855">
        <w:rPr>
          <w:rFonts w:ascii="Times New Roman" w:hAnsi="Times New Roman" w:cs="Times New Roman"/>
          <w:sz w:val="25"/>
          <w:szCs w:val="25"/>
        </w:rPr>
        <w:t xml:space="preserve"> fails to meet the expectations placed on it by </w:t>
      </w:r>
      <w:r w:rsidR="00081FEF" w:rsidRPr="00E06855">
        <w:rPr>
          <w:rFonts w:ascii="Times New Roman" w:hAnsi="Times New Roman" w:cs="Times New Roman"/>
          <w:sz w:val="25"/>
          <w:szCs w:val="25"/>
        </w:rPr>
        <w:t>Ely</w:t>
      </w:r>
      <w:r w:rsidRPr="00E06855">
        <w:rPr>
          <w:rFonts w:ascii="Times New Roman" w:hAnsi="Times New Roman" w:cs="Times New Roman"/>
          <w:sz w:val="25"/>
          <w:szCs w:val="25"/>
        </w:rPr>
        <w:t xml:space="preserve">, both in terms of outcomes and legitimacy. </w:t>
      </w:r>
      <w:r w:rsidR="0035016E" w:rsidRPr="00E06855">
        <w:rPr>
          <w:rFonts w:ascii="Times New Roman" w:hAnsi="Times New Roman" w:cs="Times New Roman"/>
          <w:sz w:val="25"/>
          <w:szCs w:val="25"/>
        </w:rPr>
        <w:t xml:space="preserve">These issues are explored in </w:t>
      </w:r>
      <w:r w:rsidR="00452125" w:rsidRPr="00E06855">
        <w:rPr>
          <w:rFonts w:ascii="Times New Roman" w:hAnsi="Times New Roman" w:cs="Times New Roman"/>
          <w:sz w:val="25"/>
          <w:szCs w:val="25"/>
        </w:rPr>
        <w:t>the first section</w:t>
      </w:r>
    </w:p>
    <w:p w14:paraId="3CDD1574" w14:textId="15D97517" w:rsidR="0035016E" w:rsidRPr="00E06855" w:rsidRDefault="0035016E" w:rsidP="00061FA9">
      <w:pPr>
        <w:rPr>
          <w:rFonts w:ascii="Times New Roman" w:hAnsi="Times New Roman" w:cs="Times New Roman"/>
          <w:sz w:val="25"/>
          <w:szCs w:val="25"/>
        </w:rPr>
      </w:pPr>
      <w:r w:rsidRPr="00E06855">
        <w:rPr>
          <w:rFonts w:ascii="Times New Roman" w:hAnsi="Times New Roman" w:cs="Times New Roman"/>
          <w:sz w:val="25"/>
          <w:szCs w:val="25"/>
        </w:rPr>
        <w:t xml:space="preserve">Following this, the trend of </w:t>
      </w:r>
      <w:r w:rsidR="000C162C" w:rsidRPr="00E06855">
        <w:rPr>
          <w:rFonts w:ascii="Times New Roman" w:hAnsi="Times New Roman" w:cs="Times New Roman"/>
          <w:sz w:val="25"/>
          <w:szCs w:val="25"/>
        </w:rPr>
        <w:t>process review</w:t>
      </w:r>
      <w:r w:rsidRPr="00E06855">
        <w:rPr>
          <w:rFonts w:ascii="Times New Roman" w:hAnsi="Times New Roman" w:cs="Times New Roman"/>
          <w:sz w:val="25"/>
          <w:szCs w:val="25"/>
        </w:rPr>
        <w:t xml:space="preserve"> advocacy in the European Union is examined. In particular, there are two key areas in which such advocacy is evident; </w:t>
      </w:r>
      <w:proofErr w:type="spellStart"/>
      <w:r w:rsidR="008216E5">
        <w:rPr>
          <w:rFonts w:ascii="Times New Roman" w:hAnsi="Times New Roman" w:cs="Times New Roman"/>
          <w:sz w:val="25"/>
          <w:szCs w:val="25"/>
        </w:rPr>
        <w:t>i</w:t>
      </w:r>
      <w:proofErr w:type="spellEnd"/>
      <w:r w:rsidR="008216E5">
        <w:rPr>
          <w:rFonts w:ascii="Times New Roman" w:hAnsi="Times New Roman" w:cs="Times New Roman"/>
          <w:sz w:val="25"/>
          <w:szCs w:val="25"/>
        </w:rPr>
        <w:t xml:space="preserve">) </w:t>
      </w:r>
      <w:r w:rsidR="00381EE4" w:rsidRPr="00E06855">
        <w:rPr>
          <w:rFonts w:ascii="Times New Roman" w:hAnsi="Times New Roman" w:cs="Times New Roman"/>
          <w:sz w:val="25"/>
          <w:szCs w:val="25"/>
        </w:rPr>
        <w:t>r</w:t>
      </w:r>
      <w:r w:rsidRPr="00E06855">
        <w:rPr>
          <w:rFonts w:ascii="Times New Roman" w:hAnsi="Times New Roman" w:cs="Times New Roman"/>
          <w:sz w:val="25"/>
          <w:szCs w:val="25"/>
        </w:rPr>
        <w:t>eview of Union legislation for compliance with the principles of subsidiarity and proportionality</w:t>
      </w:r>
      <w:r w:rsidR="00167826">
        <w:rPr>
          <w:rFonts w:ascii="Times New Roman" w:hAnsi="Times New Roman" w:cs="Times New Roman"/>
          <w:sz w:val="25"/>
          <w:szCs w:val="25"/>
        </w:rPr>
        <w:t xml:space="preserve">, ii) </w:t>
      </w:r>
      <w:r w:rsidRPr="00E06855">
        <w:rPr>
          <w:rFonts w:ascii="Times New Roman" w:hAnsi="Times New Roman" w:cs="Times New Roman"/>
          <w:sz w:val="25"/>
          <w:szCs w:val="25"/>
        </w:rPr>
        <w:t>review of Member State measures for compliance with the Treaties’ free movement prohibitions</w:t>
      </w:r>
      <w:r w:rsidR="00E03494" w:rsidRPr="00E06855">
        <w:rPr>
          <w:rFonts w:ascii="Times New Roman" w:hAnsi="Times New Roman" w:cs="Times New Roman"/>
          <w:sz w:val="25"/>
          <w:szCs w:val="25"/>
        </w:rPr>
        <w:t xml:space="preserve">. The specific </w:t>
      </w:r>
      <w:r w:rsidR="00DB0768" w:rsidRPr="00E06855">
        <w:rPr>
          <w:rFonts w:ascii="Times New Roman" w:hAnsi="Times New Roman" w:cs="Times New Roman"/>
          <w:sz w:val="25"/>
          <w:szCs w:val="25"/>
        </w:rPr>
        <w:t xml:space="preserve">constitutional </w:t>
      </w:r>
      <w:r w:rsidR="00766DCE" w:rsidRPr="00E06855">
        <w:rPr>
          <w:rFonts w:ascii="Times New Roman" w:hAnsi="Times New Roman" w:cs="Times New Roman"/>
          <w:sz w:val="25"/>
          <w:szCs w:val="25"/>
        </w:rPr>
        <w:t>dynamics</w:t>
      </w:r>
      <w:r w:rsidR="00DB0768" w:rsidRPr="00E06855">
        <w:rPr>
          <w:rFonts w:ascii="Times New Roman" w:hAnsi="Times New Roman" w:cs="Times New Roman"/>
          <w:sz w:val="25"/>
          <w:szCs w:val="25"/>
        </w:rPr>
        <w:t xml:space="preserve"> of these contexts and the expectations placed on process review by its advocates are explored</w:t>
      </w:r>
      <w:r w:rsidR="0096346D" w:rsidRPr="00E06855">
        <w:rPr>
          <w:rFonts w:ascii="Times New Roman" w:hAnsi="Times New Roman" w:cs="Times New Roman"/>
          <w:sz w:val="25"/>
          <w:szCs w:val="25"/>
        </w:rPr>
        <w:t xml:space="preserve"> in </w:t>
      </w:r>
      <w:r w:rsidR="00BC3802" w:rsidRPr="00E06855">
        <w:rPr>
          <w:rFonts w:ascii="Times New Roman" w:hAnsi="Times New Roman" w:cs="Times New Roman"/>
          <w:sz w:val="25"/>
          <w:szCs w:val="25"/>
        </w:rPr>
        <w:t>the second section.</w:t>
      </w:r>
    </w:p>
    <w:p w14:paraId="7E10A2FF" w14:textId="024D91CA" w:rsidR="00BB6A27" w:rsidRPr="00E06855" w:rsidRDefault="007953B4" w:rsidP="00974639">
      <w:pPr>
        <w:rPr>
          <w:rFonts w:ascii="Times New Roman" w:hAnsi="Times New Roman" w:cs="Times New Roman"/>
          <w:sz w:val="25"/>
          <w:szCs w:val="25"/>
        </w:rPr>
      </w:pPr>
      <w:r w:rsidRPr="00E06855">
        <w:rPr>
          <w:rFonts w:ascii="Times New Roman" w:hAnsi="Times New Roman" w:cs="Times New Roman"/>
          <w:sz w:val="25"/>
          <w:szCs w:val="25"/>
        </w:rPr>
        <w:t>The third section</w:t>
      </w:r>
      <w:r w:rsidR="00061FA9" w:rsidRPr="00E06855">
        <w:rPr>
          <w:rFonts w:ascii="Times New Roman" w:hAnsi="Times New Roman" w:cs="Times New Roman"/>
          <w:sz w:val="25"/>
          <w:szCs w:val="25"/>
        </w:rPr>
        <w:t xml:space="preserve"> explores </w:t>
      </w:r>
      <w:r w:rsidR="004A53B3">
        <w:rPr>
          <w:rFonts w:ascii="Times New Roman" w:hAnsi="Times New Roman" w:cs="Times New Roman"/>
          <w:sz w:val="25"/>
          <w:szCs w:val="25"/>
        </w:rPr>
        <w:t xml:space="preserve">how advocates of process review expect it to shift the standard of review, and thus change </w:t>
      </w:r>
      <w:r w:rsidR="004A53B3">
        <w:rPr>
          <w:rFonts w:ascii="Times New Roman" w:hAnsi="Times New Roman" w:cs="Times New Roman"/>
          <w:i/>
          <w:iCs/>
          <w:sz w:val="25"/>
          <w:szCs w:val="25"/>
        </w:rPr>
        <w:t>outcomes</w:t>
      </w:r>
      <w:r w:rsidR="009373DA">
        <w:rPr>
          <w:rFonts w:ascii="Times New Roman" w:hAnsi="Times New Roman" w:cs="Times New Roman"/>
          <w:sz w:val="25"/>
          <w:szCs w:val="25"/>
        </w:rPr>
        <w:t>.</w:t>
      </w:r>
      <w:r w:rsidR="003D67E1">
        <w:rPr>
          <w:rFonts w:ascii="Times New Roman" w:hAnsi="Times New Roman" w:cs="Times New Roman"/>
          <w:sz w:val="25"/>
          <w:szCs w:val="25"/>
        </w:rPr>
        <w:t xml:space="preserve"> </w:t>
      </w:r>
      <w:r w:rsidR="00230496">
        <w:rPr>
          <w:rFonts w:ascii="Times New Roman" w:hAnsi="Times New Roman" w:cs="Times New Roman"/>
          <w:sz w:val="25"/>
          <w:szCs w:val="25"/>
        </w:rPr>
        <w:t xml:space="preserve">A survey </w:t>
      </w:r>
      <w:r w:rsidR="00BB6A27" w:rsidRPr="00E06855">
        <w:rPr>
          <w:rFonts w:ascii="Times New Roman" w:hAnsi="Times New Roman" w:cs="Times New Roman"/>
          <w:sz w:val="25"/>
          <w:szCs w:val="25"/>
        </w:rPr>
        <w:t>of the case law in both contexts shows that where the Court has regard to procedural elements, it does not have the impact desired by process review advocate</w:t>
      </w:r>
      <w:r w:rsidR="00CB0860" w:rsidRPr="00E06855">
        <w:rPr>
          <w:rFonts w:ascii="Times New Roman" w:hAnsi="Times New Roman" w:cs="Times New Roman"/>
          <w:sz w:val="25"/>
          <w:szCs w:val="25"/>
        </w:rPr>
        <w:t>s</w:t>
      </w:r>
      <w:r w:rsidR="00BB6A27" w:rsidRPr="00E06855">
        <w:rPr>
          <w:rFonts w:ascii="Times New Roman" w:hAnsi="Times New Roman" w:cs="Times New Roman"/>
          <w:sz w:val="25"/>
          <w:szCs w:val="25"/>
        </w:rPr>
        <w:t>. The standard of review appears to remain at the same level</w:t>
      </w:r>
      <w:r w:rsidR="00D53489" w:rsidRPr="00E06855">
        <w:rPr>
          <w:rFonts w:ascii="Times New Roman" w:hAnsi="Times New Roman" w:cs="Times New Roman"/>
          <w:sz w:val="25"/>
          <w:szCs w:val="25"/>
        </w:rPr>
        <w:t xml:space="preserve"> suggesting </w:t>
      </w:r>
      <w:r w:rsidR="00BB6A27" w:rsidRPr="00E06855">
        <w:rPr>
          <w:rFonts w:ascii="Times New Roman" w:hAnsi="Times New Roman" w:cs="Times New Roman"/>
          <w:sz w:val="25"/>
          <w:szCs w:val="25"/>
        </w:rPr>
        <w:t xml:space="preserve">that process review </w:t>
      </w:r>
      <w:r w:rsidR="00CC72A4" w:rsidRPr="00E06855">
        <w:rPr>
          <w:rFonts w:ascii="Times New Roman" w:hAnsi="Times New Roman" w:cs="Times New Roman"/>
          <w:sz w:val="25"/>
          <w:szCs w:val="25"/>
        </w:rPr>
        <w:t>may not</w:t>
      </w:r>
      <w:r w:rsidR="00BB6A27" w:rsidRPr="00E06855">
        <w:rPr>
          <w:rFonts w:ascii="Times New Roman" w:hAnsi="Times New Roman" w:cs="Times New Roman"/>
          <w:sz w:val="25"/>
          <w:szCs w:val="25"/>
        </w:rPr>
        <w:t xml:space="preserve"> change the </w:t>
      </w:r>
      <w:r w:rsidR="00BB6A27" w:rsidRPr="00E06855">
        <w:rPr>
          <w:rFonts w:ascii="Times New Roman" w:hAnsi="Times New Roman" w:cs="Times New Roman"/>
          <w:i/>
          <w:iCs/>
          <w:sz w:val="25"/>
          <w:szCs w:val="25"/>
        </w:rPr>
        <w:t>outcomes</w:t>
      </w:r>
      <w:r w:rsidR="00BB6A27" w:rsidRPr="00E06855">
        <w:rPr>
          <w:rFonts w:ascii="Times New Roman" w:hAnsi="Times New Roman" w:cs="Times New Roman"/>
          <w:sz w:val="25"/>
          <w:szCs w:val="25"/>
        </w:rPr>
        <w:t xml:space="preserve"> of judicial review</w:t>
      </w:r>
      <w:r w:rsidR="005F08A3">
        <w:rPr>
          <w:rFonts w:ascii="Times New Roman" w:hAnsi="Times New Roman" w:cs="Times New Roman"/>
          <w:sz w:val="25"/>
          <w:szCs w:val="25"/>
        </w:rPr>
        <w:t>.</w:t>
      </w:r>
    </w:p>
    <w:p w14:paraId="149656A7" w14:textId="554487EC" w:rsidR="00BB6A27" w:rsidRPr="00E06855" w:rsidRDefault="0072058E" w:rsidP="00E97C75">
      <w:pPr>
        <w:rPr>
          <w:rFonts w:ascii="Times New Roman" w:hAnsi="Times New Roman" w:cs="Times New Roman"/>
          <w:sz w:val="25"/>
          <w:szCs w:val="25"/>
        </w:rPr>
      </w:pPr>
      <w:r w:rsidRPr="00E06855">
        <w:rPr>
          <w:rFonts w:ascii="Times New Roman" w:hAnsi="Times New Roman" w:cs="Times New Roman"/>
          <w:sz w:val="25"/>
          <w:szCs w:val="25"/>
        </w:rPr>
        <w:t>The</w:t>
      </w:r>
      <w:r w:rsidR="00760FCA" w:rsidRPr="00E06855">
        <w:rPr>
          <w:rFonts w:ascii="Times New Roman" w:hAnsi="Times New Roman" w:cs="Times New Roman"/>
          <w:sz w:val="25"/>
          <w:szCs w:val="25"/>
        </w:rPr>
        <w:t xml:space="preserve"> </w:t>
      </w:r>
      <w:r w:rsidR="00760FCA" w:rsidRPr="00E06855">
        <w:rPr>
          <w:rFonts w:ascii="Times New Roman" w:hAnsi="Times New Roman" w:cs="Times New Roman"/>
          <w:i/>
          <w:iCs/>
          <w:sz w:val="25"/>
          <w:szCs w:val="25"/>
        </w:rPr>
        <w:t>legitimacy</w:t>
      </w:r>
      <w:r w:rsidR="00432B38" w:rsidRPr="00E06855">
        <w:rPr>
          <w:rFonts w:ascii="Times New Roman" w:hAnsi="Times New Roman" w:cs="Times New Roman"/>
          <w:i/>
          <w:iCs/>
          <w:sz w:val="25"/>
          <w:szCs w:val="25"/>
        </w:rPr>
        <w:t xml:space="preserve"> </w:t>
      </w:r>
      <w:r w:rsidR="00432B38" w:rsidRPr="00E06855">
        <w:rPr>
          <w:rFonts w:ascii="Times New Roman" w:hAnsi="Times New Roman" w:cs="Times New Roman"/>
          <w:sz w:val="25"/>
          <w:szCs w:val="25"/>
        </w:rPr>
        <w:t>claims made for process review</w:t>
      </w:r>
      <w:r w:rsidR="00C52DCC" w:rsidRPr="00E06855">
        <w:rPr>
          <w:rFonts w:ascii="Times New Roman" w:hAnsi="Times New Roman" w:cs="Times New Roman"/>
          <w:sz w:val="25"/>
          <w:szCs w:val="25"/>
        </w:rPr>
        <w:t xml:space="preserve"> are explored in the </w:t>
      </w:r>
      <w:r w:rsidR="00300B84" w:rsidRPr="00E06855">
        <w:rPr>
          <w:rFonts w:ascii="Times New Roman" w:hAnsi="Times New Roman" w:cs="Times New Roman"/>
          <w:sz w:val="25"/>
          <w:szCs w:val="25"/>
        </w:rPr>
        <w:t>fourth</w:t>
      </w:r>
      <w:r w:rsidR="00C52DCC" w:rsidRPr="00E06855">
        <w:rPr>
          <w:rFonts w:ascii="Times New Roman" w:hAnsi="Times New Roman" w:cs="Times New Roman"/>
          <w:sz w:val="25"/>
          <w:szCs w:val="25"/>
        </w:rPr>
        <w:t xml:space="preserve"> section of th</w:t>
      </w:r>
      <w:r w:rsidR="00C70039">
        <w:rPr>
          <w:rFonts w:ascii="Times New Roman" w:hAnsi="Times New Roman" w:cs="Times New Roman"/>
          <w:sz w:val="25"/>
          <w:szCs w:val="25"/>
        </w:rPr>
        <w:t>e</w:t>
      </w:r>
      <w:r w:rsidR="00C52DCC" w:rsidRPr="00E06855">
        <w:rPr>
          <w:rFonts w:ascii="Times New Roman" w:hAnsi="Times New Roman" w:cs="Times New Roman"/>
          <w:sz w:val="25"/>
          <w:szCs w:val="25"/>
        </w:rPr>
        <w:t xml:space="preserve"> paper</w:t>
      </w:r>
      <w:r w:rsidR="00432B38" w:rsidRPr="00E06855">
        <w:rPr>
          <w:rFonts w:ascii="Times New Roman" w:hAnsi="Times New Roman" w:cs="Times New Roman"/>
          <w:sz w:val="25"/>
          <w:szCs w:val="25"/>
        </w:rPr>
        <w:t>.</w:t>
      </w:r>
      <w:r w:rsidR="003E61FC" w:rsidRPr="00E06855">
        <w:rPr>
          <w:rFonts w:ascii="Times New Roman" w:hAnsi="Times New Roman" w:cs="Times New Roman"/>
          <w:sz w:val="25"/>
          <w:szCs w:val="25"/>
        </w:rPr>
        <w:t xml:space="preserve"> </w:t>
      </w:r>
      <w:r w:rsidR="00892475" w:rsidRPr="00E06855">
        <w:rPr>
          <w:rFonts w:ascii="Times New Roman" w:hAnsi="Times New Roman" w:cs="Times New Roman"/>
          <w:sz w:val="25"/>
          <w:szCs w:val="25"/>
        </w:rPr>
        <w:t xml:space="preserve">The claim that process review is more legitimate because it is less intensive than substantive review </w:t>
      </w:r>
      <w:r w:rsidR="00742824" w:rsidRPr="00E06855">
        <w:rPr>
          <w:rFonts w:ascii="Times New Roman" w:hAnsi="Times New Roman" w:cs="Times New Roman"/>
          <w:sz w:val="25"/>
          <w:szCs w:val="25"/>
        </w:rPr>
        <w:t xml:space="preserve">is undermined by </w:t>
      </w:r>
      <w:r w:rsidR="007C4C9A" w:rsidRPr="00E06855">
        <w:rPr>
          <w:rFonts w:ascii="Times New Roman" w:hAnsi="Times New Roman" w:cs="Times New Roman"/>
          <w:sz w:val="25"/>
          <w:szCs w:val="25"/>
        </w:rPr>
        <w:t>its</w:t>
      </w:r>
      <w:r w:rsidR="00742824" w:rsidRPr="00E06855">
        <w:rPr>
          <w:rFonts w:ascii="Times New Roman" w:hAnsi="Times New Roman" w:cs="Times New Roman"/>
          <w:sz w:val="25"/>
          <w:szCs w:val="25"/>
        </w:rPr>
        <w:t xml:space="preserve"> failure to shift the outcomes of review</w:t>
      </w:r>
      <w:r w:rsidR="00E97C75" w:rsidRPr="00E06855">
        <w:rPr>
          <w:rFonts w:ascii="Times New Roman" w:hAnsi="Times New Roman" w:cs="Times New Roman"/>
          <w:sz w:val="25"/>
          <w:szCs w:val="25"/>
        </w:rPr>
        <w:t xml:space="preserve">. </w:t>
      </w:r>
      <w:r w:rsidR="003E61FC" w:rsidRPr="00E06855">
        <w:rPr>
          <w:rFonts w:ascii="Times New Roman" w:hAnsi="Times New Roman" w:cs="Times New Roman"/>
          <w:sz w:val="25"/>
          <w:szCs w:val="25"/>
        </w:rPr>
        <w:t xml:space="preserve">But there are also </w:t>
      </w:r>
      <w:r w:rsidR="00D17369" w:rsidRPr="00E06855">
        <w:rPr>
          <w:rFonts w:ascii="Times New Roman" w:hAnsi="Times New Roman" w:cs="Times New Roman"/>
          <w:sz w:val="25"/>
          <w:szCs w:val="25"/>
        </w:rPr>
        <w:t>more ambitious</w:t>
      </w:r>
      <w:r w:rsidR="003E61FC" w:rsidRPr="00E06855">
        <w:rPr>
          <w:rFonts w:ascii="Times New Roman" w:hAnsi="Times New Roman" w:cs="Times New Roman"/>
          <w:sz w:val="25"/>
          <w:szCs w:val="25"/>
        </w:rPr>
        <w:t xml:space="preserve"> claims made for process review, that it can be legitimate through improvement of</w:t>
      </w:r>
      <w:r w:rsidR="00C7486C" w:rsidRPr="00E06855">
        <w:rPr>
          <w:rFonts w:ascii="Times New Roman" w:hAnsi="Times New Roman" w:cs="Times New Roman"/>
          <w:sz w:val="25"/>
          <w:szCs w:val="25"/>
        </w:rPr>
        <w:t xml:space="preserve"> </w:t>
      </w:r>
      <w:r w:rsidR="00E97C75" w:rsidRPr="00E06855">
        <w:rPr>
          <w:rFonts w:ascii="Times New Roman" w:hAnsi="Times New Roman" w:cs="Times New Roman"/>
          <w:sz w:val="25"/>
          <w:szCs w:val="25"/>
        </w:rPr>
        <w:t>decision-making processes.</w:t>
      </w:r>
      <w:r w:rsidR="003E61FC" w:rsidRPr="00E06855">
        <w:rPr>
          <w:rFonts w:ascii="Times New Roman" w:hAnsi="Times New Roman" w:cs="Times New Roman"/>
          <w:sz w:val="25"/>
          <w:szCs w:val="25"/>
        </w:rPr>
        <w:t xml:space="preserve"> For advocates of process review of Union </w:t>
      </w:r>
      <w:r w:rsidR="00C70187">
        <w:rPr>
          <w:rFonts w:ascii="Times New Roman" w:hAnsi="Times New Roman" w:cs="Times New Roman"/>
          <w:sz w:val="25"/>
          <w:szCs w:val="25"/>
        </w:rPr>
        <w:t>legislation</w:t>
      </w:r>
      <w:r w:rsidR="003E61FC" w:rsidRPr="00E06855">
        <w:rPr>
          <w:rFonts w:ascii="Times New Roman" w:hAnsi="Times New Roman" w:cs="Times New Roman"/>
          <w:sz w:val="25"/>
          <w:szCs w:val="25"/>
        </w:rPr>
        <w:t xml:space="preserve">, this takes the form of rationalising the process, </w:t>
      </w:r>
      <w:r w:rsidR="007F2D93">
        <w:rPr>
          <w:rFonts w:ascii="Times New Roman" w:hAnsi="Times New Roman" w:cs="Times New Roman"/>
          <w:sz w:val="25"/>
          <w:szCs w:val="25"/>
        </w:rPr>
        <w:t>encouraging</w:t>
      </w:r>
      <w:r w:rsidR="003E61FC" w:rsidRPr="00E06855">
        <w:rPr>
          <w:rFonts w:ascii="Times New Roman" w:hAnsi="Times New Roman" w:cs="Times New Roman"/>
          <w:sz w:val="25"/>
          <w:szCs w:val="25"/>
        </w:rPr>
        <w:t xml:space="preserve"> certain standards of quality law-making. For others, process review can help to ensure that Member State processes are sufficiently democratic in terms of deliberation.</w:t>
      </w:r>
      <w:r w:rsidR="00985E01" w:rsidRPr="00E06855">
        <w:rPr>
          <w:rFonts w:ascii="Times New Roman" w:hAnsi="Times New Roman" w:cs="Times New Roman"/>
          <w:sz w:val="25"/>
          <w:szCs w:val="25"/>
        </w:rPr>
        <w:t xml:space="preserve"> This paper casts doubt on the extent to which these ideals </w:t>
      </w:r>
      <w:r w:rsidR="006F79C2" w:rsidRPr="00E06855">
        <w:rPr>
          <w:rFonts w:ascii="Times New Roman" w:hAnsi="Times New Roman" w:cs="Times New Roman"/>
          <w:sz w:val="25"/>
          <w:szCs w:val="25"/>
        </w:rPr>
        <w:t>of</w:t>
      </w:r>
      <w:r w:rsidR="00985E01" w:rsidRPr="00E06855">
        <w:rPr>
          <w:rFonts w:ascii="Times New Roman" w:hAnsi="Times New Roman" w:cs="Times New Roman"/>
          <w:sz w:val="25"/>
          <w:szCs w:val="25"/>
        </w:rPr>
        <w:t xml:space="preserve"> legislative improvement are feasible or desirable in the </w:t>
      </w:r>
      <w:r w:rsidR="006F79C2" w:rsidRPr="00E06855">
        <w:rPr>
          <w:rFonts w:ascii="Times New Roman" w:hAnsi="Times New Roman" w:cs="Times New Roman"/>
          <w:sz w:val="25"/>
          <w:szCs w:val="25"/>
        </w:rPr>
        <w:t>context</w:t>
      </w:r>
      <w:r w:rsidR="00985E01" w:rsidRPr="00E06855">
        <w:rPr>
          <w:rFonts w:ascii="Times New Roman" w:hAnsi="Times New Roman" w:cs="Times New Roman"/>
          <w:sz w:val="25"/>
          <w:szCs w:val="25"/>
        </w:rPr>
        <w:t xml:space="preserve"> of the Union.</w:t>
      </w:r>
    </w:p>
    <w:p w14:paraId="7A9CB648" w14:textId="4F8493E9" w:rsidR="00AE7855" w:rsidRDefault="008E5942" w:rsidP="0035016E">
      <w:pPr>
        <w:rPr>
          <w:rFonts w:ascii="Times New Roman" w:hAnsi="Times New Roman" w:cs="Times New Roman"/>
          <w:sz w:val="25"/>
          <w:szCs w:val="25"/>
        </w:rPr>
      </w:pPr>
      <w:r w:rsidRPr="00E06855">
        <w:rPr>
          <w:rFonts w:ascii="Times New Roman" w:hAnsi="Times New Roman" w:cs="Times New Roman"/>
          <w:sz w:val="25"/>
          <w:szCs w:val="25"/>
        </w:rPr>
        <w:t>Overall, this paper takes a critical stance</w:t>
      </w:r>
      <w:r w:rsidR="0071057C" w:rsidRPr="00E06855">
        <w:rPr>
          <w:rFonts w:ascii="Times New Roman" w:hAnsi="Times New Roman" w:cs="Times New Roman"/>
          <w:sz w:val="25"/>
          <w:szCs w:val="25"/>
        </w:rPr>
        <w:t xml:space="preserve"> </w:t>
      </w:r>
      <w:r w:rsidR="00F14578" w:rsidRPr="00E06855">
        <w:rPr>
          <w:rFonts w:ascii="Times New Roman" w:hAnsi="Times New Roman" w:cs="Times New Roman"/>
          <w:sz w:val="25"/>
          <w:szCs w:val="25"/>
        </w:rPr>
        <w:t>towards</w:t>
      </w:r>
      <w:r w:rsidR="0071057C" w:rsidRPr="00E06855">
        <w:rPr>
          <w:rFonts w:ascii="Times New Roman" w:hAnsi="Times New Roman" w:cs="Times New Roman"/>
          <w:sz w:val="25"/>
          <w:szCs w:val="25"/>
        </w:rPr>
        <w:t xml:space="preserve"> the concept of process review. It is not intended to engage with the problems that process review advocates are intending to solve. </w:t>
      </w:r>
      <w:r w:rsidR="00AE7855">
        <w:rPr>
          <w:rFonts w:ascii="Times New Roman" w:hAnsi="Times New Roman" w:cs="Times New Roman"/>
          <w:sz w:val="25"/>
          <w:szCs w:val="25"/>
        </w:rPr>
        <w:t xml:space="preserve">Rather, in response to the broadly positive perception of </w:t>
      </w:r>
      <w:r w:rsidR="00782C4F">
        <w:rPr>
          <w:rFonts w:ascii="Times New Roman" w:hAnsi="Times New Roman" w:cs="Times New Roman"/>
          <w:sz w:val="25"/>
          <w:szCs w:val="25"/>
        </w:rPr>
        <w:t>the concept</w:t>
      </w:r>
      <w:r w:rsidR="00AE7855">
        <w:rPr>
          <w:rFonts w:ascii="Times New Roman" w:hAnsi="Times New Roman" w:cs="Times New Roman"/>
          <w:sz w:val="25"/>
          <w:szCs w:val="25"/>
        </w:rPr>
        <w:t xml:space="preserve"> in the literature, this pape</w:t>
      </w:r>
      <w:r w:rsidR="00D82987">
        <w:rPr>
          <w:rFonts w:ascii="Times New Roman" w:hAnsi="Times New Roman" w:cs="Times New Roman"/>
          <w:sz w:val="25"/>
          <w:szCs w:val="25"/>
        </w:rPr>
        <w:t xml:space="preserve">r questions </w:t>
      </w:r>
      <w:r w:rsidR="00D82987" w:rsidRPr="00E06855">
        <w:rPr>
          <w:rFonts w:ascii="Times New Roman" w:hAnsi="Times New Roman" w:cs="Times New Roman"/>
          <w:sz w:val="25"/>
          <w:szCs w:val="25"/>
        </w:rPr>
        <w:t>the ability of process review to satisfy the significant expectations which are placed upon it.</w:t>
      </w:r>
    </w:p>
    <w:p w14:paraId="24A9E51A" w14:textId="402F1E3E" w:rsidR="00BD4A8F" w:rsidRPr="00E06855" w:rsidRDefault="00BD7557" w:rsidP="00D853B3">
      <w:pPr>
        <w:pStyle w:val="Heading1"/>
        <w:rPr>
          <w:rFonts w:ascii="Times New Roman" w:hAnsi="Times New Roman" w:cs="Times New Roman"/>
        </w:rPr>
      </w:pPr>
      <w:r w:rsidRPr="00E06855">
        <w:rPr>
          <w:rFonts w:ascii="Times New Roman" w:hAnsi="Times New Roman" w:cs="Times New Roman"/>
        </w:rPr>
        <w:lastRenderedPageBreak/>
        <w:t xml:space="preserve">Ely’s Theory of </w:t>
      </w:r>
      <w:r w:rsidR="005E5A66" w:rsidRPr="00E06855">
        <w:rPr>
          <w:rFonts w:ascii="Times New Roman" w:hAnsi="Times New Roman" w:cs="Times New Roman"/>
        </w:rPr>
        <w:t xml:space="preserve">Process </w:t>
      </w:r>
      <w:r w:rsidR="00753CDA">
        <w:rPr>
          <w:rFonts w:ascii="Times New Roman" w:hAnsi="Times New Roman" w:cs="Times New Roman"/>
        </w:rPr>
        <w:t>R</w:t>
      </w:r>
      <w:r w:rsidR="005E5A66" w:rsidRPr="00E06855">
        <w:rPr>
          <w:rFonts w:ascii="Times New Roman" w:hAnsi="Times New Roman" w:cs="Times New Roman"/>
        </w:rPr>
        <w:t>eview</w:t>
      </w:r>
      <w:r w:rsidR="00BD4A8F" w:rsidRPr="00E06855">
        <w:rPr>
          <w:rFonts w:ascii="Times New Roman" w:hAnsi="Times New Roman" w:cs="Times New Roman"/>
        </w:rPr>
        <w:t xml:space="preserve"> and its Critique</w:t>
      </w:r>
    </w:p>
    <w:p w14:paraId="6D61299E" w14:textId="5A34D82A" w:rsidR="00135C5E" w:rsidRPr="00E06855" w:rsidRDefault="000926D7" w:rsidP="0029157E">
      <w:pPr>
        <w:rPr>
          <w:rFonts w:ascii="Times New Roman" w:hAnsi="Times New Roman" w:cs="Times New Roman"/>
          <w:sz w:val="25"/>
          <w:szCs w:val="25"/>
        </w:rPr>
      </w:pPr>
      <w:r w:rsidRPr="00E06855">
        <w:rPr>
          <w:rFonts w:ascii="Times New Roman" w:hAnsi="Times New Roman" w:cs="Times New Roman"/>
          <w:sz w:val="25"/>
          <w:szCs w:val="25"/>
        </w:rPr>
        <w:t>This paper focuses on the trend of process review advocacy in the European Union. But before delving into that literature, it first explores the</w:t>
      </w:r>
      <w:r w:rsidR="00D75DFA" w:rsidRPr="00E06855">
        <w:rPr>
          <w:rFonts w:ascii="Times New Roman" w:hAnsi="Times New Roman" w:cs="Times New Roman"/>
          <w:sz w:val="25"/>
          <w:szCs w:val="25"/>
        </w:rPr>
        <w:t xml:space="preserve"> process review theory of </w:t>
      </w:r>
      <w:r w:rsidR="00FC0E63" w:rsidRPr="00E06855">
        <w:rPr>
          <w:rFonts w:ascii="Times New Roman" w:hAnsi="Times New Roman" w:cs="Times New Roman"/>
          <w:sz w:val="25"/>
          <w:szCs w:val="25"/>
        </w:rPr>
        <w:t>John Hart El</w:t>
      </w:r>
      <w:r w:rsidR="000E5BB1" w:rsidRPr="00E06855">
        <w:rPr>
          <w:rFonts w:ascii="Times New Roman" w:hAnsi="Times New Roman" w:cs="Times New Roman"/>
          <w:sz w:val="25"/>
          <w:szCs w:val="25"/>
        </w:rPr>
        <w:t>y, developed</w:t>
      </w:r>
      <w:r w:rsidR="00C667C3" w:rsidRPr="00E06855">
        <w:rPr>
          <w:rFonts w:ascii="Times New Roman" w:hAnsi="Times New Roman" w:cs="Times New Roman"/>
          <w:sz w:val="25"/>
          <w:szCs w:val="25"/>
        </w:rPr>
        <w:t xml:space="preserve"> in the 1980s</w:t>
      </w:r>
      <w:r w:rsidR="00135C5E" w:rsidRPr="00E06855">
        <w:rPr>
          <w:rFonts w:ascii="Times New Roman" w:hAnsi="Times New Roman" w:cs="Times New Roman"/>
          <w:sz w:val="25"/>
          <w:szCs w:val="25"/>
        </w:rPr>
        <w:t xml:space="preserve"> in relation to the US Supreme Court. </w:t>
      </w:r>
      <w:r w:rsidR="00E967EE" w:rsidRPr="00E06855">
        <w:rPr>
          <w:rFonts w:ascii="Times New Roman" w:hAnsi="Times New Roman" w:cs="Times New Roman"/>
          <w:sz w:val="25"/>
          <w:szCs w:val="25"/>
        </w:rPr>
        <w:t>The influence of Ely’s theory</w:t>
      </w:r>
      <w:r w:rsidR="00661E1F" w:rsidRPr="00E06855">
        <w:rPr>
          <w:rFonts w:ascii="Times New Roman" w:hAnsi="Times New Roman" w:cs="Times New Roman"/>
          <w:sz w:val="25"/>
          <w:szCs w:val="25"/>
        </w:rPr>
        <w:t xml:space="preserve"> </w:t>
      </w:r>
      <w:r w:rsidR="00051B85" w:rsidRPr="00E06855">
        <w:rPr>
          <w:rFonts w:ascii="Times New Roman" w:hAnsi="Times New Roman" w:cs="Times New Roman"/>
          <w:sz w:val="25"/>
          <w:szCs w:val="25"/>
        </w:rPr>
        <w:t xml:space="preserve">on </w:t>
      </w:r>
      <w:r w:rsidR="007B580E" w:rsidRPr="00E06855">
        <w:rPr>
          <w:rFonts w:ascii="Times New Roman" w:hAnsi="Times New Roman" w:cs="Times New Roman"/>
          <w:sz w:val="25"/>
          <w:szCs w:val="25"/>
        </w:rPr>
        <w:t>process review advocates in the EU is clear.</w:t>
      </w:r>
      <w:r w:rsidR="00135C5E" w:rsidRPr="00E06855">
        <w:rPr>
          <w:rStyle w:val="FootnoteReference"/>
          <w:rFonts w:ascii="Times New Roman" w:hAnsi="Times New Roman" w:cs="Times New Roman"/>
          <w:sz w:val="25"/>
          <w:szCs w:val="25"/>
        </w:rPr>
        <w:footnoteReference w:id="14"/>
      </w:r>
      <w:r w:rsidR="006B21D9" w:rsidRPr="00E06855">
        <w:rPr>
          <w:rFonts w:ascii="Times New Roman" w:hAnsi="Times New Roman" w:cs="Times New Roman"/>
          <w:sz w:val="25"/>
          <w:szCs w:val="25"/>
        </w:rPr>
        <w:t xml:space="preserve"> This </w:t>
      </w:r>
      <w:r w:rsidR="004A5619" w:rsidRPr="00E06855">
        <w:rPr>
          <w:rFonts w:ascii="Times New Roman" w:hAnsi="Times New Roman" w:cs="Times New Roman"/>
          <w:sz w:val="25"/>
          <w:szCs w:val="25"/>
        </w:rPr>
        <w:t>section outlines</w:t>
      </w:r>
      <w:r w:rsidR="006B21D9" w:rsidRPr="00E06855">
        <w:rPr>
          <w:rFonts w:ascii="Times New Roman" w:hAnsi="Times New Roman" w:cs="Times New Roman"/>
          <w:sz w:val="25"/>
          <w:szCs w:val="25"/>
        </w:rPr>
        <w:t xml:space="preserve"> the theoretical ideas that Ely proposed in justification of </w:t>
      </w:r>
      <w:r w:rsidR="0074644E" w:rsidRPr="00E06855">
        <w:rPr>
          <w:rFonts w:ascii="Times New Roman" w:hAnsi="Times New Roman" w:cs="Times New Roman"/>
          <w:sz w:val="25"/>
          <w:szCs w:val="25"/>
        </w:rPr>
        <w:t>process</w:t>
      </w:r>
      <w:r w:rsidR="006B21D9" w:rsidRPr="00E06855">
        <w:rPr>
          <w:rFonts w:ascii="Times New Roman" w:hAnsi="Times New Roman" w:cs="Times New Roman"/>
          <w:sz w:val="25"/>
          <w:szCs w:val="25"/>
        </w:rPr>
        <w:t xml:space="preserve"> review. It </w:t>
      </w:r>
      <w:r w:rsidR="008A76F1" w:rsidRPr="00E06855">
        <w:rPr>
          <w:rFonts w:ascii="Times New Roman" w:hAnsi="Times New Roman" w:cs="Times New Roman"/>
          <w:sz w:val="25"/>
          <w:szCs w:val="25"/>
        </w:rPr>
        <w:t>also engages extensively with the critique of Ely’s theory</w:t>
      </w:r>
      <w:r w:rsidR="00B26DF8" w:rsidRPr="00E06855">
        <w:rPr>
          <w:rFonts w:ascii="Times New Roman" w:hAnsi="Times New Roman" w:cs="Times New Roman"/>
          <w:sz w:val="25"/>
          <w:szCs w:val="25"/>
        </w:rPr>
        <w:t>, drawing useful insights</w:t>
      </w:r>
      <w:r w:rsidR="00837A74" w:rsidRPr="00E06855">
        <w:rPr>
          <w:rFonts w:ascii="Times New Roman" w:hAnsi="Times New Roman" w:cs="Times New Roman"/>
          <w:sz w:val="25"/>
          <w:szCs w:val="25"/>
        </w:rPr>
        <w:t xml:space="preserve"> </w:t>
      </w:r>
      <w:r w:rsidR="00E16554" w:rsidRPr="00E06855">
        <w:rPr>
          <w:rFonts w:ascii="Times New Roman" w:hAnsi="Times New Roman" w:cs="Times New Roman"/>
          <w:sz w:val="25"/>
          <w:szCs w:val="25"/>
        </w:rPr>
        <w:t>which are then applied to the EU’s own process review advocates in later sections</w:t>
      </w:r>
      <w:r w:rsidR="00B43459" w:rsidRPr="00E06855">
        <w:rPr>
          <w:rFonts w:ascii="Times New Roman" w:hAnsi="Times New Roman" w:cs="Times New Roman"/>
          <w:sz w:val="25"/>
          <w:szCs w:val="25"/>
        </w:rPr>
        <w:t>.</w:t>
      </w:r>
    </w:p>
    <w:p w14:paraId="38559DD9" w14:textId="07E941DC" w:rsidR="00461F01" w:rsidRPr="00E06855" w:rsidRDefault="00461F01" w:rsidP="00461F01">
      <w:pPr>
        <w:pStyle w:val="Heading2"/>
        <w:rPr>
          <w:rFonts w:ascii="Times New Roman" w:hAnsi="Times New Roman" w:cs="Times New Roman"/>
        </w:rPr>
      </w:pPr>
      <w:r w:rsidRPr="00E06855">
        <w:rPr>
          <w:rFonts w:ascii="Times New Roman" w:hAnsi="Times New Roman" w:cs="Times New Roman"/>
        </w:rPr>
        <w:t>Ely’s Theory of Process Review</w:t>
      </w:r>
    </w:p>
    <w:p w14:paraId="7E4F17BB" w14:textId="35C61C6D" w:rsidR="00BD4A8F" w:rsidRPr="00E06855" w:rsidRDefault="00BD4A8F" w:rsidP="004331CD">
      <w:pPr>
        <w:rPr>
          <w:rFonts w:ascii="Times New Roman" w:hAnsi="Times New Roman" w:cs="Times New Roman"/>
          <w:sz w:val="25"/>
          <w:szCs w:val="25"/>
        </w:rPr>
      </w:pPr>
      <w:r w:rsidRPr="00E06855">
        <w:rPr>
          <w:rFonts w:ascii="Times New Roman" w:hAnsi="Times New Roman" w:cs="Times New Roman"/>
          <w:sz w:val="25"/>
          <w:szCs w:val="25"/>
        </w:rPr>
        <w:t>In constitutional law, a persistent debate on the legitimacy of judicial review</w:t>
      </w:r>
      <w:r w:rsidR="00D638A6" w:rsidRPr="00E06855">
        <w:rPr>
          <w:rFonts w:ascii="Times New Roman" w:hAnsi="Times New Roman" w:cs="Times New Roman"/>
          <w:sz w:val="25"/>
          <w:szCs w:val="25"/>
        </w:rPr>
        <w:t xml:space="preserve"> of legislation</w:t>
      </w:r>
      <w:r w:rsidRPr="00E06855">
        <w:rPr>
          <w:rFonts w:ascii="Times New Roman" w:hAnsi="Times New Roman" w:cs="Times New Roman"/>
          <w:sz w:val="25"/>
          <w:szCs w:val="25"/>
        </w:rPr>
        <w:t xml:space="preserve"> has taken place for many years. On the one hand, some argue that judicial review is necessary</w:t>
      </w:r>
      <w:r w:rsidR="004331CD" w:rsidRPr="00E06855">
        <w:rPr>
          <w:rFonts w:ascii="Times New Roman" w:hAnsi="Times New Roman" w:cs="Times New Roman"/>
          <w:sz w:val="25"/>
          <w:szCs w:val="25"/>
        </w:rPr>
        <w:t xml:space="preserve">, often arguing </w:t>
      </w:r>
      <w:r w:rsidR="00106965" w:rsidRPr="00E06855">
        <w:rPr>
          <w:rFonts w:ascii="Times New Roman" w:hAnsi="Times New Roman" w:cs="Times New Roman"/>
          <w:sz w:val="25"/>
          <w:szCs w:val="25"/>
        </w:rPr>
        <w:t>for its value in protecti</w:t>
      </w:r>
      <w:r w:rsidR="00652907" w:rsidRPr="00E06855">
        <w:rPr>
          <w:rFonts w:ascii="Times New Roman" w:hAnsi="Times New Roman" w:cs="Times New Roman"/>
          <w:sz w:val="25"/>
          <w:szCs w:val="25"/>
        </w:rPr>
        <w:t>ng</w:t>
      </w:r>
      <w:r w:rsidR="004331CD" w:rsidRPr="00E06855">
        <w:rPr>
          <w:rFonts w:ascii="Times New Roman" w:hAnsi="Times New Roman" w:cs="Times New Roman"/>
          <w:sz w:val="25"/>
          <w:szCs w:val="25"/>
        </w:rPr>
        <w:t xml:space="preserve"> vulnerable minorities from the “tyranny of the majority”.</w:t>
      </w:r>
      <w:r w:rsidRPr="00E06855">
        <w:rPr>
          <w:rStyle w:val="FootnoteReference"/>
          <w:rFonts w:ascii="Times New Roman" w:hAnsi="Times New Roman" w:cs="Times New Roman"/>
          <w:sz w:val="25"/>
          <w:szCs w:val="25"/>
        </w:rPr>
        <w:footnoteReference w:id="15"/>
      </w:r>
      <w:r w:rsidRPr="00E06855">
        <w:rPr>
          <w:rFonts w:ascii="Times New Roman" w:hAnsi="Times New Roman" w:cs="Times New Roman"/>
          <w:sz w:val="25"/>
          <w:szCs w:val="25"/>
        </w:rPr>
        <w:t xml:space="preserve"> On the other hand, many argue that judicial review is unjustifiable on the basis that there is no evidence that judges are better at protecting the most vulnerable members of society, and that their power cannot be justified in democratic terms.</w:t>
      </w:r>
      <w:r w:rsidRPr="00E06855">
        <w:rPr>
          <w:rStyle w:val="FootnoteReference"/>
          <w:rFonts w:ascii="Times New Roman" w:hAnsi="Times New Roman" w:cs="Times New Roman"/>
          <w:sz w:val="25"/>
          <w:szCs w:val="25"/>
        </w:rPr>
        <w:footnoteReference w:id="16"/>
      </w:r>
    </w:p>
    <w:p w14:paraId="457BF54B" w14:textId="79C9D87F" w:rsidR="00BD4A8F" w:rsidRPr="00E06855" w:rsidRDefault="001B567D" w:rsidP="00B04897">
      <w:pPr>
        <w:rPr>
          <w:rFonts w:ascii="Times New Roman" w:hAnsi="Times New Roman" w:cs="Times New Roman"/>
          <w:sz w:val="25"/>
          <w:szCs w:val="25"/>
        </w:rPr>
      </w:pPr>
      <w:r w:rsidRPr="00E06855">
        <w:rPr>
          <w:rFonts w:ascii="Times New Roman" w:hAnsi="Times New Roman" w:cs="Times New Roman"/>
          <w:sz w:val="25"/>
          <w:szCs w:val="25"/>
        </w:rPr>
        <w:t>Ely’s contribution to this debate</w:t>
      </w:r>
      <w:r w:rsidR="00E4488E" w:rsidRPr="00E06855">
        <w:rPr>
          <w:rFonts w:ascii="Times New Roman" w:hAnsi="Times New Roman" w:cs="Times New Roman"/>
          <w:sz w:val="25"/>
          <w:szCs w:val="25"/>
        </w:rPr>
        <w:t xml:space="preserve"> attempt</w:t>
      </w:r>
      <w:r w:rsidR="002476F3" w:rsidRPr="00E06855">
        <w:rPr>
          <w:rFonts w:ascii="Times New Roman" w:hAnsi="Times New Roman" w:cs="Times New Roman"/>
          <w:sz w:val="25"/>
          <w:szCs w:val="25"/>
        </w:rPr>
        <w:t>ed</w:t>
      </w:r>
      <w:r w:rsidR="00E4488E" w:rsidRPr="00E06855">
        <w:rPr>
          <w:rFonts w:ascii="Times New Roman" w:hAnsi="Times New Roman" w:cs="Times New Roman"/>
          <w:sz w:val="25"/>
          <w:szCs w:val="25"/>
        </w:rPr>
        <w:t xml:space="preserve"> to carve out a middle ground</w:t>
      </w:r>
      <w:r w:rsidR="0061667D" w:rsidRPr="00E06855">
        <w:rPr>
          <w:rFonts w:ascii="Times New Roman" w:hAnsi="Times New Roman" w:cs="Times New Roman"/>
          <w:sz w:val="25"/>
          <w:szCs w:val="25"/>
        </w:rPr>
        <w:t>.</w:t>
      </w:r>
      <w:r w:rsidR="001D07D1" w:rsidRPr="00E06855">
        <w:rPr>
          <w:rStyle w:val="FootnoteReference"/>
          <w:rFonts w:ascii="Times New Roman" w:hAnsi="Times New Roman" w:cs="Times New Roman"/>
          <w:sz w:val="25"/>
          <w:szCs w:val="25"/>
        </w:rPr>
        <w:footnoteReference w:id="17"/>
      </w:r>
      <w:r w:rsidR="0061667D" w:rsidRPr="00E06855">
        <w:rPr>
          <w:rFonts w:ascii="Times New Roman" w:hAnsi="Times New Roman" w:cs="Times New Roman"/>
          <w:sz w:val="25"/>
          <w:szCs w:val="25"/>
        </w:rPr>
        <w:t xml:space="preserve"> He agreed with advocates of judicial review that some form of judicial control of legislative decision was necessary</w:t>
      </w:r>
      <w:r w:rsidR="000B2489" w:rsidRPr="00E06855">
        <w:rPr>
          <w:rFonts w:ascii="Times New Roman" w:hAnsi="Times New Roman" w:cs="Times New Roman"/>
          <w:sz w:val="25"/>
          <w:szCs w:val="25"/>
        </w:rPr>
        <w:t xml:space="preserve">. However, he disagreed with the idea that judges should substitute </w:t>
      </w:r>
      <w:r w:rsidR="00646FE9" w:rsidRPr="00E06855">
        <w:rPr>
          <w:rFonts w:ascii="Times New Roman" w:hAnsi="Times New Roman" w:cs="Times New Roman"/>
          <w:sz w:val="25"/>
          <w:szCs w:val="25"/>
        </w:rPr>
        <w:t xml:space="preserve">their </w:t>
      </w:r>
      <w:r w:rsidR="00A27554" w:rsidRPr="00E06855">
        <w:rPr>
          <w:rFonts w:ascii="Times New Roman" w:hAnsi="Times New Roman" w:cs="Times New Roman"/>
          <w:sz w:val="25"/>
          <w:szCs w:val="25"/>
        </w:rPr>
        <w:t>substantive values</w:t>
      </w:r>
      <w:r w:rsidR="00F17C5F" w:rsidRPr="00E06855">
        <w:rPr>
          <w:rFonts w:ascii="Times New Roman" w:hAnsi="Times New Roman" w:cs="Times New Roman"/>
          <w:sz w:val="25"/>
          <w:szCs w:val="25"/>
        </w:rPr>
        <w:t xml:space="preserve"> </w:t>
      </w:r>
      <w:r w:rsidR="00124D8C" w:rsidRPr="00E06855">
        <w:rPr>
          <w:rFonts w:ascii="Times New Roman" w:hAnsi="Times New Roman" w:cs="Times New Roman"/>
          <w:sz w:val="25"/>
          <w:szCs w:val="25"/>
        </w:rPr>
        <w:t>for</w:t>
      </w:r>
      <w:r w:rsidR="00A27554" w:rsidRPr="00E06855">
        <w:rPr>
          <w:rFonts w:ascii="Times New Roman" w:hAnsi="Times New Roman" w:cs="Times New Roman"/>
          <w:sz w:val="25"/>
          <w:szCs w:val="25"/>
        </w:rPr>
        <w:t xml:space="preserve"> those </w:t>
      </w:r>
      <w:r w:rsidR="005B5FDA" w:rsidRPr="00E06855">
        <w:rPr>
          <w:rFonts w:ascii="Times New Roman" w:hAnsi="Times New Roman" w:cs="Times New Roman"/>
          <w:sz w:val="25"/>
          <w:szCs w:val="25"/>
        </w:rPr>
        <w:t>of</w:t>
      </w:r>
      <w:r w:rsidR="00A27554" w:rsidRPr="00E06855">
        <w:rPr>
          <w:rFonts w:ascii="Times New Roman" w:hAnsi="Times New Roman" w:cs="Times New Roman"/>
          <w:sz w:val="25"/>
          <w:szCs w:val="25"/>
        </w:rPr>
        <w:t xml:space="preserve"> the legislature.</w:t>
      </w:r>
      <w:r w:rsidR="005634AC" w:rsidRPr="00E06855">
        <w:rPr>
          <w:rFonts w:ascii="Times New Roman" w:hAnsi="Times New Roman" w:cs="Times New Roman"/>
          <w:sz w:val="25"/>
          <w:szCs w:val="25"/>
        </w:rPr>
        <w:t xml:space="preserve"> He developed his theory in the context of the US Supreme Court</w:t>
      </w:r>
      <w:r w:rsidR="00DB0B00" w:rsidRPr="00E06855">
        <w:rPr>
          <w:rFonts w:ascii="Times New Roman" w:hAnsi="Times New Roman" w:cs="Times New Roman"/>
          <w:sz w:val="25"/>
          <w:szCs w:val="25"/>
        </w:rPr>
        <w:t xml:space="preserve"> and drew on the </w:t>
      </w:r>
      <w:r w:rsidR="007556D9" w:rsidRPr="00E06855">
        <w:rPr>
          <w:rFonts w:ascii="Times New Roman" w:hAnsi="Times New Roman" w:cs="Times New Roman"/>
          <w:sz w:val="25"/>
          <w:szCs w:val="25"/>
        </w:rPr>
        <w:t>third</w:t>
      </w:r>
      <w:r w:rsidR="00B04897" w:rsidRPr="00E06855">
        <w:rPr>
          <w:rFonts w:ascii="Times New Roman" w:hAnsi="Times New Roman" w:cs="Times New Roman"/>
          <w:sz w:val="25"/>
          <w:szCs w:val="25"/>
        </w:rPr>
        <w:t xml:space="preserve"> footnote of</w:t>
      </w:r>
      <w:r w:rsidR="00DB0B00" w:rsidRPr="00E06855">
        <w:rPr>
          <w:rFonts w:ascii="Times New Roman" w:hAnsi="Times New Roman" w:cs="Times New Roman"/>
          <w:sz w:val="25"/>
          <w:szCs w:val="25"/>
        </w:rPr>
        <w:t xml:space="preserve"> </w:t>
      </w:r>
      <w:r w:rsidR="00B04897" w:rsidRPr="00E06855">
        <w:rPr>
          <w:rFonts w:ascii="Times New Roman" w:hAnsi="Times New Roman" w:cs="Times New Roman"/>
          <w:sz w:val="25"/>
          <w:szCs w:val="25"/>
        </w:rPr>
        <w:t xml:space="preserve">the </w:t>
      </w:r>
      <w:r w:rsidR="00BD4A8F" w:rsidRPr="00E06855">
        <w:rPr>
          <w:rFonts w:ascii="Times New Roman" w:hAnsi="Times New Roman" w:cs="Times New Roman"/>
          <w:i/>
          <w:iCs/>
          <w:sz w:val="25"/>
          <w:szCs w:val="25"/>
        </w:rPr>
        <w:t>Carolene Products</w:t>
      </w:r>
      <w:r w:rsidR="00B04897" w:rsidRPr="00E06855">
        <w:rPr>
          <w:rFonts w:ascii="Times New Roman" w:hAnsi="Times New Roman" w:cs="Times New Roman"/>
          <w:i/>
          <w:iCs/>
          <w:sz w:val="25"/>
          <w:szCs w:val="25"/>
        </w:rPr>
        <w:t xml:space="preserve"> </w:t>
      </w:r>
      <w:r w:rsidR="00B04897" w:rsidRPr="00E06855">
        <w:rPr>
          <w:rFonts w:ascii="Times New Roman" w:hAnsi="Times New Roman" w:cs="Times New Roman"/>
          <w:sz w:val="25"/>
          <w:szCs w:val="25"/>
        </w:rPr>
        <w:t>case</w:t>
      </w:r>
      <w:r w:rsidR="00BD4A8F" w:rsidRPr="00E06855">
        <w:rPr>
          <w:rFonts w:ascii="Times New Roman" w:hAnsi="Times New Roman" w:cs="Times New Roman"/>
          <w:sz w:val="25"/>
          <w:szCs w:val="25"/>
        </w:rPr>
        <w:t>.</w:t>
      </w:r>
      <w:r w:rsidR="00325B12" w:rsidRPr="00E06855">
        <w:rPr>
          <w:rStyle w:val="FootnoteReference"/>
          <w:rFonts w:ascii="Times New Roman" w:hAnsi="Times New Roman" w:cs="Times New Roman"/>
          <w:sz w:val="25"/>
          <w:szCs w:val="25"/>
        </w:rPr>
        <w:footnoteReference w:id="18"/>
      </w:r>
      <w:r w:rsidR="00BD4A8F" w:rsidRPr="00E06855">
        <w:rPr>
          <w:rFonts w:ascii="Times New Roman" w:hAnsi="Times New Roman" w:cs="Times New Roman"/>
          <w:sz w:val="25"/>
          <w:szCs w:val="25"/>
        </w:rPr>
        <w:t xml:space="preserve"> This famous footnote was much theorised in the literature and Ely argued that it capture</w:t>
      </w:r>
      <w:r w:rsidR="000A05D6" w:rsidRPr="00E06855">
        <w:rPr>
          <w:rFonts w:ascii="Times New Roman" w:hAnsi="Times New Roman" w:cs="Times New Roman"/>
          <w:sz w:val="25"/>
          <w:szCs w:val="25"/>
        </w:rPr>
        <w:t>d</w:t>
      </w:r>
      <w:r w:rsidR="00BD4A8F" w:rsidRPr="00E06855">
        <w:rPr>
          <w:rFonts w:ascii="Times New Roman" w:hAnsi="Times New Roman" w:cs="Times New Roman"/>
          <w:sz w:val="25"/>
          <w:szCs w:val="25"/>
        </w:rPr>
        <w:t xml:space="preserve"> the correct</w:t>
      </w:r>
      <w:r w:rsidR="0058252A" w:rsidRPr="00E06855">
        <w:rPr>
          <w:rFonts w:ascii="Times New Roman" w:hAnsi="Times New Roman" w:cs="Times New Roman"/>
          <w:sz w:val="25"/>
          <w:szCs w:val="25"/>
        </w:rPr>
        <w:t xml:space="preserve"> type of</w:t>
      </w:r>
      <w:r w:rsidR="00BD4A8F" w:rsidRPr="00E06855">
        <w:rPr>
          <w:rFonts w:ascii="Times New Roman" w:hAnsi="Times New Roman" w:cs="Times New Roman"/>
          <w:sz w:val="25"/>
          <w:szCs w:val="25"/>
        </w:rPr>
        <w:t xml:space="preserve"> judicial review that the Supreme Court should undertake. While it is inappropriate for the Court to displace the substantive values that emerge in the </w:t>
      </w:r>
      <w:r w:rsidR="00BD4A8F" w:rsidRPr="00E06855">
        <w:rPr>
          <w:rFonts w:ascii="Times New Roman" w:hAnsi="Times New Roman" w:cs="Times New Roman"/>
          <w:sz w:val="25"/>
          <w:szCs w:val="25"/>
        </w:rPr>
        <w:lastRenderedPageBreak/>
        <w:t>legislative process, it does have a role to protect that process where it is malfunctioning. Such malfunctions emerge in two broad scenarios:</w:t>
      </w:r>
    </w:p>
    <w:p w14:paraId="3F7E21E7" w14:textId="77777777" w:rsidR="00BD4A8F" w:rsidRPr="00E06855" w:rsidRDefault="00BD4A8F" w:rsidP="00BD4A8F">
      <w:pPr>
        <w:ind w:left="720"/>
        <w:rPr>
          <w:rFonts w:ascii="Times New Roman" w:hAnsi="Times New Roman" w:cs="Times New Roman"/>
          <w:sz w:val="25"/>
          <w:szCs w:val="25"/>
        </w:rPr>
      </w:pPr>
      <w:r w:rsidRPr="00E06855">
        <w:rPr>
          <w:rFonts w:ascii="Times New Roman" w:hAnsi="Times New Roman" w:cs="Times New Roman"/>
          <w:sz w:val="25"/>
          <w:szCs w:val="25"/>
        </w:rPr>
        <w:t xml:space="preserve">“(1) the </w:t>
      </w:r>
      <w:proofErr w:type="spellStart"/>
      <w:r w:rsidRPr="00E06855">
        <w:rPr>
          <w:rFonts w:ascii="Times New Roman" w:hAnsi="Times New Roman" w:cs="Times New Roman"/>
          <w:sz w:val="25"/>
          <w:szCs w:val="25"/>
        </w:rPr>
        <w:t>in’s</w:t>
      </w:r>
      <w:proofErr w:type="spellEnd"/>
      <w:r w:rsidRPr="00E06855">
        <w:rPr>
          <w:rFonts w:ascii="Times New Roman" w:hAnsi="Times New Roman" w:cs="Times New Roman"/>
          <w:sz w:val="25"/>
          <w:szCs w:val="25"/>
        </w:rPr>
        <w:t xml:space="preserve"> are choking off the channels of political change to ensure they will stay in and the out’s will stay out, or </w:t>
      </w:r>
    </w:p>
    <w:p w14:paraId="64E764B8" w14:textId="262FA25F" w:rsidR="00BD4A8F" w:rsidRPr="00E06855" w:rsidRDefault="00BD4A8F" w:rsidP="00BD4A8F">
      <w:pPr>
        <w:ind w:left="720"/>
        <w:rPr>
          <w:rFonts w:ascii="Times New Roman" w:hAnsi="Times New Roman" w:cs="Times New Roman"/>
          <w:sz w:val="25"/>
          <w:szCs w:val="25"/>
        </w:rPr>
      </w:pPr>
      <w:r w:rsidRPr="00E06855">
        <w:rPr>
          <w:rFonts w:ascii="Times New Roman" w:hAnsi="Times New Roman" w:cs="Times New Roman"/>
          <w:sz w:val="25"/>
          <w:szCs w:val="25"/>
        </w:rPr>
        <w:t>(2) though no one is actually denied a voice or a vote, an effective majority, with the necessary and understandable cooperation of its representatives, is systematically advantaging itself at the expense of one or more minorities whose reciprocal support it does not need and thereby effectively denying them the protect</w:t>
      </w:r>
      <w:r w:rsidR="00493A4B" w:rsidRPr="00E06855">
        <w:rPr>
          <w:rFonts w:ascii="Times New Roman" w:hAnsi="Times New Roman" w:cs="Times New Roman"/>
          <w:sz w:val="25"/>
          <w:szCs w:val="25"/>
        </w:rPr>
        <w:t>ion</w:t>
      </w:r>
      <w:r w:rsidRPr="00E06855">
        <w:rPr>
          <w:rFonts w:ascii="Times New Roman" w:hAnsi="Times New Roman" w:cs="Times New Roman"/>
          <w:sz w:val="25"/>
          <w:szCs w:val="25"/>
        </w:rPr>
        <w:t xml:space="preserve"> afforded other groups by a representative system”</w:t>
      </w:r>
      <w:r w:rsidRPr="00E06855">
        <w:rPr>
          <w:rStyle w:val="FootnoteReference"/>
          <w:rFonts w:ascii="Times New Roman" w:hAnsi="Times New Roman" w:cs="Times New Roman"/>
          <w:sz w:val="25"/>
          <w:szCs w:val="25"/>
        </w:rPr>
        <w:footnoteReference w:id="19"/>
      </w:r>
    </w:p>
    <w:p w14:paraId="604181E9" w14:textId="6DC7CAC3" w:rsidR="00E3367D" w:rsidRPr="00E06855" w:rsidRDefault="00BD4A8F" w:rsidP="00E3367D">
      <w:pPr>
        <w:spacing w:after="0"/>
        <w:rPr>
          <w:rFonts w:ascii="Times New Roman" w:hAnsi="Times New Roman" w:cs="Times New Roman"/>
          <w:sz w:val="25"/>
          <w:szCs w:val="25"/>
        </w:rPr>
      </w:pPr>
      <w:r w:rsidRPr="00E06855">
        <w:rPr>
          <w:rFonts w:ascii="Times New Roman" w:hAnsi="Times New Roman" w:cs="Times New Roman"/>
          <w:sz w:val="25"/>
          <w:szCs w:val="25"/>
        </w:rPr>
        <w:t xml:space="preserve">In contrast to substantive judicial review, Ely </w:t>
      </w:r>
      <w:r w:rsidR="000E7D2C" w:rsidRPr="00E06855">
        <w:rPr>
          <w:rFonts w:ascii="Times New Roman" w:hAnsi="Times New Roman" w:cs="Times New Roman"/>
          <w:sz w:val="25"/>
          <w:szCs w:val="25"/>
        </w:rPr>
        <w:t>offer</w:t>
      </w:r>
      <w:r w:rsidR="00B06BC0">
        <w:rPr>
          <w:rFonts w:ascii="Times New Roman" w:hAnsi="Times New Roman" w:cs="Times New Roman"/>
          <w:sz w:val="25"/>
          <w:szCs w:val="25"/>
        </w:rPr>
        <w:t>ed</w:t>
      </w:r>
      <w:r w:rsidR="000E7D2C" w:rsidRPr="00E06855">
        <w:rPr>
          <w:rFonts w:ascii="Times New Roman" w:hAnsi="Times New Roman" w:cs="Times New Roman"/>
          <w:sz w:val="25"/>
          <w:szCs w:val="25"/>
        </w:rPr>
        <w:t xml:space="preserve"> his theory as</w:t>
      </w:r>
      <w:r w:rsidRPr="00E06855">
        <w:rPr>
          <w:rFonts w:ascii="Times New Roman" w:hAnsi="Times New Roman" w:cs="Times New Roman"/>
          <w:sz w:val="25"/>
          <w:szCs w:val="25"/>
        </w:rPr>
        <w:t xml:space="preserve"> a </w:t>
      </w:r>
      <w:r w:rsidRPr="00E06855">
        <w:rPr>
          <w:rFonts w:ascii="Times New Roman" w:hAnsi="Times New Roman" w:cs="Times New Roman"/>
          <w:i/>
          <w:iCs/>
          <w:sz w:val="25"/>
          <w:szCs w:val="25"/>
        </w:rPr>
        <w:t>value-free</w:t>
      </w:r>
      <w:r w:rsidRPr="00E06855">
        <w:rPr>
          <w:rFonts w:ascii="Times New Roman" w:hAnsi="Times New Roman" w:cs="Times New Roman"/>
          <w:sz w:val="25"/>
          <w:szCs w:val="25"/>
        </w:rPr>
        <w:t xml:space="preserve"> </w:t>
      </w:r>
      <w:r w:rsidR="00260C05" w:rsidRPr="00E06855">
        <w:rPr>
          <w:rFonts w:ascii="Times New Roman" w:hAnsi="Times New Roman" w:cs="Times New Roman"/>
          <w:sz w:val="25"/>
          <w:szCs w:val="25"/>
        </w:rPr>
        <w:t xml:space="preserve">form of </w:t>
      </w:r>
      <w:r w:rsidRPr="00E06855">
        <w:rPr>
          <w:rFonts w:ascii="Times New Roman" w:hAnsi="Times New Roman" w:cs="Times New Roman"/>
          <w:sz w:val="25"/>
          <w:szCs w:val="25"/>
        </w:rPr>
        <w:t>adjudication. He argues that proce</w:t>
      </w:r>
      <w:r w:rsidR="00EE4AFF" w:rsidRPr="00E06855">
        <w:rPr>
          <w:rFonts w:ascii="Times New Roman" w:hAnsi="Times New Roman" w:cs="Times New Roman"/>
          <w:sz w:val="25"/>
          <w:szCs w:val="25"/>
        </w:rPr>
        <w:t>ss</w:t>
      </w:r>
      <w:r w:rsidRPr="00E06855">
        <w:rPr>
          <w:rFonts w:ascii="Times New Roman" w:hAnsi="Times New Roman" w:cs="Times New Roman"/>
          <w:sz w:val="25"/>
          <w:szCs w:val="25"/>
        </w:rPr>
        <w:t xml:space="preserve"> review does not suffer from the same issues as substantive review because in contrast to a “value-oriented” approach, it is “process-oriented”.</w:t>
      </w:r>
      <w:r w:rsidRPr="00E06855">
        <w:rPr>
          <w:rStyle w:val="FootnoteReference"/>
          <w:rFonts w:ascii="Times New Roman" w:hAnsi="Times New Roman" w:cs="Times New Roman"/>
          <w:sz w:val="25"/>
          <w:szCs w:val="25"/>
        </w:rPr>
        <w:footnoteReference w:id="20"/>
      </w:r>
      <w:r w:rsidRPr="00E06855">
        <w:rPr>
          <w:rFonts w:ascii="Times New Roman" w:hAnsi="Times New Roman" w:cs="Times New Roman"/>
          <w:sz w:val="25"/>
          <w:szCs w:val="25"/>
        </w:rPr>
        <w:t xml:space="preserve"> Under the latter approach, judges do not need to </w:t>
      </w:r>
      <w:r w:rsidRPr="00E06855">
        <w:rPr>
          <w:rFonts w:ascii="Times New Roman" w:hAnsi="Times New Roman" w:cs="Times New Roman"/>
          <w:i/>
          <w:iCs/>
          <w:sz w:val="25"/>
          <w:szCs w:val="25"/>
        </w:rPr>
        <w:t>impose values</w:t>
      </w:r>
      <w:r w:rsidRPr="00E06855">
        <w:rPr>
          <w:rFonts w:ascii="Times New Roman" w:hAnsi="Times New Roman" w:cs="Times New Roman"/>
          <w:sz w:val="25"/>
          <w:szCs w:val="25"/>
        </w:rPr>
        <w:t xml:space="preserve"> on to the legislative process</w:t>
      </w:r>
      <w:r w:rsidR="00F958D8" w:rsidRPr="00E06855">
        <w:rPr>
          <w:rFonts w:ascii="Times New Roman" w:hAnsi="Times New Roman" w:cs="Times New Roman"/>
          <w:sz w:val="25"/>
          <w:szCs w:val="25"/>
        </w:rPr>
        <w:t xml:space="preserve"> and thus,</w:t>
      </w:r>
      <w:r w:rsidRPr="00E06855">
        <w:rPr>
          <w:rFonts w:ascii="Times New Roman" w:hAnsi="Times New Roman" w:cs="Times New Roman"/>
          <w:sz w:val="25"/>
          <w:szCs w:val="25"/>
        </w:rPr>
        <w:t xml:space="preserve"> </w:t>
      </w:r>
      <w:r w:rsidR="003A4E39" w:rsidRPr="00E06855">
        <w:rPr>
          <w:rFonts w:ascii="Times New Roman" w:hAnsi="Times New Roman" w:cs="Times New Roman"/>
          <w:sz w:val="25"/>
          <w:szCs w:val="25"/>
        </w:rPr>
        <w:t>i</w:t>
      </w:r>
      <w:r w:rsidRPr="00E06855">
        <w:rPr>
          <w:rFonts w:ascii="Times New Roman" w:hAnsi="Times New Roman" w:cs="Times New Roman"/>
          <w:sz w:val="25"/>
          <w:szCs w:val="25"/>
        </w:rPr>
        <w:t>n contrast to substantive review, process review does not “involve the making of policy”</w:t>
      </w:r>
      <w:r w:rsidR="008A6E97" w:rsidRPr="00E06855">
        <w:rPr>
          <w:rFonts w:ascii="Times New Roman" w:hAnsi="Times New Roman" w:cs="Times New Roman"/>
          <w:sz w:val="25"/>
          <w:szCs w:val="25"/>
        </w:rPr>
        <w:t>.</w:t>
      </w:r>
      <w:r w:rsidRPr="00E06855">
        <w:rPr>
          <w:rStyle w:val="FootnoteReference"/>
          <w:rFonts w:ascii="Times New Roman" w:hAnsi="Times New Roman" w:cs="Times New Roman"/>
          <w:sz w:val="25"/>
          <w:szCs w:val="25"/>
        </w:rPr>
        <w:footnoteReference w:id="21"/>
      </w:r>
      <w:r w:rsidRPr="00E06855">
        <w:rPr>
          <w:rFonts w:ascii="Times New Roman" w:hAnsi="Times New Roman" w:cs="Times New Roman"/>
          <w:sz w:val="25"/>
          <w:szCs w:val="25"/>
        </w:rPr>
        <w:t xml:space="preserve"> As a result, process review is “supportive of</w:t>
      </w:r>
      <w:r w:rsidR="000F0AAA">
        <w:rPr>
          <w:rFonts w:ascii="Times New Roman" w:hAnsi="Times New Roman" w:cs="Times New Roman"/>
          <w:sz w:val="25"/>
          <w:szCs w:val="25"/>
        </w:rPr>
        <w:t>...</w:t>
      </w:r>
      <w:r w:rsidRPr="00E06855">
        <w:rPr>
          <w:rFonts w:ascii="Times New Roman" w:hAnsi="Times New Roman" w:cs="Times New Roman"/>
          <w:sz w:val="25"/>
          <w:szCs w:val="25"/>
        </w:rPr>
        <w:t xml:space="preserve"> the American system of representative democracy”.</w:t>
      </w:r>
      <w:r w:rsidRPr="00E06855">
        <w:rPr>
          <w:rStyle w:val="FootnoteReference"/>
          <w:rFonts w:ascii="Times New Roman" w:hAnsi="Times New Roman" w:cs="Times New Roman"/>
          <w:sz w:val="25"/>
          <w:szCs w:val="25"/>
        </w:rPr>
        <w:footnoteReference w:id="22"/>
      </w:r>
    </w:p>
    <w:p w14:paraId="424C6416" w14:textId="206FFA92" w:rsidR="00BC605F" w:rsidRPr="00E06855" w:rsidRDefault="00BC605F" w:rsidP="00461F01">
      <w:pPr>
        <w:pStyle w:val="Heading2"/>
        <w:rPr>
          <w:rFonts w:ascii="Times New Roman" w:hAnsi="Times New Roman" w:cs="Times New Roman"/>
        </w:rPr>
      </w:pPr>
      <w:r w:rsidRPr="00E06855">
        <w:rPr>
          <w:rFonts w:ascii="Times New Roman" w:hAnsi="Times New Roman" w:cs="Times New Roman"/>
        </w:rPr>
        <w:t xml:space="preserve">Critique of Ely’s Theory of </w:t>
      </w:r>
      <w:r w:rsidR="00184CBD" w:rsidRPr="00E06855">
        <w:rPr>
          <w:rFonts w:ascii="Times New Roman" w:hAnsi="Times New Roman" w:cs="Times New Roman"/>
        </w:rPr>
        <w:t>Process Review</w:t>
      </w:r>
      <w:r w:rsidRPr="00E06855">
        <w:rPr>
          <w:rFonts w:ascii="Times New Roman" w:hAnsi="Times New Roman" w:cs="Times New Roman"/>
        </w:rPr>
        <w:t xml:space="preserve"> </w:t>
      </w:r>
    </w:p>
    <w:p w14:paraId="2F088391" w14:textId="028CBF3A" w:rsidR="00461F01" w:rsidRDefault="00134B86" w:rsidP="00BC605F">
      <w:pPr>
        <w:rPr>
          <w:rFonts w:ascii="Times New Roman" w:hAnsi="Times New Roman" w:cs="Times New Roman"/>
          <w:sz w:val="25"/>
          <w:szCs w:val="25"/>
        </w:rPr>
      </w:pPr>
      <w:r w:rsidRPr="00E06855">
        <w:rPr>
          <w:rFonts w:ascii="Times New Roman" w:hAnsi="Times New Roman" w:cs="Times New Roman"/>
          <w:sz w:val="25"/>
          <w:szCs w:val="25"/>
        </w:rPr>
        <w:t>Ely’s theory has had a clear influence on the recent trend of process review advocacy in the Union</w:t>
      </w:r>
      <w:r w:rsidR="006758F2" w:rsidRPr="00E06855">
        <w:rPr>
          <w:rFonts w:ascii="Times New Roman" w:hAnsi="Times New Roman" w:cs="Times New Roman"/>
          <w:sz w:val="25"/>
          <w:szCs w:val="25"/>
        </w:rPr>
        <w:t xml:space="preserve">. </w:t>
      </w:r>
      <w:r w:rsidR="008A66C3" w:rsidRPr="00E06855">
        <w:rPr>
          <w:rFonts w:ascii="Times New Roman" w:hAnsi="Times New Roman" w:cs="Times New Roman"/>
          <w:sz w:val="25"/>
          <w:szCs w:val="25"/>
        </w:rPr>
        <w:t>Less evident in this trend is an engagement with the extensive</w:t>
      </w:r>
      <w:r w:rsidR="002A65DC" w:rsidRPr="00E06855">
        <w:rPr>
          <w:rFonts w:ascii="Times New Roman" w:hAnsi="Times New Roman" w:cs="Times New Roman"/>
          <w:sz w:val="25"/>
          <w:szCs w:val="25"/>
        </w:rPr>
        <w:t xml:space="preserve"> response to Ely’s theory</w:t>
      </w:r>
      <w:r w:rsidR="00B122D8" w:rsidRPr="00E06855">
        <w:rPr>
          <w:rFonts w:ascii="Times New Roman" w:hAnsi="Times New Roman" w:cs="Times New Roman"/>
          <w:sz w:val="25"/>
          <w:szCs w:val="25"/>
        </w:rPr>
        <w:t xml:space="preserve">. </w:t>
      </w:r>
      <w:r w:rsidR="003B1E1F" w:rsidRPr="00E06855">
        <w:rPr>
          <w:rFonts w:ascii="Times New Roman" w:hAnsi="Times New Roman" w:cs="Times New Roman"/>
          <w:sz w:val="25"/>
          <w:szCs w:val="25"/>
        </w:rPr>
        <w:t>A key contribution of this paper is engaging with</w:t>
      </w:r>
      <w:r w:rsidR="00BC605F" w:rsidRPr="00E06855">
        <w:rPr>
          <w:rFonts w:ascii="Times New Roman" w:hAnsi="Times New Roman" w:cs="Times New Roman"/>
          <w:sz w:val="25"/>
          <w:szCs w:val="25"/>
        </w:rPr>
        <w:t xml:space="preserve"> the critique of Ely’s theory</w:t>
      </w:r>
      <w:r w:rsidR="00253027" w:rsidRPr="00E06855">
        <w:rPr>
          <w:rFonts w:ascii="Times New Roman" w:hAnsi="Times New Roman" w:cs="Times New Roman"/>
          <w:sz w:val="25"/>
          <w:szCs w:val="25"/>
        </w:rPr>
        <w:t xml:space="preserve">, and </w:t>
      </w:r>
      <w:r w:rsidR="00E50E64" w:rsidRPr="00E06855">
        <w:rPr>
          <w:rFonts w:ascii="Times New Roman" w:hAnsi="Times New Roman" w:cs="Times New Roman"/>
          <w:sz w:val="25"/>
          <w:szCs w:val="25"/>
        </w:rPr>
        <w:t xml:space="preserve">applying it to process review in the Union context. </w:t>
      </w:r>
      <w:r w:rsidR="00BC605F" w:rsidRPr="00E06855">
        <w:rPr>
          <w:rFonts w:ascii="Times New Roman" w:hAnsi="Times New Roman" w:cs="Times New Roman"/>
          <w:sz w:val="25"/>
          <w:szCs w:val="25"/>
        </w:rPr>
        <w:t xml:space="preserve">Overall, </w:t>
      </w:r>
      <w:r w:rsidR="00297DCE" w:rsidRPr="00E06855">
        <w:rPr>
          <w:rFonts w:ascii="Times New Roman" w:hAnsi="Times New Roman" w:cs="Times New Roman"/>
          <w:sz w:val="25"/>
          <w:szCs w:val="25"/>
        </w:rPr>
        <w:t>this critique</w:t>
      </w:r>
      <w:r w:rsidR="00BC605F" w:rsidRPr="00E06855">
        <w:rPr>
          <w:rFonts w:ascii="Times New Roman" w:hAnsi="Times New Roman" w:cs="Times New Roman"/>
          <w:sz w:val="25"/>
          <w:szCs w:val="25"/>
        </w:rPr>
        <w:t xml:space="preserve"> of process review cast</w:t>
      </w:r>
      <w:r w:rsidR="00170205" w:rsidRPr="00E06855">
        <w:rPr>
          <w:rFonts w:ascii="Times New Roman" w:hAnsi="Times New Roman" w:cs="Times New Roman"/>
          <w:sz w:val="25"/>
          <w:szCs w:val="25"/>
        </w:rPr>
        <w:t>s</w:t>
      </w:r>
      <w:r w:rsidR="00BC605F" w:rsidRPr="00E06855">
        <w:rPr>
          <w:rFonts w:ascii="Times New Roman" w:hAnsi="Times New Roman" w:cs="Times New Roman"/>
          <w:sz w:val="25"/>
          <w:szCs w:val="25"/>
        </w:rPr>
        <w:t xml:space="preserve"> </w:t>
      </w:r>
      <w:r w:rsidR="00831635" w:rsidRPr="00E06855">
        <w:rPr>
          <w:rFonts w:ascii="Times New Roman" w:hAnsi="Times New Roman" w:cs="Times New Roman"/>
          <w:sz w:val="25"/>
          <w:szCs w:val="25"/>
        </w:rPr>
        <w:t>doubts</w:t>
      </w:r>
      <w:r w:rsidR="00BC605F" w:rsidRPr="00E06855">
        <w:rPr>
          <w:rFonts w:ascii="Times New Roman" w:hAnsi="Times New Roman" w:cs="Times New Roman"/>
          <w:sz w:val="25"/>
          <w:szCs w:val="25"/>
        </w:rPr>
        <w:t xml:space="preserve"> on the extent to which </w:t>
      </w:r>
      <w:r w:rsidR="00212CE1" w:rsidRPr="00E06855">
        <w:rPr>
          <w:rFonts w:ascii="Times New Roman" w:hAnsi="Times New Roman" w:cs="Times New Roman"/>
          <w:sz w:val="25"/>
          <w:szCs w:val="25"/>
        </w:rPr>
        <w:t>the</w:t>
      </w:r>
      <w:r w:rsidR="00BC605F" w:rsidRPr="00E06855">
        <w:rPr>
          <w:rFonts w:ascii="Times New Roman" w:hAnsi="Times New Roman" w:cs="Times New Roman"/>
          <w:sz w:val="25"/>
          <w:szCs w:val="25"/>
        </w:rPr>
        <w:t xml:space="preserve"> theory can live up to the expectations placed on it by its advocates, both in terms of the </w:t>
      </w:r>
      <w:r w:rsidR="00BC605F" w:rsidRPr="00E06855">
        <w:rPr>
          <w:rFonts w:ascii="Times New Roman" w:hAnsi="Times New Roman" w:cs="Times New Roman"/>
          <w:i/>
          <w:iCs/>
          <w:sz w:val="25"/>
          <w:szCs w:val="25"/>
        </w:rPr>
        <w:t>outcomes</w:t>
      </w:r>
      <w:r w:rsidR="00BC605F" w:rsidRPr="00E06855">
        <w:rPr>
          <w:rFonts w:ascii="Times New Roman" w:hAnsi="Times New Roman" w:cs="Times New Roman"/>
          <w:sz w:val="25"/>
          <w:szCs w:val="25"/>
        </w:rPr>
        <w:t xml:space="preserve"> of review, and its </w:t>
      </w:r>
      <w:r w:rsidR="00BC605F" w:rsidRPr="00E06855">
        <w:rPr>
          <w:rFonts w:ascii="Times New Roman" w:hAnsi="Times New Roman" w:cs="Times New Roman"/>
          <w:i/>
          <w:iCs/>
          <w:sz w:val="25"/>
          <w:szCs w:val="25"/>
        </w:rPr>
        <w:t>legitimacy</w:t>
      </w:r>
      <w:r w:rsidR="00BC605F" w:rsidRPr="00E06855">
        <w:rPr>
          <w:rFonts w:ascii="Times New Roman" w:hAnsi="Times New Roman" w:cs="Times New Roman"/>
          <w:sz w:val="25"/>
          <w:szCs w:val="25"/>
        </w:rPr>
        <w:t>.</w:t>
      </w:r>
      <w:bookmarkStart w:id="3" w:name="_Ref14697065"/>
      <w:r w:rsidR="00B5658A" w:rsidRPr="00E06855">
        <w:rPr>
          <w:rStyle w:val="FootnoteReference"/>
          <w:rFonts w:ascii="Times New Roman" w:hAnsi="Times New Roman" w:cs="Times New Roman"/>
          <w:sz w:val="25"/>
          <w:szCs w:val="25"/>
        </w:rPr>
        <w:footnoteReference w:id="23"/>
      </w:r>
      <w:bookmarkEnd w:id="3"/>
    </w:p>
    <w:p w14:paraId="6C90BF14" w14:textId="77998B53" w:rsidR="00F713AD" w:rsidRPr="00E06855" w:rsidRDefault="00F713AD" w:rsidP="006623E9">
      <w:pPr>
        <w:pStyle w:val="Heading3"/>
      </w:pPr>
      <w:r>
        <w:t>The Outcomes of Process Review</w:t>
      </w:r>
    </w:p>
    <w:p w14:paraId="4C1E9464" w14:textId="7950E25A" w:rsidR="00BC605F" w:rsidRPr="00E06855" w:rsidRDefault="00BC605F" w:rsidP="00BC605F">
      <w:pPr>
        <w:rPr>
          <w:rFonts w:ascii="Times New Roman" w:hAnsi="Times New Roman" w:cs="Times New Roman"/>
          <w:sz w:val="25"/>
          <w:szCs w:val="25"/>
        </w:rPr>
      </w:pPr>
      <w:r w:rsidRPr="00E06855">
        <w:rPr>
          <w:rFonts w:ascii="Times New Roman" w:hAnsi="Times New Roman" w:cs="Times New Roman"/>
          <w:sz w:val="25"/>
          <w:szCs w:val="25"/>
        </w:rPr>
        <w:lastRenderedPageBreak/>
        <w:t xml:space="preserve">First, we can note that a theory of process review may not necessarily lead to a change in the </w:t>
      </w:r>
      <w:r w:rsidRPr="00E06855">
        <w:rPr>
          <w:rFonts w:ascii="Times New Roman" w:hAnsi="Times New Roman" w:cs="Times New Roman"/>
          <w:i/>
          <w:iCs/>
          <w:sz w:val="25"/>
          <w:szCs w:val="25"/>
        </w:rPr>
        <w:t>outcomes</w:t>
      </w:r>
      <w:r w:rsidRPr="00E06855">
        <w:rPr>
          <w:rFonts w:ascii="Times New Roman" w:hAnsi="Times New Roman" w:cs="Times New Roman"/>
          <w:sz w:val="25"/>
          <w:szCs w:val="25"/>
        </w:rPr>
        <w:t xml:space="preserve"> of judicial review. </w:t>
      </w:r>
      <w:r w:rsidR="00212CCD" w:rsidRPr="00E06855">
        <w:rPr>
          <w:rFonts w:ascii="Times New Roman" w:hAnsi="Times New Roman" w:cs="Times New Roman"/>
          <w:sz w:val="25"/>
          <w:szCs w:val="25"/>
        </w:rPr>
        <w:t>Ely</w:t>
      </w:r>
      <w:r w:rsidRPr="00E06855">
        <w:rPr>
          <w:rFonts w:ascii="Times New Roman" w:hAnsi="Times New Roman" w:cs="Times New Roman"/>
          <w:sz w:val="25"/>
          <w:szCs w:val="25"/>
        </w:rPr>
        <w:t xml:space="preserve"> claim</w:t>
      </w:r>
      <w:r w:rsidR="00212CCD" w:rsidRPr="00E06855">
        <w:rPr>
          <w:rFonts w:ascii="Times New Roman" w:hAnsi="Times New Roman" w:cs="Times New Roman"/>
          <w:sz w:val="25"/>
          <w:szCs w:val="25"/>
        </w:rPr>
        <w:t>ed</w:t>
      </w:r>
      <w:r w:rsidRPr="00E06855">
        <w:rPr>
          <w:rFonts w:ascii="Times New Roman" w:hAnsi="Times New Roman" w:cs="Times New Roman"/>
          <w:sz w:val="25"/>
          <w:szCs w:val="25"/>
        </w:rPr>
        <w:t xml:space="preserve"> that substantive review was inappropriate for </w:t>
      </w:r>
      <w:r w:rsidR="000A04E5" w:rsidRPr="00E06855">
        <w:rPr>
          <w:rFonts w:ascii="Times New Roman" w:hAnsi="Times New Roman" w:cs="Times New Roman"/>
          <w:sz w:val="25"/>
          <w:szCs w:val="25"/>
        </w:rPr>
        <w:t>courts</w:t>
      </w:r>
      <w:r w:rsidRPr="00E06855">
        <w:rPr>
          <w:rFonts w:ascii="Times New Roman" w:hAnsi="Times New Roman" w:cs="Times New Roman"/>
          <w:sz w:val="25"/>
          <w:szCs w:val="25"/>
        </w:rPr>
        <w:t xml:space="preserve"> to conduct due to its displacement of values </w:t>
      </w:r>
      <w:r w:rsidR="00DE1426" w:rsidRPr="00E06855">
        <w:rPr>
          <w:rFonts w:ascii="Times New Roman" w:hAnsi="Times New Roman" w:cs="Times New Roman"/>
          <w:sz w:val="25"/>
          <w:szCs w:val="25"/>
        </w:rPr>
        <w:t xml:space="preserve">determined </w:t>
      </w:r>
      <w:r w:rsidRPr="00E06855">
        <w:rPr>
          <w:rFonts w:ascii="Times New Roman" w:hAnsi="Times New Roman" w:cs="Times New Roman"/>
          <w:sz w:val="25"/>
          <w:szCs w:val="25"/>
        </w:rPr>
        <w:t>by the democratic legislature. In contrast to substantive review, proc</w:t>
      </w:r>
      <w:r w:rsidR="00CC4AA2" w:rsidRPr="00E06855">
        <w:rPr>
          <w:rFonts w:ascii="Times New Roman" w:hAnsi="Times New Roman" w:cs="Times New Roman"/>
          <w:sz w:val="25"/>
          <w:szCs w:val="25"/>
        </w:rPr>
        <w:t>ess</w:t>
      </w:r>
      <w:r w:rsidRPr="00E06855">
        <w:rPr>
          <w:rFonts w:ascii="Times New Roman" w:hAnsi="Times New Roman" w:cs="Times New Roman"/>
          <w:sz w:val="25"/>
          <w:szCs w:val="25"/>
        </w:rPr>
        <w:t xml:space="preserve"> review would </w:t>
      </w:r>
      <w:r w:rsidRPr="00E06855">
        <w:rPr>
          <w:rFonts w:ascii="Times New Roman" w:hAnsi="Times New Roman" w:cs="Times New Roman"/>
          <w:i/>
          <w:iCs/>
          <w:sz w:val="25"/>
          <w:szCs w:val="25"/>
        </w:rPr>
        <w:t>restrain</w:t>
      </w:r>
      <w:r w:rsidRPr="00E06855">
        <w:rPr>
          <w:rFonts w:ascii="Times New Roman" w:hAnsi="Times New Roman" w:cs="Times New Roman"/>
          <w:sz w:val="25"/>
          <w:szCs w:val="25"/>
        </w:rPr>
        <w:t xml:space="preserve"> the US Supreme Court to instead focus on correcting malfunctions in the legislative process.</w:t>
      </w:r>
      <w:r w:rsidR="00823405" w:rsidRPr="00E06855">
        <w:rPr>
          <w:rStyle w:val="FootnoteReference"/>
          <w:rFonts w:ascii="Times New Roman" w:hAnsi="Times New Roman" w:cs="Times New Roman"/>
          <w:sz w:val="25"/>
          <w:szCs w:val="25"/>
        </w:rPr>
        <w:footnoteReference w:id="24"/>
      </w:r>
    </w:p>
    <w:p w14:paraId="1A086DD0" w14:textId="098F716D" w:rsidR="00A034E4" w:rsidRPr="00E06855" w:rsidRDefault="00BC605F" w:rsidP="009C7AD4">
      <w:pPr>
        <w:rPr>
          <w:rFonts w:ascii="Times New Roman" w:hAnsi="Times New Roman" w:cs="Times New Roman"/>
          <w:sz w:val="25"/>
          <w:szCs w:val="25"/>
        </w:rPr>
      </w:pPr>
      <w:r w:rsidRPr="00E06855">
        <w:rPr>
          <w:rFonts w:ascii="Times New Roman" w:hAnsi="Times New Roman" w:cs="Times New Roman"/>
          <w:sz w:val="25"/>
          <w:szCs w:val="25"/>
        </w:rPr>
        <w:t xml:space="preserve">However, Ely’s theory failed to account for the difficulty in </w:t>
      </w:r>
      <w:r w:rsidR="0064603E" w:rsidRPr="00E06855">
        <w:rPr>
          <w:rFonts w:ascii="Times New Roman" w:hAnsi="Times New Roman" w:cs="Times New Roman"/>
          <w:sz w:val="25"/>
          <w:szCs w:val="25"/>
        </w:rPr>
        <w:t xml:space="preserve">distinguishing </w:t>
      </w:r>
      <w:r w:rsidRPr="00E06855">
        <w:rPr>
          <w:rFonts w:ascii="Times New Roman" w:hAnsi="Times New Roman" w:cs="Times New Roman"/>
          <w:sz w:val="25"/>
          <w:szCs w:val="25"/>
        </w:rPr>
        <w:t>between issues of process and substance.</w:t>
      </w:r>
      <w:r w:rsidR="007E0126" w:rsidRPr="00E06855">
        <w:rPr>
          <w:rStyle w:val="FootnoteReference"/>
          <w:rFonts w:ascii="Times New Roman" w:hAnsi="Times New Roman" w:cs="Times New Roman"/>
          <w:sz w:val="25"/>
          <w:szCs w:val="25"/>
        </w:rPr>
        <w:footnoteReference w:id="25"/>
      </w:r>
      <w:r w:rsidRPr="00E06855">
        <w:rPr>
          <w:rFonts w:ascii="Times New Roman" w:hAnsi="Times New Roman" w:cs="Times New Roman"/>
          <w:sz w:val="25"/>
          <w:szCs w:val="25"/>
        </w:rPr>
        <w:t xml:space="preserve"> Legal language is malleable and it is possible to frame the same decision in terms that are more or less procedural.</w:t>
      </w:r>
      <w:r w:rsidR="00415839" w:rsidRPr="00E06855">
        <w:rPr>
          <w:rStyle w:val="FootnoteReference"/>
          <w:rFonts w:ascii="Times New Roman" w:hAnsi="Times New Roman" w:cs="Times New Roman"/>
          <w:sz w:val="25"/>
          <w:szCs w:val="25"/>
        </w:rPr>
        <w:footnoteReference w:id="26"/>
      </w:r>
      <w:r w:rsidRPr="00E06855">
        <w:rPr>
          <w:rFonts w:ascii="Times New Roman" w:hAnsi="Times New Roman" w:cs="Times New Roman"/>
          <w:sz w:val="25"/>
          <w:szCs w:val="25"/>
        </w:rPr>
        <w:t xml:space="preserve"> </w:t>
      </w:r>
      <w:r w:rsidR="00AF12E8" w:rsidRPr="00E06855">
        <w:rPr>
          <w:rFonts w:ascii="Times New Roman" w:hAnsi="Times New Roman" w:cs="Times New Roman"/>
          <w:sz w:val="25"/>
          <w:szCs w:val="25"/>
        </w:rPr>
        <w:t>Thus, the lack of a clear division between process and substance suggests</w:t>
      </w:r>
      <w:r w:rsidR="00FC20BD" w:rsidRPr="00E06855">
        <w:rPr>
          <w:rFonts w:ascii="Times New Roman" w:hAnsi="Times New Roman" w:cs="Times New Roman"/>
          <w:sz w:val="25"/>
          <w:szCs w:val="25"/>
        </w:rPr>
        <w:t xml:space="preserve"> that </w:t>
      </w:r>
      <w:r w:rsidR="00DF01C1" w:rsidRPr="00E06855">
        <w:rPr>
          <w:rFonts w:ascii="Times New Roman" w:hAnsi="Times New Roman" w:cs="Times New Roman"/>
          <w:sz w:val="25"/>
          <w:szCs w:val="25"/>
        </w:rPr>
        <w:t>“limiting” judges to procedural language only may fail to act as a restraint on their interpretations</w:t>
      </w:r>
      <w:r w:rsidR="009C7AD4" w:rsidRPr="00E06855">
        <w:rPr>
          <w:rFonts w:ascii="Times New Roman" w:hAnsi="Times New Roman" w:cs="Times New Roman"/>
          <w:sz w:val="25"/>
          <w:szCs w:val="25"/>
        </w:rPr>
        <w:t xml:space="preserve">, </w:t>
      </w:r>
      <w:r w:rsidR="00920A64" w:rsidRPr="00E06855">
        <w:rPr>
          <w:rFonts w:ascii="Times New Roman" w:hAnsi="Times New Roman" w:cs="Times New Roman"/>
          <w:sz w:val="25"/>
          <w:szCs w:val="25"/>
        </w:rPr>
        <w:t>in contrast to Ely’s intention.</w:t>
      </w:r>
    </w:p>
    <w:p w14:paraId="57F563E8" w14:textId="5519BE80" w:rsidR="00BC605F" w:rsidRPr="00E06855" w:rsidRDefault="00BC605F" w:rsidP="00BC605F">
      <w:pPr>
        <w:rPr>
          <w:rFonts w:ascii="Times New Roman" w:hAnsi="Times New Roman" w:cs="Times New Roman"/>
          <w:sz w:val="25"/>
          <w:szCs w:val="25"/>
        </w:rPr>
      </w:pPr>
      <w:r w:rsidRPr="00E06855">
        <w:rPr>
          <w:rFonts w:ascii="Times New Roman" w:hAnsi="Times New Roman" w:cs="Times New Roman"/>
          <w:sz w:val="25"/>
          <w:szCs w:val="25"/>
        </w:rPr>
        <w:t>This point about the malleability of procedural language is ironically proved by Ely’s theory itself. Ely made the empirical claim that the US constitution was “overwhelmingly” dedicated to concerns of process and structure.</w:t>
      </w:r>
      <w:r w:rsidR="00E55BFF" w:rsidRPr="00E06855">
        <w:rPr>
          <w:rStyle w:val="FootnoteReference"/>
          <w:rFonts w:ascii="Times New Roman" w:hAnsi="Times New Roman" w:cs="Times New Roman"/>
          <w:sz w:val="25"/>
          <w:szCs w:val="25"/>
        </w:rPr>
        <w:footnoteReference w:id="27"/>
      </w:r>
      <w:r w:rsidRPr="00E06855">
        <w:rPr>
          <w:rFonts w:ascii="Times New Roman" w:hAnsi="Times New Roman" w:cs="Times New Roman"/>
          <w:sz w:val="25"/>
          <w:szCs w:val="25"/>
        </w:rPr>
        <w:t xml:space="preserve"> To prove this, his argument goes through provisions of the </w:t>
      </w:r>
      <w:r w:rsidR="008F0DB7" w:rsidRPr="00E06855">
        <w:rPr>
          <w:rFonts w:ascii="Times New Roman" w:hAnsi="Times New Roman" w:cs="Times New Roman"/>
          <w:sz w:val="25"/>
          <w:szCs w:val="25"/>
        </w:rPr>
        <w:t xml:space="preserve">US </w:t>
      </w:r>
      <w:r w:rsidRPr="00E06855">
        <w:rPr>
          <w:rFonts w:ascii="Times New Roman" w:hAnsi="Times New Roman" w:cs="Times New Roman"/>
          <w:sz w:val="25"/>
          <w:szCs w:val="25"/>
        </w:rPr>
        <w:t>constitution and the US bill of rights to highlight their procedural nature. In doing so, Ely highlights the ability of procedural language to be stretched to cover a range of provisions which could also be considered as substantive.</w:t>
      </w:r>
      <w:r w:rsidRPr="00E06855">
        <w:rPr>
          <w:rStyle w:val="FootnoteReference"/>
          <w:rFonts w:ascii="Times New Roman" w:hAnsi="Times New Roman" w:cs="Times New Roman"/>
          <w:sz w:val="25"/>
          <w:szCs w:val="25"/>
        </w:rPr>
        <w:footnoteReference w:id="28"/>
      </w:r>
    </w:p>
    <w:p w14:paraId="7C0699FD" w14:textId="0DC9A546" w:rsidR="00BC605F" w:rsidRPr="00E06855" w:rsidRDefault="00BC605F" w:rsidP="00BC605F">
      <w:pPr>
        <w:rPr>
          <w:rFonts w:ascii="Times New Roman" w:hAnsi="Times New Roman" w:cs="Times New Roman"/>
          <w:sz w:val="25"/>
          <w:szCs w:val="25"/>
        </w:rPr>
      </w:pPr>
      <w:r w:rsidRPr="00E06855">
        <w:rPr>
          <w:rFonts w:ascii="Times New Roman" w:hAnsi="Times New Roman" w:cs="Times New Roman"/>
          <w:sz w:val="25"/>
          <w:szCs w:val="25"/>
        </w:rPr>
        <w:t>Th</w:t>
      </w:r>
      <w:r w:rsidR="00F56942" w:rsidRPr="00E06855">
        <w:rPr>
          <w:rFonts w:ascii="Times New Roman" w:hAnsi="Times New Roman" w:cs="Times New Roman"/>
          <w:sz w:val="25"/>
          <w:szCs w:val="25"/>
        </w:rPr>
        <w:t>is</w:t>
      </w:r>
      <w:r w:rsidRPr="00E06855">
        <w:rPr>
          <w:rFonts w:ascii="Times New Roman" w:hAnsi="Times New Roman" w:cs="Times New Roman"/>
          <w:sz w:val="25"/>
          <w:szCs w:val="25"/>
        </w:rPr>
        <w:t xml:space="preserve"> attempt by Ely to frame the constitution as devoted almost entirely to process and structure was the subject of strong critique. Tribe notes that many of the constitution’s key commitments have a “stubbornly substantive character”.</w:t>
      </w:r>
      <w:r w:rsidR="00C72831" w:rsidRPr="00E06855">
        <w:rPr>
          <w:rStyle w:val="FootnoteReference"/>
          <w:rFonts w:ascii="Times New Roman" w:hAnsi="Times New Roman" w:cs="Times New Roman"/>
          <w:sz w:val="25"/>
          <w:szCs w:val="25"/>
        </w:rPr>
        <w:footnoteReference w:id="29"/>
      </w:r>
      <w:r w:rsidRPr="00E06855">
        <w:rPr>
          <w:rFonts w:ascii="Times New Roman" w:hAnsi="Times New Roman" w:cs="Times New Roman"/>
          <w:sz w:val="25"/>
          <w:szCs w:val="25"/>
        </w:rPr>
        <w:t xml:space="preserve"> Given the range of these values, Tribe considers it “puzzling” that anyone could argue that the constitution is predominantly concerned with </w:t>
      </w:r>
      <w:r w:rsidR="002A4D64" w:rsidRPr="00E06855">
        <w:rPr>
          <w:rFonts w:ascii="Times New Roman" w:hAnsi="Times New Roman" w:cs="Times New Roman"/>
          <w:sz w:val="25"/>
          <w:szCs w:val="25"/>
        </w:rPr>
        <w:t>process</w:t>
      </w:r>
      <w:r w:rsidRPr="00E06855">
        <w:rPr>
          <w:rFonts w:ascii="Times New Roman" w:hAnsi="Times New Roman" w:cs="Times New Roman"/>
          <w:sz w:val="25"/>
          <w:szCs w:val="25"/>
        </w:rPr>
        <w:t>.</w:t>
      </w:r>
      <w:r w:rsidRPr="00E06855">
        <w:rPr>
          <w:rStyle w:val="FootnoteReference"/>
          <w:rFonts w:ascii="Times New Roman" w:hAnsi="Times New Roman" w:cs="Times New Roman"/>
          <w:sz w:val="25"/>
          <w:szCs w:val="25"/>
        </w:rPr>
        <w:footnoteReference w:id="30"/>
      </w:r>
    </w:p>
    <w:p w14:paraId="244E6F88" w14:textId="04605C1B" w:rsidR="00BC605F" w:rsidRPr="00E06855" w:rsidRDefault="00BC605F" w:rsidP="00BC605F">
      <w:pPr>
        <w:rPr>
          <w:rFonts w:ascii="Times New Roman" w:hAnsi="Times New Roman" w:cs="Times New Roman"/>
          <w:sz w:val="25"/>
          <w:szCs w:val="25"/>
        </w:rPr>
      </w:pPr>
      <w:r w:rsidRPr="00E06855">
        <w:rPr>
          <w:rFonts w:ascii="Times New Roman" w:hAnsi="Times New Roman" w:cs="Times New Roman"/>
          <w:sz w:val="25"/>
          <w:szCs w:val="25"/>
        </w:rPr>
        <w:t>To take one example, Ely’s theory se</w:t>
      </w:r>
      <w:r w:rsidR="00DB5B16" w:rsidRPr="00E06855">
        <w:rPr>
          <w:rFonts w:ascii="Times New Roman" w:hAnsi="Times New Roman" w:cs="Times New Roman"/>
          <w:sz w:val="25"/>
          <w:szCs w:val="25"/>
        </w:rPr>
        <w:t>e</w:t>
      </w:r>
      <w:r w:rsidRPr="00E06855">
        <w:rPr>
          <w:rFonts w:ascii="Times New Roman" w:hAnsi="Times New Roman" w:cs="Times New Roman"/>
          <w:sz w:val="25"/>
          <w:szCs w:val="25"/>
        </w:rPr>
        <w:t>ks to protect certain “groups” in the legislative process, such as homosexuals or African Americans. However, as Tribe points out, “one cannot speak of “groups” as though society were objectively subdivided along lines that are just there to be discerned”.</w:t>
      </w:r>
      <w:r w:rsidRPr="00E06855">
        <w:rPr>
          <w:rStyle w:val="FootnoteReference"/>
          <w:rFonts w:ascii="Times New Roman" w:hAnsi="Times New Roman" w:cs="Times New Roman"/>
          <w:sz w:val="25"/>
          <w:szCs w:val="25"/>
        </w:rPr>
        <w:footnoteReference w:id="31"/>
      </w:r>
      <w:r w:rsidRPr="00E06855">
        <w:rPr>
          <w:rFonts w:ascii="Times New Roman" w:hAnsi="Times New Roman" w:cs="Times New Roman"/>
          <w:sz w:val="25"/>
          <w:szCs w:val="25"/>
        </w:rPr>
        <w:t xml:space="preserve"> In fact, any issue with the mis-treatment of homosexuals, for example, spring</w:t>
      </w:r>
      <w:r w:rsidR="00491D0A" w:rsidRPr="00E06855">
        <w:rPr>
          <w:rFonts w:ascii="Times New Roman" w:hAnsi="Times New Roman" w:cs="Times New Roman"/>
          <w:sz w:val="25"/>
          <w:szCs w:val="25"/>
        </w:rPr>
        <w:t>s</w:t>
      </w:r>
      <w:r w:rsidRPr="00E06855">
        <w:rPr>
          <w:rFonts w:ascii="Times New Roman" w:hAnsi="Times New Roman" w:cs="Times New Roman"/>
          <w:sz w:val="25"/>
          <w:szCs w:val="25"/>
        </w:rPr>
        <w:t xml:space="preserve"> not from a disagreement about “legislative classification”, but rather </w:t>
      </w:r>
      <w:r w:rsidRPr="00E06855">
        <w:rPr>
          <w:rFonts w:ascii="Times New Roman" w:hAnsi="Times New Roman" w:cs="Times New Roman"/>
          <w:sz w:val="25"/>
          <w:szCs w:val="25"/>
        </w:rPr>
        <w:lastRenderedPageBreak/>
        <w:t>“with the judgments that lie behind the stereotype”.</w:t>
      </w:r>
      <w:r w:rsidR="00F54814" w:rsidRPr="00E06855">
        <w:rPr>
          <w:rStyle w:val="FootnoteReference"/>
          <w:rFonts w:ascii="Times New Roman" w:hAnsi="Times New Roman" w:cs="Times New Roman"/>
          <w:sz w:val="25"/>
          <w:szCs w:val="25"/>
        </w:rPr>
        <w:footnoteReference w:id="32"/>
      </w:r>
      <w:r w:rsidRPr="00E06855">
        <w:rPr>
          <w:rFonts w:ascii="Times New Roman" w:hAnsi="Times New Roman" w:cs="Times New Roman"/>
          <w:sz w:val="25"/>
          <w:szCs w:val="25"/>
        </w:rPr>
        <w:t xml:space="preserve"> Thus, phrasing this matter as procedural does not remove the contested substantive value decision that lies behind it.</w:t>
      </w:r>
    </w:p>
    <w:p w14:paraId="7019682E" w14:textId="6C9D2C5B" w:rsidR="00BC605F" w:rsidRPr="00E06855" w:rsidRDefault="00BC605F" w:rsidP="00AF550E">
      <w:pPr>
        <w:rPr>
          <w:rFonts w:ascii="Times New Roman" w:hAnsi="Times New Roman" w:cs="Times New Roman"/>
          <w:sz w:val="25"/>
          <w:szCs w:val="25"/>
        </w:rPr>
      </w:pPr>
      <w:r w:rsidRPr="00E06855">
        <w:rPr>
          <w:rFonts w:ascii="Times New Roman" w:hAnsi="Times New Roman" w:cs="Times New Roman"/>
          <w:sz w:val="25"/>
          <w:szCs w:val="25"/>
        </w:rPr>
        <w:t>The consequence of this, as shown by Posner, is that procedural language will fail to limit what the US Supreme Court is able to do. This is because, as Ely shows, almost any matter can be phrased in procedural terms</w:t>
      </w:r>
      <w:r w:rsidR="001B7D90" w:rsidRPr="00E06855">
        <w:rPr>
          <w:rFonts w:ascii="Times New Roman" w:hAnsi="Times New Roman" w:cs="Times New Roman"/>
          <w:sz w:val="25"/>
          <w:szCs w:val="25"/>
        </w:rPr>
        <w:t xml:space="preserve">. </w:t>
      </w:r>
      <w:r w:rsidRPr="00E06855">
        <w:rPr>
          <w:rFonts w:ascii="Times New Roman" w:hAnsi="Times New Roman" w:cs="Times New Roman"/>
          <w:sz w:val="25"/>
          <w:szCs w:val="25"/>
        </w:rPr>
        <w:t>The constitution contains a “plenitude of vague constitutional provisions” which allow for a range of theories to be extrapolated from it.</w:t>
      </w:r>
      <w:r w:rsidR="00AF550E" w:rsidRPr="00E06855">
        <w:rPr>
          <w:rStyle w:val="FootnoteReference"/>
          <w:rFonts w:ascii="Times New Roman" w:hAnsi="Times New Roman" w:cs="Times New Roman"/>
          <w:sz w:val="25"/>
          <w:szCs w:val="25"/>
        </w:rPr>
        <w:footnoteReference w:id="33"/>
      </w:r>
      <w:r w:rsidRPr="00E06855">
        <w:rPr>
          <w:rFonts w:ascii="Times New Roman" w:hAnsi="Times New Roman" w:cs="Times New Roman"/>
          <w:sz w:val="25"/>
          <w:szCs w:val="25"/>
        </w:rPr>
        <w:t xml:space="preserve"> </w:t>
      </w:r>
      <w:r w:rsidR="009C33D3">
        <w:rPr>
          <w:rFonts w:ascii="Times New Roman" w:hAnsi="Times New Roman" w:cs="Times New Roman"/>
          <w:sz w:val="25"/>
          <w:szCs w:val="25"/>
        </w:rPr>
        <w:t xml:space="preserve">Posner’s </w:t>
      </w:r>
      <w:r w:rsidRPr="00E06855">
        <w:rPr>
          <w:rFonts w:ascii="Times New Roman" w:hAnsi="Times New Roman" w:cs="Times New Roman"/>
          <w:sz w:val="25"/>
          <w:szCs w:val="25"/>
        </w:rPr>
        <w:t>point is that</w:t>
      </w:r>
      <w:r w:rsidR="00FD44A6" w:rsidRPr="00E06855">
        <w:rPr>
          <w:rFonts w:ascii="Times New Roman" w:hAnsi="Times New Roman" w:cs="Times New Roman"/>
          <w:sz w:val="25"/>
          <w:szCs w:val="25"/>
        </w:rPr>
        <w:t>, contrary to its claims,</w:t>
      </w:r>
      <w:r w:rsidRPr="00E06855">
        <w:rPr>
          <w:rFonts w:ascii="Times New Roman" w:hAnsi="Times New Roman" w:cs="Times New Roman"/>
          <w:sz w:val="25"/>
          <w:szCs w:val="25"/>
        </w:rPr>
        <w:t xml:space="preserve"> Ely’s theory </w:t>
      </w:r>
      <w:r w:rsidR="00B70195">
        <w:rPr>
          <w:rFonts w:ascii="Times New Roman" w:hAnsi="Times New Roman" w:cs="Times New Roman"/>
          <w:sz w:val="25"/>
          <w:szCs w:val="25"/>
        </w:rPr>
        <w:t>would</w:t>
      </w:r>
      <w:r w:rsidRPr="00E06855">
        <w:rPr>
          <w:rFonts w:ascii="Times New Roman" w:hAnsi="Times New Roman" w:cs="Times New Roman"/>
          <w:sz w:val="25"/>
          <w:szCs w:val="25"/>
        </w:rPr>
        <w:t xml:space="preserve"> not act as any restraint on the US Supreme Court judges</w:t>
      </w:r>
      <w:r w:rsidR="00FD44A6" w:rsidRPr="00E06855">
        <w:rPr>
          <w:rFonts w:ascii="Times New Roman" w:hAnsi="Times New Roman" w:cs="Times New Roman"/>
          <w:sz w:val="25"/>
          <w:szCs w:val="25"/>
        </w:rPr>
        <w:t>:</w:t>
      </w:r>
    </w:p>
    <w:p w14:paraId="19BE9A42" w14:textId="77777777" w:rsidR="00BC605F" w:rsidRPr="00E06855" w:rsidRDefault="00BC605F" w:rsidP="00BC605F">
      <w:pPr>
        <w:ind w:left="720"/>
        <w:rPr>
          <w:rFonts w:ascii="Times New Roman" w:hAnsi="Times New Roman" w:cs="Times New Roman"/>
          <w:sz w:val="25"/>
          <w:szCs w:val="25"/>
        </w:rPr>
      </w:pPr>
      <w:r w:rsidRPr="00E06855">
        <w:rPr>
          <w:rFonts w:ascii="Times New Roman" w:hAnsi="Times New Roman" w:cs="Times New Roman"/>
          <w:sz w:val="25"/>
          <w:szCs w:val="25"/>
        </w:rPr>
        <w:t xml:space="preserve">“They can do, in fact, </w:t>
      </w:r>
      <w:r w:rsidRPr="00E06855">
        <w:rPr>
          <w:rFonts w:ascii="Times New Roman" w:hAnsi="Times New Roman" w:cs="Times New Roman"/>
          <w:i/>
          <w:iCs/>
          <w:sz w:val="25"/>
          <w:szCs w:val="25"/>
        </w:rPr>
        <w:t xml:space="preserve">anything </w:t>
      </w:r>
      <w:r w:rsidRPr="00E06855">
        <w:rPr>
          <w:rFonts w:ascii="Times New Roman" w:hAnsi="Times New Roman" w:cs="Times New Roman"/>
          <w:sz w:val="25"/>
          <w:szCs w:val="25"/>
        </w:rPr>
        <w:t xml:space="preserve">- abolish capital punishment, force the states to allow homosexual marriage, force them to extend the franchise to </w:t>
      </w:r>
      <w:proofErr w:type="spellStart"/>
      <w:r w:rsidRPr="00E06855">
        <w:rPr>
          <w:rFonts w:ascii="Times New Roman" w:hAnsi="Times New Roman" w:cs="Times New Roman"/>
          <w:sz w:val="25"/>
          <w:szCs w:val="25"/>
        </w:rPr>
        <w:t>non residents</w:t>
      </w:r>
      <w:proofErr w:type="spellEnd"/>
      <w:r w:rsidRPr="00E06855">
        <w:rPr>
          <w:rFonts w:ascii="Times New Roman" w:hAnsi="Times New Roman" w:cs="Times New Roman"/>
          <w:sz w:val="25"/>
          <w:szCs w:val="25"/>
        </w:rPr>
        <w:t xml:space="preserve"> and maybe even to aliens-  all in the name of the Constitution's participation-oriented, representation-reinforcing theme”</w:t>
      </w:r>
      <w:r w:rsidRPr="00E06855">
        <w:rPr>
          <w:rStyle w:val="FootnoteReference"/>
          <w:rFonts w:ascii="Times New Roman" w:hAnsi="Times New Roman" w:cs="Times New Roman"/>
          <w:sz w:val="25"/>
          <w:szCs w:val="25"/>
        </w:rPr>
        <w:footnoteReference w:id="34"/>
      </w:r>
    </w:p>
    <w:p w14:paraId="40309F08" w14:textId="1E504529" w:rsidR="00BC605F" w:rsidRPr="00E06855" w:rsidRDefault="00BC605F" w:rsidP="00BC605F">
      <w:pPr>
        <w:rPr>
          <w:rFonts w:ascii="Times New Roman" w:hAnsi="Times New Roman" w:cs="Times New Roman"/>
          <w:sz w:val="25"/>
          <w:szCs w:val="25"/>
        </w:rPr>
      </w:pPr>
      <w:r w:rsidRPr="00E06855">
        <w:rPr>
          <w:rFonts w:ascii="Times New Roman" w:hAnsi="Times New Roman" w:cs="Times New Roman"/>
          <w:sz w:val="25"/>
          <w:szCs w:val="25"/>
        </w:rPr>
        <w:t xml:space="preserve">The key point to take away from this, which we will draw on in the later critique of process review advocacy in the Union, is that a focus on procedure in judicial reasoning may not necessarily lead to the desired outcomes. In Ely’s case, he argued that process review would </w:t>
      </w:r>
      <w:r w:rsidR="00F51CA1" w:rsidRPr="00E06855">
        <w:rPr>
          <w:rFonts w:ascii="Times New Roman" w:hAnsi="Times New Roman" w:cs="Times New Roman"/>
          <w:sz w:val="25"/>
          <w:szCs w:val="25"/>
        </w:rPr>
        <w:t>place</w:t>
      </w:r>
      <w:r w:rsidRPr="00E06855">
        <w:rPr>
          <w:rFonts w:ascii="Times New Roman" w:hAnsi="Times New Roman" w:cs="Times New Roman"/>
          <w:sz w:val="25"/>
          <w:szCs w:val="25"/>
        </w:rPr>
        <w:t xml:space="preserve"> restraint on judges, but his own theory goes to prove that procedural language is </w:t>
      </w:r>
      <w:r w:rsidR="00802503" w:rsidRPr="00E06855">
        <w:rPr>
          <w:rFonts w:ascii="Times New Roman" w:hAnsi="Times New Roman" w:cs="Times New Roman"/>
          <w:sz w:val="25"/>
          <w:szCs w:val="25"/>
        </w:rPr>
        <w:t>malleable,</w:t>
      </w:r>
      <w:r w:rsidRPr="00E06855">
        <w:rPr>
          <w:rFonts w:ascii="Times New Roman" w:hAnsi="Times New Roman" w:cs="Times New Roman"/>
          <w:sz w:val="25"/>
          <w:szCs w:val="25"/>
        </w:rPr>
        <w:t xml:space="preserve"> and that Courts may use it to make a wide range of decisions.</w:t>
      </w:r>
    </w:p>
    <w:p w14:paraId="4EE9978D" w14:textId="5CE20013" w:rsidR="00C5516A" w:rsidRPr="00E06855" w:rsidRDefault="00C5516A" w:rsidP="00D853B3">
      <w:pPr>
        <w:pStyle w:val="Heading3"/>
        <w:rPr>
          <w:rFonts w:cs="Times New Roman"/>
        </w:rPr>
      </w:pPr>
      <w:r w:rsidRPr="00E06855">
        <w:rPr>
          <w:rFonts w:cs="Times New Roman"/>
        </w:rPr>
        <w:t>The Legitimacy of Process Review</w:t>
      </w:r>
    </w:p>
    <w:p w14:paraId="722E3D76" w14:textId="54B21557" w:rsidR="00BC605F" w:rsidRPr="00E06855" w:rsidRDefault="00BC605F" w:rsidP="00BC605F">
      <w:pPr>
        <w:rPr>
          <w:rFonts w:ascii="Times New Roman" w:hAnsi="Times New Roman" w:cs="Times New Roman"/>
          <w:sz w:val="25"/>
          <w:szCs w:val="25"/>
        </w:rPr>
      </w:pPr>
      <w:r w:rsidRPr="00E06855">
        <w:rPr>
          <w:rFonts w:ascii="Times New Roman" w:hAnsi="Times New Roman" w:cs="Times New Roman"/>
          <w:sz w:val="25"/>
          <w:szCs w:val="25"/>
        </w:rPr>
        <w:t xml:space="preserve">Following on from this point, the response to Ely’s theory also allows us to draw insights about the legitimacy of process review. Ely argued against substantive review on the basis that it illegitimately allowed the judiciary to displace the values expressed by the democratically elected legislature. By contrast, Ely argued for the legitimacy of process review on the basis that it could serve as a form of </w:t>
      </w:r>
      <w:r w:rsidR="0066482B" w:rsidRPr="00E06855">
        <w:rPr>
          <w:rFonts w:ascii="Times New Roman" w:hAnsi="Times New Roman" w:cs="Times New Roman"/>
          <w:sz w:val="25"/>
          <w:szCs w:val="25"/>
        </w:rPr>
        <w:t xml:space="preserve">“value-free” </w:t>
      </w:r>
      <w:r w:rsidRPr="00E06855">
        <w:rPr>
          <w:rFonts w:ascii="Times New Roman" w:hAnsi="Times New Roman" w:cs="Times New Roman"/>
          <w:sz w:val="25"/>
          <w:szCs w:val="25"/>
        </w:rPr>
        <w:t>adjudication. He argued</w:t>
      </w:r>
      <w:r w:rsidR="00FB3FFA" w:rsidRPr="00E06855">
        <w:rPr>
          <w:rFonts w:ascii="Times New Roman" w:hAnsi="Times New Roman" w:cs="Times New Roman"/>
          <w:sz w:val="25"/>
          <w:szCs w:val="25"/>
        </w:rPr>
        <w:t xml:space="preserve"> that </w:t>
      </w:r>
      <w:r w:rsidRPr="00E06855">
        <w:rPr>
          <w:rFonts w:ascii="Times New Roman" w:hAnsi="Times New Roman" w:cs="Times New Roman"/>
          <w:sz w:val="25"/>
          <w:szCs w:val="25"/>
        </w:rPr>
        <w:t>the latter is more legitimate because it has an objective basis and does not require moral judgment or “the making of policy”.</w:t>
      </w:r>
      <w:r w:rsidRPr="00E06855">
        <w:rPr>
          <w:rStyle w:val="FootnoteReference"/>
          <w:rFonts w:ascii="Times New Roman" w:hAnsi="Times New Roman" w:cs="Times New Roman"/>
          <w:sz w:val="25"/>
          <w:szCs w:val="25"/>
        </w:rPr>
        <w:footnoteReference w:id="35"/>
      </w:r>
    </w:p>
    <w:p w14:paraId="72F8C542" w14:textId="609BE6AC" w:rsidR="00BC605F" w:rsidRPr="00E06855" w:rsidRDefault="00711D34" w:rsidP="00BC605F">
      <w:pPr>
        <w:rPr>
          <w:rFonts w:ascii="Times New Roman" w:hAnsi="Times New Roman" w:cs="Times New Roman"/>
          <w:sz w:val="25"/>
          <w:szCs w:val="25"/>
        </w:rPr>
      </w:pPr>
      <w:r w:rsidRPr="00E06855">
        <w:rPr>
          <w:rFonts w:ascii="Times New Roman" w:hAnsi="Times New Roman" w:cs="Times New Roman"/>
          <w:sz w:val="25"/>
          <w:szCs w:val="25"/>
        </w:rPr>
        <w:t>However</w:t>
      </w:r>
      <w:r w:rsidR="00BC605F" w:rsidRPr="00E06855">
        <w:rPr>
          <w:rFonts w:ascii="Times New Roman" w:hAnsi="Times New Roman" w:cs="Times New Roman"/>
          <w:sz w:val="25"/>
          <w:szCs w:val="25"/>
        </w:rPr>
        <w:t>, as Komesar argued, reacting to political process “does not free the judiciary from having to make societal decisions and, therefore, basic value judgments”.</w:t>
      </w:r>
      <w:r w:rsidR="00BC605F" w:rsidRPr="00E06855">
        <w:rPr>
          <w:rStyle w:val="FootnoteReference"/>
          <w:rFonts w:ascii="Times New Roman" w:hAnsi="Times New Roman" w:cs="Times New Roman"/>
          <w:sz w:val="25"/>
          <w:szCs w:val="25"/>
        </w:rPr>
        <w:footnoteReference w:id="36"/>
      </w:r>
      <w:r w:rsidR="00BC605F" w:rsidRPr="00E06855">
        <w:rPr>
          <w:rFonts w:ascii="Times New Roman" w:hAnsi="Times New Roman" w:cs="Times New Roman"/>
          <w:sz w:val="25"/>
          <w:szCs w:val="25"/>
        </w:rPr>
        <w:t xml:space="preserve"> Indeed, Ely built his theory on the idea that it was not appropriate for judges to engage in philosophical issues.</w:t>
      </w:r>
      <w:r w:rsidR="00BC605F" w:rsidRPr="00E06855">
        <w:rPr>
          <w:rStyle w:val="FootnoteReference"/>
          <w:rFonts w:ascii="Times New Roman" w:hAnsi="Times New Roman" w:cs="Times New Roman"/>
          <w:sz w:val="25"/>
          <w:szCs w:val="25"/>
        </w:rPr>
        <w:footnoteReference w:id="37"/>
      </w:r>
      <w:r w:rsidR="00BC605F" w:rsidRPr="00E06855">
        <w:rPr>
          <w:rFonts w:ascii="Times New Roman" w:hAnsi="Times New Roman" w:cs="Times New Roman"/>
          <w:sz w:val="25"/>
          <w:szCs w:val="25"/>
        </w:rPr>
        <w:t xml:space="preserve"> </w:t>
      </w:r>
      <w:r w:rsidR="00120F12" w:rsidRPr="00E06855">
        <w:rPr>
          <w:rFonts w:ascii="Times New Roman" w:hAnsi="Times New Roman" w:cs="Times New Roman"/>
          <w:sz w:val="25"/>
          <w:szCs w:val="25"/>
        </w:rPr>
        <w:t>But i</w:t>
      </w:r>
      <w:r w:rsidR="00C83821" w:rsidRPr="00E06855">
        <w:rPr>
          <w:rFonts w:ascii="Times New Roman" w:hAnsi="Times New Roman" w:cs="Times New Roman"/>
          <w:sz w:val="25"/>
          <w:szCs w:val="25"/>
        </w:rPr>
        <w:t xml:space="preserve">n </w:t>
      </w:r>
      <w:r w:rsidR="00CA38E1" w:rsidRPr="00E06855">
        <w:rPr>
          <w:rFonts w:ascii="Times New Roman" w:hAnsi="Times New Roman" w:cs="Times New Roman"/>
          <w:sz w:val="25"/>
          <w:szCs w:val="25"/>
        </w:rPr>
        <w:t>reality</w:t>
      </w:r>
      <w:r w:rsidR="00BC605F" w:rsidRPr="00E06855">
        <w:rPr>
          <w:rFonts w:ascii="Times New Roman" w:hAnsi="Times New Roman" w:cs="Times New Roman"/>
          <w:sz w:val="25"/>
          <w:szCs w:val="25"/>
        </w:rPr>
        <w:t xml:space="preserve">, US Supreme Court judges cannot avoid </w:t>
      </w:r>
      <w:r w:rsidR="00EA6A00" w:rsidRPr="00E06855">
        <w:rPr>
          <w:rFonts w:ascii="Times New Roman" w:hAnsi="Times New Roman" w:cs="Times New Roman"/>
          <w:sz w:val="25"/>
          <w:szCs w:val="25"/>
        </w:rPr>
        <w:t>moral</w:t>
      </w:r>
      <w:r w:rsidR="00BC605F" w:rsidRPr="00E06855">
        <w:rPr>
          <w:rFonts w:ascii="Times New Roman" w:hAnsi="Times New Roman" w:cs="Times New Roman"/>
          <w:sz w:val="25"/>
          <w:szCs w:val="25"/>
        </w:rPr>
        <w:t xml:space="preserve"> </w:t>
      </w:r>
      <w:r w:rsidR="00BC605F" w:rsidRPr="00E06855">
        <w:rPr>
          <w:rFonts w:ascii="Times New Roman" w:hAnsi="Times New Roman" w:cs="Times New Roman"/>
          <w:sz w:val="25"/>
          <w:szCs w:val="25"/>
        </w:rPr>
        <w:lastRenderedPageBreak/>
        <w:t>reasoning “through noncontroversial inferences from the Constitution’s democratic structure”.</w:t>
      </w:r>
      <w:r w:rsidR="00BC605F" w:rsidRPr="00E06855">
        <w:rPr>
          <w:rStyle w:val="FootnoteReference"/>
          <w:rFonts w:ascii="Times New Roman" w:hAnsi="Times New Roman" w:cs="Times New Roman"/>
          <w:sz w:val="25"/>
          <w:szCs w:val="25"/>
        </w:rPr>
        <w:footnoteReference w:id="38"/>
      </w:r>
    </w:p>
    <w:p w14:paraId="4CB47CAC" w14:textId="76713EC4" w:rsidR="00BC605F" w:rsidRPr="00E06855" w:rsidRDefault="00BC605F" w:rsidP="00BC605F">
      <w:pPr>
        <w:rPr>
          <w:rFonts w:ascii="Times New Roman" w:hAnsi="Times New Roman" w:cs="Times New Roman"/>
          <w:sz w:val="25"/>
          <w:szCs w:val="25"/>
        </w:rPr>
      </w:pPr>
      <w:r w:rsidRPr="00E06855">
        <w:rPr>
          <w:rFonts w:ascii="Times New Roman" w:hAnsi="Times New Roman" w:cs="Times New Roman"/>
          <w:sz w:val="25"/>
          <w:szCs w:val="25"/>
        </w:rPr>
        <w:t xml:space="preserve">Ultimately, simple allusion to process </w:t>
      </w:r>
      <w:r w:rsidR="0048370A" w:rsidRPr="00E06855">
        <w:rPr>
          <w:rFonts w:ascii="Times New Roman" w:hAnsi="Times New Roman" w:cs="Times New Roman"/>
          <w:sz w:val="25"/>
          <w:szCs w:val="25"/>
        </w:rPr>
        <w:t>is</w:t>
      </w:r>
      <w:r w:rsidRPr="00E06855">
        <w:rPr>
          <w:rFonts w:ascii="Times New Roman" w:hAnsi="Times New Roman" w:cs="Times New Roman"/>
          <w:sz w:val="25"/>
          <w:szCs w:val="25"/>
        </w:rPr>
        <w:t xml:space="preserve"> insufficient to act as a justification for Ely’s theory. As Tribe argued:</w:t>
      </w:r>
    </w:p>
    <w:p w14:paraId="431FAA86" w14:textId="77777777" w:rsidR="00BC605F" w:rsidRPr="00E06855" w:rsidRDefault="00BC605F" w:rsidP="00BC605F">
      <w:pPr>
        <w:ind w:left="720"/>
        <w:rPr>
          <w:rFonts w:ascii="Times New Roman" w:hAnsi="Times New Roman" w:cs="Times New Roman"/>
          <w:sz w:val="25"/>
          <w:szCs w:val="25"/>
          <w:lang w:val="en-US"/>
        </w:rPr>
      </w:pPr>
      <w:r w:rsidRPr="00E06855">
        <w:rPr>
          <w:rFonts w:ascii="Times New Roman" w:hAnsi="Times New Roman" w:cs="Times New Roman"/>
          <w:sz w:val="25"/>
          <w:szCs w:val="25"/>
          <w:lang w:val="en-US"/>
        </w:rPr>
        <w:t xml:space="preserve">“The process theme by itself determines almost nothing unless its presuppositions are specified, and its content supplemented, by a full theory of </w:t>
      </w:r>
      <w:r w:rsidRPr="00E06855">
        <w:rPr>
          <w:rFonts w:ascii="Times New Roman" w:hAnsi="Times New Roman" w:cs="Times New Roman"/>
          <w:i/>
          <w:iCs/>
          <w:sz w:val="25"/>
          <w:szCs w:val="25"/>
          <w:lang w:val="en-US"/>
        </w:rPr>
        <w:t xml:space="preserve">substantive </w:t>
      </w:r>
      <w:r w:rsidRPr="00E06855">
        <w:rPr>
          <w:rFonts w:ascii="Times New Roman" w:hAnsi="Times New Roman" w:cs="Times New Roman"/>
          <w:sz w:val="25"/>
          <w:szCs w:val="25"/>
          <w:lang w:val="en-US"/>
        </w:rPr>
        <w:t>rights and values”</w:t>
      </w:r>
      <w:r w:rsidRPr="00E06855">
        <w:rPr>
          <w:rFonts w:ascii="Times New Roman" w:hAnsi="Times New Roman" w:cs="Times New Roman"/>
          <w:sz w:val="25"/>
          <w:szCs w:val="25"/>
          <w:vertAlign w:val="superscript"/>
          <w:lang w:val="en-US"/>
        </w:rPr>
        <w:footnoteReference w:id="39"/>
      </w:r>
    </w:p>
    <w:p w14:paraId="463F33AA" w14:textId="2A13DC4A" w:rsidR="00BC605F" w:rsidRPr="00E06855" w:rsidRDefault="00BC605F" w:rsidP="00A60D15">
      <w:pPr>
        <w:rPr>
          <w:rFonts w:ascii="Times New Roman" w:hAnsi="Times New Roman" w:cs="Times New Roman"/>
          <w:sz w:val="25"/>
          <w:szCs w:val="25"/>
        </w:rPr>
      </w:pPr>
      <w:r w:rsidRPr="00E06855">
        <w:rPr>
          <w:rFonts w:ascii="Times New Roman" w:hAnsi="Times New Roman" w:cs="Times New Roman"/>
          <w:sz w:val="25"/>
          <w:szCs w:val="25"/>
        </w:rPr>
        <w:t>Ely simply replaced a series of substantive morality judgments with</w:t>
      </w:r>
      <w:r w:rsidR="00852AF8" w:rsidRPr="00E06855">
        <w:rPr>
          <w:rFonts w:ascii="Times New Roman" w:hAnsi="Times New Roman" w:cs="Times New Roman"/>
          <w:sz w:val="25"/>
          <w:szCs w:val="25"/>
        </w:rPr>
        <w:t xml:space="preserve"> his</w:t>
      </w:r>
      <w:r w:rsidRPr="00E06855">
        <w:rPr>
          <w:rFonts w:ascii="Times New Roman" w:hAnsi="Times New Roman" w:cs="Times New Roman"/>
          <w:sz w:val="25"/>
          <w:szCs w:val="25"/>
        </w:rPr>
        <w:t xml:space="preserve"> particular</w:t>
      </w:r>
      <w:r w:rsidR="00F96ADB" w:rsidRPr="00E06855">
        <w:rPr>
          <w:rFonts w:ascii="Times New Roman" w:hAnsi="Times New Roman" w:cs="Times New Roman"/>
          <w:sz w:val="25"/>
          <w:szCs w:val="25"/>
        </w:rPr>
        <w:t xml:space="preserve"> moral</w:t>
      </w:r>
      <w:r w:rsidRPr="00E06855">
        <w:rPr>
          <w:rFonts w:ascii="Times New Roman" w:hAnsi="Times New Roman" w:cs="Times New Roman"/>
          <w:sz w:val="25"/>
          <w:szCs w:val="25"/>
        </w:rPr>
        <w:t xml:space="preserve"> commitment to “an egalitarian democracy”.</w:t>
      </w:r>
      <w:r w:rsidRPr="00E06855">
        <w:rPr>
          <w:rStyle w:val="FootnoteReference"/>
          <w:rFonts w:ascii="Times New Roman" w:hAnsi="Times New Roman" w:cs="Times New Roman"/>
          <w:sz w:val="25"/>
          <w:szCs w:val="25"/>
        </w:rPr>
        <w:footnoteReference w:id="40"/>
      </w:r>
      <w:r w:rsidR="00805E27" w:rsidRPr="00E06855">
        <w:rPr>
          <w:rFonts w:ascii="Times New Roman" w:hAnsi="Times New Roman" w:cs="Times New Roman"/>
          <w:sz w:val="25"/>
          <w:szCs w:val="25"/>
        </w:rPr>
        <w:t xml:space="preserve"> </w:t>
      </w:r>
      <w:r w:rsidRPr="00E06855">
        <w:rPr>
          <w:rFonts w:ascii="Times New Roman" w:hAnsi="Times New Roman" w:cs="Times New Roman"/>
          <w:sz w:val="25"/>
          <w:szCs w:val="25"/>
        </w:rPr>
        <w:t>This point can also be taken further to argue that process review may have troubling implications for legitimacy. Owing to the malleability of procedural language, judges may be drawn to use it tactically in order to make decisions appear more legitimate. This</w:t>
      </w:r>
      <w:r w:rsidR="004A0D38" w:rsidRPr="00E06855">
        <w:rPr>
          <w:rFonts w:ascii="Times New Roman" w:hAnsi="Times New Roman" w:cs="Times New Roman"/>
          <w:sz w:val="25"/>
          <w:szCs w:val="25"/>
        </w:rPr>
        <w:t xml:space="preserve"> may</w:t>
      </w:r>
      <w:r w:rsidRPr="00E06855">
        <w:rPr>
          <w:rFonts w:ascii="Times New Roman" w:hAnsi="Times New Roman" w:cs="Times New Roman"/>
          <w:sz w:val="25"/>
          <w:szCs w:val="25"/>
        </w:rPr>
        <w:t xml:space="preserve"> lead to a situation where process review actually masks the fact that </w:t>
      </w:r>
      <w:r w:rsidR="00983E40" w:rsidRPr="00E06855">
        <w:rPr>
          <w:rFonts w:ascii="Times New Roman" w:hAnsi="Times New Roman" w:cs="Times New Roman"/>
          <w:sz w:val="25"/>
          <w:szCs w:val="25"/>
        </w:rPr>
        <w:t>c</w:t>
      </w:r>
      <w:r w:rsidRPr="00E06855">
        <w:rPr>
          <w:rFonts w:ascii="Times New Roman" w:hAnsi="Times New Roman" w:cs="Times New Roman"/>
          <w:sz w:val="25"/>
          <w:szCs w:val="25"/>
        </w:rPr>
        <w:t>ourts are undertaking value judgments. As Tribe argues</w:t>
      </w:r>
      <w:r w:rsidR="0067190D" w:rsidRPr="00E06855">
        <w:rPr>
          <w:rFonts w:ascii="Times New Roman" w:hAnsi="Times New Roman" w:cs="Times New Roman"/>
          <w:sz w:val="25"/>
          <w:szCs w:val="25"/>
        </w:rPr>
        <w:t>,</w:t>
      </w:r>
      <w:r w:rsidRPr="00E06855">
        <w:rPr>
          <w:rFonts w:ascii="Times New Roman" w:hAnsi="Times New Roman" w:cs="Times New Roman"/>
          <w:sz w:val="25"/>
          <w:szCs w:val="25"/>
        </w:rPr>
        <w:t xml:space="preserve"> </w:t>
      </w:r>
      <w:r w:rsidR="0067190D" w:rsidRPr="00E06855">
        <w:rPr>
          <w:rFonts w:ascii="Times New Roman" w:hAnsi="Times New Roman" w:cs="Times New Roman"/>
          <w:sz w:val="25"/>
          <w:szCs w:val="25"/>
        </w:rPr>
        <w:t>t</w:t>
      </w:r>
      <w:r w:rsidRPr="00E06855">
        <w:rPr>
          <w:rFonts w:ascii="Times New Roman" w:hAnsi="Times New Roman" w:cs="Times New Roman"/>
          <w:sz w:val="25"/>
          <w:szCs w:val="25"/>
        </w:rPr>
        <w:t>he process vision is attractive</w:t>
      </w:r>
      <w:r w:rsidR="00976355" w:rsidRPr="00E06855">
        <w:rPr>
          <w:rFonts w:ascii="Times New Roman" w:hAnsi="Times New Roman" w:cs="Times New Roman"/>
          <w:sz w:val="25"/>
          <w:szCs w:val="25"/>
        </w:rPr>
        <w:t xml:space="preserve"> to judges</w:t>
      </w:r>
      <w:r w:rsidRPr="00E06855">
        <w:rPr>
          <w:rFonts w:ascii="Times New Roman" w:hAnsi="Times New Roman" w:cs="Times New Roman"/>
          <w:sz w:val="25"/>
          <w:szCs w:val="25"/>
        </w:rPr>
        <w:t xml:space="preserve"> because it “permits courts to perceive and portray themselves as servants of democracy even as they strike down the actions of supposedly democratic governments”.</w:t>
      </w:r>
      <w:r w:rsidRPr="00E06855">
        <w:rPr>
          <w:rStyle w:val="FootnoteReference"/>
          <w:rFonts w:ascii="Times New Roman" w:hAnsi="Times New Roman" w:cs="Times New Roman"/>
          <w:sz w:val="25"/>
          <w:szCs w:val="25"/>
        </w:rPr>
        <w:footnoteReference w:id="41"/>
      </w:r>
      <w:r w:rsidRPr="00E06855">
        <w:rPr>
          <w:rFonts w:ascii="Times New Roman" w:hAnsi="Times New Roman" w:cs="Times New Roman"/>
          <w:sz w:val="25"/>
          <w:szCs w:val="25"/>
        </w:rPr>
        <w:t xml:space="preserve"> As such,</w:t>
      </w:r>
      <w:r w:rsidR="00197965" w:rsidRPr="00E06855">
        <w:rPr>
          <w:rFonts w:ascii="Times New Roman" w:hAnsi="Times New Roman" w:cs="Times New Roman"/>
          <w:sz w:val="25"/>
          <w:szCs w:val="25"/>
        </w:rPr>
        <w:t xml:space="preserve"> it might be expected that the “care and humility”</w:t>
      </w:r>
      <w:r w:rsidR="000A7695" w:rsidRPr="00E06855">
        <w:rPr>
          <w:rFonts w:ascii="Times New Roman" w:hAnsi="Times New Roman" w:cs="Times New Roman"/>
          <w:sz w:val="25"/>
          <w:szCs w:val="25"/>
        </w:rPr>
        <w:t xml:space="preserve"> </w:t>
      </w:r>
      <w:r w:rsidR="00212768" w:rsidRPr="00E06855">
        <w:rPr>
          <w:rFonts w:ascii="Times New Roman" w:hAnsi="Times New Roman" w:cs="Times New Roman"/>
          <w:sz w:val="25"/>
          <w:szCs w:val="25"/>
        </w:rPr>
        <w:t xml:space="preserve">of judges may be undermined if they </w:t>
      </w:r>
      <w:r w:rsidR="00976EA4" w:rsidRPr="00E06855">
        <w:rPr>
          <w:rFonts w:ascii="Times New Roman" w:hAnsi="Times New Roman" w:cs="Times New Roman"/>
          <w:sz w:val="25"/>
          <w:szCs w:val="25"/>
        </w:rPr>
        <w:t>are</w:t>
      </w:r>
      <w:r w:rsidR="00A60D15" w:rsidRPr="00E06855">
        <w:rPr>
          <w:rFonts w:ascii="Times New Roman" w:hAnsi="Times New Roman" w:cs="Times New Roman"/>
          <w:sz w:val="25"/>
          <w:szCs w:val="25"/>
        </w:rPr>
        <w:t xml:space="preserve"> “</w:t>
      </w:r>
      <w:r w:rsidRPr="00E06855">
        <w:rPr>
          <w:rFonts w:ascii="Times New Roman" w:hAnsi="Times New Roman" w:cs="Times New Roman"/>
          <w:sz w:val="25"/>
          <w:szCs w:val="25"/>
        </w:rPr>
        <w:t>persuaded that much judicial activism is simply a corollary of democracy”</w:t>
      </w:r>
      <w:r w:rsidR="008E1783" w:rsidRPr="00E06855">
        <w:rPr>
          <w:rFonts w:ascii="Times New Roman" w:hAnsi="Times New Roman" w:cs="Times New Roman"/>
          <w:sz w:val="25"/>
          <w:szCs w:val="25"/>
        </w:rPr>
        <w:t>.</w:t>
      </w:r>
      <w:r w:rsidRPr="00E06855">
        <w:rPr>
          <w:rStyle w:val="FootnoteReference"/>
          <w:rFonts w:ascii="Times New Roman" w:hAnsi="Times New Roman" w:cs="Times New Roman"/>
          <w:sz w:val="25"/>
          <w:szCs w:val="25"/>
        </w:rPr>
        <w:footnoteReference w:id="42"/>
      </w:r>
    </w:p>
    <w:p w14:paraId="01ADEC5C" w14:textId="3526CFC8" w:rsidR="00BC605F" w:rsidRPr="00E06855" w:rsidRDefault="00BC605F" w:rsidP="00BC605F">
      <w:pPr>
        <w:rPr>
          <w:rFonts w:ascii="Times New Roman" w:hAnsi="Times New Roman" w:cs="Times New Roman"/>
          <w:sz w:val="25"/>
          <w:szCs w:val="25"/>
        </w:rPr>
      </w:pPr>
      <w:r w:rsidRPr="00E06855">
        <w:rPr>
          <w:rFonts w:ascii="Times New Roman" w:hAnsi="Times New Roman" w:cs="Times New Roman"/>
          <w:sz w:val="25"/>
          <w:szCs w:val="25"/>
        </w:rPr>
        <w:t>Thus, according to th</w:t>
      </w:r>
      <w:r w:rsidR="007C2765" w:rsidRPr="00E06855">
        <w:rPr>
          <w:rFonts w:ascii="Times New Roman" w:hAnsi="Times New Roman" w:cs="Times New Roman"/>
          <w:sz w:val="25"/>
          <w:szCs w:val="25"/>
        </w:rPr>
        <w:t>is</w:t>
      </w:r>
      <w:r w:rsidRPr="00E06855">
        <w:rPr>
          <w:rFonts w:ascii="Times New Roman" w:hAnsi="Times New Roman" w:cs="Times New Roman"/>
          <w:sz w:val="25"/>
          <w:szCs w:val="25"/>
        </w:rPr>
        <w:t xml:space="preserve"> critique, Ely’s theory fails on its own terms, mainly owing to </w:t>
      </w:r>
      <w:r w:rsidR="00FF7238" w:rsidRPr="00E06855">
        <w:rPr>
          <w:rFonts w:ascii="Times New Roman" w:hAnsi="Times New Roman" w:cs="Times New Roman"/>
          <w:sz w:val="25"/>
          <w:szCs w:val="25"/>
        </w:rPr>
        <w:t>its</w:t>
      </w:r>
      <w:r w:rsidRPr="00E06855">
        <w:rPr>
          <w:rFonts w:ascii="Times New Roman" w:hAnsi="Times New Roman" w:cs="Times New Roman"/>
          <w:sz w:val="25"/>
          <w:szCs w:val="25"/>
        </w:rPr>
        <w:t xml:space="preserve"> over-reliance on the process-substance distinction. For </w:t>
      </w:r>
      <w:r w:rsidR="00AE65D3" w:rsidRPr="00E06855">
        <w:rPr>
          <w:rFonts w:ascii="Times New Roman" w:hAnsi="Times New Roman" w:cs="Times New Roman"/>
          <w:sz w:val="25"/>
          <w:szCs w:val="25"/>
        </w:rPr>
        <w:t>the purpose of</w:t>
      </w:r>
      <w:r w:rsidRPr="00E06855">
        <w:rPr>
          <w:rFonts w:ascii="Times New Roman" w:hAnsi="Times New Roman" w:cs="Times New Roman"/>
          <w:sz w:val="25"/>
          <w:szCs w:val="25"/>
        </w:rPr>
        <w:t xml:space="preserve"> analysing process </w:t>
      </w:r>
      <w:r w:rsidR="008E1783" w:rsidRPr="00E06855">
        <w:rPr>
          <w:rFonts w:ascii="Times New Roman" w:hAnsi="Times New Roman" w:cs="Times New Roman"/>
          <w:sz w:val="25"/>
          <w:szCs w:val="25"/>
        </w:rPr>
        <w:t xml:space="preserve">review </w:t>
      </w:r>
      <w:r w:rsidRPr="00E06855">
        <w:rPr>
          <w:rFonts w:ascii="Times New Roman" w:hAnsi="Times New Roman" w:cs="Times New Roman"/>
          <w:sz w:val="25"/>
          <w:szCs w:val="25"/>
        </w:rPr>
        <w:t xml:space="preserve">advocacy in the Union, this brings two valuable insights; </w:t>
      </w:r>
      <w:proofErr w:type="spellStart"/>
      <w:r w:rsidRPr="00E06855">
        <w:rPr>
          <w:rFonts w:ascii="Times New Roman" w:hAnsi="Times New Roman" w:cs="Times New Roman"/>
          <w:sz w:val="25"/>
          <w:szCs w:val="25"/>
        </w:rPr>
        <w:t>i</w:t>
      </w:r>
      <w:proofErr w:type="spellEnd"/>
      <w:r w:rsidRPr="00E06855">
        <w:rPr>
          <w:rFonts w:ascii="Times New Roman" w:hAnsi="Times New Roman" w:cs="Times New Roman"/>
          <w:sz w:val="25"/>
          <w:szCs w:val="25"/>
        </w:rPr>
        <w:t xml:space="preserve">) process review may not lead to the </w:t>
      </w:r>
      <w:r w:rsidRPr="00E06855">
        <w:rPr>
          <w:rFonts w:ascii="Times New Roman" w:hAnsi="Times New Roman" w:cs="Times New Roman"/>
          <w:i/>
          <w:iCs/>
          <w:sz w:val="25"/>
          <w:szCs w:val="25"/>
        </w:rPr>
        <w:t xml:space="preserve">outcomes </w:t>
      </w:r>
      <w:r w:rsidRPr="00E06855">
        <w:rPr>
          <w:rFonts w:ascii="Times New Roman" w:hAnsi="Times New Roman" w:cs="Times New Roman"/>
          <w:sz w:val="25"/>
          <w:szCs w:val="25"/>
        </w:rPr>
        <w:t xml:space="preserve">that its advocates desire, ii) process review may not live up to the </w:t>
      </w:r>
      <w:r w:rsidRPr="00E06855">
        <w:rPr>
          <w:rFonts w:ascii="Times New Roman" w:hAnsi="Times New Roman" w:cs="Times New Roman"/>
          <w:i/>
          <w:iCs/>
          <w:sz w:val="25"/>
          <w:szCs w:val="25"/>
        </w:rPr>
        <w:t>legitimacy</w:t>
      </w:r>
      <w:r w:rsidRPr="00E06855">
        <w:rPr>
          <w:rFonts w:ascii="Times New Roman" w:hAnsi="Times New Roman" w:cs="Times New Roman"/>
          <w:sz w:val="25"/>
          <w:szCs w:val="25"/>
        </w:rPr>
        <w:t xml:space="preserve"> claims made for it.</w:t>
      </w:r>
    </w:p>
    <w:p w14:paraId="0851329B" w14:textId="146065C3" w:rsidR="00BC605F" w:rsidRPr="00E06855" w:rsidRDefault="00BC605F" w:rsidP="00BC605F">
      <w:pPr>
        <w:rPr>
          <w:rFonts w:ascii="Times New Roman" w:hAnsi="Times New Roman" w:cs="Times New Roman"/>
          <w:b/>
          <w:bCs/>
          <w:sz w:val="25"/>
          <w:szCs w:val="25"/>
        </w:rPr>
      </w:pPr>
      <w:r w:rsidRPr="00E06855">
        <w:rPr>
          <w:rFonts w:ascii="Times New Roman" w:hAnsi="Times New Roman" w:cs="Times New Roman"/>
          <w:sz w:val="25"/>
          <w:szCs w:val="25"/>
        </w:rPr>
        <w:t>It is worth bearing mind</w:t>
      </w:r>
      <w:r w:rsidR="00977B25" w:rsidRPr="00E06855">
        <w:rPr>
          <w:rFonts w:ascii="Times New Roman" w:hAnsi="Times New Roman" w:cs="Times New Roman"/>
          <w:sz w:val="25"/>
          <w:szCs w:val="25"/>
        </w:rPr>
        <w:t>,</w:t>
      </w:r>
      <w:r w:rsidRPr="00E06855">
        <w:rPr>
          <w:rFonts w:ascii="Times New Roman" w:hAnsi="Times New Roman" w:cs="Times New Roman"/>
          <w:sz w:val="25"/>
          <w:szCs w:val="25"/>
        </w:rPr>
        <w:t xml:space="preserve"> of course</w:t>
      </w:r>
      <w:r w:rsidR="00977B25" w:rsidRPr="00E06855">
        <w:rPr>
          <w:rFonts w:ascii="Times New Roman" w:hAnsi="Times New Roman" w:cs="Times New Roman"/>
          <w:sz w:val="25"/>
          <w:szCs w:val="25"/>
        </w:rPr>
        <w:t>,</w:t>
      </w:r>
      <w:r w:rsidRPr="00E06855">
        <w:rPr>
          <w:rFonts w:ascii="Times New Roman" w:hAnsi="Times New Roman" w:cs="Times New Roman"/>
          <w:sz w:val="25"/>
          <w:szCs w:val="25"/>
        </w:rPr>
        <w:t xml:space="preserve"> that the Union offers a very different context to the domestic constitution of the United States. Despite this, Ely’s theory has had a significant influence on the advocacy of process review in the Union. Next, we will consider the contexts for which process review has been proposed in the Union, noting the different constitutional dynamics to </w:t>
      </w:r>
      <w:r w:rsidR="00F434CD" w:rsidRPr="00E06855">
        <w:rPr>
          <w:rFonts w:ascii="Times New Roman" w:hAnsi="Times New Roman" w:cs="Times New Roman"/>
          <w:sz w:val="25"/>
          <w:szCs w:val="25"/>
        </w:rPr>
        <w:t>the context of Ely’s theory</w:t>
      </w:r>
      <w:r w:rsidR="00505C4B" w:rsidRPr="00E06855">
        <w:rPr>
          <w:rFonts w:ascii="Times New Roman" w:hAnsi="Times New Roman" w:cs="Times New Roman"/>
          <w:sz w:val="25"/>
          <w:szCs w:val="25"/>
        </w:rPr>
        <w:t xml:space="preserve"> and the expectations of process review advocates</w:t>
      </w:r>
      <w:r w:rsidR="00F10784" w:rsidRPr="00E06855">
        <w:rPr>
          <w:rFonts w:ascii="Times New Roman" w:hAnsi="Times New Roman" w:cs="Times New Roman"/>
          <w:sz w:val="25"/>
          <w:szCs w:val="25"/>
        </w:rPr>
        <w:t>.</w:t>
      </w:r>
    </w:p>
    <w:p w14:paraId="2329233B" w14:textId="77777777" w:rsidR="00A5332D" w:rsidRPr="00E06855" w:rsidRDefault="00A5332D" w:rsidP="00D853B3">
      <w:pPr>
        <w:pStyle w:val="Heading1"/>
        <w:rPr>
          <w:rFonts w:ascii="Times New Roman" w:hAnsi="Times New Roman" w:cs="Times New Roman"/>
        </w:rPr>
      </w:pPr>
      <w:r w:rsidRPr="00E06855">
        <w:rPr>
          <w:rFonts w:ascii="Times New Roman" w:hAnsi="Times New Roman" w:cs="Times New Roman"/>
        </w:rPr>
        <w:t>Process Review Advocacy in the European Union</w:t>
      </w:r>
    </w:p>
    <w:p w14:paraId="7C395F6D" w14:textId="03327ACB" w:rsidR="00A5332D" w:rsidRPr="00E06855" w:rsidRDefault="00E60D3A" w:rsidP="0048557F">
      <w:pPr>
        <w:rPr>
          <w:rFonts w:ascii="Times New Roman" w:hAnsi="Times New Roman" w:cs="Times New Roman"/>
          <w:sz w:val="25"/>
          <w:szCs w:val="25"/>
        </w:rPr>
      </w:pPr>
      <w:r w:rsidRPr="00E06855">
        <w:rPr>
          <w:rFonts w:ascii="Times New Roman" w:hAnsi="Times New Roman" w:cs="Times New Roman"/>
          <w:sz w:val="25"/>
          <w:szCs w:val="25"/>
        </w:rPr>
        <w:lastRenderedPageBreak/>
        <w:t>Under the influence of Ely’s theory</w:t>
      </w:r>
      <w:bookmarkStart w:id="4" w:name="_Ref14696223"/>
      <w:r w:rsidRPr="00E06855">
        <w:rPr>
          <w:rFonts w:ascii="Times New Roman" w:hAnsi="Times New Roman" w:cs="Times New Roman"/>
          <w:sz w:val="25"/>
          <w:szCs w:val="25"/>
        </w:rPr>
        <w:t>,</w:t>
      </w:r>
      <w:r w:rsidR="008050B5" w:rsidRPr="00E06855">
        <w:rPr>
          <w:rStyle w:val="FootnoteReference"/>
          <w:rFonts w:ascii="Times New Roman" w:hAnsi="Times New Roman" w:cs="Times New Roman"/>
          <w:sz w:val="25"/>
          <w:szCs w:val="25"/>
        </w:rPr>
        <w:footnoteReference w:id="43"/>
      </w:r>
      <w:bookmarkEnd w:id="4"/>
      <w:r w:rsidR="00A5332D" w:rsidRPr="00E06855">
        <w:rPr>
          <w:rFonts w:ascii="Times New Roman" w:hAnsi="Times New Roman" w:cs="Times New Roman"/>
          <w:sz w:val="25"/>
          <w:szCs w:val="25"/>
        </w:rPr>
        <w:t xml:space="preserve"> and in response to certain developments in the </w:t>
      </w:r>
      <w:r w:rsidR="00B24806" w:rsidRPr="00E06855">
        <w:rPr>
          <w:rFonts w:ascii="Times New Roman" w:hAnsi="Times New Roman" w:cs="Times New Roman"/>
          <w:sz w:val="25"/>
          <w:szCs w:val="25"/>
        </w:rPr>
        <w:t>Union</w:t>
      </w:r>
      <w:r w:rsidR="00A5332D" w:rsidRPr="00E06855">
        <w:rPr>
          <w:rFonts w:ascii="Times New Roman" w:hAnsi="Times New Roman" w:cs="Times New Roman"/>
          <w:sz w:val="25"/>
          <w:szCs w:val="25"/>
        </w:rPr>
        <w:t xml:space="preserve">, process review advocacy has emerged in two contexts of EU law. The first is the review of Union legislation for compliance with the principles of proportionality and subsidiarity. The second is the review of Member State measures for the compliance with the Treaty’s free movement prohibitions, with a focus on the proportionality justification of </w:t>
      </w:r>
      <w:r w:rsidR="00A5332D" w:rsidRPr="00E06855">
        <w:rPr>
          <w:rFonts w:ascii="Times New Roman" w:hAnsi="Times New Roman" w:cs="Times New Roman"/>
          <w:i/>
          <w:iCs/>
          <w:sz w:val="25"/>
          <w:szCs w:val="25"/>
        </w:rPr>
        <w:t>prima facie</w:t>
      </w:r>
      <w:r w:rsidR="00A5332D" w:rsidRPr="00E06855">
        <w:rPr>
          <w:rFonts w:ascii="Times New Roman" w:hAnsi="Times New Roman" w:cs="Times New Roman"/>
          <w:sz w:val="25"/>
          <w:szCs w:val="25"/>
        </w:rPr>
        <w:t xml:space="preserve"> breaches.</w:t>
      </w:r>
      <w:r w:rsidR="00577961">
        <w:rPr>
          <w:rFonts w:ascii="Times New Roman" w:hAnsi="Times New Roman" w:cs="Times New Roman"/>
          <w:sz w:val="25"/>
          <w:szCs w:val="25"/>
        </w:rPr>
        <w:t xml:space="preserve"> </w:t>
      </w:r>
      <w:r w:rsidR="002B35C4">
        <w:rPr>
          <w:rFonts w:ascii="Times New Roman" w:hAnsi="Times New Roman" w:cs="Times New Roman"/>
          <w:sz w:val="25"/>
          <w:szCs w:val="25"/>
        </w:rPr>
        <w:t xml:space="preserve">These two contexts are explored because they </w:t>
      </w:r>
      <w:r w:rsidR="00B45761">
        <w:rPr>
          <w:rFonts w:ascii="Times New Roman" w:hAnsi="Times New Roman" w:cs="Times New Roman"/>
          <w:sz w:val="25"/>
          <w:szCs w:val="25"/>
        </w:rPr>
        <w:t>are those in which process review advocacy is strongest in Union academic literature</w:t>
      </w:r>
      <w:r w:rsidR="00083C8A">
        <w:rPr>
          <w:rFonts w:ascii="Times New Roman" w:hAnsi="Times New Roman" w:cs="Times New Roman"/>
          <w:sz w:val="25"/>
          <w:szCs w:val="25"/>
        </w:rPr>
        <w:t>.</w:t>
      </w:r>
      <w:r w:rsidR="00083C8A">
        <w:rPr>
          <w:rStyle w:val="FootnoteReference"/>
          <w:rFonts w:ascii="Times New Roman" w:hAnsi="Times New Roman" w:cs="Times New Roman"/>
          <w:sz w:val="25"/>
          <w:szCs w:val="25"/>
        </w:rPr>
        <w:footnoteReference w:id="44"/>
      </w:r>
    </w:p>
    <w:p w14:paraId="3E0E4F44" w14:textId="548206B1" w:rsidR="006B166B" w:rsidRPr="00E06855" w:rsidRDefault="006B166B" w:rsidP="00C13D29">
      <w:pPr>
        <w:rPr>
          <w:rFonts w:ascii="Times New Roman" w:hAnsi="Times New Roman" w:cs="Times New Roman"/>
          <w:sz w:val="25"/>
          <w:szCs w:val="25"/>
        </w:rPr>
      </w:pPr>
      <w:r w:rsidRPr="00E06855">
        <w:rPr>
          <w:rFonts w:ascii="Times New Roman" w:hAnsi="Times New Roman" w:cs="Times New Roman"/>
          <w:sz w:val="25"/>
          <w:szCs w:val="25"/>
        </w:rPr>
        <w:t>As will be seen</w:t>
      </w:r>
      <w:r w:rsidR="00195659" w:rsidRPr="00E06855">
        <w:rPr>
          <w:rFonts w:ascii="Times New Roman" w:hAnsi="Times New Roman" w:cs="Times New Roman"/>
          <w:sz w:val="25"/>
          <w:szCs w:val="25"/>
        </w:rPr>
        <w:t xml:space="preserve">, </w:t>
      </w:r>
      <w:r w:rsidR="00B5059D" w:rsidRPr="00E06855">
        <w:rPr>
          <w:rFonts w:ascii="Times New Roman" w:hAnsi="Times New Roman" w:cs="Times New Roman"/>
          <w:sz w:val="25"/>
          <w:szCs w:val="25"/>
        </w:rPr>
        <w:t xml:space="preserve">both contexts </w:t>
      </w:r>
      <w:r w:rsidR="006B2142">
        <w:rPr>
          <w:rFonts w:ascii="Times New Roman" w:hAnsi="Times New Roman" w:cs="Times New Roman"/>
          <w:sz w:val="25"/>
          <w:szCs w:val="25"/>
        </w:rPr>
        <w:t>perceive</w:t>
      </w:r>
      <w:r w:rsidR="00072912" w:rsidRPr="00E06855">
        <w:rPr>
          <w:rFonts w:ascii="Times New Roman" w:hAnsi="Times New Roman" w:cs="Times New Roman"/>
          <w:sz w:val="25"/>
          <w:szCs w:val="25"/>
        </w:rPr>
        <w:t xml:space="preserve"> a problem with the Court’s </w:t>
      </w:r>
      <w:r w:rsidR="006B2142">
        <w:rPr>
          <w:rFonts w:ascii="Times New Roman" w:hAnsi="Times New Roman" w:cs="Times New Roman"/>
          <w:sz w:val="25"/>
          <w:szCs w:val="25"/>
        </w:rPr>
        <w:t xml:space="preserve">current </w:t>
      </w:r>
      <w:r w:rsidR="008B2F4F">
        <w:rPr>
          <w:rFonts w:ascii="Times New Roman" w:hAnsi="Times New Roman" w:cs="Times New Roman"/>
          <w:sz w:val="25"/>
          <w:szCs w:val="25"/>
        </w:rPr>
        <w:t>actions and</w:t>
      </w:r>
      <w:r w:rsidR="00902500">
        <w:rPr>
          <w:rFonts w:ascii="Times New Roman" w:hAnsi="Times New Roman" w:cs="Times New Roman"/>
          <w:sz w:val="25"/>
          <w:szCs w:val="25"/>
        </w:rPr>
        <w:t xml:space="preserve"> attempt to use process review</w:t>
      </w:r>
      <w:r w:rsidR="001952B9">
        <w:rPr>
          <w:rFonts w:ascii="Times New Roman" w:hAnsi="Times New Roman" w:cs="Times New Roman"/>
          <w:sz w:val="25"/>
          <w:szCs w:val="25"/>
        </w:rPr>
        <w:t xml:space="preserve"> to shift the standard of review</w:t>
      </w:r>
      <w:r w:rsidR="00C13D29">
        <w:rPr>
          <w:rFonts w:ascii="Times New Roman" w:hAnsi="Times New Roman" w:cs="Times New Roman"/>
          <w:sz w:val="25"/>
          <w:szCs w:val="25"/>
        </w:rPr>
        <w:t>. However, each seeks</w:t>
      </w:r>
      <w:r w:rsidR="00682626" w:rsidRPr="00E06855">
        <w:rPr>
          <w:rFonts w:ascii="Times New Roman" w:hAnsi="Times New Roman" w:cs="Times New Roman"/>
          <w:sz w:val="25"/>
          <w:szCs w:val="25"/>
        </w:rPr>
        <w:t xml:space="preserve"> to do so in opposite directions</w:t>
      </w:r>
      <w:r w:rsidR="0081255A">
        <w:rPr>
          <w:rFonts w:ascii="Times New Roman" w:hAnsi="Times New Roman" w:cs="Times New Roman"/>
          <w:sz w:val="25"/>
          <w:szCs w:val="25"/>
        </w:rPr>
        <w:t xml:space="preserve">, </w:t>
      </w:r>
      <w:r w:rsidR="009545A3" w:rsidRPr="00E06855">
        <w:rPr>
          <w:rFonts w:ascii="Times New Roman" w:hAnsi="Times New Roman" w:cs="Times New Roman"/>
          <w:sz w:val="25"/>
          <w:szCs w:val="25"/>
        </w:rPr>
        <w:t xml:space="preserve">an early signal that process review </w:t>
      </w:r>
      <w:r w:rsidR="00BE3F7E" w:rsidRPr="00E06855">
        <w:rPr>
          <w:rFonts w:ascii="Times New Roman" w:hAnsi="Times New Roman" w:cs="Times New Roman"/>
          <w:sz w:val="25"/>
          <w:szCs w:val="25"/>
        </w:rPr>
        <w:t xml:space="preserve">is malleable and can be used in </w:t>
      </w:r>
      <w:r w:rsidR="00037340" w:rsidRPr="00E06855">
        <w:rPr>
          <w:rFonts w:ascii="Times New Roman" w:hAnsi="Times New Roman" w:cs="Times New Roman"/>
          <w:sz w:val="25"/>
          <w:szCs w:val="25"/>
        </w:rPr>
        <w:t>different ways and for different purposes.</w:t>
      </w:r>
    </w:p>
    <w:p w14:paraId="50FF850D" w14:textId="02567553" w:rsidR="00182B9A" w:rsidRPr="00E06855" w:rsidRDefault="004C6B48" w:rsidP="00AB00AD">
      <w:pPr>
        <w:pStyle w:val="Heading2"/>
        <w:ind w:left="360"/>
        <w:rPr>
          <w:rFonts w:ascii="Times New Roman" w:hAnsi="Times New Roman" w:cs="Times New Roman"/>
        </w:rPr>
      </w:pPr>
      <w:r w:rsidRPr="00E06855">
        <w:rPr>
          <w:rFonts w:ascii="Times New Roman" w:hAnsi="Times New Roman" w:cs="Times New Roman"/>
        </w:rPr>
        <w:t xml:space="preserve">Court of Justice Review of </w:t>
      </w:r>
      <w:r w:rsidR="008001EE" w:rsidRPr="00E06855">
        <w:rPr>
          <w:rFonts w:ascii="Times New Roman" w:hAnsi="Times New Roman" w:cs="Times New Roman"/>
        </w:rPr>
        <w:t xml:space="preserve">Union Legislation </w:t>
      </w:r>
      <w:r w:rsidR="00107A04">
        <w:rPr>
          <w:rFonts w:ascii="Times New Roman" w:hAnsi="Times New Roman" w:cs="Times New Roman"/>
        </w:rPr>
        <w:t>f</w:t>
      </w:r>
      <w:r w:rsidR="00076A1B" w:rsidRPr="00E06855">
        <w:rPr>
          <w:rFonts w:ascii="Times New Roman" w:hAnsi="Times New Roman" w:cs="Times New Roman"/>
        </w:rPr>
        <w:t>or</w:t>
      </w:r>
      <w:r w:rsidR="008001EE" w:rsidRPr="00E06855">
        <w:rPr>
          <w:rFonts w:ascii="Times New Roman" w:hAnsi="Times New Roman" w:cs="Times New Roman"/>
        </w:rPr>
        <w:t xml:space="preserve"> </w:t>
      </w:r>
      <w:r w:rsidR="000B3623" w:rsidRPr="00E06855">
        <w:rPr>
          <w:rFonts w:ascii="Times New Roman" w:hAnsi="Times New Roman" w:cs="Times New Roman"/>
        </w:rPr>
        <w:t xml:space="preserve">Compliance </w:t>
      </w:r>
      <w:r w:rsidR="00B05B59">
        <w:rPr>
          <w:rFonts w:ascii="Times New Roman" w:hAnsi="Times New Roman" w:cs="Times New Roman"/>
        </w:rPr>
        <w:t>w</w:t>
      </w:r>
      <w:r w:rsidR="000B3623" w:rsidRPr="00E06855">
        <w:rPr>
          <w:rFonts w:ascii="Times New Roman" w:hAnsi="Times New Roman" w:cs="Times New Roman"/>
        </w:rPr>
        <w:t>ith</w:t>
      </w:r>
      <w:r w:rsidR="008001EE" w:rsidRPr="00E06855">
        <w:rPr>
          <w:rFonts w:ascii="Times New Roman" w:hAnsi="Times New Roman" w:cs="Times New Roman"/>
        </w:rPr>
        <w:t xml:space="preserve"> Proportionality and Subsidiarity</w:t>
      </w:r>
    </w:p>
    <w:p w14:paraId="5147FD0A" w14:textId="495CFEC3" w:rsidR="00A5332D" w:rsidRPr="00E06855" w:rsidRDefault="0037224E" w:rsidP="00E115B3">
      <w:pPr>
        <w:rPr>
          <w:rFonts w:ascii="Times New Roman" w:hAnsi="Times New Roman" w:cs="Times New Roman"/>
          <w:sz w:val="25"/>
          <w:szCs w:val="25"/>
        </w:rPr>
      </w:pPr>
      <w:r w:rsidRPr="00E06855">
        <w:rPr>
          <w:rFonts w:ascii="Times New Roman" w:hAnsi="Times New Roman" w:cs="Times New Roman"/>
          <w:sz w:val="25"/>
          <w:szCs w:val="25"/>
        </w:rPr>
        <w:t>In analysing our first context, it is necessary to consider the different constitutional dynamics at play</w:t>
      </w:r>
      <w:r w:rsidR="009A760A" w:rsidRPr="00E06855">
        <w:rPr>
          <w:rFonts w:ascii="Times New Roman" w:hAnsi="Times New Roman" w:cs="Times New Roman"/>
          <w:sz w:val="25"/>
          <w:szCs w:val="25"/>
        </w:rPr>
        <w:t xml:space="preserve">. </w:t>
      </w:r>
      <w:r w:rsidR="00A5332D" w:rsidRPr="00E06855">
        <w:rPr>
          <w:rFonts w:ascii="Times New Roman" w:hAnsi="Times New Roman" w:cs="Times New Roman"/>
          <w:sz w:val="25"/>
          <w:szCs w:val="25"/>
        </w:rPr>
        <w:t xml:space="preserve">Process review of the Union legislature has some clear distinctions from the context </w:t>
      </w:r>
      <w:r w:rsidR="00D25BA3" w:rsidRPr="00E06855">
        <w:rPr>
          <w:rFonts w:ascii="Times New Roman" w:hAnsi="Times New Roman" w:cs="Times New Roman"/>
          <w:sz w:val="25"/>
          <w:szCs w:val="25"/>
        </w:rPr>
        <w:t>of</w:t>
      </w:r>
      <w:r w:rsidR="00A5332D" w:rsidRPr="00E06855">
        <w:rPr>
          <w:rFonts w:ascii="Times New Roman" w:hAnsi="Times New Roman" w:cs="Times New Roman"/>
          <w:sz w:val="25"/>
          <w:szCs w:val="25"/>
        </w:rPr>
        <w:t xml:space="preserve"> Ely’s theory</w:t>
      </w:r>
      <w:r w:rsidR="00E115B3" w:rsidRPr="00E06855">
        <w:rPr>
          <w:rFonts w:ascii="Times New Roman" w:hAnsi="Times New Roman" w:cs="Times New Roman"/>
          <w:sz w:val="25"/>
          <w:szCs w:val="25"/>
        </w:rPr>
        <w:t xml:space="preserve">, </w:t>
      </w:r>
      <w:r w:rsidR="004138BF" w:rsidRPr="00E06855">
        <w:rPr>
          <w:rFonts w:ascii="Times New Roman" w:hAnsi="Times New Roman" w:cs="Times New Roman"/>
          <w:sz w:val="25"/>
          <w:szCs w:val="25"/>
        </w:rPr>
        <w:t>which</w:t>
      </w:r>
      <w:r w:rsidR="00A5332D" w:rsidRPr="00E06855">
        <w:rPr>
          <w:rFonts w:ascii="Times New Roman" w:hAnsi="Times New Roman" w:cs="Times New Roman"/>
          <w:sz w:val="25"/>
          <w:szCs w:val="25"/>
        </w:rPr>
        <w:t xml:space="preserve"> was centred on rights protection according to the US</w:t>
      </w:r>
      <w:r w:rsidR="00442C34" w:rsidRPr="00E06855">
        <w:rPr>
          <w:rFonts w:ascii="Times New Roman" w:hAnsi="Times New Roman" w:cs="Times New Roman"/>
          <w:sz w:val="25"/>
          <w:szCs w:val="25"/>
        </w:rPr>
        <w:t xml:space="preserve"> constitution</w:t>
      </w:r>
      <w:r w:rsidR="00FF13F3" w:rsidRPr="00E06855">
        <w:rPr>
          <w:rFonts w:ascii="Times New Roman" w:hAnsi="Times New Roman" w:cs="Times New Roman"/>
          <w:sz w:val="25"/>
          <w:szCs w:val="25"/>
        </w:rPr>
        <w:t xml:space="preserve">. </w:t>
      </w:r>
      <w:r w:rsidR="00B35D13" w:rsidRPr="00E06855">
        <w:rPr>
          <w:rFonts w:ascii="Times New Roman" w:hAnsi="Times New Roman" w:cs="Times New Roman"/>
          <w:sz w:val="25"/>
          <w:szCs w:val="25"/>
        </w:rPr>
        <w:t xml:space="preserve">This context instead </w:t>
      </w:r>
      <w:r w:rsidR="00A5332D" w:rsidRPr="00E06855">
        <w:rPr>
          <w:rFonts w:ascii="Times New Roman" w:hAnsi="Times New Roman" w:cs="Times New Roman"/>
          <w:sz w:val="25"/>
          <w:szCs w:val="25"/>
        </w:rPr>
        <w:t xml:space="preserve">concerns the fidelity </w:t>
      </w:r>
      <w:r w:rsidR="005E2CE2" w:rsidRPr="00E06855">
        <w:rPr>
          <w:rFonts w:ascii="Times New Roman" w:hAnsi="Times New Roman" w:cs="Times New Roman"/>
          <w:sz w:val="25"/>
          <w:szCs w:val="25"/>
        </w:rPr>
        <w:t xml:space="preserve">of the Union legislature </w:t>
      </w:r>
      <w:r w:rsidR="00A5332D" w:rsidRPr="00E06855">
        <w:rPr>
          <w:rFonts w:ascii="Times New Roman" w:hAnsi="Times New Roman" w:cs="Times New Roman"/>
          <w:sz w:val="25"/>
          <w:szCs w:val="25"/>
        </w:rPr>
        <w:t xml:space="preserve">to the </w:t>
      </w:r>
      <w:r w:rsidR="005E2CE2" w:rsidRPr="00E06855">
        <w:rPr>
          <w:rFonts w:ascii="Times New Roman" w:hAnsi="Times New Roman" w:cs="Times New Roman"/>
          <w:sz w:val="25"/>
          <w:szCs w:val="25"/>
        </w:rPr>
        <w:t>competence</w:t>
      </w:r>
      <w:r w:rsidR="00A5332D" w:rsidRPr="00E06855">
        <w:rPr>
          <w:rFonts w:ascii="Times New Roman" w:hAnsi="Times New Roman" w:cs="Times New Roman"/>
          <w:sz w:val="25"/>
          <w:szCs w:val="25"/>
        </w:rPr>
        <w:t xml:space="preserve"> principles outlined in the Treaties. </w:t>
      </w:r>
    </w:p>
    <w:p w14:paraId="51C3544E" w14:textId="33E826D1" w:rsidR="00A5332D" w:rsidRPr="00E06855" w:rsidRDefault="00FD0B61" w:rsidP="00A5332D">
      <w:pPr>
        <w:rPr>
          <w:rFonts w:ascii="Times New Roman" w:hAnsi="Times New Roman" w:cs="Times New Roman"/>
          <w:sz w:val="25"/>
          <w:szCs w:val="25"/>
        </w:rPr>
      </w:pPr>
      <w:r w:rsidRPr="00E06855">
        <w:rPr>
          <w:rFonts w:ascii="Times New Roman" w:hAnsi="Times New Roman" w:cs="Times New Roman"/>
          <w:sz w:val="25"/>
          <w:szCs w:val="25"/>
        </w:rPr>
        <w:lastRenderedPageBreak/>
        <w:t>The</w:t>
      </w:r>
      <w:r w:rsidR="00A5332D" w:rsidRPr="00E06855">
        <w:rPr>
          <w:rFonts w:ascii="Times New Roman" w:hAnsi="Times New Roman" w:cs="Times New Roman"/>
          <w:sz w:val="25"/>
          <w:szCs w:val="25"/>
        </w:rPr>
        <w:t xml:space="preserve"> court-legislature dynamics differ </w:t>
      </w:r>
      <w:r w:rsidR="00E90959" w:rsidRPr="00E06855">
        <w:rPr>
          <w:rFonts w:ascii="Times New Roman" w:hAnsi="Times New Roman" w:cs="Times New Roman"/>
          <w:sz w:val="25"/>
          <w:szCs w:val="25"/>
        </w:rPr>
        <w:t>somewhat</w:t>
      </w:r>
      <w:r w:rsidR="00A5332D" w:rsidRPr="00E06855">
        <w:rPr>
          <w:rFonts w:ascii="Times New Roman" w:hAnsi="Times New Roman" w:cs="Times New Roman"/>
          <w:sz w:val="25"/>
          <w:szCs w:val="25"/>
        </w:rPr>
        <w:t xml:space="preserve"> in this context. Ely’s analysis begins from the starting point that it may be illegitimate for the Court to conduct substantive review owing to the </w:t>
      </w:r>
      <w:r w:rsidR="00FB1A01" w:rsidRPr="00E06855">
        <w:rPr>
          <w:rFonts w:ascii="Times New Roman" w:hAnsi="Times New Roman" w:cs="Times New Roman"/>
          <w:sz w:val="25"/>
          <w:szCs w:val="25"/>
        </w:rPr>
        <w:t xml:space="preserve">comparatively greater </w:t>
      </w:r>
      <w:r w:rsidR="00A5332D" w:rsidRPr="00E06855">
        <w:rPr>
          <w:rFonts w:ascii="Times New Roman" w:hAnsi="Times New Roman" w:cs="Times New Roman"/>
          <w:sz w:val="25"/>
          <w:szCs w:val="25"/>
        </w:rPr>
        <w:t xml:space="preserve">legitimacy </w:t>
      </w:r>
      <w:r w:rsidR="007F341D" w:rsidRPr="00E06855">
        <w:rPr>
          <w:rFonts w:ascii="Times New Roman" w:hAnsi="Times New Roman" w:cs="Times New Roman"/>
          <w:sz w:val="25"/>
          <w:szCs w:val="25"/>
        </w:rPr>
        <w:t xml:space="preserve">claim </w:t>
      </w:r>
      <w:r w:rsidR="00A5332D" w:rsidRPr="00E06855">
        <w:rPr>
          <w:rFonts w:ascii="Times New Roman" w:hAnsi="Times New Roman" w:cs="Times New Roman"/>
          <w:sz w:val="25"/>
          <w:szCs w:val="25"/>
        </w:rPr>
        <w:t>of the legislature.</w:t>
      </w:r>
      <w:r w:rsidR="00A5332D" w:rsidRPr="00E06855">
        <w:rPr>
          <w:rStyle w:val="FootnoteReference"/>
          <w:rFonts w:ascii="Times New Roman" w:hAnsi="Times New Roman" w:cs="Times New Roman"/>
          <w:sz w:val="25"/>
          <w:szCs w:val="25"/>
        </w:rPr>
        <w:footnoteReference w:id="45"/>
      </w:r>
      <w:r w:rsidR="00A5332D" w:rsidRPr="00E06855">
        <w:rPr>
          <w:rFonts w:ascii="Times New Roman" w:hAnsi="Times New Roman" w:cs="Times New Roman"/>
          <w:sz w:val="25"/>
          <w:szCs w:val="25"/>
        </w:rPr>
        <w:t xml:space="preserve"> </w:t>
      </w:r>
      <w:r w:rsidR="00241E8C" w:rsidRPr="00E06855">
        <w:rPr>
          <w:rFonts w:ascii="Times New Roman" w:hAnsi="Times New Roman" w:cs="Times New Roman"/>
          <w:sz w:val="25"/>
          <w:szCs w:val="25"/>
        </w:rPr>
        <w:t>In</w:t>
      </w:r>
      <w:r w:rsidR="00A5332D" w:rsidRPr="00E06855">
        <w:rPr>
          <w:rFonts w:ascii="Times New Roman" w:hAnsi="Times New Roman" w:cs="Times New Roman"/>
          <w:sz w:val="25"/>
          <w:szCs w:val="25"/>
        </w:rPr>
        <w:t xml:space="preserve"> the EU context</w:t>
      </w:r>
      <w:r w:rsidR="00310966">
        <w:rPr>
          <w:rFonts w:ascii="Times New Roman" w:hAnsi="Times New Roman" w:cs="Times New Roman"/>
          <w:sz w:val="25"/>
          <w:szCs w:val="25"/>
        </w:rPr>
        <w:t>,</w:t>
      </w:r>
      <w:r w:rsidR="00A5332D" w:rsidRPr="00E06855">
        <w:rPr>
          <w:rFonts w:ascii="Times New Roman" w:hAnsi="Times New Roman" w:cs="Times New Roman"/>
          <w:sz w:val="25"/>
          <w:szCs w:val="25"/>
        </w:rPr>
        <w:t xml:space="preserve"> </w:t>
      </w:r>
      <w:r w:rsidR="00310966">
        <w:rPr>
          <w:rFonts w:ascii="Times New Roman" w:hAnsi="Times New Roman" w:cs="Times New Roman"/>
          <w:sz w:val="25"/>
          <w:szCs w:val="25"/>
        </w:rPr>
        <w:t>t</w:t>
      </w:r>
      <w:r w:rsidR="00A5332D" w:rsidRPr="00E06855">
        <w:rPr>
          <w:rFonts w:ascii="Times New Roman" w:hAnsi="Times New Roman" w:cs="Times New Roman"/>
          <w:sz w:val="25"/>
          <w:szCs w:val="25"/>
        </w:rPr>
        <w:t>he well-rehearsed debates about the “democratic deficit” temper the legislat</w:t>
      </w:r>
      <w:r w:rsidR="00B54C8F" w:rsidRPr="00E06855">
        <w:rPr>
          <w:rFonts w:ascii="Times New Roman" w:hAnsi="Times New Roman" w:cs="Times New Roman"/>
          <w:sz w:val="25"/>
          <w:szCs w:val="25"/>
        </w:rPr>
        <w:t>ure</w:t>
      </w:r>
      <w:r w:rsidR="00A5332D" w:rsidRPr="00E06855">
        <w:rPr>
          <w:rFonts w:ascii="Times New Roman" w:hAnsi="Times New Roman" w:cs="Times New Roman"/>
          <w:sz w:val="25"/>
          <w:szCs w:val="25"/>
        </w:rPr>
        <w:t>’s claim of comparative legitimacy in relation to the Court.</w:t>
      </w:r>
      <w:r w:rsidR="0072149A" w:rsidRPr="00E06855">
        <w:rPr>
          <w:rStyle w:val="FootnoteReference"/>
          <w:rFonts w:ascii="Times New Roman" w:hAnsi="Times New Roman" w:cs="Times New Roman"/>
          <w:sz w:val="25"/>
          <w:szCs w:val="25"/>
        </w:rPr>
        <w:footnoteReference w:id="46"/>
      </w:r>
    </w:p>
    <w:p w14:paraId="4A766000" w14:textId="05794C78" w:rsidR="00AC303C" w:rsidRPr="00E06855" w:rsidRDefault="00AC303C" w:rsidP="00AC303C">
      <w:pPr>
        <w:rPr>
          <w:rFonts w:ascii="Times New Roman" w:hAnsi="Times New Roman" w:cs="Times New Roman"/>
          <w:sz w:val="25"/>
          <w:szCs w:val="25"/>
        </w:rPr>
      </w:pPr>
      <w:r w:rsidRPr="00E06855">
        <w:rPr>
          <w:rFonts w:ascii="Times New Roman" w:hAnsi="Times New Roman" w:cs="Times New Roman"/>
          <w:sz w:val="25"/>
          <w:szCs w:val="25"/>
        </w:rPr>
        <w:t>The Court has historically played a very limited role in the enforcement of the principles of proportionality and subsidiarity, and this lack of intensity in review has contributed to the phenomenon of “competence creep”.</w:t>
      </w:r>
      <w:r w:rsidRPr="00E06855">
        <w:rPr>
          <w:rStyle w:val="FootnoteReference"/>
          <w:rFonts w:ascii="Times New Roman" w:hAnsi="Times New Roman" w:cs="Times New Roman"/>
          <w:sz w:val="25"/>
          <w:szCs w:val="25"/>
        </w:rPr>
        <w:footnoteReference w:id="47"/>
      </w:r>
      <w:r w:rsidRPr="00E06855">
        <w:rPr>
          <w:rFonts w:ascii="Times New Roman" w:hAnsi="Times New Roman" w:cs="Times New Roman"/>
          <w:sz w:val="25"/>
          <w:szCs w:val="25"/>
        </w:rPr>
        <w:t xml:space="preserve"> As</w:t>
      </w:r>
      <w:r w:rsidR="00EF74FE" w:rsidRPr="00E06855">
        <w:rPr>
          <w:rFonts w:ascii="Times New Roman" w:hAnsi="Times New Roman" w:cs="Times New Roman"/>
          <w:sz w:val="25"/>
          <w:szCs w:val="25"/>
        </w:rPr>
        <w:t xml:space="preserve"> </w:t>
      </w:r>
      <w:r w:rsidRPr="00E06855">
        <w:rPr>
          <w:rFonts w:ascii="Times New Roman" w:hAnsi="Times New Roman" w:cs="Times New Roman"/>
          <w:sz w:val="25"/>
          <w:szCs w:val="25"/>
        </w:rPr>
        <w:t xml:space="preserve"> Weatherill described the issue, the Court presents a vague formula necessary for compliance with the principles of proportionality and subsidiarity. In response to this, the EU legislature adopts vague vocabulary to show that it complies with the principles. </w:t>
      </w:r>
      <w:r w:rsidR="002624A5" w:rsidRPr="00E06855">
        <w:rPr>
          <w:rFonts w:ascii="Times New Roman" w:hAnsi="Times New Roman" w:cs="Times New Roman"/>
          <w:sz w:val="25"/>
          <w:szCs w:val="25"/>
        </w:rPr>
        <w:t>In this vein,</w:t>
      </w:r>
      <w:r w:rsidRPr="00E06855">
        <w:rPr>
          <w:rFonts w:ascii="Times New Roman" w:hAnsi="Times New Roman" w:cs="Times New Roman"/>
          <w:sz w:val="25"/>
          <w:szCs w:val="25"/>
        </w:rPr>
        <w:t xml:space="preserve"> the Court has been criticised for “poor enforcement”</w:t>
      </w:r>
      <w:r w:rsidRPr="00E06855">
        <w:rPr>
          <w:rStyle w:val="FootnoteReference"/>
          <w:rFonts w:ascii="Times New Roman" w:hAnsi="Times New Roman" w:cs="Times New Roman"/>
          <w:sz w:val="25"/>
          <w:szCs w:val="25"/>
        </w:rPr>
        <w:footnoteReference w:id="48"/>
      </w:r>
      <w:r w:rsidRPr="00E06855">
        <w:rPr>
          <w:rFonts w:ascii="Times New Roman" w:hAnsi="Times New Roman" w:cs="Times New Roman"/>
          <w:sz w:val="25"/>
          <w:szCs w:val="25"/>
        </w:rPr>
        <w:t xml:space="preserve"> of proportionality, and for interpreting subsidiarity so as to allow the legislature “unlimited permission to act”.</w:t>
      </w:r>
      <w:r w:rsidRPr="00E06855">
        <w:rPr>
          <w:rStyle w:val="FootnoteReference"/>
          <w:rFonts w:ascii="Times New Roman" w:hAnsi="Times New Roman" w:cs="Times New Roman"/>
          <w:sz w:val="25"/>
          <w:szCs w:val="25"/>
        </w:rPr>
        <w:footnoteReference w:id="49"/>
      </w:r>
    </w:p>
    <w:p w14:paraId="3A4DC694" w14:textId="03B04C5A" w:rsidR="00AC303C" w:rsidRPr="00E06855" w:rsidRDefault="00AC303C" w:rsidP="00AC303C">
      <w:pPr>
        <w:rPr>
          <w:rFonts w:ascii="Times New Roman" w:hAnsi="Times New Roman" w:cs="Times New Roman"/>
        </w:rPr>
      </w:pPr>
      <w:r w:rsidRPr="00E06855">
        <w:rPr>
          <w:rFonts w:ascii="Times New Roman" w:hAnsi="Times New Roman" w:cs="Times New Roman"/>
          <w:sz w:val="25"/>
          <w:szCs w:val="25"/>
        </w:rPr>
        <w:t>This limited enforcement by the Court has significant consequences for the balance “between Union harmonization and Member State autonomy”.</w:t>
      </w:r>
      <w:r w:rsidRPr="00E06855">
        <w:rPr>
          <w:rStyle w:val="FootnoteReference"/>
          <w:rFonts w:ascii="Times New Roman" w:hAnsi="Times New Roman" w:cs="Times New Roman"/>
          <w:sz w:val="25"/>
          <w:szCs w:val="25"/>
        </w:rPr>
        <w:footnoteReference w:id="50"/>
      </w:r>
      <w:r w:rsidRPr="00E06855">
        <w:rPr>
          <w:rFonts w:ascii="Times New Roman" w:hAnsi="Times New Roman" w:cs="Times New Roman"/>
          <w:sz w:val="25"/>
          <w:szCs w:val="25"/>
        </w:rPr>
        <w:t xml:space="preserve"> In response to these issues, some scholars have tu</w:t>
      </w:r>
      <w:r w:rsidR="001C4D98" w:rsidRPr="00E06855">
        <w:rPr>
          <w:rFonts w:ascii="Times New Roman" w:hAnsi="Times New Roman" w:cs="Times New Roman"/>
          <w:sz w:val="25"/>
          <w:szCs w:val="25"/>
        </w:rPr>
        <w:t>r</w:t>
      </w:r>
      <w:r w:rsidRPr="00E06855">
        <w:rPr>
          <w:rFonts w:ascii="Times New Roman" w:hAnsi="Times New Roman" w:cs="Times New Roman"/>
          <w:sz w:val="25"/>
          <w:szCs w:val="25"/>
        </w:rPr>
        <w:t xml:space="preserve">ned to process review as a way to correct the Court’s perceived failings. With this advocacy </w:t>
      </w:r>
      <w:r w:rsidR="00FD2F8A" w:rsidRPr="00E06855">
        <w:rPr>
          <w:rFonts w:ascii="Times New Roman" w:hAnsi="Times New Roman" w:cs="Times New Roman"/>
          <w:sz w:val="25"/>
          <w:szCs w:val="25"/>
        </w:rPr>
        <w:t>of process review</w:t>
      </w:r>
      <w:r w:rsidR="00E0443C" w:rsidRPr="00E06855">
        <w:rPr>
          <w:rFonts w:ascii="Times New Roman" w:hAnsi="Times New Roman" w:cs="Times New Roman"/>
          <w:sz w:val="25"/>
          <w:szCs w:val="25"/>
        </w:rPr>
        <w:t xml:space="preserve"> </w:t>
      </w:r>
      <w:r w:rsidR="00717AFE" w:rsidRPr="00E06855">
        <w:rPr>
          <w:rFonts w:ascii="Times New Roman" w:hAnsi="Times New Roman" w:cs="Times New Roman"/>
          <w:sz w:val="25"/>
          <w:szCs w:val="25"/>
        </w:rPr>
        <w:t>comes</w:t>
      </w:r>
      <w:r w:rsidRPr="00E06855">
        <w:rPr>
          <w:rFonts w:ascii="Times New Roman" w:hAnsi="Times New Roman" w:cs="Times New Roman"/>
          <w:sz w:val="25"/>
          <w:szCs w:val="25"/>
        </w:rPr>
        <w:t xml:space="preserve"> certain expectations about how </w:t>
      </w:r>
      <w:r w:rsidR="00E0443C" w:rsidRPr="00E06855">
        <w:rPr>
          <w:rFonts w:ascii="Times New Roman" w:hAnsi="Times New Roman" w:cs="Times New Roman"/>
          <w:sz w:val="25"/>
          <w:szCs w:val="25"/>
        </w:rPr>
        <w:t>it</w:t>
      </w:r>
      <w:r w:rsidRPr="00E06855">
        <w:rPr>
          <w:rFonts w:ascii="Times New Roman" w:hAnsi="Times New Roman" w:cs="Times New Roman"/>
          <w:sz w:val="25"/>
          <w:szCs w:val="25"/>
        </w:rPr>
        <w:t xml:space="preserve"> would impact on the </w:t>
      </w:r>
      <w:r w:rsidRPr="00E06855">
        <w:rPr>
          <w:rFonts w:ascii="Times New Roman" w:hAnsi="Times New Roman" w:cs="Times New Roman"/>
          <w:i/>
          <w:iCs/>
          <w:sz w:val="25"/>
          <w:szCs w:val="25"/>
        </w:rPr>
        <w:t>outcomes</w:t>
      </w:r>
      <w:r w:rsidRPr="00E06855">
        <w:rPr>
          <w:rFonts w:ascii="Times New Roman" w:hAnsi="Times New Roman" w:cs="Times New Roman"/>
          <w:sz w:val="25"/>
          <w:szCs w:val="25"/>
        </w:rPr>
        <w:t xml:space="preserve"> of review, and its </w:t>
      </w:r>
      <w:r w:rsidRPr="00E06855">
        <w:rPr>
          <w:rFonts w:ascii="Times New Roman" w:hAnsi="Times New Roman" w:cs="Times New Roman"/>
          <w:i/>
          <w:iCs/>
          <w:sz w:val="25"/>
          <w:szCs w:val="25"/>
        </w:rPr>
        <w:t>legitimacy</w:t>
      </w:r>
      <w:r w:rsidRPr="00E06855">
        <w:rPr>
          <w:rFonts w:ascii="Times New Roman" w:hAnsi="Times New Roman" w:cs="Times New Roman"/>
          <w:sz w:val="25"/>
          <w:szCs w:val="25"/>
        </w:rPr>
        <w:t>.</w:t>
      </w:r>
    </w:p>
    <w:p w14:paraId="7BBD1E39" w14:textId="37381EE5" w:rsidR="00B949B3" w:rsidRPr="00E06855" w:rsidRDefault="00253969" w:rsidP="00D853B3">
      <w:pPr>
        <w:pStyle w:val="Heading3"/>
        <w:rPr>
          <w:rFonts w:cs="Times New Roman"/>
        </w:rPr>
      </w:pPr>
      <w:r w:rsidRPr="00E06855">
        <w:rPr>
          <w:rFonts w:cs="Times New Roman"/>
        </w:rPr>
        <w:t xml:space="preserve">The Expectations </w:t>
      </w:r>
      <w:r w:rsidR="00171960" w:rsidRPr="00E06855">
        <w:rPr>
          <w:rFonts w:cs="Times New Roman"/>
        </w:rPr>
        <w:t>of Advocates of Process Review</w:t>
      </w:r>
      <w:r w:rsidR="00722980" w:rsidRPr="00E06855">
        <w:rPr>
          <w:rFonts w:cs="Times New Roman"/>
        </w:rPr>
        <w:t xml:space="preserve"> of Union Legislation</w:t>
      </w:r>
    </w:p>
    <w:p w14:paraId="1405BA9A" w14:textId="7C1BE7A0" w:rsidR="00B949B3" w:rsidRPr="00E06855" w:rsidRDefault="00B949B3" w:rsidP="00B949B3">
      <w:pPr>
        <w:rPr>
          <w:rFonts w:ascii="Times New Roman" w:hAnsi="Times New Roman" w:cs="Times New Roman"/>
          <w:sz w:val="25"/>
          <w:szCs w:val="25"/>
        </w:rPr>
      </w:pPr>
      <w:r w:rsidRPr="00E06855">
        <w:rPr>
          <w:rFonts w:ascii="Times New Roman" w:hAnsi="Times New Roman" w:cs="Times New Roman"/>
          <w:sz w:val="25"/>
          <w:szCs w:val="25"/>
        </w:rPr>
        <w:t xml:space="preserve">Advocates envisage a certain type of process review to be applied to the Union legislature, broadly conforming to the idea of a review of the </w:t>
      </w:r>
      <w:r w:rsidRPr="00E06855">
        <w:rPr>
          <w:rFonts w:ascii="Times New Roman" w:hAnsi="Times New Roman" w:cs="Times New Roman"/>
          <w:i/>
          <w:iCs/>
          <w:sz w:val="25"/>
          <w:szCs w:val="25"/>
        </w:rPr>
        <w:t>rationality</w:t>
      </w:r>
      <w:r w:rsidRPr="00E06855">
        <w:rPr>
          <w:rFonts w:ascii="Times New Roman" w:hAnsi="Times New Roman" w:cs="Times New Roman"/>
          <w:sz w:val="25"/>
          <w:szCs w:val="25"/>
        </w:rPr>
        <w:t xml:space="preserve"> of the process. This has been summarised as the ideal that decision-making should conform to “principles of proper lawmaking”.</w:t>
      </w:r>
      <w:r w:rsidRPr="00E06855">
        <w:rPr>
          <w:rStyle w:val="FootnoteReference"/>
          <w:rFonts w:ascii="Times New Roman" w:hAnsi="Times New Roman" w:cs="Times New Roman"/>
          <w:sz w:val="25"/>
          <w:szCs w:val="25"/>
        </w:rPr>
        <w:footnoteReference w:id="51"/>
      </w:r>
      <w:r w:rsidRPr="00E06855">
        <w:rPr>
          <w:rFonts w:ascii="Times New Roman" w:hAnsi="Times New Roman" w:cs="Times New Roman"/>
          <w:sz w:val="25"/>
          <w:szCs w:val="25"/>
        </w:rPr>
        <w:t xml:space="preserve"> As part of this, </w:t>
      </w:r>
      <w:r w:rsidR="00FA431E">
        <w:rPr>
          <w:rFonts w:ascii="Times New Roman" w:hAnsi="Times New Roman" w:cs="Times New Roman"/>
          <w:sz w:val="25"/>
          <w:szCs w:val="25"/>
        </w:rPr>
        <w:t xml:space="preserve">courts </w:t>
      </w:r>
      <w:r w:rsidRPr="00E06855">
        <w:rPr>
          <w:rFonts w:ascii="Times New Roman" w:hAnsi="Times New Roman" w:cs="Times New Roman"/>
          <w:sz w:val="25"/>
          <w:szCs w:val="25"/>
        </w:rPr>
        <w:t xml:space="preserve">may assess the legislature’s </w:t>
      </w:r>
      <w:r w:rsidRPr="00E06855">
        <w:rPr>
          <w:rFonts w:ascii="Times New Roman" w:hAnsi="Times New Roman" w:cs="Times New Roman"/>
          <w:sz w:val="25"/>
          <w:szCs w:val="25"/>
        </w:rPr>
        <w:lastRenderedPageBreak/>
        <w:t>compliance with “the duty to certify facts; a duty to make a prognosis; a duty to weigh conflicting interests; an observation duty regarding effect; and a duty to rectify faults”.</w:t>
      </w:r>
      <w:r w:rsidRPr="00E06855">
        <w:rPr>
          <w:rStyle w:val="FootnoteReference"/>
          <w:rFonts w:ascii="Times New Roman" w:hAnsi="Times New Roman" w:cs="Times New Roman"/>
          <w:sz w:val="25"/>
          <w:szCs w:val="25"/>
        </w:rPr>
        <w:footnoteReference w:id="52"/>
      </w:r>
    </w:p>
    <w:p w14:paraId="3AD46629" w14:textId="05FA6998" w:rsidR="00B949B3" w:rsidRPr="00E06855" w:rsidRDefault="00B949B3" w:rsidP="00B949B3">
      <w:pPr>
        <w:rPr>
          <w:rFonts w:ascii="Times New Roman" w:hAnsi="Times New Roman" w:cs="Times New Roman"/>
          <w:color w:val="000000" w:themeColor="text1"/>
          <w:sz w:val="25"/>
          <w:szCs w:val="25"/>
        </w:rPr>
      </w:pPr>
      <w:r w:rsidRPr="00E06855">
        <w:rPr>
          <w:rFonts w:ascii="Times New Roman" w:hAnsi="Times New Roman" w:cs="Times New Roman"/>
          <w:sz w:val="25"/>
          <w:szCs w:val="25"/>
        </w:rPr>
        <w:t>In this vein, regulatory reforms in the Union, such as the Better Regulation initiative and the uniform requirement of Impact Assessment Reports, are seen as essential.</w:t>
      </w:r>
      <w:r w:rsidRPr="00E06855">
        <w:rPr>
          <w:rStyle w:val="FootnoteReference"/>
          <w:rFonts w:ascii="Times New Roman" w:hAnsi="Times New Roman" w:cs="Times New Roman"/>
          <w:sz w:val="25"/>
          <w:szCs w:val="25"/>
        </w:rPr>
        <w:footnoteReference w:id="53"/>
      </w:r>
      <w:r w:rsidRPr="00E06855">
        <w:rPr>
          <w:rFonts w:ascii="Times New Roman" w:hAnsi="Times New Roman" w:cs="Times New Roman"/>
          <w:sz w:val="25"/>
          <w:szCs w:val="25"/>
        </w:rPr>
        <w:t xml:space="preserve"> Lenaerts argues that a combination of </w:t>
      </w:r>
      <w:r w:rsidRPr="00E06855">
        <w:rPr>
          <w:rFonts w:ascii="Times New Roman" w:hAnsi="Times New Roman" w:cs="Times New Roman"/>
          <w:i/>
          <w:iCs/>
          <w:sz w:val="25"/>
          <w:szCs w:val="25"/>
        </w:rPr>
        <w:t>ex ante</w:t>
      </w:r>
      <w:r w:rsidRPr="00E06855">
        <w:rPr>
          <w:rFonts w:ascii="Times New Roman" w:hAnsi="Times New Roman" w:cs="Times New Roman"/>
          <w:sz w:val="25"/>
          <w:szCs w:val="25"/>
        </w:rPr>
        <w:t xml:space="preserve"> legislative assessment and </w:t>
      </w:r>
      <w:r w:rsidRPr="00E06855">
        <w:rPr>
          <w:rFonts w:ascii="Times New Roman" w:hAnsi="Times New Roman" w:cs="Times New Roman"/>
          <w:i/>
          <w:iCs/>
          <w:sz w:val="25"/>
          <w:szCs w:val="25"/>
        </w:rPr>
        <w:t>ex post</w:t>
      </w:r>
      <w:r w:rsidRPr="00E06855">
        <w:rPr>
          <w:rFonts w:ascii="Times New Roman" w:hAnsi="Times New Roman" w:cs="Times New Roman"/>
          <w:sz w:val="25"/>
          <w:szCs w:val="25"/>
        </w:rPr>
        <w:t xml:space="preserve"> judicial review may contribute to “more rational law-making”.</w:t>
      </w:r>
      <w:r w:rsidRPr="00E06855">
        <w:rPr>
          <w:rStyle w:val="FootnoteReference"/>
          <w:rFonts w:ascii="Times New Roman" w:hAnsi="Times New Roman" w:cs="Times New Roman"/>
          <w:sz w:val="25"/>
          <w:szCs w:val="25"/>
        </w:rPr>
        <w:footnoteReference w:id="54"/>
      </w:r>
      <w:r w:rsidRPr="00E06855">
        <w:rPr>
          <w:rFonts w:ascii="Times New Roman" w:hAnsi="Times New Roman" w:cs="Times New Roman"/>
          <w:sz w:val="25"/>
          <w:szCs w:val="25"/>
        </w:rPr>
        <w:t xml:space="preserve"> In the context of subsidiarity, </w:t>
      </w:r>
      <w:r w:rsidR="00274F2E">
        <w:rPr>
          <w:rFonts w:ascii="Times New Roman" w:hAnsi="Times New Roman" w:cs="Times New Roman"/>
          <w:sz w:val="25"/>
          <w:szCs w:val="25"/>
        </w:rPr>
        <w:t>it was expected that the</w:t>
      </w:r>
      <w:r w:rsidR="008147E0">
        <w:rPr>
          <w:rFonts w:ascii="Times New Roman" w:hAnsi="Times New Roman" w:cs="Times New Roman"/>
          <w:sz w:val="25"/>
          <w:szCs w:val="25"/>
        </w:rPr>
        <w:t xml:space="preserve"> </w:t>
      </w:r>
      <w:r w:rsidRPr="00E06855">
        <w:rPr>
          <w:rFonts w:ascii="Times New Roman" w:hAnsi="Times New Roman" w:cs="Times New Roman"/>
          <w:sz w:val="25"/>
          <w:szCs w:val="25"/>
        </w:rPr>
        <w:t>“early warning mechanism”, and the requirement that the Commission must justify its legislation when challenged by national parliaments</w:t>
      </w:r>
      <w:r w:rsidR="008147E0">
        <w:rPr>
          <w:rFonts w:ascii="Times New Roman" w:hAnsi="Times New Roman" w:cs="Times New Roman"/>
          <w:sz w:val="25"/>
          <w:szCs w:val="25"/>
        </w:rPr>
        <w:t>, could also aid the Court in conducting process review</w:t>
      </w:r>
      <w:r w:rsidRPr="00E06855">
        <w:rPr>
          <w:rFonts w:ascii="Times New Roman" w:hAnsi="Times New Roman" w:cs="Times New Roman"/>
          <w:sz w:val="25"/>
          <w:szCs w:val="25"/>
        </w:rPr>
        <w:t>.</w:t>
      </w:r>
      <w:r w:rsidRPr="00E06855">
        <w:rPr>
          <w:rStyle w:val="FootnoteReference"/>
          <w:rFonts w:ascii="Times New Roman" w:hAnsi="Times New Roman" w:cs="Times New Roman"/>
          <w:sz w:val="25"/>
          <w:szCs w:val="25"/>
        </w:rPr>
        <w:footnoteReference w:id="55"/>
      </w:r>
      <w:r w:rsidRPr="00E06855">
        <w:rPr>
          <w:rFonts w:ascii="Times New Roman" w:hAnsi="Times New Roman" w:cs="Times New Roman"/>
          <w:sz w:val="25"/>
          <w:szCs w:val="25"/>
        </w:rPr>
        <w:t xml:space="preserve"> </w:t>
      </w:r>
    </w:p>
    <w:p w14:paraId="015FFFED" w14:textId="03C74043" w:rsidR="00B949B3" w:rsidRPr="00E06855" w:rsidRDefault="00B949B3" w:rsidP="00B949B3">
      <w:pPr>
        <w:rPr>
          <w:rFonts w:ascii="Times New Roman" w:hAnsi="Times New Roman" w:cs="Times New Roman"/>
          <w:sz w:val="25"/>
          <w:szCs w:val="25"/>
        </w:rPr>
      </w:pPr>
      <w:r w:rsidRPr="00E06855">
        <w:rPr>
          <w:rFonts w:ascii="Times New Roman" w:hAnsi="Times New Roman" w:cs="Times New Roman"/>
          <w:sz w:val="25"/>
          <w:szCs w:val="25"/>
        </w:rPr>
        <w:t>It is envisaged</w:t>
      </w:r>
      <w:r w:rsidR="006C4C73" w:rsidRPr="00E06855">
        <w:rPr>
          <w:rFonts w:ascii="Times New Roman" w:hAnsi="Times New Roman" w:cs="Times New Roman"/>
          <w:sz w:val="25"/>
          <w:szCs w:val="25"/>
        </w:rPr>
        <w:t xml:space="preserve"> that</w:t>
      </w:r>
      <w:r w:rsidRPr="00E06855">
        <w:rPr>
          <w:rFonts w:ascii="Times New Roman" w:hAnsi="Times New Roman" w:cs="Times New Roman"/>
          <w:sz w:val="25"/>
          <w:szCs w:val="25"/>
        </w:rPr>
        <w:t xml:space="preserve"> if the Court were to focus on process this would have certain impacts on the </w:t>
      </w:r>
      <w:r w:rsidRPr="00E06855">
        <w:rPr>
          <w:rFonts w:ascii="Times New Roman" w:hAnsi="Times New Roman" w:cs="Times New Roman"/>
          <w:i/>
          <w:iCs/>
          <w:sz w:val="25"/>
          <w:szCs w:val="25"/>
        </w:rPr>
        <w:t>outcomes</w:t>
      </w:r>
      <w:r w:rsidRPr="00E06855">
        <w:rPr>
          <w:rFonts w:ascii="Times New Roman" w:hAnsi="Times New Roman" w:cs="Times New Roman"/>
          <w:sz w:val="25"/>
          <w:szCs w:val="25"/>
        </w:rPr>
        <w:t xml:space="preserve"> of its review. There is a clear belief in this literature that the current standard of judicial deference in relation to subsidiarity and proportionality can be intensified through a focus on the legislative procedure. It has been variously said that process review can “increase[] judicial scrutiny,</w:t>
      </w:r>
      <w:r w:rsidRPr="00E06855">
        <w:rPr>
          <w:rStyle w:val="FootnoteReference"/>
          <w:rFonts w:ascii="Times New Roman" w:hAnsi="Times New Roman" w:cs="Times New Roman"/>
          <w:sz w:val="25"/>
          <w:szCs w:val="25"/>
        </w:rPr>
        <w:t xml:space="preserve"> </w:t>
      </w:r>
      <w:r w:rsidRPr="00E06855">
        <w:rPr>
          <w:rStyle w:val="FootnoteReference"/>
          <w:rFonts w:ascii="Times New Roman" w:hAnsi="Times New Roman" w:cs="Times New Roman"/>
          <w:sz w:val="25"/>
          <w:szCs w:val="25"/>
        </w:rPr>
        <w:footnoteReference w:id="56"/>
      </w:r>
      <w:r w:rsidRPr="00E06855">
        <w:rPr>
          <w:rFonts w:ascii="Times New Roman" w:hAnsi="Times New Roman" w:cs="Times New Roman"/>
          <w:sz w:val="25"/>
          <w:szCs w:val="25"/>
        </w:rPr>
        <w:t xml:space="preserve"> lead to an “increase in the intensity of review”</w:t>
      </w:r>
      <w:r w:rsidRPr="00E06855">
        <w:rPr>
          <w:rStyle w:val="FootnoteReference"/>
          <w:rFonts w:ascii="Times New Roman" w:hAnsi="Times New Roman" w:cs="Times New Roman"/>
          <w:sz w:val="25"/>
          <w:szCs w:val="25"/>
        </w:rPr>
        <w:footnoteReference w:id="57"/>
      </w:r>
      <w:r w:rsidRPr="00E06855">
        <w:rPr>
          <w:rFonts w:ascii="Times New Roman" w:hAnsi="Times New Roman" w:cs="Times New Roman"/>
          <w:sz w:val="25"/>
          <w:szCs w:val="25"/>
        </w:rPr>
        <w:t xml:space="preserve"> and infuse judicial review with “greater force”.</w:t>
      </w:r>
      <w:r w:rsidRPr="00E06855">
        <w:rPr>
          <w:rStyle w:val="FootnoteReference"/>
          <w:rFonts w:ascii="Times New Roman" w:hAnsi="Times New Roman" w:cs="Times New Roman"/>
          <w:sz w:val="25"/>
          <w:szCs w:val="25"/>
        </w:rPr>
        <w:footnoteReference w:id="58"/>
      </w:r>
    </w:p>
    <w:p w14:paraId="5AE9D015" w14:textId="37348023" w:rsidR="00B949B3" w:rsidRPr="00E06855" w:rsidRDefault="00B949B3" w:rsidP="00B949B3">
      <w:pPr>
        <w:rPr>
          <w:rFonts w:ascii="Times New Roman" w:hAnsi="Times New Roman" w:cs="Times New Roman"/>
          <w:sz w:val="25"/>
          <w:szCs w:val="25"/>
        </w:rPr>
      </w:pPr>
      <w:r w:rsidRPr="00E06855">
        <w:rPr>
          <w:rFonts w:ascii="Times New Roman" w:hAnsi="Times New Roman" w:cs="Times New Roman"/>
          <w:sz w:val="25"/>
          <w:szCs w:val="25"/>
        </w:rPr>
        <w:t>Ultimately, it is argued that through the adoption of this form of rationalising process review, the Court would improve the compliance of EU legislation with the Treaty’s competence principles.</w:t>
      </w:r>
      <w:r w:rsidRPr="00E06855">
        <w:rPr>
          <w:rStyle w:val="FootnoteReference"/>
          <w:rFonts w:ascii="Times New Roman" w:hAnsi="Times New Roman" w:cs="Times New Roman"/>
          <w:sz w:val="25"/>
          <w:szCs w:val="25"/>
        </w:rPr>
        <w:footnoteReference w:id="59"/>
      </w:r>
      <w:r w:rsidRPr="00E06855">
        <w:rPr>
          <w:rFonts w:ascii="Times New Roman" w:hAnsi="Times New Roman" w:cs="Times New Roman"/>
          <w:sz w:val="25"/>
          <w:szCs w:val="25"/>
        </w:rPr>
        <w:t xml:space="preserve"> Oberg argues that the more stringent review offered by process review will “enable the Court to better protect Member State autonomy against the risk of illegitimate EU centralisation”.</w:t>
      </w:r>
      <w:r w:rsidRPr="00E06855">
        <w:rPr>
          <w:rStyle w:val="FootnoteReference"/>
          <w:rFonts w:ascii="Times New Roman" w:hAnsi="Times New Roman" w:cs="Times New Roman"/>
          <w:sz w:val="25"/>
          <w:szCs w:val="25"/>
        </w:rPr>
        <w:footnoteReference w:id="60"/>
      </w:r>
      <w:r w:rsidRPr="00E06855">
        <w:rPr>
          <w:rFonts w:ascii="Times New Roman" w:hAnsi="Times New Roman" w:cs="Times New Roman"/>
          <w:sz w:val="25"/>
          <w:szCs w:val="25"/>
        </w:rPr>
        <w:t xml:space="preserve"> There is thus a belief that process review can impact on the outcomes of judicial review to help to achieve this broader goal.</w:t>
      </w:r>
    </w:p>
    <w:p w14:paraId="01FAD411" w14:textId="33FD689B" w:rsidR="00B949B3" w:rsidRPr="00E06855" w:rsidRDefault="00B949B3" w:rsidP="00B949B3">
      <w:pPr>
        <w:rPr>
          <w:rFonts w:ascii="Times New Roman" w:hAnsi="Times New Roman" w:cs="Times New Roman"/>
          <w:sz w:val="25"/>
          <w:szCs w:val="25"/>
        </w:rPr>
      </w:pPr>
      <w:r w:rsidRPr="00E06855">
        <w:rPr>
          <w:rFonts w:ascii="Times New Roman" w:hAnsi="Times New Roman" w:cs="Times New Roman"/>
          <w:sz w:val="25"/>
          <w:szCs w:val="25"/>
        </w:rPr>
        <w:t xml:space="preserve">Despite the intensification of standard, process review would retain more </w:t>
      </w:r>
      <w:r w:rsidRPr="00E06855">
        <w:rPr>
          <w:rFonts w:ascii="Times New Roman" w:hAnsi="Times New Roman" w:cs="Times New Roman"/>
          <w:i/>
          <w:iCs/>
          <w:sz w:val="25"/>
          <w:szCs w:val="25"/>
        </w:rPr>
        <w:t>legitimacy</w:t>
      </w:r>
      <w:r w:rsidRPr="00E06855">
        <w:rPr>
          <w:rFonts w:ascii="Times New Roman" w:hAnsi="Times New Roman" w:cs="Times New Roman"/>
          <w:sz w:val="25"/>
          <w:szCs w:val="25"/>
        </w:rPr>
        <w:t xml:space="preserve"> than a pure substantive review, according to its advocates. Strong substantive review is seen as </w:t>
      </w:r>
      <w:r w:rsidRPr="00E06855">
        <w:rPr>
          <w:rFonts w:ascii="Times New Roman" w:hAnsi="Times New Roman" w:cs="Times New Roman"/>
          <w:sz w:val="25"/>
          <w:szCs w:val="25"/>
        </w:rPr>
        <w:lastRenderedPageBreak/>
        <w:t>illegitimate for the Court to conduct.</w:t>
      </w:r>
      <w:r w:rsidR="001C53DD" w:rsidRPr="00E06855">
        <w:rPr>
          <w:rStyle w:val="FootnoteReference"/>
          <w:rFonts w:ascii="Times New Roman" w:hAnsi="Times New Roman" w:cs="Times New Roman"/>
          <w:sz w:val="25"/>
          <w:szCs w:val="25"/>
        </w:rPr>
        <w:footnoteReference w:id="61"/>
      </w:r>
      <w:r w:rsidR="00242013" w:rsidRPr="00E06855">
        <w:rPr>
          <w:rFonts w:ascii="Times New Roman" w:hAnsi="Times New Roman" w:cs="Times New Roman"/>
          <w:sz w:val="25"/>
          <w:szCs w:val="25"/>
        </w:rPr>
        <w:t xml:space="preserve"> </w:t>
      </w:r>
      <w:r w:rsidRPr="00E06855">
        <w:rPr>
          <w:rFonts w:ascii="Times New Roman" w:hAnsi="Times New Roman" w:cs="Times New Roman"/>
          <w:sz w:val="25"/>
          <w:szCs w:val="25"/>
          <w:lang w:val="en-US"/>
        </w:rPr>
        <w:t>In this way, this literature follows Ely in viewing process review as a</w:t>
      </w:r>
      <w:r w:rsidRPr="00E06855">
        <w:rPr>
          <w:rFonts w:ascii="Times New Roman" w:hAnsi="Times New Roman" w:cs="Times New Roman"/>
          <w:sz w:val="25"/>
          <w:szCs w:val="25"/>
        </w:rPr>
        <w:t xml:space="preserve"> “middle-way solution” between full substantive review and complete deference.</w:t>
      </w:r>
      <w:r w:rsidRPr="00E06855">
        <w:rPr>
          <w:rStyle w:val="FootnoteReference"/>
          <w:rFonts w:ascii="Times New Roman" w:hAnsi="Times New Roman" w:cs="Times New Roman"/>
          <w:sz w:val="25"/>
          <w:szCs w:val="25"/>
        </w:rPr>
        <w:footnoteReference w:id="62"/>
      </w:r>
      <w:r w:rsidRPr="00E06855">
        <w:rPr>
          <w:rFonts w:ascii="Times New Roman" w:hAnsi="Times New Roman" w:cs="Times New Roman"/>
          <w:sz w:val="25"/>
          <w:szCs w:val="25"/>
        </w:rPr>
        <w:t xml:space="preserve"> It leaves more room for substantive choices than pure substantive review, but still enables the Court to act, providing for a “golden mean”.</w:t>
      </w:r>
      <w:r w:rsidRPr="00E06855">
        <w:rPr>
          <w:rStyle w:val="FootnoteReference"/>
          <w:rFonts w:ascii="Times New Roman" w:hAnsi="Times New Roman" w:cs="Times New Roman"/>
          <w:sz w:val="25"/>
          <w:szCs w:val="25"/>
        </w:rPr>
        <w:footnoteReference w:id="63"/>
      </w:r>
      <w:r w:rsidRPr="00E06855">
        <w:rPr>
          <w:rFonts w:ascii="Times New Roman" w:hAnsi="Times New Roman" w:cs="Times New Roman"/>
          <w:sz w:val="25"/>
          <w:szCs w:val="25"/>
        </w:rPr>
        <w:t xml:space="preserve"> As Lenaerts comments, process review means the Court does not replace the “substantive choices made by the EU political institutions with their own”, but nor is it an example of “judicial surrender”.</w:t>
      </w:r>
      <w:r w:rsidRPr="00E06855">
        <w:rPr>
          <w:rStyle w:val="FootnoteReference"/>
          <w:rFonts w:ascii="Times New Roman" w:hAnsi="Times New Roman" w:cs="Times New Roman"/>
          <w:sz w:val="25"/>
          <w:szCs w:val="25"/>
        </w:rPr>
        <w:footnoteReference w:id="64"/>
      </w:r>
    </w:p>
    <w:p w14:paraId="0EA6484D" w14:textId="75AF31C5" w:rsidR="00B949B3" w:rsidRPr="00E06855" w:rsidRDefault="00B949B3" w:rsidP="00B949B3">
      <w:pPr>
        <w:rPr>
          <w:rFonts w:ascii="Times New Roman" w:hAnsi="Times New Roman" w:cs="Times New Roman"/>
          <w:sz w:val="25"/>
          <w:szCs w:val="25"/>
        </w:rPr>
      </w:pPr>
      <w:r w:rsidRPr="00E06855">
        <w:rPr>
          <w:rFonts w:ascii="Times New Roman" w:hAnsi="Times New Roman" w:cs="Times New Roman"/>
          <w:sz w:val="25"/>
          <w:szCs w:val="25"/>
        </w:rPr>
        <w:t xml:space="preserve">In addition to this, there is also an underlying ideal that the process review will </w:t>
      </w:r>
      <w:r w:rsidRPr="00E06855">
        <w:rPr>
          <w:rFonts w:ascii="Times New Roman" w:hAnsi="Times New Roman" w:cs="Times New Roman"/>
          <w:i/>
          <w:iCs/>
          <w:sz w:val="25"/>
          <w:szCs w:val="25"/>
        </w:rPr>
        <w:t xml:space="preserve">improve </w:t>
      </w:r>
      <w:r w:rsidRPr="00E06855">
        <w:rPr>
          <w:rFonts w:ascii="Times New Roman" w:hAnsi="Times New Roman" w:cs="Times New Roman"/>
          <w:sz w:val="25"/>
          <w:szCs w:val="25"/>
        </w:rPr>
        <w:t xml:space="preserve">the legislative process.  The </w:t>
      </w:r>
      <w:r w:rsidR="006C4C01" w:rsidRPr="00E06855">
        <w:rPr>
          <w:rFonts w:ascii="Times New Roman" w:hAnsi="Times New Roman" w:cs="Times New Roman"/>
          <w:sz w:val="25"/>
          <w:szCs w:val="25"/>
        </w:rPr>
        <w:t xml:space="preserve">Union </w:t>
      </w:r>
      <w:r w:rsidRPr="00E06855">
        <w:rPr>
          <w:rFonts w:ascii="Times New Roman" w:hAnsi="Times New Roman" w:cs="Times New Roman"/>
          <w:sz w:val="25"/>
          <w:szCs w:val="25"/>
        </w:rPr>
        <w:t>legislature will be aware that its future actions are subject to review and need to comply with certain standards of rationality. This will have the effect of “promoting a broader culture of proof, evidence and rationality in policymaking”.</w:t>
      </w:r>
      <w:r w:rsidRPr="00E06855">
        <w:rPr>
          <w:rStyle w:val="FootnoteReference"/>
          <w:rFonts w:ascii="Times New Roman" w:hAnsi="Times New Roman" w:cs="Times New Roman"/>
          <w:sz w:val="25"/>
          <w:szCs w:val="25"/>
        </w:rPr>
        <w:footnoteReference w:id="65"/>
      </w:r>
      <w:r w:rsidRPr="00E06855">
        <w:rPr>
          <w:rFonts w:ascii="Times New Roman" w:hAnsi="Times New Roman" w:cs="Times New Roman"/>
          <w:sz w:val="25"/>
          <w:szCs w:val="25"/>
        </w:rPr>
        <w:t xml:space="preserve"> Overall, this ensures that the EU legislature will have more “evidence-based justification” for the use of its discretion.</w:t>
      </w:r>
      <w:r w:rsidRPr="00E06855">
        <w:rPr>
          <w:rStyle w:val="FootnoteReference"/>
          <w:rFonts w:ascii="Times New Roman" w:hAnsi="Times New Roman" w:cs="Times New Roman"/>
          <w:sz w:val="25"/>
          <w:szCs w:val="25"/>
        </w:rPr>
        <w:footnoteReference w:id="66"/>
      </w:r>
      <w:r w:rsidRPr="00E06855">
        <w:rPr>
          <w:rFonts w:ascii="Times New Roman" w:hAnsi="Times New Roman" w:cs="Times New Roman"/>
          <w:sz w:val="25"/>
          <w:szCs w:val="25"/>
        </w:rPr>
        <w:t xml:space="preserve"> </w:t>
      </w:r>
    </w:p>
    <w:p w14:paraId="760D2E34" w14:textId="634F7EB7" w:rsidR="00A5332D" w:rsidRPr="00E06855" w:rsidRDefault="00A5332D" w:rsidP="00C2205B">
      <w:pPr>
        <w:pStyle w:val="Heading2"/>
        <w:ind w:left="360"/>
        <w:rPr>
          <w:rFonts w:ascii="Times New Roman" w:hAnsi="Times New Roman" w:cs="Times New Roman"/>
        </w:rPr>
      </w:pPr>
      <w:r w:rsidRPr="00E06855">
        <w:rPr>
          <w:rFonts w:ascii="Times New Roman" w:hAnsi="Times New Roman" w:cs="Times New Roman"/>
        </w:rPr>
        <w:t>Court of Justice Review of Member State Measures for Compliance with Free Movement Prohibitions</w:t>
      </w:r>
    </w:p>
    <w:p w14:paraId="2500AB3F" w14:textId="3859C0BE" w:rsidR="00B3032B" w:rsidRPr="00E06855" w:rsidRDefault="00351025" w:rsidP="00C979BD">
      <w:pPr>
        <w:rPr>
          <w:rFonts w:ascii="Times New Roman" w:hAnsi="Times New Roman" w:cs="Times New Roman"/>
          <w:sz w:val="25"/>
          <w:szCs w:val="25"/>
        </w:rPr>
      </w:pPr>
      <w:r w:rsidRPr="00E06855">
        <w:rPr>
          <w:rFonts w:ascii="Times New Roman" w:hAnsi="Times New Roman" w:cs="Times New Roman"/>
          <w:sz w:val="25"/>
          <w:szCs w:val="25"/>
        </w:rPr>
        <w:t>The second context explored in this paper concerns review of Member State measures</w:t>
      </w:r>
      <w:r w:rsidR="003F27D8" w:rsidRPr="00E06855">
        <w:rPr>
          <w:rFonts w:ascii="Times New Roman" w:hAnsi="Times New Roman" w:cs="Times New Roman"/>
          <w:sz w:val="25"/>
          <w:szCs w:val="25"/>
        </w:rPr>
        <w:t xml:space="preserve"> </w:t>
      </w:r>
      <w:r w:rsidR="00C979BD" w:rsidRPr="00E06855">
        <w:rPr>
          <w:rFonts w:ascii="Times New Roman" w:hAnsi="Times New Roman" w:cs="Times New Roman"/>
          <w:sz w:val="25"/>
          <w:szCs w:val="25"/>
        </w:rPr>
        <w:t xml:space="preserve">for compliance with </w:t>
      </w:r>
      <w:r w:rsidR="00AB0359">
        <w:rPr>
          <w:rFonts w:ascii="Times New Roman" w:hAnsi="Times New Roman" w:cs="Times New Roman"/>
          <w:sz w:val="25"/>
          <w:szCs w:val="25"/>
        </w:rPr>
        <w:t>free movement</w:t>
      </w:r>
      <w:r w:rsidR="00420ED0" w:rsidRPr="00E06855">
        <w:rPr>
          <w:rFonts w:ascii="Times New Roman" w:hAnsi="Times New Roman" w:cs="Times New Roman"/>
          <w:sz w:val="25"/>
          <w:szCs w:val="25"/>
        </w:rPr>
        <w:t xml:space="preserve"> </w:t>
      </w:r>
      <w:r w:rsidR="000D0C22" w:rsidRPr="00E06855">
        <w:rPr>
          <w:rFonts w:ascii="Times New Roman" w:hAnsi="Times New Roman" w:cs="Times New Roman"/>
          <w:sz w:val="25"/>
          <w:szCs w:val="25"/>
        </w:rPr>
        <w:t>law</w:t>
      </w:r>
      <w:r w:rsidR="003F27D8" w:rsidRPr="00E06855">
        <w:rPr>
          <w:rFonts w:ascii="Times New Roman" w:hAnsi="Times New Roman" w:cs="Times New Roman"/>
          <w:sz w:val="25"/>
          <w:szCs w:val="25"/>
        </w:rPr>
        <w:t xml:space="preserve"> and thus also has distinct features compared to the context of Ely’s theory</w:t>
      </w:r>
      <w:r w:rsidR="008400DF" w:rsidRPr="00E06855">
        <w:rPr>
          <w:rFonts w:ascii="Times New Roman" w:hAnsi="Times New Roman" w:cs="Times New Roman"/>
          <w:sz w:val="25"/>
          <w:szCs w:val="25"/>
        </w:rPr>
        <w:t>.</w:t>
      </w:r>
      <w:r w:rsidR="00632B16" w:rsidRPr="00E06855">
        <w:rPr>
          <w:rFonts w:ascii="Times New Roman" w:hAnsi="Times New Roman" w:cs="Times New Roman"/>
          <w:sz w:val="25"/>
          <w:szCs w:val="25"/>
        </w:rPr>
        <w:t xml:space="preserve"> </w:t>
      </w:r>
      <w:r w:rsidR="008031AB">
        <w:rPr>
          <w:rFonts w:ascii="Times New Roman" w:hAnsi="Times New Roman" w:cs="Times New Roman"/>
          <w:sz w:val="25"/>
          <w:szCs w:val="25"/>
        </w:rPr>
        <w:t>Free</w:t>
      </w:r>
      <w:r w:rsidR="00282CD4" w:rsidRPr="00E06855">
        <w:rPr>
          <w:rFonts w:ascii="Times New Roman" w:hAnsi="Times New Roman" w:cs="Times New Roman"/>
          <w:sz w:val="25"/>
          <w:szCs w:val="25"/>
        </w:rPr>
        <w:t xml:space="preserve"> movement </w:t>
      </w:r>
      <w:r w:rsidR="00E82D86" w:rsidRPr="00E06855">
        <w:rPr>
          <w:rFonts w:ascii="Times New Roman" w:hAnsi="Times New Roman" w:cs="Times New Roman"/>
          <w:sz w:val="25"/>
          <w:szCs w:val="25"/>
        </w:rPr>
        <w:t>prohibitions</w:t>
      </w:r>
      <w:r w:rsidR="00282CD4" w:rsidRPr="00E06855">
        <w:rPr>
          <w:rFonts w:ascii="Times New Roman" w:hAnsi="Times New Roman" w:cs="Times New Roman"/>
          <w:sz w:val="25"/>
          <w:szCs w:val="25"/>
        </w:rPr>
        <w:t xml:space="preserve"> have been interpreted bro</w:t>
      </w:r>
      <w:r w:rsidR="00E82D86" w:rsidRPr="00E06855">
        <w:rPr>
          <w:rFonts w:ascii="Times New Roman" w:hAnsi="Times New Roman" w:cs="Times New Roman"/>
          <w:sz w:val="25"/>
          <w:szCs w:val="25"/>
        </w:rPr>
        <w:t>a</w:t>
      </w:r>
      <w:r w:rsidR="00F56FA2" w:rsidRPr="00E06855">
        <w:rPr>
          <w:rFonts w:ascii="Times New Roman" w:hAnsi="Times New Roman" w:cs="Times New Roman"/>
          <w:sz w:val="25"/>
          <w:szCs w:val="25"/>
        </w:rPr>
        <w:t>dly</w:t>
      </w:r>
      <w:r w:rsidR="00E82D86" w:rsidRPr="00E06855">
        <w:rPr>
          <w:rFonts w:ascii="Times New Roman" w:hAnsi="Times New Roman" w:cs="Times New Roman"/>
          <w:sz w:val="25"/>
          <w:szCs w:val="25"/>
        </w:rPr>
        <w:t xml:space="preserve"> </w:t>
      </w:r>
      <w:r w:rsidR="00E82D86" w:rsidRPr="00E06855">
        <w:rPr>
          <w:rFonts w:ascii="Times New Roman" w:hAnsi="Times New Roman" w:cs="Times New Roman"/>
          <w:sz w:val="25"/>
          <w:szCs w:val="25"/>
          <w:lang w:val="en-US"/>
        </w:rPr>
        <w:t xml:space="preserve">resulting in a large number of Member State measures being found as </w:t>
      </w:r>
      <w:r w:rsidR="00E82D86" w:rsidRPr="00E06855">
        <w:rPr>
          <w:rFonts w:ascii="Times New Roman" w:hAnsi="Times New Roman" w:cs="Times New Roman"/>
          <w:i/>
          <w:iCs/>
          <w:sz w:val="25"/>
          <w:szCs w:val="25"/>
          <w:lang w:val="en-US"/>
        </w:rPr>
        <w:t>prima facie</w:t>
      </w:r>
      <w:r w:rsidR="00E82D86" w:rsidRPr="00E06855">
        <w:rPr>
          <w:rFonts w:ascii="Times New Roman" w:hAnsi="Times New Roman" w:cs="Times New Roman"/>
          <w:sz w:val="25"/>
          <w:szCs w:val="25"/>
          <w:lang w:val="en-US"/>
        </w:rPr>
        <w:t xml:space="preserve"> breaches of</w:t>
      </w:r>
      <w:r w:rsidR="00E82D86" w:rsidRPr="00E06855">
        <w:rPr>
          <w:rFonts w:ascii="Times New Roman" w:hAnsi="Times New Roman" w:cs="Times New Roman"/>
          <w:i/>
          <w:iCs/>
          <w:sz w:val="25"/>
          <w:szCs w:val="25"/>
          <w:lang w:val="en-US"/>
        </w:rPr>
        <w:t xml:space="preserve"> </w:t>
      </w:r>
      <w:r w:rsidR="00E82D86" w:rsidRPr="00E06855">
        <w:rPr>
          <w:rFonts w:ascii="Times New Roman" w:hAnsi="Times New Roman" w:cs="Times New Roman"/>
          <w:sz w:val="25"/>
          <w:szCs w:val="25"/>
          <w:lang w:val="en-US"/>
        </w:rPr>
        <w:t>internal market law.</w:t>
      </w:r>
      <w:r w:rsidR="00E82D86" w:rsidRPr="00E06855">
        <w:rPr>
          <w:rStyle w:val="FootnoteReference"/>
          <w:rFonts w:ascii="Times New Roman" w:hAnsi="Times New Roman" w:cs="Times New Roman"/>
          <w:sz w:val="25"/>
          <w:szCs w:val="25"/>
          <w:lang w:val="en-US"/>
        </w:rPr>
        <w:footnoteReference w:id="67"/>
      </w:r>
      <w:r w:rsidR="00F90417" w:rsidRPr="00E06855">
        <w:rPr>
          <w:rFonts w:ascii="Times New Roman" w:hAnsi="Times New Roman" w:cs="Times New Roman"/>
          <w:sz w:val="25"/>
          <w:szCs w:val="25"/>
          <w:lang w:val="en-US"/>
        </w:rPr>
        <w:t xml:space="preserve"> </w:t>
      </w:r>
      <w:r w:rsidR="00313A19">
        <w:rPr>
          <w:rFonts w:ascii="Times New Roman" w:hAnsi="Times New Roman" w:cs="Times New Roman"/>
          <w:sz w:val="25"/>
          <w:szCs w:val="25"/>
          <w:lang w:val="en-US"/>
        </w:rPr>
        <w:t>In terms of legitimacy, t</w:t>
      </w:r>
      <w:r w:rsidR="00182D35" w:rsidRPr="00E06855">
        <w:rPr>
          <w:rFonts w:ascii="Times New Roman" w:hAnsi="Times New Roman" w:cs="Times New Roman"/>
          <w:sz w:val="25"/>
          <w:szCs w:val="25"/>
          <w:lang w:val="en-US"/>
        </w:rPr>
        <w:t>he Court mus</w:t>
      </w:r>
      <w:r w:rsidR="009A7280" w:rsidRPr="00E06855">
        <w:rPr>
          <w:rFonts w:ascii="Times New Roman" w:hAnsi="Times New Roman" w:cs="Times New Roman"/>
          <w:sz w:val="25"/>
          <w:szCs w:val="25"/>
          <w:lang w:val="en-US"/>
        </w:rPr>
        <w:t>t</w:t>
      </w:r>
      <w:r w:rsidR="00182D35" w:rsidRPr="00E06855">
        <w:rPr>
          <w:rFonts w:ascii="Times New Roman" w:hAnsi="Times New Roman" w:cs="Times New Roman"/>
          <w:sz w:val="25"/>
          <w:szCs w:val="25"/>
          <w:lang w:val="en-US"/>
        </w:rPr>
        <w:t xml:space="preserve"> strike a balance between </w:t>
      </w:r>
      <w:r w:rsidR="00E66D67" w:rsidRPr="00E06855">
        <w:rPr>
          <w:rFonts w:ascii="Times New Roman" w:hAnsi="Times New Roman" w:cs="Times New Roman"/>
          <w:sz w:val="25"/>
          <w:szCs w:val="25"/>
          <w:lang w:val="en-US"/>
        </w:rPr>
        <w:t>allowing Member State autonomy</w:t>
      </w:r>
      <w:r w:rsidR="006D78B9" w:rsidRPr="00E06855">
        <w:rPr>
          <w:rFonts w:ascii="Times New Roman" w:hAnsi="Times New Roman" w:cs="Times New Roman"/>
          <w:sz w:val="25"/>
          <w:szCs w:val="25"/>
          <w:lang w:val="en-US"/>
        </w:rPr>
        <w:t>, on the one hand, and</w:t>
      </w:r>
      <w:r w:rsidR="0020082C" w:rsidRPr="00E06855">
        <w:rPr>
          <w:rFonts w:ascii="Times New Roman" w:hAnsi="Times New Roman" w:cs="Times New Roman"/>
          <w:sz w:val="25"/>
          <w:szCs w:val="25"/>
          <w:lang w:val="en-US"/>
        </w:rPr>
        <w:t xml:space="preserve"> enforcing</w:t>
      </w:r>
      <w:r w:rsidR="000E5863" w:rsidRPr="00E06855">
        <w:rPr>
          <w:rFonts w:ascii="Times New Roman" w:hAnsi="Times New Roman" w:cs="Times New Roman"/>
          <w:sz w:val="25"/>
          <w:szCs w:val="25"/>
          <w:lang w:val="en-US"/>
        </w:rPr>
        <w:t xml:space="preserve"> the Internal Market as agreed to by the Member States</w:t>
      </w:r>
      <w:r w:rsidR="00F800BB" w:rsidRPr="00E06855">
        <w:rPr>
          <w:rFonts w:ascii="Times New Roman" w:hAnsi="Times New Roman" w:cs="Times New Roman"/>
          <w:sz w:val="25"/>
          <w:szCs w:val="25"/>
          <w:lang w:val="en-US"/>
        </w:rPr>
        <w:t>, on the other</w:t>
      </w:r>
      <w:r w:rsidR="00C1578D" w:rsidRPr="00E06855">
        <w:rPr>
          <w:rFonts w:ascii="Times New Roman" w:hAnsi="Times New Roman" w:cs="Times New Roman"/>
          <w:sz w:val="25"/>
          <w:szCs w:val="25"/>
          <w:lang w:val="en-US"/>
        </w:rPr>
        <w:t>.</w:t>
      </w:r>
      <w:r w:rsidR="00200227" w:rsidRPr="00E06855">
        <w:rPr>
          <w:rStyle w:val="FootnoteReference"/>
          <w:rFonts w:ascii="Times New Roman" w:hAnsi="Times New Roman" w:cs="Times New Roman"/>
          <w:sz w:val="25"/>
          <w:szCs w:val="25"/>
          <w:lang w:val="en-US"/>
        </w:rPr>
        <w:footnoteReference w:id="68"/>
      </w:r>
    </w:p>
    <w:p w14:paraId="7DFFF3E0" w14:textId="5808116B" w:rsidR="00A5332D" w:rsidRPr="00E06855" w:rsidRDefault="00762D3B" w:rsidP="00A31F0D">
      <w:pPr>
        <w:rPr>
          <w:rFonts w:ascii="Times New Roman" w:hAnsi="Times New Roman" w:cs="Times New Roman"/>
          <w:sz w:val="25"/>
          <w:szCs w:val="25"/>
        </w:rPr>
      </w:pPr>
      <w:r>
        <w:rPr>
          <w:rFonts w:ascii="Times New Roman" w:hAnsi="Times New Roman" w:cs="Times New Roman"/>
          <w:sz w:val="25"/>
          <w:szCs w:val="25"/>
          <w:lang w:val="en-US"/>
        </w:rPr>
        <w:lastRenderedPageBreak/>
        <w:t xml:space="preserve">Where a Member State tries to justify its </w:t>
      </w:r>
      <w:r>
        <w:rPr>
          <w:rFonts w:ascii="Times New Roman" w:hAnsi="Times New Roman" w:cs="Times New Roman"/>
          <w:i/>
          <w:iCs/>
          <w:sz w:val="25"/>
          <w:szCs w:val="25"/>
          <w:lang w:val="en-US"/>
        </w:rPr>
        <w:t>prima facie</w:t>
      </w:r>
      <w:r>
        <w:rPr>
          <w:rFonts w:ascii="Times New Roman" w:hAnsi="Times New Roman" w:cs="Times New Roman"/>
          <w:sz w:val="25"/>
          <w:szCs w:val="25"/>
          <w:lang w:val="en-US"/>
        </w:rPr>
        <w:t xml:space="preserve"> breach of free movement rules on the basis of a legitimate aim</w:t>
      </w:r>
      <w:r w:rsidR="00D77643">
        <w:rPr>
          <w:rFonts w:ascii="Times New Roman" w:hAnsi="Times New Roman" w:cs="Times New Roman"/>
          <w:sz w:val="25"/>
          <w:szCs w:val="25"/>
          <w:lang w:val="en-US"/>
        </w:rPr>
        <w:t>,</w:t>
      </w:r>
      <w:r w:rsidR="00D77643" w:rsidRPr="00E06855">
        <w:rPr>
          <w:rStyle w:val="FootnoteReference"/>
          <w:rFonts w:ascii="Times New Roman" w:hAnsi="Times New Roman" w:cs="Times New Roman"/>
          <w:sz w:val="25"/>
          <w:szCs w:val="25"/>
        </w:rPr>
        <w:footnoteReference w:id="69"/>
      </w:r>
      <w:r w:rsidR="00D77643">
        <w:rPr>
          <w:rFonts w:ascii="Times New Roman" w:hAnsi="Times New Roman" w:cs="Times New Roman"/>
          <w:sz w:val="25"/>
          <w:szCs w:val="25"/>
          <w:lang w:val="en-US"/>
        </w:rPr>
        <w:t xml:space="preserve"> t</w:t>
      </w:r>
      <w:r w:rsidR="00166877">
        <w:rPr>
          <w:rFonts w:ascii="Times New Roman" w:hAnsi="Times New Roman" w:cs="Times New Roman"/>
          <w:sz w:val="25"/>
          <w:szCs w:val="25"/>
          <w:lang w:val="en-US"/>
        </w:rPr>
        <w:t xml:space="preserve">he Court adopts </w:t>
      </w:r>
      <w:r w:rsidR="002A3675">
        <w:rPr>
          <w:rFonts w:ascii="Times New Roman" w:hAnsi="Times New Roman" w:cs="Times New Roman"/>
          <w:sz w:val="25"/>
          <w:szCs w:val="25"/>
          <w:lang w:val="en-US"/>
        </w:rPr>
        <w:t xml:space="preserve">strict scrutiny </w:t>
      </w:r>
      <w:r w:rsidR="003A061B">
        <w:rPr>
          <w:rFonts w:ascii="Times New Roman" w:hAnsi="Times New Roman" w:cs="Times New Roman"/>
          <w:sz w:val="25"/>
          <w:szCs w:val="25"/>
          <w:lang w:val="en-US"/>
        </w:rPr>
        <w:t>in testing the proportionality of the measure.</w:t>
      </w:r>
      <w:r w:rsidR="00A5332D" w:rsidRPr="00E06855">
        <w:rPr>
          <w:rFonts w:ascii="Times New Roman" w:hAnsi="Times New Roman" w:cs="Times New Roman"/>
          <w:sz w:val="25"/>
          <w:szCs w:val="25"/>
        </w:rPr>
        <w:t xml:space="preserve"> </w:t>
      </w:r>
      <w:r w:rsidR="00611B62" w:rsidRPr="00E06855">
        <w:rPr>
          <w:rFonts w:ascii="Times New Roman" w:hAnsi="Times New Roman" w:cs="Times New Roman"/>
          <w:sz w:val="25"/>
          <w:szCs w:val="25"/>
        </w:rPr>
        <w:t>The Court often stresses that justification</w:t>
      </w:r>
      <w:r w:rsidR="00F57BBC" w:rsidRPr="00E06855">
        <w:rPr>
          <w:rFonts w:ascii="Times New Roman" w:hAnsi="Times New Roman" w:cs="Times New Roman"/>
          <w:sz w:val="25"/>
          <w:szCs w:val="25"/>
        </w:rPr>
        <w:t>s</w:t>
      </w:r>
      <w:r w:rsidR="00611B62" w:rsidRPr="00E06855">
        <w:rPr>
          <w:rFonts w:ascii="Times New Roman" w:hAnsi="Times New Roman" w:cs="Times New Roman"/>
          <w:sz w:val="25"/>
          <w:szCs w:val="25"/>
        </w:rPr>
        <w:t xml:space="preserve"> are exceptions</w:t>
      </w:r>
      <w:r w:rsidR="0096722F" w:rsidRPr="00E06855">
        <w:rPr>
          <w:rFonts w:ascii="Times New Roman" w:hAnsi="Times New Roman" w:cs="Times New Roman"/>
          <w:sz w:val="25"/>
          <w:szCs w:val="25"/>
        </w:rPr>
        <w:t xml:space="preserve"> “</w:t>
      </w:r>
      <w:r w:rsidR="0096722F" w:rsidRPr="00E06855">
        <w:rPr>
          <w:rFonts w:ascii="Times New Roman" w:hAnsi="Times New Roman" w:cs="Times New Roman"/>
          <w:sz w:val="25"/>
          <w:szCs w:val="25"/>
          <w:shd w:val="clear" w:color="auto" w:fill="FFFFFF"/>
        </w:rPr>
        <w:t>to be interpreted strictly”</w:t>
      </w:r>
      <w:r w:rsidR="0096722F" w:rsidRPr="00E06855">
        <w:rPr>
          <w:rFonts w:ascii="Times New Roman" w:hAnsi="Times New Roman" w:cs="Times New Roman"/>
          <w:sz w:val="25"/>
          <w:szCs w:val="25"/>
          <w:vertAlign w:val="superscript"/>
        </w:rPr>
        <w:footnoteReference w:id="70"/>
      </w:r>
      <w:r w:rsidR="0096722F" w:rsidRPr="00E06855">
        <w:rPr>
          <w:rFonts w:ascii="Times New Roman" w:hAnsi="Times New Roman" w:cs="Times New Roman"/>
          <w:sz w:val="25"/>
          <w:szCs w:val="25"/>
          <w:shd w:val="clear" w:color="auto" w:fill="FFFFFF"/>
        </w:rPr>
        <w:t xml:space="preserve"> and ought</w:t>
      </w:r>
      <w:r w:rsidR="005030AC" w:rsidRPr="00E06855">
        <w:rPr>
          <w:rFonts w:ascii="Times New Roman" w:hAnsi="Times New Roman" w:cs="Times New Roman"/>
          <w:sz w:val="25"/>
          <w:szCs w:val="25"/>
          <w:shd w:val="clear" w:color="auto" w:fill="FFFFFF"/>
        </w:rPr>
        <w:t xml:space="preserve"> not be “</w:t>
      </w:r>
      <w:r w:rsidR="005030AC" w:rsidRPr="00E06855">
        <w:rPr>
          <w:rFonts w:ascii="Times New Roman" w:hAnsi="Times New Roman" w:cs="Times New Roman"/>
          <w:sz w:val="25"/>
          <w:szCs w:val="25"/>
        </w:rPr>
        <w:t>extended any further than is necessary</w:t>
      </w:r>
      <w:r w:rsidR="005030AC" w:rsidRPr="00E06855">
        <w:rPr>
          <w:rFonts w:ascii="Times New Roman" w:hAnsi="Times New Roman" w:cs="Times New Roman"/>
          <w:i/>
          <w:iCs/>
          <w:sz w:val="25"/>
          <w:szCs w:val="25"/>
        </w:rPr>
        <w:t>”.</w:t>
      </w:r>
      <w:r w:rsidR="005030AC" w:rsidRPr="00E06855">
        <w:rPr>
          <w:rFonts w:ascii="Times New Roman" w:hAnsi="Times New Roman" w:cs="Times New Roman"/>
          <w:sz w:val="25"/>
          <w:szCs w:val="25"/>
          <w:vertAlign w:val="superscript"/>
        </w:rPr>
        <w:footnoteReference w:id="71"/>
      </w:r>
      <w:r w:rsidR="00EC3704" w:rsidRPr="00E06855">
        <w:rPr>
          <w:rFonts w:ascii="Times New Roman" w:hAnsi="Times New Roman" w:cs="Times New Roman"/>
          <w:sz w:val="25"/>
          <w:szCs w:val="25"/>
        </w:rPr>
        <w:t xml:space="preserve"> </w:t>
      </w:r>
      <w:r w:rsidR="00A5332D" w:rsidRPr="00E06855">
        <w:rPr>
          <w:rFonts w:ascii="Times New Roman" w:hAnsi="Times New Roman" w:cs="Times New Roman"/>
          <w:sz w:val="25"/>
          <w:szCs w:val="25"/>
        </w:rPr>
        <w:t xml:space="preserve">Therefore, where a </w:t>
      </w:r>
      <w:r w:rsidR="00364EBC">
        <w:rPr>
          <w:rFonts w:ascii="Times New Roman" w:hAnsi="Times New Roman" w:cs="Times New Roman"/>
          <w:i/>
          <w:iCs/>
          <w:sz w:val="25"/>
          <w:szCs w:val="25"/>
        </w:rPr>
        <w:t>prima facie</w:t>
      </w:r>
      <w:r w:rsidR="00364EBC">
        <w:rPr>
          <w:rFonts w:ascii="Times New Roman" w:hAnsi="Times New Roman" w:cs="Times New Roman"/>
          <w:sz w:val="25"/>
          <w:szCs w:val="25"/>
        </w:rPr>
        <w:t xml:space="preserve"> breach is found</w:t>
      </w:r>
      <w:r w:rsidR="00A5332D" w:rsidRPr="00E06855">
        <w:rPr>
          <w:rFonts w:ascii="Times New Roman" w:hAnsi="Times New Roman" w:cs="Times New Roman"/>
          <w:sz w:val="25"/>
          <w:szCs w:val="25"/>
        </w:rPr>
        <w:t>, the burden of proof is on the Member State to justify its measure.</w:t>
      </w:r>
      <w:r w:rsidR="00A5332D" w:rsidRPr="00E06855">
        <w:rPr>
          <w:rFonts w:ascii="Times New Roman" w:hAnsi="Times New Roman" w:cs="Times New Roman"/>
          <w:sz w:val="25"/>
          <w:szCs w:val="25"/>
          <w:vertAlign w:val="superscript"/>
        </w:rPr>
        <w:footnoteReference w:id="72"/>
      </w:r>
      <w:r w:rsidR="00A5332D" w:rsidRPr="00E06855">
        <w:rPr>
          <w:rFonts w:ascii="Times New Roman" w:hAnsi="Times New Roman" w:cs="Times New Roman"/>
          <w:sz w:val="25"/>
          <w:szCs w:val="25"/>
        </w:rPr>
        <w:t xml:space="preserve"> </w:t>
      </w:r>
    </w:p>
    <w:p w14:paraId="5F3BCE3C" w14:textId="68620182" w:rsidR="00A5332D" w:rsidRPr="00E06855" w:rsidRDefault="00995541" w:rsidP="00BE7929">
      <w:pPr>
        <w:rPr>
          <w:rFonts w:ascii="Times New Roman" w:hAnsi="Times New Roman" w:cs="Times New Roman"/>
          <w:sz w:val="25"/>
          <w:szCs w:val="25"/>
        </w:rPr>
      </w:pPr>
      <w:r w:rsidRPr="00E06855">
        <w:rPr>
          <w:rFonts w:ascii="Times New Roman" w:hAnsi="Times New Roman" w:cs="Times New Roman"/>
          <w:sz w:val="25"/>
          <w:szCs w:val="25"/>
        </w:rPr>
        <w:t xml:space="preserve">The breadth of </w:t>
      </w:r>
      <w:r w:rsidR="00571BD7" w:rsidRPr="00E06855">
        <w:rPr>
          <w:rFonts w:ascii="Times New Roman" w:hAnsi="Times New Roman" w:cs="Times New Roman"/>
          <w:sz w:val="25"/>
          <w:szCs w:val="25"/>
        </w:rPr>
        <w:t>free movement prohibitions</w:t>
      </w:r>
      <w:r w:rsidR="007C1E78" w:rsidRPr="00E06855">
        <w:rPr>
          <w:rFonts w:ascii="Times New Roman" w:hAnsi="Times New Roman" w:cs="Times New Roman"/>
          <w:sz w:val="25"/>
          <w:szCs w:val="25"/>
        </w:rPr>
        <w:t xml:space="preserve">, </w:t>
      </w:r>
      <w:r w:rsidR="00FF2420" w:rsidRPr="00E06855">
        <w:rPr>
          <w:rFonts w:ascii="Times New Roman" w:hAnsi="Times New Roman" w:cs="Times New Roman"/>
          <w:sz w:val="25"/>
          <w:szCs w:val="25"/>
        </w:rPr>
        <w:t>particularly Art. 34 TFEU</w:t>
      </w:r>
      <w:r w:rsidR="009469F0" w:rsidRPr="00E06855">
        <w:rPr>
          <w:rFonts w:ascii="Times New Roman" w:hAnsi="Times New Roman" w:cs="Times New Roman"/>
          <w:sz w:val="25"/>
          <w:szCs w:val="25"/>
        </w:rPr>
        <w:t xml:space="preserve">, has been </w:t>
      </w:r>
      <w:r w:rsidR="00B514DE" w:rsidRPr="00E06855">
        <w:rPr>
          <w:rFonts w:ascii="Times New Roman" w:hAnsi="Times New Roman" w:cs="Times New Roman"/>
          <w:sz w:val="25"/>
          <w:szCs w:val="25"/>
        </w:rPr>
        <w:t>heavily discussed in past literature</w:t>
      </w:r>
      <w:r w:rsidR="001E1F5D" w:rsidRPr="00E06855">
        <w:rPr>
          <w:rFonts w:ascii="Times New Roman" w:hAnsi="Times New Roman" w:cs="Times New Roman"/>
          <w:sz w:val="25"/>
          <w:szCs w:val="25"/>
        </w:rPr>
        <w:t>.</w:t>
      </w:r>
      <w:r w:rsidR="001E1F5D" w:rsidRPr="00E06855">
        <w:rPr>
          <w:rStyle w:val="FootnoteReference"/>
          <w:rFonts w:ascii="Times New Roman" w:hAnsi="Times New Roman" w:cs="Times New Roman"/>
          <w:sz w:val="25"/>
          <w:szCs w:val="25"/>
        </w:rPr>
        <w:footnoteReference w:id="73"/>
      </w:r>
      <w:r w:rsidR="00650574" w:rsidRPr="00E06855">
        <w:rPr>
          <w:rFonts w:ascii="Times New Roman" w:hAnsi="Times New Roman" w:cs="Times New Roman"/>
          <w:sz w:val="25"/>
          <w:szCs w:val="25"/>
        </w:rPr>
        <w:t xml:space="preserve"> More recently,</w:t>
      </w:r>
      <w:r w:rsidR="007651C1" w:rsidRPr="00E06855">
        <w:rPr>
          <w:rFonts w:ascii="Times New Roman" w:hAnsi="Times New Roman" w:cs="Times New Roman"/>
          <w:sz w:val="25"/>
          <w:szCs w:val="25"/>
        </w:rPr>
        <w:t xml:space="preserve"> greater attention has been placed on the issue of justification</w:t>
      </w:r>
      <w:r w:rsidR="00576E32" w:rsidRPr="00E06855">
        <w:rPr>
          <w:rFonts w:ascii="Times New Roman" w:hAnsi="Times New Roman" w:cs="Times New Roman"/>
          <w:sz w:val="25"/>
          <w:szCs w:val="25"/>
        </w:rPr>
        <w:t>. This has manifested itself in a number of forms</w:t>
      </w:r>
      <w:r w:rsidR="005B312E" w:rsidRPr="00E06855">
        <w:rPr>
          <w:rFonts w:ascii="Times New Roman" w:hAnsi="Times New Roman" w:cs="Times New Roman"/>
          <w:sz w:val="25"/>
          <w:szCs w:val="25"/>
        </w:rPr>
        <w:t xml:space="preserve">, with some focusing on </w:t>
      </w:r>
      <w:r w:rsidR="00817615" w:rsidRPr="00E06855">
        <w:rPr>
          <w:rFonts w:ascii="Times New Roman" w:hAnsi="Times New Roman" w:cs="Times New Roman"/>
          <w:sz w:val="25"/>
          <w:szCs w:val="25"/>
        </w:rPr>
        <w:t>fundamental rights</w:t>
      </w:r>
      <w:r w:rsidR="007A17CD" w:rsidRPr="00E06855">
        <w:rPr>
          <w:rFonts w:ascii="Times New Roman" w:hAnsi="Times New Roman" w:cs="Times New Roman"/>
          <w:sz w:val="25"/>
          <w:szCs w:val="25"/>
        </w:rPr>
        <w:t>,</w:t>
      </w:r>
      <w:r w:rsidR="00817615" w:rsidRPr="00E06855">
        <w:rPr>
          <w:rStyle w:val="FootnoteReference"/>
          <w:rFonts w:ascii="Times New Roman" w:hAnsi="Times New Roman" w:cs="Times New Roman"/>
          <w:sz w:val="25"/>
          <w:szCs w:val="25"/>
        </w:rPr>
        <w:footnoteReference w:id="74"/>
      </w:r>
      <w:r w:rsidR="007A17CD" w:rsidRPr="00E06855">
        <w:rPr>
          <w:rFonts w:ascii="Times New Roman" w:hAnsi="Times New Roman" w:cs="Times New Roman"/>
          <w:sz w:val="25"/>
          <w:szCs w:val="25"/>
        </w:rPr>
        <w:t xml:space="preserve"> the principle of identity,</w:t>
      </w:r>
      <w:r w:rsidR="007A17CD" w:rsidRPr="00E06855">
        <w:rPr>
          <w:rStyle w:val="FootnoteReference"/>
          <w:rFonts w:ascii="Times New Roman" w:hAnsi="Times New Roman" w:cs="Times New Roman"/>
          <w:sz w:val="25"/>
          <w:szCs w:val="25"/>
        </w:rPr>
        <w:footnoteReference w:id="75"/>
      </w:r>
      <w:r w:rsidR="007A17CD" w:rsidRPr="00E06855">
        <w:rPr>
          <w:rFonts w:ascii="Times New Roman" w:hAnsi="Times New Roman" w:cs="Times New Roman"/>
          <w:sz w:val="25"/>
          <w:szCs w:val="25"/>
        </w:rPr>
        <w:t xml:space="preserve"> or a more general analysis of whe</w:t>
      </w:r>
      <w:r w:rsidR="00513CE7">
        <w:rPr>
          <w:rFonts w:ascii="Times New Roman" w:hAnsi="Times New Roman" w:cs="Times New Roman"/>
          <w:sz w:val="25"/>
          <w:szCs w:val="25"/>
        </w:rPr>
        <w:t>n</w:t>
      </w:r>
      <w:r w:rsidR="007A17CD" w:rsidRPr="00E06855">
        <w:rPr>
          <w:rFonts w:ascii="Times New Roman" w:hAnsi="Times New Roman" w:cs="Times New Roman"/>
          <w:sz w:val="25"/>
          <w:szCs w:val="25"/>
        </w:rPr>
        <w:t xml:space="preserve"> and how the Court defers to Member States.</w:t>
      </w:r>
      <w:r w:rsidR="007A17CD" w:rsidRPr="00E06855">
        <w:rPr>
          <w:rStyle w:val="FootnoteReference"/>
          <w:rFonts w:ascii="Times New Roman" w:hAnsi="Times New Roman" w:cs="Times New Roman"/>
          <w:sz w:val="25"/>
          <w:szCs w:val="25"/>
        </w:rPr>
        <w:footnoteReference w:id="76"/>
      </w:r>
      <w:r w:rsidR="00F433CA" w:rsidRPr="00E06855">
        <w:rPr>
          <w:rFonts w:ascii="Times New Roman" w:hAnsi="Times New Roman" w:cs="Times New Roman"/>
          <w:sz w:val="25"/>
          <w:szCs w:val="25"/>
        </w:rPr>
        <w:t xml:space="preserve"> </w:t>
      </w:r>
      <w:r w:rsidR="00520390" w:rsidRPr="00E06855">
        <w:rPr>
          <w:rFonts w:ascii="Times New Roman" w:hAnsi="Times New Roman" w:cs="Times New Roman"/>
          <w:sz w:val="25"/>
          <w:szCs w:val="25"/>
        </w:rPr>
        <w:t xml:space="preserve">As part of this </w:t>
      </w:r>
      <w:r w:rsidR="003115B9" w:rsidRPr="00E06855">
        <w:rPr>
          <w:rFonts w:ascii="Times New Roman" w:hAnsi="Times New Roman" w:cs="Times New Roman"/>
          <w:sz w:val="25"/>
          <w:szCs w:val="25"/>
        </w:rPr>
        <w:t>focus on justification</w:t>
      </w:r>
      <w:r w:rsidR="00E42F2B" w:rsidRPr="00E06855">
        <w:rPr>
          <w:rFonts w:ascii="Times New Roman" w:hAnsi="Times New Roman" w:cs="Times New Roman"/>
          <w:sz w:val="25"/>
          <w:szCs w:val="25"/>
        </w:rPr>
        <w:t>, process review emerges as</w:t>
      </w:r>
      <w:r w:rsidR="00A5332D" w:rsidRPr="00E06855">
        <w:rPr>
          <w:rFonts w:ascii="Times New Roman" w:hAnsi="Times New Roman" w:cs="Times New Roman"/>
          <w:sz w:val="25"/>
          <w:szCs w:val="25"/>
        </w:rPr>
        <w:t xml:space="preserve"> a method to offer a more deferential standard</w:t>
      </w:r>
      <w:r w:rsidR="00442E52" w:rsidRPr="00E06855">
        <w:rPr>
          <w:rFonts w:ascii="Times New Roman" w:hAnsi="Times New Roman" w:cs="Times New Roman"/>
          <w:sz w:val="25"/>
          <w:szCs w:val="25"/>
        </w:rPr>
        <w:t xml:space="preserve"> to Member State measures</w:t>
      </w:r>
      <w:r w:rsidR="00A5332D" w:rsidRPr="00E06855">
        <w:rPr>
          <w:rFonts w:ascii="Times New Roman" w:hAnsi="Times New Roman" w:cs="Times New Roman"/>
          <w:sz w:val="25"/>
          <w:szCs w:val="25"/>
        </w:rPr>
        <w:t xml:space="preserve">. As in the first context, this proposal of process review as a solution comes with certain </w:t>
      </w:r>
      <w:r w:rsidR="00467840" w:rsidRPr="00E06855">
        <w:rPr>
          <w:rFonts w:ascii="Times New Roman" w:hAnsi="Times New Roman" w:cs="Times New Roman"/>
          <w:sz w:val="25"/>
          <w:szCs w:val="25"/>
        </w:rPr>
        <w:t xml:space="preserve">expectations </w:t>
      </w:r>
      <w:r w:rsidR="00A5332D" w:rsidRPr="00E06855">
        <w:rPr>
          <w:rFonts w:ascii="Times New Roman" w:hAnsi="Times New Roman" w:cs="Times New Roman"/>
          <w:sz w:val="25"/>
          <w:szCs w:val="25"/>
        </w:rPr>
        <w:t>about the legitimacy of its use and how it will impact on the outcomes of judicial review.</w:t>
      </w:r>
    </w:p>
    <w:p w14:paraId="1463C95D" w14:textId="133A2D17" w:rsidR="00A5332D" w:rsidRPr="00E06855" w:rsidRDefault="00857ACD" w:rsidP="00DD7418">
      <w:pPr>
        <w:pStyle w:val="Heading3"/>
        <w:rPr>
          <w:rFonts w:cs="Times New Roman"/>
        </w:rPr>
      </w:pPr>
      <w:r w:rsidRPr="00E06855">
        <w:rPr>
          <w:rFonts w:cs="Times New Roman"/>
        </w:rPr>
        <w:t xml:space="preserve">The </w:t>
      </w:r>
      <w:r w:rsidR="004E515E" w:rsidRPr="00E06855">
        <w:rPr>
          <w:rFonts w:cs="Times New Roman"/>
        </w:rPr>
        <w:t xml:space="preserve">Expectations of Advocates of Process Review for </w:t>
      </w:r>
      <w:r w:rsidR="00B10DC8" w:rsidRPr="00E06855">
        <w:rPr>
          <w:rFonts w:cs="Times New Roman"/>
        </w:rPr>
        <w:t>Member State Measures</w:t>
      </w:r>
    </w:p>
    <w:p w14:paraId="42CD3F77" w14:textId="6A36C359" w:rsidR="00AD5217" w:rsidRPr="00E06855" w:rsidRDefault="000336B3" w:rsidP="000336B3">
      <w:pPr>
        <w:rPr>
          <w:rFonts w:ascii="Times New Roman" w:eastAsia="Calibri" w:hAnsi="Times New Roman" w:cs="Times New Roman"/>
          <w:sz w:val="25"/>
          <w:szCs w:val="25"/>
          <w:lang w:val="en-US"/>
        </w:rPr>
      </w:pPr>
      <w:r w:rsidRPr="00E06855">
        <w:rPr>
          <w:rFonts w:ascii="Times New Roman" w:hAnsi="Times New Roman" w:cs="Times New Roman"/>
          <w:sz w:val="25"/>
          <w:szCs w:val="25"/>
        </w:rPr>
        <w:lastRenderedPageBreak/>
        <w:t xml:space="preserve">There is more variation in the types of process review in this context compared to the literature on the Union legislature. </w:t>
      </w:r>
      <w:r w:rsidR="005B2765" w:rsidRPr="00E06855">
        <w:rPr>
          <w:rFonts w:ascii="Times New Roman" w:eastAsia="Calibri" w:hAnsi="Times New Roman" w:cs="Times New Roman"/>
          <w:sz w:val="25"/>
          <w:szCs w:val="25"/>
        </w:rPr>
        <w:t>One example comes from</w:t>
      </w:r>
      <w:r w:rsidR="00AD5217" w:rsidRPr="00E06855">
        <w:rPr>
          <w:rFonts w:ascii="Times New Roman" w:eastAsia="Calibri" w:hAnsi="Times New Roman" w:cs="Times New Roman"/>
          <w:sz w:val="25"/>
          <w:szCs w:val="25"/>
        </w:rPr>
        <w:t xml:space="preserve"> De Witte</w:t>
      </w:r>
      <w:r w:rsidR="00437E6C" w:rsidRPr="00E06855">
        <w:rPr>
          <w:rFonts w:ascii="Times New Roman" w:eastAsia="Calibri" w:hAnsi="Times New Roman" w:cs="Times New Roman"/>
          <w:sz w:val="25"/>
          <w:szCs w:val="25"/>
        </w:rPr>
        <w:t>, who</w:t>
      </w:r>
      <w:r w:rsidR="00AD5217" w:rsidRPr="00E06855">
        <w:rPr>
          <w:rFonts w:ascii="Times New Roman" w:eastAsia="Calibri" w:hAnsi="Times New Roman" w:cs="Times New Roman"/>
          <w:sz w:val="25"/>
          <w:szCs w:val="25"/>
        </w:rPr>
        <w:t xml:space="preserve"> suggests that legislation could be assessed on the basis of</w:t>
      </w:r>
      <w:r w:rsidR="00AD5217" w:rsidRPr="00E06855">
        <w:rPr>
          <w:rFonts w:ascii="Times New Roman" w:eastAsia="Calibri" w:hAnsi="Times New Roman" w:cs="Times New Roman"/>
          <w:sz w:val="25"/>
          <w:szCs w:val="25"/>
          <w:lang w:val="en-US"/>
        </w:rPr>
        <w:t xml:space="preserve"> “legislative transparency”.</w:t>
      </w:r>
      <w:r w:rsidR="00AD5217" w:rsidRPr="00E06855">
        <w:rPr>
          <w:rFonts w:ascii="Times New Roman" w:eastAsia="Calibri" w:hAnsi="Times New Roman" w:cs="Times New Roman"/>
          <w:sz w:val="25"/>
          <w:szCs w:val="25"/>
          <w:vertAlign w:val="superscript"/>
          <w:lang w:val="en-US"/>
        </w:rPr>
        <w:footnoteReference w:id="77"/>
      </w:r>
      <w:r w:rsidR="00AD5217" w:rsidRPr="00E06855">
        <w:rPr>
          <w:rFonts w:ascii="Times New Roman" w:eastAsia="Calibri" w:hAnsi="Times New Roman" w:cs="Times New Roman"/>
          <w:sz w:val="25"/>
          <w:szCs w:val="25"/>
          <w:lang w:val="en-US"/>
        </w:rPr>
        <w:t xml:space="preserve"> This would involve review in order to determine whether the Member State is genuinely pursuing the aim that it claims to be pursuing. This “criterion of legislative intent”</w:t>
      </w:r>
      <w:r w:rsidR="00AD5217" w:rsidRPr="00E06855">
        <w:rPr>
          <w:rFonts w:ascii="Times New Roman" w:eastAsia="Calibri" w:hAnsi="Times New Roman" w:cs="Times New Roman"/>
          <w:sz w:val="25"/>
          <w:szCs w:val="25"/>
          <w:vertAlign w:val="superscript"/>
          <w:lang w:val="en-US"/>
        </w:rPr>
        <w:footnoteReference w:id="78"/>
      </w:r>
      <w:r w:rsidR="00AD5217" w:rsidRPr="00E06855">
        <w:rPr>
          <w:rFonts w:ascii="Times New Roman" w:eastAsia="Calibri" w:hAnsi="Times New Roman" w:cs="Times New Roman"/>
          <w:sz w:val="25"/>
          <w:szCs w:val="25"/>
          <w:lang w:val="en-US"/>
        </w:rPr>
        <w:t xml:space="preserve"> would not call into question the policy aims of Member States, but rather ensure that the legislation is genuine and non-protectionist. </w:t>
      </w:r>
    </w:p>
    <w:p w14:paraId="5708857B" w14:textId="6D68F044" w:rsidR="00AD5217" w:rsidRPr="00E06855" w:rsidRDefault="00AD5217" w:rsidP="00AD5217">
      <w:pPr>
        <w:rPr>
          <w:rFonts w:ascii="Times New Roman" w:hAnsi="Times New Roman" w:cs="Times New Roman"/>
          <w:sz w:val="25"/>
          <w:szCs w:val="25"/>
        </w:rPr>
      </w:pPr>
      <w:r w:rsidRPr="00E06855">
        <w:rPr>
          <w:rFonts w:ascii="Times New Roman" w:eastAsia="Calibri" w:hAnsi="Times New Roman" w:cs="Times New Roman"/>
          <w:sz w:val="25"/>
          <w:szCs w:val="25"/>
          <w:lang w:val="en-US"/>
        </w:rPr>
        <w:t xml:space="preserve">Another </w:t>
      </w:r>
      <w:r w:rsidRPr="00E06855">
        <w:rPr>
          <w:rFonts w:ascii="Times New Roman" w:hAnsi="Times New Roman" w:cs="Times New Roman"/>
          <w:sz w:val="25"/>
          <w:szCs w:val="25"/>
          <w:lang w:val="en-US"/>
        </w:rPr>
        <w:t xml:space="preserve">type of process review suggested in the literature is scrutiny of the deliberation of Member States in order to determine whether deference is owed. For example, Gerards argues that </w:t>
      </w:r>
      <w:r w:rsidRPr="00E06855">
        <w:rPr>
          <w:rFonts w:ascii="Times New Roman" w:hAnsi="Times New Roman" w:cs="Times New Roman"/>
          <w:sz w:val="25"/>
          <w:szCs w:val="25"/>
        </w:rPr>
        <w:t>“doubts may exist as to the actual democratic legitimacy of legislatures”</w:t>
      </w:r>
      <w:r w:rsidRPr="00E06855">
        <w:rPr>
          <w:rStyle w:val="FootnoteReference"/>
          <w:rFonts w:ascii="Times New Roman" w:hAnsi="Times New Roman" w:cs="Times New Roman"/>
          <w:sz w:val="25"/>
          <w:szCs w:val="25"/>
        </w:rPr>
        <w:footnoteReference w:id="79"/>
      </w:r>
      <w:r w:rsidRPr="00E06855">
        <w:rPr>
          <w:rFonts w:ascii="Times New Roman" w:hAnsi="Times New Roman" w:cs="Times New Roman"/>
          <w:sz w:val="25"/>
          <w:szCs w:val="25"/>
        </w:rPr>
        <w:t xml:space="preserve"> and their process</w:t>
      </w:r>
      <w:r w:rsidR="00547678">
        <w:rPr>
          <w:rFonts w:ascii="Times New Roman" w:hAnsi="Times New Roman" w:cs="Times New Roman"/>
          <w:sz w:val="25"/>
          <w:szCs w:val="25"/>
        </w:rPr>
        <w:t>es</w:t>
      </w:r>
      <w:r w:rsidRPr="00E06855">
        <w:rPr>
          <w:rFonts w:ascii="Times New Roman" w:hAnsi="Times New Roman" w:cs="Times New Roman"/>
          <w:sz w:val="25"/>
          <w:szCs w:val="25"/>
        </w:rPr>
        <w:t xml:space="preserve"> ought to be reviewed in order to determine whether the deference is owed. Harbo argues that a light standard should only be given if the democratic process is genuine. </w:t>
      </w:r>
      <w:r w:rsidR="00F10F09" w:rsidRPr="00E06855">
        <w:rPr>
          <w:rFonts w:ascii="Times New Roman" w:hAnsi="Times New Roman" w:cs="Times New Roman"/>
          <w:sz w:val="25"/>
          <w:szCs w:val="25"/>
        </w:rPr>
        <w:t>On this account, the</w:t>
      </w:r>
      <w:r w:rsidR="005945C7" w:rsidRPr="00E06855">
        <w:rPr>
          <w:rFonts w:ascii="Times New Roman" w:hAnsi="Times New Roman" w:cs="Times New Roman"/>
          <w:sz w:val="25"/>
          <w:szCs w:val="25"/>
        </w:rPr>
        <w:t xml:space="preserve"> Court should look</w:t>
      </w:r>
      <w:r w:rsidRPr="00E06855">
        <w:rPr>
          <w:rFonts w:ascii="Times New Roman" w:hAnsi="Times New Roman" w:cs="Times New Roman"/>
          <w:sz w:val="25"/>
          <w:szCs w:val="25"/>
        </w:rPr>
        <w:t xml:space="preserve"> for “proof of participation by representatives in the decision-making process” and evidence that the sides are listening to each other in search of a better outcome.</w:t>
      </w:r>
      <w:r w:rsidR="006B0781" w:rsidRPr="00E06855">
        <w:rPr>
          <w:rStyle w:val="FootnoteReference"/>
          <w:rFonts w:ascii="Times New Roman" w:hAnsi="Times New Roman" w:cs="Times New Roman"/>
          <w:sz w:val="25"/>
          <w:szCs w:val="25"/>
        </w:rPr>
        <w:footnoteReference w:id="80"/>
      </w:r>
    </w:p>
    <w:p w14:paraId="7CF5A3EF" w14:textId="03AA7F6F" w:rsidR="00AD5217" w:rsidRPr="00E06855" w:rsidRDefault="00AD5217" w:rsidP="00231208">
      <w:pPr>
        <w:rPr>
          <w:rFonts w:ascii="Times New Roman" w:eastAsia="Calibri" w:hAnsi="Times New Roman" w:cs="Times New Roman"/>
          <w:sz w:val="25"/>
          <w:szCs w:val="25"/>
        </w:rPr>
      </w:pPr>
      <w:r w:rsidRPr="00E06855">
        <w:rPr>
          <w:rFonts w:ascii="Times New Roman" w:hAnsi="Times New Roman" w:cs="Times New Roman"/>
          <w:sz w:val="25"/>
          <w:szCs w:val="25"/>
        </w:rPr>
        <w:t xml:space="preserve">However, for all types of process review offered in this area, there is a common desire that it be used to shift the </w:t>
      </w:r>
      <w:r w:rsidRPr="00E06855">
        <w:rPr>
          <w:rFonts w:ascii="Times New Roman" w:hAnsi="Times New Roman" w:cs="Times New Roman"/>
          <w:i/>
          <w:iCs/>
          <w:sz w:val="25"/>
          <w:szCs w:val="25"/>
        </w:rPr>
        <w:t>outcomes</w:t>
      </w:r>
      <w:r w:rsidRPr="00E06855">
        <w:rPr>
          <w:rFonts w:ascii="Times New Roman" w:hAnsi="Times New Roman" w:cs="Times New Roman"/>
          <w:sz w:val="25"/>
          <w:szCs w:val="25"/>
        </w:rPr>
        <w:t xml:space="preserve"> of judicial review in the direction of greater deference.</w:t>
      </w:r>
      <w:r w:rsidRPr="00E06855">
        <w:rPr>
          <w:rFonts w:ascii="Times New Roman" w:hAnsi="Times New Roman" w:cs="Times New Roman"/>
          <w:color w:val="FF0000"/>
          <w:sz w:val="25"/>
          <w:szCs w:val="25"/>
        </w:rPr>
        <w:t xml:space="preserve"> </w:t>
      </w:r>
      <w:r w:rsidRPr="00E06855">
        <w:rPr>
          <w:rFonts w:ascii="Times New Roman" w:eastAsia="Calibri" w:hAnsi="Times New Roman" w:cs="Times New Roman"/>
          <w:sz w:val="25"/>
          <w:szCs w:val="25"/>
        </w:rPr>
        <w:t xml:space="preserve">For example, De Witte contrasts substantive proportionality review, which is “highly prescriptive of the substance of acceptable national measures” with </w:t>
      </w:r>
      <w:r w:rsidRPr="00E06855">
        <w:rPr>
          <w:rFonts w:ascii="Times New Roman" w:eastAsia="Calibri" w:hAnsi="Times New Roman" w:cs="Times New Roman"/>
          <w:sz w:val="25"/>
          <w:szCs w:val="25"/>
          <w:lang w:val="en-US"/>
        </w:rPr>
        <w:t>process</w:t>
      </w:r>
      <w:r w:rsidRPr="00E06855">
        <w:rPr>
          <w:rFonts w:ascii="Times New Roman" w:eastAsia="Calibri" w:hAnsi="Times New Roman" w:cs="Times New Roman"/>
          <w:sz w:val="25"/>
          <w:szCs w:val="25"/>
        </w:rPr>
        <w:t xml:space="preserve"> review which is “more respectful of normative policy aims”.</w:t>
      </w:r>
      <w:r w:rsidRPr="00E06855">
        <w:rPr>
          <w:rFonts w:ascii="Times New Roman" w:eastAsia="Calibri" w:hAnsi="Times New Roman" w:cs="Times New Roman"/>
          <w:sz w:val="25"/>
          <w:szCs w:val="25"/>
          <w:vertAlign w:val="superscript"/>
        </w:rPr>
        <w:footnoteReference w:id="81"/>
      </w:r>
      <w:r w:rsidR="00AA4C8A" w:rsidRPr="00E06855">
        <w:rPr>
          <w:rFonts w:ascii="Times New Roman" w:eastAsia="Calibri" w:hAnsi="Times New Roman" w:cs="Times New Roman"/>
          <w:sz w:val="25"/>
          <w:szCs w:val="25"/>
        </w:rPr>
        <w:t xml:space="preserve"> Process review has been described as a way to </w:t>
      </w:r>
      <w:r w:rsidR="00231208" w:rsidRPr="00E06855">
        <w:rPr>
          <w:rFonts w:ascii="Times New Roman" w:eastAsia="Calibri" w:hAnsi="Times New Roman" w:cs="Times New Roman"/>
          <w:sz w:val="25"/>
          <w:szCs w:val="25"/>
        </w:rPr>
        <w:t>“secure judicial deference”</w:t>
      </w:r>
      <w:r w:rsidR="008911CF" w:rsidRPr="00E06855">
        <w:rPr>
          <w:rFonts w:ascii="Times New Roman" w:eastAsia="Calibri" w:hAnsi="Times New Roman" w:cs="Times New Roman"/>
          <w:sz w:val="25"/>
          <w:szCs w:val="25"/>
        </w:rPr>
        <w:t>,</w:t>
      </w:r>
      <w:r w:rsidR="00231208" w:rsidRPr="00E06855">
        <w:rPr>
          <w:rFonts w:ascii="Times New Roman" w:eastAsia="Calibri" w:hAnsi="Times New Roman" w:cs="Times New Roman"/>
          <w:sz w:val="25"/>
          <w:szCs w:val="25"/>
          <w:vertAlign w:val="superscript"/>
        </w:rPr>
        <w:footnoteReference w:id="82"/>
      </w:r>
      <w:r w:rsidR="00AA4C8A" w:rsidRPr="00E06855">
        <w:rPr>
          <w:rFonts w:ascii="Times New Roman" w:eastAsia="Calibri" w:hAnsi="Times New Roman" w:cs="Times New Roman"/>
          <w:sz w:val="25"/>
          <w:szCs w:val="25"/>
        </w:rPr>
        <w:t xml:space="preserve"> or</w:t>
      </w:r>
      <w:r w:rsidR="00231208" w:rsidRPr="00E06855">
        <w:rPr>
          <w:rFonts w:ascii="Times New Roman" w:eastAsia="Calibri" w:hAnsi="Times New Roman" w:cs="Times New Roman"/>
          <w:sz w:val="25"/>
          <w:szCs w:val="25"/>
        </w:rPr>
        <w:t xml:space="preserve"> as capable of being part of a </w:t>
      </w:r>
      <w:r w:rsidRPr="00E06855">
        <w:rPr>
          <w:rFonts w:ascii="Times New Roman" w:eastAsia="Calibri" w:hAnsi="Times New Roman" w:cs="Times New Roman"/>
          <w:sz w:val="25"/>
          <w:szCs w:val="25"/>
        </w:rPr>
        <w:t xml:space="preserve"> “doctrine of deference” for the Court.</w:t>
      </w:r>
      <w:r w:rsidRPr="00E06855">
        <w:rPr>
          <w:rFonts w:ascii="Times New Roman" w:eastAsia="Calibri" w:hAnsi="Times New Roman" w:cs="Times New Roman"/>
          <w:sz w:val="25"/>
          <w:szCs w:val="25"/>
          <w:vertAlign w:val="superscript"/>
        </w:rPr>
        <w:footnoteReference w:id="83"/>
      </w:r>
    </w:p>
    <w:p w14:paraId="769F095F" w14:textId="7003415D" w:rsidR="00AD5217" w:rsidRPr="00E06855" w:rsidRDefault="00AD5217" w:rsidP="00AD5217">
      <w:pPr>
        <w:rPr>
          <w:rFonts w:ascii="Times New Roman" w:hAnsi="Times New Roman" w:cs="Times New Roman"/>
          <w:sz w:val="25"/>
          <w:szCs w:val="25"/>
        </w:rPr>
      </w:pPr>
      <w:r w:rsidRPr="00E06855">
        <w:rPr>
          <w:rFonts w:ascii="Times New Roman" w:hAnsi="Times New Roman" w:cs="Times New Roman"/>
          <w:sz w:val="25"/>
          <w:szCs w:val="25"/>
          <w:lang w:val="en-US"/>
        </w:rPr>
        <w:t xml:space="preserve">In this way, </w:t>
      </w:r>
      <w:r w:rsidR="008F1026" w:rsidRPr="00E06855">
        <w:rPr>
          <w:rFonts w:ascii="Times New Roman" w:hAnsi="Times New Roman" w:cs="Times New Roman"/>
          <w:sz w:val="25"/>
          <w:szCs w:val="25"/>
          <w:lang w:val="en-US"/>
        </w:rPr>
        <w:t>its</w:t>
      </w:r>
      <w:r w:rsidRPr="00E06855">
        <w:rPr>
          <w:rFonts w:ascii="Times New Roman" w:hAnsi="Times New Roman" w:cs="Times New Roman"/>
          <w:sz w:val="25"/>
          <w:szCs w:val="25"/>
          <w:lang w:val="en-US"/>
        </w:rPr>
        <w:t xml:space="preserve"> advocates believe that process review will change the </w:t>
      </w:r>
      <w:r w:rsidRPr="00E06855">
        <w:rPr>
          <w:rFonts w:ascii="Times New Roman" w:hAnsi="Times New Roman" w:cs="Times New Roman"/>
          <w:i/>
          <w:iCs/>
          <w:sz w:val="25"/>
          <w:szCs w:val="25"/>
          <w:lang w:val="en-US"/>
        </w:rPr>
        <w:t xml:space="preserve">outcomes </w:t>
      </w:r>
      <w:r w:rsidRPr="00E06855">
        <w:rPr>
          <w:rFonts w:ascii="Times New Roman" w:hAnsi="Times New Roman" w:cs="Times New Roman"/>
          <w:sz w:val="25"/>
          <w:szCs w:val="25"/>
          <w:lang w:val="en-US"/>
        </w:rPr>
        <w:t xml:space="preserve">of review, by minimising the amount of Member State decisions that the Court strikes down. </w:t>
      </w:r>
      <w:r w:rsidR="002C39C7" w:rsidRPr="00E06855">
        <w:rPr>
          <w:rFonts w:ascii="Times New Roman" w:hAnsi="Times New Roman" w:cs="Times New Roman"/>
          <w:sz w:val="25"/>
          <w:szCs w:val="25"/>
          <w:lang w:val="en-US"/>
        </w:rPr>
        <w:t>On this view, such deference</w:t>
      </w:r>
      <w:r w:rsidRPr="00E06855">
        <w:rPr>
          <w:rFonts w:ascii="Times New Roman" w:hAnsi="Times New Roman" w:cs="Times New Roman"/>
          <w:sz w:val="25"/>
          <w:szCs w:val="25"/>
          <w:lang w:val="en-US"/>
        </w:rPr>
        <w:t xml:space="preserve"> is necessary because great</w:t>
      </w:r>
      <w:r w:rsidR="003049AB" w:rsidRPr="00E06855">
        <w:rPr>
          <w:rFonts w:ascii="Times New Roman" w:hAnsi="Times New Roman" w:cs="Times New Roman"/>
          <w:sz w:val="25"/>
          <w:szCs w:val="25"/>
          <w:lang w:val="en-US"/>
        </w:rPr>
        <w:t xml:space="preserve">er </w:t>
      </w:r>
      <w:r w:rsidRPr="00E06855">
        <w:rPr>
          <w:rFonts w:ascii="Times New Roman" w:hAnsi="Times New Roman" w:cs="Times New Roman"/>
          <w:sz w:val="25"/>
          <w:szCs w:val="25"/>
          <w:lang w:val="en-US"/>
        </w:rPr>
        <w:t>Member State autonomy is desirable, particularly on key moral, cultural and ethical issues.</w:t>
      </w:r>
      <w:r w:rsidRPr="00E06855">
        <w:rPr>
          <w:rStyle w:val="FootnoteReference"/>
          <w:rFonts w:ascii="Times New Roman" w:hAnsi="Times New Roman" w:cs="Times New Roman"/>
          <w:sz w:val="25"/>
          <w:szCs w:val="25"/>
          <w:lang w:val="en-US"/>
        </w:rPr>
        <w:footnoteReference w:id="84"/>
      </w:r>
    </w:p>
    <w:p w14:paraId="4E3783F6" w14:textId="1F27D91A" w:rsidR="00AD5217" w:rsidRPr="00E06855" w:rsidRDefault="00AD5217" w:rsidP="00221C67">
      <w:pPr>
        <w:rPr>
          <w:rFonts w:ascii="Times New Roman" w:hAnsi="Times New Roman" w:cs="Times New Roman"/>
          <w:sz w:val="25"/>
          <w:szCs w:val="25"/>
        </w:rPr>
      </w:pPr>
      <w:r w:rsidRPr="00E06855">
        <w:rPr>
          <w:rFonts w:ascii="Times New Roman" w:hAnsi="Times New Roman" w:cs="Times New Roman"/>
          <w:sz w:val="25"/>
          <w:szCs w:val="25"/>
        </w:rPr>
        <w:lastRenderedPageBreak/>
        <w:t>De Witte argues that each Member State has a legitimate political forum through which important social values are articulated and negotiated.</w:t>
      </w:r>
      <w:r w:rsidRPr="00E06855">
        <w:rPr>
          <w:rFonts w:ascii="Times New Roman" w:hAnsi="Times New Roman" w:cs="Times New Roman"/>
          <w:sz w:val="25"/>
          <w:szCs w:val="25"/>
          <w:vertAlign w:val="superscript"/>
        </w:rPr>
        <w:footnoteReference w:id="85"/>
      </w:r>
      <w:r w:rsidRPr="00E06855">
        <w:rPr>
          <w:rFonts w:ascii="Times New Roman" w:hAnsi="Times New Roman" w:cs="Times New Roman"/>
          <w:sz w:val="25"/>
          <w:szCs w:val="25"/>
        </w:rPr>
        <w:t xml:space="preserve"> Such values reflect the individual and the society’s sense of self and the norms that are generated should not be subject to a cost-benefit analysis. The issue is that the standard proportionality test focus</w:t>
      </w:r>
      <w:r w:rsidR="00026723" w:rsidRPr="00E06855">
        <w:rPr>
          <w:rFonts w:ascii="Times New Roman" w:hAnsi="Times New Roman" w:cs="Times New Roman"/>
          <w:sz w:val="25"/>
          <w:szCs w:val="25"/>
        </w:rPr>
        <w:t>es</w:t>
      </w:r>
      <w:r w:rsidRPr="00E06855">
        <w:rPr>
          <w:rFonts w:ascii="Times New Roman" w:hAnsi="Times New Roman" w:cs="Times New Roman"/>
          <w:sz w:val="25"/>
          <w:szCs w:val="25"/>
        </w:rPr>
        <w:t xml:space="preserve"> not on the internal reasonableness of the measure, but rather</w:t>
      </w:r>
      <w:r w:rsidR="007F6D6F" w:rsidRPr="00E06855">
        <w:rPr>
          <w:rFonts w:ascii="Times New Roman" w:hAnsi="Times New Roman" w:cs="Times New Roman"/>
          <w:sz w:val="25"/>
          <w:szCs w:val="25"/>
        </w:rPr>
        <w:t xml:space="preserve"> on</w:t>
      </w:r>
      <w:r w:rsidRPr="00E06855">
        <w:rPr>
          <w:rFonts w:ascii="Times New Roman" w:hAnsi="Times New Roman" w:cs="Times New Roman"/>
          <w:sz w:val="25"/>
          <w:szCs w:val="25"/>
        </w:rPr>
        <w:t xml:space="preserve"> the measure’s relationship </w:t>
      </w:r>
      <w:r w:rsidR="003F5571" w:rsidRPr="00E06855">
        <w:rPr>
          <w:rFonts w:ascii="Times New Roman" w:hAnsi="Times New Roman" w:cs="Times New Roman"/>
          <w:sz w:val="25"/>
          <w:szCs w:val="25"/>
        </w:rPr>
        <w:t xml:space="preserve">to </w:t>
      </w:r>
      <w:r w:rsidRPr="00E06855">
        <w:rPr>
          <w:rFonts w:ascii="Times New Roman" w:hAnsi="Times New Roman" w:cs="Times New Roman"/>
          <w:sz w:val="25"/>
          <w:szCs w:val="25"/>
        </w:rPr>
        <w:t xml:space="preserve">and effect on external policy choices and actors, making it inappropriate in certain areas that are sensitive to Member States. </w:t>
      </w:r>
      <w:r w:rsidR="00C928E3" w:rsidRPr="00E06855">
        <w:rPr>
          <w:rFonts w:ascii="Times New Roman" w:hAnsi="Times New Roman" w:cs="Times New Roman"/>
          <w:sz w:val="25"/>
          <w:szCs w:val="25"/>
        </w:rPr>
        <w:t>T</w:t>
      </w:r>
      <w:r w:rsidR="00221C67" w:rsidRPr="00E06855">
        <w:rPr>
          <w:rFonts w:ascii="Times New Roman" w:hAnsi="Times New Roman" w:cs="Times New Roman"/>
          <w:sz w:val="25"/>
          <w:szCs w:val="25"/>
        </w:rPr>
        <w:t>he</w:t>
      </w:r>
      <w:r w:rsidRPr="00E06855">
        <w:rPr>
          <w:rFonts w:ascii="Times New Roman" w:hAnsi="Times New Roman" w:cs="Times New Roman"/>
          <w:sz w:val="25"/>
          <w:szCs w:val="25"/>
        </w:rPr>
        <w:t xml:space="preserve"> essential ethical issues faced by a society are</w:t>
      </w:r>
      <w:r w:rsidR="00CA2DBE" w:rsidRPr="00E06855">
        <w:rPr>
          <w:rFonts w:ascii="Times New Roman" w:hAnsi="Times New Roman" w:cs="Times New Roman"/>
          <w:sz w:val="25"/>
          <w:szCs w:val="25"/>
        </w:rPr>
        <w:t xml:space="preserve"> thus</w:t>
      </w:r>
      <w:r w:rsidRPr="00E06855">
        <w:rPr>
          <w:rFonts w:ascii="Times New Roman" w:hAnsi="Times New Roman" w:cs="Times New Roman"/>
          <w:sz w:val="25"/>
          <w:szCs w:val="25"/>
        </w:rPr>
        <w:t xml:space="preserve"> transferred “from the national democratic arena to the transnational judiciary”.</w:t>
      </w:r>
      <w:r w:rsidRPr="00E06855">
        <w:rPr>
          <w:rFonts w:ascii="Times New Roman" w:hAnsi="Times New Roman" w:cs="Times New Roman"/>
          <w:sz w:val="25"/>
          <w:szCs w:val="25"/>
          <w:vertAlign w:val="superscript"/>
        </w:rPr>
        <w:footnoteReference w:id="86"/>
      </w:r>
      <w:r w:rsidRPr="00E06855">
        <w:rPr>
          <w:rFonts w:ascii="Times New Roman" w:hAnsi="Times New Roman" w:cs="Times New Roman"/>
          <w:sz w:val="25"/>
          <w:szCs w:val="25"/>
        </w:rPr>
        <w:t xml:space="preserve"> On this argument, the Court ought to respect the right of “strong democratic institutions on the national level” to express their policy choices.</w:t>
      </w:r>
      <w:r w:rsidRPr="00E06855">
        <w:rPr>
          <w:rFonts w:ascii="Times New Roman" w:hAnsi="Times New Roman" w:cs="Times New Roman"/>
          <w:sz w:val="25"/>
          <w:szCs w:val="25"/>
          <w:vertAlign w:val="superscript"/>
        </w:rPr>
        <w:footnoteReference w:id="87"/>
      </w:r>
    </w:p>
    <w:p w14:paraId="0D1E0E0B" w14:textId="670DB843" w:rsidR="00B91A3D" w:rsidRPr="00FA4068" w:rsidRDefault="00961576" w:rsidP="00AD5217">
      <w:pPr>
        <w:rPr>
          <w:rFonts w:ascii="Times New Roman" w:hAnsi="Times New Roman" w:cs="Times New Roman"/>
          <w:sz w:val="25"/>
          <w:szCs w:val="25"/>
        </w:rPr>
      </w:pPr>
      <w:r w:rsidRPr="00E06855">
        <w:rPr>
          <w:rFonts w:ascii="Times New Roman" w:hAnsi="Times New Roman" w:cs="Times New Roman"/>
          <w:sz w:val="25"/>
          <w:szCs w:val="25"/>
        </w:rPr>
        <w:t xml:space="preserve">On this account, </w:t>
      </w:r>
      <w:r w:rsidR="00A27E2B" w:rsidRPr="00E06855">
        <w:rPr>
          <w:rFonts w:ascii="Times New Roman" w:hAnsi="Times New Roman" w:cs="Times New Roman"/>
          <w:sz w:val="25"/>
          <w:szCs w:val="25"/>
        </w:rPr>
        <w:t>offering g</w:t>
      </w:r>
      <w:r w:rsidR="00434B23" w:rsidRPr="00E06855">
        <w:rPr>
          <w:rFonts w:ascii="Times New Roman" w:hAnsi="Times New Roman" w:cs="Times New Roman"/>
          <w:sz w:val="25"/>
          <w:szCs w:val="25"/>
        </w:rPr>
        <w:t>reater deference to substantive choices is a more appropriate</w:t>
      </w:r>
      <w:r w:rsidR="005E0C43" w:rsidRPr="00E06855">
        <w:rPr>
          <w:rFonts w:ascii="Times New Roman" w:hAnsi="Times New Roman" w:cs="Times New Roman"/>
          <w:sz w:val="25"/>
          <w:szCs w:val="25"/>
        </w:rPr>
        <w:t xml:space="preserve"> position</w:t>
      </w:r>
      <w:r w:rsidR="00434B23" w:rsidRPr="00E06855">
        <w:rPr>
          <w:rFonts w:ascii="Times New Roman" w:hAnsi="Times New Roman" w:cs="Times New Roman"/>
          <w:sz w:val="25"/>
          <w:szCs w:val="25"/>
        </w:rPr>
        <w:t xml:space="preserve"> for the Court </w:t>
      </w:r>
      <w:r w:rsidR="005E0C43" w:rsidRPr="00E06855">
        <w:rPr>
          <w:rFonts w:ascii="Times New Roman" w:hAnsi="Times New Roman" w:cs="Times New Roman"/>
          <w:sz w:val="25"/>
          <w:szCs w:val="25"/>
        </w:rPr>
        <w:t>to take.</w:t>
      </w:r>
      <w:r w:rsidR="00B73F0F" w:rsidRPr="00E06855">
        <w:rPr>
          <w:rFonts w:ascii="Times New Roman" w:hAnsi="Times New Roman" w:cs="Times New Roman"/>
          <w:sz w:val="25"/>
          <w:szCs w:val="25"/>
        </w:rPr>
        <w:t xml:space="preserve"> </w:t>
      </w:r>
      <w:r w:rsidR="00AD5217" w:rsidRPr="00E06855">
        <w:rPr>
          <w:rFonts w:ascii="Times New Roman" w:hAnsi="Times New Roman" w:cs="Times New Roman"/>
          <w:sz w:val="25"/>
          <w:szCs w:val="25"/>
        </w:rPr>
        <w:t>Newdick states that the Court is “wholly unsuited” to making substantive decisions.</w:t>
      </w:r>
      <w:r w:rsidR="00AD5217" w:rsidRPr="00E06855">
        <w:rPr>
          <w:rStyle w:val="FootnoteReference"/>
          <w:rFonts w:ascii="Times New Roman" w:hAnsi="Times New Roman" w:cs="Times New Roman"/>
          <w:sz w:val="25"/>
          <w:szCs w:val="25"/>
        </w:rPr>
        <w:footnoteReference w:id="88"/>
      </w:r>
      <w:r w:rsidR="00AD5217" w:rsidRPr="00E06855">
        <w:rPr>
          <w:rFonts w:ascii="Times New Roman" w:hAnsi="Times New Roman" w:cs="Times New Roman"/>
          <w:sz w:val="25"/>
          <w:szCs w:val="25"/>
        </w:rPr>
        <w:t xml:space="preserve">  Gerards argues that key value judgments should normally be made by the legislature or executive “given their democratic legitimacy and their instruments and equipment to assess and balance social, economic and political interests.”</w:t>
      </w:r>
      <w:r w:rsidR="00AD5217" w:rsidRPr="00E06855">
        <w:rPr>
          <w:rStyle w:val="FootnoteReference"/>
          <w:rFonts w:ascii="Times New Roman" w:hAnsi="Times New Roman" w:cs="Times New Roman"/>
          <w:sz w:val="25"/>
          <w:szCs w:val="25"/>
        </w:rPr>
        <w:footnoteReference w:id="89"/>
      </w:r>
      <w:r w:rsidR="004C76B7" w:rsidRPr="00E06855">
        <w:rPr>
          <w:rFonts w:ascii="Times New Roman" w:hAnsi="Times New Roman" w:cs="Times New Roman"/>
          <w:sz w:val="25"/>
          <w:szCs w:val="25"/>
        </w:rPr>
        <w:t xml:space="preserve"> In this way, </w:t>
      </w:r>
      <w:r w:rsidR="00CB1730" w:rsidRPr="00E06855">
        <w:rPr>
          <w:rFonts w:ascii="Times New Roman" w:hAnsi="Times New Roman" w:cs="Times New Roman"/>
          <w:sz w:val="25"/>
          <w:szCs w:val="25"/>
        </w:rPr>
        <w:t>a</w:t>
      </w:r>
      <w:r w:rsidR="004C76B7" w:rsidRPr="00E06855">
        <w:rPr>
          <w:rFonts w:ascii="Times New Roman" w:hAnsi="Times New Roman" w:cs="Times New Roman"/>
          <w:sz w:val="25"/>
          <w:szCs w:val="25"/>
        </w:rPr>
        <w:t xml:space="preserve"> focus on process is more </w:t>
      </w:r>
      <w:r w:rsidR="004C76B7" w:rsidRPr="00E06855">
        <w:rPr>
          <w:rFonts w:ascii="Times New Roman" w:hAnsi="Times New Roman" w:cs="Times New Roman"/>
          <w:i/>
          <w:iCs/>
          <w:sz w:val="25"/>
          <w:szCs w:val="25"/>
        </w:rPr>
        <w:t>legitimate</w:t>
      </w:r>
      <w:r w:rsidR="004C76B7" w:rsidRPr="00E06855">
        <w:rPr>
          <w:rFonts w:ascii="Times New Roman" w:hAnsi="Times New Roman" w:cs="Times New Roman"/>
          <w:sz w:val="25"/>
          <w:szCs w:val="25"/>
        </w:rPr>
        <w:t xml:space="preserve"> than the Court’s current substantive focus.</w:t>
      </w:r>
      <w:r w:rsidR="001F4521">
        <w:rPr>
          <w:rFonts w:ascii="Times New Roman" w:hAnsi="Times New Roman" w:cs="Times New Roman"/>
          <w:sz w:val="25"/>
          <w:szCs w:val="25"/>
        </w:rPr>
        <w:t xml:space="preserve"> </w:t>
      </w:r>
      <w:r w:rsidR="00B91A3D">
        <w:rPr>
          <w:rFonts w:ascii="Times New Roman" w:hAnsi="Times New Roman" w:cs="Times New Roman"/>
          <w:sz w:val="25"/>
          <w:szCs w:val="25"/>
        </w:rPr>
        <w:t>Having examine</w:t>
      </w:r>
      <w:r w:rsidR="00477E71">
        <w:rPr>
          <w:rFonts w:ascii="Times New Roman" w:hAnsi="Times New Roman" w:cs="Times New Roman"/>
          <w:sz w:val="25"/>
          <w:szCs w:val="25"/>
        </w:rPr>
        <w:t>d both contexts,</w:t>
      </w:r>
      <w:r w:rsidR="00131CF8">
        <w:rPr>
          <w:rFonts w:ascii="Times New Roman" w:hAnsi="Times New Roman" w:cs="Times New Roman"/>
          <w:sz w:val="25"/>
          <w:szCs w:val="25"/>
        </w:rPr>
        <w:t xml:space="preserve"> the</w:t>
      </w:r>
      <w:r w:rsidR="00172CF6">
        <w:rPr>
          <w:rFonts w:ascii="Times New Roman" w:hAnsi="Times New Roman" w:cs="Times New Roman"/>
          <w:sz w:val="25"/>
          <w:szCs w:val="25"/>
        </w:rPr>
        <w:t xml:space="preserve"> final</w:t>
      </w:r>
      <w:r w:rsidR="00472FCE">
        <w:rPr>
          <w:rFonts w:ascii="Times New Roman" w:hAnsi="Times New Roman" w:cs="Times New Roman"/>
          <w:sz w:val="25"/>
          <w:szCs w:val="25"/>
        </w:rPr>
        <w:t xml:space="preserve"> two sections</w:t>
      </w:r>
      <w:r w:rsidR="00814DB8">
        <w:rPr>
          <w:rFonts w:ascii="Times New Roman" w:hAnsi="Times New Roman" w:cs="Times New Roman"/>
          <w:sz w:val="25"/>
          <w:szCs w:val="25"/>
        </w:rPr>
        <w:t xml:space="preserve"> assess the extent to</w:t>
      </w:r>
      <w:r w:rsidR="00D106FF">
        <w:rPr>
          <w:rFonts w:ascii="Times New Roman" w:hAnsi="Times New Roman" w:cs="Times New Roman"/>
          <w:sz w:val="25"/>
          <w:szCs w:val="25"/>
        </w:rPr>
        <w:t xml:space="preserve"> which</w:t>
      </w:r>
      <w:r w:rsidR="00747D39">
        <w:rPr>
          <w:rFonts w:ascii="Times New Roman" w:hAnsi="Times New Roman" w:cs="Times New Roman"/>
          <w:sz w:val="25"/>
          <w:szCs w:val="25"/>
        </w:rPr>
        <w:t xml:space="preserve"> the expectations of process review advocates</w:t>
      </w:r>
      <w:r w:rsidR="00FA4068">
        <w:rPr>
          <w:rFonts w:ascii="Times New Roman" w:hAnsi="Times New Roman" w:cs="Times New Roman"/>
          <w:sz w:val="25"/>
          <w:szCs w:val="25"/>
        </w:rPr>
        <w:t xml:space="preserve"> are realised in practice, both in terms of </w:t>
      </w:r>
      <w:r w:rsidR="00FA4068">
        <w:rPr>
          <w:rFonts w:ascii="Times New Roman" w:hAnsi="Times New Roman" w:cs="Times New Roman"/>
          <w:i/>
          <w:iCs/>
          <w:sz w:val="25"/>
          <w:szCs w:val="25"/>
        </w:rPr>
        <w:t xml:space="preserve">outcomes </w:t>
      </w:r>
      <w:r w:rsidR="00FA4068">
        <w:rPr>
          <w:rFonts w:ascii="Times New Roman" w:hAnsi="Times New Roman" w:cs="Times New Roman"/>
          <w:sz w:val="25"/>
          <w:szCs w:val="25"/>
        </w:rPr>
        <w:t xml:space="preserve">and </w:t>
      </w:r>
      <w:r w:rsidR="00FA4068">
        <w:rPr>
          <w:rFonts w:ascii="Times New Roman" w:hAnsi="Times New Roman" w:cs="Times New Roman"/>
          <w:i/>
          <w:iCs/>
          <w:sz w:val="25"/>
          <w:szCs w:val="25"/>
        </w:rPr>
        <w:t>legitimacy</w:t>
      </w:r>
      <w:r w:rsidR="00FA4068">
        <w:rPr>
          <w:rFonts w:ascii="Times New Roman" w:hAnsi="Times New Roman" w:cs="Times New Roman"/>
          <w:sz w:val="25"/>
          <w:szCs w:val="25"/>
        </w:rPr>
        <w:t>.</w:t>
      </w:r>
    </w:p>
    <w:p w14:paraId="2B2FA214" w14:textId="57A9D0D3" w:rsidR="0003059D" w:rsidRPr="00E06855" w:rsidRDefault="00DC74E9" w:rsidP="00AB00AD">
      <w:pPr>
        <w:pStyle w:val="Heading1"/>
        <w:rPr>
          <w:rFonts w:ascii="Times New Roman" w:hAnsi="Times New Roman" w:cs="Times New Roman"/>
        </w:rPr>
      </w:pPr>
      <w:r w:rsidRPr="00E06855">
        <w:rPr>
          <w:rFonts w:ascii="Times New Roman" w:hAnsi="Times New Roman" w:cs="Times New Roman"/>
        </w:rPr>
        <w:t xml:space="preserve">The </w:t>
      </w:r>
      <w:r w:rsidRPr="006925A1">
        <w:rPr>
          <w:rFonts w:ascii="Times New Roman" w:hAnsi="Times New Roman" w:cs="Times New Roman"/>
          <w:i/>
          <w:iCs/>
        </w:rPr>
        <w:t>Outcomes</w:t>
      </w:r>
      <w:r w:rsidRPr="00E06855">
        <w:rPr>
          <w:rFonts w:ascii="Times New Roman" w:hAnsi="Times New Roman" w:cs="Times New Roman"/>
        </w:rPr>
        <w:t xml:space="preserve"> of </w:t>
      </w:r>
      <w:r w:rsidR="00AB00AD">
        <w:rPr>
          <w:rFonts w:ascii="Times New Roman" w:hAnsi="Times New Roman" w:cs="Times New Roman"/>
        </w:rPr>
        <w:t>P</w:t>
      </w:r>
      <w:r w:rsidRPr="00E06855">
        <w:rPr>
          <w:rFonts w:ascii="Times New Roman" w:hAnsi="Times New Roman" w:cs="Times New Roman"/>
        </w:rPr>
        <w:t>rocess Review</w:t>
      </w:r>
      <w:r w:rsidR="00BC483B" w:rsidRPr="00E06855">
        <w:rPr>
          <w:rFonts w:ascii="Times New Roman" w:hAnsi="Times New Roman" w:cs="Times New Roman"/>
        </w:rPr>
        <w:t xml:space="preserve"> in the European Union</w:t>
      </w:r>
    </w:p>
    <w:p w14:paraId="51809C59" w14:textId="18F40DE3" w:rsidR="0003059D" w:rsidRPr="00E06855" w:rsidRDefault="005E0C0A" w:rsidP="0003059D">
      <w:pPr>
        <w:rPr>
          <w:rFonts w:ascii="Times New Roman" w:hAnsi="Times New Roman" w:cs="Times New Roman"/>
          <w:sz w:val="25"/>
          <w:szCs w:val="25"/>
        </w:rPr>
      </w:pPr>
      <w:r w:rsidRPr="00E06855">
        <w:rPr>
          <w:rFonts w:ascii="Times New Roman" w:hAnsi="Times New Roman" w:cs="Times New Roman"/>
          <w:sz w:val="25"/>
          <w:szCs w:val="25"/>
        </w:rPr>
        <w:t xml:space="preserve">This section critiques the </w:t>
      </w:r>
      <w:r w:rsidR="0003059D" w:rsidRPr="00E06855">
        <w:rPr>
          <w:rFonts w:ascii="Times New Roman" w:hAnsi="Times New Roman" w:cs="Times New Roman"/>
          <w:sz w:val="25"/>
          <w:szCs w:val="25"/>
        </w:rPr>
        <w:t>expectation that a focus on process can help to shift the standard</w:t>
      </w:r>
      <w:r w:rsidR="009B2C76" w:rsidRPr="00E06855">
        <w:rPr>
          <w:rFonts w:ascii="Times New Roman" w:hAnsi="Times New Roman" w:cs="Times New Roman"/>
          <w:sz w:val="25"/>
          <w:szCs w:val="25"/>
        </w:rPr>
        <w:t xml:space="preserve">, and thus the </w:t>
      </w:r>
      <w:r w:rsidR="009B2C76" w:rsidRPr="00E06855">
        <w:rPr>
          <w:rFonts w:ascii="Times New Roman" w:hAnsi="Times New Roman" w:cs="Times New Roman"/>
          <w:i/>
          <w:iCs/>
          <w:sz w:val="25"/>
          <w:szCs w:val="25"/>
        </w:rPr>
        <w:t>outcomes</w:t>
      </w:r>
      <w:r w:rsidR="00982C76" w:rsidRPr="00E06855">
        <w:rPr>
          <w:rFonts w:ascii="Times New Roman" w:hAnsi="Times New Roman" w:cs="Times New Roman"/>
          <w:sz w:val="25"/>
          <w:szCs w:val="25"/>
        </w:rPr>
        <w:t>,</w:t>
      </w:r>
      <w:r w:rsidR="0003059D" w:rsidRPr="00E06855">
        <w:rPr>
          <w:rFonts w:ascii="Times New Roman" w:hAnsi="Times New Roman" w:cs="Times New Roman"/>
          <w:sz w:val="25"/>
          <w:szCs w:val="25"/>
        </w:rPr>
        <w:t xml:space="preserve"> of judicial review.</w:t>
      </w:r>
      <w:r w:rsidR="003C26C6" w:rsidRPr="00E06855">
        <w:rPr>
          <w:rFonts w:ascii="Times New Roman" w:hAnsi="Times New Roman" w:cs="Times New Roman"/>
          <w:sz w:val="25"/>
          <w:szCs w:val="25"/>
        </w:rPr>
        <w:t xml:space="preserve"> </w:t>
      </w:r>
      <w:r w:rsidR="0003059D" w:rsidRPr="00E06855">
        <w:rPr>
          <w:rFonts w:ascii="Times New Roman" w:hAnsi="Times New Roman" w:cs="Times New Roman"/>
          <w:sz w:val="25"/>
          <w:szCs w:val="25"/>
        </w:rPr>
        <w:t>In the two contexts of the paper, something of a dissonance emerge</w:t>
      </w:r>
      <w:r w:rsidR="005A2CE7">
        <w:rPr>
          <w:rFonts w:ascii="Times New Roman" w:hAnsi="Times New Roman" w:cs="Times New Roman"/>
          <w:sz w:val="25"/>
          <w:szCs w:val="25"/>
        </w:rPr>
        <w:t>s</w:t>
      </w:r>
      <w:r w:rsidR="0003059D" w:rsidRPr="00E06855">
        <w:rPr>
          <w:rFonts w:ascii="Times New Roman" w:hAnsi="Times New Roman" w:cs="Times New Roman"/>
          <w:sz w:val="25"/>
          <w:szCs w:val="25"/>
        </w:rPr>
        <w:t xml:space="preserve"> in the advocacy of process review. Both literatures argue for a shift in the standard of review but do so in </w:t>
      </w:r>
      <w:r w:rsidR="0003059D" w:rsidRPr="00E06855">
        <w:rPr>
          <w:rFonts w:ascii="Times New Roman" w:hAnsi="Times New Roman" w:cs="Times New Roman"/>
          <w:i/>
          <w:iCs/>
          <w:sz w:val="25"/>
          <w:szCs w:val="25"/>
        </w:rPr>
        <w:t>opposite</w:t>
      </w:r>
      <w:r w:rsidR="0003059D" w:rsidRPr="00E06855">
        <w:rPr>
          <w:rFonts w:ascii="Times New Roman" w:hAnsi="Times New Roman" w:cs="Times New Roman"/>
          <w:sz w:val="25"/>
          <w:szCs w:val="25"/>
        </w:rPr>
        <w:t xml:space="preserve"> directions. In the Union context, process review is proposed as a way to </w:t>
      </w:r>
      <w:r w:rsidR="0003059D" w:rsidRPr="00E06855">
        <w:rPr>
          <w:rFonts w:ascii="Times New Roman" w:hAnsi="Times New Roman" w:cs="Times New Roman"/>
          <w:i/>
          <w:iCs/>
          <w:sz w:val="25"/>
          <w:szCs w:val="25"/>
        </w:rPr>
        <w:t>increase</w:t>
      </w:r>
      <w:r w:rsidR="0003059D" w:rsidRPr="00E06855">
        <w:rPr>
          <w:rFonts w:ascii="Times New Roman" w:hAnsi="Times New Roman" w:cs="Times New Roman"/>
          <w:sz w:val="25"/>
          <w:szCs w:val="25"/>
        </w:rPr>
        <w:t xml:space="preserve"> the intensity of review. In the Member State context, </w:t>
      </w:r>
      <w:r w:rsidR="00923B6E" w:rsidRPr="00E06855">
        <w:rPr>
          <w:rFonts w:ascii="Times New Roman" w:hAnsi="Times New Roman" w:cs="Times New Roman"/>
          <w:sz w:val="25"/>
          <w:szCs w:val="25"/>
        </w:rPr>
        <w:t>it</w:t>
      </w:r>
      <w:r w:rsidR="0003059D" w:rsidRPr="00E06855">
        <w:rPr>
          <w:rFonts w:ascii="Times New Roman" w:hAnsi="Times New Roman" w:cs="Times New Roman"/>
          <w:sz w:val="25"/>
          <w:szCs w:val="25"/>
        </w:rPr>
        <w:t xml:space="preserve"> is proposed as way to </w:t>
      </w:r>
      <w:r w:rsidR="0003059D" w:rsidRPr="00E06855">
        <w:rPr>
          <w:rFonts w:ascii="Times New Roman" w:hAnsi="Times New Roman" w:cs="Times New Roman"/>
          <w:i/>
          <w:iCs/>
          <w:sz w:val="25"/>
          <w:szCs w:val="25"/>
        </w:rPr>
        <w:t>lessen</w:t>
      </w:r>
      <w:r w:rsidR="0003059D" w:rsidRPr="00E06855">
        <w:rPr>
          <w:rFonts w:ascii="Times New Roman" w:hAnsi="Times New Roman" w:cs="Times New Roman"/>
          <w:sz w:val="25"/>
          <w:szCs w:val="25"/>
        </w:rPr>
        <w:t xml:space="preserve"> the intensity of review. </w:t>
      </w:r>
    </w:p>
    <w:p w14:paraId="4DFAEC81" w14:textId="17569ACA" w:rsidR="0003059D" w:rsidRPr="00E06855" w:rsidRDefault="0003059D" w:rsidP="0003059D">
      <w:pPr>
        <w:rPr>
          <w:rFonts w:ascii="Times New Roman" w:hAnsi="Times New Roman" w:cs="Times New Roman"/>
          <w:sz w:val="25"/>
          <w:szCs w:val="25"/>
        </w:rPr>
      </w:pPr>
      <w:r w:rsidRPr="00E06855">
        <w:rPr>
          <w:rFonts w:ascii="Times New Roman" w:hAnsi="Times New Roman" w:cs="Times New Roman"/>
          <w:sz w:val="25"/>
          <w:szCs w:val="25"/>
        </w:rPr>
        <w:lastRenderedPageBreak/>
        <w:t>Following Ely, this apparent dissonance could be defended on the basis that process review offers a “mid-point” between the excesses of a pure substantive review</w:t>
      </w:r>
      <w:r w:rsidR="00460279" w:rsidRPr="00E06855">
        <w:rPr>
          <w:rFonts w:ascii="Times New Roman" w:hAnsi="Times New Roman" w:cs="Times New Roman"/>
          <w:sz w:val="25"/>
          <w:szCs w:val="25"/>
        </w:rPr>
        <w:t xml:space="preserve"> </w:t>
      </w:r>
      <w:r w:rsidRPr="00E06855">
        <w:rPr>
          <w:rFonts w:ascii="Times New Roman" w:hAnsi="Times New Roman" w:cs="Times New Roman"/>
          <w:sz w:val="25"/>
          <w:szCs w:val="25"/>
        </w:rPr>
        <w:t>and the weakness of a light-touch review. However,</w:t>
      </w:r>
      <w:r w:rsidR="00F43B67" w:rsidRPr="00E06855">
        <w:rPr>
          <w:rFonts w:ascii="Times New Roman" w:hAnsi="Times New Roman" w:cs="Times New Roman"/>
          <w:sz w:val="25"/>
          <w:szCs w:val="25"/>
        </w:rPr>
        <w:t xml:space="preserve"> </w:t>
      </w:r>
      <w:r w:rsidRPr="00E06855">
        <w:rPr>
          <w:rFonts w:ascii="Times New Roman" w:hAnsi="Times New Roman" w:cs="Times New Roman"/>
          <w:sz w:val="25"/>
          <w:szCs w:val="25"/>
        </w:rPr>
        <w:t xml:space="preserve">it would not accord with reality to </w:t>
      </w:r>
      <w:r w:rsidRPr="00E06855">
        <w:rPr>
          <w:rFonts w:ascii="Times New Roman" w:hAnsi="Times New Roman" w:cs="Times New Roman"/>
          <w:i/>
          <w:iCs/>
          <w:sz w:val="25"/>
          <w:szCs w:val="25"/>
        </w:rPr>
        <w:t>bind</w:t>
      </w:r>
      <w:r w:rsidRPr="00E06855">
        <w:rPr>
          <w:rFonts w:ascii="Times New Roman" w:hAnsi="Times New Roman" w:cs="Times New Roman"/>
          <w:sz w:val="25"/>
          <w:szCs w:val="25"/>
        </w:rPr>
        <w:t xml:space="preserve"> process review to a particular standard. As we will see in this section, the intensity of review can vary greatly </w:t>
      </w:r>
      <w:r w:rsidRPr="00E06855">
        <w:rPr>
          <w:rFonts w:ascii="Times New Roman" w:hAnsi="Times New Roman" w:cs="Times New Roman"/>
          <w:i/>
          <w:iCs/>
          <w:sz w:val="25"/>
          <w:szCs w:val="25"/>
        </w:rPr>
        <w:t>within</w:t>
      </w:r>
      <w:r w:rsidRPr="00E06855">
        <w:rPr>
          <w:rFonts w:ascii="Times New Roman" w:hAnsi="Times New Roman" w:cs="Times New Roman"/>
          <w:sz w:val="25"/>
          <w:szCs w:val="25"/>
        </w:rPr>
        <w:t xml:space="preserve"> process review. With this point in mind, the dissonance between the two contexts suggests that process review has become </w:t>
      </w:r>
      <w:r w:rsidR="00314652" w:rsidRPr="00E06855">
        <w:rPr>
          <w:rFonts w:ascii="Times New Roman" w:hAnsi="Times New Roman" w:cs="Times New Roman"/>
          <w:sz w:val="25"/>
          <w:szCs w:val="25"/>
        </w:rPr>
        <w:t xml:space="preserve">something of </w:t>
      </w:r>
      <w:r w:rsidRPr="00E06855">
        <w:rPr>
          <w:rFonts w:ascii="Times New Roman" w:hAnsi="Times New Roman" w:cs="Times New Roman"/>
          <w:sz w:val="25"/>
          <w:szCs w:val="25"/>
        </w:rPr>
        <w:t>a panacea that can act as “all things to all people”</w:t>
      </w:r>
      <w:r w:rsidR="00195051" w:rsidRPr="00E06855">
        <w:rPr>
          <w:rFonts w:ascii="Times New Roman" w:hAnsi="Times New Roman" w:cs="Times New Roman"/>
          <w:sz w:val="25"/>
          <w:szCs w:val="25"/>
        </w:rPr>
        <w:t>; it is</w:t>
      </w:r>
      <w:r w:rsidRPr="00E06855">
        <w:rPr>
          <w:rFonts w:ascii="Times New Roman" w:hAnsi="Times New Roman" w:cs="Times New Roman"/>
          <w:sz w:val="25"/>
          <w:szCs w:val="25"/>
        </w:rPr>
        <w:t xml:space="preserve"> expected to </w:t>
      </w:r>
      <w:r w:rsidR="00E45858" w:rsidRPr="00E06855">
        <w:rPr>
          <w:rFonts w:ascii="Times New Roman" w:hAnsi="Times New Roman" w:cs="Times New Roman"/>
          <w:sz w:val="25"/>
          <w:szCs w:val="25"/>
        </w:rPr>
        <w:t xml:space="preserve">solve </w:t>
      </w:r>
      <w:r w:rsidRPr="00E06855">
        <w:rPr>
          <w:rFonts w:ascii="Times New Roman" w:hAnsi="Times New Roman" w:cs="Times New Roman"/>
          <w:sz w:val="25"/>
          <w:szCs w:val="25"/>
        </w:rPr>
        <w:t xml:space="preserve">a range of problems in varying ways. Those dissatisfied with how the Court </w:t>
      </w:r>
      <w:r w:rsidR="00C10B72" w:rsidRPr="00E06855">
        <w:rPr>
          <w:rFonts w:ascii="Times New Roman" w:hAnsi="Times New Roman" w:cs="Times New Roman"/>
          <w:sz w:val="25"/>
          <w:szCs w:val="25"/>
        </w:rPr>
        <w:t>is</w:t>
      </w:r>
      <w:r w:rsidRPr="00E06855">
        <w:rPr>
          <w:rFonts w:ascii="Times New Roman" w:hAnsi="Times New Roman" w:cs="Times New Roman"/>
          <w:sz w:val="25"/>
          <w:szCs w:val="25"/>
        </w:rPr>
        <w:t xml:space="preserve"> adopting a light-touch standard </w:t>
      </w:r>
      <w:r w:rsidR="003948C7" w:rsidRPr="00E06855">
        <w:rPr>
          <w:rFonts w:ascii="Times New Roman" w:hAnsi="Times New Roman" w:cs="Times New Roman"/>
          <w:sz w:val="25"/>
          <w:szCs w:val="25"/>
        </w:rPr>
        <w:t>for</w:t>
      </w:r>
      <w:r w:rsidRPr="00E06855">
        <w:rPr>
          <w:rFonts w:ascii="Times New Roman" w:hAnsi="Times New Roman" w:cs="Times New Roman"/>
          <w:sz w:val="25"/>
          <w:szCs w:val="25"/>
        </w:rPr>
        <w:t xml:space="preserve"> Union legislat</w:t>
      </w:r>
      <w:r w:rsidR="004A6FB2" w:rsidRPr="00E06855">
        <w:rPr>
          <w:rFonts w:ascii="Times New Roman" w:hAnsi="Times New Roman" w:cs="Times New Roman"/>
          <w:sz w:val="25"/>
          <w:szCs w:val="25"/>
        </w:rPr>
        <w:t>ion</w:t>
      </w:r>
      <w:r w:rsidRPr="00E06855">
        <w:rPr>
          <w:rFonts w:ascii="Times New Roman" w:hAnsi="Times New Roman" w:cs="Times New Roman"/>
          <w:sz w:val="25"/>
          <w:szCs w:val="25"/>
        </w:rPr>
        <w:t xml:space="preserve"> latch on to the potential for procedural standards to offer more intensity. Those dissatisfied with the Court’s intense enforcement of the internal market can latch onto process as a way to offer more room for substantive values.</w:t>
      </w:r>
    </w:p>
    <w:p w14:paraId="40AB1DB4" w14:textId="4B5FAE0B" w:rsidR="00960232" w:rsidRPr="00E06855" w:rsidRDefault="0003059D" w:rsidP="005D42E1">
      <w:pPr>
        <w:rPr>
          <w:rFonts w:ascii="Times New Roman" w:hAnsi="Times New Roman" w:cs="Times New Roman"/>
          <w:sz w:val="25"/>
          <w:szCs w:val="25"/>
        </w:rPr>
      </w:pPr>
      <w:r w:rsidRPr="00E06855">
        <w:rPr>
          <w:rFonts w:ascii="Times New Roman" w:hAnsi="Times New Roman" w:cs="Times New Roman"/>
          <w:sz w:val="25"/>
          <w:szCs w:val="25"/>
        </w:rPr>
        <w:t xml:space="preserve">This faith placed in process review emerges from the promise of the process-substance distinction and its ideal of leaving substantive decision-making to the legislature. But as we have seen, </w:t>
      </w:r>
      <w:r w:rsidR="005065C2" w:rsidRPr="00E06855">
        <w:rPr>
          <w:rFonts w:ascii="Times New Roman" w:hAnsi="Times New Roman" w:cs="Times New Roman"/>
          <w:sz w:val="25"/>
          <w:szCs w:val="25"/>
        </w:rPr>
        <w:t xml:space="preserve">owing to its lack of clarity, </w:t>
      </w:r>
      <w:r w:rsidRPr="00E06855">
        <w:rPr>
          <w:rFonts w:ascii="Times New Roman" w:hAnsi="Times New Roman" w:cs="Times New Roman"/>
          <w:sz w:val="25"/>
          <w:szCs w:val="25"/>
        </w:rPr>
        <w:t>this distinction may fail to live up to this promise.</w:t>
      </w:r>
      <w:r w:rsidR="00C52BC8" w:rsidRPr="00E06855">
        <w:rPr>
          <w:rFonts w:ascii="Times New Roman" w:hAnsi="Times New Roman" w:cs="Times New Roman"/>
          <w:sz w:val="25"/>
          <w:szCs w:val="25"/>
        </w:rPr>
        <w:t xml:space="preserve"> </w:t>
      </w:r>
      <w:r w:rsidR="000171FE" w:rsidRPr="00E06855">
        <w:rPr>
          <w:rFonts w:ascii="Times New Roman" w:hAnsi="Times New Roman" w:cs="Times New Roman"/>
          <w:sz w:val="25"/>
          <w:szCs w:val="25"/>
        </w:rPr>
        <w:t xml:space="preserve">This </w:t>
      </w:r>
      <w:r w:rsidR="006E6D44" w:rsidRPr="00E06855">
        <w:rPr>
          <w:rFonts w:ascii="Times New Roman" w:hAnsi="Times New Roman" w:cs="Times New Roman"/>
          <w:sz w:val="25"/>
          <w:szCs w:val="25"/>
        </w:rPr>
        <w:t>difficulty in</w:t>
      </w:r>
      <w:r w:rsidR="000171FE" w:rsidRPr="00E06855">
        <w:rPr>
          <w:rFonts w:ascii="Times New Roman" w:hAnsi="Times New Roman" w:cs="Times New Roman"/>
          <w:sz w:val="25"/>
          <w:szCs w:val="25"/>
        </w:rPr>
        <w:t xml:space="preserve"> shift</w:t>
      </w:r>
      <w:r w:rsidR="006E6D44" w:rsidRPr="00E06855">
        <w:rPr>
          <w:rFonts w:ascii="Times New Roman" w:hAnsi="Times New Roman" w:cs="Times New Roman"/>
          <w:sz w:val="25"/>
          <w:szCs w:val="25"/>
        </w:rPr>
        <w:t>ing</w:t>
      </w:r>
      <w:r w:rsidR="000171FE" w:rsidRPr="00E06855">
        <w:rPr>
          <w:rFonts w:ascii="Times New Roman" w:hAnsi="Times New Roman" w:cs="Times New Roman"/>
          <w:sz w:val="25"/>
          <w:szCs w:val="25"/>
        </w:rPr>
        <w:t xml:space="preserve"> judicial outcomes is exacerbated by</w:t>
      </w:r>
      <w:r w:rsidR="005D42E1" w:rsidRPr="00E06855">
        <w:rPr>
          <w:rFonts w:ascii="Times New Roman" w:hAnsi="Times New Roman" w:cs="Times New Roman"/>
          <w:sz w:val="25"/>
          <w:szCs w:val="25"/>
        </w:rPr>
        <w:t xml:space="preserve"> the</w:t>
      </w:r>
      <w:r w:rsidR="00017BD4" w:rsidRPr="00E06855">
        <w:rPr>
          <w:rFonts w:ascii="Times New Roman" w:hAnsi="Times New Roman" w:cs="Times New Roman"/>
          <w:sz w:val="25"/>
          <w:szCs w:val="25"/>
        </w:rPr>
        <w:t xml:space="preserve"> </w:t>
      </w:r>
      <w:r w:rsidR="00BE1E5E" w:rsidRPr="00E06855">
        <w:rPr>
          <w:rFonts w:ascii="Times New Roman" w:hAnsi="Times New Roman" w:cs="Times New Roman"/>
          <w:sz w:val="25"/>
          <w:szCs w:val="25"/>
        </w:rPr>
        <w:t>interpretive discretion available to the Court in the above contex</w:t>
      </w:r>
      <w:r w:rsidR="006307D1" w:rsidRPr="00E06855">
        <w:rPr>
          <w:rFonts w:ascii="Times New Roman" w:hAnsi="Times New Roman" w:cs="Times New Roman"/>
          <w:sz w:val="25"/>
          <w:szCs w:val="25"/>
        </w:rPr>
        <w:t>ts.</w:t>
      </w:r>
      <w:r w:rsidR="007E1600" w:rsidRPr="00E06855">
        <w:rPr>
          <w:rStyle w:val="FootnoteReference"/>
          <w:rFonts w:ascii="Times New Roman" w:hAnsi="Times New Roman" w:cs="Times New Roman"/>
          <w:sz w:val="25"/>
          <w:szCs w:val="25"/>
        </w:rPr>
        <w:footnoteReference w:id="90"/>
      </w:r>
    </w:p>
    <w:p w14:paraId="4D221396" w14:textId="75515903" w:rsidR="0003059D" w:rsidRPr="00E06855" w:rsidRDefault="0003059D" w:rsidP="00080DF0">
      <w:pPr>
        <w:rPr>
          <w:rFonts w:ascii="Times New Roman" w:hAnsi="Times New Roman" w:cs="Times New Roman"/>
          <w:sz w:val="25"/>
          <w:szCs w:val="25"/>
        </w:rPr>
      </w:pPr>
      <w:r w:rsidRPr="00E06855">
        <w:rPr>
          <w:rFonts w:ascii="Times New Roman" w:hAnsi="Times New Roman" w:cs="Times New Roman"/>
          <w:sz w:val="25"/>
          <w:szCs w:val="25"/>
        </w:rPr>
        <w:t>As in Ely’s theory, which concerned the interpretation of the broadly framed provisions of the US constitution, the Court here is interpreting the broad principles of proportionality and subsidiarity. For such principles, it is necessary to abandon the ideal of classical legal scholarship, that legal interpretation is syllogistic and a court faced with facts will follow its route of reasoning to the outcomes.</w:t>
      </w:r>
      <w:r w:rsidRPr="00E06855">
        <w:rPr>
          <w:rStyle w:val="FootnoteReference"/>
          <w:rFonts w:ascii="Times New Roman" w:hAnsi="Times New Roman" w:cs="Times New Roman"/>
          <w:sz w:val="25"/>
          <w:szCs w:val="25"/>
        </w:rPr>
        <w:footnoteReference w:id="91"/>
      </w:r>
      <w:r w:rsidRPr="00E06855">
        <w:rPr>
          <w:rFonts w:ascii="Times New Roman" w:hAnsi="Times New Roman" w:cs="Times New Roman"/>
          <w:sz w:val="25"/>
          <w:szCs w:val="25"/>
        </w:rPr>
        <w:t xml:space="preserve"> </w:t>
      </w:r>
      <w:r w:rsidR="00F01732">
        <w:rPr>
          <w:rFonts w:ascii="Times New Roman" w:hAnsi="Times New Roman" w:cs="Times New Roman"/>
          <w:sz w:val="25"/>
          <w:szCs w:val="25"/>
        </w:rPr>
        <w:t>Due to the “massive delegation” of power that the Treaty founders entrusted the Court with</w:t>
      </w:r>
      <w:r w:rsidR="00BA48ED">
        <w:rPr>
          <w:rFonts w:ascii="Times New Roman" w:hAnsi="Times New Roman" w:cs="Times New Roman"/>
          <w:sz w:val="25"/>
          <w:szCs w:val="25"/>
        </w:rPr>
        <w:t xml:space="preserve">, it must </w:t>
      </w:r>
      <w:r w:rsidR="006B639B">
        <w:rPr>
          <w:rFonts w:ascii="Times New Roman" w:hAnsi="Times New Roman" w:cs="Times New Roman"/>
          <w:sz w:val="25"/>
          <w:szCs w:val="25"/>
        </w:rPr>
        <w:t>balance sensitive political issues in determining decision</w:t>
      </w:r>
      <w:r w:rsidR="00977AE8">
        <w:rPr>
          <w:rFonts w:ascii="Times New Roman" w:hAnsi="Times New Roman" w:cs="Times New Roman"/>
          <w:sz w:val="25"/>
          <w:szCs w:val="25"/>
        </w:rPr>
        <w:t>s</w:t>
      </w:r>
      <w:r w:rsidR="0005478C">
        <w:rPr>
          <w:rFonts w:ascii="Times New Roman" w:hAnsi="Times New Roman" w:cs="Times New Roman"/>
          <w:sz w:val="25"/>
          <w:szCs w:val="25"/>
        </w:rPr>
        <w:t>.</w:t>
      </w:r>
      <w:r w:rsidR="00B035ED" w:rsidRPr="006E7D7D">
        <w:rPr>
          <w:rStyle w:val="FootnoteReference"/>
          <w:szCs w:val="22"/>
        </w:rPr>
        <w:footnoteReference w:id="92"/>
      </w:r>
      <w:r w:rsidR="00B035ED" w:rsidRPr="006E7D7D">
        <w:rPr>
          <w:szCs w:val="22"/>
        </w:rPr>
        <w:t xml:space="preserve"> </w:t>
      </w:r>
      <w:r w:rsidR="0005478C">
        <w:rPr>
          <w:rFonts w:ascii="Times New Roman" w:hAnsi="Times New Roman" w:cs="Times New Roman"/>
          <w:sz w:val="25"/>
          <w:szCs w:val="25"/>
        </w:rPr>
        <w:t>When t</w:t>
      </w:r>
      <w:r w:rsidR="007F6FC3">
        <w:rPr>
          <w:rFonts w:ascii="Times New Roman" w:hAnsi="Times New Roman" w:cs="Times New Roman"/>
          <w:sz w:val="25"/>
          <w:szCs w:val="25"/>
        </w:rPr>
        <w:t xml:space="preserve">he </w:t>
      </w:r>
      <w:r w:rsidRPr="00E06855">
        <w:rPr>
          <w:rFonts w:ascii="Times New Roman" w:hAnsi="Times New Roman" w:cs="Times New Roman"/>
          <w:sz w:val="25"/>
          <w:szCs w:val="25"/>
        </w:rPr>
        <w:t>Court is faced with balancing rights, interests and freedoms, judicial law-making is inevitable.</w:t>
      </w:r>
      <w:r w:rsidRPr="00E06855">
        <w:rPr>
          <w:rStyle w:val="FootnoteReference"/>
          <w:rFonts w:ascii="Times New Roman" w:hAnsi="Times New Roman" w:cs="Times New Roman"/>
          <w:sz w:val="25"/>
          <w:szCs w:val="25"/>
        </w:rPr>
        <w:footnoteReference w:id="93"/>
      </w:r>
      <w:r w:rsidR="002D3AFE">
        <w:rPr>
          <w:rFonts w:ascii="Times New Roman" w:hAnsi="Times New Roman" w:cs="Times New Roman"/>
          <w:sz w:val="25"/>
          <w:szCs w:val="25"/>
        </w:rPr>
        <w:t xml:space="preserve"> </w:t>
      </w:r>
    </w:p>
    <w:p w14:paraId="192F2910" w14:textId="1BF981CD" w:rsidR="0003059D" w:rsidRPr="00E06855" w:rsidRDefault="00080DF0" w:rsidP="0003059D">
      <w:pPr>
        <w:rPr>
          <w:rFonts w:ascii="Times New Roman" w:hAnsi="Times New Roman" w:cs="Times New Roman"/>
          <w:sz w:val="25"/>
          <w:szCs w:val="25"/>
        </w:rPr>
      </w:pPr>
      <w:r>
        <w:rPr>
          <w:rFonts w:ascii="Times New Roman" w:hAnsi="Times New Roman" w:cs="Times New Roman"/>
          <w:sz w:val="25"/>
          <w:szCs w:val="25"/>
        </w:rPr>
        <w:t xml:space="preserve">Thus, </w:t>
      </w:r>
      <w:r w:rsidR="00A7787D">
        <w:rPr>
          <w:rFonts w:ascii="Times New Roman" w:hAnsi="Times New Roman" w:cs="Times New Roman"/>
          <w:sz w:val="25"/>
          <w:szCs w:val="25"/>
        </w:rPr>
        <w:t>t</w:t>
      </w:r>
      <w:r w:rsidR="0003059D" w:rsidRPr="00E06855">
        <w:rPr>
          <w:rFonts w:ascii="Times New Roman" w:hAnsi="Times New Roman" w:cs="Times New Roman"/>
          <w:sz w:val="25"/>
          <w:szCs w:val="25"/>
        </w:rPr>
        <w:t xml:space="preserve">he choice of how a </w:t>
      </w:r>
      <w:r w:rsidR="00977AE8">
        <w:rPr>
          <w:rFonts w:ascii="Times New Roman" w:hAnsi="Times New Roman" w:cs="Times New Roman"/>
          <w:sz w:val="25"/>
          <w:szCs w:val="25"/>
        </w:rPr>
        <w:t>c</w:t>
      </w:r>
      <w:r w:rsidR="0003059D" w:rsidRPr="00E06855">
        <w:rPr>
          <w:rFonts w:ascii="Times New Roman" w:hAnsi="Times New Roman" w:cs="Times New Roman"/>
          <w:sz w:val="25"/>
          <w:szCs w:val="25"/>
        </w:rPr>
        <w:t xml:space="preserve">ourt frames its decision may relate to its perceived legitimacy. For any </w:t>
      </w:r>
      <w:r w:rsidR="00977AE8">
        <w:rPr>
          <w:rFonts w:ascii="Times New Roman" w:hAnsi="Times New Roman" w:cs="Times New Roman"/>
          <w:sz w:val="25"/>
          <w:szCs w:val="25"/>
        </w:rPr>
        <w:t>c</w:t>
      </w:r>
      <w:r w:rsidR="0003059D" w:rsidRPr="00E06855">
        <w:rPr>
          <w:rFonts w:ascii="Times New Roman" w:hAnsi="Times New Roman" w:cs="Times New Roman"/>
          <w:sz w:val="25"/>
          <w:szCs w:val="25"/>
        </w:rPr>
        <w:t>ourt to respond to a case is to “take a side”, and at the same time it wants to retain the ideal of neutrality. Therefore, it may choose to frame its decision in a way that maximises its legitimacy.</w:t>
      </w:r>
      <w:r w:rsidR="0003059D" w:rsidRPr="00E06855">
        <w:rPr>
          <w:rStyle w:val="FootnoteReference"/>
          <w:rFonts w:ascii="Times New Roman" w:hAnsi="Times New Roman" w:cs="Times New Roman"/>
          <w:sz w:val="25"/>
          <w:szCs w:val="25"/>
        </w:rPr>
        <w:footnoteReference w:id="94"/>
      </w:r>
      <w:r w:rsidR="0003059D" w:rsidRPr="00E06855">
        <w:rPr>
          <w:rFonts w:ascii="Times New Roman" w:hAnsi="Times New Roman" w:cs="Times New Roman"/>
          <w:sz w:val="25"/>
          <w:szCs w:val="25"/>
        </w:rPr>
        <w:t xml:space="preserve"> It should thus be recognised that “legal reasoning” is often a </w:t>
      </w:r>
      <w:r w:rsidR="0003059D" w:rsidRPr="00E06855">
        <w:rPr>
          <w:rFonts w:ascii="Times New Roman" w:hAnsi="Times New Roman" w:cs="Times New Roman"/>
          <w:sz w:val="25"/>
          <w:szCs w:val="25"/>
        </w:rPr>
        <w:lastRenderedPageBreak/>
        <w:t xml:space="preserve">matter of how a </w:t>
      </w:r>
      <w:r w:rsidR="003810CA">
        <w:rPr>
          <w:rFonts w:ascii="Times New Roman" w:hAnsi="Times New Roman" w:cs="Times New Roman"/>
          <w:sz w:val="25"/>
          <w:szCs w:val="25"/>
        </w:rPr>
        <w:t>c</w:t>
      </w:r>
      <w:r w:rsidR="0003059D" w:rsidRPr="00E06855">
        <w:rPr>
          <w:rFonts w:ascii="Times New Roman" w:hAnsi="Times New Roman" w:cs="Times New Roman"/>
          <w:sz w:val="25"/>
          <w:szCs w:val="25"/>
        </w:rPr>
        <w:t>ourt “frames” its decision, rather than how it arrived at it.</w:t>
      </w:r>
      <w:r w:rsidR="0003059D" w:rsidRPr="00E06855">
        <w:rPr>
          <w:rStyle w:val="FootnoteReference"/>
          <w:rFonts w:ascii="Times New Roman" w:hAnsi="Times New Roman" w:cs="Times New Roman"/>
          <w:sz w:val="25"/>
          <w:szCs w:val="25"/>
        </w:rPr>
        <w:footnoteReference w:id="95"/>
      </w:r>
      <w:r w:rsidR="0003059D" w:rsidRPr="00E06855">
        <w:rPr>
          <w:rFonts w:ascii="Times New Roman" w:hAnsi="Times New Roman" w:cs="Times New Roman"/>
          <w:sz w:val="25"/>
          <w:szCs w:val="25"/>
        </w:rPr>
        <w:t xml:space="preserve"> This is not to dismiss the value of argumentation frameworks such as proportionality, which offer some structure to the way </w:t>
      </w:r>
      <w:r w:rsidR="008A2E83">
        <w:rPr>
          <w:rFonts w:ascii="Times New Roman" w:hAnsi="Times New Roman" w:cs="Times New Roman"/>
          <w:sz w:val="25"/>
          <w:szCs w:val="25"/>
        </w:rPr>
        <w:t>c</w:t>
      </w:r>
      <w:r w:rsidR="0003059D" w:rsidRPr="00E06855">
        <w:rPr>
          <w:rFonts w:ascii="Times New Roman" w:hAnsi="Times New Roman" w:cs="Times New Roman"/>
          <w:sz w:val="25"/>
          <w:szCs w:val="25"/>
        </w:rPr>
        <w:t>ourt</w:t>
      </w:r>
      <w:r w:rsidR="008A2E83">
        <w:rPr>
          <w:rFonts w:ascii="Times New Roman" w:hAnsi="Times New Roman" w:cs="Times New Roman"/>
          <w:sz w:val="25"/>
          <w:szCs w:val="25"/>
        </w:rPr>
        <w:t>s</w:t>
      </w:r>
      <w:r w:rsidR="0003059D" w:rsidRPr="00E06855">
        <w:rPr>
          <w:rFonts w:ascii="Times New Roman" w:hAnsi="Times New Roman" w:cs="Times New Roman"/>
          <w:sz w:val="25"/>
          <w:szCs w:val="25"/>
        </w:rPr>
        <w:t xml:space="preserve"> </w:t>
      </w:r>
      <w:r w:rsidR="00315156" w:rsidRPr="00E06855">
        <w:rPr>
          <w:rFonts w:ascii="Times New Roman" w:hAnsi="Times New Roman" w:cs="Times New Roman"/>
          <w:sz w:val="25"/>
          <w:szCs w:val="25"/>
        </w:rPr>
        <w:t>approach</w:t>
      </w:r>
      <w:r w:rsidR="0003059D" w:rsidRPr="00E06855">
        <w:rPr>
          <w:rFonts w:ascii="Times New Roman" w:hAnsi="Times New Roman" w:cs="Times New Roman"/>
          <w:sz w:val="25"/>
          <w:szCs w:val="25"/>
        </w:rPr>
        <w:t xml:space="preserve"> an issue. However, it is clear that there is much discretion both in the decision that </w:t>
      </w:r>
      <w:r w:rsidR="00C82F3E">
        <w:rPr>
          <w:rFonts w:ascii="Times New Roman" w:hAnsi="Times New Roman" w:cs="Times New Roman"/>
          <w:sz w:val="25"/>
          <w:szCs w:val="25"/>
        </w:rPr>
        <w:t>a court</w:t>
      </w:r>
      <w:r w:rsidR="0003059D" w:rsidRPr="00E06855">
        <w:rPr>
          <w:rFonts w:ascii="Times New Roman" w:hAnsi="Times New Roman" w:cs="Times New Roman"/>
          <w:sz w:val="25"/>
          <w:szCs w:val="25"/>
        </w:rPr>
        <w:t xml:space="preserve"> can reach and the way that it can choose to frame that decision. In this way, the context of a decision may be important, and </w:t>
      </w:r>
      <w:r w:rsidR="00315156">
        <w:rPr>
          <w:rFonts w:ascii="Times New Roman" w:hAnsi="Times New Roman" w:cs="Times New Roman"/>
          <w:sz w:val="25"/>
          <w:szCs w:val="25"/>
        </w:rPr>
        <w:t>a court</w:t>
      </w:r>
      <w:r w:rsidR="0003059D" w:rsidRPr="00E06855">
        <w:rPr>
          <w:rFonts w:ascii="Times New Roman" w:hAnsi="Times New Roman" w:cs="Times New Roman"/>
          <w:sz w:val="25"/>
          <w:szCs w:val="25"/>
        </w:rPr>
        <w:t xml:space="preserve"> m</w:t>
      </w:r>
      <w:r w:rsidR="00296A30" w:rsidRPr="00E06855">
        <w:rPr>
          <w:rFonts w:ascii="Times New Roman" w:hAnsi="Times New Roman" w:cs="Times New Roman"/>
          <w:sz w:val="25"/>
          <w:szCs w:val="25"/>
        </w:rPr>
        <w:t>a</w:t>
      </w:r>
      <w:r w:rsidR="0003059D" w:rsidRPr="00E06855">
        <w:rPr>
          <w:rFonts w:ascii="Times New Roman" w:hAnsi="Times New Roman" w:cs="Times New Roman"/>
          <w:sz w:val="25"/>
          <w:szCs w:val="25"/>
        </w:rPr>
        <w:t>y adapt its reasoning in any given case with institutional strategy in mind.</w:t>
      </w:r>
      <w:r w:rsidR="0003059D" w:rsidRPr="00E06855">
        <w:rPr>
          <w:rStyle w:val="FootnoteReference"/>
          <w:rFonts w:ascii="Times New Roman" w:hAnsi="Times New Roman" w:cs="Times New Roman"/>
          <w:sz w:val="25"/>
          <w:szCs w:val="25"/>
        </w:rPr>
        <w:footnoteReference w:id="96"/>
      </w:r>
    </w:p>
    <w:p w14:paraId="3CEDF977" w14:textId="7B445B70" w:rsidR="0003059D" w:rsidRPr="00E06855" w:rsidRDefault="0003059D" w:rsidP="0003059D">
      <w:pPr>
        <w:rPr>
          <w:rFonts w:ascii="Times New Roman" w:hAnsi="Times New Roman" w:cs="Times New Roman"/>
          <w:sz w:val="25"/>
          <w:szCs w:val="25"/>
        </w:rPr>
      </w:pPr>
      <w:r w:rsidRPr="00E06855">
        <w:rPr>
          <w:rFonts w:ascii="Times New Roman" w:hAnsi="Times New Roman" w:cs="Times New Roman"/>
          <w:sz w:val="25"/>
          <w:szCs w:val="25"/>
        </w:rPr>
        <w:t>On this basis, the paper is sceptical of the extent to which greater use of procedural language in Court judgments will have an impact on outcomes. As we have seen, procedural language is malleable, and the same issue can be phrased in more or less procedural terms. The remainder of this section looks at the case law of the Court and how the use of process review affects the standard of review that it conducts. It is evident that in both contexts, a greater use of procedural language does not appear to shift the standard of review and thus does not appear to change outcomes in the way desired by process review advocates.</w:t>
      </w:r>
    </w:p>
    <w:p w14:paraId="2FFB3D3C" w14:textId="2E1C8307" w:rsidR="009D37E7" w:rsidRPr="00E06855" w:rsidRDefault="009D37E7" w:rsidP="005A175D">
      <w:pPr>
        <w:pStyle w:val="Heading2"/>
        <w:ind w:left="360"/>
        <w:rPr>
          <w:rFonts w:ascii="Times New Roman" w:hAnsi="Times New Roman" w:cs="Times New Roman"/>
        </w:rPr>
      </w:pPr>
      <w:r w:rsidRPr="00E06855">
        <w:rPr>
          <w:rFonts w:ascii="Times New Roman" w:hAnsi="Times New Roman" w:cs="Times New Roman"/>
        </w:rPr>
        <w:t>The Case Law on Process Review of Union Measures for Compliance with the Principles of Subsidiarity and Proportionality</w:t>
      </w:r>
    </w:p>
    <w:p w14:paraId="73FC520D" w14:textId="6A826761" w:rsidR="00B472A1" w:rsidRPr="00E06855" w:rsidRDefault="009D37E7" w:rsidP="00724E3B">
      <w:pPr>
        <w:rPr>
          <w:rFonts w:ascii="Times New Roman" w:hAnsi="Times New Roman" w:cs="Times New Roman"/>
          <w:sz w:val="25"/>
          <w:szCs w:val="25"/>
        </w:rPr>
      </w:pPr>
      <w:r w:rsidRPr="00E06855">
        <w:rPr>
          <w:rFonts w:ascii="Times New Roman" w:hAnsi="Times New Roman" w:cs="Times New Roman"/>
          <w:sz w:val="25"/>
          <w:szCs w:val="25"/>
        </w:rPr>
        <w:t>In the Union context, ther</w:t>
      </w:r>
      <w:r w:rsidR="001322A1" w:rsidRPr="00E06855">
        <w:rPr>
          <w:rFonts w:ascii="Times New Roman" w:hAnsi="Times New Roman" w:cs="Times New Roman"/>
          <w:sz w:val="25"/>
          <w:szCs w:val="25"/>
        </w:rPr>
        <w:t>e</w:t>
      </w:r>
      <w:r w:rsidRPr="00E06855">
        <w:rPr>
          <w:rFonts w:ascii="Times New Roman" w:hAnsi="Times New Roman" w:cs="Times New Roman"/>
          <w:sz w:val="25"/>
          <w:szCs w:val="25"/>
        </w:rPr>
        <w:t xml:space="preserve"> </w:t>
      </w:r>
      <w:r w:rsidR="001322A1" w:rsidRPr="00E06855">
        <w:rPr>
          <w:rFonts w:ascii="Times New Roman" w:hAnsi="Times New Roman" w:cs="Times New Roman"/>
          <w:sz w:val="25"/>
          <w:szCs w:val="25"/>
        </w:rPr>
        <w:t xml:space="preserve">is </w:t>
      </w:r>
      <w:r w:rsidRPr="00E06855">
        <w:rPr>
          <w:rFonts w:ascii="Times New Roman" w:hAnsi="Times New Roman" w:cs="Times New Roman"/>
          <w:sz w:val="25"/>
          <w:szCs w:val="25"/>
        </w:rPr>
        <w:t>a</w:t>
      </w:r>
      <w:r w:rsidR="001322A1" w:rsidRPr="00E06855">
        <w:rPr>
          <w:rFonts w:ascii="Times New Roman" w:hAnsi="Times New Roman" w:cs="Times New Roman"/>
          <w:sz w:val="25"/>
          <w:szCs w:val="25"/>
        </w:rPr>
        <w:t xml:space="preserve"> clear</w:t>
      </w:r>
      <w:r w:rsidRPr="00E06855">
        <w:rPr>
          <w:rFonts w:ascii="Times New Roman" w:hAnsi="Times New Roman" w:cs="Times New Roman"/>
          <w:sz w:val="25"/>
          <w:szCs w:val="25"/>
        </w:rPr>
        <w:t xml:space="preserve"> trend towards the increased use of procedural language in Court judgments. This is partially in response to the growing use of impact assessment</w:t>
      </w:r>
      <w:r w:rsidR="00294BE5" w:rsidRPr="00E06855">
        <w:rPr>
          <w:rFonts w:ascii="Times New Roman" w:hAnsi="Times New Roman" w:cs="Times New Roman"/>
          <w:sz w:val="25"/>
          <w:szCs w:val="25"/>
        </w:rPr>
        <w:t xml:space="preserve"> reports</w:t>
      </w:r>
      <w:r w:rsidR="00B4661A" w:rsidRPr="00E06855">
        <w:rPr>
          <w:rFonts w:ascii="Times New Roman" w:hAnsi="Times New Roman" w:cs="Times New Roman"/>
          <w:sz w:val="25"/>
          <w:szCs w:val="25"/>
        </w:rPr>
        <w:t>(IARs)</w:t>
      </w:r>
      <w:r w:rsidRPr="00E06855">
        <w:rPr>
          <w:rFonts w:ascii="Times New Roman" w:hAnsi="Times New Roman" w:cs="Times New Roman"/>
          <w:sz w:val="25"/>
          <w:szCs w:val="25"/>
        </w:rPr>
        <w:t xml:space="preserve"> for Union measures.</w:t>
      </w:r>
      <w:r w:rsidRPr="00E06855">
        <w:rPr>
          <w:rStyle w:val="FootnoteReference"/>
          <w:rFonts w:ascii="Times New Roman" w:hAnsi="Times New Roman" w:cs="Times New Roman"/>
          <w:sz w:val="25"/>
          <w:szCs w:val="25"/>
        </w:rPr>
        <w:footnoteReference w:id="97"/>
      </w:r>
      <w:r w:rsidRPr="00E06855">
        <w:rPr>
          <w:rFonts w:ascii="Times New Roman" w:hAnsi="Times New Roman" w:cs="Times New Roman"/>
          <w:sz w:val="25"/>
          <w:szCs w:val="25"/>
        </w:rPr>
        <w:t xml:space="preserve"> </w:t>
      </w:r>
      <w:r w:rsidR="00B472A1" w:rsidRPr="00E06855">
        <w:rPr>
          <w:rFonts w:ascii="Times New Roman" w:hAnsi="Times New Roman" w:cs="Times New Roman"/>
          <w:sz w:val="25"/>
          <w:szCs w:val="25"/>
        </w:rPr>
        <w:t xml:space="preserve">The literature is united in its </w:t>
      </w:r>
      <w:r w:rsidR="00E758F8" w:rsidRPr="00E06855">
        <w:rPr>
          <w:rFonts w:ascii="Times New Roman" w:hAnsi="Times New Roman" w:cs="Times New Roman"/>
          <w:sz w:val="25"/>
          <w:szCs w:val="25"/>
        </w:rPr>
        <w:t>encouragement</w:t>
      </w:r>
      <w:r w:rsidR="00007511" w:rsidRPr="00E06855">
        <w:rPr>
          <w:rFonts w:ascii="Times New Roman" w:hAnsi="Times New Roman" w:cs="Times New Roman"/>
          <w:sz w:val="25"/>
          <w:szCs w:val="25"/>
        </w:rPr>
        <w:t xml:space="preserve"> of</w:t>
      </w:r>
      <w:r w:rsidR="00E758F8" w:rsidRPr="00E06855">
        <w:rPr>
          <w:rFonts w:ascii="Times New Roman" w:hAnsi="Times New Roman" w:cs="Times New Roman"/>
          <w:sz w:val="25"/>
          <w:szCs w:val="25"/>
        </w:rPr>
        <w:t xml:space="preserve"> </w:t>
      </w:r>
      <w:r w:rsidR="00FB2A5F" w:rsidRPr="00E06855">
        <w:rPr>
          <w:rFonts w:ascii="Times New Roman" w:hAnsi="Times New Roman" w:cs="Times New Roman"/>
          <w:sz w:val="25"/>
          <w:szCs w:val="25"/>
        </w:rPr>
        <w:t>the use of</w:t>
      </w:r>
      <w:r w:rsidR="00724E3B" w:rsidRPr="00E06855">
        <w:rPr>
          <w:rFonts w:ascii="Times New Roman" w:hAnsi="Times New Roman" w:cs="Times New Roman"/>
          <w:sz w:val="25"/>
          <w:szCs w:val="25"/>
        </w:rPr>
        <w:t xml:space="preserve"> IARs by the </w:t>
      </w:r>
      <w:r w:rsidR="00B472A1" w:rsidRPr="00E06855">
        <w:rPr>
          <w:rFonts w:ascii="Times New Roman" w:hAnsi="Times New Roman" w:cs="Times New Roman"/>
          <w:sz w:val="25"/>
          <w:szCs w:val="25"/>
        </w:rPr>
        <w:t xml:space="preserve">Court, in line with its broader goal </w:t>
      </w:r>
      <w:r w:rsidR="00236E1F" w:rsidRPr="00E06855">
        <w:rPr>
          <w:rFonts w:ascii="Times New Roman" w:hAnsi="Times New Roman" w:cs="Times New Roman"/>
          <w:sz w:val="25"/>
          <w:szCs w:val="25"/>
        </w:rPr>
        <w:t xml:space="preserve">of rationalising the </w:t>
      </w:r>
      <w:r w:rsidR="00FB74F4">
        <w:rPr>
          <w:rFonts w:ascii="Times New Roman" w:hAnsi="Times New Roman" w:cs="Times New Roman"/>
          <w:sz w:val="25"/>
          <w:szCs w:val="25"/>
        </w:rPr>
        <w:t xml:space="preserve">Union </w:t>
      </w:r>
      <w:r w:rsidR="00236E1F" w:rsidRPr="00E06855">
        <w:rPr>
          <w:rFonts w:ascii="Times New Roman" w:hAnsi="Times New Roman" w:cs="Times New Roman"/>
          <w:sz w:val="25"/>
          <w:szCs w:val="25"/>
        </w:rPr>
        <w:t>legislative process.</w:t>
      </w:r>
    </w:p>
    <w:p w14:paraId="58508CA9" w14:textId="5F0F960D" w:rsidR="009D37E7" w:rsidRPr="00E06855" w:rsidRDefault="009D37E7" w:rsidP="009D37E7">
      <w:pPr>
        <w:rPr>
          <w:rFonts w:ascii="Times New Roman" w:hAnsi="Times New Roman" w:cs="Times New Roman"/>
          <w:sz w:val="25"/>
          <w:szCs w:val="25"/>
        </w:rPr>
      </w:pPr>
      <w:r w:rsidRPr="00E06855">
        <w:rPr>
          <w:rFonts w:ascii="Times New Roman" w:hAnsi="Times New Roman" w:cs="Times New Roman"/>
          <w:sz w:val="25"/>
          <w:szCs w:val="25"/>
        </w:rPr>
        <w:t xml:space="preserve">IARs are now regularly cited by the Court in its review of the principles of subsidiarity and proportionality. However, despite the increased use of procedural language, there is no evidence that this is affecting the standard of review to which the Union legislature is subject. This is evident in a number of recent cases. Overall, </w:t>
      </w:r>
      <w:proofErr w:type="spellStart"/>
      <w:r w:rsidRPr="00E06855">
        <w:rPr>
          <w:rFonts w:ascii="Times New Roman" w:hAnsi="Times New Roman" w:cs="Times New Roman"/>
          <w:sz w:val="25"/>
          <w:szCs w:val="25"/>
        </w:rPr>
        <w:t>i</w:t>
      </w:r>
      <w:proofErr w:type="spellEnd"/>
      <w:r w:rsidRPr="00E06855">
        <w:rPr>
          <w:rFonts w:ascii="Times New Roman" w:hAnsi="Times New Roman" w:cs="Times New Roman"/>
          <w:sz w:val="25"/>
          <w:szCs w:val="25"/>
        </w:rPr>
        <w:t xml:space="preserve">) the Court does not enforce the need for an IAR, ii) it is reluctant to entertain challenges to the content of IARs, and iii) it generally uses the content of IARs as a way to </w:t>
      </w:r>
      <w:r w:rsidRPr="00E06855">
        <w:rPr>
          <w:rFonts w:ascii="Times New Roman" w:hAnsi="Times New Roman" w:cs="Times New Roman"/>
          <w:i/>
          <w:iCs/>
          <w:sz w:val="25"/>
          <w:szCs w:val="25"/>
        </w:rPr>
        <w:t>support</w:t>
      </w:r>
      <w:r w:rsidRPr="00E06855">
        <w:rPr>
          <w:rFonts w:ascii="Times New Roman" w:hAnsi="Times New Roman" w:cs="Times New Roman"/>
          <w:sz w:val="25"/>
          <w:szCs w:val="25"/>
        </w:rPr>
        <w:t xml:space="preserve"> the decision of the legislature.</w:t>
      </w:r>
      <w:r w:rsidRPr="00E06855">
        <w:rPr>
          <w:rStyle w:val="FootnoteReference"/>
          <w:rFonts w:ascii="Times New Roman" w:hAnsi="Times New Roman" w:cs="Times New Roman"/>
          <w:sz w:val="25"/>
          <w:szCs w:val="25"/>
        </w:rPr>
        <w:footnoteReference w:id="98"/>
      </w:r>
    </w:p>
    <w:p w14:paraId="25310304" w14:textId="4FCEB726" w:rsidR="009D37E7" w:rsidRPr="00E06855" w:rsidRDefault="009D37E7" w:rsidP="009D37E7">
      <w:pPr>
        <w:rPr>
          <w:rFonts w:ascii="Times New Roman" w:hAnsi="Times New Roman" w:cs="Times New Roman"/>
          <w:sz w:val="25"/>
          <w:szCs w:val="25"/>
        </w:rPr>
      </w:pPr>
      <w:r w:rsidRPr="00E06855">
        <w:rPr>
          <w:rFonts w:ascii="Times New Roman" w:hAnsi="Times New Roman" w:cs="Times New Roman"/>
          <w:sz w:val="25"/>
          <w:szCs w:val="25"/>
        </w:rPr>
        <w:lastRenderedPageBreak/>
        <w:t xml:space="preserve">First, it should be noted that the existence of IARs is not a hard, legal requirement. In </w:t>
      </w:r>
      <w:r w:rsidRPr="00E06855">
        <w:rPr>
          <w:rFonts w:ascii="Times New Roman" w:hAnsi="Times New Roman" w:cs="Times New Roman"/>
          <w:i/>
          <w:iCs/>
          <w:sz w:val="25"/>
          <w:szCs w:val="25"/>
        </w:rPr>
        <w:t>Afton Chemical</w:t>
      </w:r>
      <w:r w:rsidRPr="00E06855">
        <w:rPr>
          <w:rFonts w:ascii="Times New Roman" w:hAnsi="Times New Roman" w:cs="Times New Roman"/>
          <w:sz w:val="25"/>
          <w:szCs w:val="25"/>
        </w:rPr>
        <w:t>, the Court confirmed that the “[t]he Commission’s impact assessment was not binding on either the Parliament or the Council”</w:t>
      </w:r>
      <w:r w:rsidRPr="00E06855">
        <w:rPr>
          <w:rStyle w:val="FootnoteReference"/>
          <w:rFonts w:ascii="Times New Roman" w:hAnsi="Times New Roman" w:cs="Times New Roman"/>
          <w:sz w:val="25"/>
          <w:szCs w:val="25"/>
        </w:rPr>
        <w:footnoteReference w:id="99"/>
      </w:r>
      <w:r w:rsidRPr="00E06855">
        <w:rPr>
          <w:rFonts w:ascii="Times New Roman" w:hAnsi="Times New Roman" w:cs="Times New Roman"/>
          <w:sz w:val="25"/>
          <w:szCs w:val="25"/>
        </w:rPr>
        <w:t xml:space="preserve"> and the Parliament was not obliged to carry out its own when changing proposals. The Court has since confirmed that “the EU legislature remains free to adopt measures other than those which were the subject of [an] impact assessment”.</w:t>
      </w:r>
      <w:r w:rsidRPr="00E06855">
        <w:rPr>
          <w:rStyle w:val="FootnoteReference"/>
          <w:rFonts w:ascii="Times New Roman" w:hAnsi="Times New Roman" w:cs="Times New Roman"/>
          <w:sz w:val="25"/>
          <w:szCs w:val="25"/>
        </w:rPr>
        <w:footnoteReference w:id="100"/>
      </w:r>
    </w:p>
    <w:p w14:paraId="2AD7ACED" w14:textId="25D44A65" w:rsidR="00040510" w:rsidRPr="00E06855" w:rsidRDefault="009D37E7" w:rsidP="00BC386B">
      <w:pPr>
        <w:rPr>
          <w:rFonts w:ascii="Times New Roman" w:hAnsi="Times New Roman" w:cs="Times New Roman"/>
          <w:sz w:val="25"/>
          <w:szCs w:val="25"/>
        </w:rPr>
      </w:pPr>
      <w:r w:rsidRPr="00E06855">
        <w:rPr>
          <w:rFonts w:ascii="Times New Roman" w:hAnsi="Times New Roman" w:cs="Times New Roman"/>
          <w:sz w:val="25"/>
          <w:szCs w:val="25"/>
        </w:rPr>
        <w:t xml:space="preserve">Second, the Court has generally not been responsive to claims of errors in IARs. In </w:t>
      </w:r>
      <w:r w:rsidRPr="00E06855">
        <w:rPr>
          <w:rFonts w:ascii="Times New Roman" w:hAnsi="Times New Roman" w:cs="Times New Roman"/>
          <w:i/>
          <w:iCs/>
          <w:sz w:val="25"/>
          <w:szCs w:val="25"/>
        </w:rPr>
        <w:t>Estonia v Parliament and Council</w:t>
      </w:r>
      <w:r w:rsidRPr="00E06855">
        <w:rPr>
          <w:rFonts w:ascii="Times New Roman" w:hAnsi="Times New Roman" w:cs="Times New Roman"/>
          <w:sz w:val="25"/>
          <w:szCs w:val="25"/>
        </w:rPr>
        <w:t xml:space="preserve">, Estonia claimed that the Commission had made an error in its IAR by taking into account </w:t>
      </w:r>
      <w:r w:rsidR="00BC386E">
        <w:rPr>
          <w:rFonts w:ascii="Times New Roman" w:hAnsi="Times New Roman" w:cs="Times New Roman"/>
          <w:sz w:val="25"/>
          <w:szCs w:val="25"/>
        </w:rPr>
        <w:t xml:space="preserve">only </w:t>
      </w:r>
      <w:r w:rsidRPr="00E06855">
        <w:rPr>
          <w:rFonts w:ascii="Times New Roman" w:hAnsi="Times New Roman" w:cs="Times New Roman"/>
          <w:sz w:val="25"/>
          <w:szCs w:val="25"/>
        </w:rPr>
        <w:t>quantitative data.</w:t>
      </w:r>
      <w:r w:rsidRPr="00E06855">
        <w:rPr>
          <w:rStyle w:val="FootnoteReference"/>
          <w:rFonts w:ascii="Times New Roman" w:hAnsi="Times New Roman" w:cs="Times New Roman"/>
          <w:sz w:val="25"/>
          <w:szCs w:val="25"/>
        </w:rPr>
        <w:footnoteReference w:id="101"/>
      </w:r>
      <w:r w:rsidRPr="00E06855">
        <w:rPr>
          <w:rFonts w:ascii="Times New Roman" w:hAnsi="Times New Roman" w:cs="Times New Roman"/>
          <w:sz w:val="25"/>
          <w:szCs w:val="25"/>
        </w:rPr>
        <w:t xml:space="preserve"> In response, the Commission stated that the IAR was conducted using the appropriate procedure. The Court did not directly address this procedural complaint of Estonia and conducted a limited proportionality assessment accepting the legislature’s view on the matter.</w:t>
      </w:r>
      <w:r w:rsidRPr="00E06855">
        <w:rPr>
          <w:rStyle w:val="FootnoteReference"/>
          <w:rFonts w:ascii="Times New Roman" w:hAnsi="Times New Roman" w:cs="Times New Roman"/>
          <w:sz w:val="25"/>
          <w:szCs w:val="25"/>
        </w:rPr>
        <w:footnoteReference w:id="102"/>
      </w:r>
      <w:r w:rsidRPr="00E06855">
        <w:rPr>
          <w:rFonts w:ascii="Times New Roman" w:hAnsi="Times New Roman" w:cs="Times New Roman"/>
          <w:sz w:val="25"/>
          <w:szCs w:val="25"/>
        </w:rPr>
        <w:t xml:space="preserve"> </w:t>
      </w:r>
    </w:p>
    <w:p w14:paraId="644D7F33" w14:textId="742E2F40" w:rsidR="009D37E7" w:rsidRPr="00E06855" w:rsidRDefault="009D37E7" w:rsidP="00BC386B">
      <w:pPr>
        <w:rPr>
          <w:rFonts w:ascii="Times New Roman" w:hAnsi="Times New Roman" w:cs="Times New Roman"/>
          <w:sz w:val="25"/>
          <w:szCs w:val="25"/>
        </w:rPr>
      </w:pPr>
      <w:r w:rsidRPr="00E06855">
        <w:rPr>
          <w:rFonts w:ascii="Times New Roman" w:hAnsi="Times New Roman" w:cs="Times New Roman"/>
          <w:sz w:val="25"/>
          <w:szCs w:val="25"/>
        </w:rPr>
        <w:t xml:space="preserve">Often, in response to such challenges to content, the Court will not scrutinise the claims in any depth. For example, in </w:t>
      </w:r>
      <w:r w:rsidRPr="00E06855">
        <w:rPr>
          <w:rFonts w:ascii="Times New Roman" w:hAnsi="Times New Roman" w:cs="Times New Roman"/>
          <w:i/>
          <w:iCs/>
          <w:sz w:val="25"/>
          <w:szCs w:val="25"/>
        </w:rPr>
        <w:t>Pillbox 38</w:t>
      </w:r>
      <w:r w:rsidRPr="00E06855">
        <w:rPr>
          <w:rFonts w:ascii="Times New Roman" w:hAnsi="Times New Roman" w:cs="Times New Roman"/>
          <w:sz w:val="25"/>
          <w:szCs w:val="25"/>
        </w:rPr>
        <w:t xml:space="preserve">, </w:t>
      </w:r>
      <w:r w:rsidR="00E60CA5" w:rsidRPr="00E06855">
        <w:rPr>
          <w:rFonts w:ascii="Times New Roman" w:hAnsi="Times New Roman" w:cs="Times New Roman"/>
          <w:sz w:val="25"/>
          <w:szCs w:val="25"/>
        </w:rPr>
        <w:t>part of the proportionality challenge to the Tobacco Products Directive alleged that the legislature had based its limitation on nicotine levels in E-cigarettes on an incorrect scientific premise</w:t>
      </w:r>
      <w:r w:rsidRPr="00E06855">
        <w:rPr>
          <w:rFonts w:ascii="Times New Roman" w:hAnsi="Times New Roman" w:cs="Times New Roman"/>
          <w:sz w:val="25"/>
          <w:szCs w:val="25"/>
        </w:rPr>
        <w:t>.</w:t>
      </w:r>
      <w:r w:rsidRPr="00E06855">
        <w:rPr>
          <w:rStyle w:val="FootnoteReference"/>
          <w:rFonts w:ascii="Times New Roman" w:hAnsi="Times New Roman" w:cs="Times New Roman"/>
          <w:sz w:val="25"/>
          <w:szCs w:val="25"/>
        </w:rPr>
        <w:footnoteReference w:id="103"/>
      </w:r>
      <w:r w:rsidRPr="00E06855">
        <w:rPr>
          <w:rFonts w:ascii="Times New Roman" w:hAnsi="Times New Roman" w:cs="Times New Roman"/>
          <w:sz w:val="25"/>
          <w:szCs w:val="25"/>
        </w:rPr>
        <w:t xml:space="preserve"> In response to this, the Court did not scrutinise the </w:t>
      </w:r>
      <w:r w:rsidR="00AE5F39" w:rsidRPr="00E06855">
        <w:rPr>
          <w:rFonts w:ascii="Times New Roman" w:hAnsi="Times New Roman" w:cs="Times New Roman"/>
          <w:sz w:val="25"/>
          <w:szCs w:val="25"/>
        </w:rPr>
        <w:t xml:space="preserve">evidential basis of the </w:t>
      </w:r>
      <w:r w:rsidRPr="00E06855">
        <w:rPr>
          <w:rFonts w:ascii="Times New Roman" w:hAnsi="Times New Roman" w:cs="Times New Roman"/>
          <w:sz w:val="25"/>
          <w:szCs w:val="25"/>
        </w:rPr>
        <w:t>decision, but was satisfied that “the EU legislature balanced the various interests” based on scientific studies.</w:t>
      </w:r>
      <w:r w:rsidRPr="00E06855">
        <w:rPr>
          <w:rStyle w:val="FootnoteReference"/>
          <w:rFonts w:ascii="Times New Roman" w:hAnsi="Times New Roman" w:cs="Times New Roman"/>
          <w:sz w:val="25"/>
          <w:szCs w:val="25"/>
        </w:rPr>
        <w:footnoteReference w:id="104"/>
      </w:r>
      <w:r w:rsidRPr="00E06855">
        <w:rPr>
          <w:rFonts w:ascii="Times New Roman" w:hAnsi="Times New Roman" w:cs="Times New Roman"/>
          <w:sz w:val="25"/>
          <w:szCs w:val="25"/>
        </w:rPr>
        <w:t xml:space="preserve"> This suggests that the Court will use the existence of IARs as proof of the </w:t>
      </w:r>
      <w:r w:rsidR="00BC386B" w:rsidRPr="00E06855">
        <w:rPr>
          <w:rFonts w:ascii="Times New Roman" w:hAnsi="Times New Roman" w:cs="Times New Roman"/>
          <w:sz w:val="25"/>
          <w:szCs w:val="25"/>
        </w:rPr>
        <w:t xml:space="preserve">compliance of the legislation, </w:t>
      </w:r>
      <w:r w:rsidRPr="00E06855">
        <w:rPr>
          <w:rFonts w:ascii="Times New Roman" w:hAnsi="Times New Roman" w:cs="Times New Roman"/>
          <w:sz w:val="25"/>
          <w:szCs w:val="25"/>
        </w:rPr>
        <w:t xml:space="preserve">instead of inspecting the evidential basis. </w:t>
      </w:r>
    </w:p>
    <w:p w14:paraId="0C15C410" w14:textId="51004A55" w:rsidR="009D37E7" w:rsidRPr="00E06855" w:rsidRDefault="009D37E7" w:rsidP="009D37E7">
      <w:pPr>
        <w:rPr>
          <w:rFonts w:ascii="Times New Roman" w:hAnsi="Times New Roman" w:cs="Times New Roman"/>
          <w:sz w:val="25"/>
          <w:szCs w:val="25"/>
        </w:rPr>
      </w:pPr>
      <w:r w:rsidRPr="00E06855">
        <w:rPr>
          <w:rFonts w:ascii="Times New Roman" w:hAnsi="Times New Roman" w:cs="Times New Roman"/>
          <w:sz w:val="25"/>
          <w:szCs w:val="25"/>
        </w:rPr>
        <w:t xml:space="preserve">Third, this gives the overall impression that </w:t>
      </w:r>
      <w:r w:rsidR="002E119E" w:rsidRPr="00E06855">
        <w:rPr>
          <w:rFonts w:ascii="Times New Roman" w:hAnsi="Times New Roman" w:cs="Times New Roman"/>
          <w:sz w:val="25"/>
          <w:szCs w:val="25"/>
        </w:rPr>
        <w:t>IARs</w:t>
      </w:r>
      <w:r w:rsidR="00D55726" w:rsidRPr="00E06855">
        <w:rPr>
          <w:rFonts w:ascii="Times New Roman" w:hAnsi="Times New Roman" w:cs="Times New Roman"/>
          <w:sz w:val="25"/>
          <w:szCs w:val="25"/>
        </w:rPr>
        <w:t xml:space="preserve"> are</w:t>
      </w:r>
      <w:r w:rsidRPr="00E06855">
        <w:rPr>
          <w:rFonts w:ascii="Times New Roman" w:hAnsi="Times New Roman" w:cs="Times New Roman"/>
          <w:sz w:val="25"/>
          <w:szCs w:val="25"/>
        </w:rPr>
        <w:t xml:space="preserve"> mainly used as a way to </w:t>
      </w:r>
      <w:r w:rsidRPr="00E06855">
        <w:rPr>
          <w:rFonts w:ascii="Times New Roman" w:hAnsi="Times New Roman" w:cs="Times New Roman"/>
          <w:i/>
          <w:iCs/>
          <w:sz w:val="25"/>
          <w:szCs w:val="25"/>
        </w:rPr>
        <w:t>support</w:t>
      </w:r>
      <w:r w:rsidRPr="00E06855">
        <w:rPr>
          <w:rFonts w:ascii="Times New Roman" w:hAnsi="Times New Roman" w:cs="Times New Roman"/>
          <w:sz w:val="25"/>
          <w:szCs w:val="25"/>
        </w:rPr>
        <w:t xml:space="preserve">, rather than challenge, the decision of the legislature. The Court uses the evidence in IARs to dismiss claims that the legislation may breach proportionality or subsidiarity. For example, in </w:t>
      </w:r>
      <w:r w:rsidRPr="00E06855">
        <w:rPr>
          <w:rFonts w:ascii="Times New Roman" w:hAnsi="Times New Roman" w:cs="Times New Roman"/>
          <w:i/>
          <w:iCs/>
          <w:sz w:val="25"/>
          <w:szCs w:val="25"/>
        </w:rPr>
        <w:t>Philip Morris</w:t>
      </w:r>
      <w:r w:rsidRPr="00E06855">
        <w:rPr>
          <w:rFonts w:ascii="Times New Roman" w:hAnsi="Times New Roman" w:cs="Times New Roman"/>
          <w:sz w:val="25"/>
          <w:szCs w:val="25"/>
        </w:rPr>
        <w:t xml:space="preserve">, in response to a claim </w:t>
      </w:r>
      <w:r w:rsidR="00D509A4" w:rsidRPr="00E06855">
        <w:rPr>
          <w:rFonts w:ascii="Times New Roman" w:hAnsi="Times New Roman" w:cs="Times New Roman"/>
          <w:sz w:val="25"/>
          <w:szCs w:val="25"/>
        </w:rPr>
        <w:t xml:space="preserve">that </w:t>
      </w:r>
      <w:r w:rsidRPr="00E06855">
        <w:rPr>
          <w:rFonts w:ascii="Times New Roman" w:hAnsi="Times New Roman" w:cs="Times New Roman"/>
          <w:sz w:val="25"/>
          <w:szCs w:val="25"/>
        </w:rPr>
        <w:t xml:space="preserve">the ban on tobacco with a characterising flavour was disproportionate due to its negative economic and social consequences, the Court relied on the IAR’s expectation that the prohibition would result in a decrease in cigarette consumption. As such, this supported a finding that the EU </w:t>
      </w:r>
      <w:r w:rsidRPr="00E06855">
        <w:rPr>
          <w:rFonts w:ascii="Times New Roman" w:hAnsi="Times New Roman" w:cs="Times New Roman"/>
          <w:sz w:val="25"/>
          <w:szCs w:val="25"/>
        </w:rPr>
        <w:lastRenderedPageBreak/>
        <w:t>legislature weighed up the economic consequences with the goal of achieving a high level of human health.</w:t>
      </w:r>
      <w:r w:rsidRPr="00E06855">
        <w:rPr>
          <w:rStyle w:val="FootnoteReference"/>
          <w:rFonts w:ascii="Times New Roman" w:hAnsi="Times New Roman" w:cs="Times New Roman"/>
          <w:sz w:val="25"/>
          <w:szCs w:val="25"/>
        </w:rPr>
        <w:footnoteReference w:id="105"/>
      </w:r>
    </w:p>
    <w:p w14:paraId="776E290D" w14:textId="02A3F739" w:rsidR="009D37E7" w:rsidRPr="00E06855" w:rsidRDefault="009D37E7" w:rsidP="009D37E7">
      <w:pPr>
        <w:rPr>
          <w:rFonts w:ascii="Times New Roman" w:hAnsi="Times New Roman" w:cs="Times New Roman"/>
          <w:sz w:val="25"/>
          <w:szCs w:val="25"/>
        </w:rPr>
      </w:pPr>
      <w:r w:rsidRPr="00E06855">
        <w:rPr>
          <w:rFonts w:ascii="Times New Roman" w:hAnsi="Times New Roman" w:cs="Times New Roman"/>
          <w:sz w:val="25"/>
          <w:szCs w:val="25"/>
        </w:rPr>
        <w:t xml:space="preserve">Thus, for the most part, it appears that the Court </w:t>
      </w:r>
      <w:r w:rsidR="00060BD6" w:rsidRPr="00E06855">
        <w:rPr>
          <w:rFonts w:ascii="Times New Roman" w:hAnsi="Times New Roman" w:cs="Times New Roman"/>
          <w:sz w:val="25"/>
          <w:szCs w:val="25"/>
        </w:rPr>
        <w:t>is</w:t>
      </w:r>
      <w:r w:rsidRPr="00E06855">
        <w:rPr>
          <w:rFonts w:ascii="Times New Roman" w:hAnsi="Times New Roman" w:cs="Times New Roman"/>
          <w:sz w:val="25"/>
          <w:szCs w:val="25"/>
        </w:rPr>
        <w:t xml:space="preserve"> using IARs to show that the legislature has dealt with the issue of proportionality, without interrogating the contents of the report. </w:t>
      </w:r>
      <w:r w:rsidR="009F0BB8" w:rsidRPr="00E06855">
        <w:rPr>
          <w:rFonts w:ascii="Times New Roman" w:hAnsi="Times New Roman" w:cs="Times New Roman"/>
          <w:sz w:val="25"/>
          <w:szCs w:val="25"/>
        </w:rPr>
        <w:t xml:space="preserve">In response, process review advocates have been critical of the Court’s approach in cases such as </w:t>
      </w:r>
      <w:r w:rsidR="00BE2E55" w:rsidRPr="00E06855">
        <w:rPr>
          <w:rFonts w:ascii="Times New Roman" w:hAnsi="Times New Roman" w:cs="Times New Roman"/>
          <w:i/>
          <w:iCs/>
          <w:sz w:val="25"/>
          <w:szCs w:val="25"/>
        </w:rPr>
        <w:t>Philip Morris</w:t>
      </w:r>
      <w:r w:rsidR="00912DF0" w:rsidRPr="00E06855">
        <w:rPr>
          <w:rFonts w:ascii="Times New Roman" w:hAnsi="Times New Roman" w:cs="Times New Roman"/>
          <w:sz w:val="25"/>
          <w:szCs w:val="25"/>
        </w:rPr>
        <w:t xml:space="preserve">, for being “equally deferential” </w:t>
      </w:r>
      <w:r w:rsidR="00387150" w:rsidRPr="00E06855">
        <w:rPr>
          <w:rFonts w:ascii="Times New Roman" w:hAnsi="Times New Roman" w:cs="Times New Roman"/>
          <w:sz w:val="25"/>
          <w:szCs w:val="25"/>
        </w:rPr>
        <w:t>as</w:t>
      </w:r>
      <w:r w:rsidR="00912DF0" w:rsidRPr="00E06855">
        <w:rPr>
          <w:rFonts w:ascii="Times New Roman" w:hAnsi="Times New Roman" w:cs="Times New Roman"/>
          <w:sz w:val="25"/>
          <w:szCs w:val="25"/>
        </w:rPr>
        <w:t xml:space="preserve"> the previous case law.</w:t>
      </w:r>
      <w:r w:rsidR="00912DF0" w:rsidRPr="00E06855">
        <w:rPr>
          <w:rStyle w:val="FootnoteReference"/>
          <w:rFonts w:ascii="Times New Roman" w:hAnsi="Times New Roman" w:cs="Times New Roman"/>
          <w:sz w:val="25"/>
          <w:szCs w:val="25"/>
        </w:rPr>
        <w:t xml:space="preserve"> </w:t>
      </w:r>
      <w:r w:rsidR="00912DF0" w:rsidRPr="00E06855">
        <w:rPr>
          <w:rStyle w:val="FootnoteReference"/>
          <w:rFonts w:ascii="Times New Roman" w:hAnsi="Times New Roman" w:cs="Times New Roman"/>
          <w:sz w:val="25"/>
          <w:szCs w:val="25"/>
        </w:rPr>
        <w:footnoteReference w:id="106"/>
      </w:r>
      <w:r w:rsidR="004766CD" w:rsidRPr="00E06855">
        <w:rPr>
          <w:rFonts w:ascii="Times New Roman" w:hAnsi="Times New Roman" w:cs="Times New Roman"/>
          <w:sz w:val="25"/>
          <w:szCs w:val="25"/>
        </w:rPr>
        <w:t xml:space="preserve"> </w:t>
      </w:r>
      <w:r w:rsidRPr="00E06855">
        <w:rPr>
          <w:rFonts w:ascii="Times New Roman" w:hAnsi="Times New Roman" w:cs="Times New Roman"/>
          <w:sz w:val="25"/>
          <w:szCs w:val="25"/>
        </w:rPr>
        <w:t xml:space="preserve">Much of the </w:t>
      </w:r>
      <w:r w:rsidR="002C34CC" w:rsidRPr="00E06855">
        <w:rPr>
          <w:rFonts w:ascii="Times New Roman" w:hAnsi="Times New Roman" w:cs="Times New Roman"/>
          <w:sz w:val="25"/>
          <w:szCs w:val="25"/>
        </w:rPr>
        <w:t xml:space="preserve">Court’s </w:t>
      </w:r>
      <w:r w:rsidRPr="00E06855">
        <w:rPr>
          <w:rFonts w:ascii="Times New Roman" w:hAnsi="Times New Roman" w:cs="Times New Roman"/>
          <w:sz w:val="25"/>
          <w:szCs w:val="25"/>
        </w:rPr>
        <w:t>review is limited to the existence of certain procedural requirements “without engaging in a detailed assessment of the way in which these procedures have effectively been undertaken”.</w:t>
      </w:r>
      <w:r w:rsidRPr="00E06855">
        <w:rPr>
          <w:rStyle w:val="FootnoteReference"/>
          <w:rFonts w:ascii="Times New Roman" w:hAnsi="Times New Roman" w:cs="Times New Roman"/>
          <w:sz w:val="25"/>
          <w:szCs w:val="25"/>
        </w:rPr>
        <w:footnoteReference w:id="107"/>
      </w:r>
      <w:r w:rsidRPr="00E06855">
        <w:rPr>
          <w:rFonts w:ascii="Times New Roman" w:hAnsi="Times New Roman" w:cs="Times New Roman"/>
          <w:sz w:val="25"/>
          <w:szCs w:val="25"/>
        </w:rPr>
        <w:t xml:space="preserve"> Harvey describes a possible trend, where the IAR’s findings are “accepted by the Court without any degree of scrutiny whatsoever, whereas applicants appear to be precluded from challenging the methodology or findings of such assessments”.</w:t>
      </w:r>
      <w:r w:rsidRPr="00E06855">
        <w:rPr>
          <w:rStyle w:val="FootnoteReference"/>
          <w:rFonts w:ascii="Times New Roman" w:hAnsi="Times New Roman" w:cs="Times New Roman"/>
          <w:sz w:val="25"/>
          <w:szCs w:val="25"/>
        </w:rPr>
        <w:footnoteReference w:id="108"/>
      </w:r>
    </w:p>
    <w:p w14:paraId="5829E051" w14:textId="088BE3A1" w:rsidR="009D37E7" w:rsidRPr="00E06855" w:rsidRDefault="009D37E7" w:rsidP="009D37E7">
      <w:pPr>
        <w:rPr>
          <w:rFonts w:ascii="Times New Roman" w:hAnsi="Times New Roman" w:cs="Times New Roman"/>
          <w:sz w:val="25"/>
          <w:szCs w:val="25"/>
        </w:rPr>
      </w:pPr>
      <w:r w:rsidRPr="00E06855">
        <w:rPr>
          <w:rFonts w:ascii="Times New Roman" w:hAnsi="Times New Roman" w:cs="Times New Roman"/>
          <w:sz w:val="25"/>
          <w:szCs w:val="25"/>
        </w:rPr>
        <w:t xml:space="preserve">In this context, process review is proposed by its advocates in the hope that </w:t>
      </w:r>
      <w:r w:rsidR="006D7B0F" w:rsidRPr="00E06855">
        <w:rPr>
          <w:rFonts w:ascii="Times New Roman" w:hAnsi="Times New Roman" w:cs="Times New Roman"/>
          <w:sz w:val="25"/>
          <w:szCs w:val="25"/>
        </w:rPr>
        <w:t>i</w:t>
      </w:r>
      <w:r w:rsidRPr="00E06855">
        <w:rPr>
          <w:rFonts w:ascii="Times New Roman" w:hAnsi="Times New Roman" w:cs="Times New Roman"/>
          <w:sz w:val="25"/>
          <w:szCs w:val="25"/>
        </w:rPr>
        <w:t xml:space="preserve">t will intensify the standard of review and contribute to the overarching goal of a better division of competence between the Union and its member states. However, the case law suggests that a focus on procedure does not necessarily </w:t>
      </w:r>
      <w:r w:rsidR="009C3098" w:rsidRPr="00E06855">
        <w:rPr>
          <w:rFonts w:ascii="Times New Roman" w:hAnsi="Times New Roman" w:cs="Times New Roman"/>
          <w:sz w:val="25"/>
          <w:szCs w:val="25"/>
        </w:rPr>
        <w:t>intensify</w:t>
      </w:r>
      <w:r w:rsidRPr="00E06855">
        <w:rPr>
          <w:rFonts w:ascii="Times New Roman" w:hAnsi="Times New Roman" w:cs="Times New Roman"/>
          <w:sz w:val="25"/>
          <w:szCs w:val="25"/>
        </w:rPr>
        <w:t xml:space="preserve"> the standard of the Court’s review, and thus process review may fail to live up to the expectations place</w:t>
      </w:r>
      <w:r w:rsidR="008E355A" w:rsidRPr="00E06855">
        <w:rPr>
          <w:rFonts w:ascii="Times New Roman" w:hAnsi="Times New Roman" w:cs="Times New Roman"/>
          <w:sz w:val="25"/>
          <w:szCs w:val="25"/>
        </w:rPr>
        <w:t>d</w:t>
      </w:r>
      <w:r w:rsidRPr="00E06855">
        <w:rPr>
          <w:rFonts w:ascii="Times New Roman" w:hAnsi="Times New Roman" w:cs="Times New Roman"/>
          <w:sz w:val="25"/>
          <w:szCs w:val="25"/>
        </w:rPr>
        <w:t xml:space="preserve"> on it in terms of outcomes.</w:t>
      </w:r>
    </w:p>
    <w:p w14:paraId="598F625C" w14:textId="77777777" w:rsidR="009D37E7" w:rsidRPr="00E06855" w:rsidRDefault="009D37E7" w:rsidP="005A175D">
      <w:pPr>
        <w:pStyle w:val="Heading2"/>
        <w:ind w:left="360"/>
        <w:rPr>
          <w:rFonts w:ascii="Times New Roman" w:hAnsi="Times New Roman" w:cs="Times New Roman"/>
        </w:rPr>
      </w:pPr>
      <w:r w:rsidRPr="00E06855">
        <w:rPr>
          <w:rFonts w:ascii="Times New Roman" w:hAnsi="Times New Roman" w:cs="Times New Roman"/>
        </w:rPr>
        <w:t>The Case Law on Process Review of Member State Measures for Compliance with Free Movement Prohibitions</w:t>
      </w:r>
    </w:p>
    <w:p w14:paraId="6D45961F" w14:textId="5BC1842B" w:rsidR="009D37E7" w:rsidRPr="00E06855" w:rsidRDefault="009D37E7" w:rsidP="00D63A31">
      <w:pPr>
        <w:rPr>
          <w:rFonts w:ascii="Times New Roman" w:hAnsi="Times New Roman" w:cs="Times New Roman"/>
          <w:sz w:val="25"/>
          <w:szCs w:val="25"/>
        </w:rPr>
      </w:pPr>
      <w:r w:rsidRPr="00E06855">
        <w:rPr>
          <w:rFonts w:ascii="Times New Roman" w:hAnsi="Times New Roman" w:cs="Times New Roman"/>
          <w:sz w:val="25"/>
          <w:szCs w:val="25"/>
        </w:rPr>
        <w:t xml:space="preserve">As in the context of the Union legislature, advocates of process review </w:t>
      </w:r>
      <w:r w:rsidR="00CA003D" w:rsidRPr="00E06855">
        <w:rPr>
          <w:rFonts w:ascii="Times New Roman" w:hAnsi="Times New Roman" w:cs="Times New Roman"/>
          <w:sz w:val="25"/>
          <w:szCs w:val="25"/>
        </w:rPr>
        <w:t>in the Member State context</w:t>
      </w:r>
      <w:r w:rsidRPr="00E06855">
        <w:rPr>
          <w:rFonts w:ascii="Times New Roman" w:hAnsi="Times New Roman" w:cs="Times New Roman"/>
          <w:sz w:val="25"/>
          <w:szCs w:val="25"/>
        </w:rPr>
        <w:t xml:space="preserve"> </w:t>
      </w:r>
      <w:r w:rsidR="00F307BD" w:rsidRPr="00E06855">
        <w:rPr>
          <w:rFonts w:ascii="Times New Roman" w:hAnsi="Times New Roman" w:cs="Times New Roman"/>
          <w:sz w:val="25"/>
          <w:szCs w:val="25"/>
        </w:rPr>
        <w:t xml:space="preserve">have certain expectations </w:t>
      </w:r>
      <w:r w:rsidR="00376F18" w:rsidRPr="00E06855">
        <w:rPr>
          <w:rFonts w:ascii="Times New Roman" w:hAnsi="Times New Roman" w:cs="Times New Roman"/>
          <w:sz w:val="25"/>
          <w:szCs w:val="25"/>
        </w:rPr>
        <w:t>that a focus on process will shift the Court’s standard of review</w:t>
      </w:r>
      <w:r w:rsidR="00A44F51" w:rsidRPr="00E06855">
        <w:rPr>
          <w:rFonts w:ascii="Times New Roman" w:hAnsi="Times New Roman" w:cs="Times New Roman"/>
          <w:sz w:val="25"/>
          <w:szCs w:val="25"/>
        </w:rPr>
        <w:t>.</w:t>
      </w:r>
      <w:r w:rsidR="006C1187" w:rsidRPr="00E06855">
        <w:rPr>
          <w:rFonts w:ascii="Times New Roman" w:hAnsi="Times New Roman" w:cs="Times New Roman"/>
          <w:sz w:val="25"/>
          <w:szCs w:val="25"/>
        </w:rPr>
        <w:t xml:space="preserve"> </w:t>
      </w:r>
      <w:r w:rsidR="005006B3" w:rsidRPr="00E06855">
        <w:rPr>
          <w:rFonts w:ascii="Times New Roman" w:hAnsi="Times New Roman" w:cs="Times New Roman"/>
          <w:sz w:val="25"/>
          <w:szCs w:val="25"/>
        </w:rPr>
        <w:t>A</w:t>
      </w:r>
      <w:r w:rsidR="00DE1437" w:rsidRPr="00E06855">
        <w:rPr>
          <w:rFonts w:ascii="Times New Roman" w:hAnsi="Times New Roman" w:cs="Times New Roman"/>
          <w:sz w:val="25"/>
          <w:szCs w:val="25"/>
        </w:rPr>
        <w:t>lthough the types of review proposed var</w:t>
      </w:r>
      <w:r w:rsidR="00923DCA" w:rsidRPr="00E06855">
        <w:rPr>
          <w:rFonts w:ascii="Times New Roman" w:hAnsi="Times New Roman" w:cs="Times New Roman"/>
          <w:sz w:val="25"/>
          <w:szCs w:val="25"/>
        </w:rPr>
        <w:t>y</w:t>
      </w:r>
      <w:r w:rsidR="00D63A31" w:rsidRPr="00E06855">
        <w:rPr>
          <w:rFonts w:ascii="Times New Roman" w:hAnsi="Times New Roman" w:cs="Times New Roman"/>
          <w:sz w:val="25"/>
          <w:szCs w:val="25"/>
        </w:rPr>
        <w:t>,</w:t>
      </w:r>
      <w:r w:rsidR="0085288C" w:rsidRPr="00E06855">
        <w:rPr>
          <w:rFonts w:ascii="Times New Roman" w:hAnsi="Times New Roman" w:cs="Times New Roman"/>
          <w:sz w:val="25"/>
          <w:szCs w:val="25"/>
        </w:rPr>
        <w:t xml:space="preserve"> </w:t>
      </w:r>
      <w:r w:rsidR="00EC4686" w:rsidRPr="00E06855">
        <w:rPr>
          <w:rFonts w:ascii="Times New Roman" w:hAnsi="Times New Roman" w:cs="Times New Roman"/>
          <w:sz w:val="25"/>
          <w:szCs w:val="25"/>
        </w:rPr>
        <w:t>all offer a method of process review that aims to lead to more deference to Member State choices</w:t>
      </w:r>
      <w:r w:rsidR="00787635" w:rsidRPr="00E06855">
        <w:rPr>
          <w:rFonts w:ascii="Times New Roman" w:hAnsi="Times New Roman" w:cs="Times New Roman"/>
          <w:sz w:val="25"/>
          <w:szCs w:val="25"/>
        </w:rPr>
        <w:t>.</w:t>
      </w:r>
    </w:p>
    <w:p w14:paraId="219D195A" w14:textId="1F64D942" w:rsidR="009D37E7" w:rsidRPr="00E06855" w:rsidRDefault="009D37E7" w:rsidP="009D37E7">
      <w:pPr>
        <w:rPr>
          <w:rFonts w:ascii="Times New Roman" w:hAnsi="Times New Roman" w:cs="Times New Roman"/>
          <w:sz w:val="25"/>
          <w:szCs w:val="25"/>
        </w:rPr>
      </w:pPr>
      <w:r w:rsidRPr="00E06855">
        <w:rPr>
          <w:rFonts w:ascii="Times New Roman" w:hAnsi="Times New Roman" w:cs="Times New Roman"/>
          <w:sz w:val="25"/>
          <w:szCs w:val="25"/>
        </w:rPr>
        <w:t xml:space="preserve">In the literature, </w:t>
      </w:r>
      <w:r w:rsidR="00E1451A" w:rsidRPr="00E06855">
        <w:rPr>
          <w:rFonts w:ascii="Times New Roman" w:hAnsi="Times New Roman" w:cs="Times New Roman"/>
          <w:sz w:val="25"/>
          <w:szCs w:val="25"/>
        </w:rPr>
        <w:t xml:space="preserve">this has </w:t>
      </w:r>
      <w:r w:rsidR="00007571">
        <w:rPr>
          <w:rFonts w:ascii="Times New Roman" w:hAnsi="Times New Roman" w:cs="Times New Roman"/>
          <w:sz w:val="25"/>
          <w:szCs w:val="25"/>
        </w:rPr>
        <w:t xml:space="preserve">at </w:t>
      </w:r>
      <w:r w:rsidR="00E1451A" w:rsidRPr="00E06855">
        <w:rPr>
          <w:rFonts w:ascii="Times New Roman" w:hAnsi="Times New Roman" w:cs="Times New Roman"/>
          <w:sz w:val="25"/>
          <w:szCs w:val="25"/>
        </w:rPr>
        <w:t>time</w:t>
      </w:r>
      <w:r w:rsidR="00007571">
        <w:rPr>
          <w:rFonts w:ascii="Times New Roman" w:hAnsi="Times New Roman" w:cs="Times New Roman"/>
          <w:sz w:val="25"/>
          <w:szCs w:val="25"/>
        </w:rPr>
        <w:t>s</w:t>
      </w:r>
      <w:r w:rsidR="00E1451A" w:rsidRPr="00E06855">
        <w:rPr>
          <w:rFonts w:ascii="Times New Roman" w:hAnsi="Times New Roman" w:cs="Times New Roman"/>
          <w:sz w:val="25"/>
          <w:szCs w:val="25"/>
        </w:rPr>
        <w:t xml:space="preserve"> led to </w:t>
      </w:r>
      <w:r w:rsidRPr="00E06855">
        <w:rPr>
          <w:rFonts w:ascii="Times New Roman" w:hAnsi="Times New Roman" w:cs="Times New Roman"/>
          <w:sz w:val="25"/>
          <w:szCs w:val="25"/>
        </w:rPr>
        <w:t xml:space="preserve">a conflation of the idea of process review with the idea of deferential review generally. For example, Nic Shuibhne and Maci describe how, in </w:t>
      </w:r>
      <w:r w:rsidR="00AF7E60" w:rsidRPr="00E06855">
        <w:rPr>
          <w:rFonts w:ascii="Times New Roman" w:hAnsi="Times New Roman" w:cs="Times New Roman"/>
          <w:sz w:val="25"/>
          <w:szCs w:val="25"/>
        </w:rPr>
        <w:t>relation to Member State laws on</w:t>
      </w:r>
      <w:r w:rsidRPr="00E06855">
        <w:rPr>
          <w:rFonts w:ascii="Times New Roman" w:hAnsi="Times New Roman" w:cs="Times New Roman"/>
          <w:sz w:val="25"/>
          <w:szCs w:val="25"/>
        </w:rPr>
        <w:t xml:space="preserve"> gambling, “a more procedural than substantive proportionality review tends to be applied” due to national sensitivities.</w:t>
      </w:r>
      <w:r w:rsidRPr="00E06855">
        <w:rPr>
          <w:rStyle w:val="FootnoteReference"/>
          <w:rFonts w:ascii="Times New Roman" w:hAnsi="Times New Roman" w:cs="Times New Roman"/>
          <w:sz w:val="25"/>
          <w:szCs w:val="25"/>
        </w:rPr>
        <w:footnoteReference w:id="109"/>
      </w:r>
      <w:r w:rsidRPr="00E06855">
        <w:rPr>
          <w:rFonts w:ascii="Times New Roman" w:hAnsi="Times New Roman" w:cs="Times New Roman"/>
          <w:sz w:val="25"/>
          <w:szCs w:val="25"/>
        </w:rPr>
        <w:t xml:space="preserve"> However, </w:t>
      </w:r>
      <w:r w:rsidRPr="00E06855">
        <w:rPr>
          <w:rFonts w:ascii="Times New Roman" w:hAnsi="Times New Roman" w:cs="Times New Roman"/>
          <w:sz w:val="25"/>
          <w:szCs w:val="25"/>
        </w:rPr>
        <w:lastRenderedPageBreak/>
        <w:t>while there is deference in the gambling case law, some of the cases referenced do not focus on procedural elements and instead conduct a light-touch substantive review.</w:t>
      </w:r>
      <w:r w:rsidRPr="00E06855">
        <w:rPr>
          <w:rStyle w:val="FootnoteReference"/>
          <w:rFonts w:ascii="Times New Roman" w:hAnsi="Times New Roman" w:cs="Times New Roman"/>
          <w:sz w:val="25"/>
          <w:szCs w:val="25"/>
        </w:rPr>
        <w:footnoteReference w:id="110"/>
      </w:r>
    </w:p>
    <w:p w14:paraId="48CEB9CB" w14:textId="7A8C78AA" w:rsidR="00A32759" w:rsidRPr="00E06855" w:rsidRDefault="0022475C" w:rsidP="009D37E7">
      <w:pPr>
        <w:rPr>
          <w:rFonts w:ascii="Times New Roman" w:hAnsi="Times New Roman" w:cs="Times New Roman"/>
          <w:sz w:val="25"/>
          <w:szCs w:val="25"/>
        </w:rPr>
      </w:pPr>
      <w:r w:rsidRPr="00E06855">
        <w:rPr>
          <w:rFonts w:ascii="Times New Roman" w:hAnsi="Times New Roman" w:cs="Times New Roman"/>
          <w:sz w:val="25"/>
          <w:szCs w:val="25"/>
        </w:rPr>
        <w:t xml:space="preserve">For example, in </w:t>
      </w:r>
      <w:r w:rsidRPr="00E06855">
        <w:rPr>
          <w:rFonts w:ascii="Times New Roman" w:hAnsi="Times New Roman" w:cs="Times New Roman"/>
          <w:i/>
          <w:iCs/>
          <w:sz w:val="25"/>
          <w:szCs w:val="25"/>
        </w:rPr>
        <w:t>Schindler</w:t>
      </w:r>
      <w:r w:rsidRPr="00E06855">
        <w:rPr>
          <w:rFonts w:ascii="Times New Roman" w:hAnsi="Times New Roman" w:cs="Times New Roman"/>
          <w:sz w:val="25"/>
          <w:szCs w:val="25"/>
        </w:rPr>
        <w:t xml:space="preserve"> the Court</w:t>
      </w:r>
      <w:r w:rsidR="009922F1" w:rsidRPr="00E06855">
        <w:rPr>
          <w:rFonts w:ascii="Times New Roman" w:hAnsi="Times New Roman" w:cs="Times New Roman"/>
          <w:sz w:val="25"/>
          <w:szCs w:val="25"/>
        </w:rPr>
        <w:t xml:space="preserve"> established s</w:t>
      </w:r>
      <w:r w:rsidR="00E040C9" w:rsidRPr="00E06855">
        <w:rPr>
          <w:rFonts w:ascii="Times New Roman" w:hAnsi="Times New Roman" w:cs="Times New Roman"/>
          <w:sz w:val="25"/>
          <w:szCs w:val="25"/>
        </w:rPr>
        <w:t>ignificant</w:t>
      </w:r>
      <w:r w:rsidR="009922F1" w:rsidRPr="00E06855">
        <w:rPr>
          <w:rFonts w:ascii="Times New Roman" w:hAnsi="Times New Roman" w:cs="Times New Roman"/>
          <w:sz w:val="25"/>
          <w:szCs w:val="25"/>
        </w:rPr>
        <w:t xml:space="preserve"> discretion for the Member States</w:t>
      </w:r>
      <w:r w:rsidR="008548DC" w:rsidRPr="00E06855">
        <w:rPr>
          <w:rFonts w:ascii="Times New Roman" w:hAnsi="Times New Roman" w:cs="Times New Roman"/>
          <w:sz w:val="25"/>
          <w:szCs w:val="25"/>
        </w:rPr>
        <w:t xml:space="preserve"> to regulate the practice of gambling</w:t>
      </w:r>
      <w:r w:rsidR="007339DF" w:rsidRPr="00E06855">
        <w:rPr>
          <w:rFonts w:ascii="Times New Roman" w:hAnsi="Times New Roman" w:cs="Times New Roman"/>
          <w:sz w:val="25"/>
          <w:szCs w:val="25"/>
        </w:rPr>
        <w:t xml:space="preserve">. </w:t>
      </w:r>
      <w:r w:rsidR="00477B8E" w:rsidRPr="00E06855">
        <w:rPr>
          <w:rFonts w:ascii="Times New Roman" w:hAnsi="Times New Roman" w:cs="Times New Roman"/>
          <w:sz w:val="25"/>
          <w:szCs w:val="25"/>
        </w:rPr>
        <w:t xml:space="preserve">Its </w:t>
      </w:r>
      <w:r w:rsidR="007339DF" w:rsidRPr="00E06855">
        <w:rPr>
          <w:rFonts w:ascii="Times New Roman" w:hAnsi="Times New Roman" w:cs="Times New Roman"/>
          <w:sz w:val="25"/>
          <w:szCs w:val="25"/>
        </w:rPr>
        <w:t xml:space="preserve">particular </w:t>
      </w:r>
      <w:r w:rsidR="007B617B" w:rsidRPr="00E06855">
        <w:rPr>
          <w:rFonts w:ascii="Times New Roman" w:hAnsi="Times New Roman" w:cs="Times New Roman"/>
          <w:sz w:val="25"/>
          <w:szCs w:val="25"/>
        </w:rPr>
        <w:t>damaging consequences justify national authoriti</w:t>
      </w:r>
      <w:r w:rsidR="003D6B8B" w:rsidRPr="00E06855">
        <w:rPr>
          <w:rFonts w:ascii="Times New Roman" w:hAnsi="Times New Roman" w:cs="Times New Roman"/>
          <w:sz w:val="25"/>
          <w:szCs w:val="25"/>
        </w:rPr>
        <w:t>es</w:t>
      </w:r>
      <w:r w:rsidR="007B617B" w:rsidRPr="00E06855">
        <w:rPr>
          <w:rFonts w:ascii="Times New Roman" w:hAnsi="Times New Roman" w:cs="Times New Roman"/>
          <w:sz w:val="25"/>
          <w:szCs w:val="25"/>
        </w:rPr>
        <w:t xml:space="preserve"> </w:t>
      </w:r>
      <w:r w:rsidR="0081092C" w:rsidRPr="00E06855">
        <w:rPr>
          <w:rFonts w:ascii="Times New Roman" w:hAnsi="Times New Roman" w:cs="Times New Roman"/>
          <w:sz w:val="25"/>
          <w:szCs w:val="25"/>
        </w:rPr>
        <w:t xml:space="preserve">“having a </w:t>
      </w:r>
      <w:r w:rsidR="0081092C" w:rsidRPr="00E06855">
        <w:rPr>
          <w:rFonts w:ascii="Times New Roman" w:hAnsi="Times New Roman" w:cs="Times New Roman"/>
          <w:i/>
          <w:iCs/>
          <w:sz w:val="25"/>
          <w:szCs w:val="25"/>
        </w:rPr>
        <w:t>sufficient degree of latitude</w:t>
      </w:r>
      <w:r w:rsidR="0081092C" w:rsidRPr="00E06855">
        <w:rPr>
          <w:rFonts w:ascii="Times New Roman" w:hAnsi="Times New Roman" w:cs="Times New Roman"/>
          <w:sz w:val="25"/>
          <w:szCs w:val="25"/>
        </w:rPr>
        <w:t xml:space="preserve"> to determine what is required” </w:t>
      </w:r>
      <w:r w:rsidR="00F636C0" w:rsidRPr="00E06855">
        <w:rPr>
          <w:rFonts w:ascii="Times New Roman" w:hAnsi="Times New Roman" w:cs="Times New Roman"/>
          <w:sz w:val="25"/>
          <w:szCs w:val="25"/>
        </w:rPr>
        <w:t>in light of t</w:t>
      </w:r>
      <w:r w:rsidR="00AF1AE5" w:rsidRPr="00E06855">
        <w:rPr>
          <w:rFonts w:ascii="Times New Roman" w:hAnsi="Times New Roman" w:cs="Times New Roman"/>
          <w:sz w:val="25"/>
          <w:szCs w:val="25"/>
        </w:rPr>
        <w:t xml:space="preserve">hat society’s </w:t>
      </w:r>
      <w:r w:rsidR="00F636C0" w:rsidRPr="00E06855">
        <w:rPr>
          <w:rFonts w:ascii="Times New Roman" w:hAnsi="Times New Roman" w:cs="Times New Roman"/>
          <w:sz w:val="25"/>
          <w:szCs w:val="25"/>
        </w:rPr>
        <w:t>own social and cultur</w:t>
      </w:r>
      <w:r w:rsidR="00061BFE" w:rsidRPr="00E06855">
        <w:rPr>
          <w:rFonts w:ascii="Times New Roman" w:hAnsi="Times New Roman" w:cs="Times New Roman"/>
          <w:sz w:val="25"/>
          <w:szCs w:val="25"/>
        </w:rPr>
        <w:t>al</w:t>
      </w:r>
      <w:r w:rsidR="00F636C0" w:rsidRPr="00E06855">
        <w:rPr>
          <w:rFonts w:ascii="Times New Roman" w:hAnsi="Times New Roman" w:cs="Times New Roman"/>
          <w:sz w:val="25"/>
          <w:szCs w:val="25"/>
        </w:rPr>
        <w:t xml:space="preserve"> features</w:t>
      </w:r>
      <w:r w:rsidR="00AF1AE5" w:rsidRPr="00E06855">
        <w:rPr>
          <w:rFonts w:ascii="Times New Roman" w:hAnsi="Times New Roman" w:cs="Times New Roman"/>
          <w:sz w:val="25"/>
          <w:szCs w:val="25"/>
        </w:rPr>
        <w:t>.</w:t>
      </w:r>
      <w:r w:rsidR="00AF1AE5" w:rsidRPr="00E06855">
        <w:rPr>
          <w:rStyle w:val="FootnoteReference"/>
          <w:rFonts w:ascii="Times New Roman" w:hAnsi="Times New Roman" w:cs="Times New Roman"/>
          <w:sz w:val="25"/>
          <w:szCs w:val="25"/>
        </w:rPr>
        <w:footnoteReference w:id="111"/>
      </w:r>
      <w:r w:rsidR="001E4C2B" w:rsidRPr="00E06855">
        <w:rPr>
          <w:rFonts w:ascii="Times New Roman" w:hAnsi="Times New Roman" w:cs="Times New Roman"/>
          <w:sz w:val="25"/>
          <w:szCs w:val="25"/>
        </w:rPr>
        <w:t xml:space="preserve"> </w:t>
      </w:r>
    </w:p>
    <w:p w14:paraId="53CA998D" w14:textId="38DDB4F6" w:rsidR="009D37E7" w:rsidRPr="00E06855" w:rsidRDefault="009D37E7" w:rsidP="009D37E7">
      <w:pPr>
        <w:rPr>
          <w:rFonts w:ascii="Times New Roman" w:hAnsi="Times New Roman" w:cs="Times New Roman"/>
          <w:sz w:val="25"/>
          <w:szCs w:val="25"/>
        </w:rPr>
      </w:pPr>
      <w:r w:rsidRPr="00E06855">
        <w:rPr>
          <w:rFonts w:ascii="Times New Roman" w:hAnsi="Times New Roman" w:cs="Times New Roman"/>
          <w:sz w:val="25"/>
          <w:szCs w:val="25"/>
        </w:rPr>
        <w:t>In outlining this deferential standard, the Court had no recourse to elements of the procedure of Member States. Instead, it simply conducted review with less intensity than the normal proportionality test. As Cuyvers and Van Den Bogaert have noted, “a general margin of appreciation” is granted to the Member States in the area of gambling</w:t>
      </w:r>
      <w:r w:rsidR="0009649F" w:rsidRPr="00E06855">
        <w:rPr>
          <w:rFonts w:ascii="Times New Roman" w:hAnsi="Times New Roman" w:cs="Times New Roman"/>
          <w:sz w:val="25"/>
          <w:szCs w:val="25"/>
        </w:rPr>
        <w:t>,</w:t>
      </w:r>
      <w:r w:rsidRPr="00E06855">
        <w:rPr>
          <w:rStyle w:val="FootnoteReference"/>
          <w:rFonts w:ascii="Times New Roman" w:hAnsi="Times New Roman" w:cs="Times New Roman"/>
          <w:sz w:val="25"/>
          <w:szCs w:val="25"/>
        </w:rPr>
        <w:footnoteReference w:id="112"/>
      </w:r>
      <w:r w:rsidRPr="00E06855">
        <w:rPr>
          <w:rFonts w:ascii="Times New Roman" w:hAnsi="Times New Roman" w:cs="Times New Roman"/>
          <w:sz w:val="25"/>
          <w:szCs w:val="25"/>
        </w:rPr>
        <w:t xml:space="preserve"> </w:t>
      </w:r>
      <w:r w:rsidR="0009649F" w:rsidRPr="00E06855">
        <w:rPr>
          <w:rFonts w:ascii="Times New Roman" w:hAnsi="Times New Roman" w:cs="Times New Roman"/>
          <w:sz w:val="25"/>
          <w:szCs w:val="25"/>
        </w:rPr>
        <w:t>with</w:t>
      </w:r>
      <w:r w:rsidRPr="00E06855">
        <w:rPr>
          <w:rFonts w:ascii="Times New Roman" w:hAnsi="Times New Roman" w:cs="Times New Roman"/>
          <w:sz w:val="25"/>
          <w:szCs w:val="25"/>
        </w:rPr>
        <w:t xml:space="preserve"> limited enforcement of the necessity</w:t>
      </w:r>
      <w:r w:rsidR="00E04ED6" w:rsidRPr="00E06855">
        <w:rPr>
          <w:rFonts w:ascii="Times New Roman" w:hAnsi="Times New Roman" w:cs="Times New Roman"/>
          <w:sz w:val="25"/>
          <w:szCs w:val="25"/>
        </w:rPr>
        <w:t xml:space="preserve"> limb of the proportionality</w:t>
      </w:r>
      <w:r w:rsidRPr="00E06855">
        <w:rPr>
          <w:rFonts w:ascii="Times New Roman" w:hAnsi="Times New Roman" w:cs="Times New Roman"/>
          <w:sz w:val="25"/>
          <w:szCs w:val="25"/>
        </w:rPr>
        <w:t xml:space="preserve"> test.</w:t>
      </w:r>
      <w:r w:rsidRPr="00E06855">
        <w:rPr>
          <w:rStyle w:val="FootnoteReference"/>
          <w:rFonts w:ascii="Times New Roman" w:hAnsi="Times New Roman" w:cs="Times New Roman"/>
          <w:sz w:val="25"/>
          <w:szCs w:val="25"/>
        </w:rPr>
        <w:footnoteReference w:id="113"/>
      </w:r>
      <w:r w:rsidRPr="00E06855">
        <w:rPr>
          <w:rFonts w:ascii="Times New Roman" w:hAnsi="Times New Roman" w:cs="Times New Roman"/>
          <w:sz w:val="25"/>
          <w:szCs w:val="25"/>
        </w:rPr>
        <w:t xml:space="preserve"> Thus, this area displays a deferential standard of review, but not on the basis of a focus on procedural elements. </w:t>
      </w:r>
    </w:p>
    <w:p w14:paraId="1E71910A" w14:textId="4D435B3C" w:rsidR="009D37E7" w:rsidRPr="00E06855" w:rsidRDefault="009D37E7" w:rsidP="009D37E7">
      <w:pPr>
        <w:rPr>
          <w:rFonts w:ascii="Times New Roman" w:hAnsi="Times New Roman" w:cs="Times New Roman"/>
          <w:sz w:val="25"/>
          <w:szCs w:val="25"/>
        </w:rPr>
      </w:pPr>
      <w:r w:rsidRPr="00E06855">
        <w:rPr>
          <w:rFonts w:ascii="Times New Roman" w:hAnsi="Times New Roman" w:cs="Times New Roman"/>
          <w:sz w:val="25"/>
          <w:szCs w:val="25"/>
        </w:rPr>
        <w:t xml:space="preserve">Similarly, De Witte describes the </w:t>
      </w:r>
      <w:r w:rsidRPr="00E06855">
        <w:rPr>
          <w:rFonts w:ascii="Times New Roman" w:hAnsi="Times New Roman" w:cs="Times New Roman"/>
          <w:i/>
          <w:sz w:val="25"/>
          <w:szCs w:val="25"/>
        </w:rPr>
        <w:t>Omega</w:t>
      </w:r>
      <w:r w:rsidRPr="00E06855">
        <w:rPr>
          <w:rFonts w:ascii="Times New Roman" w:hAnsi="Times New Roman" w:cs="Times New Roman"/>
          <w:sz w:val="25"/>
          <w:szCs w:val="25"/>
        </w:rPr>
        <w:t xml:space="preserve"> case as displaying a “more procedural approach” because it did not result in close scrutiny of whether a less restrictive measure would have been possible. However, this case did not concern procedural elements and was conducted with a light-touch substantive review. Once again, this conflates process review with a deferential form of review.</w:t>
      </w:r>
      <w:r w:rsidRPr="00E06855">
        <w:rPr>
          <w:rStyle w:val="FootnoteReference"/>
          <w:rFonts w:ascii="Times New Roman" w:hAnsi="Times New Roman" w:cs="Times New Roman"/>
          <w:sz w:val="25"/>
          <w:szCs w:val="25"/>
        </w:rPr>
        <w:footnoteReference w:id="114"/>
      </w:r>
      <w:r w:rsidRPr="00E06855">
        <w:rPr>
          <w:rFonts w:ascii="Times New Roman" w:hAnsi="Times New Roman" w:cs="Times New Roman"/>
          <w:sz w:val="25"/>
          <w:szCs w:val="25"/>
        </w:rPr>
        <w:t xml:space="preserve"> In fact</w:t>
      </w:r>
      <w:r w:rsidR="0033399C" w:rsidRPr="00E06855">
        <w:rPr>
          <w:rFonts w:ascii="Times New Roman" w:hAnsi="Times New Roman" w:cs="Times New Roman"/>
          <w:sz w:val="25"/>
          <w:szCs w:val="25"/>
        </w:rPr>
        <w:t>,</w:t>
      </w:r>
      <w:r w:rsidRPr="00E06855">
        <w:rPr>
          <w:rFonts w:ascii="Times New Roman" w:hAnsi="Times New Roman" w:cs="Times New Roman"/>
          <w:sz w:val="25"/>
          <w:szCs w:val="25"/>
        </w:rPr>
        <w:t xml:space="preserve"> when the Court has </w:t>
      </w:r>
      <w:r w:rsidR="001D4C01" w:rsidRPr="00E06855">
        <w:rPr>
          <w:rFonts w:ascii="Times New Roman" w:hAnsi="Times New Roman" w:cs="Times New Roman"/>
          <w:sz w:val="25"/>
          <w:szCs w:val="25"/>
        </w:rPr>
        <w:t>regard</w:t>
      </w:r>
      <w:r w:rsidRPr="00E06855">
        <w:rPr>
          <w:rFonts w:ascii="Times New Roman" w:hAnsi="Times New Roman" w:cs="Times New Roman"/>
          <w:sz w:val="25"/>
          <w:szCs w:val="25"/>
        </w:rPr>
        <w:t xml:space="preserve"> to procedural elements in the case law, it has often done so in line with its more traditional intensive standard of review.</w:t>
      </w:r>
      <w:r w:rsidR="000D578E" w:rsidRPr="00E06855">
        <w:rPr>
          <w:rStyle w:val="FootnoteReference"/>
          <w:rFonts w:ascii="Times New Roman" w:hAnsi="Times New Roman" w:cs="Times New Roman"/>
          <w:sz w:val="25"/>
          <w:szCs w:val="25"/>
        </w:rPr>
        <w:footnoteReference w:id="115"/>
      </w:r>
      <w:r w:rsidRPr="00E06855">
        <w:rPr>
          <w:rFonts w:ascii="Times New Roman" w:hAnsi="Times New Roman" w:cs="Times New Roman"/>
          <w:sz w:val="25"/>
          <w:szCs w:val="25"/>
        </w:rPr>
        <w:t xml:space="preserve"> </w:t>
      </w:r>
    </w:p>
    <w:p w14:paraId="05D5E5CF" w14:textId="5E2905EB" w:rsidR="009D37E7" w:rsidRPr="00E06855" w:rsidRDefault="00947A0C" w:rsidP="007E00CD">
      <w:pPr>
        <w:rPr>
          <w:rFonts w:ascii="Times New Roman" w:eastAsia="Calibri" w:hAnsi="Times New Roman" w:cs="Times New Roman"/>
          <w:sz w:val="25"/>
          <w:szCs w:val="25"/>
        </w:rPr>
      </w:pPr>
      <w:r w:rsidRPr="00E06855">
        <w:rPr>
          <w:rFonts w:ascii="Times New Roman" w:hAnsi="Times New Roman" w:cs="Times New Roman"/>
          <w:sz w:val="25"/>
          <w:szCs w:val="25"/>
        </w:rPr>
        <w:t xml:space="preserve">Process review </w:t>
      </w:r>
      <w:r w:rsidR="004A7302" w:rsidRPr="00E06855">
        <w:rPr>
          <w:rFonts w:ascii="Times New Roman" w:hAnsi="Times New Roman" w:cs="Times New Roman"/>
          <w:sz w:val="25"/>
          <w:szCs w:val="25"/>
        </w:rPr>
        <w:t>can be</w:t>
      </w:r>
      <w:r w:rsidR="009D37E7" w:rsidRPr="00E06855">
        <w:rPr>
          <w:rFonts w:ascii="Times New Roman" w:hAnsi="Times New Roman" w:cs="Times New Roman"/>
          <w:sz w:val="25"/>
          <w:szCs w:val="25"/>
        </w:rPr>
        <w:t xml:space="preserve"> associated with strong requirements of evidence</w:t>
      </w:r>
      <w:r w:rsidR="00260ED2" w:rsidRPr="00E06855">
        <w:rPr>
          <w:rFonts w:ascii="Times New Roman" w:hAnsi="Times New Roman" w:cs="Times New Roman"/>
          <w:sz w:val="25"/>
          <w:szCs w:val="25"/>
        </w:rPr>
        <w:t xml:space="preserve"> in </w:t>
      </w:r>
      <w:r w:rsidR="0026200B">
        <w:rPr>
          <w:rFonts w:ascii="Times New Roman" w:hAnsi="Times New Roman" w:cs="Times New Roman"/>
          <w:sz w:val="25"/>
          <w:szCs w:val="25"/>
        </w:rPr>
        <w:t>f</w:t>
      </w:r>
      <w:r w:rsidR="00260ED2" w:rsidRPr="00E06855">
        <w:rPr>
          <w:rFonts w:ascii="Times New Roman" w:hAnsi="Times New Roman" w:cs="Times New Roman"/>
          <w:sz w:val="25"/>
          <w:szCs w:val="25"/>
        </w:rPr>
        <w:t xml:space="preserve">ree </w:t>
      </w:r>
      <w:r w:rsidR="0026200B">
        <w:rPr>
          <w:rFonts w:ascii="Times New Roman" w:hAnsi="Times New Roman" w:cs="Times New Roman"/>
          <w:sz w:val="25"/>
          <w:szCs w:val="25"/>
        </w:rPr>
        <w:t>m</w:t>
      </w:r>
      <w:r w:rsidR="00260ED2" w:rsidRPr="00E06855">
        <w:rPr>
          <w:rFonts w:ascii="Times New Roman" w:hAnsi="Times New Roman" w:cs="Times New Roman"/>
          <w:sz w:val="25"/>
          <w:szCs w:val="25"/>
        </w:rPr>
        <w:t>ovement law</w:t>
      </w:r>
      <w:r w:rsidR="009D37E7" w:rsidRPr="00E06855">
        <w:rPr>
          <w:rFonts w:ascii="Times New Roman" w:hAnsi="Times New Roman" w:cs="Times New Roman"/>
          <w:sz w:val="25"/>
          <w:szCs w:val="25"/>
        </w:rPr>
        <w:t xml:space="preserve">. Cases such as </w:t>
      </w:r>
      <w:r w:rsidR="009D37E7" w:rsidRPr="00E06855">
        <w:rPr>
          <w:rFonts w:ascii="Times New Roman" w:hAnsi="Times New Roman" w:cs="Times New Roman"/>
          <w:i/>
          <w:sz w:val="25"/>
          <w:szCs w:val="25"/>
        </w:rPr>
        <w:t>Bressol</w:t>
      </w:r>
      <w:r w:rsidR="009D37E7" w:rsidRPr="00E06855">
        <w:rPr>
          <w:rFonts w:ascii="Times New Roman" w:hAnsi="Times New Roman" w:cs="Times New Roman"/>
          <w:sz w:val="25"/>
          <w:szCs w:val="25"/>
        </w:rPr>
        <w:t xml:space="preserve"> display the high levels of evidence that Member States must show in order to comply with proportionality.</w:t>
      </w:r>
      <w:r w:rsidR="009D37E7" w:rsidRPr="00E06855">
        <w:rPr>
          <w:rFonts w:ascii="Times New Roman" w:hAnsi="Times New Roman" w:cs="Times New Roman"/>
          <w:iCs/>
          <w:sz w:val="25"/>
          <w:szCs w:val="25"/>
          <w:vertAlign w:val="superscript"/>
        </w:rPr>
        <w:footnoteReference w:id="116"/>
      </w:r>
      <w:r w:rsidR="009D37E7" w:rsidRPr="00E06855">
        <w:rPr>
          <w:rFonts w:ascii="Times New Roman" w:hAnsi="Times New Roman" w:cs="Times New Roman"/>
          <w:sz w:val="25"/>
          <w:szCs w:val="25"/>
        </w:rPr>
        <w:t xml:space="preserve"> In this case, the French Community of Belgium limited the number of medical students from France on the basis that they would </w:t>
      </w:r>
      <w:r w:rsidR="009D37E7" w:rsidRPr="00E06855">
        <w:rPr>
          <w:rFonts w:ascii="Times New Roman" w:hAnsi="Times New Roman" w:cs="Times New Roman"/>
          <w:sz w:val="25"/>
          <w:szCs w:val="25"/>
        </w:rPr>
        <w:lastRenderedPageBreak/>
        <w:t>leave the territory to find work elsewhere after study</w:t>
      </w:r>
      <w:r w:rsidR="0029418F" w:rsidRPr="00E06855">
        <w:rPr>
          <w:rFonts w:ascii="Times New Roman" w:hAnsi="Times New Roman" w:cs="Times New Roman"/>
          <w:sz w:val="25"/>
          <w:szCs w:val="25"/>
        </w:rPr>
        <w:t>, with a consequent</w:t>
      </w:r>
      <w:r w:rsidR="006925D2" w:rsidRPr="00E06855">
        <w:rPr>
          <w:rFonts w:ascii="Times New Roman" w:hAnsi="Times New Roman" w:cs="Times New Roman"/>
          <w:sz w:val="25"/>
          <w:szCs w:val="25"/>
        </w:rPr>
        <w:t xml:space="preserve"> public health risk due to the lack of </w:t>
      </w:r>
      <w:r w:rsidR="00445209" w:rsidRPr="00E06855">
        <w:rPr>
          <w:rFonts w:ascii="Times New Roman" w:hAnsi="Times New Roman" w:cs="Times New Roman"/>
          <w:sz w:val="25"/>
          <w:szCs w:val="25"/>
        </w:rPr>
        <w:t>medical</w:t>
      </w:r>
      <w:r w:rsidR="006925D2" w:rsidRPr="00E06855">
        <w:rPr>
          <w:rFonts w:ascii="Times New Roman" w:hAnsi="Times New Roman" w:cs="Times New Roman"/>
          <w:sz w:val="25"/>
          <w:szCs w:val="25"/>
        </w:rPr>
        <w:t xml:space="preserve"> </w:t>
      </w:r>
      <w:r w:rsidR="00445209" w:rsidRPr="00E06855">
        <w:rPr>
          <w:rFonts w:ascii="Times New Roman" w:hAnsi="Times New Roman" w:cs="Times New Roman"/>
          <w:sz w:val="25"/>
          <w:szCs w:val="25"/>
        </w:rPr>
        <w:t>practitioners</w:t>
      </w:r>
      <w:r w:rsidR="009D37E7" w:rsidRPr="00E06855">
        <w:rPr>
          <w:rFonts w:ascii="Times New Roman" w:hAnsi="Times New Roman" w:cs="Times New Roman"/>
          <w:sz w:val="25"/>
          <w:szCs w:val="25"/>
        </w:rPr>
        <w:t>. In response</w:t>
      </w:r>
      <w:r w:rsidR="00445209" w:rsidRPr="00E06855">
        <w:rPr>
          <w:rFonts w:ascii="Times New Roman" w:hAnsi="Times New Roman" w:cs="Times New Roman"/>
          <w:sz w:val="25"/>
          <w:szCs w:val="25"/>
        </w:rPr>
        <w:t>,</w:t>
      </w:r>
      <w:r w:rsidR="009D37E7" w:rsidRPr="00E06855">
        <w:rPr>
          <w:rFonts w:ascii="Times New Roman" w:hAnsi="Times New Roman" w:cs="Times New Roman"/>
          <w:sz w:val="25"/>
          <w:szCs w:val="25"/>
        </w:rPr>
        <w:t xml:space="preserve"> the Court stated that the justification required “objective, detailed analysis, supported by figures…capable of demonstrating, with solid and consistent data, that there are genuine risks to public health”.</w:t>
      </w:r>
      <w:r w:rsidR="009D37E7" w:rsidRPr="00E06855">
        <w:rPr>
          <w:rStyle w:val="FootnoteReference"/>
          <w:rFonts w:ascii="Times New Roman" w:hAnsi="Times New Roman" w:cs="Times New Roman"/>
          <w:sz w:val="25"/>
          <w:szCs w:val="25"/>
        </w:rPr>
        <w:footnoteReference w:id="117"/>
      </w:r>
      <w:r w:rsidR="009D37E7" w:rsidRPr="00E06855">
        <w:rPr>
          <w:rFonts w:ascii="Times New Roman" w:hAnsi="Times New Roman" w:cs="Times New Roman"/>
          <w:sz w:val="25"/>
          <w:szCs w:val="25"/>
        </w:rPr>
        <w:t xml:space="preserve"> The level of detail required </w:t>
      </w:r>
      <w:r w:rsidR="000507E2">
        <w:rPr>
          <w:rFonts w:ascii="Times New Roman" w:hAnsi="Times New Roman" w:cs="Times New Roman"/>
          <w:sz w:val="25"/>
          <w:szCs w:val="25"/>
        </w:rPr>
        <w:t xml:space="preserve">was </w:t>
      </w:r>
      <w:r w:rsidR="00E23F6E">
        <w:rPr>
          <w:rFonts w:ascii="Times New Roman" w:hAnsi="Times New Roman" w:cs="Times New Roman"/>
          <w:sz w:val="25"/>
          <w:szCs w:val="25"/>
        </w:rPr>
        <w:t xml:space="preserve">later </w:t>
      </w:r>
      <w:r w:rsidR="000507E2">
        <w:rPr>
          <w:rFonts w:ascii="Times New Roman" w:hAnsi="Times New Roman" w:cs="Times New Roman"/>
          <w:sz w:val="25"/>
          <w:szCs w:val="25"/>
        </w:rPr>
        <w:t xml:space="preserve">described as </w:t>
      </w:r>
      <w:r w:rsidR="009D37E7" w:rsidRPr="00E06855">
        <w:rPr>
          <w:rFonts w:ascii="Times New Roman" w:hAnsi="Times New Roman" w:cs="Times New Roman"/>
          <w:sz w:val="25"/>
          <w:szCs w:val="25"/>
        </w:rPr>
        <w:t>setting “a heavy, almost insurmountable burden of proof”.</w:t>
      </w:r>
      <w:r w:rsidR="009D37E7" w:rsidRPr="00E06855">
        <w:rPr>
          <w:rStyle w:val="FootnoteReference"/>
          <w:rFonts w:ascii="Times New Roman" w:hAnsi="Times New Roman" w:cs="Times New Roman"/>
          <w:sz w:val="25"/>
          <w:szCs w:val="25"/>
        </w:rPr>
        <w:footnoteReference w:id="118"/>
      </w:r>
      <w:r w:rsidR="009D37E7" w:rsidRPr="00E06855">
        <w:rPr>
          <w:rFonts w:ascii="Times New Roman" w:hAnsi="Times New Roman" w:cs="Times New Roman"/>
          <w:sz w:val="25"/>
          <w:szCs w:val="25"/>
        </w:rPr>
        <w:t xml:space="preserve"> In the opinion of the </w:t>
      </w:r>
      <w:r w:rsidR="009D37E7" w:rsidRPr="00E06855">
        <w:rPr>
          <w:rFonts w:ascii="Times New Roman" w:hAnsi="Times New Roman" w:cs="Times New Roman"/>
          <w:i/>
          <w:iCs/>
          <w:sz w:val="25"/>
          <w:szCs w:val="25"/>
        </w:rPr>
        <w:t>Bressol</w:t>
      </w:r>
      <w:r w:rsidR="009D37E7" w:rsidRPr="00E06855">
        <w:rPr>
          <w:rFonts w:ascii="Times New Roman" w:hAnsi="Times New Roman" w:cs="Times New Roman"/>
          <w:sz w:val="25"/>
          <w:szCs w:val="25"/>
        </w:rPr>
        <w:t xml:space="preserve"> case, </w:t>
      </w:r>
      <w:r w:rsidR="00613D63" w:rsidRPr="00E06855">
        <w:rPr>
          <w:rFonts w:ascii="Times New Roman" w:hAnsi="Times New Roman" w:cs="Times New Roman"/>
          <w:sz w:val="25"/>
          <w:szCs w:val="25"/>
        </w:rPr>
        <w:t>AG</w:t>
      </w:r>
      <w:r w:rsidR="009D37E7" w:rsidRPr="00E06855">
        <w:rPr>
          <w:rFonts w:ascii="Times New Roman" w:hAnsi="Times New Roman" w:cs="Times New Roman"/>
          <w:sz w:val="25"/>
          <w:szCs w:val="25"/>
        </w:rPr>
        <w:t xml:space="preserve"> Sharpston focused on </w:t>
      </w:r>
      <w:r w:rsidR="000E056B" w:rsidRPr="00E06855">
        <w:rPr>
          <w:rFonts w:ascii="Times New Roman" w:hAnsi="Times New Roman" w:cs="Times New Roman"/>
          <w:sz w:val="25"/>
          <w:szCs w:val="25"/>
        </w:rPr>
        <w:t>the decision’s evidential basis</w:t>
      </w:r>
      <w:r w:rsidR="009D37E7" w:rsidRPr="00E06855">
        <w:rPr>
          <w:rFonts w:ascii="Times New Roman" w:hAnsi="Times New Roman" w:cs="Times New Roman"/>
          <w:sz w:val="25"/>
          <w:szCs w:val="25"/>
        </w:rPr>
        <w:t xml:space="preserve">, stating that </w:t>
      </w:r>
      <w:r w:rsidR="009D37E7" w:rsidRPr="00E06855">
        <w:rPr>
          <w:rFonts w:ascii="Times New Roman" w:eastAsia="Calibri" w:hAnsi="Times New Roman" w:cs="Times New Roman"/>
          <w:sz w:val="25"/>
          <w:szCs w:val="25"/>
        </w:rPr>
        <w:t>the measure “was introduced on the basis of rather patchy information”. Further</w:t>
      </w:r>
      <w:r w:rsidR="00056B63">
        <w:rPr>
          <w:rFonts w:ascii="Times New Roman" w:eastAsia="Calibri" w:hAnsi="Times New Roman" w:cs="Times New Roman"/>
          <w:sz w:val="25"/>
          <w:szCs w:val="25"/>
        </w:rPr>
        <w:t>,</w:t>
      </w:r>
    </w:p>
    <w:p w14:paraId="79DDDA03" w14:textId="77777777" w:rsidR="009D37E7" w:rsidRPr="00E06855" w:rsidRDefault="009D37E7" w:rsidP="009D37E7">
      <w:pPr>
        <w:ind w:left="720"/>
        <w:rPr>
          <w:rFonts w:ascii="Times New Roman" w:eastAsia="Calibri" w:hAnsi="Times New Roman" w:cs="Times New Roman"/>
          <w:sz w:val="25"/>
          <w:szCs w:val="25"/>
        </w:rPr>
      </w:pPr>
      <w:r w:rsidRPr="00E06855">
        <w:rPr>
          <w:rFonts w:ascii="Times New Roman" w:eastAsia="Calibri" w:hAnsi="Times New Roman" w:cs="Times New Roman"/>
          <w:sz w:val="25"/>
          <w:szCs w:val="25"/>
        </w:rPr>
        <w:t xml:space="preserve">“[t]he specific material that would lead a prudent legislator legitimately to conclude that a specific burgeoning problem needed to be nipped in the bud…was simply not to hand and/or not examined </w:t>
      </w:r>
      <w:r w:rsidRPr="00E06855">
        <w:rPr>
          <w:rFonts w:ascii="Times New Roman" w:eastAsia="Calibri" w:hAnsi="Times New Roman" w:cs="Times New Roman"/>
          <w:i/>
          <w:iCs/>
          <w:sz w:val="25"/>
          <w:szCs w:val="25"/>
        </w:rPr>
        <w:t>when the decree was enacted</w:t>
      </w:r>
      <w:r w:rsidRPr="00E06855">
        <w:rPr>
          <w:rFonts w:ascii="Times New Roman" w:eastAsia="Calibri" w:hAnsi="Times New Roman" w:cs="Times New Roman"/>
          <w:sz w:val="25"/>
          <w:szCs w:val="25"/>
        </w:rPr>
        <w:t>”</w:t>
      </w:r>
      <w:r w:rsidRPr="00E06855">
        <w:rPr>
          <w:rFonts w:ascii="Times New Roman" w:eastAsia="Calibri" w:hAnsi="Times New Roman" w:cs="Times New Roman"/>
          <w:sz w:val="25"/>
          <w:szCs w:val="25"/>
          <w:vertAlign w:val="superscript"/>
        </w:rPr>
        <w:footnoteReference w:id="119"/>
      </w:r>
    </w:p>
    <w:p w14:paraId="4F019E8C" w14:textId="77777777" w:rsidR="009D37E7" w:rsidRPr="00E06855" w:rsidRDefault="009D37E7" w:rsidP="009D37E7">
      <w:pPr>
        <w:rPr>
          <w:rFonts w:ascii="Times New Roman" w:eastAsia="Calibri" w:hAnsi="Times New Roman" w:cs="Times New Roman"/>
          <w:sz w:val="25"/>
          <w:szCs w:val="25"/>
        </w:rPr>
      </w:pPr>
      <w:r w:rsidRPr="00E06855">
        <w:rPr>
          <w:rFonts w:ascii="Times New Roman" w:hAnsi="Times New Roman" w:cs="Times New Roman"/>
          <w:sz w:val="25"/>
          <w:szCs w:val="25"/>
        </w:rPr>
        <w:t xml:space="preserve">This shows how the strong burden of proof required for evidence can be used to focus on the decision-making process, resulting in an intensive standard of process review. </w:t>
      </w:r>
      <w:r w:rsidRPr="00E06855">
        <w:rPr>
          <w:rFonts w:ascii="Times New Roman" w:eastAsia="Calibri" w:hAnsi="Times New Roman" w:cs="Times New Roman"/>
          <w:sz w:val="25"/>
          <w:szCs w:val="25"/>
        </w:rPr>
        <w:t xml:space="preserve">For an example of this type of review in a judgment, we can look to </w:t>
      </w:r>
      <w:r w:rsidRPr="00E06855">
        <w:rPr>
          <w:rFonts w:ascii="Times New Roman" w:eastAsia="Calibri" w:hAnsi="Times New Roman" w:cs="Times New Roman"/>
          <w:i/>
          <w:iCs/>
          <w:sz w:val="25"/>
          <w:szCs w:val="25"/>
          <w:lang w:val="en-US"/>
        </w:rPr>
        <w:t>Commission v Austria (Heavy Lorries)</w:t>
      </w:r>
      <w:r w:rsidRPr="00E06855">
        <w:rPr>
          <w:rFonts w:ascii="Times New Roman" w:eastAsia="Calibri" w:hAnsi="Times New Roman" w:cs="Times New Roman"/>
          <w:sz w:val="25"/>
          <w:szCs w:val="25"/>
          <w:vertAlign w:val="superscript"/>
          <w:lang w:val="en-US"/>
        </w:rPr>
        <w:footnoteReference w:id="120"/>
      </w:r>
      <w:r w:rsidRPr="00E06855">
        <w:rPr>
          <w:rFonts w:ascii="Times New Roman" w:eastAsia="Calibri" w:hAnsi="Times New Roman" w:cs="Times New Roman"/>
          <w:sz w:val="25"/>
          <w:szCs w:val="25"/>
          <w:lang w:val="en-US"/>
        </w:rPr>
        <w:t xml:space="preserve"> to display how the Court may place obligations of consideration in the </w:t>
      </w:r>
      <w:r w:rsidRPr="00E06855">
        <w:rPr>
          <w:rFonts w:ascii="Times New Roman" w:eastAsia="Calibri" w:hAnsi="Times New Roman" w:cs="Times New Roman"/>
          <w:i/>
          <w:iCs/>
          <w:sz w:val="25"/>
          <w:szCs w:val="25"/>
          <w:lang w:val="en-US"/>
        </w:rPr>
        <w:t>adoption</w:t>
      </w:r>
      <w:r w:rsidRPr="00E06855">
        <w:rPr>
          <w:rFonts w:ascii="Times New Roman" w:eastAsia="Calibri" w:hAnsi="Times New Roman" w:cs="Times New Roman"/>
          <w:sz w:val="25"/>
          <w:szCs w:val="25"/>
          <w:lang w:val="en-US"/>
        </w:rPr>
        <w:t xml:space="preserve"> of measures. </w:t>
      </w:r>
      <w:r w:rsidRPr="00E06855">
        <w:rPr>
          <w:rFonts w:ascii="Times New Roman" w:eastAsia="Calibri" w:hAnsi="Times New Roman" w:cs="Times New Roman"/>
          <w:sz w:val="25"/>
          <w:szCs w:val="25"/>
        </w:rPr>
        <w:t>Austrian authorities banned the use of the “Brenner Corridor” motorway for certain categories of lorries at certain times in order to improve air quality. The Court accepted the legitimate aim of environmental protection but found the way it was pursued to be disproportionate:</w:t>
      </w:r>
    </w:p>
    <w:p w14:paraId="0C2C4BA3" w14:textId="4389095F" w:rsidR="009D37E7" w:rsidRPr="00E06855" w:rsidRDefault="009D37E7" w:rsidP="009D37E7">
      <w:pPr>
        <w:ind w:left="720"/>
        <w:rPr>
          <w:rFonts w:ascii="Times New Roman" w:eastAsia="Calibri" w:hAnsi="Times New Roman" w:cs="Times New Roman"/>
          <w:sz w:val="25"/>
          <w:szCs w:val="25"/>
        </w:rPr>
      </w:pPr>
      <w:r w:rsidRPr="00E06855">
        <w:rPr>
          <w:rFonts w:ascii="Times New Roman" w:eastAsia="Calibri" w:hAnsi="Times New Roman" w:cs="Times New Roman"/>
          <w:sz w:val="25"/>
          <w:szCs w:val="25"/>
        </w:rPr>
        <w:t>“</w:t>
      </w:r>
      <w:r w:rsidRPr="00E06855">
        <w:rPr>
          <w:rFonts w:ascii="Times New Roman" w:eastAsia="Calibri" w:hAnsi="Times New Roman" w:cs="Times New Roman"/>
          <w:i/>
          <w:iCs/>
          <w:sz w:val="25"/>
          <w:szCs w:val="25"/>
        </w:rPr>
        <w:t xml:space="preserve">before </w:t>
      </w:r>
      <w:r w:rsidRPr="00E06855">
        <w:rPr>
          <w:rFonts w:ascii="Times New Roman" w:eastAsia="Calibri" w:hAnsi="Times New Roman" w:cs="Times New Roman"/>
          <w:sz w:val="25"/>
          <w:szCs w:val="25"/>
        </w:rPr>
        <w:t>adopting a measure so radical</w:t>
      </w:r>
      <w:r w:rsidRPr="00E06855">
        <w:rPr>
          <w:rFonts w:ascii="Times New Roman" w:eastAsia="Calibri" w:hAnsi="Times New Roman" w:cs="Times New Roman"/>
          <w:i/>
          <w:iCs/>
          <w:sz w:val="25"/>
          <w:szCs w:val="25"/>
        </w:rPr>
        <w:t xml:space="preserve"> </w:t>
      </w:r>
      <w:r w:rsidRPr="00E06855">
        <w:rPr>
          <w:rFonts w:ascii="Times New Roman" w:eastAsia="Calibri" w:hAnsi="Times New Roman" w:cs="Times New Roman"/>
          <w:sz w:val="25"/>
          <w:szCs w:val="25"/>
        </w:rPr>
        <w:t xml:space="preserve">as a total traffic ban on a section of motorway constituting a vital route of communication between certain Member States, the Austrian authorities were </w:t>
      </w:r>
      <w:r w:rsidRPr="00E06855">
        <w:rPr>
          <w:rFonts w:ascii="Times New Roman" w:eastAsia="Calibri" w:hAnsi="Times New Roman" w:cs="Times New Roman"/>
          <w:i/>
          <w:iCs/>
          <w:sz w:val="25"/>
          <w:szCs w:val="25"/>
        </w:rPr>
        <w:t xml:space="preserve">under a duty to examine </w:t>
      </w:r>
      <w:r w:rsidRPr="00E06855">
        <w:rPr>
          <w:rFonts w:ascii="Times New Roman" w:eastAsia="Calibri" w:hAnsi="Times New Roman" w:cs="Times New Roman"/>
          <w:sz w:val="25"/>
          <w:szCs w:val="25"/>
        </w:rPr>
        <w:t>carefully the possibility of using measures less restrictive of freedom of movement</w:t>
      </w:r>
      <w:r w:rsidR="00887FA6" w:rsidRPr="00E06855">
        <w:rPr>
          <w:rFonts w:ascii="Times New Roman" w:eastAsia="Calibri" w:hAnsi="Times New Roman" w:cs="Times New Roman"/>
          <w:sz w:val="25"/>
          <w:szCs w:val="25"/>
        </w:rPr>
        <w:t>…</w:t>
      </w:r>
    </w:p>
    <w:p w14:paraId="1A5E5979" w14:textId="506EC050" w:rsidR="009D37E7" w:rsidRPr="00E06855" w:rsidRDefault="009D37E7" w:rsidP="009D37E7">
      <w:pPr>
        <w:ind w:left="720"/>
        <w:rPr>
          <w:rFonts w:ascii="Times New Roman" w:eastAsia="Calibri" w:hAnsi="Times New Roman" w:cs="Times New Roman"/>
          <w:sz w:val="25"/>
          <w:szCs w:val="25"/>
        </w:rPr>
      </w:pPr>
      <w:r w:rsidRPr="00E06855">
        <w:rPr>
          <w:rFonts w:ascii="Times New Roman" w:eastAsia="Calibri" w:hAnsi="Times New Roman" w:cs="Times New Roman"/>
          <w:sz w:val="25"/>
          <w:szCs w:val="25"/>
        </w:rPr>
        <w:t xml:space="preserve">…it has not been conclusively established in this case that the Austrian authorities, in </w:t>
      </w:r>
      <w:r w:rsidRPr="00E06855">
        <w:rPr>
          <w:rFonts w:ascii="Times New Roman" w:eastAsia="Calibri" w:hAnsi="Times New Roman" w:cs="Times New Roman"/>
          <w:i/>
          <w:iCs/>
          <w:sz w:val="25"/>
          <w:szCs w:val="25"/>
        </w:rPr>
        <w:t>preparing</w:t>
      </w:r>
      <w:r w:rsidRPr="00E06855">
        <w:rPr>
          <w:rFonts w:ascii="Times New Roman" w:eastAsia="Calibri" w:hAnsi="Times New Roman" w:cs="Times New Roman"/>
          <w:sz w:val="25"/>
          <w:szCs w:val="25"/>
        </w:rPr>
        <w:t xml:space="preserve"> the contested regulation, </w:t>
      </w:r>
      <w:r w:rsidRPr="00E06855">
        <w:rPr>
          <w:rFonts w:ascii="Times New Roman" w:eastAsia="Calibri" w:hAnsi="Times New Roman" w:cs="Times New Roman"/>
          <w:i/>
          <w:iCs/>
          <w:sz w:val="25"/>
          <w:szCs w:val="25"/>
        </w:rPr>
        <w:t>sufficiently studied the question</w:t>
      </w:r>
      <w:r w:rsidRPr="00E06855">
        <w:rPr>
          <w:rFonts w:ascii="Times New Roman" w:eastAsia="Calibri" w:hAnsi="Times New Roman" w:cs="Times New Roman"/>
          <w:sz w:val="25"/>
          <w:szCs w:val="25"/>
        </w:rPr>
        <w:t xml:space="preserve"> whether the aim of reducing pollutant emissions could be achieved by other means less restrictive of the freedom of movement”</w:t>
      </w:r>
      <w:r w:rsidR="00F13B48" w:rsidRPr="00E06855">
        <w:rPr>
          <w:rFonts w:ascii="Times New Roman" w:eastAsia="Calibri" w:hAnsi="Times New Roman" w:cs="Times New Roman"/>
          <w:sz w:val="25"/>
          <w:szCs w:val="25"/>
        </w:rPr>
        <w:t>.</w:t>
      </w:r>
      <w:r w:rsidRPr="00E06855">
        <w:rPr>
          <w:rFonts w:ascii="Times New Roman" w:eastAsia="Calibri" w:hAnsi="Times New Roman" w:cs="Times New Roman"/>
          <w:sz w:val="25"/>
          <w:szCs w:val="25"/>
          <w:vertAlign w:val="superscript"/>
        </w:rPr>
        <w:footnoteReference w:id="121"/>
      </w:r>
    </w:p>
    <w:p w14:paraId="309B45B5" w14:textId="0A78EB65" w:rsidR="009D37E7" w:rsidRPr="00E06855" w:rsidRDefault="009D37E7" w:rsidP="00BE06B8">
      <w:pPr>
        <w:rPr>
          <w:rFonts w:ascii="Times New Roman" w:eastAsia="Calibri" w:hAnsi="Times New Roman" w:cs="Times New Roman"/>
          <w:sz w:val="25"/>
          <w:szCs w:val="25"/>
        </w:rPr>
      </w:pPr>
      <w:r w:rsidRPr="00E06855">
        <w:rPr>
          <w:rFonts w:ascii="Times New Roman" w:eastAsia="Calibri" w:hAnsi="Times New Roman" w:cs="Times New Roman"/>
          <w:sz w:val="25"/>
          <w:szCs w:val="25"/>
        </w:rPr>
        <w:lastRenderedPageBreak/>
        <w:t>The language of the Court clearly suggests that it is the failings of the Member State in its consideration of the measure that led to this finding of incompatibility. Austria renewed its attempt to introduce the travel ban, having “carefully examined the possibility of taking alternative measures that were less restrictive of the free movement of goods”.</w:t>
      </w:r>
      <w:r w:rsidR="00227F3A" w:rsidRPr="00E06855">
        <w:rPr>
          <w:rStyle w:val="FootnoteReference"/>
          <w:rFonts w:ascii="Times New Roman" w:eastAsia="Calibri" w:hAnsi="Times New Roman" w:cs="Times New Roman"/>
          <w:sz w:val="25"/>
          <w:szCs w:val="25"/>
        </w:rPr>
        <w:footnoteReference w:id="122"/>
      </w:r>
      <w:r w:rsidRPr="00E06855">
        <w:rPr>
          <w:rFonts w:ascii="Times New Roman" w:eastAsia="Calibri" w:hAnsi="Times New Roman" w:cs="Times New Roman"/>
          <w:sz w:val="25"/>
          <w:szCs w:val="25"/>
        </w:rPr>
        <w:t xml:space="preserve"> However, the Court once again found the measure to be incompatible, concluding in procedural terms, that</w:t>
      </w:r>
      <w:r w:rsidR="00860F0C" w:rsidRPr="00E06855">
        <w:rPr>
          <w:rFonts w:ascii="Times New Roman" w:eastAsia="Calibri" w:hAnsi="Times New Roman" w:cs="Times New Roman"/>
          <w:sz w:val="25"/>
          <w:szCs w:val="25"/>
        </w:rPr>
        <w:t xml:space="preserve"> an alternative speed limit policy </w:t>
      </w:r>
      <w:r w:rsidR="00BE06B8" w:rsidRPr="00E06855">
        <w:rPr>
          <w:rFonts w:ascii="Times New Roman" w:eastAsia="Calibri" w:hAnsi="Times New Roman" w:cs="Times New Roman"/>
          <w:sz w:val="25"/>
          <w:szCs w:val="25"/>
        </w:rPr>
        <w:t>“</w:t>
      </w:r>
      <w:r w:rsidRPr="00E06855">
        <w:rPr>
          <w:rFonts w:ascii="Times New Roman" w:eastAsia="Calibri" w:hAnsi="Times New Roman" w:cs="Times New Roman"/>
          <w:sz w:val="25"/>
          <w:szCs w:val="25"/>
        </w:rPr>
        <w:t xml:space="preserve">was not sufficiently </w:t>
      </w:r>
      <w:r w:rsidRPr="00E06855">
        <w:rPr>
          <w:rFonts w:ascii="Times New Roman" w:eastAsia="Calibri" w:hAnsi="Times New Roman" w:cs="Times New Roman"/>
          <w:i/>
          <w:iCs/>
          <w:sz w:val="25"/>
          <w:szCs w:val="25"/>
        </w:rPr>
        <w:t>taken into account</w:t>
      </w:r>
      <w:r w:rsidRPr="00E06855">
        <w:rPr>
          <w:rFonts w:ascii="Times New Roman" w:eastAsia="Calibri" w:hAnsi="Times New Roman" w:cs="Times New Roman"/>
          <w:sz w:val="25"/>
          <w:szCs w:val="25"/>
        </w:rPr>
        <w:t>”</w:t>
      </w:r>
      <w:r w:rsidR="00ED15DC" w:rsidRPr="00E06855">
        <w:rPr>
          <w:rFonts w:ascii="Times New Roman" w:eastAsia="Calibri" w:hAnsi="Times New Roman" w:cs="Times New Roman"/>
          <w:sz w:val="25"/>
          <w:szCs w:val="25"/>
        </w:rPr>
        <w:t>.</w:t>
      </w:r>
      <w:r w:rsidRPr="00E06855">
        <w:rPr>
          <w:rFonts w:ascii="Times New Roman" w:eastAsia="Calibri" w:hAnsi="Times New Roman" w:cs="Times New Roman"/>
          <w:sz w:val="25"/>
          <w:szCs w:val="25"/>
          <w:vertAlign w:val="superscript"/>
        </w:rPr>
        <w:footnoteReference w:id="123"/>
      </w:r>
      <w:r w:rsidR="00227F3A" w:rsidRPr="00E06855">
        <w:rPr>
          <w:rFonts w:ascii="Times New Roman" w:eastAsia="Calibri" w:hAnsi="Times New Roman" w:cs="Times New Roman"/>
          <w:sz w:val="25"/>
          <w:szCs w:val="25"/>
        </w:rPr>
        <w:t xml:space="preserve"> These cases show that process review can </w:t>
      </w:r>
      <w:r w:rsidR="00535735" w:rsidRPr="00E06855">
        <w:rPr>
          <w:rFonts w:ascii="Times New Roman" w:eastAsia="Calibri" w:hAnsi="Times New Roman" w:cs="Times New Roman"/>
          <w:sz w:val="25"/>
          <w:szCs w:val="25"/>
        </w:rPr>
        <w:t xml:space="preserve">place </w:t>
      </w:r>
      <w:r w:rsidR="00227F3A" w:rsidRPr="00E06855">
        <w:rPr>
          <w:rFonts w:ascii="Times New Roman" w:eastAsia="Calibri" w:hAnsi="Times New Roman" w:cs="Times New Roman"/>
          <w:sz w:val="25"/>
          <w:szCs w:val="25"/>
        </w:rPr>
        <w:t xml:space="preserve">onerous requirements of consideration </w:t>
      </w:r>
      <w:r w:rsidR="008D21DF" w:rsidRPr="00E06855">
        <w:rPr>
          <w:rFonts w:ascii="Times New Roman" w:eastAsia="Calibri" w:hAnsi="Times New Roman" w:cs="Times New Roman"/>
          <w:sz w:val="25"/>
          <w:szCs w:val="25"/>
        </w:rPr>
        <w:t>on</w:t>
      </w:r>
      <w:r w:rsidR="00227F3A" w:rsidRPr="00E06855">
        <w:rPr>
          <w:rFonts w:ascii="Times New Roman" w:eastAsia="Calibri" w:hAnsi="Times New Roman" w:cs="Times New Roman"/>
          <w:sz w:val="25"/>
          <w:szCs w:val="25"/>
        </w:rPr>
        <w:t xml:space="preserve"> decision-making.</w:t>
      </w:r>
    </w:p>
    <w:p w14:paraId="4FCE06EC" w14:textId="49D9FAEA" w:rsidR="009D37E7" w:rsidRPr="00E06855" w:rsidRDefault="009D37E7" w:rsidP="00EE7E9E">
      <w:pPr>
        <w:rPr>
          <w:rFonts w:ascii="Times New Roman" w:eastAsia="Calibri" w:hAnsi="Times New Roman" w:cs="Times New Roman"/>
          <w:sz w:val="25"/>
          <w:szCs w:val="25"/>
        </w:rPr>
      </w:pPr>
      <w:r w:rsidRPr="00E06855">
        <w:rPr>
          <w:rFonts w:ascii="Times New Roman" w:hAnsi="Times New Roman" w:cs="Times New Roman"/>
          <w:sz w:val="25"/>
          <w:szCs w:val="25"/>
        </w:rPr>
        <w:t>It is of course possible for the Court to use procedural forms of review in a more deferential way. Indeed, the Court at times seems to have adopted forms of review close</w:t>
      </w:r>
      <w:r w:rsidR="00BC471B" w:rsidRPr="00E06855">
        <w:rPr>
          <w:rFonts w:ascii="Times New Roman" w:hAnsi="Times New Roman" w:cs="Times New Roman"/>
          <w:sz w:val="25"/>
          <w:szCs w:val="25"/>
        </w:rPr>
        <w:t>r</w:t>
      </w:r>
      <w:r w:rsidRPr="00E06855">
        <w:rPr>
          <w:rFonts w:ascii="Times New Roman" w:hAnsi="Times New Roman" w:cs="Times New Roman"/>
          <w:sz w:val="25"/>
          <w:szCs w:val="25"/>
        </w:rPr>
        <w:t xml:space="preserve"> to De Witte’s “</w:t>
      </w:r>
      <w:r w:rsidR="00C313CC">
        <w:rPr>
          <w:rFonts w:ascii="Times New Roman" w:hAnsi="Times New Roman" w:cs="Times New Roman"/>
          <w:sz w:val="25"/>
          <w:szCs w:val="25"/>
        </w:rPr>
        <w:t>legislative transparency</w:t>
      </w:r>
      <w:r w:rsidRPr="00E06855">
        <w:rPr>
          <w:rFonts w:ascii="Times New Roman" w:hAnsi="Times New Roman" w:cs="Times New Roman"/>
          <w:sz w:val="25"/>
          <w:szCs w:val="25"/>
        </w:rPr>
        <w:t xml:space="preserve">” formulation, checking to see whether </w:t>
      </w:r>
      <w:r w:rsidR="00B341FE" w:rsidRPr="00E06855">
        <w:rPr>
          <w:rFonts w:ascii="Times New Roman" w:hAnsi="Times New Roman" w:cs="Times New Roman"/>
          <w:sz w:val="25"/>
          <w:szCs w:val="25"/>
        </w:rPr>
        <w:t xml:space="preserve">the process of a Member State </w:t>
      </w:r>
      <w:r w:rsidR="00F15D72" w:rsidRPr="00E06855">
        <w:rPr>
          <w:rFonts w:ascii="Times New Roman" w:hAnsi="Times New Roman" w:cs="Times New Roman"/>
          <w:sz w:val="25"/>
          <w:szCs w:val="25"/>
        </w:rPr>
        <w:t>shows</w:t>
      </w:r>
      <w:r w:rsidR="00B341FE" w:rsidRPr="00E06855">
        <w:rPr>
          <w:rFonts w:ascii="Times New Roman" w:hAnsi="Times New Roman" w:cs="Times New Roman"/>
          <w:sz w:val="25"/>
          <w:szCs w:val="25"/>
        </w:rPr>
        <w:t xml:space="preserve"> that its aim is </w:t>
      </w:r>
      <w:r w:rsidR="001515FA" w:rsidRPr="00E06855">
        <w:rPr>
          <w:rFonts w:ascii="Times New Roman" w:hAnsi="Times New Roman" w:cs="Times New Roman"/>
          <w:sz w:val="25"/>
          <w:szCs w:val="25"/>
        </w:rPr>
        <w:t>genuinely being</w:t>
      </w:r>
      <w:r w:rsidR="00B341FE" w:rsidRPr="00E06855">
        <w:rPr>
          <w:rFonts w:ascii="Times New Roman" w:hAnsi="Times New Roman" w:cs="Times New Roman"/>
          <w:sz w:val="25"/>
          <w:szCs w:val="25"/>
        </w:rPr>
        <w:t xml:space="preserve"> pursued</w:t>
      </w:r>
      <w:r w:rsidRPr="00E06855">
        <w:rPr>
          <w:rFonts w:ascii="Times New Roman" w:hAnsi="Times New Roman" w:cs="Times New Roman"/>
          <w:sz w:val="25"/>
          <w:szCs w:val="25"/>
        </w:rPr>
        <w:t xml:space="preserve">. </w:t>
      </w:r>
      <w:r w:rsidR="00BE3226" w:rsidRPr="00E06855">
        <w:rPr>
          <w:rFonts w:ascii="Times New Roman" w:hAnsi="Times New Roman" w:cs="Times New Roman"/>
          <w:sz w:val="25"/>
          <w:szCs w:val="25"/>
        </w:rPr>
        <w:t>In</w:t>
      </w:r>
      <w:r w:rsidRPr="00E06855">
        <w:rPr>
          <w:rFonts w:ascii="Times New Roman" w:hAnsi="Times New Roman" w:cs="Times New Roman"/>
          <w:sz w:val="25"/>
          <w:szCs w:val="25"/>
        </w:rPr>
        <w:t xml:space="preserve"> </w:t>
      </w:r>
      <w:r w:rsidRPr="00E06855">
        <w:rPr>
          <w:rFonts w:ascii="Times New Roman" w:eastAsia="Calibri" w:hAnsi="Times New Roman" w:cs="Times New Roman"/>
          <w:i/>
          <w:iCs/>
          <w:sz w:val="25"/>
          <w:szCs w:val="25"/>
        </w:rPr>
        <w:t>Finalarte</w:t>
      </w:r>
      <w:r w:rsidRPr="00E06855">
        <w:rPr>
          <w:rFonts w:ascii="Times New Roman" w:eastAsia="Calibri" w:hAnsi="Times New Roman" w:cs="Times New Roman"/>
          <w:sz w:val="25"/>
          <w:szCs w:val="25"/>
        </w:rPr>
        <w:t xml:space="preserve">, the Court </w:t>
      </w:r>
      <w:r w:rsidR="001B7B0A" w:rsidRPr="00E06855">
        <w:rPr>
          <w:rFonts w:ascii="Times New Roman" w:eastAsia="Calibri" w:hAnsi="Times New Roman" w:cs="Times New Roman"/>
          <w:sz w:val="25"/>
          <w:szCs w:val="25"/>
        </w:rPr>
        <w:t>stated</w:t>
      </w:r>
      <w:r w:rsidRPr="00E06855">
        <w:rPr>
          <w:rFonts w:ascii="Times New Roman" w:eastAsia="Calibri" w:hAnsi="Times New Roman" w:cs="Times New Roman"/>
          <w:sz w:val="25"/>
          <w:szCs w:val="25"/>
        </w:rPr>
        <w:t xml:space="preserve"> it would gather the intention of the legislature, “from the political debates preceding the adoption of a law or from the statement of the grounds on which it was adopted.</w:t>
      </w:r>
      <w:r w:rsidRPr="00E06855">
        <w:rPr>
          <w:rFonts w:ascii="Times New Roman" w:eastAsia="Calibri" w:hAnsi="Times New Roman" w:cs="Times New Roman"/>
          <w:sz w:val="25"/>
          <w:szCs w:val="25"/>
          <w:vertAlign w:val="superscript"/>
        </w:rPr>
        <w:footnoteReference w:id="124"/>
      </w:r>
      <w:r w:rsidRPr="00E06855">
        <w:rPr>
          <w:rFonts w:ascii="Times New Roman" w:eastAsia="Calibri" w:hAnsi="Times New Roman" w:cs="Times New Roman"/>
          <w:sz w:val="25"/>
          <w:szCs w:val="25"/>
        </w:rPr>
        <w:t xml:space="preserve"> In </w:t>
      </w:r>
      <w:r w:rsidRPr="00E06855">
        <w:rPr>
          <w:rFonts w:ascii="Times New Roman" w:eastAsia="Calibri" w:hAnsi="Times New Roman" w:cs="Times New Roman"/>
          <w:i/>
          <w:iCs/>
          <w:sz w:val="25"/>
          <w:szCs w:val="25"/>
        </w:rPr>
        <w:t>Commission v Poland</w:t>
      </w:r>
      <w:r w:rsidRPr="00E06855">
        <w:rPr>
          <w:rFonts w:ascii="Times New Roman" w:eastAsia="Calibri" w:hAnsi="Times New Roman" w:cs="Times New Roman"/>
          <w:sz w:val="25"/>
          <w:szCs w:val="25"/>
        </w:rPr>
        <w:t xml:space="preserve"> (</w:t>
      </w:r>
      <w:r w:rsidRPr="00E06855">
        <w:rPr>
          <w:rFonts w:ascii="Times New Roman" w:eastAsia="Calibri" w:hAnsi="Times New Roman" w:cs="Times New Roman"/>
          <w:i/>
          <w:iCs/>
          <w:sz w:val="25"/>
          <w:szCs w:val="25"/>
        </w:rPr>
        <w:t>G</w:t>
      </w:r>
      <w:r w:rsidR="005B5A9D" w:rsidRPr="00E06855">
        <w:rPr>
          <w:rFonts w:ascii="Times New Roman" w:eastAsia="Calibri" w:hAnsi="Times New Roman" w:cs="Times New Roman"/>
          <w:i/>
          <w:iCs/>
          <w:sz w:val="25"/>
          <w:szCs w:val="25"/>
        </w:rPr>
        <w:t xml:space="preserve">enetically </w:t>
      </w:r>
      <w:r w:rsidRPr="00E06855">
        <w:rPr>
          <w:rFonts w:ascii="Times New Roman" w:eastAsia="Calibri" w:hAnsi="Times New Roman" w:cs="Times New Roman"/>
          <w:i/>
          <w:iCs/>
          <w:sz w:val="25"/>
          <w:szCs w:val="25"/>
        </w:rPr>
        <w:t>M</w:t>
      </w:r>
      <w:r w:rsidR="005B5A9D" w:rsidRPr="00E06855">
        <w:rPr>
          <w:rFonts w:ascii="Times New Roman" w:eastAsia="Calibri" w:hAnsi="Times New Roman" w:cs="Times New Roman"/>
          <w:i/>
          <w:iCs/>
          <w:sz w:val="25"/>
          <w:szCs w:val="25"/>
        </w:rPr>
        <w:t xml:space="preserve">odified </w:t>
      </w:r>
      <w:r w:rsidRPr="00E06855">
        <w:rPr>
          <w:rFonts w:ascii="Times New Roman" w:eastAsia="Calibri" w:hAnsi="Times New Roman" w:cs="Times New Roman"/>
          <w:i/>
          <w:iCs/>
          <w:sz w:val="25"/>
          <w:szCs w:val="25"/>
        </w:rPr>
        <w:t>O</w:t>
      </w:r>
      <w:r w:rsidR="005B5A9D" w:rsidRPr="00E06855">
        <w:rPr>
          <w:rFonts w:ascii="Times New Roman" w:eastAsia="Calibri" w:hAnsi="Times New Roman" w:cs="Times New Roman"/>
          <w:i/>
          <w:iCs/>
          <w:sz w:val="25"/>
          <w:szCs w:val="25"/>
        </w:rPr>
        <w:t>rganism</w:t>
      </w:r>
      <w:r w:rsidRPr="00E06855">
        <w:rPr>
          <w:rFonts w:ascii="Times New Roman" w:eastAsia="Calibri" w:hAnsi="Times New Roman" w:cs="Times New Roman"/>
          <w:i/>
          <w:iCs/>
          <w:sz w:val="25"/>
          <w:szCs w:val="25"/>
        </w:rPr>
        <w:t>s</w:t>
      </w:r>
      <w:r w:rsidRPr="00E06855">
        <w:rPr>
          <w:rFonts w:ascii="Times New Roman" w:eastAsia="Calibri" w:hAnsi="Times New Roman" w:cs="Times New Roman"/>
          <w:sz w:val="25"/>
          <w:szCs w:val="25"/>
        </w:rPr>
        <w:t>), the Court focused on determining the intent of the measure, and whether Poland’s GMO ban genuinely relied upon “religious and ethical objectives” as its true purpose.</w:t>
      </w:r>
      <w:r w:rsidRPr="00E06855">
        <w:rPr>
          <w:rStyle w:val="FootnoteReference"/>
          <w:rFonts w:ascii="Times New Roman" w:eastAsia="Calibri" w:hAnsi="Times New Roman" w:cs="Times New Roman"/>
          <w:sz w:val="25"/>
          <w:szCs w:val="25"/>
        </w:rPr>
        <w:footnoteReference w:id="125"/>
      </w:r>
      <w:r w:rsidRPr="00E06855">
        <w:rPr>
          <w:rFonts w:ascii="Times New Roman" w:eastAsia="Calibri" w:hAnsi="Times New Roman" w:cs="Times New Roman"/>
          <w:sz w:val="25"/>
          <w:szCs w:val="25"/>
        </w:rPr>
        <w:t xml:space="preserve"> </w:t>
      </w:r>
    </w:p>
    <w:p w14:paraId="2DEC613B" w14:textId="0AA9C43B" w:rsidR="009D37E7" w:rsidRPr="00E06855" w:rsidRDefault="00B375F4" w:rsidP="00B61CC5">
      <w:pPr>
        <w:rPr>
          <w:rFonts w:ascii="Times New Roman" w:eastAsia="Calibri" w:hAnsi="Times New Roman" w:cs="Times New Roman"/>
          <w:sz w:val="25"/>
          <w:szCs w:val="25"/>
        </w:rPr>
      </w:pPr>
      <w:r w:rsidRPr="00E06855">
        <w:rPr>
          <w:rFonts w:ascii="Times New Roman" w:eastAsia="Calibri" w:hAnsi="Times New Roman" w:cs="Times New Roman"/>
          <w:sz w:val="25"/>
          <w:szCs w:val="25"/>
        </w:rPr>
        <w:t xml:space="preserve">In theory, </w:t>
      </w:r>
      <w:r w:rsidR="007B46F0">
        <w:rPr>
          <w:rFonts w:ascii="Times New Roman" w:eastAsia="Calibri" w:hAnsi="Times New Roman" w:cs="Times New Roman"/>
          <w:sz w:val="25"/>
          <w:szCs w:val="25"/>
        </w:rPr>
        <w:t>this type of</w:t>
      </w:r>
      <w:r w:rsidR="009D37E7" w:rsidRPr="00E06855">
        <w:rPr>
          <w:rFonts w:ascii="Times New Roman" w:hAnsi="Times New Roman" w:cs="Times New Roman"/>
          <w:sz w:val="25"/>
          <w:szCs w:val="25"/>
        </w:rPr>
        <w:t xml:space="preserve"> review could ensure the good intentions of Member States without intruding into their substantive policy choices</w:t>
      </w:r>
      <w:r w:rsidR="00B61CC5" w:rsidRPr="00E06855">
        <w:rPr>
          <w:rFonts w:ascii="Times New Roman" w:hAnsi="Times New Roman" w:cs="Times New Roman"/>
          <w:sz w:val="25"/>
          <w:szCs w:val="25"/>
        </w:rPr>
        <w:t xml:space="preserve">, </w:t>
      </w:r>
      <w:r w:rsidR="00B61CC5" w:rsidRPr="00E06855">
        <w:rPr>
          <w:rFonts w:ascii="Times New Roman" w:eastAsia="Calibri" w:hAnsi="Times New Roman" w:cs="Times New Roman"/>
          <w:sz w:val="25"/>
          <w:szCs w:val="25"/>
        </w:rPr>
        <w:t>though neither of the</w:t>
      </w:r>
      <w:r w:rsidR="009B2110" w:rsidRPr="00E06855">
        <w:rPr>
          <w:rFonts w:ascii="Times New Roman" w:eastAsia="Calibri" w:hAnsi="Times New Roman" w:cs="Times New Roman"/>
          <w:sz w:val="25"/>
          <w:szCs w:val="25"/>
        </w:rPr>
        <w:t xml:space="preserve"> above</w:t>
      </w:r>
      <w:r w:rsidR="00B61CC5" w:rsidRPr="00E06855">
        <w:rPr>
          <w:rFonts w:ascii="Times New Roman" w:eastAsia="Calibri" w:hAnsi="Times New Roman" w:cs="Times New Roman"/>
          <w:sz w:val="25"/>
          <w:szCs w:val="25"/>
        </w:rPr>
        <w:t xml:space="preserve"> cases appear to offer</w:t>
      </w:r>
      <w:r w:rsidR="00BD45CC">
        <w:rPr>
          <w:rFonts w:ascii="Times New Roman" w:eastAsia="Calibri" w:hAnsi="Times New Roman" w:cs="Times New Roman"/>
          <w:sz w:val="25"/>
          <w:szCs w:val="25"/>
        </w:rPr>
        <w:t xml:space="preserve"> such</w:t>
      </w:r>
      <w:r w:rsidR="00B61CC5" w:rsidRPr="00E06855">
        <w:rPr>
          <w:rFonts w:ascii="Times New Roman" w:eastAsia="Calibri" w:hAnsi="Times New Roman" w:cs="Times New Roman"/>
          <w:sz w:val="25"/>
          <w:szCs w:val="25"/>
        </w:rPr>
        <w:t xml:space="preserve"> a light-touch standard.</w:t>
      </w:r>
      <w:r w:rsidR="009D37E7" w:rsidRPr="00E06855">
        <w:rPr>
          <w:rFonts w:ascii="Times New Roman" w:hAnsi="Times New Roman" w:cs="Times New Roman"/>
          <w:sz w:val="25"/>
          <w:szCs w:val="25"/>
        </w:rPr>
        <w:t xml:space="preserve"> </w:t>
      </w:r>
      <w:r w:rsidR="006C163B" w:rsidRPr="00E06855">
        <w:rPr>
          <w:rFonts w:ascii="Times New Roman" w:hAnsi="Times New Roman" w:cs="Times New Roman"/>
          <w:sz w:val="25"/>
          <w:szCs w:val="25"/>
        </w:rPr>
        <w:t>Further, w</w:t>
      </w:r>
      <w:r w:rsidR="009D37E7" w:rsidRPr="00E06855">
        <w:rPr>
          <w:rFonts w:ascii="Times New Roman" w:hAnsi="Times New Roman" w:cs="Times New Roman"/>
          <w:sz w:val="25"/>
          <w:szCs w:val="25"/>
        </w:rPr>
        <w:t>e should be sceptical about the extent to which this type of review might collapse into substantive assessment of the rationality and evidence base of the decision-making process. The Court may find</w:t>
      </w:r>
      <w:r w:rsidR="009D37E7" w:rsidRPr="00E06855">
        <w:rPr>
          <w:rFonts w:ascii="Times New Roman" w:eastAsia="Calibri" w:hAnsi="Times New Roman" w:cs="Times New Roman"/>
          <w:sz w:val="25"/>
          <w:szCs w:val="25"/>
        </w:rPr>
        <w:t xml:space="preserve"> insufficient evidence of a genuine pursuit of the objective in question. This was seen in </w:t>
      </w:r>
      <w:r w:rsidR="009D37E7" w:rsidRPr="00E06855">
        <w:rPr>
          <w:rFonts w:ascii="Times New Roman" w:eastAsia="Calibri" w:hAnsi="Times New Roman" w:cs="Times New Roman"/>
          <w:i/>
          <w:iCs/>
          <w:sz w:val="25"/>
          <w:szCs w:val="25"/>
        </w:rPr>
        <w:t>Commission v United Kingdom (Newcastle Disease</w:t>
      </w:r>
      <w:r w:rsidR="009D37E7" w:rsidRPr="00E06855">
        <w:rPr>
          <w:rFonts w:ascii="Times New Roman" w:eastAsia="Calibri" w:hAnsi="Times New Roman" w:cs="Times New Roman"/>
          <w:sz w:val="25"/>
          <w:szCs w:val="25"/>
        </w:rPr>
        <w:t>),</w:t>
      </w:r>
      <w:r w:rsidR="009D37E7" w:rsidRPr="00E06855">
        <w:rPr>
          <w:rFonts w:ascii="Times New Roman" w:eastAsia="Calibri" w:hAnsi="Times New Roman" w:cs="Times New Roman"/>
          <w:sz w:val="25"/>
          <w:szCs w:val="25"/>
          <w:vertAlign w:val="superscript"/>
        </w:rPr>
        <w:footnoteReference w:id="126"/>
      </w:r>
      <w:r w:rsidR="009D37E7" w:rsidRPr="00E06855">
        <w:rPr>
          <w:rFonts w:ascii="Times New Roman" w:eastAsia="Calibri" w:hAnsi="Times New Roman" w:cs="Times New Roman"/>
          <w:sz w:val="25"/>
          <w:szCs w:val="25"/>
        </w:rPr>
        <w:t xml:space="preserve"> which concerned British government restrictions on the import of poultry products from mainland Europe following the outbreak of a highly infectious viral disease. Reasons counting against the UK in the proportionality assessment included its failure to inform the Commission of the measure and insufficient evidence of pre-legislative consideration. Thus, the court concluded that it “did not form part of a seriously considered health policy”.</w:t>
      </w:r>
      <w:r w:rsidR="009D37E7" w:rsidRPr="00E06855">
        <w:rPr>
          <w:rFonts w:ascii="Times New Roman" w:eastAsia="Calibri" w:hAnsi="Times New Roman" w:cs="Times New Roman"/>
          <w:sz w:val="25"/>
          <w:szCs w:val="25"/>
          <w:vertAlign w:val="superscript"/>
        </w:rPr>
        <w:footnoteReference w:id="127"/>
      </w:r>
    </w:p>
    <w:p w14:paraId="605AD193" w14:textId="1CBD904E" w:rsidR="009D37E7" w:rsidRPr="00E06855" w:rsidRDefault="009D37E7" w:rsidP="009D37E7">
      <w:pPr>
        <w:rPr>
          <w:rFonts w:ascii="Times New Roman" w:eastAsia="Calibri" w:hAnsi="Times New Roman" w:cs="Times New Roman"/>
          <w:sz w:val="25"/>
          <w:szCs w:val="25"/>
        </w:rPr>
      </w:pPr>
      <w:r w:rsidRPr="00E06855">
        <w:rPr>
          <w:rFonts w:ascii="Times New Roman" w:hAnsi="Times New Roman" w:cs="Times New Roman"/>
          <w:sz w:val="25"/>
          <w:szCs w:val="25"/>
        </w:rPr>
        <w:t xml:space="preserve">Overall, we can question whether process review will live up to the expectations placed on it by its advocates. </w:t>
      </w:r>
      <w:r w:rsidRPr="00E06855">
        <w:rPr>
          <w:rFonts w:ascii="Times New Roman" w:eastAsia="Calibri" w:hAnsi="Times New Roman" w:cs="Times New Roman"/>
          <w:sz w:val="25"/>
          <w:szCs w:val="25"/>
        </w:rPr>
        <w:t xml:space="preserve">We can at times wonder whether </w:t>
      </w:r>
      <w:r w:rsidR="005F67F1" w:rsidRPr="00E06855">
        <w:rPr>
          <w:rFonts w:ascii="Times New Roman" w:eastAsia="Calibri" w:hAnsi="Times New Roman" w:cs="Times New Roman"/>
          <w:sz w:val="25"/>
          <w:szCs w:val="25"/>
        </w:rPr>
        <w:t>it</w:t>
      </w:r>
      <w:r w:rsidRPr="00E06855">
        <w:rPr>
          <w:rFonts w:ascii="Times New Roman" w:eastAsia="Calibri" w:hAnsi="Times New Roman" w:cs="Times New Roman"/>
          <w:sz w:val="25"/>
          <w:szCs w:val="25"/>
        </w:rPr>
        <w:t xml:space="preserve"> is simply a matter of re-phrasing the language used in review. This is most obvious in the </w:t>
      </w:r>
      <w:r w:rsidRPr="00E06855">
        <w:rPr>
          <w:rFonts w:ascii="Times New Roman" w:eastAsia="Calibri" w:hAnsi="Times New Roman" w:cs="Times New Roman"/>
          <w:i/>
          <w:iCs/>
          <w:sz w:val="25"/>
          <w:szCs w:val="25"/>
        </w:rPr>
        <w:t>Commission v Austria</w:t>
      </w:r>
      <w:r w:rsidRPr="00E06855">
        <w:rPr>
          <w:rFonts w:ascii="Times New Roman" w:eastAsia="Calibri" w:hAnsi="Times New Roman" w:cs="Times New Roman"/>
          <w:sz w:val="25"/>
          <w:szCs w:val="25"/>
        </w:rPr>
        <w:t xml:space="preserve"> </w:t>
      </w:r>
      <w:r w:rsidRPr="00E06855">
        <w:rPr>
          <w:rFonts w:ascii="Times New Roman" w:eastAsia="Calibri" w:hAnsi="Times New Roman" w:cs="Times New Roman"/>
          <w:sz w:val="25"/>
          <w:szCs w:val="25"/>
        </w:rPr>
        <w:lastRenderedPageBreak/>
        <w:t>cases, discussed above. The Court used procedural language, but it was arguably the substance of the measure to which it objected. The Court may have felt that this corridor was too important to cross-Europe trade and the gains for the environment were not sufficient for the damage to the internal market.</w:t>
      </w:r>
      <w:r w:rsidRPr="00E06855">
        <w:rPr>
          <w:rFonts w:ascii="Times New Roman" w:eastAsia="Calibri" w:hAnsi="Times New Roman" w:cs="Times New Roman"/>
          <w:sz w:val="25"/>
          <w:szCs w:val="25"/>
          <w:vertAlign w:val="superscript"/>
        </w:rPr>
        <w:footnoteReference w:id="128"/>
      </w:r>
      <w:r w:rsidRPr="00E06855">
        <w:rPr>
          <w:rFonts w:ascii="Times New Roman" w:eastAsia="Calibri" w:hAnsi="Times New Roman" w:cs="Times New Roman"/>
          <w:sz w:val="25"/>
          <w:szCs w:val="25"/>
        </w:rPr>
        <w:t xml:space="preserve"> However, it was phrased in terms of lack of consideration of an alternative policy. As Shapiro notes, a decision-maker “who must choose the best rule… has no discretion”.</w:t>
      </w:r>
      <w:r w:rsidRPr="00E06855">
        <w:rPr>
          <w:rFonts w:ascii="Times New Roman" w:eastAsia="Calibri" w:hAnsi="Times New Roman" w:cs="Times New Roman"/>
          <w:sz w:val="25"/>
          <w:szCs w:val="25"/>
          <w:vertAlign w:val="superscript"/>
        </w:rPr>
        <w:footnoteReference w:id="129"/>
      </w:r>
    </w:p>
    <w:p w14:paraId="413B86FC" w14:textId="3BE127A8" w:rsidR="00D411E6" w:rsidRPr="00E06855" w:rsidRDefault="009D37E7" w:rsidP="009D37E7">
      <w:pPr>
        <w:rPr>
          <w:rFonts w:ascii="Times New Roman" w:hAnsi="Times New Roman" w:cs="Times New Roman"/>
          <w:sz w:val="25"/>
          <w:szCs w:val="25"/>
        </w:rPr>
      </w:pPr>
      <w:r w:rsidRPr="00E06855">
        <w:rPr>
          <w:rFonts w:ascii="Times New Roman" w:eastAsia="Calibri" w:hAnsi="Times New Roman" w:cs="Times New Roman"/>
          <w:sz w:val="25"/>
          <w:szCs w:val="25"/>
        </w:rPr>
        <w:t>In this vein, we can</w:t>
      </w:r>
      <w:r w:rsidR="00BB222A" w:rsidRPr="00E06855">
        <w:rPr>
          <w:rFonts w:ascii="Times New Roman" w:eastAsia="Calibri" w:hAnsi="Times New Roman" w:cs="Times New Roman"/>
          <w:sz w:val="25"/>
          <w:szCs w:val="25"/>
        </w:rPr>
        <w:t xml:space="preserve"> also</w:t>
      </w:r>
      <w:r w:rsidRPr="00E06855">
        <w:rPr>
          <w:rFonts w:ascii="Times New Roman" w:eastAsia="Calibri" w:hAnsi="Times New Roman" w:cs="Times New Roman"/>
          <w:sz w:val="25"/>
          <w:szCs w:val="25"/>
        </w:rPr>
        <w:t xml:space="preserve"> note the importance of the context of decisions in the internal market and how this can lead to tactical reasoning from the Court. </w:t>
      </w:r>
      <w:r w:rsidRPr="00E06855">
        <w:rPr>
          <w:rFonts w:ascii="Times New Roman" w:hAnsi="Times New Roman" w:cs="Times New Roman"/>
          <w:sz w:val="25"/>
          <w:szCs w:val="25"/>
        </w:rPr>
        <w:t xml:space="preserve">For example, in </w:t>
      </w:r>
      <w:r w:rsidRPr="00E06855">
        <w:rPr>
          <w:rFonts w:ascii="Times New Roman" w:hAnsi="Times New Roman" w:cs="Times New Roman"/>
          <w:i/>
          <w:iCs/>
          <w:sz w:val="25"/>
          <w:szCs w:val="25"/>
        </w:rPr>
        <w:t>Commission v Italy (Trailers)</w:t>
      </w:r>
      <w:r w:rsidRPr="00E06855">
        <w:rPr>
          <w:rFonts w:ascii="Times New Roman" w:hAnsi="Times New Roman" w:cs="Times New Roman"/>
          <w:sz w:val="25"/>
          <w:szCs w:val="25"/>
        </w:rPr>
        <w:t>, the Court conducted “an exceptionally benevolent proportionality review”.</w:t>
      </w:r>
      <w:r w:rsidRPr="00E06855">
        <w:rPr>
          <w:rStyle w:val="FootnoteReference"/>
          <w:rFonts w:ascii="Times New Roman" w:hAnsi="Times New Roman" w:cs="Times New Roman"/>
          <w:sz w:val="25"/>
          <w:szCs w:val="25"/>
        </w:rPr>
        <w:footnoteReference w:id="130"/>
      </w:r>
      <w:r w:rsidRPr="00E06855">
        <w:rPr>
          <w:rFonts w:ascii="Times New Roman" w:hAnsi="Times New Roman" w:cs="Times New Roman"/>
          <w:sz w:val="25"/>
          <w:szCs w:val="25"/>
        </w:rPr>
        <w:t xml:space="preserve"> Nic Shuibhne and Maci argue that this standard of review was used for “instrumental” reasons in the case, as it accompanied an expansion of the scope of Art 34 TFEU.</w:t>
      </w:r>
      <w:r w:rsidRPr="00E06855">
        <w:rPr>
          <w:rStyle w:val="FootnoteReference"/>
          <w:rFonts w:ascii="Times New Roman" w:hAnsi="Times New Roman" w:cs="Times New Roman"/>
          <w:sz w:val="25"/>
          <w:szCs w:val="25"/>
        </w:rPr>
        <w:footnoteReference w:id="131"/>
      </w:r>
      <w:r w:rsidRPr="00E06855">
        <w:rPr>
          <w:rFonts w:ascii="Times New Roman" w:hAnsi="Times New Roman" w:cs="Times New Roman"/>
          <w:sz w:val="25"/>
          <w:szCs w:val="25"/>
        </w:rPr>
        <w:t xml:space="preserve"> This goes to show that context and tactical reasoning may at times play a more significant role than the language the Court uses to make the decision. </w:t>
      </w:r>
    </w:p>
    <w:p w14:paraId="5D7524BD" w14:textId="6A0E4D71" w:rsidR="00F71165" w:rsidRPr="00E06855" w:rsidRDefault="00EF4D09" w:rsidP="00451816">
      <w:pPr>
        <w:rPr>
          <w:rFonts w:ascii="Times New Roman" w:hAnsi="Times New Roman" w:cs="Times New Roman"/>
          <w:sz w:val="25"/>
          <w:szCs w:val="25"/>
        </w:rPr>
      </w:pPr>
      <w:r w:rsidRPr="00E06855">
        <w:rPr>
          <w:rFonts w:ascii="Times New Roman" w:hAnsi="Times New Roman" w:cs="Times New Roman"/>
          <w:sz w:val="25"/>
          <w:szCs w:val="25"/>
        </w:rPr>
        <w:t>Overall, in both contexts</w:t>
      </w:r>
      <w:r w:rsidR="00E54D48" w:rsidRPr="00E06855">
        <w:rPr>
          <w:rFonts w:ascii="Times New Roman" w:hAnsi="Times New Roman" w:cs="Times New Roman"/>
          <w:sz w:val="25"/>
          <w:szCs w:val="25"/>
        </w:rPr>
        <w:t xml:space="preserve">, there is limited evidence that a shift from substantive to procedural language in the Court’s reasoning has an impact on the </w:t>
      </w:r>
      <w:r w:rsidR="00E54D48" w:rsidRPr="00E06855">
        <w:rPr>
          <w:rFonts w:ascii="Times New Roman" w:hAnsi="Times New Roman" w:cs="Times New Roman"/>
          <w:i/>
          <w:iCs/>
          <w:sz w:val="25"/>
          <w:szCs w:val="25"/>
        </w:rPr>
        <w:t xml:space="preserve">outcomes </w:t>
      </w:r>
      <w:r w:rsidR="00E54D48" w:rsidRPr="00E06855">
        <w:rPr>
          <w:rFonts w:ascii="Times New Roman" w:hAnsi="Times New Roman" w:cs="Times New Roman"/>
          <w:sz w:val="25"/>
          <w:szCs w:val="25"/>
        </w:rPr>
        <w:t>of review.</w:t>
      </w:r>
      <w:r w:rsidR="00D83B0A" w:rsidRPr="00E06855">
        <w:rPr>
          <w:rFonts w:ascii="Times New Roman" w:hAnsi="Times New Roman" w:cs="Times New Roman"/>
          <w:sz w:val="25"/>
          <w:szCs w:val="25"/>
        </w:rPr>
        <w:t xml:space="preserve"> </w:t>
      </w:r>
      <w:r w:rsidR="00ED4FB7" w:rsidRPr="00E06855">
        <w:rPr>
          <w:rFonts w:ascii="Times New Roman" w:hAnsi="Times New Roman" w:cs="Times New Roman"/>
          <w:sz w:val="25"/>
          <w:szCs w:val="25"/>
        </w:rPr>
        <w:t xml:space="preserve">This aligns with the argument that </w:t>
      </w:r>
      <w:r w:rsidR="00EF4F87" w:rsidRPr="00E06855">
        <w:rPr>
          <w:rFonts w:ascii="Times New Roman" w:hAnsi="Times New Roman" w:cs="Times New Roman"/>
          <w:sz w:val="25"/>
          <w:szCs w:val="25"/>
        </w:rPr>
        <w:t xml:space="preserve">in the interpretation of broad principles such as subsidiarity and proportionality, </w:t>
      </w:r>
      <w:r w:rsidR="00BB6251" w:rsidRPr="00E06855">
        <w:rPr>
          <w:rFonts w:ascii="Times New Roman" w:hAnsi="Times New Roman" w:cs="Times New Roman"/>
          <w:sz w:val="25"/>
          <w:szCs w:val="25"/>
        </w:rPr>
        <w:t>there is a lack of textual constrain</w:t>
      </w:r>
      <w:r w:rsidR="00C9148D" w:rsidRPr="00E06855">
        <w:rPr>
          <w:rFonts w:ascii="Times New Roman" w:hAnsi="Times New Roman" w:cs="Times New Roman"/>
          <w:sz w:val="25"/>
          <w:szCs w:val="25"/>
        </w:rPr>
        <w:t>t</w:t>
      </w:r>
      <w:r w:rsidR="00BB6251" w:rsidRPr="00E06855">
        <w:rPr>
          <w:rFonts w:ascii="Times New Roman" w:hAnsi="Times New Roman" w:cs="Times New Roman"/>
          <w:sz w:val="25"/>
          <w:szCs w:val="25"/>
        </w:rPr>
        <w:t xml:space="preserve"> on the judges</w:t>
      </w:r>
      <w:r w:rsidR="00254272" w:rsidRPr="00E06855">
        <w:rPr>
          <w:rFonts w:ascii="Times New Roman" w:hAnsi="Times New Roman" w:cs="Times New Roman"/>
          <w:sz w:val="25"/>
          <w:szCs w:val="25"/>
        </w:rPr>
        <w:t>. Thus, the Court has wide discretion in how it choose</w:t>
      </w:r>
      <w:r w:rsidR="00C23037" w:rsidRPr="00E06855">
        <w:rPr>
          <w:rFonts w:ascii="Times New Roman" w:hAnsi="Times New Roman" w:cs="Times New Roman"/>
          <w:sz w:val="25"/>
          <w:szCs w:val="25"/>
        </w:rPr>
        <w:t>s</w:t>
      </w:r>
      <w:r w:rsidR="00254272" w:rsidRPr="00E06855">
        <w:rPr>
          <w:rFonts w:ascii="Times New Roman" w:hAnsi="Times New Roman" w:cs="Times New Roman"/>
          <w:sz w:val="25"/>
          <w:szCs w:val="25"/>
        </w:rPr>
        <w:t xml:space="preserve"> to frame its reasoning, and a </w:t>
      </w:r>
      <w:r w:rsidR="009222F3" w:rsidRPr="00E06855">
        <w:rPr>
          <w:rFonts w:ascii="Times New Roman" w:hAnsi="Times New Roman" w:cs="Times New Roman"/>
          <w:sz w:val="25"/>
          <w:szCs w:val="25"/>
        </w:rPr>
        <w:t xml:space="preserve">change </w:t>
      </w:r>
      <w:r w:rsidR="00254272" w:rsidRPr="00E06855">
        <w:rPr>
          <w:rFonts w:ascii="Times New Roman" w:hAnsi="Times New Roman" w:cs="Times New Roman"/>
          <w:sz w:val="25"/>
          <w:szCs w:val="25"/>
        </w:rPr>
        <w:t>in language will not necessarily result in a change of outcomes</w:t>
      </w:r>
      <w:r w:rsidR="007D22CB" w:rsidRPr="00E06855">
        <w:rPr>
          <w:rFonts w:ascii="Times New Roman" w:hAnsi="Times New Roman" w:cs="Times New Roman"/>
          <w:sz w:val="25"/>
          <w:szCs w:val="25"/>
        </w:rPr>
        <w:t>.</w:t>
      </w:r>
    </w:p>
    <w:p w14:paraId="13FB77AE" w14:textId="6C52C4E3" w:rsidR="00B17D6A" w:rsidRPr="00E06855" w:rsidRDefault="003D0F6D" w:rsidP="005A175D">
      <w:pPr>
        <w:pStyle w:val="Heading1"/>
        <w:rPr>
          <w:rFonts w:ascii="Times New Roman" w:hAnsi="Times New Roman" w:cs="Times New Roman"/>
        </w:rPr>
      </w:pPr>
      <w:r w:rsidRPr="00E06855">
        <w:rPr>
          <w:rFonts w:ascii="Times New Roman" w:hAnsi="Times New Roman" w:cs="Times New Roman"/>
        </w:rPr>
        <w:t xml:space="preserve">The </w:t>
      </w:r>
      <w:r w:rsidRPr="00E06855">
        <w:rPr>
          <w:rFonts w:ascii="Times New Roman" w:hAnsi="Times New Roman" w:cs="Times New Roman"/>
          <w:i/>
          <w:iCs/>
        </w:rPr>
        <w:t>Legitimacy</w:t>
      </w:r>
      <w:r w:rsidRPr="00E06855">
        <w:rPr>
          <w:rFonts w:ascii="Times New Roman" w:hAnsi="Times New Roman" w:cs="Times New Roman"/>
        </w:rPr>
        <w:t xml:space="preserve"> of Process Review in the European Union</w:t>
      </w:r>
    </w:p>
    <w:p w14:paraId="5D5C29E5" w14:textId="7204E992" w:rsidR="009D62C8" w:rsidRPr="00E06855" w:rsidRDefault="00166397" w:rsidP="009F564A">
      <w:pPr>
        <w:rPr>
          <w:rFonts w:ascii="Times New Roman" w:hAnsi="Times New Roman" w:cs="Times New Roman"/>
          <w:sz w:val="25"/>
          <w:szCs w:val="25"/>
        </w:rPr>
      </w:pPr>
      <w:r w:rsidRPr="00E06855">
        <w:rPr>
          <w:rFonts w:ascii="Times New Roman" w:hAnsi="Times New Roman" w:cs="Times New Roman"/>
          <w:sz w:val="25"/>
          <w:szCs w:val="25"/>
        </w:rPr>
        <w:t>In the final substantive section, we move on</w:t>
      </w:r>
      <w:r w:rsidR="00113F62" w:rsidRPr="00E06855">
        <w:rPr>
          <w:rFonts w:ascii="Times New Roman" w:hAnsi="Times New Roman" w:cs="Times New Roman"/>
          <w:sz w:val="25"/>
          <w:szCs w:val="25"/>
        </w:rPr>
        <w:t xml:space="preserve"> to</w:t>
      </w:r>
      <w:r w:rsidRPr="00E06855">
        <w:rPr>
          <w:rFonts w:ascii="Times New Roman" w:hAnsi="Times New Roman" w:cs="Times New Roman"/>
          <w:sz w:val="25"/>
          <w:szCs w:val="25"/>
        </w:rPr>
        <w:t xml:space="preserve"> the legitimacy claims made </w:t>
      </w:r>
      <w:r w:rsidR="00803F60" w:rsidRPr="00E06855">
        <w:rPr>
          <w:rFonts w:ascii="Times New Roman" w:hAnsi="Times New Roman" w:cs="Times New Roman"/>
          <w:sz w:val="25"/>
          <w:szCs w:val="25"/>
        </w:rPr>
        <w:t xml:space="preserve">for </w:t>
      </w:r>
      <w:r w:rsidRPr="00E06855">
        <w:rPr>
          <w:rFonts w:ascii="Times New Roman" w:hAnsi="Times New Roman" w:cs="Times New Roman"/>
          <w:sz w:val="25"/>
          <w:szCs w:val="25"/>
        </w:rPr>
        <w:t>process review</w:t>
      </w:r>
      <w:r w:rsidR="00DE1098" w:rsidRPr="00E06855">
        <w:rPr>
          <w:rFonts w:ascii="Times New Roman" w:hAnsi="Times New Roman" w:cs="Times New Roman"/>
          <w:sz w:val="25"/>
          <w:szCs w:val="25"/>
        </w:rPr>
        <w:t>. As we have seen</w:t>
      </w:r>
      <w:r w:rsidR="00B72215" w:rsidRPr="00E06855">
        <w:rPr>
          <w:rFonts w:ascii="Times New Roman" w:hAnsi="Times New Roman" w:cs="Times New Roman"/>
          <w:sz w:val="25"/>
          <w:szCs w:val="25"/>
        </w:rPr>
        <w:t xml:space="preserve"> in </w:t>
      </w:r>
      <w:r w:rsidR="00C60F15" w:rsidRPr="00E06855">
        <w:rPr>
          <w:rFonts w:ascii="Times New Roman" w:hAnsi="Times New Roman" w:cs="Times New Roman"/>
          <w:sz w:val="25"/>
          <w:szCs w:val="25"/>
        </w:rPr>
        <w:t>the Member State context</w:t>
      </w:r>
      <w:r w:rsidR="00B72215" w:rsidRPr="00E06855">
        <w:rPr>
          <w:rFonts w:ascii="Times New Roman" w:hAnsi="Times New Roman" w:cs="Times New Roman"/>
          <w:sz w:val="25"/>
          <w:szCs w:val="25"/>
        </w:rPr>
        <w:t xml:space="preserve"> above</w:t>
      </w:r>
      <w:r w:rsidR="00DE1098" w:rsidRPr="00E06855">
        <w:rPr>
          <w:rFonts w:ascii="Times New Roman" w:hAnsi="Times New Roman" w:cs="Times New Roman"/>
          <w:sz w:val="25"/>
          <w:szCs w:val="25"/>
        </w:rPr>
        <w:t>, there is</w:t>
      </w:r>
      <w:r w:rsidR="00C4093A" w:rsidRPr="00E06855">
        <w:rPr>
          <w:rFonts w:ascii="Times New Roman" w:hAnsi="Times New Roman" w:cs="Times New Roman"/>
          <w:sz w:val="25"/>
          <w:szCs w:val="25"/>
        </w:rPr>
        <w:t xml:space="preserve"> an argument that</w:t>
      </w:r>
      <w:r w:rsidR="00DE1098" w:rsidRPr="00E06855">
        <w:rPr>
          <w:rFonts w:ascii="Times New Roman" w:hAnsi="Times New Roman" w:cs="Times New Roman"/>
          <w:sz w:val="25"/>
          <w:szCs w:val="25"/>
        </w:rPr>
        <w:t xml:space="preserve"> </w:t>
      </w:r>
      <w:r w:rsidR="003574A8" w:rsidRPr="00E06855">
        <w:rPr>
          <w:rFonts w:ascii="Times New Roman" w:hAnsi="Times New Roman" w:cs="Times New Roman"/>
          <w:sz w:val="25"/>
          <w:szCs w:val="25"/>
        </w:rPr>
        <w:t>a focus on process</w:t>
      </w:r>
      <w:r w:rsidR="009F564A" w:rsidRPr="00E06855">
        <w:rPr>
          <w:rFonts w:ascii="Times New Roman" w:hAnsi="Times New Roman" w:cs="Times New Roman"/>
          <w:sz w:val="25"/>
          <w:szCs w:val="25"/>
        </w:rPr>
        <w:t xml:space="preserve"> </w:t>
      </w:r>
      <w:r w:rsidR="00DE1098" w:rsidRPr="00E06855">
        <w:rPr>
          <w:rFonts w:ascii="Times New Roman" w:hAnsi="Times New Roman" w:cs="Times New Roman"/>
          <w:sz w:val="25"/>
          <w:szCs w:val="25"/>
        </w:rPr>
        <w:t xml:space="preserve">is more legitimate because </w:t>
      </w:r>
      <w:r w:rsidR="00116A99" w:rsidRPr="00E06855">
        <w:rPr>
          <w:rFonts w:ascii="Times New Roman" w:hAnsi="Times New Roman" w:cs="Times New Roman"/>
          <w:sz w:val="25"/>
          <w:szCs w:val="25"/>
        </w:rPr>
        <w:t xml:space="preserve">it offers a </w:t>
      </w:r>
      <w:r w:rsidR="00DE1098" w:rsidRPr="00E06855">
        <w:rPr>
          <w:rFonts w:ascii="Times New Roman" w:hAnsi="Times New Roman" w:cs="Times New Roman"/>
          <w:sz w:val="25"/>
          <w:szCs w:val="25"/>
        </w:rPr>
        <w:t>less intensive</w:t>
      </w:r>
      <w:r w:rsidR="00116A99" w:rsidRPr="00E06855">
        <w:rPr>
          <w:rFonts w:ascii="Times New Roman" w:hAnsi="Times New Roman" w:cs="Times New Roman"/>
          <w:sz w:val="25"/>
          <w:szCs w:val="25"/>
        </w:rPr>
        <w:t xml:space="preserve"> standard of review</w:t>
      </w:r>
      <w:r w:rsidR="008F1502" w:rsidRPr="00E06855">
        <w:rPr>
          <w:rFonts w:ascii="Times New Roman" w:hAnsi="Times New Roman" w:cs="Times New Roman"/>
          <w:sz w:val="25"/>
          <w:szCs w:val="25"/>
        </w:rPr>
        <w:t xml:space="preserve"> than </w:t>
      </w:r>
      <w:r w:rsidR="00715324">
        <w:rPr>
          <w:rFonts w:ascii="Times New Roman" w:hAnsi="Times New Roman" w:cs="Times New Roman"/>
          <w:sz w:val="25"/>
          <w:szCs w:val="25"/>
        </w:rPr>
        <w:t>a focus</w:t>
      </w:r>
      <w:r w:rsidR="00D56980" w:rsidRPr="00E06855">
        <w:rPr>
          <w:rFonts w:ascii="Times New Roman" w:hAnsi="Times New Roman" w:cs="Times New Roman"/>
          <w:sz w:val="25"/>
          <w:szCs w:val="25"/>
        </w:rPr>
        <w:t xml:space="preserve"> on substance</w:t>
      </w:r>
      <w:r w:rsidR="00DE1098" w:rsidRPr="00E06855">
        <w:rPr>
          <w:rFonts w:ascii="Times New Roman" w:hAnsi="Times New Roman" w:cs="Times New Roman"/>
          <w:sz w:val="25"/>
          <w:szCs w:val="25"/>
        </w:rPr>
        <w:t>.</w:t>
      </w:r>
      <w:r w:rsidR="005C49DD" w:rsidRPr="00E06855">
        <w:rPr>
          <w:rFonts w:ascii="Times New Roman" w:hAnsi="Times New Roman" w:cs="Times New Roman"/>
          <w:sz w:val="25"/>
          <w:szCs w:val="25"/>
        </w:rPr>
        <w:t xml:space="preserve"> </w:t>
      </w:r>
      <w:r w:rsidR="00061589" w:rsidRPr="00E06855">
        <w:rPr>
          <w:rFonts w:ascii="Times New Roman" w:hAnsi="Times New Roman" w:cs="Times New Roman"/>
          <w:sz w:val="25"/>
          <w:szCs w:val="25"/>
        </w:rPr>
        <w:t>This paper argues that this particular claim to legitimacy is limited by the fact that issues of process collapse into substance and that it is thus very possible for process review to be conducted in an intensive manner.</w:t>
      </w:r>
      <w:r w:rsidR="00F65CA7" w:rsidRPr="00E06855">
        <w:rPr>
          <w:rFonts w:ascii="Times New Roman" w:hAnsi="Times New Roman" w:cs="Times New Roman"/>
          <w:sz w:val="25"/>
          <w:szCs w:val="25"/>
        </w:rPr>
        <w:t xml:space="preserve"> In this way, it </w:t>
      </w:r>
      <w:r w:rsidR="00C04002" w:rsidRPr="00E06855">
        <w:rPr>
          <w:rFonts w:ascii="Times New Roman" w:hAnsi="Times New Roman" w:cs="Times New Roman"/>
          <w:sz w:val="25"/>
          <w:szCs w:val="25"/>
        </w:rPr>
        <w:t>may be</w:t>
      </w:r>
      <w:r w:rsidR="00F65CA7" w:rsidRPr="00E06855">
        <w:rPr>
          <w:rFonts w:ascii="Times New Roman" w:hAnsi="Times New Roman" w:cs="Times New Roman"/>
          <w:sz w:val="25"/>
          <w:szCs w:val="25"/>
        </w:rPr>
        <w:t xml:space="preserve"> inappropriate to </w:t>
      </w:r>
      <w:r w:rsidR="009A21B4" w:rsidRPr="00E06855">
        <w:rPr>
          <w:rFonts w:ascii="Times New Roman" w:hAnsi="Times New Roman" w:cs="Times New Roman"/>
          <w:sz w:val="25"/>
          <w:szCs w:val="25"/>
        </w:rPr>
        <w:t>argue that</w:t>
      </w:r>
      <w:r w:rsidR="00F65CA7" w:rsidRPr="00E06855">
        <w:rPr>
          <w:rFonts w:ascii="Times New Roman" w:hAnsi="Times New Roman" w:cs="Times New Roman"/>
          <w:sz w:val="25"/>
          <w:szCs w:val="25"/>
        </w:rPr>
        <w:t xml:space="preserve"> process review </w:t>
      </w:r>
      <w:r w:rsidR="003D4977" w:rsidRPr="00E06855">
        <w:rPr>
          <w:rFonts w:ascii="Times New Roman" w:hAnsi="Times New Roman" w:cs="Times New Roman"/>
          <w:sz w:val="25"/>
          <w:szCs w:val="25"/>
        </w:rPr>
        <w:t>is generally</w:t>
      </w:r>
      <w:r w:rsidR="00F65CA7" w:rsidRPr="00E06855">
        <w:rPr>
          <w:rFonts w:ascii="Times New Roman" w:hAnsi="Times New Roman" w:cs="Times New Roman"/>
          <w:sz w:val="25"/>
          <w:szCs w:val="25"/>
        </w:rPr>
        <w:t xml:space="preserve"> more legitimate </w:t>
      </w:r>
      <w:r w:rsidR="00ED2287" w:rsidRPr="00E06855">
        <w:rPr>
          <w:rFonts w:ascii="Times New Roman" w:hAnsi="Times New Roman" w:cs="Times New Roman"/>
          <w:sz w:val="25"/>
          <w:szCs w:val="25"/>
        </w:rPr>
        <w:t>than substantive review, because to do so equates the focus of judicial language with the standard of review.</w:t>
      </w:r>
    </w:p>
    <w:p w14:paraId="7091AD84" w14:textId="5F1F41B3" w:rsidR="009A7412" w:rsidRPr="00E06855" w:rsidRDefault="00F66C03" w:rsidP="009A7412">
      <w:pPr>
        <w:rPr>
          <w:rFonts w:ascii="Times New Roman" w:hAnsi="Times New Roman" w:cs="Times New Roman"/>
          <w:sz w:val="25"/>
          <w:szCs w:val="25"/>
        </w:rPr>
      </w:pPr>
      <w:r w:rsidRPr="00E06855">
        <w:rPr>
          <w:rFonts w:ascii="Times New Roman" w:hAnsi="Times New Roman" w:cs="Times New Roman"/>
          <w:sz w:val="25"/>
          <w:szCs w:val="25"/>
        </w:rPr>
        <w:t>Beyond this type of argument is a more ambitious set of</w:t>
      </w:r>
      <w:r w:rsidR="009A7412" w:rsidRPr="00E06855">
        <w:rPr>
          <w:rFonts w:ascii="Times New Roman" w:hAnsi="Times New Roman" w:cs="Times New Roman"/>
          <w:sz w:val="25"/>
          <w:szCs w:val="25"/>
        </w:rPr>
        <w:t xml:space="preserve"> legitimacy claims based around the idea that process review can </w:t>
      </w:r>
      <w:r w:rsidR="009A7412" w:rsidRPr="00E06855">
        <w:rPr>
          <w:rFonts w:ascii="Times New Roman" w:hAnsi="Times New Roman" w:cs="Times New Roman"/>
          <w:i/>
          <w:iCs/>
          <w:sz w:val="25"/>
          <w:szCs w:val="25"/>
        </w:rPr>
        <w:t>improve</w:t>
      </w:r>
      <w:r w:rsidR="009A7412" w:rsidRPr="00E06855">
        <w:rPr>
          <w:rFonts w:ascii="Times New Roman" w:hAnsi="Times New Roman" w:cs="Times New Roman"/>
          <w:sz w:val="25"/>
          <w:szCs w:val="25"/>
        </w:rPr>
        <w:t xml:space="preserve"> the legislative process in some way.</w:t>
      </w:r>
      <w:r w:rsidR="00D1391A" w:rsidRPr="00E06855">
        <w:rPr>
          <w:rFonts w:ascii="Times New Roman" w:hAnsi="Times New Roman" w:cs="Times New Roman"/>
          <w:sz w:val="25"/>
          <w:szCs w:val="25"/>
        </w:rPr>
        <w:t xml:space="preserve"> In this vein, t</w:t>
      </w:r>
      <w:r w:rsidR="009A7412" w:rsidRPr="00E06855">
        <w:rPr>
          <w:rFonts w:ascii="Times New Roman" w:hAnsi="Times New Roman" w:cs="Times New Roman"/>
          <w:sz w:val="25"/>
          <w:szCs w:val="25"/>
        </w:rPr>
        <w:t xml:space="preserve">here </w:t>
      </w:r>
      <w:r w:rsidR="00D1391A" w:rsidRPr="00E06855">
        <w:rPr>
          <w:rFonts w:ascii="Times New Roman" w:hAnsi="Times New Roman" w:cs="Times New Roman"/>
          <w:i/>
          <w:iCs/>
          <w:sz w:val="25"/>
          <w:szCs w:val="25"/>
        </w:rPr>
        <w:t>is</w:t>
      </w:r>
      <w:r w:rsidR="009A7412" w:rsidRPr="00E06855">
        <w:rPr>
          <w:rFonts w:ascii="Times New Roman" w:hAnsi="Times New Roman" w:cs="Times New Roman"/>
          <w:sz w:val="25"/>
          <w:szCs w:val="25"/>
        </w:rPr>
        <w:t xml:space="preserve"> evidence that it is possible for the Court to influence and alter the legislative </w:t>
      </w:r>
      <w:r w:rsidR="009A7412" w:rsidRPr="00E06855">
        <w:rPr>
          <w:rFonts w:ascii="Times New Roman" w:hAnsi="Times New Roman" w:cs="Times New Roman"/>
          <w:sz w:val="25"/>
          <w:szCs w:val="25"/>
        </w:rPr>
        <w:lastRenderedPageBreak/>
        <w:t xml:space="preserve">process through judicial review. As Stone Sweet has </w:t>
      </w:r>
      <w:r w:rsidR="00465FE6" w:rsidRPr="00E06855">
        <w:rPr>
          <w:rFonts w:ascii="Times New Roman" w:hAnsi="Times New Roman" w:cs="Times New Roman"/>
          <w:sz w:val="25"/>
          <w:szCs w:val="25"/>
        </w:rPr>
        <w:t>shown,</w:t>
      </w:r>
      <w:r w:rsidR="009A7412" w:rsidRPr="00E06855">
        <w:rPr>
          <w:rFonts w:ascii="Times New Roman" w:hAnsi="Times New Roman" w:cs="Times New Roman"/>
          <w:sz w:val="25"/>
          <w:szCs w:val="25"/>
        </w:rPr>
        <w:t xml:space="preserve"> judicial review has “feedback effects” on the legislative process.</w:t>
      </w:r>
      <w:r w:rsidR="009A7412" w:rsidRPr="00E06855">
        <w:rPr>
          <w:rFonts w:ascii="Times New Roman" w:hAnsi="Times New Roman" w:cs="Times New Roman"/>
          <w:sz w:val="25"/>
          <w:szCs w:val="25"/>
          <w:vertAlign w:val="superscript"/>
        </w:rPr>
        <w:footnoteReference w:id="132"/>
      </w:r>
      <w:r w:rsidR="009A7412" w:rsidRPr="00E06855">
        <w:rPr>
          <w:rFonts w:ascii="Times New Roman" w:hAnsi="Times New Roman" w:cs="Times New Roman"/>
          <w:sz w:val="25"/>
          <w:szCs w:val="25"/>
        </w:rPr>
        <w:t xml:space="preserve"> Legislatures become aware of judicial review and this impacts on their future behaviour.</w:t>
      </w:r>
      <w:r w:rsidR="009A7412" w:rsidRPr="00E06855">
        <w:rPr>
          <w:rFonts w:ascii="Times New Roman" w:hAnsi="Times New Roman" w:cs="Times New Roman"/>
          <w:sz w:val="25"/>
          <w:szCs w:val="25"/>
          <w:vertAlign w:val="superscript"/>
        </w:rPr>
        <w:footnoteReference w:id="133"/>
      </w:r>
      <w:r w:rsidR="009A7412" w:rsidRPr="00E06855">
        <w:rPr>
          <w:rFonts w:ascii="Times New Roman" w:hAnsi="Times New Roman" w:cs="Times New Roman"/>
          <w:sz w:val="25"/>
          <w:szCs w:val="25"/>
        </w:rPr>
        <w:t xml:space="preserve"> Placing specific requirements on the legislative process </w:t>
      </w:r>
      <w:r w:rsidR="001251D6" w:rsidRPr="00E06855">
        <w:rPr>
          <w:rFonts w:ascii="Times New Roman" w:hAnsi="Times New Roman" w:cs="Times New Roman"/>
          <w:sz w:val="25"/>
          <w:szCs w:val="25"/>
        </w:rPr>
        <w:t>will lead to</w:t>
      </w:r>
      <w:r w:rsidR="009A7412" w:rsidRPr="00E06855">
        <w:rPr>
          <w:rFonts w:ascii="Times New Roman" w:hAnsi="Times New Roman" w:cs="Times New Roman"/>
          <w:sz w:val="25"/>
          <w:szCs w:val="25"/>
        </w:rPr>
        <w:t xml:space="preserve"> more “direct” feedback effects, suggesting to the legislature that its behaviour will be observed and that this may affect the legality of a measure. In this way, legislators could come to act “in the shadow” of process review.</w:t>
      </w:r>
      <w:r w:rsidR="009A7412" w:rsidRPr="00E06855">
        <w:rPr>
          <w:rFonts w:ascii="Times New Roman" w:hAnsi="Times New Roman" w:cs="Times New Roman"/>
          <w:sz w:val="25"/>
          <w:szCs w:val="25"/>
          <w:vertAlign w:val="superscript"/>
        </w:rPr>
        <w:footnoteReference w:id="134"/>
      </w:r>
    </w:p>
    <w:p w14:paraId="1FBA9073" w14:textId="0E8D761F" w:rsidR="009A7412" w:rsidRPr="00E06855" w:rsidRDefault="009A7412" w:rsidP="0037396B">
      <w:pPr>
        <w:rPr>
          <w:rFonts w:ascii="Times New Roman" w:hAnsi="Times New Roman" w:cs="Times New Roman"/>
          <w:sz w:val="25"/>
          <w:szCs w:val="25"/>
        </w:rPr>
      </w:pPr>
      <w:r w:rsidRPr="00E06855">
        <w:rPr>
          <w:rFonts w:ascii="Times New Roman" w:hAnsi="Times New Roman" w:cs="Times New Roman"/>
          <w:sz w:val="25"/>
          <w:szCs w:val="25"/>
        </w:rPr>
        <w:t xml:space="preserve">This issue has been particularly noted in the area of proportionality. </w:t>
      </w:r>
      <w:r w:rsidR="00CB089C" w:rsidRPr="00E06855">
        <w:rPr>
          <w:rFonts w:ascii="Times New Roman" w:hAnsi="Times New Roman" w:cs="Times New Roman"/>
          <w:sz w:val="25"/>
          <w:szCs w:val="25"/>
        </w:rPr>
        <w:t>In many domestic constitutions</w:t>
      </w:r>
      <w:r w:rsidR="0037396B" w:rsidRPr="00E06855">
        <w:rPr>
          <w:rFonts w:ascii="Times New Roman" w:hAnsi="Times New Roman" w:cs="Times New Roman"/>
          <w:sz w:val="25"/>
          <w:szCs w:val="25"/>
        </w:rPr>
        <w:t>,</w:t>
      </w:r>
      <w:r w:rsidRPr="00E06855">
        <w:rPr>
          <w:rFonts w:ascii="Times New Roman" w:hAnsi="Times New Roman" w:cs="Times New Roman"/>
          <w:sz w:val="25"/>
          <w:szCs w:val="25"/>
        </w:rPr>
        <w:t xml:space="preserve"> the use of proportionality in the creation of laws has been encouraged by the judiciary.</w:t>
      </w:r>
      <w:r w:rsidR="000B0F21" w:rsidRPr="00E06855">
        <w:rPr>
          <w:rStyle w:val="FootnoteReference"/>
          <w:rFonts w:ascii="Times New Roman" w:hAnsi="Times New Roman" w:cs="Times New Roman"/>
          <w:sz w:val="25"/>
          <w:szCs w:val="25"/>
        </w:rPr>
        <w:footnoteReference w:id="135"/>
      </w:r>
      <w:r w:rsidRPr="00E06855">
        <w:rPr>
          <w:rFonts w:ascii="Times New Roman" w:hAnsi="Times New Roman" w:cs="Times New Roman"/>
          <w:sz w:val="25"/>
          <w:szCs w:val="25"/>
        </w:rPr>
        <w:t xml:space="preserve"> Courts act as pedagogues, infusing their argumentation frameworks into the operations of the legislature. As Stone Sweet and Mathews have observed; “courts may expand and contract the discretion they grant to lawmakers, at the suitability or necessity stage, when it is not confident that it has anything to teach them”.</w:t>
      </w:r>
      <w:r w:rsidRPr="00E06855">
        <w:rPr>
          <w:rStyle w:val="FootnoteReference"/>
          <w:rFonts w:ascii="Times New Roman" w:hAnsi="Times New Roman" w:cs="Times New Roman"/>
          <w:sz w:val="25"/>
          <w:szCs w:val="25"/>
        </w:rPr>
        <w:footnoteReference w:id="136"/>
      </w:r>
    </w:p>
    <w:p w14:paraId="10A8DF33" w14:textId="3D7D22B1" w:rsidR="00300167" w:rsidRPr="00E06855" w:rsidRDefault="009A7412" w:rsidP="009A7412">
      <w:pPr>
        <w:rPr>
          <w:rFonts w:ascii="Times New Roman" w:hAnsi="Times New Roman" w:cs="Times New Roman"/>
          <w:sz w:val="25"/>
          <w:szCs w:val="25"/>
        </w:rPr>
      </w:pPr>
      <w:r w:rsidRPr="00E06855">
        <w:rPr>
          <w:rFonts w:ascii="Times New Roman" w:hAnsi="Times New Roman" w:cs="Times New Roman"/>
          <w:sz w:val="25"/>
          <w:szCs w:val="25"/>
        </w:rPr>
        <w:t xml:space="preserve">With this in mind, it is clear that there is potential for the Court to influence national and European decision-makers through a greater focus on process. </w:t>
      </w:r>
      <w:r w:rsidR="00720734" w:rsidRPr="00E06855">
        <w:rPr>
          <w:rFonts w:ascii="Times New Roman" w:hAnsi="Times New Roman" w:cs="Times New Roman"/>
          <w:sz w:val="25"/>
          <w:szCs w:val="25"/>
        </w:rPr>
        <w:t>In the two contexts</w:t>
      </w:r>
      <w:r w:rsidR="00134C0A" w:rsidRPr="00E06855">
        <w:rPr>
          <w:rFonts w:ascii="Times New Roman" w:hAnsi="Times New Roman" w:cs="Times New Roman"/>
          <w:sz w:val="25"/>
          <w:szCs w:val="25"/>
        </w:rPr>
        <w:t xml:space="preserve"> discussed in this paper</w:t>
      </w:r>
      <w:r w:rsidR="00720734" w:rsidRPr="00E06855">
        <w:rPr>
          <w:rFonts w:ascii="Times New Roman" w:hAnsi="Times New Roman" w:cs="Times New Roman"/>
          <w:sz w:val="25"/>
          <w:szCs w:val="25"/>
        </w:rPr>
        <w:t xml:space="preserve">, two broad </w:t>
      </w:r>
      <w:r w:rsidR="00244C76" w:rsidRPr="00E06855">
        <w:rPr>
          <w:rFonts w:ascii="Times New Roman" w:hAnsi="Times New Roman" w:cs="Times New Roman"/>
          <w:sz w:val="25"/>
          <w:szCs w:val="25"/>
        </w:rPr>
        <w:t>ideals</w:t>
      </w:r>
      <w:r w:rsidR="00D45896" w:rsidRPr="00E06855">
        <w:rPr>
          <w:rFonts w:ascii="Times New Roman" w:hAnsi="Times New Roman" w:cs="Times New Roman"/>
          <w:sz w:val="25"/>
          <w:szCs w:val="25"/>
        </w:rPr>
        <w:t xml:space="preserve"> of improvement emerge. For the advocates in relation to the Union legislature, there is a focus on </w:t>
      </w:r>
      <w:r w:rsidR="00D45896" w:rsidRPr="00E06855">
        <w:rPr>
          <w:rFonts w:ascii="Times New Roman" w:hAnsi="Times New Roman" w:cs="Times New Roman"/>
          <w:i/>
          <w:iCs/>
          <w:sz w:val="25"/>
          <w:szCs w:val="25"/>
        </w:rPr>
        <w:t>rationalisation</w:t>
      </w:r>
      <w:r w:rsidR="00D45896" w:rsidRPr="00E06855">
        <w:rPr>
          <w:rFonts w:ascii="Times New Roman" w:hAnsi="Times New Roman" w:cs="Times New Roman"/>
          <w:sz w:val="25"/>
          <w:szCs w:val="25"/>
        </w:rPr>
        <w:t xml:space="preserve"> of the legislative process. For the advocates in relation to Member State </w:t>
      </w:r>
      <w:r w:rsidR="00F639EF" w:rsidRPr="00E06855">
        <w:rPr>
          <w:rFonts w:ascii="Times New Roman" w:hAnsi="Times New Roman" w:cs="Times New Roman"/>
          <w:sz w:val="25"/>
          <w:szCs w:val="25"/>
        </w:rPr>
        <w:t>measures</w:t>
      </w:r>
      <w:r w:rsidR="00D45896" w:rsidRPr="00E06855">
        <w:rPr>
          <w:rFonts w:ascii="Times New Roman" w:hAnsi="Times New Roman" w:cs="Times New Roman"/>
          <w:sz w:val="25"/>
          <w:szCs w:val="25"/>
        </w:rPr>
        <w:t xml:space="preserve">, </w:t>
      </w:r>
      <w:r w:rsidR="007C62F4" w:rsidRPr="00E06855">
        <w:rPr>
          <w:rFonts w:ascii="Times New Roman" w:hAnsi="Times New Roman" w:cs="Times New Roman"/>
          <w:sz w:val="25"/>
          <w:szCs w:val="25"/>
        </w:rPr>
        <w:t>some</w:t>
      </w:r>
      <w:r w:rsidR="00D45896" w:rsidRPr="00E06855">
        <w:rPr>
          <w:rFonts w:ascii="Times New Roman" w:hAnsi="Times New Roman" w:cs="Times New Roman"/>
          <w:sz w:val="25"/>
          <w:szCs w:val="25"/>
        </w:rPr>
        <w:t xml:space="preserve"> focus on </w:t>
      </w:r>
      <w:r w:rsidR="00721A36" w:rsidRPr="00E06855">
        <w:rPr>
          <w:rFonts w:ascii="Times New Roman" w:hAnsi="Times New Roman" w:cs="Times New Roman"/>
          <w:sz w:val="25"/>
          <w:szCs w:val="25"/>
        </w:rPr>
        <w:t xml:space="preserve">ensuring </w:t>
      </w:r>
      <w:r w:rsidR="00D45896" w:rsidRPr="00E06855">
        <w:rPr>
          <w:rFonts w:ascii="Times New Roman" w:hAnsi="Times New Roman" w:cs="Times New Roman"/>
          <w:sz w:val="25"/>
          <w:szCs w:val="25"/>
        </w:rPr>
        <w:t xml:space="preserve">the </w:t>
      </w:r>
      <w:r w:rsidR="00D45896" w:rsidRPr="00E06855">
        <w:rPr>
          <w:rFonts w:ascii="Times New Roman" w:hAnsi="Times New Roman" w:cs="Times New Roman"/>
          <w:i/>
          <w:iCs/>
          <w:sz w:val="25"/>
          <w:szCs w:val="25"/>
        </w:rPr>
        <w:t>democratic legitimacy</w:t>
      </w:r>
      <w:r w:rsidR="00D45896" w:rsidRPr="00E06855">
        <w:rPr>
          <w:rFonts w:ascii="Times New Roman" w:hAnsi="Times New Roman" w:cs="Times New Roman"/>
          <w:sz w:val="25"/>
          <w:szCs w:val="25"/>
        </w:rPr>
        <w:t xml:space="preserve"> of the legislative process.</w:t>
      </w:r>
      <w:r w:rsidR="00D60F64" w:rsidRPr="00E06855">
        <w:rPr>
          <w:rFonts w:ascii="Times New Roman" w:hAnsi="Times New Roman" w:cs="Times New Roman"/>
          <w:sz w:val="25"/>
          <w:szCs w:val="25"/>
        </w:rPr>
        <w:t xml:space="preserve"> </w:t>
      </w:r>
    </w:p>
    <w:p w14:paraId="7DD95FA9" w14:textId="77777777" w:rsidR="009A7412" w:rsidRPr="00E06855" w:rsidRDefault="009A7412" w:rsidP="00C6445D">
      <w:pPr>
        <w:pStyle w:val="Heading2"/>
        <w:rPr>
          <w:rFonts w:ascii="Times New Roman" w:hAnsi="Times New Roman" w:cs="Times New Roman"/>
        </w:rPr>
      </w:pPr>
      <w:r w:rsidRPr="00E06855">
        <w:rPr>
          <w:rFonts w:ascii="Times New Roman" w:hAnsi="Times New Roman" w:cs="Times New Roman"/>
        </w:rPr>
        <w:t>Process Review and Rationalisation of Decision-Making Processes</w:t>
      </w:r>
    </w:p>
    <w:p w14:paraId="516D5D24" w14:textId="6E10D310" w:rsidR="009A7412" w:rsidRPr="00E06855" w:rsidRDefault="009A7412" w:rsidP="001B2E7A">
      <w:pPr>
        <w:rPr>
          <w:rFonts w:ascii="Times New Roman" w:hAnsi="Times New Roman" w:cs="Times New Roman"/>
          <w:sz w:val="25"/>
          <w:szCs w:val="25"/>
        </w:rPr>
      </w:pPr>
      <w:r w:rsidRPr="00E06855">
        <w:rPr>
          <w:rFonts w:ascii="Times New Roman" w:hAnsi="Times New Roman" w:cs="Times New Roman"/>
          <w:sz w:val="25"/>
          <w:szCs w:val="25"/>
        </w:rPr>
        <w:t xml:space="preserve">A recurring theme of the literature </w:t>
      </w:r>
      <w:r w:rsidR="00B77203" w:rsidRPr="00E06855">
        <w:rPr>
          <w:rFonts w:ascii="Times New Roman" w:hAnsi="Times New Roman" w:cs="Times New Roman"/>
          <w:sz w:val="25"/>
          <w:szCs w:val="25"/>
        </w:rPr>
        <w:t>in the Union context</w:t>
      </w:r>
      <w:r w:rsidR="00232655" w:rsidRPr="00E06855">
        <w:rPr>
          <w:rFonts w:ascii="Times New Roman" w:hAnsi="Times New Roman" w:cs="Times New Roman"/>
          <w:sz w:val="25"/>
          <w:szCs w:val="25"/>
        </w:rPr>
        <w:t xml:space="preserve"> </w:t>
      </w:r>
      <w:r w:rsidRPr="00E06855">
        <w:rPr>
          <w:rFonts w:ascii="Times New Roman" w:hAnsi="Times New Roman" w:cs="Times New Roman"/>
          <w:sz w:val="25"/>
          <w:szCs w:val="25"/>
        </w:rPr>
        <w:t xml:space="preserve">is the desire for process review to </w:t>
      </w:r>
      <w:r w:rsidRPr="00E06855">
        <w:rPr>
          <w:rFonts w:ascii="Times New Roman" w:hAnsi="Times New Roman" w:cs="Times New Roman"/>
          <w:i/>
          <w:iCs/>
          <w:sz w:val="25"/>
          <w:szCs w:val="25"/>
        </w:rPr>
        <w:t>rationalise</w:t>
      </w:r>
      <w:r w:rsidRPr="00E06855">
        <w:rPr>
          <w:rFonts w:ascii="Times New Roman" w:hAnsi="Times New Roman" w:cs="Times New Roman"/>
          <w:sz w:val="25"/>
          <w:szCs w:val="25"/>
        </w:rPr>
        <w:t xml:space="preserve"> the legislative process</w:t>
      </w:r>
      <w:r w:rsidR="00EB1891" w:rsidRPr="00E06855">
        <w:rPr>
          <w:rFonts w:ascii="Times New Roman" w:hAnsi="Times New Roman" w:cs="Times New Roman"/>
          <w:sz w:val="25"/>
          <w:szCs w:val="25"/>
        </w:rPr>
        <w:t xml:space="preserve">, with </w:t>
      </w:r>
      <w:r w:rsidR="00513844" w:rsidRPr="00E06855">
        <w:rPr>
          <w:rFonts w:ascii="Times New Roman" w:hAnsi="Times New Roman" w:cs="Times New Roman"/>
          <w:sz w:val="25"/>
          <w:szCs w:val="25"/>
        </w:rPr>
        <w:t>the Court being encouraged to serve a</w:t>
      </w:r>
      <w:r w:rsidRPr="00E06855">
        <w:rPr>
          <w:rFonts w:ascii="Times New Roman" w:hAnsi="Times New Roman" w:cs="Times New Roman"/>
          <w:sz w:val="25"/>
          <w:szCs w:val="25"/>
        </w:rPr>
        <w:t xml:space="preserve"> “rationality enhancement function”.</w:t>
      </w:r>
      <w:r w:rsidRPr="00E06855">
        <w:rPr>
          <w:rStyle w:val="FootnoteReference"/>
          <w:rFonts w:ascii="Times New Roman" w:hAnsi="Times New Roman" w:cs="Times New Roman"/>
          <w:sz w:val="25"/>
          <w:szCs w:val="25"/>
        </w:rPr>
        <w:footnoteReference w:id="137"/>
      </w:r>
      <w:r w:rsidRPr="00E06855">
        <w:rPr>
          <w:rFonts w:ascii="Times New Roman" w:hAnsi="Times New Roman" w:cs="Times New Roman"/>
          <w:sz w:val="25"/>
          <w:szCs w:val="25"/>
        </w:rPr>
        <w:t xml:space="preserve"> </w:t>
      </w:r>
      <w:r w:rsidR="002466C4" w:rsidRPr="00E06855">
        <w:rPr>
          <w:rFonts w:ascii="Times New Roman" w:hAnsi="Times New Roman" w:cs="Times New Roman"/>
          <w:sz w:val="25"/>
          <w:szCs w:val="25"/>
        </w:rPr>
        <w:t>On this view, an</w:t>
      </w:r>
      <w:r w:rsidR="003E6D3F" w:rsidRPr="00E06855">
        <w:rPr>
          <w:rFonts w:ascii="Times New Roman" w:hAnsi="Times New Roman" w:cs="Times New Roman"/>
          <w:sz w:val="25"/>
          <w:szCs w:val="25"/>
        </w:rPr>
        <w:t xml:space="preserve"> increase</w:t>
      </w:r>
      <w:r w:rsidRPr="00E06855">
        <w:rPr>
          <w:rFonts w:ascii="Times New Roman" w:hAnsi="Times New Roman" w:cs="Times New Roman"/>
          <w:sz w:val="25"/>
          <w:szCs w:val="25"/>
        </w:rPr>
        <w:t xml:space="preserve"> in accountability of </w:t>
      </w:r>
      <w:r w:rsidR="005A5DE5">
        <w:rPr>
          <w:rFonts w:ascii="Times New Roman" w:hAnsi="Times New Roman" w:cs="Times New Roman"/>
          <w:sz w:val="25"/>
          <w:szCs w:val="25"/>
        </w:rPr>
        <w:t>the EU legislature</w:t>
      </w:r>
      <w:r w:rsidRPr="00E06855">
        <w:rPr>
          <w:rFonts w:ascii="Times New Roman" w:hAnsi="Times New Roman" w:cs="Times New Roman"/>
          <w:sz w:val="25"/>
          <w:szCs w:val="25"/>
        </w:rPr>
        <w:t xml:space="preserve"> can </w:t>
      </w:r>
      <w:r w:rsidR="003E6D3F" w:rsidRPr="00E06855">
        <w:rPr>
          <w:rFonts w:ascii="Times New Roman" w:hAnsi="Times New Roman" w:cs="Times New Roman"/>
          <w:sz w:val="25"/>
          <w:szCs w:val="25"/>
        </w:rPr>
        <w:t>foster legitimacy</w:t>
      </w:r>
      <w:r w:rsidR="006E374F" w:rsidRPr="00E06855">
        <w:rPr>
          <w:rFonts w:ascii="Times New Roman" w:hAnsi="Times New Roman" w:cs="Times New Roman"/>
          <w:sz w:val="25"/>
          <w:szCs w:val="25"/>
        </w:rPr>
        <w:t>:</w:t>
      </w:r>
    </w:p>
    <w:p w14:paraId="6B9B1EC5" w14:textId="010A411B" w:rsidR="009A7412" w:rsidRPr="00E06855" w:rsidRDefault="009A7412" w:rsidP="00416D4A">
      <w:pPr>
        <w:ind w:left="720"/>
        <w:rPr>
          <w:rFonts w:ascii="Times New Roman" w:hAnsi="Times New Roman" w:cs="Times New Roman"/>
          <w:sz w:val="25"/>
          <w:szCs w:val="25"/>
        </w:rPr>
      </w:pPr>
      <w:r w:rsidRPr="00E06855">
        <w:rPr>
          <w:rFonts w:ascii="Times New Roman" w:hAnsi="Times New Roman" w:cs="Times New Roman"/>
          <w:sz w:val="25"/>
          <w:szCs w:val="25"/>
        </w:rPr>
        <w:t>“By enforcing standards of rational decision-making and requiring EU action to be more accountable, the Court promotes the social legitimacy of the EU system of governance as a whole”</w:t>
      </w:r>
      <w:r w:rsidR="00957039" w:rsidRPr="00E06855">
        <w:rPr>
          <w:rFonts w:ascii="Times New Roman" w:hAnsi="Times New Roman" w:cs="Times New Roman"/>
          <w:sz w:val="25"/>
          <w:szCs w:val="25"/>
        </w:rPr>
        <w:t>.</w:t>
      </w:r>
      <w:r w:rsidRPr="00E06855">
        <w:rPr>
          <w:rStyle w:val="FootnoteReference"/>
          <w:rFonts w:ascii="Times New Roman" w:hAnsi="Times New Roman" w:cs="Times New Roman"/>
          <w:sz w:val="25"/>
          <w:szCs w:val="25"/>
        </w:rPr>
        <w:footnoteReference w:id="138"/>
      </w:r>
    </w:p>
    <w:p w14:paraId="577034B3" w14:textId="04F73419" w:rsidR="004667C6" w:rsidRPr="00E06855" w:rsidRDefault="009A7412" w:rsidP="00F578E5">
      <w:pPr>
        <w:rPr>
          <w:rFonts w:ascii="Times New Roman" w:hAnsi="Times New Roman" w:cs="Times New Roman"/>
          <w:sz w:val="25"/>
          <w:szCs w:val="25"/>
        </w:rPr>
      </w:pPr>
      <w:r w:rsidRPr="00E06855">
        <w:rPr>
          <w:rFonts w:ascii="Times New Roman" w:hAnsi="Times New Roman" w:cs="Times New Roman"/>
          <w:sz w:val="25"/>
          <w:szCs w:val="25"/>
        </w:rPr>
        <w:lastRenderedPageBreak/>
        <w:t xml:space="preserve">It is worth noting that </w:t>
      </w:r>
      <w:r w:rsidR="00F728A4" w:rsidRPr="00E06855">
        <w:rPr>
          <w:rFonts w:ascii="Times New Roman" w:hAnsi="Times New Roman" w:cs="Times New Roman"/>
          <w:sz w:val="25"/>
          <w:szCs w:val="25"/>
        </w:rPr>
        <w:t>this idea</w:t>
      </w:r>
      <w:r w:rsidRPr="00E06855">
        <w:rPr>
          <w:rFonts w:ascii="Times New Roman" w:hAnsi="Times New Roman" w:cs="Times New Roman"/>
          <w:sz w:val="25"/>
          <w:szCs w:val="25"/>
        </w:rPr>
        <w:t xml:space="preserve"> of rationalising the legislative process has a strong liberal underpinning, viewing legislation as an interference with the autonomy of the individual.</w:t>
      </w:r>
      <w:r w:rsidRPr="00E06855">
        <w:rPr>
          <w:rStyle w:val="FootnoteReference"/>
          <w:rFonts w:ascii="Times New Roman" w:hAnsi="Times New Roman" w:cs="Times New Roman"/>
          <w:sz w:val="25"/>
          <w:szCs w:val="25"/>
        </w:rPr>
        <w:footnoteReference w:id="139"/>
      </w:r>
      <w:r w:rsidRPr="00E06855">
        <w:rPr>
          <w:rFonts w:ascii="Times New Roman" w:hAnsi="Times New Roman" w:cs="Times New Roman"/>
          <w:sz w:val="25"/>
          <w:szCs w:val="25"/>
        </w:rPr>
        <w:t xml:space="preserve"> </w:t>
      </w:r>
      <w:r w:rsidR="00766D73" w:rsidRPr="00E06855">
        <w:rPr>
          <w:rFonts w:ascii="Times New Roman" w:hAnsi="Times New Roman" w:cs="Times New Roman"/>
          <w:sz w:val="25"/>
          <w:szCs w:val="25"/>
        </w:rPr>
        <w:t xml:space="preserve">Meuwese and </w:t>
      </w:r>
      <w:r w:rsidRPr="00E06855">
        <w:rPr>
          <w:rFonts w:ascii="Times New Roman" w:hAnsi="Times New Roman" w:cs="Times New Roman"/>
          <w:sz w:val="25"/>
          <w:szCs w:val="25"/>
        </w:rPr>
        <w:t xml:space="preserve">Popelier advocate for </w:t>
      </w:r>
      <w:r w:rsidR="00AA2017" w:rsidRPr="00E06855">
        <w:rPr>
          <w:rFonts w:ascii="Times New Roman" w:hAnsi="Times New Roman" w:cs="Times New Roman"/>
          <w:sz w:val="25"/>
          <w:szCs w:val="25"/>
        </w:rPr>
        <w:t>courts</w:t>
      </w:r>
      <w:r w:rsidRPr="00E06855">
        <w:rPr>
          <w:rFonts w:ascii="Times New Roman" w:hAnsi="Times New Roman" w:cs="Times New Roman"/>
          <w:sz w:val="25"/>
          <w:szCs w:val="25"/>
        </w:rPr>
        <w:t xml:space="preserve"> t</w:t>
      </w:r>
      <w:r w:rsidR="00AA2017" w:rsidRPr="00E06855">
        <w:rPr>
          <w:rFonts w:ascii="Times New Roman" w:hAnsi="Times New Roman" w:cs="Times New Roman"/>
          <w:sz w:val="25"/>
          <w:szCs w:val="25"/>
        </w:rPr>
        <w:t xml:space="preserve">o ensure procedural rationality </w:t>
      </w:r>
      <w:r w:rsidRPr="00E06855">
        <w:rPr>
          <w:rFonts w:ascii="Times New Roman" w:hAnsi="Times New Roman" w:cs="Times New Roman"/>
          <w:sz w:val="25"/>
          <w:szCs w:val="25"/>
        </w:rPr>
        <w:t>with the aim of “the protection of individuals against arbitrary government intervention”.</w:t>
      </w:r>
      <w:r w:rsidRPr="00E06855">
        <w:rPr>
          <w:rStyle w:val="FootnoteReference"/>
          <w:rFonts w:ascii="Times New Roman" w:hAnsi="Times New Roman" w:cs="Times New Roman"/>
          <w:sz w:val="25"/>
          <w:szCs w:val="25"/>
        </w:rPr>
        <w:footnoteReference w:id="140"/>
      </w:r>
      <w:r w:rsidRPr="00E06855">
        <w:rPr>
          <w:rFonts w:ascii="Times New Roman" w:hAnsi="Times New Roman" w:cs="Times New Roman"/>
          <w:sz w:val="25"/>
          <w:szCs w:val="25"/>
        </w:rPr>
        <w:t xml:space="preserve"> An earlier advocate of procedural rationality </w:t>
      </w:r>
      <w:r w:rsidR="00F75C93" w:rsidRPr="00E06855">
        <w:rPr>
          <w:rFonts w:ascii="Times New Roman" w:hAnsi="Times New Roman" w:cs="Times New Roman"/>
          <w:sz w:val="25"/>
          <w:szCs w:val="25"/>
        </w:rPr>
        <w:t>sees it</w:t>
      </w:r>
      <w:r w:rsidRPr="00E06855">
        <w:rPr>
          <w:rFonts w:ascii="Times New Roman" w:hAnsi="Times New Roman" w:cs="Times New Roman"/>
          <w:sz w:val="25"/>
          <w:szCs w:val="25"/>
        </w:rPr>
        <w:t xml:space="preserve"> as a response to the </w:t>
      </w:r>
      <w:r w:rsidR="00C134A0" w:rsidRPr="00E06855">
        <w:rPr>
          <w:rFonts w:ascii="Times New Roman" w:hAnsi="Times New Roman" w:cs="Times New Roman"/>
          <w:sz w:val="25"/>
          <w:szCs w:val="25"/>
        </w:rPr>
        <w:t>State’s growth in powers over the course of the 20</w:t>
      </w:r>
      <w:r w:rsidR="00C134A0" w:rsidRPr="00E06855">
        <w:rPr>
          <w:rFonts w:ascii="Times New Roman" w:hAnsi="Times New Roman" w:cs="Times New Roman"/>
          <w:sz w:val="25"/>
          <w:szCs w:val="25"/>
          <w:vertAlign w:val="superscript"/>
        </w:rPr>
        <w:t>th</w:t>
      </w:r>
      <w:r w:rsidR="00C134A0" w:rsidRPr="00E06855">
        <w:rPr>
          <w:rFonts w:ascii="Times New Roman" w:hAnsi="Times New Roman" w:cs="Times New Roman"/>
          <w:sz w:val="25"/>
          <w:szCs w:val="25"/>
        </w:rPr>
        <w:t xml:space="preserve"> century</w:t>
      </w:r>
      <w:r w:rsidRPr="00E06855">
        <w:rPr>
          <w:rFonts w:ascii="Times New Roman" w:hAnsi="Times New Roman" w:cs="Times New Roman"/>
          <w:sz w:val="25"/>
          <w:szCs w:val="25"/>
        </w:rPr>
        <w:t>.</w:t>
      </w:r>
      <w:r w:rsidR="00C55DCA" w:rsidRPr="00E06855">
        <w:rPr>
          <w:rFonts w:ascii="Times New Roman" w:hAnsi="Times New Roman" w:cs="Times New Roman"/>
          <w:sz w:val="25"/>
          <w:szCs w:val="25"/>
        </w:rPr>
        <w:t xml:space="preserve"> </w:t>
      </w:r>
      <w:r w:rsidR="00810915" w:rsidRPr="00E06855">
        <w:rPr>
          <w:rFonts w:ascii="Times New Roman" w:hAnsi="Times New Roman" w:cs="Times New Roman"/>
          <w:sz w:val="25"/>
          <w:szCs w:val="25"/>
        </w:rPr>
        <w:t>On this view</w:t>
      </w:r>
      <w:r w:rsidRPr="00E06855">
        <w:rPr>
          <w:rFonts w:ascii="Times New Roman" w:hAnsi="Times New Roman" w:cs="Times New Roman"/>
          <w:sz w:val="25"/>
          <w:szCs w:val="25"/>
        </w:rPr>
        <w:t>,</w:t>
      </w:r>
      <w:r w:rsidR="009A3D31" w:rsidRPr="00E06855">
        <w:rPr>
          <w:rFonts w:ascii="Times New Roman" w:hAnsi="Times New Roman" w:cs="Times New Roman"/>
          <w:sz w:val="25"/>
          <w:szCs w:val="25"/>
        </w:rPr>
        <w:t xml:space="preserve"> in</w:t>
      </w:r>
      <w:r w:rsidRPr="00E06855">
        <w:rPr>
          <w:rFonts w:ascii="Times New Roman" w:hAnsi="Times New Roman" w:cs="Times New Roman"/>
          <w:sz w:val="25"/>
          <w:szCs w:val="25"/>
        </w:rPr>
        <w:t xml:space="preserve"> “the constitutional state, which sees itself as liberal, the citizens would like to be bothered by the legislative branch as little as possible.</w:t>
      </w:r>
      <w:r w:rsidRPr="00E06855">
        <w:rPr>
          <w:rStyle w:val="FootnoteReference"/>
          <w:rFonts w:ascii="Times New Roman" w:hAnsi="Times New Roman" w:cs="Times New Roman"/>
          <w:sz w:val="25"/>
          <w:szCs w:val="25"/>
        </w:rPr>
        <w:footnoteReference w:id="141"/>
      </w:r>
    </w:p>
    <w:p w14:paraId="2FD684AD" w14:textId="0456C63C" w:rsidR="009A7412" w:rsidRPr="00E06855" w:rsidRDefault="009A7412" w:rsidP="003605B7">
      <w:pPr>
        <w:rPr>
          <w:rFonts w:ascii="Times New Roman" w:hAnsi="Times New Roman" w:cs="Times New Roman"/>
          <w:bCs/>
          <w:sz w:val="25"/>
          <w:szCs w:val="25"/>
        </w:rPr>
      </w:pPr>
      <w:r w:rsidRPr="00E06855">
        <w:rPr>
          <w:rFonts w:ascii="Times New Roman" w:hAnsi="Times New Roman" w:cs="Times New Roman"/>
          <w:sz w:val="25"/>
          <w:szCs w:val="25"/>
        </w:rPr>
        <w:t>To an extent, this “rationalisation” literature carries a strain of Ely’s desire for “value-free adjudication”.</w:t>
      </w:r>
      <w:r w:rsidR="00716464" w:rsidRPr="00E06855">
        <w:rPr>
          <w:rStyle w:val="FootnoteReference"/>
          <w:rFonts w:ascii="Times New Roman" w:hAnsi="Times New Roman" w:cs="Times New Roman"/>
          <w:sz w:val="25"/>
          <w:szCs w:val="25"/>
        </w:rPr>
        <w:footnoteReference w:id="142"/>
      </w:r>
      <w:r w:rsidRPr="00E06855">
        <w:rPr>
          <w:rFonts w:ascii="Times New Roman" w:hAnsi="Times New Roman" w:cs="Times New Roman"/>
          <w:sz w:val="25"/>
          <w:szCs w:val="25"/>
        </w:rPr>
        <w:t xml:space="preserve"> It is based on an ideal that the Court must ensure that political will </w:t>
      </w:r>
      <w:r w:rsidR="00253A10" w:rsidRPr="00E06855">
        <w:rPr>
          <w:rFonts w:ascii="Times New Roman" w:hAnsi="Times New Roman" w:cs="Times New Roman"/>
          <w:sz w:val="25"/>
          <w:szCs w:val="25"/>
        </w:rPr>
        <w:t>does</w:t>
      </w:r>
      <w:r w:rsidRPr="00E06855">
        <w:rPr>
          <w:rFonts w:ascii="Times New Roman" w:hAnsi="Times New Roman" w:cs="Times New Roman"/>
          <w:sz w:val="25"/>
          <w:szCs w:val="25"/>
        </w:rPr>
        <w:t xml:space="preserve"> not lead to irrational decision-making. </w:t>
      </w:r>
      <w:r w:rsidR="008D770B" w:rsidRPr="00E06855">
        <w:rPr>
          <w:rFonts w:ascii="Times New Roman" w:hAnsi="Times New Roman" w:cs="Times New Roman"/>
          <w:sz w:val="25"/>
          <w:szCs w:val="25"/>
        </w:rPr>
        <w:t>Tushnet was critical of this view of th</w:t>
      </w:r>
      <w:r w:rsidR="0076633D" w:rsidRPr="00E06855">
        <w:rPr>
          <w:rFonts w:ascii="Times New Roman" w:hAnsi="Times New Roman" w:cs="Times New Roman"/>
          <w:sz w:val="25"/>
          <w:szCs w:val="25"/>
        </w:rPr>
        <w:t>e legislature</w:t>
      </w:r>
      <w:r w:rsidR="00AA6963" w:rsidRPr="00E06855">
        <w:rPr>
          <w:rFonts w:ascii="Times New Roman" w:hAnsi="Times New Roman" w:cs="Times New Roman"/>
          <w:sz w:val="25"/>
          <w:szCs w:val="25"/>
        </w:rPr>
        <w:t>, noting that it attempted to make the “</w:t>
      </w:r>
      <w:r w:rsidR="00AA6963" w:rsidRPr="00E06855">
        <w:rPr>
          <w:rFonts w:ascii="Times New Roman" w:hAnsi="Times New Roman" w:cs="Times New Roman"/>
          <w:bCs/>
          <w:sz w:val="25"/>
          <w:szCs w:val="25"/>
        </w:rPr>
        <w:t>lawmaking process more rational”, and thus for “legislatures to act more like courts”.</w:t>
      </w:r>
      <w:r w:rsidR="003605B7" w:rsidRPr="00E06855">
        <w:rPr>
          <w:rStyle w:val="FootnoteReference"/>
          <w:rFonts w:ascii="Times New Roman" w:hAnsi="Times New Roman" w:cs="Times New Roman"/>
          <w:bCs/>
          <w:sz w:val="25"/>
          <w:szCs w:val="25"/>
        </w:rPr>
        <w:footnoteReference w:id="143"/>
      </w:r>
      <w:r w:rsidR="00AA6963" w:rsidRPr="00E06855">
        <w:rPr>
          <w:rFonts w:ascii="Times New Roman" w:hAnsi="Times New Roman" w:cs="Times New Roman"/>
          <w:bCs/>
          <w:sz w:val="25"/>
          <w:szCs w:val="25"/>
        </w:rPr>
        <w:t xml:space="preserve"> </w:t>
      </w:r>
      <w:r w:rsidR="00716464" w:rsidRPr="00E06855">
        <w:rPr>
          <w:rFonts w:ascii="Times New Roman" w:hAnsi="Times New Roman" w:cs="Times New Roman"/>
          <w:bCs/>
          <w:sz w:val="25"/>
          <w:szCs w:val="25"/>
        </w:rPr>
        <w:t>I</w:t>
      </w:r>
      <w:r w:rsidR="0099166D" w:rsidRPr="00E06855">
        <w:rPr>
          <w:rFonts w:ascii="Times New Roman" w:hAnsi="Times New Roman" w:cs="Times New Roman"/>
          <w:bCs/>
          <w:sz w:val="25"/>
          <w:szCs w:val="25"/>
        </w:rPr>
        <w:t>n doing so, this view moves away from the more traditional notion that</w:t>
      </w:r>
      <w:r w:rsidRPr="00E06855">
        <w:rPr>
          <w:rFonts w:ascii="Times New Roman" w:hAnsi="Times New Roman" w:cs="Times New Roman"/>
          <w:bCs/>
          <w:sz w:val="25"/>
          <w:szCs w:val="25"/>
        </w:rPr>
        <w:t xml:space="preserve"> “legislatures are creatures of political will</w:t>
      </w:r>
      <w:r w:rsidR="00A97AA8" w:rsidRPr="00E06855">
        <w:rPr>
          <w:rFonts w:ascii="Times New Roman" w:hAnsi="Times New Roman" w:cs="Times New Roman"/>
          <w:bCs/>
          <w:sz w:val="25"/>
          <w:szCs w:val="25"/>
        </w:rPr>
        <w:t xml:space="preserve">”, as opposed to </w:t>
      </w:r>
      <w:r w:rsidRPr="00E06855">
        <w:rPr>
          <w:rFonts w:ascii="Times New Roman" w:hAnsi="Times New Roman" w:cs="Times New Roman"/>
          <w:bCs/>
          <w:sz w:val="25"/>
          <w:szCs w:val="25"/>
        </w:rPr>
        <w:t xml:space="preserve">courts </w:t>
      </w:r>
      <w:r w:rsidR="00A97AA8" w:rsidRPr="00E06855">
        <w:rPr>
          <w:rFonts w:ascii="Times New Roman" w:hAnsi="Times New Roman" w:cs="Times New Roman"/>
          <w:bCs/>
          <w:sz w:val="25"/>
          <w:szCs w:val="25"/>
        </w:rPr>
        <w:t xml:space="preserve">who </w:t>
      </w:r>
      <w:r w:rsidRPr="00E06855">
        <w:rPr>
          <w:rFonts w:ascii="Times New Roman" w:hAnsi="Times New Roman" w:cs="Times New Roman"/>
          <w:bCs/>
          <w:sz w:val="25"/>
          <w:szCs w:val="25"/>
        </w:rPr>
        <w:t xml:space="preserve">are </w:t>
      </w:r>
      <w:r w:rsidR="00A97AA8" w:rsidRPr="00E06855">
        <w:rPr>
          <w:rFonts w:ascii="Times New Roman" w:hAnsi="Times New Roman" w:cs="Times New Roman"/>
          <w:bCs/>
          <w:sz w:val="25"/>
          <w:szCs w:val="25"/>
        </w:rPr>
        <w:t>“</w:t>
      </w:r>
      <w:r w:rsidRPr="00E06855">
        <w:rPr>
          <w:rFonts w:ascii="Times New Roman" w:hAnsi="Times New Roman" w:cs="Times New Roman"/>
          <w:bCs/>
          <w:sz w:val="25"/>
          <w:szCs w:val="25"/>
        </w:rPr>
        <w:t>instruments of reason”.</w:t>
      </w:r>
      <w:r w:rsidR="003605B7" w:rsidRPr="00E06855">
        <w:rPr>
          <w:rStyle w:val="FootnoteReference"/>
          <w:rFonts w:ascii="Times New Roman" w:hAnsi="Times New Roman" w:cs="Times New Roman"/>
          <w:bCs/>
          <w:sz w:val="25"/>
          <w:szCs w:val="25"/>
        </w:rPr>
        <w:footnoteReference w:id="144"/>
      </w:r>
    </w:p>
    <w:p w14:paraId="39B8E4A8" w14:textId="76667F0D" w:rsidR="005D18F0" w:rsidRPr="00E06855" w:rsidRDefault="00D95729" w:rsidP="00684615">
      <w:pPr>
        <w:rPr>
          <w:rFonts w:ascii="Times New Roman" w:hAnsi="Times New Roman" w:cs="Times New Roman"/>
          <w:bCs/>
          <w:sz w:val="25"/>
          <w:szCs w:val="25"/>
        </w:rPr>
      </w:pPr>
      <w:r w:rsidRPr="00E06855">
        <w:rPr>
          <w:rFonts w:ascii="Times New Roman" w:hAnsi="Times New Roman" w:cs="Times New Roman"/>
          <w:bCs/>
          <w:sz w:val="25"/>
          <w:szCs w:val="25"/>
        </w:rPr>
        <w:t xml:space="preserve">However, </w:t>
      </w:r>
      <w:r w:rsidR="005B6739" w:rsidRPr="00E06855">
        <w:rPr>
          <w:rFonts w:ascii="Times New Roman" w:hAnsi="Times New Roman" w:cs="Times New Roman"/>
          <w:bCs/>
          <w:sz w:val="25"/>
          <w:szCs w:val="25"/>
        </w:rPr>
        <w:t xml:space="preserve">even </w:t>
      </w:r>
      <w:r w:rsidRPr="00E06855">
        <w:rPr>
          <w:rFonts w:ascii="Times New Roman" w:hAnsi="Times New Roman" w:cs="Times New Roman"/>
          <w:bCs/>
          <w:sz w:val="25"/>
          <w:szCs w:val="25"/>
        </w:rPr>
        <w:t>this framing risks</w:t>
      </w:r>
      <w:r w:rsidR="005372F7" w:rsidRPr="00E06855">
        <w:rPr>
          <w:rFonts w:ascii="Times New Roman" w:hAnsi="Times New Roman" w:cs="Times New Roman"/>
          <w:bCs/>
          <w:sz w:val="25"/>
          <w:szCs w:val="25"/>
        </w:rPr>
        <w:t xml:space="preserve"> falling into the trap of </w:t>
      </w:r>
      <w:r w:rsidR="00E61B05" w:rsidRPr="00E06855">
        <w:rPr>
          <w:rFonts w:ascii="Times New Roman" w:hAnsi="Times New Roman" w:cs="Times New Roman"/>
          <w:bCs/>
          <w:sz w:val="25"/>
          <w:szCs w:val="25"/>
        </w:rPr>
        <w:t xml:space="preserve">suggesting that the </w:t>
      </w:r>
      <w:r w:rsidR="005372F7" w:rsidRPr="00E06855">
        <w:rPr>
          <w:rFonts w:ascii="Times New Roman" w:hAnsi="Times New Roman" w:cs="Times New Roman"/>
          <w:bCs/>
          <w:sz w:val="25"/>
          <w:szCs w:val="25"/>
        </w:rPr>
        <w:t xml:space="preserve">political will </w:t>
      </w:r>
      <w:r w:rsidR="006409AE">
        <w:rPr>
          <w:rFonts w:ascii="Times New Roman" w:hAnsi="Times New Roman" w:cs="Times New Roman"/>
          <w:bCs/>
          <w:sz w:val="25"/>
          <w:szCs w:val="25"/>
        </w:rPr>
        <w:t xml:space="preserve"> represents irrationality</w:t>
      </w:r>
      <w:r w:rsidR="005372F7" w:rsidRPr="00E06855">
        <w:rPr>
          <w:rFonts w:ascii="Times New Roman" w:hAnsi="Times New Roman" w:cs="Times New Roman"/>
          <w:bCs/>
          <w:sz w:val="25"/>
          <w:szCs w:val="25"/>
        </w:rPr>
        <w:t>, and more technocratic forms of governance</w:t>
      </w:r>
      <w:r w:rsidR="00FC72C6" w:rsidRPr="00E06855">
        <w:rPr>
          <w:rFonts w:ascii="Times New Roman" w:hAnsi="Times New Roman" w:cs="Times New Roman"/>
          <w:bCs/>
          <w:sz w:val="25"/>
          <w:szCs w:val="25"/>
        </w:rPr>
        <w:t>, such as a depoliticised legislative process,</w:t>
      </w:r>
      <w:r w:rsidR="00926868" w:rsidRPr="00E06855">
        <w:rPr>
          <w:rFonts w:ascii="Times New Roman" w:hAnsi="Times New Roman" w:cs="Times New Roman"/>
          <w:bCs/>
          <w:sz w:val="25"/>
          <w:szCs w:val="25"/>
        </w:rPr>
        <w:t xml:space="preserve"> represent “rationality”</w:t>
      </w:r>
      <w:r w:rsidR="006449B7" w:rsidRPr="00E06855">
        <w:rPr>
          <w:rFonts w:ascii="Times New Roman" w:hAnsi="Times New Roman" w:cs="Times New Roman"/>
          <w:bCs/>
          <w:sz w:val="25"/>
          <w:szCs w:val="25"/>
        </w:rPr>
        <w:t xml:space="preserve">. </w:t>
      </w:r>
      <w:r w:rsidR="00436661">
        <w:rPr>
          <w:rFonts w:ascii="Times New Roman" w:hAnsi="Times New Roman" w:cs="Times New Roman"/>
          <w:bCs/>
          <w:sz w:val="25"/>
          <w:szCs w:val="25"/>
        </w:rPr>
        <w:t>In fact</w:t>
      </w:r>
      <w:r w:rsidR="009A5802" w:rsidRPr="00E06855">
        <w:rPr>
          <w:rFonts w:ascii="Times New Roman" w:hAnsi="Times New Roman" w:cs="Times New Roman"/>
          <w:bCs/>
          <w:sz w:val="25"/>
          <w:szCs w:val="25"/>
        </w:rPr>
        <w:t xml:space="preserve">, it is arguable that such de-politicisation can </w:t>
      </w:r>
      <w:r w:rsidR="00C33278" w:rsidRPr="00E06855">
        <w:rPr>
          <w:rFonts w:ascii="Times New Roman" w:hAnsi="Times New Roman" w:cs="Times New Roman"/>
          <w:bCs/>
          <w:sz w:val="25"/>
          <w:szCs w:val="25"/>
        </w:rPr>
        <w:t xml:space="preserve">itself be irrational, </w:t>
      </w:r>
      <w:r w:rsidR="009A5802" w:rsidRPr="00E06855">
        <w:rPr>
          <w:rFonts w:ascii="Times New Roman" w:hAnsi="Times New Roman" w:cs="Times New Roman"/>
          <w:bCs/>
          <w:sz w:val="25"/>
          <w:szCs w:val="25"/>
        </w:rPr>
        <w:t>result</w:t>
      </w:r>
      <w:r w:rsidR="00C33278" w:rsidRPr="00E06855">
        <w:rPr>
          <w:rFonts w:ascii="Times New Roman" w:hAnsi="Times New Roman" w:cs="Times New Roman"/>
          <w:bCs/>
          <w:sz w:val="25"/>
          <w:szCs w:val="25"/>
        </w:rPr>
        <w:t>ing</w:t>
      </w:r>
      <w:r w:rsidR="009A5802" w:rsidRPr="00E06855">
        <w:rPr>
          <w:rFonts w:ascii="Times New Roman" w:hAnsi="Times New Roman" w:cs="Times New Roman"/>
          <w:bCs/>
          <w:sz w:val="25"/>
          <w:szCs w:val="25"/>
        </w:rPr>
        <w:t xml:space="preserve"> in </w:t>
      </w:r>
      <w:r w:rsidR="009C1B67" w:rsidRPr="00E06855">
        <w:rPr>
          <w:rFonts w:ascii="Times New Roman" w:hAnsi="Times New Roman" w:cs="Times New Roman"/>
          <w:bCs/>
          <w:sz w:val="25"/>
          <w:szCs w:val="25"/>
        </w:rPr>
        <w:t>a “sham technocracy”</w:t>
      </w:r>
      <w:r w:rsidR="00892060" w:rsidRPr="00E06855">
        <w:rPr>
          <w:rFonts w:ascii="Times New Roman" w:hAnsi="Times New Roman" w:cs="Times New Roman"/>
          <w:bCs/>
          <w:sz w:val="25"/>
          <w:szCs w:val="25"/>
        </w:rPr>
        <w:t>.</w:t>
      </w:r>
      <w:r w:rsidR="00BC1437" w:rsidRPr="00E06855">
        <w:rPr>
          <w:rStyle w:val="FootnoteReference"/>
          <w:rFonts w:ascii="Times New Roman" w:hAnsi="Times New Roman" w:cs="Times New Roman"/>
          <w:bCs/>
          <w:sz w:val="25"/>
          <w:szCs w:val="25"/>
        </w:rPr>
        <w:footnoteReference w:id="145"/>
      </w:r>
      <w:r w:rsidR="00892060" w:rsidRPr="00E06855">
        <w:rPr>
          <w:rFonts w:ascii="Times New Roman" w:hAnsi="Times New Roman" w:cs="Times New Roman"/>
          <w:bCs/>
          <w:sz w:val="25"/>
          <w:szCs w:val="25"/>
        </w:rPr>
        <w:t xml:space="preserve"> As Davies has argued</w:t>
      </w:r>
      <w:r w:rsidR="00BB450A" w:rsidRPr="00E06855">
        <w:rPr>
          <w:rFonts w:ascii="Times New Roman" w:hAnsi="Times New Roman" w:cs="Times New Roman"/>
          <w:bCs/>
          <w:sz w:val="25"/>
          <w:szCs w:val="25"/>
        </w:rPr>
        <w:t xml:space="preserve">, </w:t>
      </w:r>
      <w:r w:rsidR="00707059" w:rsidRPr="00E06855">
        <w:rPr>
          <w:rFonts w:ascii="Times New Roman" w:hAnsi="Times New Roman" w:cs="Times New Roman"/>
          <w:bCs/>
          <w:sz w:val="25"/>
          <w:szCs w:val="25"/>
        </w:rPr>
        <w:t>EU l</w:t>
      </w:r>
      <w:r w:rsidR="00147B30" w:rsidRPr="00E06855">
        <w:rPr>
          <w:rFonts w:ascii="Times New Roman" w:hAnsi="Times New Roman" w:cs="Times New Roman"/>
          <w:bCs/>
          <w:sz w:val="25"/>
          <w:szCs w:val="25"/>
        </w:rPr>
        <w:t>aw</w:t>
      </w:r>
      <w:r w:rsidR="002F54F7" w:rsidRPr="00E06855">
        <w:rPr>
          <w:rFonts w:ascii="Times New Roman" w:hAnsi="Times New Roman" w:cs="Times New Roman"/>
          <w:bCs/>
          <w:sz w:val="25"/>
          <w:szCs w:val="25"/>
        </w:rPr>
        <w:t xml:space="preserve"> </w:t>
      </w:r>
      <w:r w:rsidR="00193193" w:rsidRPr="00E06855">
        <w:rPr>
          <w:rFonts w:ascii="Times New Roman" w:hAnsi="Times New Roman" w:cs="Times New Roman"/>
          <w:bCs/>
          <w:sz w:val="25"/>
          <w:szCs w:val="25"/>
        </w:rPr>
        <w:t xml:space="preserve">can </w:t>
      </w:r>
      <w:r w:rsidR="002F54F7" w:rsidRPr="00E06855">
        <w:rPr>
          <w:rFonts w:ascii="Times New Roman" w:hAnsi="Times New Roman" w:cs="Times New Roman"/>
          <w:bCs/>
          <w:sz w:val="25"/>
          <w:szCs w:val="25"/>
        </w:rPr>
        <w:t>impact on the quality of life of individuals in ways that</w:t>
      </w:r>
      <w:r w:rsidR="008C2E21" w:rsidRPr="00E06855">
        <w:rPr>
          <w:rFonts w:ascii="Times New Roman" w:hAnsi="Times New Roman" w:cs="Times New Roman"/>
          <w:bCs/>
          <w:sz w:val="25"/>
          <w:szCs w:val="25"/>
        </w:rPr>
        <w:t xml:space="preserve"> “cannot be quantified, priced or sold”</w:t>
      </w:r>
      <w:r w:rsidR="00A73320" w:rsidRPr="00E06855">
        <w:rPr>
          <w:rFonts w:ascii="Times New Roman" w:hAnsi="Times New Roman" w:cs="Times New Roman"/>
          <w:bCs/>
          <w:sz w:val="25"/>
          <w:szCs w:val="25"/>
        </w:rPr>
        <w:t>, and the ability to conduct</w:t>
      </w:r>
      <w:r w:rsidR="007B34AA" w:rsidRPr="00E06855">
        <w:rPr>
          <w:rFonts w:ascii="Times New Roman" w:hAnsi="Times New Roman" w:cs="Times New Roman"/>
          <w:bCs/>
          <w:sz w:val="25"/>
          <w:szCs w:val="25"/>
        </w:rPr>
        <w:t xml:space="preserve"> cost-benefit analyses goes “beyond the capacity of expertise, and certainty of economics”.</w:t>
      </w:r>
      <w:r w:rsidR="007B34AA" w:rsidRPr="00E06855">
        <w:rPr>
          <w:rStyle w:val="FootnoteReference"/>
          <w:rFonts w:ascii="Times New Roman" w:hAnsi="Times New Roman" w:cs="Times New Roman"/>
          <w:bCs/>
          <w:sz w:val="25"/>
          <w:szCs w:val="25"/>
        </w:rPr>
        <w:footnoteReference w:id="146"/>
      </w:r>
      <w:r w:rsidR="00105705" w:rsidRPr="00E06855">
        <w:rPr>
          <w:rFonts w:ascii="Times New Roman" w:eastAsia="Times New Roman" w:hAnsi="Times New Roman" w:cs="Times New Roman"/>
          <w:sz w:val="25"/>
          <w:szCs w:val="25"/>
        </w:rPr>
        <w:t xml:space="preserve"> The attempt to </w:t>
      </w:r>
      <w:r w:rsidR="00EE6E9B" w:rsidRPr="00E06855">
        <w:rPr>
          <w:rFonts w:ascii="Times New Roman" w:eastAsia="Times New Roman" w:hAnsi="Times New Roman" w:cs="Times New Roman"/>
          <w:sz w:val="25"/>
          <w:szCs w:val="25"/>
        </w:rPr>
        <w:t xml:space="preserve">govern based on </w:t>
      </w:r>
      <w:r w:rsidR="003335BA" w:rsidRPr="00E06855">
        <w:rPr>
          <w:rFonts w:ascii="Times New Roman" w:eastAsia="Times New Roman" w:hAnsi="Times New Roman" w:cs="Times New Roman"/>
          <w:sz w:val="25"/>
          <w:szCs w:val="25"/>
        </w:rPr>
        <w:t xml:space="preserve">ideals </w:t>
      </w:r>
      <w:r w:rsidR="00EE6E9B" w:rsidRPr="00E06855">
        <w:rPr>
          <w:rFonts w:ascii="Times New Roman" w:eastAsia="Times New Roman" w:hAnsi="Times New Roman" w:cs="Times New Roman"/>
          <w:sz w:val="25"/>
          <w:szCs w:val="25"/>
        </w:rPr>
        <w:t>of rationality, particularly economic rationality, may have some profoundly irrational outcomes</w:t>
      </w:r>
      <w:r w:rsidR="005A6961" w:rsidRPr="00E06855">
        <w:rPr>
          <w:rFonts w:ascii="Times New Roman" w:eastAsia="Times New Roman" w:hAnsi="Times New Roman" w:cs="Times New Roman"/>
          <w:sz w:val="25"/>
          <w:szCs w:val="25"/>
        </w:rPr>
        <w:t xml:space="preserve"> at the expense of non-market goals</w:t>
      </w:r>
      <w:r w:rsidR="00EE6E9B" w:rsidRPr="00E06855">
        <w:rPr>
          <w:rFonts w:ascii="Times New Roman" w:eastAsia="Times New Roman" w:hAnsi="Times New Roman" w:cs="Times New Roman"/>
          <w:sz w:val="25"/>
          <w:szCs w:val="25"/>
        </w:rPr>
        <w:t>.</w:t>
      </w:r>
      <w:r w:rsidR="00106A0C" w:rsidRPr="00E06855">
        <w:rPr>
          <w:rStyle w:val="FootnoteReference"/>
          <w:rFonts w:ascii="Times New Roman" w:eastAsia="Times New Roman" w:hAnsi="Times New Roman" w:cs="Times New Roman"/>
          <w:sz w:val="25"/>
          <w:szCs w:val="25"/>
        </w:rPr>
        <w:footnoteReference w:id="147"/>
      </w:r>
    </w:p>
    <w:p w14:paraId="20AE8FB6" w14:textId="630FFE7C" w:rsidR="009A7412" w:rsidRPr="00E06855" w:rsidRDefault="009A7412" w:rsidP="00BF39B1">
      <w:pPr>
        <w:rPr>
          <w:rFonts w:ascii="Times New Roman" w:hAnsi="Times New Roman" w:cs="Times New Roman"/>
          <w:sz w:val="25"/>
          <w:szCs w:val="25"/>
        </w:rPr>
      </w:pPr>
      <w:r w:rsidRPr="00E06855">
        <w:rPr>
          <w:rFonts w:ascii="Times New Roman" w:hAnsi="Times New Roman" w:cs="Times New Roman"/>
          <w:sz w:val="25"/>
          <w:szCs w:val="25"/>
        </w:rPr>
        <w:t>In the Union context, th</w:t>
      </w:r>
      <w:r w:rsidR="00EF5B3E" w:rsidRPr="00E06855">
        <w:rPr>
          <w:rFonts w:ascii="Times New Roman" w:hAnsi="Times New Roman" w:cs="Times New Roman"/>
          <w:sz w:val="25"/>
          <w:szCs w:val="25"/>
        </w:rPr>
        <w:t>is</w:t>
      </w:r>
      <w:r w:rsidRPr="00E06855">
        <w:rPr>
          <w:rFonts w:ascii="Times New Roman" w:hAnsi="Times New Roman" w:cs="Times New Roman"/>
          <w:sz w:val="25"/>
          <w:szCs w:val="25"/>
        </w:rPr>
        <w:t xml:space="preserve"> drive for rationalisation of the legislative process could be described as part of </w:t>
      </w:r>
      <w:r w:rsidR="005A15B1" w:rsidRPr="00E06855">
        <w:rPr>
          <w:rFonts w:ascii="Times New Roman" w:hAnsi="Times New Roman" w:cs="Times New Roman"/>
          <w:sz w:val="25"/>
          <w:szCs w:val="25"/>
        </w:rPr>
        <w:t xml:space="preserve">the broader trend of </w:t>
      </w:r>
      <w:r w:rsidRPr="00E06855">
        <w:rPr>
          <w:rFonts w:ascii="Times New Roman" w:hAnsi="Times New Roman" w:cs="Times New Roman"/>
          <w:sz w:val="25"/>
          <w:szCs w:val="25"/>
        </w:rPr>
        <w:t>“constitutional legalism”, which “seeks to circumvent politics” through appeal to higher values in law.</w:t>
      </w:r>
      <w:r w:rsidRPr="00E06855">
        <w:rPr>
          <w:rStyle w:val="FootnoteReference"/>
          <w:rFonts w:ascii="Times New Roman" w:hAnsi="Times New Roman" w:cs="Times New Roman"/>
          <w:sz w:val="25"/>
          <w:szCs w:val="25"/>
        </w:rPr>
        <w:footnoteReference w:id="148"/>
      </w:r>
      <w:r w:rsidRPr="00E06855">
        <w:rPr>
          <w:rFonts w:ascii="Times New Roman" w:hAnsi="Times New Roman" w:cs="Times New Roman"/>
          <w:sz w:val="25"/>
          <w:szCs w:val="25"/>
        </w:rPr>
        <w:t xml:space="preserve"> Whereas often such values </w:t>
      </w:r>
      <w:r w:rsidRPr="00E06855">
        <w:rPr>
          <w:rFonts w:ascii="Times New Roman" w:hAnsi="Times New Roman" w:cs="Times New Roman"/>
          <w:sz w:val="25"/>
          <w:szCs w:val="25"/>
        </w:rPr>
        <w:lastRenderedPageBreak/>
        <w:t>are substantive, the procedural theorists find such values in process.</w:t>
      </w:r>
      <w:r w:rsidRPr="00E06855">
        <w:rPr>
          <w:rStyle w:val="FootnoteReference"/>
          <w:rFonts w:ascii="Times New Roman" w:hAnsi="Times New Roman" w:cs="Times New Roman"/>
          <w:sz w:val="25"/>
          <w:szCs w:val="25"/>
        </w:rPr>
        <w:footnoteReference w:id="149"/>
      </w:r>
      <w:r w:rsidRPr="00E06855">
        <w:rPr>
          <w:rFonts w:ascii="Times New Roman" w:hAnsi="Times New Roman" w:cs="Times New Roman"/>
          <w:sz w:val="25"/>
          <w:szCs w:val="25"/>
        </w:rPr>
        <w:t xml:space="preserve"> This ideal aligns with a technocratic view of what Europe ought to be</w:t>
      </w:r>
      <w:r w:rsidR="009A3D31" w:rsidRPr="00E06855">
        <w:rPr>
          <w:rFonts w:ascii="Times New Roman" w:hAnsi="Times New Roman" w:cs="Times New Roman"/>
          <w:sz w:val="25"/>
          <w:szCs w:val="25"/>
        </w:rPr>
        <w:t xml:space="preserve">. As Wilkinson describes, </w:t>
      </w:r>
      <w:r w:rsidR="001C3430" w:rsidRPr="00E06855">
        <w:rPr>
          <w:rFonts w:ascii="Times New Roman" w:hAnsi="Times New Roman" w:cs="Times New Roman"/>
          <w:sz w:val="25"/>
          <w:szCs w:val="25"/>
        </w:rPr>
        <w:t>there is a view of “economic constitutionalism</w:t>
      </w:r>
      <w:r w:rsidR="00A42279" w:rsidRPr="00E06855">
        <w:rPr>
          <w:rFonts w:ascii="Times New Roman" w:hAnsi="Times New Roman" w:cs="Times New Roman"/>
          <w:sz w:val="25"/>
          <w:szCs w:val="25"/>
        </w:rPr>
        <w:t>”</w:t>
      </w:r>
      <w:r w:rsidR="00A0091B" w:rsidRPr="00E06855">
        <w:rPr>
          <w:rFonts w:ascii="Times New Roman" w:hAnsi="Times New Roman" w:cs="Times New Roman"/>
          <w:sz w:val="25"/>
          <w:szCs w:val="25"/>
        </w:rPr>
        <w:t>, which seeks a Union that</w:t>
      </w:r>
      <w:r w:rsidR="009A3D31" w:rsidRPr="00E06855">
        <w:rPr>
          <w:rFonts w:ascii="Times New Roman" w:hAnsi="Times New Roman" w:cs="Times New Roman"/>
          <w:sz w:val="25"/>
          <w:szCs w:val="25"/>
        </w:rPr>
        <w:t xml:space="preserve"> </w:t>
      </w:r>
      <w:r w:rsidR="00BF39B1" w:rsidRPr="00E06855">
        <w:rPr>
          <w:rFonts w:ascii="Times New Roman" w:hAnsi="Times New Roman" w:cs="Times New Roman"/>
          <w:sz w:val="25"/>
          <w:szCs w:val="25"/>
        </w:rPr>
        <w:t xml:space="preserve">is </w:t>
      </w:r>
      <w:r w:rsidR="009A3D31" w:rsidRPr="00E06855">
        <w:rPr>
          <w:rFonts w:ascii="Times New Roman" w:hAnsi="Times New Roman" w:cs="Times New Roman"/>
          <w:sz w:val="25"/>
          <w:szCs w:val="25"/>
        </w:rPr>
        <w:t>“individualist, rationalist and based on a rule of law that protects against the arbitrary exercise of public power”.</w:t>
      </w:r>
      <w:r w:rsidR="009A3D31" w:rsidRPr="00E06855">
        <w:rPr>
          <w:rStyle w:val="FootnoteReference"/>
          <w:rFonts w:ascii="Times New Roman" w:hAnsi="Times New Roman" w:cs="Times New Roman"/>
          <w:sz w:val="25"/>
          <w:szCs w:val="25"/>
        </w:rPr>
        <w:footnoteReference w:id="150"/>
      </w:r>
      <w:r w:rsidR="00C43237" w:rsidRPr="00E06855">
        <w:rPr>
          <w:rFonts w:ascii="Times New Roman" w:hAnsi="Times New Roman" w:cs="Times New Roman"/>
          <w:sz w:val="25"/>
          <w:szCs w:val="25"/>
        </w:rPr>
        <w:t xml:space="preserve"> On this view, </w:t>
      </w:r>
      <w:r w:rsidRPr="00E06855">
        <w:rPr>
          <w:rFonts w:ascii="Times New Roman" w:hAnsi="Times New Roman" w:cs="Times New Roman"/>
          <w:sz w:val="25"/>
          <w:szCs w:val="25"/>
        </w:rPr>
        <w:t>the European project acts as a “rational and efficient administration that would ultimately dispense with the messiness, brutality, and particularism of politics”.</w:t>
      </w:r>
      <w:r w:rsidRPr="00E06855">
        <w:rPr>
          <w:rStyle w:val="FootnoteReference"/>
          <w:rFonts w:ascii="Times New Roman" w:hAnsi="Times New Roman" w:cs="Times New Roman"/>
          <w:sz w:val="25"/>
          <w:szCs w:val="25"/>
        </w:rPr>
        <w:footnoteReference w:id="151"/>
      </w:r>
    </w:p>
    <w:p w14:paraId="50C6EAD8" w14:textId="2E25081C" w:rsidR="009A7412" w:rsidRPr="00E06855" w:rsidRDefault="0047696D" w:rsidP="00416D4A">
      <w:pPr>
        <w:rPr>
          <w:rFonts w:ascii="Times New Roman" w:hAnsi="Times New Roman" w:cs="Times New Roman"/>
          <w:sz w:val="25"/>
          <w:szCs w:val="25"/>
        </w:rPr>
      </w:pPr>
      <w:r w:rsidRPr="00E06855">
        <w:rPr>
          <w:rFonts w:ascii="Times New Roman" w:hAnsi="Times New Roman" w:cs="Times New Roman"/>
          <w:sz w:val="25"/>
          <w:szCs w:val="25"/>
        </w:rPr>
        <w:t>Th</w:t>
      </w:r>
      <w:r w:rsidR="007A0648" w:rsidRPr="00E06855">
        <w:rPr>
          <w:rFonts w:ascii="Times New Roman" w:hAnsi="Times New Roman" w:cs="Times New Roman"/>
          <w:sz w:val="25"/>
          <w:szCs w:val="25"/>
        </w:rPr>
        <w:t>e</w:t>
      </w:r>
      <w:r w:rsidRPr="00E06855">
        <w:rPr>
          <w:rFonts w:ascii="Times New Roman" w:hAnsi="Times New Roman" w:cs="Times New Roman"/>
          <w:sz w:val="25"/>
          <w:szCs w:val="25"/>
        </w:rPr>
        <w:t xml:space="preserve"> </w:t>
      </w:r>
      <w:r w:rsidR="00BA5053" w:rsidRPr="00E06855">
        <w:rPr>
          <w:rFonts w:ascii="Times New Roman" w:hAnsi="Times New Roman" w:cs="Times New Roman"/>
          <w:sz w:val="25"/>
          <w:szCs w:val="25"/>
        </w:rPr>
        <w:t xml:space="preserve">advocacy </w:t>
      </w:r>
      <w:r w:rsidR="007A0648" w:rsidRPr="00E06855">
        <w:rPr>
          <w:rFonts w:ascii="Times New Roman" w:hAnsi="Times New Roman" w:cs="Times New Roman"/>
          <w:sz w:val="25"/>
          <w:szCs w:val="25"/>
        </w:rPr>
        <w:t>of procedural rationality review of Union legislation</w:t>
      </w:r>
      <w:r w:rsidR="00504038" w:rsidRPr="00E06855">
        <w:rPr>
          <w:rFonts w:ascii="Times New Roman" w:hAnsi="Times New Roman" w:cs="Times New Roman"/>
          <w:sz w:val="25"/>
          <w:szCs w:val="25"/>
        </w:rPr>
        <w:t xml:space="preserve"> </w:t>
      </w:r>
      <w:r w:rsidR="001C60BF" w:rsidRPr="00E06855">
        <w:rPr>
          <w:rFonts w:ascii="Times New Roman" w:hAnsi="Times New Roman" w:cs="Times New Roman"/>
          <w:sz w:val="25"/>
          <w:szCs w:val="25"/>
        </w:rPr>
        <w:t xml:space="preserve">accords with </w:t>
      </w:r>
      <w:r w:rsidR="00D747D9" w:rsidRPr="00E06855">
        <w:rPr>
          <w:rFonts w:ascii="Times New Roman" w:hAnsi="Times New Roman" w:cs="Times New Roman"/>
          <w:sz w:val="25"/>
          <w:szCs w:val="25"/>
        </w:rPr>
        <w:t>this</w:t>
      </w:r>
      <w:r w:rsidR="00504038" w:rsidRPr="00E06855">
        <w:rPr>
          <w:rFonts w:ascii="Times New Roman" w:hAnsi="Times New Roman" w:cs="Times New Roman"/>
          <w:sz w:val="25"/>
          <w:szCs w:val="25"/>
        </w:rPr>
        <w:t xml:space="preserve"> particular view of what the Union ought to be</w:t>
      </w:r>
      <w:r w:rsidR="00E935E9" w:rsidRPr="00E06855">
        <w:rPr>
          <w:rFonts w:ascii="Times New Roman" w:hAnsi="Times New Roman" w:cs="Times New Roman"/>
          <w:sz w:val="25"/>
          <w:szCs w:val="25"/>
        </w:rPr>
        <w:t xml:space="preserve">. This is one choice amongst many as to </w:t>
      </w:r>
      <w:r w:rsidR="00F453D6" w:rsidRPr="00E06855">
        <w:rPr>
          <w:rFonts w:ascii="Times New Roman" w:hAnsi="Times New Roman" w:cs="Times New Roman"/>
          <w:sz w:val="25"/>
          <w:szCs w:val="25"/>
        </w:rPr>
        <w:t xml:space="preserve">how the Union </w:t>
      </w:r>
      <w:r w:rsidR="00F4724F" w:rsidRPr="00E06855">
        <w:rPr>
          <w:rFonts w:ascii="Times New Roman" w:hAnsi="Times New Roman" w:cs="Times New Roman"/>
          <w:sz w:val="25"/>
          <w:szCs w:val="25"/>
        </w:rPr>
        <w:t>could</w:t>
      </w:r>
      <w:r w:rsidR="00F453D6" w:rsidRPr="00E06855">
        <w:rPr>
          <w:rFonts w:ascii="Times New Roman" w:hAnsi="Times New Roman" w:cs="Times New Roman"/>
          <w:sz w:val="25"/>
          <w:szCs w:val="25"/>
        </w:rPr>
        <w:t xml:space="preserve"> develop</w:t>
      </w:r>
      <w:r w:rsidR="000719CC" w:rsidRPr="00E06855">
        <w:rPr>
          <w:rFonts w:ascii="Times New Roman" w:hAnsi="Times New Roman" w:cs="Times New Roman"/>
          <w:sz w:val="25"/>
          <w:szCs w:val="25"/>
        </w:rPr>
        <w:t xml:space="preserve"> and </w:t>
      </w:r>
      <w:r w:rsidR="00267BBF">
        <w:rPr>
          <w:rFonts w:ascii="Times New Roman" w:hAnsi="Times New Roman" w:cs="Times New Roman"/>
          <w:sz w:val="25"/>
          <w:szCs w:val="25"/>
        </w:rPr>
        <w:t>would</w:t>
      </w:r>
      <w:r w:rsidR="009A7412" w:rsidRPr="00E06855">
        <w:rPr>
          <w:rFonts w:ascii="Times New Roman" w:hAnsi="Times New Roman" w:cs="Times New Roman"/>
          <w:sz w:val="25"/>
          <w:szCs w:val="25"/>
        </w:rPr>
        <w:t xml:space="preserve"> inevitably come at </w:t>
      </w:r>
      <w:r w:rsidR="00EB474E" w:rsidRPr="00E06855">
        <w:rPr>
          <w:rFonts w:ascii="Times New Roman" w:hAnsi="Times New Roman" w:cs="Times New Roman"/>
          <w:sz w:val="25"/>
          <w:szCs w:val="25"/>
        </w:rPr>
        <w:t>the expense of other values</w:t>
      </w:r>
      <w:r w:rsidR="009A7412" w:rsidRPr="00E06855">
        <w:rPr>
          <w:rFonts w:ascii="Times New Roman" w:hAnsi="Times New Roman" w:cs="Times New Roman"/>
          <w:sz w:val="25"/>
          <w:szCs w:val="25"/>
        </w:rPr>
        <w:t xml:space="preserve">. The continuing attempt to </w:t>
      </w:r>
      <w:r w:rsidR="00320F97" w:rsidRPr="00E06855">
        <w:rPr>
          <w:rFonts w:ascii="Times New Roman" w:hAnsi="Times New Roman" w:cs="Times New Roman"/>
          <w:sz w:val="25"/>
          <w:szCs w:val="25"/>
        </w:rPr>
        <w:t>move</w:t>
      </w:r>
      <w:r w:rsidR="009A7412" w:rsidRPr="00E06855">
        <w:rPr>
          <w:rFonts w:ascii="Times New Roman" w:hAnsi="Times New Roman" w:cs="Times New Roman"/>
          <w:sz w:val="25"/>
          <w:szCs w:val="25"/>
        </w:rPr>
        <w:t xml:space="preserve"> the Union towards </w:t>
      </w:r>
      <w:r w:rsidR="002D46AB" w:rsidRPr="00E06855">
        <w:rPr>
          <w:rFonts w:ascii="Times New Roman" w:hAnsi="Times New Roman" w:cs="Times New Roman"/>
          <w:sz w:val="25"/>
          <w:szCs w:val="25"/>
        </w:rPr>
        <w:t>“</w:t>
      </w:r>
      <w:r w:rsidR="009A7412" w:rsidRPr="00E06855">
        <w:rPr>
          <w:rFonts w:ascii="Times New Roman" w:hAnsi="Times New Roman" w:cs="Times New Roman"/>
          <w:sz w:val="25"/>
          <w:szCs w:val="25"/>
        </w:rPr>
        <w:t>rationality</w:t>
      </w:r>
      <w:r w:rsidR="002D46AB" w:rsidRPr="00E06855">
        <w:rPr>
          <w:rFonts w:ascii="Times New Roman" w:hAnsi="Times New Roman" w:cs="Times New Roman"/>
          <w:sz w:val="25"/>
          <w:szCs w:val="25"/>
        </w:rPr>
        <w:t>”</w:t>
      </w:r>
      <w:r w:rsidR="009A7412" w:rsidRPr="00E06855">
        <w:rPr>
          <w:rFonts w:ascii="Times New Roman" w:hAnsi="Times New Roman" w:cs="Times New Roman"/>
          <w:sz w:val="25"/>
          <w:szCs w:val="25"/>
        </w:rPr>
        <w:t xml:space="preserve"> shifts the dial away from reforms to help the Union better reflect political</w:t>
      </w:r>
      <w:r w:rsidR="00CB6196" w:rsidRPr="00E06855">
        <w:rPr>
          <w:rFonts w:ascii="Times New Roman" w:hAnsi="Times New Roman" w:cs="Times New Roman"/>
          <w:sz w:val="25"/>
          <w:szCs w:val="25"/>
        </w:rPr>
        <w:t xml:space="preserve"> will</w:t>
      </w:r>
      <w:r w:rsidR="009A7412" w:rsidRPr="00E06855">
        <w:rPr>
          <w:rFonts w:ascii="Times New Roman" w:hAnsi="Times New Roman" w:cs="Times New Roman"/>
          <w:sz w:val="25"/>
          <w:szCs w:val="25"/>
        </w:rPr>
        <w:t>.</w:t>
      </w:r>
      <w:r w:rsidR="00C40B19" w:rsidRPr="00E06855">
        <w:rPr>
          <w:rStyle w:val="FootnoteReference"/>
          <w:rFonts w:ascii="Times New Roman" w:hAnsi="Times New Roman" w:cs="Times New Roman"/>
          <w:sz w:val="25"/>
          <w:szCs w:val="25"/>
        </w:rPr>
        <w:footnoteReference w:id="152"/>
      </w:r>
      <w:r w:rsidR="009A7412" w:rsidRPr="00E06855">
        <w:rPr>
          <w:rFonts w:ascii="Times New Roman" w:hAnsi="Times New Roman" w:cs="Times New Roman"/>
          <w:sz w:val="25"/>
          <w:szCs w:val="25"/>
        </w:rPr>
        <w:t xml:space="preserve"> Some may argue that, in the modern Union, this takes us away from more pressing questions about the ability of democratic forces to shape the direction that Europe takes.</w:t>
      </w:r>
      <w:r w:rsidR="009A7412" w:rsidRPr="00E06855">
        <w:rPr>
          <w:rStyle w:val="FootnoteReference"/>
          <w:rFonts w:ascii="Times New Roman" w:hAnsi="Times New Roman" w:cs="Times New Roman"/>
          <w:sz w:val="25"/>
          <w:szCs w:val="25"/>
        </w:rPr>
        <w:footnoteReference w:id="153"/>
      </w:r>
      <w:r w:rsidR="00D34268" w:rsidRPr="00E06855">
        <w:rPr>
          <w:rFonts w:ascii="Times New Roman" w:hAnsi="Times New Roman" w:cs="Times New Roman"/>
          <w:sz w:val="25"/>
          <w:szCs w:val="25"/>
        </w:rPr>
        <w:t xml:space="preserve"> </w:t>
      </w:r>
      <w:r w:rsidR="00652A03">
        <w:rPr>
          <w:rFonts w:ascii="Times New Roman" w:hAnsi="Times New Roman" w:cs="Times New Roman"/>
          <w:sz w:val="25"/>
          <w:szCs w:val="25"/>
        </w:rPr>
        <w:t>However, rationality is not the only vision for process improvement.</w:t>
      </w:r>
      <w:r w:rsidR="00561339">
        <w:rPr>
          <w:rFonts w:ascii="Times New Roman" w:hAnsi="Times New Roman" w:cs="Times New Roman"/>
          <w:sz w:val="25"/>
          <w:szCs w:val="25"/>
        </w:rPr>
        <w:t xml:space="preserve"> </w:t>
      </w:r>
      <w:r w:rsidR="009A7412" w:rsidRPr="00E06855">
        <w:rPr>
          <w:rFonts w:ascii="Times New Roman" w:hAnsi="Times New Roman" w:cs="Times New Roman"/>
          <w:sz w:val="25"/>
          <w:szCs w:val="25"/>
        </w:rPr>
        <w:t xml:space="preserve">There is also the potential for process review to </w:t>
      </w:r>
      <w:r w:rsidR="000405E6" w:rsidRPr="00E06855">
        <w:rPr>
          <w:rFonts w:ascii="Times New Roman" w:hAnsi="Times New Roman" w:cs="Times New Roman"/>
          <w:sz w:val="25"/>
          <w:szCs w:val="25"/>
        </w:rPr>
        <w:t>improve</w:t>
      </w:r>
      <w:r w:rsidR="009A7412" w:rsidRPr="00E06855">
        <w:rPr>
          <w:rFonts w:ascii="Times New Roman" w:hAnsi="Times New Roman" w:cs="Times New Roman"/>
          <w:sz w:val="25"/>
          <w:szCs w:val="25"/>
        </w:rPr>
        <w:t xml:space="preserve"> the</w:t>
      </w:r>
      <w:r w:rsidR="009A7412" w:rsidRPr="00E06855">
        <w:rPr>
          <w:rFonts w:ascii="Times New Roman" w:hAnsi="Times New Roman" w:cs="Times New Roman"/>
          <w:i/>
          <w:iCs/>
          <w:sz w:val="25"/>
          <w:szCs w:val="25"/>
        </w:rPr>
        <w:t xml:space="preserve"> democratic legitimacy </w:t>
      </w:r>
      <w:r w:rsidR="009A7412" w:rsidRPr="00E06855">
        <w:rPr>
          <w:rFonts w:ascii="Times New Roman" w:hAnsi="Times New Roman" w:cs="Times New Roman"/>
          <w:sz w:val="25"/>
          <w:szCs w:val="25"/>
        </w:rPr>
        <w:t xml:space="preserve">of </w:t>
      </w:r>
      <w:r w:rsidR="00561339">
        <w:rPr>
          <w:rFonts w:ascii="Times New Roman" w:hAnsi="Times New Roman" w:cs="Times New Roman"/>
          <w:sz w:val="25"/>
          <w:szCs w:val="25"/>
        </w:rPr>
        <w:t>decision-making</w:t>
      </w:r>
      <w:r w:rsidR="009A7412" w:rsidRPr="00E06855">
        <w:rPr>
          <w:rFonts w:ascii="Times New Roman" w:hAnsi="Times New Roman" w:cs="Times New Roman"/>
          <w:sz w:val="25"/>
          <w:szCs w:val="25"/>
        </w:rPr>
        <w:t xml:space="preserve"> processes. </w:t>
      </w:r>
    </w:p>
    <w:p w14:paraId="7A2C4EC3" w14:textId="77777777" w:rsidR="009A7412" w:rsidRPr="00E06855" w:rsidRDefault="009A7412" w:rsidP="005A175D">
      <w:pPr>
        <w:pStyle w:val="Heading2"/>
        <w:ind w:left="360"/>
        <w:rPr>
          <w:rFonts w:ascii="Times New Roman" w:hAnsi="Times New Roman" w:cs="Times New Roman"/>
        </w:rPr>
      </w:pPr>
      <w:r w:rsidRPr="00E06855">
        <w:rPr>
          <w:rFonts w:ascii="Times New Roman" w:hAnsi="Times New Roman" w:cs="Times New Roman"/>
        </w:rPr>
        <w:t>Process Review and the Democratisation of Future Legislative Processes</w:t>
      </w:r>
    </w:p>
    <w:p w14:paraId="10D67711" w14:textId="027E693D" w:rsidR="009A7412" w:rsidRPr="00E06855" w:rsidRDefault="00CB6196" w:rsidP="004C6B78">
      <w:pPr>
        <w:rPr>
          <w:rFonts w:ascii="Times New Roman" w:hAnsi="Times New Roman" w:cs="Times New Roman"/>
          <w:sz w:val="25"/>
          <w:szCs w:val="25"/>
        </w:rPr>
      </w:pPr>
      <w:r w:rsidRPr="00E06855">
        <w:rPr>
          <w:rFonts w:ascii="Times New Roman" w:hAnsi="Times New Roman" w:cs="Times New Roman"/>
          <w:sz w:val="25"/>
          <w:szCs w:val="25"/>
        </w:rPr>
        <w:t xml:space="preserve">In the </w:t>
      </w:r>
      <w:r w:rsidR="00B32BAC" w:rsidRPr="00E06855">
        <w:rPr>
          <w:rFonts w:ascii="Times New Roman" w:hAnsi="Times New Roman" w:cs="Times New Roman"/>
          <w:sz w:val="25"/>
          <w:szCs w:val="25"/>
        </w:rPr>
        <w:t xml:space="preserve">context of Member State measures in the internal market, </w:t>
      </w:r>
      <w:r w:rsidR="00323A84" w:rsidRPr="00E06855">
        <w:rPr>
          <w:rFonts w:ascii="Times New Roman" w:hAnsi="Times New Roman" w:cs="Times New Roman"/>
          <w:sz w:val="25"/>
          <w:szCs w:val="25"/>
        </w:rPr>
        <w:t xml:space="preserve">some </w:t>
      </w:r>
      <w:r w:rsidR="00B32BAC" w:rsidRPr="00E06855">
        <w:rPr>
          <w:rFonts w:ascii="Times New Roman" w:hAnsi="Times New Roman" w:cs="Times New Roman"/>
          <w:sz w:val="25"/>
          <w:szCs w:val="25"/>
        </w:rPr>
        <w:t xml:space="preserve">advocates argue that the </w:t>
      </w:r>
      <w:r w:rsidR="00740E21" w:rsidRPr="00E06855">
        <w:rPr>
          <w:rFonts w:ascii="Times New Roman" w:hAnsi="Times New Roman" w:cs="Times New Roman"/>
          <w:sz w:val="25"/>
          <w:szCs w:val="25"/>
        </w:rPr>
        <w:t>Court could defer where it has ensured that decision-making processes reach certain standards of democracy</w:t>
      </w:r>
      <w:r w:rsidR="009A7412" w:rsidRPr="00E06855">
        <w:rPr>
          <w:rFonts w:ascii="Times New Roman" w:hAnsi="Times New Roman" w:cs="Times New Roman"/>
          <w:sz w:val="25"/>
          <w:szCs w:val="25"/>
        </w:rPr>
        <w:t xml:space="preserve">. As discussed in </w:t>
      </w:r>
      <w:r w:rsidR="00C4697F">
        <w:rPr>
          <w:rFonts w:ascii="Times New Roman" w:hAnsi="Times New Roman" w:cs="Times New Roman"/>
          <w:sz w:val="25"/>
          <w:szCs w:val="25"/>
        </w:rPr>
        <w:t>the second section</w:t>
      </w:r>
      <w:r w:rsidR="009A7412" w:rsidRPr="00E06855">
        <w:rPr>
          <w:rFonts w:ascii="Times New Roman" w:hAnsi="Times New Roman" w:cs="Times New Roman"/>
          <w:sz w:val="25"/>
          <w:szCs w:val="25"/>
        </w:rPr>
        <w:t>, Harbo and Gerards advocate for review to ensure that the democratic process is genuine and of sufficient quality</w:t>
      </w:r>
      <w:r w:rsidR="0070366B">
        <w:rPr>
          <w:rFonts w:ascii="Times New Roman" w:hAnsi="Times New Roman" w:cs="Times New Roman"/>
          <w:sz w:val="25"/>
          <w:szCs w:val="25"/>
        </w:rPr>
        <w:t>, including examining debates</w:t>
      </w:r>
      <w:r w:rsidR="009A7412" w:rsidRPr="00E06855">
        <w:rPr>
          <w:rFonts w:ascii="Times New Roman" w:hAnsi="Times New Roman" w:cs="Times New Roman"/>
          <w:sz w:val="25"/>
          <w:szCs w:val="25"/>
        </w:rPr>
        <w:t xml:space="preserve"> </w:t>
      </w:r>
      <w:r w:rsidR="009569A4">
        <w:rPr>
          <w:rFonts w:ascii="Times New Roman" w:hAnsi="Times New Roman" w:cs="Times New Roman"/>
          <w:sz w:val="25"/>
          <w:szCs w:val="25"/>
        </w:rPr>
        <w:t xml:space="preserve">and </w:t>
      </w:r>
      <w:r w:rsidR="009A7412" w:rsidRPr="00E06855">
        <w:rPr>
          <w:rFonts w:ascii="Times New Roman" w:hAnsi="Times New Roman" w:cs="Times New Roman"/>
          <w:sz w:val="25"/>
          <w:szCs w:val="25"/>
        </w:rPr>
        <w:t>ensuring participation by representatives. In this way, the Court can defer to Member States, but only where there is a democratically legitimate process.</w:t>
      </w:r>
      <w:r w:rsidR="002D500C" w:rsidRPr="00E06855">
        <w:rPr>
          <w:rStyle w:val="FootnoteReference"/>
          <w:rFonts w:ascii="Times New Roman" w:hAnsi="Times New Roman" w:cs="Times New Roman"/>
          <w:sz w:val="25"/>
          <w:szCs w:val="25"/>
        </w:rPr>
        <w:footnoteReference w:id="154"/>
      </w:r>
    </w:p>
    <w:p w14:paraId="0EA29421" w14:textId="3BF5AE28" w:rsidR="009A7412" w:rsidRPr="00E06855" w:rsidRDefault="009A7412" w:rsidP="00892BF5">
      <w:pPr>
        <w:rPr>
          <w:rFonts w:ascii="Times New Roman" w:hAnsi="Times New Roman" w:cs="Times New Roman"/>
          <w:sz w:val="25"/>
          <w:szCs w:val="25"/>
        </w:rPr>
      </w:pPr>
      <w:r w:rsidRPr="00E06855">
        <w:rPr>
          <w:rFonts w:ascii="Times New Roman" w:hAnsi="Times New Roman" w:cs="Times New Roman"/>
          <w:sz w:val="25"/>
          <w:szCs w:val="25"/>
        </w:rPr>
        <w:t>We can critique this idea on a number of grounds</w:t>
      </w:r>
      <w:r w:rsidR="00A532B5" w:rsidRPr="00E06855">
        <w:rPr>
          <w:rFonts w:ascii="Times New Roman" w:hAnsi="Times New Roman" w:cs="Times New Roman"/>
          <w:sz w:val="25"/>
          <w:szCs w:val="25"/>
        </w:rPr>
        <w:t xml:space="preserve">; </w:t>
      </w:r>
      <w:proofErr w:type="spellStart"/>
      <w:r w:rsidR="00A532B5" w:rsidRPr="00E06855">
        <w:rPr>
          <w:rFonts w:ascii="Times New Roman" w:hAnsi="Times New Roman" w:cs="Times New Roman"/>
          <w:sz w:val="25"/>
          <w:szCs w:val="25"/>
        </w:rPr>
        <w:t>i</w:t>
      </w:r>
      <w:proofErr w:type="spellEnd"/>
      <w:r w:rsidR="00A532B5" w:rsidRPr="00E06855">
        <w:rPr>
          <w:rFonts w:ascii="Times New Roman" w:hAnsi="Times New Roman" w:cs="Times New Roman"/>
          <w:sz w:val="25"/>
          <w:szCs w:val="25"/>
        </w:rPr>
        <w:t xml:space="preserve">) </w:t>
      </w:r>
      <w:r w:rsidR="002651AC" w:rsidRPr="00E06855">
        <w:rPr>
          <w:rFonts w:ascii="Times New Roman" w:hAnsi="Times New Roman" w:cs="Times New Roman"/>
          <w:sz w:val="25"/>
          <w:szCs w:val="25"/>
        </w:rPr>
        <w:t>it frames</w:t>
      </w:r>
      <w:r w:rsidR="00A532B5" w:rsidRPr="00E06855">
        <w:rPr>
          <w:rFonts w:ascii="Times New Roman" w:hAnsi="Times New Roman" w:cs="Times New Roman"/>
          <w:sz w:val="25"/>
          <w:szCs w:val="25"/>
        </w:rPr>
        <w:t xml:space="preserve"> the judicial task as one of protection of democracy mask</w:t>
      </w:r>
      <w:r w:rsidR="00DE3AC6" w:rsidRPr="00E06855">
        <w:rPr>
          <w:rFonts w:ascii="Times New Roman" w:hAnsi="Times New Roman" w:cs="Times New Roman"/>
          <w:sz w:val="25"/>
          <w:szCs w:val="25"/>
        </w:rPr>
        <w:t>ing</w:t>
      </w:r>
      <w:r w:rsidR="00A532B5" w:rsidRPr="00E06855">
        <w:rPr>
          <w:rFonts w:ascii="Times New Roman" w:hAnsi="Times New Roman" w:cs="Times New Roman"/>
          <w:sz w:val="25"/>
          <w:szCs w:val="25"/>
        </w:rPr>
        <w:t xml:space="preserve"> the</w:t>
      </w:r>
      <w:r w:rsidR="00AA4C0A" w:rsidRPr="00E06855">
        <w:rPr>
          <w:rFonts w:ascii="Times New Roman" w:hAnsi="Times New Roman" w:cs="Times New Roman"/>
          <w:sz w:val="25"/>
          <w:szCs w:val="25"/>
        </w:rPr>
        <w:t xml:space="preserve"> fact that </w:t>
      </w:r>
      <w:r w:rsidR="006F04A2" w:rsidRPr="00E06855">
        <w:rPr>
          <w:rFonts w:ascii="Times New Roman" w:hAnsi="Times New Roman" w:cs="Times New Roman"/>
          <w:sz w:val="25"/>
          <w:szCs w:val="25"/>
        </w:rPr>
        <w:t>it</w:t>
      </w:r>
      <w:r w:rsidR="00D47298" w:rsidRPr="00E06855">
        <w:rPr>
          <w:rFonts w:ascii="Times New Roman" w:hAnsi="Times New Roman" w:cs="Times New Roman"/>
          <w:sz w:val="25"/>
          <w:szCs w:val="25"/>
        </w:rPr>
        <w:t xml:space="preserve"> </w:t>
      </w:r>
      <w:r w:rsidR="00AA4C0A" w:rsidRPr="00E06855">
        <w:rPr>
          <w:rFonts w:ascii="Times New Roman" w:hAnsi="Times New Roman" w:cs="Times New Roman"/>
          <w:sz w:val="25"/>
          <w:szCs w:val="25"/>
        </w:rPr>
        <w:t>is counter-majoritarian</w:t>
      </w:r>
      <w:r w:rsidR="00BB190F" w:rsidRPr="00E06855">
        <w:rPr>
          <w:rFonts w:ascii="Times New Roman" w:hAnsi="Times New Roman" w:cs="Times New Roman"/>
          <w:sz w:val="25"/>
          <w:szCs w:val="25"/>
        </w:rPr>
        <w:t xml:space="preserve">, </w:t>
      </w:r>
      <w:r w:rsidRPr="00E06855">
        <w:rPr>
          <w:rFonts w:ascii="Times New Roman" w:hAnsi="Times New Roman" w:cs="Times New Roman"/>
          <w:sz w:val="25"/>
          <w:szCs w:val="25"/>
        </w:rPr>
        <w:t xml:space="preserve">ii) </w:t>
      </w:r>
      <w:r w:rsidR="000E4C80" w:rsidRPr="00E06855">
        <w:rPr>
          <w:rFonts w:ascii="Times New Roman" w:hAnsi="Times New Roman" w:cs="Times New Roman"/>
          <w:sz w:val="25"/>
          <w:szCs w:val="25"/>
        </w:rPr>
        <w:t>c</w:t>
      </w:r>
      <w:r w:rsidRPr="00E06855">
        <w:rPr>
          <w:rFonts w:ascii="Times New Roman" w:hAnsi="Times New Roman" w:cs="Times New Roman"/>
          <w:sz w:val="25"/>
          <w:szCs w:val="25"/>
        </w:rPr>
        <w:t>ourts may have questionable capacity</w:t>
      </w:r>
      <w:r w:rsidR="00384DA9" w:rsidRPr="00E06855">
        <w:rPr>
          <w:rFonts w:ascii="Times New Roman" w:hAnsi="Times New Roman" w:cs="Times New Roman"/>
          <w:sz w:val="25"/>
          <w:szCs w:val="25"/>
        </w:rPr>
        <w:t xml:space="preserve"> and expertise</w:t>
      </w:r>
      <w:r w:rsidRPr="00E06855">
        <w:rPr>
          <w:rFonts w:ascii="Times New Roman" w:hAnsi="Times New Roman" w:cs="Times New Roman"/>
          <w:sz w:val="25"/>
          <w:szCs w:val="25"/>
        </w:rPr>
        <w:t xml:space="preserve"> in </w:t>
      </w:r>
      <w:r w:rsidR="00D61D0D" w:rsidRPr="00E06855">
        <w:rPr>
          <w:rFonts w:ascii="Times New Roman" w:hAnsi="Times New Roman" w:cs="Times New Roman"/>
          <w:sz w:val="25"/>
          <w:szCs w:val="25"/>
        </w:rPr>
        <w:t>this area</w:t>
      </w:r>
      <w:r w:rsidRPr="00E06855">
        <w:rPr>
          <w:rFonts w:ascii="Times New Roman" w:hAnsi="Times New Roman" w:cs="Times New Roman"/>
          <w:sz w:val="25"/>
          <w:szCs w:val="25"/>
        </w:rPr>
        <w:t xml:space="preserve">, iii) </w:t>
      </w:r>
      <w:r w:rsidR="00E41CE9" w:rsidRPr="00E06855">
        <w:rPr>
          <w:rFonts w:ascii="Times New Roman" w:hAnsi="Times New Roman" w:cs="Times New Roman"/>
          <w:sz w:val="25"/>
          <w:szCs w:val="25"/>
        </w:rPr>
        <w:t>t</w:t>
      </w:r>
      <w:r w:rsidRPr="00E06855">
        <w:rPr>
          <w:rFonts w:ascii="Times New Roman" w:hAnsi="Times New Roman" w:cs="Times New Roman"/>
          <w:sz w:val="25"/>
          <w:szCs w:val="25"/>
        </w:rPr>
        <w:t xml:space="preserve">he Court of Justice may have limited desire to protect ideals of democracy, and iv) </w:t>
      </w:r>
      <w:r w:rsidR="00E41CE9" w:rsidRPr="00E06855">
        <w:rPr>
          <w:rFonts w:ascii="Times New Roman" w:hAnsi="Times New Roman" w:cs="Times New Roman"/>
          <w:sz w:val="25"/>
          <w:szCs w:val="25"/>
        </w:rPr>
        <w:t xml:space="preserve">it may be inappropriate for the Court to </w:t>
      </w:r>
      <w:r w:rsidR="00EA0766" w:rsidRPr="00E06855">
        <w:rPr>
          <w:rFonts w:ascii="Times New Roman" w:hAnsi="Times New Roman" w:cs="Times New Roman"/>
          <w:sz w:val="25"/>
          <w:szCs w:val="25"/>
        </w:rPr>
        <w:t>intervene in domestic democratic processes.</w:t>
      </w:r>
    </w:p>
    <w:p w14:paraId="5652FEFD" w14:textId="3941C95D" w:rsidR="005A7856" w:rsidRPr="00E06855" w:rsidRDefault="009A7412" w:rsidP="007A0E93">
      <w:pPr>
        <w:rPr>
          <w:rFonts w:ascii="Times New Roman" w:hAnsi="Times New Roman" w:cs="Times New Roman"/>
          <w:sz w:val="25"/>
          <w:szCs w:val="25"/>
        </w:rPr>
      </w:pPr>
      <w:r w:rsidRPr="00E06855">
        <w:rPr>
          <w:rFonts w:ascii="Times New Roman" w:hAnsi="Times New Roman" w:cs="Times New Roman"/>
          <w:sz w:val="25"/>
          <w:szCs w:val="25"/>
        </w:rPr>
        <w:lastRenderedPageBreak/>
        <w:t xml:space="preserve">The first point is one made in relation to Ely’s theory. Presenting </w:t>
      </w:r>
      <w:r w:rsidR="008B7282" w:rsidRPr="00E06855">
        <w:rPr>
          <w:rFonts w:ascii="Times New Roman" w:hAnsi="Times New Roman" w:cs="Times New Roman"/>
          <w:sz w:val="25"/>
          <w:szCs w:val="25"/>
        </w:rPr>
        <w:t>c</w:t>
      </w:r>
      <w:r w:rsidRPr="00E06855">
        <w:rPr>
          <w:rFonts w:ascii="Times New Roman" w:hAnsi="Times New Roman" w:cs="Times New Roman"/>
          <w:sz w:val="25"/>
          <w:szCs w:val="25"/>
        </w:rPr>
        <w:t xml:space="preserve">ourts with the idea that they are merely servants of democracy when they strike down the decisions of the legislature may encourage </w:t>
      </w:r>
      <w:r w:rsidR="00926E8F" w:rsidRPr="00E06855">
        <w:rPr>
          <w:rFonts w:ascii="Times New Roman" w:hAnsi="Times New Roman" w:cs="Times New Roman"/>
          <w:sz w:val="25"/>
          <w:szCs w:val="25"/>
        </w:rPr>
        <w:t>less restraint</w:t>
      </w:r>
      <w:r w:rsidRPr="00E06855">
        <w:rPr>
          <w:rFonts w:ascii="Times New Roman" w:hAnsi="Times New Roman" w:cs="Times New Roman"/>
          <w:sz w:val="25"/>
          <w:szCs w:val="25"/>
        </w:rPr>
        <w:t>. Instead of being faced with the “counter-majoritarian difficulty”,</w:t>
      </w:r>
      <w:r w:rsidRPr="00E06855">
        <w:rPr>
          <w:rStyle w:val="FootnoteReference"/>
          <w:rFonts w:ascii="Times New Roman" w:hAnsi="Times New Roman" w:cs="Times New Roman"/>
          <w:sz w:val="25"/>
          <w:szCs w:val="25"/>
        </w:rPr>
        <w:footnoteReference w:id="155"/>
      </w:r>
      <w:r w:rsidRPr="00E06855">
        <w:rPr>
          <w:rFonts w:ascii="Times New Roman" w:hAnsi="Times New Roman" w:cs="Times New Roman"/>
          <w:sz w:val="25"/>
          <w:szCs w:val="25"/>
        </w:rPr>
        <w:t xml:space="preserve"> the Court </w:t>
      </w:r>
      <w:r w:rsidR="00B46E71" w:rsidRPr="00E06855">
        <w:rPr>
          <w:rFonts w:ascii="Times New Roman" w:hAnsi="Times New Roman" w:cs="Times New Roman"/>
          <w:sz w:val="25"/>
          <w:szCs w:val="25"/>
        </w:rPr>
        <w:t>may view its role as on</w:t>
      </w:r>
      <w:r w:rsidR="00CE775B" w:rsidRPr="00E06855">
        <w:rPr>
          <w:rFonts w:ascii="Times New Roman" w:hAnsi="Times New Roman" w:cs="Times New Roman"/>
          <w:sz w:val="25"/>
          <w:szCs w:val="25"/>
        </w:rPr>
        <w:t>e</w:t>
      </w:r>
      <w:r w:rsidR="00B46E71" w:rsidRPr="00E06855">
        <w:rPr>
          <w:rFonts w:ascii="Times New Roman" w:hAnsi="Times New Roman" w:cs="Times New Roman"/>
          <w:sz w:val="25"/>
          <w:szCs w:val="25"/>
        </w:rPr>
        <w:t xml:space="preserve"> of</w:t>
      </w:r>
      <w:r w:rsidRPr="00E06855">
        <w:rPr>
          <w:rFonts w:ascii="Times New Roman" w:hAnsi="Times New Roman" w:cs="Times New Roman"/>
          <w:sz w:val="25"/>
          <w:szCs w:val="25"/>
        </w:rPr>
        <w:t xml:space="preserve"> protecting representative democracy. As Sch</w:t>
      </w:r>
      <w:r w:rsidR="004F16F6" w:rsidRPr="00E06855">
        <w:rPr>
          <w:rFonts w:ascii="Times New Roman" w:hAnsi="Times New Roman" w:cs="Times New Roman"/>
          <w:sz w:val="25"/>
          <w:szCs w:val="25"/>
        </w:rPr>
        <w:t>ü</w:t>
      </w:r>
      <w:r w:rsidRPr="00E06855">
        <w:rPr>
          <w:rFonts w:ascii="Times New Roman" w:hAnsi="Times New Roman" w:cs="Times New Roman"/>
          <w:sz w:val="25"/>
          <w:szCs w:val="25"/>
        </w:rPr>
        <w:t xml:space="preserve">tze </w:t>
      </w:r>
      <w:r w:rsidR="00B51C56" w:rsidRPr="00E06855">
        <w:rPr>
          <w:rFonts w:ascii="Times New Roman" w:hAnsi="Times New Roman" w:cs="Times New Roman"/>
          <w:sz w:val="25"/>
          <w:szCs w:val="25"/>
        </w:rPr>
        <w:t>has argued, framing Court of Justice review as serving democracy comes with</w:t>
      </w:r>
      <w:r w:rsidRPr="00E06855">
        <w:rPr>
          <w:rFonts w:ascii="Times New Roman" w:hAnsi="Times New Roman" w:cs="Times New Roman"/>
          <w:sz w:val="25"/>
          <w:szCs w:val="25"/>
        </w:rPr>
        <w:t xml:space="preserve"> a “serious danger of camouflaging counter-majoritarian judicial decisions as exercises in democratic governance”.</w:t>
      </w:r>
      <w:r w:rsidR="008A77BD" w:rsidRPr="00E06855">
        <w:rPr>
          <w:rStyle w:val="FootnoteReference"/>
          <w:rFonts w:ascii="Times New Roman" w:hAnsi="Times New Roman" w:cs="Times New Roman"/>
          <w:sz w:val="25"/>
          <w:szCs w:val="25"/>
        </w:rPr>
        <w:footnoteReference w:id="156"/>
      </w:r>
    </w:p>
    <w:p w14:paraId="0E197E5F" w14:textId="07EB9EF6" w:rsidR="009A7412" w:rsidRPr="00E06855" w:rsidRDefault="00DF71A8" w:rsidP="008A3A20">
      <w:pPr>
        <w:rPr>
          <w:rFonts w:ascii="Times New Roman" w:hAnsi="Times New Roman" w:cs="Times New Roman"/>
          <w:sz w:val="25"/>
          <w:szCs w:val="25"/>
        </w:rPr>
      </w:pPr>
      <w:r w:rsidRPr="00E06855">
        <w:rPr>
          <w:rFonts w:ascii="Times New Roman" w:hAnsi="Times New Roman" w:cs="Times New Roman"/>
          <w:sz w:val="25"/>
          <w:szCs w:val="25"/>
        </w:rPr>
        <w:t xml:space="preserve">This has particularly troubling implications for the Member State context, as it suggests that this may </w:t>
      </w:r>
      <w:r w:rsidR="00D21F5F" w:rsidRPr="00E06855">
        <w:rPr>
          <w:rFonts w:ascii="Times New Roman" w:hAnsi="Times New Roman" w:cs="Times New Roman"/>
          <w:sz w:val="25"/>
          <w:szCs w:val="25"/>
        </w:rPr>
        <w:t>mask the intensity of the Court’s standard of review</w:t>
      </w:r>
      <w:r w:rsidRPr="00E06855">
        <w:rPr>
          <w:rFonts w:ascii="Times New Roman" w:hAnsi="Times New Roman" w:cs="Times New Roman"/>
          <w:sz w:val="25"/>
          <w:szCs w:val="25"/>
        </w:rPr>
        <w:t xml:space="preserve">. </w:t>
      </w:r>
      <w:r w:rsidR="005A7856" w:rsidRPr="00E06855">
        <w:rPr>
          <w:rFonts w:ascii="Times New Roman" w:hAnsi="Times New Roman" w:cs="Times New Roman"/>
          <w:sz w:val="25"/>
          <w:szCs w:val="25"/>
        </w:rPr>
        <w:t>There is the potential for procedural language to form part of the Court’s tactical use of reasoning. With the conflation of deferential review with procedural review, it may be that a focus on procedure is seen as more appropriate for the Court. In this sense, the Court may utilise procedure</w:t>
      </w:r>
      <w:r w:rsidR="00C4470D" w:rsidRPr="00E06855">
        <w:rPr>
          <w:rFonts w:ascii="Times New Roman" w:hAnsi="Times New Roman" w:cs="Times New Roman"/>
          <w:sz w:val="25"/>
          <w:szCs w:val="25"/>
        </w:rPr>
        <w:t xml:space="preserve"> as</w:t>
      </w:r>
      <w:r w:rsidR="005A7856" w:rsidRPr="00E06855">
        <w:rPr>
          <w:rFonts w:ascii="Times New Roman" w:hAnsi="Times New Roman" w:cs="Times New Roman"/>
          <w:sz w:val="25"/>
          <w:szCs w:val="25"/>
        </w:rPr>
        <w:t xml:space="preserve"> </w:t>
      </w:r>
      <w:r w:rsidR="005A7856" w:rsidRPr="00E06855">
        <w:rPr>
          <w:rFonts w:ascii="Times New Roman" w:eastAsia="Calibri" w:hAnsi="Times New Roman" w:cs="Times New Roman"/>
          <w:sz w:val="25"/>
          <w:szCs w:val="25"/>
        </w:rPr>
        <w:t>a “veneer” to make a finding of illegality seem more acceptable</w:t>
      </w:r>
      <w:r w:rsidRPr="00E06855">
        <w:rPr>
          <w:rFonts w:ascii="Times New Roman" w:eastAsia="Calibri" w:hAnsi="Times New Roman" w:cs="Times New Roman"/>
          <w:sz w:val="25"/>
          <w:szCs w:val="25"/>
        </w:rPr>
        <w:t>.</w:t>
      </w:r>
      <w:r w:rsidR="009A7412" w:rsidRPr="00E06855">
        <w:rPr>
          <w:rStyle w:val="FootnoteReference"/>
          <w:rFonts w:ascii="Times New Roman" w:hAnsi="Times New Roman" w:cs="Times New Roman"/>
          <w:sz w:val="25"/>
          <w:szCs w:val="25"/>
        </w:rPr>
        <w:footnoteReference w:id="157"/>
      </w:r>
    </w:p>
    <w:p w14:paraId="0311C7D3" w14:textId="62E43579" w:rsidR="009A7412" w:rsidRPr="00E06855" w:rsidRDefault="009A7412" w:rsidP="008C7A7C">
      <w:pPr>
        <w:rPr>
          <w:rFonts w:ascii="Times New Roman" w:hAnsi="Times New Roman" w:cs="Times New Roman"/>
          <w:sz w:val="25"/>
          <w:szCs w:val="25"/>
        </w:rPr>
      </w:pPr>
      <w:r w:rsidRPr="00E06855">
        <w:rPr>
          <w:rFonts w:ascii="Times New Roman" w:hAnsi="Times New Roman" w:cs="Times New Roman"/>
          <w:sz w:val="25"/>
          <w:szCs w:val="25"/>
        </w:rPr>
        <w:t>Second, we can question the capacity and expertise of judges in this area. Judges are institutionally limited in terms of their investigative resources.</w:t>
      </w:r>
      <w:r w:rsidRPr="00E06855">
        <w:rPr>
          <w:rStyle w:val="FootnoteReference"/>
          <w:rFonts w:ascii="Times New Roman" w:hAnsi="Times New Roman" w:cs="Times New Roman"/>
          <w:sz w:val="25"/>
          <w:szCs w:val="25"/>
        </w:rPr>
        <w:footnoteReference w:id="158"/>
      </w:r>
      <w:r w:rsidRPr="00E06855">
        <w:rPr>
          <w:rFonts w:ascii="Times New Roman" w:hAnsi="Times New Roman" w:cs="Times New Roman"/>
          <w:sz w:val="25"/>
          <w:szCs w:val="25"/>
        </w:rPr>
        <w:t xml:space="preserve"> In the internal market context, the Court may rely on the submission of referring courts or relevant parties. There is thus a lack of clarity over </w:t>
      </w:r>
      <w:r w:rsidR="00B04DCE" w:rsidRPr="00E06855">
        <w:rPr>
          <w:rFonts w:ascii="Times New Roman" w:hAnsi="Times New Roman" w:cs="Times New Roman"/>
          <w:sz w:val="25"/>
          <w:szCs w:val="25"/>
        </w:rPr>
        <w:t>the capaci</w:t>
      </w:r>
      <w:r w:rsidR="00FE51F9" w:rsidRPr="00E06855">
        <w:rPr>
          <w:rFonts w:ascii="Times New Roman" w:hAnsi="Times New Roman" w:cs="Times New Roman"/>
          <w:sz w:val="25"/>
          <w:szCs w:val="25"/>
        </w:rPr>
        <w:t>t</w:t>
      </w:r>
      <w:r w:rsidR="00B04DCE" w:rsidRPr="00E06855">
        <w:rPr>
          <w:rFonts w:ascii="Times New Roman" w:hAnsi="Times New Roman" w:cs="Times New Roman"/>
          <w:sz w:val="25"/>
          <w:szCs w:val="25"/>
        </w:rPr>
        <w:t xml:space="preserve">y of </w:t>
      </w:r>
      <w:r w:rsidR="007B52D7" w:rsidRPr="00E06855">
        <w:rPr>
          <w:rFonts w:ascii="Times New Roman" w:hAnsi="Times New Roman" w:cs="Times New Roman"/>
          <w:sz w:val="25"/>
          <w:szCs w:val="25"/>
        </w:rPr>
        <w:t xml:space="preserve">the </w:t>
      </w:r>
      <w:r w:rsidRPr="00E06855">
        <w:rPr>
          <w:rFonts w:ascii="Times New Roman" w:hAnsi="Times New Roman" w:cs="Times New Roman"/>
          <w:sz w:val="25"/>
          <w:szCs w:val="25"/>
        </w:rPr>
        <w:t xml:space="preserve">Court to determine whether the legislative process in question was sufficiently democratic. Indeed, this is not just a question of capacity, but also expertise. Even presuming the Court had </w:t>
      </w:r>
      <w:r w:rsidR="004565FE" w:rsidRPr="00E06855">
        <w:rPr>
          <w:rFonts w:ascii="Times New Roman" w:hAnsi="Times New Roman" w:cs="Times New Roman"/>
          <w:sz w:val="25"/>
          <w:szCs w:val="25"/>
        </w:rPr>
        <w:t>access to all relevant documents and information</w:t>
      </w:r>
      <w:r w:rsidRPr="00E06855">
        <w:rPr>
          <w:rFonts w:ascii="Times New Roman" w:hAnsi="Times New Roman" w:cs="Times New Roman"/>
          <w:sz w:val="25"/>
          <w:szCs w:val="25"/>
        </w:rPr>
        <w:t xml:space="preserve">, there is still the difficult question of </w:t>
      </w:r>
      <w:r w:rsidRPr="00E06855">
        <w:rPr>
          <w:rFonts w:ascii="Times New Roman" w:hAnsi="Times New Roman" w:cs="Times New Roman"/>
          <w:i/>
          <w:iCs/>
          <w:sz w:val="25"/>
          <w:szCs w:val="25"/>
        </w:rPr>
        <w:t xml:space="preserve">understanding </w:t>
      </w:r>
      <w:r w:rsidR="001B0891" w:rsidRPr="00E06855">
        <w:rPr>
          <w:rFonts w:ascii="Times New Roman" w:hAnsi="Times New Roman" w:cs="Times New Roman"/>
          <w:sz w:val="25"/>
          <w:szCs w:val="25"/>
        </w:rPr>
        <w:t>how</w:t>
      </w:r>
      <w:r w:rsidRPr="00E06855">
        <w:rPr>
          <w:rFonts w:ascii="Times New Roman" w:hAnsi="Times New Roman" w:cs="Times New Roman"/>
          <w:sz w:val="25"/>
          <w:szCs w:val="25"/>
        </w:rPr>
        <w:t xml:space="preserve"> the process works</w:t>
      </w:r>
      <w:r w:rsidR="003F5436" w:rsidRPr="00E06855">
        <w:rPr>
          <w:rFonts w:ascii="Times New Roman" w:hAnsi="Times New Roman" w:cs="Times New Roman"/>
          <w:sz w:val="25"/>
          <w:szCs w:val="25"/>
        </w:rPr>
        <w:t xml:space="preserve"> in practice</w:t>
      </w:r>
      <w:r w:rsidRPr="00E06855">
        <w:rPr>
          <w:rFonts w:ascii="Times New Roman" w:hAnsi="Times New Roman" w:cs="Times New Roman"/>
          <w:sz w:val="25"/>
          <w:szCs w:val="25"/>
        </w:rPr>
        <w:t>. As Posner notes, judges have expertise in some aspects of procedure, at the “level of trials and hearings”, but we can doubt the extent to which judges have knowledge of the “design of political institutions”.</w:t>
      </w:r>
      <w:r w:rsidRPr="00E06855">
        <w:rPr>
          <w:rStyle w:val="FootnoteReference"/>
          <w:rFonts w:ascii="Times New Roman" w:hAnsi="Times New Roman" w:cs="Times New Roman"/>
          <w:sz w:val="25"/>
          <w:szCs w:val="25"/>
        </w:rPr>
        <w:footnoteReference w:id="159"/>
      </w:r>
      <w:r w:rsidRPr="00E06855">
        <w:rPr>
          <w:rFonts w:ascii="Times New Roman" w:hAnsi="Times New Roman" w:cs="Times New Roman"/>
          <w:sz w:val="25"/>
          <w:szCs w:val="25"/>
        </w:rPr>
        <w:t xml:space="preserve"> </w:t>
      </w:r>
      <w:r w:rsidR="008366FA" w:rsidRPr="00E06855">
        <w:rPr>
          <w:rFonts w:ascii="Times New Roman" w:hAnsi="Times New Roman" w:cs="Times New Roman"/>
          <w:sz w:val="25"/>
          <w:szCs w:val="25"/>
        </w:rPr>
        <w:t xml:space="preserve">Without this knowledge, for the Court </w:t>
      </w:r>
      <w:r w:rsidR="00713543" w:rsidRPr="00E06855">
        <w:rPr>
          <w:rFonts w:ascii="Times New Roman" w:hAnsi="Times New Roman" w:cs="Times New Roman"/>
          <w:sz w:val="25"/>
          <w:szCs w:val="25"/>
        </w:rPr>
        <w:t>to judge the</w:t>
      </w:r>
      <w:r w:rsidR="009B5A7A" w:rsidRPr="00E06855">
        <w:rPr>
          <w:rFonts w:ascii="Times New Roman" w:hAnsi="Times New Roman" w:cs="Times New Roman"/>
          <w:sz w:val="25"/>
          <w:szCs w:val="25"/>
        </w:rPr>
        <w:t xml:space="preserve"> sufficiency and quality</w:t>
      </w:r>
      <w:r w:rsidR="00325DA1" w:rsidRPr="00E06855">
        <w:rPr>
          <w:rFonts w:ascii="Times New Roman" w:hAnsi="Times New Roman" w:cs="Times New Roman"/>
          <w:sz w:val="25"/>
          <w:szCs w:val="25"/>
        </w:rPr>
        <w:t xml:space="preserve"> of the</w:t>
      </w:r>
      <w:r w:rsidR="00436192" w:rsidRPr="00E06855">
        <w:rPr>
          <w:rFonts w:ascii="Times New Roman" w:hAnsi="Times New Roman" w:cs="Times New Roman"/>
          <w:sz w:val="25"/>
          <w:szCs w:val="25"/>
        </w:rPr>
        <w:t xml:space="preserve"> democratic process</w:t>
      </w:r>
      <w:r w:rsidR="00DA158E" w:rsidRPr="00E06855">
        <w:rPr>
          <w:rFonts w:ascii="Times New Roman" w:hAnsi="Times New Roman" w:cs="Times New Roman"/>
          <w:sz w:val="25"/>
          <w:szCs w:val="25"/>
        </w:rPr>
        <w:t xml:space="preserve"> seems to pose certain risk</w:t>
      </w:r>
      <w:r w:rsidR="00ED3838" w:rsidRPr="00E06855">
        <w:rPr>
          <w:rFonts w:ascii="Times New Roman" w:hAnsi="Times New Roman" w:cs="Times New Roman"/>
          <w:sz w:val="25"/>
          <w:szCs w:val="25"/>
        </w:rPr>
        <w:t>s.</w:t>
      </w:r>
      <w:r w:rsidR="008C7A7C" w:rsidRPr="00E06855">
        <w:rPr>
          <w:rFonts w:ascii="Times New Roman" w:hAnsi="Times New Roman" w:cs="Times New Roman"/>
          <w:sz w:val="25"/>
          <w:szCs w:val="25"/>
        </w:rPr>
        <w:t xml:space="preserve"> This </w:t>
      </w:r>
      <w:r w:rsidR="00C54115" w:rsidRPr="00E06855">
        <w:rPr>
          <w:rFonts w:ascii="Times New Roman" w:hAnsi="Times New Roman" w:cs="Times New Roman"/>
          <w:sz w:val="25"/>
          <w:szCs w:val="25"/>
        </w:rPr>
        <w:t>is exacerbated by the fact that</w:t>
      </w:r>
      <w:r w:rsidRPr="00E06855">
        <w:rPr>
          <w:rFonts w:ascii="Times New Roman" w:hAnsi="Times New Roman" w:cs="Times New Roman"/>
          <w:sz w:val="25"/>
          <w:szCs w:val="25"/>
        </w:rPr>
        <w:t xml:space="preserve"> ideas of deliberation are often based on an idealised account of what the legislatures ought to </w:t>
      </w:r>
      <w:r w:rsidR="000C2581" w:rsidRPr="00E06855">
        <w:rPr>
          <w:rFonts w:ascii="Times New Roman" w:hAnsi="Times New Roman" w:cs="Times New Roman"/>
          <w:sz w:val="25"/>
          <w:szCs w:val="25"/>
        </w:rPr>
        <w:t>do and</w:t>
      </w:r>
      <w:r w:rsidRPr="00E06855">
        <w:rPr>
          <w:rFonts w:ascii="Times New Roman" w:hAnsi="Times New Roman" w:cs="Times New Roman"/>
          <w:sz w:val="25"/>
          <w:szCs w:val="25"/>
        </w:rPr>
        <w:t xml:space="preserve"> may not reflect its work in reality.</w:t>
      </w:r>
      <w:r w:rsidRPr="00E06855">
        <w:rPr>
          <w:rStyle w:val="FootnoteReference"/>
          <w:rFonts w:ascii="Times New Roman" w:hAnsi="Times New Roman" w:cs="Times New Roman"/>
          <w:sz w:val="25"/>
          <w:szCs w:val="25"/>
        </w:rPr>
        <w:footnoteReference w:id="160"/>
      </w:r>
      <w:r w:rsidRPr="00E06855">
        <w:rPr>
          <w:rFonts w:ascii="Times New Roman" w:hAnsi="Times New Roman" w:cs="Times New Roman"/>
          <w:sz w:val="25"/>
          <w:szCs w:val="25"/>
        </w:rPr>
        <w:t xml:space="preserve"> </w:t>
      </w:r>
    </w:p>
    <w:p w14:paraId="5C2B9DCD" w14:textId="47DCB3C8" w:rsidR="009A7412" w:rsidRPr="00E06855" w:rsidRDefault="009A7412" w:rsidP="009A7412">
      <w:pPr>
        <w:rPr>
          <w:rFonts w:ascii="Times New Roman" w:hAnsi="Times New Roman" w:cs="Times New Roman"/>
          <w:sz w:val="25"/>
          <w:szCs w:val="25"/>
        </w:rPr>
      </w:pPr>
      <w:r w:rsidRPr="00E06855">
        <w:rPr>
          <w:rFonts w:ascii="Times New Roman" w:hAnsi="Times New Roman" w:cs="Times New Roman"/>
          <w:sz w:val="25"/>
          <w:szCs w:val="25"/>
        </w:rPr>
        <w:t xml:space="preserve">Third, even if the Court </w:t>
      </w:r>
      <w:r w:rsidRPr="00E06855">
        <w:rPr>
          <w:rFonts w:ascii="Times New Roman" w:hAnsi="Times New Roman" w:cs="Times New Roman"/>
          <w:i/>
          <w:iCs/>
          <w:sz w:val="25"/>
          <w:szCs w:val="25"/>
        </w:rPr>
        <w:t>could</w:t>
      </w:r>
      <w:r w:rsidRPr="00E06855">
        <w:rPr>
          <w:rFonts w:ascii="Times New Roman" w:hAnsi="Times New Roman" w:cs="Times New Roman"/>
          <w:sz w:val="25"/>
          <w:szCs w:val="25"/>
        </w:rPr>
        <w:t xml:space="preserve"> enforce such an ideal of democratic legitimacy, it seems unlikely that it would undertake this task given its history as an institution.</w:t>
      </w:r>
      <w:r w:rsidR="00E43860" w:rsidRPr="00E06855">
        <w:rPr>
          <w:rStyle w:val="FootnoteReference"/>
          <w:rFonts w:ascii="Times New Roman" w:hAnsi="Times New Roman" w:cs="Times New Roman"/>
          <w:sz w:val="25"/>
          <w:szCs w:val="25"/>
        </w:rPr>
        <w:footnoteReference w:id="161"/>
      </w:r>
      <w:r w:rsidRPr="00E06855">
        <w:rPr>
          <w:rFonts w:ascii="Times New Roman" w:hAnsi="Times New Roman" w:cs="Times New Roman"/>
          <w:sz w:val="25"/>
          <w:szCs w:val="25"/>
        </w:rPr>
        <w:t xml:space="preserve"> While the </w:t>
      </w:r>
      <w:r w:rsidRPr="00E06855">
        <w:rPr>
          <w:rFonts w:ascii="Times New Roman" w:hAnsi="Times New Roman" w:cs="Times New Roman"/>
          <w:sz w:val="25"/>
          <w:szCs w:val="25"/>
        </w:rPr>
        <w:lastRenderedPageBreak/>
        <w:t>Court has occasionally used the principle to support greater powers for the European Parliament,</w:t>
      </w:r>
      <w:r w:rsidR="00D24466" w:rsidRPr="00E06855">
        <w:rPr>
          <w:rStyle w:val="FootnoteReference"/>
          <w:rFonts w:ascii="Times New Roman" w:hAnsi="Times New Roman" w:cs="Times New Roman"/>
          <w:sz w:val="25"/>
          <w:szCs w:val="25"/>
        </w:rPr>
        <w:footnoteReference w:id="162"/>
      </w:r>
      <w:r w:rsidRPr="00E06855">
        <w:rPr>
          <w:rFonts w:ascii="Times New Roman" w:hAnsi="Times New Roman" w:cs="Times New Roman"/>
          <w:sz w:val="25"/>
          <w:szCs w:val="25"/>
        </w:rPr>
        <w:t xml:space="preserve"> democracy has rarely been at the centre of its judgments. As Ritleng has argued, the principle of democracy is often entirely absent from judgments where one might expect it to play a role. He argues that the Court has a certain conception of democracy: </w:t>
      </w:r>
    </w:p>
    <w:p w14:paraId="1051AB80" w14:textId="77777777" w:rsidR="009A7412" w:rsidRPr="00E06855" w:rsidRDefault="009A7412" w:rsidP="009A7412">
      <w:pPr>
        <w:ind w:left="720"/>
        <w:rPr>
          <w:rFonts w:ascii="Times New Roman" w:hAnsi="Times New Roman" w:cs="Times New Roman"/>
          <w:sz w:val="25"/>
          <w:szCs w:val="25"/>
          <w:lang w:val="en-US"/>
        </w:rPr>
      </w:pPr>
      <w:r w:rsidRPr="00E06855">
        <w:rPr>
          <w:rFonts w:ascii="Times New Roman" w:hAnsi="Times New Roman" w:cs="Times New Roman"/>
          <w:sz w:val="25"/>
          <w:szCs w:val="25"/>
        </w:rPr>
        <w:t>“</w:t>
      </w:r>
      <w:r w:rsidRPr="00E06855">
        <w:rPr>
          <w:rFonts w:ascii="Times New Roman" w:hAnsi="Times New Roman" w:cs="Times New Roman"/>
          <w:sz w:val="25"/>
          <w:szCs w:val="25"/>
          <w:lang w:val="en-US"/>
        </w:rPr>
        <w:t>according to which independent bodies, owing to their insulation from politics and electoral concerns and their technical expertise, are better able to fulfil certain tasks and will gain democratic legitimacy thanks to the effectiveness of their actions”.</w:t>
      </w:r>
      <w:r w:rsidRPr="00E06855">
        <w:rPr>
          <w:rStyle w:val="FootnoteReference"/>
          <w:rFonts w:ascii="Times New Roman" w:hAnsi="Times New Roman" w:cs="Times New Roman"/>
          <w:sz w:val="25"/>
          <w:szCs w:val="25"/>
          <w:lang w:val="en-US"/>
        </w:rPr>
        <w:footnoteReference w:id="163"/>
      </w:r>
      <w:r w:rsidRPr="00E06855">
        <w:rPr>
          <w:rFonts w:ascii="Times New Roman" w:hAnsi="Times New Roman" w:cs="Times New Roman"/>
          <w:sz w:val="25"/>
          <w:szCs w:val="25"/>
          <w:lang w:val="en-US"/>
        </w:rPr>
        <w:t xml:space="preserve"> </w:t>
      </w:r>
    </w:p>
    <w:p w14:paraId="282D18CE" w14:textId="7B8CAD6F" w:rsidR="009A7412" w:rsidRPr="00E06855" w:rsidRDefault="00027702" w:rsidP="009A7412">
      <w:pPr>
        <w:rPr>
          <w:rFonts w:ascii="Times New Roman" w:hAnsi="Times New Roman" w:cs="Times New Roman"/>
          <w:sz w:val="25"/>
          <w:szCs w:val="25"/>
        </w:rPr>
      </w:pPr>
      <w:r w:rsidRPr="00E06855">
        <w:rPr>
          <w:rFonts w:ascii="Times New Roman" w:hAnsi="Times New Roman" w:cs="Times New Roman"/>
          <w:sz w:val="25"/>
          <w:szCs w:val="25"/>
        </w:rPr>
        <w:t xml:space="preserve">Such a </w:t>
      </w:r>
      <w:r w:rsidR="0047157A" w:rsidRPr="00E06855">
        <w:rPr>
          <w:rFonts w:ascii="Times New Roman" w:hAnsi="Times New Roman" w:cs="Times New Roman"/>
          <w:sz w:val="25"/>
          <w:szCs w:val="25"/>
        </w:rPr>
        <w:t xml:space="preserve">technocratic </w:t>
      </w:r>
      <w:r w:rsidRPr="00E06855">
        <w:rPr>
          <w:rFonts w:ascii="Times New Roman" w:hAnsi="Times New Roman" w:cs="Times New Roman"/>
          <w:sz w:val="25"/>
          <w:szCs w:val="25"/>
        </w:rPr>
        <w:t>conception is far removed from Harbo’s idealised account of deliberation and representation.</w:t>
      </w:r>
      <w:r w:rsidR="008E7604" w:rsidRPr="00E06855">
        <w:rPr>
          <w:rFonts w:ascii="Times New Roman" w:hAnsi="Times New Roman" w:cs="Times New Roman"/>
          <w:sz w:val="25"/>
          <w:szCs w:val="25"/>
        </w:rPr>
        <w:t xml:space="preserve"> </w:t>
      </w:r>
      <w:r w:rsidR="009A7412" w:rsidRPr="00E06855">
        <w:rPr>
          <w:rFonts w:ascii="Times New Roman" w:hAnsi="Times New Roman" w:cs="Times New Roman"/>
          <w:sz w:val="25"/>
          <w:szCs w:val="25"/>
        </w:rPr>
        <w:t xml:space="preserve">The idea that democracy is going to be </w:t>
      </w:r>
      <w:r w:rsidR="009A7412" w:rsidRPr="00E06855">
        <w:rPr>
          <w:rFonts w:ascii="Times New Roman" w:hAnsi="Times New Roman" w:cs="Times New Roman"/>
          <w:i/>
          <w:iCs/>
          <w:sz w:val="25"/>
          <w:szCs w:val="25"/>
        </w:rPr>
        <w:t>improved</w:t>
      </w:r>
      <w:r w:rsidR="009A7412" w:rsidRPr="00E06855">
        <w:rPr>
          <w:rFonts w:ascii="Times New Roman" w:hAnsi="Times New Roman" w:cs="Times New Roman"/>
          <w:sz w:val="25"/>
          <w:szCs w:val="25"/>
        </w:rPr>
        <w:t xml:space="preserve"> by a</w:t>
      </w:r>
      <w:r w:rsidR="008B679C" w:rsidRPr="00E06855">
        <w:rPr>
          <w:rFonts w:ascii="Times New Roman" w:hAnsi="Times New Roman" w:cs="Times New Roman"/>
          <w:sz w:val="25"/>
          <w:szCs w:val="25"/>
        </w:rPr>
        <w:t xml:space="preserve"> Court </w:t>
      </w:r>
      <w:r w:rsidR="009A7412" w:rsidRPr="00E06855">
        <w:rPr>
          <w:rFonts w:ascii="Times New Roman" w:hAnsi="Times New Roman" w:cs="Times New Roman"/>
          <w:sz w:val="25"/>
          <w:szCs w:val="25"/>
        </w:rPr>
        <w:t>that has shown li</w:t>
      </w:r>
      <w:r w:rsidR="00985758" w:rsidRPr="00E06855">
        <w:rPr>
          <w:rFonts w:ascii="Times New Roman" w:hAnsi="Times New Roman" w:cs="Times New Roman"/>
          <w:sz w:val="25"/>
          <w:szCs w:val="25"/>
        </w:rPr>
        <w:t>mited</w:t>
      </w:r>
      <w:r w:rsidR="009A7412" w:rsidRPr="00E06855">
        <w:rPr>
          <w:rFonts w:ascii="Times New Roman" w:hAnsi="Times New Roman" w:cs="Times New Roman"/>
          <w:sz w:val="25"/>
          <w:szCs w:val="25"/>
        </w:rPr>
        <w:t xml:space="preserve"> regard for democracy, either national or European, is </w:t>
      </w:r>
      <w:r w:rsidR="00E43860" w:rsidRPr="00E06855">
        <w:rPr>
          <w:rFonts w:ascii="Times New Roman" w:hAnsi="Times New Roman" w:cs="Times New Roman"/>
          <w:sz w:val="25"/>
          <w:szCs w:val="25"/>
        </w:rPr>
        <w:t>questionable</w:t>
      </w:r>
      <w:r w:rsidR="009A7412" w:rsidRPr="00E06855">
        <w:rPr>
          <w:rFonts w:ascii="Times New Roman" w:hAnsi="Times New Roman" w:cs="Times New Roman"/>
          <w:sz w:val="25"/>
          <w:szCs w:val="25"/>
        </w:rPr>
        <w:t>. Democracy has played such a minimal part in the Court’s reasoning that it seems</w:t>
      </w:r>
      <w:r w:rsidR="005F58B8">
        <w:rPr>
          <w:rFonts w:ascii="Times New Roman" w:hAnsi="Times New Roman" w:cs="Times New Roman"/>
          <w:sz w:val="25"/>
          <w:szCs w:val="25"/>
        </w:rPr>
        <w:t xml:space="preserve"> </w:t>
      </w:r>
      <w:r w:rsidR="0018669C" w:rsidRPr="00E06855">
        <w:rPr>
          <w:rFonts w:ascii="Times New Roman" w:hAnsi="Times New Roman" w:cs="Times New Roman"/>
          <w:sz w:val="25"/>
          <w:szCs w:val="25"/>
        </w:rPr>
        <w:t>unlikely t</w:t>
      </w:r>
      <w:r w:rsidR="009A7412" w:rsidRPr="00E06855">
        <w:rPr>
          <w:rFonts w:ascii="Times New Roman" w:hAnsi="Times New Roman" w:cs="Times New Roman"/>
          <w:sz w:val="25"/>
          <w:szCs w:val="25"/>
        </w:rPr>
        <w:t>hat the Court would, not only start mentioning democracy in free movement cases, but rather start orientating their entire proportionality reasoning around democracy.</w:t>
      </w:r>
    </w:p>
    <w:p w14:paraId="491F94AF" w14:textId="1632FA1C" w:rsidR="00FD6E43" w:rsidRPr="00E06855" w:rsidRDefault="009A7412" w:rsidP="00FD6E43">
      <w:pPr>
        <w:rPr>
          <w:rFonts w:ascii="Times New Roman" w:hAnsi="Times New Roman" w:cs="Times New Roman"/>
          <w:sz w:val="25"/>
          <w:szCs w:val="25"/>
          <w:lang w:val="en-US"/>
        </w:rPr>
      </w:pPr>
      <w:r w:rsidRPr="00E06855">
        <w:rPr>
          <w:rFonts w:ascii="Times New Roman" w:hAnsi="Times New Roman" w:cs="Times New Roman"/>
          <w:sz w:val="25"/>
          <w:szCs w:val="25"/>
        </w:rPr>
        <w:t xml:space="preserve">Finally, even if the Court </w:t>
      </w:r>
      <w:r w:rsidRPr="00E06855">
        <w:rPr>
          <w:rFonts w:ascii="Times New Roman" w:hAnsi="Times New Roman" w:cs="Times New Roman"/>
          <w:i/>
          <w:iCs/>
          <w:sz w:val="25"/>
          <w:szCs w:val="25"/>
        </w:rPr>
        <w:t>could</w:t>
      </w:r>
      <w:r w:rsidRPr="00E06855">
        <w:rPr>
          <w:rFonts w:ascii="Times New Roman" w:hAnsi="Times New Roman" w:cs="Times New Roman"/>
          <w:sz w:val="25"/>
          <w:szCs w:val="25"/>
        </w:rPr>
        <w:t xml:space="preserve"> and </w:t>
      </w:r>
      <w:r w:rsidRPr="00E06855">
        <w:rPr>
          <w:rFonts w:ascii="Times New Roman" w:hAnsi="Times New Roman" w:cs="Times New Roman"/>
          <w:i/>
          <w:iCs/>
          <w:sz w:val="25"/>
          <w:szCs w:val="25"/>
        </w:rPr>
        <w:t>was willing</w:t>
      </w:r>
      <w:r w:rsidRPr="00E06855">
        <w:rPr>
          <w:rFonts w:ascii="Times New Roman" w:hAnsi="Times New Roman" w:cs="Times New Roman"/>
          <w:sz w:val="25"/>
          <w:szCs w:val="25"/>
        </w:rPr>
        <w:t xml:space="preserve"> to </w:t>
      </w:r>
      <w:r w:rsidR="00E35582" w:rsidRPr="00E06855">
        <w:rPr>
          <w:rFonts w:ascii="Times New Roman" w:hAnsi="Times New Roman" w:cs="Times New Roman"/>
          <w:sz w:val="25"/>
          <w:szCs w:val="25"/>
        </w:rPr>
        <w:t xml:space="preserve">review </w:t>
      </w:r>
      <w:r w:rsidRPr="00E06855">
        <w:rPr>
          <w:rFonts w:ascii="Times New Roman" w:hAnsi="Times New Roman" w:cs="Times New Roman"/>
          <w:sz w:val="25"/>
          <w:szCs w:val="25"/>
        </w:rPr>
        <w:t xml:space="preserve">democracy at the national level, there remains the question of whether this would be an appropriate task for it to undertake. </w:t>
      </w:r>
      <w:r w:rsidR="00FD6E43" w:rsidRPr="00E06855">
        <w:rPr>
          <w:rFonts w:ascii="Times New Roman" w:hAnsi="Times New Roman" w:cs="Times New Roman"/>
          <w:sz w:val="25"/>
          <w:szCs w:val="25"/>
          <w:lang w:val="en-US"/>
        </w:rPr>
        <w:t>As Bar-Siman-Tov notes, “the idea that courts will determine the validity of legislation based on the adequacy of lawmaking procedures is highly controversial”.</w:t>
      </w:r>
      <w:r w:rsidR="00FD6E43" w:rsidRPr="00E06855">
        <w:rPr>
          <w:rFonts w:ascii="Times New Roman" w:hAnsi="Times New Roman" w:cs="Times New Roman"/>
          <w:sz w:val="25"/>
          <w:szCs w:val="25"/>
          <w:vertAlign w:val="superscript"/>
          <w:lang w:val="en-US"/>
        </w:rPr>
        <w:footnoteReference w:id="164"/>
      </w:r>
      <w:r w:rsidR="00FD6E43" w:rsidRPr="00E06855">
        <w:rPr>
          <w:rFonts w:ascii="Times New Roman" w:hAnsi="Times New Roman" w:cs="Times New Roman"/>
          <w:sz w:val="25"/>
          <w:szCs w:val="25"/>
          <w:lang w:val="en-US"/>
        </w:rPr>
        <w:t xml:space="preserve"> This </w:t>
      </w:r>
      <w:r w:rsidR="00871DBC" w:rsidRPr="00E06855">
        <w:rPr>
          <w:rFonts w:ascii="Times New Roman" w:hAnsi="Times New Roman" w:cs="Times New Roman"/>
          <w:sz w:val="25"/>
          <w:szCs w:val="25"/>
          <w:lang w:val="en-US"/>
        </w:rPr>
        <w:t>sensitivity</w:t>
      </w:r>
      <w:r w:rsidR="00FD6E43" w:rsidRPr="00E06855">
        <w:rPr>
          <w:rFonts w:ascii="Times New Roman" w:hAnsi="Times New Roman" w:cs="Times New Roman"/>
          <w:sz w:val="25"/>
          <w:szCs w:val="25"/>
          <w:lang w:val="en-US"/>
        </w:rPr>
        <w:t xml:space="preserve"> </w:t>
      </w:r>
      <w:r w:rsidR="00CC3A0B" w:rsidRPr="00E06855">
        <w:rPr>
          <w:rFonts w:ascii="Times New Roman" w:hAnsi="Times New Roman" w:cs="Times New Roman"/>
          <w:sz w:val="25"/>
          <w:szCs w:val="25"/>
          <w:lang w:val="en-US"/>
        </w:rPr>
        <w:t>arose</w:t>
      </w:r>
      <w:r w:rsidR="00FD6E43" w:rsidRPr="00E06855">
        <w:rPr>
          <w:rFonts w:ascii="Times New Roman" w:hAnsi="Times New Roman" w:cs="Times New Roman"/>
          <w:sz w:val="25"/>
          <w:szCs w:val="25"/>
          <w:lang w:val="en-US"/>
        </w:rPr>
        <w:t xml:space="preserve"> in the </w:t>
      </w:r>
      <w:r w:rsidR="00FD6E43" w:rsidRPr="00E06855">
        <w:rPr>
          <w:rFonts w:ascii="Times New Roman" w:hAnsi="Times New Roman" w:cs="Times New Roman"/>
          <w:i/>
          <w:iCs/>
          <w:sz w:val="25"/>
          <w:szCs w:val="25"/>
          <w:lang w:val="en-US"/>
        </w:rPr>
        <w:t>HS</w:t>
      </w:r>
      <w:r w:rsidR="009A1897" w:rsidRPr="00E06855">
        <w:rPr>
          <w:rFonts w:ascii="Times New Roman" w:hAnsi="Times New Roman" w:cs="Times New Roman"/>
          <w:i/>
          <w:iCs/>
          <w:sz w:val="25"/>
          <w:szCs w:val="25"/>
          <w:lang w:val="en-US"/>
        </w:rPr>
        <w:t>2</w:t>
      </w:r>
      <w:r w:rsidR="00FD6E43" w:rsidRPr="00E06855">
        <w:rPr>
          <w:rFonts w:ascii="Times New Roman" w:hAnsi="Times New Roman" w:cs="Times New Roman"/>
          <w:sz w:val="25"/>
          <w:szCs w:val="25"/>
          <w:lang w:val="en-US"/>
        </w:rPr>
        <w:t xml:space="preserve"> case of the UK Supreme Court</w:t>
      </w:r>
      <w:r w:rsidR="00617BC6" w:rsidRPr="00E06855">
        <w:rPr>
          <w:rStyle w:val="FootnoteReference"/>
          <w:rFonts w:ascii="Times New Roman" w:hAnsi="Times New Roman" w:cs="Times New Roman"/>
          <w:sz w:val="25"/>
          <w:szCs w:val="25"/>
          <w:lang w:val="en-US"/>
        </w:rPr>
        <w:footnoteReference w:id="165"/>
      </w:r>
      <w:r w:rsidR="00FD6E43" w:rsidRPr="00E06855">
        <w:rPr>
          <w:rFonts w:ascii="Times New Roman" w:hAnsi="Times New Roman" w:cs="Times New Roman"/>
          <w:sz w:val="25"/>
          <w:szCs w:val="25"/>
          <w:lang w:val="en-US"/>
        </w:rPr>
        <w:t xml:space="preserve"> </w:t>
      </w:r>
      <w:r w:rsidR="000D396B" w:rsidRPr="00E06855">
        <w:rPr>
          <w:rFonts w:ascii="Times New Roman" w:hAnsi="Times New Roman" w:cs="Times New Roman"/>
          <w:sz w:val="25"/>
          <w:szCs w:val="25"/>
          <w:lang w:val="en-US"/>
        </w:rPr>
        <w:t>i</w:t>
      </w:r>
      <w:r w:rsidR="00AC5381" w:rsidRPr="00E06855">
        <w:rPr>
          <w:rFonts w:ascii="Times New Roman" w:hAnsi="Times New Roman" w:cs="Times New Roman"/>
          <w:sz w:val="25"/>
          <w:szCs w:val="25"/>
          <w:lang w:val="en-US"/>
        </w:rPr>
        <w:t>n re</w:t>
      </w:r>
      <w:r w:rsidR="00101CB4" w:rsidRPr="00E06855">
        <w:rPr>
          <w:rFonts w:ascii="Times New Roman" w:hAnsi="Times New Roman" w:cs="Times New Roman"/>
          <w:sz w:val="25"/>
          <w:szCs w:val="25"/>
          <w:lang w:val="en-US"/>
        </w:rPr>
        <w:t>lation</w:t>
      </w:r>
      <w:r w:rsidR="00AC5381" w:rsidRPr="00E06855">
        <w:rPr>
          <w:rFonts w:ascii="Times New Roman" w:hAnsi="Times New Roman" w:cs="Times New Roman"/>
          <w:sz w:val="25"/>
          <w:szCs w:val="25"/>
          <w:lang w:val="en-US"/>
        </w:rPr>
        <w:t xml:space="preserve"> to </w:t>
      </w:r>
      <w:r w:rsidR="0069275D" w:rsidRPr="00E06855">
        <w:rPr>
          <w:rFonts w:ascii="Times New Roman" w:hAnsi="Times New Roman" w:cs="Times New Roman"/>
          <w:sz w:val="25"/>
          <w:szCs w:val="25"/>
          <w:lang w:val="en-US"/>
        </w:rPr>
        <w:t>t</w:t>
      </w:r>
      <w:r w:rsidR="00617BC6" w:rsidRPr="00E06855">
        <w:rPr>
          <w:rFonts w:ascii="Times New Roman" w:hAnsi="Times New Roman" w:cs="Times New Roman"/>
          <w:sz w:val="25"/>
          <w:szCs w:val="25"/>
          <w:lang w:val="en-US"/>
        </w:rPr>
        <w:t>he</w:t>
      </w:r>
      <w:r w:rsidR="00FD6E43" w:rsidRPr="00E06855">
        <w:rPr>
          <w:rFonts w:ascii="Times New Roman" w:hAnsi="Times New Roman" w:cs="Times New Roman"/>
          <w:sz w:val="25"/>
          <w:szCs w:val="25"/>
          <w:lang w:val="en-US"/>
        </w:rPr>
        <w:t xml:space="preserve"> Court</w:t>
      </w:r>
      <w:r w:rsidR="00070327">
        <w:rPr>
          <w:rFonts w:ascii="Times New Roman" w:hAnsi="Times New Roman" w:cs="Times New Roman"/>
          <w:sz w:val="25"/>
          <w:szCs w:val="25"/>
          <w:lang w:val="en-US"/>
        </w:rPr>
        <w:t xml:space="preserve"> of Justice</w:t>
      </w:r>
      <w:r w:rsidR="000E1F0B" w:rsidRPr="00E06855">
        <w:rPr>
          <w:rFonts w:ascii="Times New Roman" w:hAnsi="Times New Roman" w:cs="Times New Roman"/>
          <w:sz w:val="25"/>
          <w:szCs w:val="25"/>
          <w:lang w:val="en-US"/>
        </w:rPr>
        <w:t xml:space="preserve">’s </w:t>
      </w:r>
      <w:r w:rsidR="00FD6E43" w:rsidRPr="00E06855">
        <w:rPr>
          <w:rFonts w:ascii="Times New Roman" w:hAnsi="Times New Roman" w:cs="Times New Roman"/>
          <w:sz w:val="25"/>
          <w:szCs w:val="25"/>
          <w:lang w:val="en-US"/>
        </w:rPr>
        <w:t>require</w:t>
      </w:r>
      <w:r w:rsidR="00486051" w:rsidRPr="00E06855">
        <w:rPr>
          <w:rFonts w:ascii="Times New Roman" w:hAnsi="Times New Roman" w:cs="Times New Roman"/>
          <w:sz w:val="25"/>
          <w:szCs w:val="25"/>
          <w:lang w:val="en-US"/>
        </w:rPr>
        <w:t>ment</w:t>
      </w:r>
      <w:r w:rsidR="00FD6E43" w:rsidRPr="00E06855">
        <w:rPr>
          <w:rFonts w:ascii="Times New Roman" w:hAnsi="Times New Roman" w:cs="Times New Roman"/>
          <w:sz w:val="25"/>
          <w:szCs w:val="25"/>
          <w:lang w:val="en-US"/>
        </w:rPr>
        <w:t xml:space="preserve"> that domestic courts must assess “</w:t>
      </w:r>
      <w:r w:rsidR="00FD6E43" w:rsidRPr="00E06855">
        <w:rPr>
          <w:rFonts w:ascii="Times New Roman" w:hAnsi="Times New Roman" w:cs="Times New Roman"/>
          <w:sz w:val="25"/>
          <w:szCs w:val="25"/>
        </w:rPr>
        <w:t xml:space="preserve">the entire legislative process” to determine whether </w:t>
      </w:r>
      <w:r w:rsidR="005336FE" w:rsidRPr="00E06855">
        <w:rPr>
          <w:rFonts w:ascii="Times New Roman" w:hAnsi="Times New Roman" w:cs="Times New Roman"/>
          <w:sz w:val="25"/>
          <w:szCs w:val="25"/>
        </w:rPr>
        <w:t>it</w:t>
      </w:r>
      <w:r w:rsidR="00FD6E43" w:rsidRPr="00E06855">
        <w:rPr>
          <w:rFonts w:ascii="Times New Roman" w:hAnsi="Times New Roman" w:cs="Times New Roman"/>
          <w:sz w:val="25"/>
          <w:szCs w:val="25"/>
        </w:rPr>
        <w:t xml:space="preserve"> </w:t>
      </w:r>
      <w:r w:rsidR="001C5C2C" w:rsidRPr="00E06855">
        <w:rPr>
          <w:rFonts w:ascii="Times New Roman" w:hAnsi="Times New Roman" w:cs="Times New Roman"/>
          <w:sz w:val="25"/>
          <w:szCs w:val="25"/>
        </w:rPr>
        <w:t>is</w:t>
      </w:r>
      <w:r w:rsidR="00FD6E43" w:rsidRPr="00E06855">
        <w:rPr>
          <w:rFonts w:ascii="Times New Roman" w:hAnsi="Times New Roman" w:cs="Times New Roman"/>
          <w:sz w:val="25"/>
          <w:szCs w:val="25"/>
        </w:rPr>
        <w:t xml:space="preserve"> sufficiently democratic</w:t>
      </w:r>
      <w:r w:rsidR="002C5399" w:rsidRPr="00E06855">
        <w:rPr>
          <w:rFonts w:ascii="Times New Roman" w:hAnsi="Times New Roman" w:cs="Times New Roman"/>
          <w:sz w:val="25"/>
          <w:szCs w:val="25"/>
        </w:rPr>
        <w:t xml:space="preserve"> and thus</w:t>
      </w:r>
      <w:r w:rsidR="00FD6E43" w:rsidRPr="00E06855">
        <w:rPr>
          <w:rFonts w:ascii="Times New Roman" w:hAnsi="Times New Roman" w:cs="Times New Roman"/>
          <w:sz w:val="25"/>
          <w:szCs w:val="25"/>
        </w:rPr>
        <w:t xml:space="preserve"> in compliance with the Environmental Impact Assessment Directive.</w:t>
      </w:r>
      <w:r w:rsidR="00A35DB0" w:rsidRPr="00E06855">
        <w:rPr>
          <w:rStyle w:val="FootnoteReference"/>
          <w:rFonts w:ascii="Times New Roman" w:hAnsi="Times New Roman" w:cs="Times New Roman"/>
          <w:sz w:val="25"/>
          <w:szCs w:val="25"/>
        </w:rPr>
        <w:footnoteReference w:id="166"/>
      </w:r>
      <w:r w:rsidR="00FD6E43" w:rsidRPr="00E06855">
        <w:rPr>
          <w:rFonts w:ascii="Times New Roman" w:hAnsi="Times New Roman" w:cs="Times New Roman"/>
          <w:sz w:val="25"/>
          <w:szCs w:val="25"/>
        </w:rPr>
        <w:t xml:space="preserve"> In response, the UK Court argued that it is inappropriate for </w:t>
      </w:r>
      <w:r w:rsidR="000B006F">
        <w:rPr>
          <w:rFonts w:ascii="Times New Roman" w:hAnsi="Times New Roman" w:cs="Times New Roman"/>
          <w:sz w:val="25"/>
          <w:szCs w:val="25"/>
        </w:rPr>
        <w:t>courts to “</w:t>
      </w:r>
      <w:r w:rsidR="00FD6E43" w:rsidRPr="00E06855">
        <w:rPr>
          <w:rFonts w:ascii="Times New Roman" w:hAnsi="Times New Roman" w:cs="Times New Roman"/>
          <w:sz w:val="25"/>
          <w:szCs w:val="25"/>
        </w:rPr>
        <w:t>supervise the</w:t>
      </w:r>
      <w:r w:rsidR="00FD6E43" w:rsidRPr="00E06855">
        <w:rPr>
          <w:rFonts w:ascii="Times New Roman" w:hAnsi="Times New Roman" w:cs="Times New Roman"/>
          <w:i/>
          <w:sz w:val="25"/>
          <w:szCs w:val="25"/>
        </w:rPr>
        <w:t xml:space="preserve"> internal </w:t>
      </w:r>
      <w:r w:rsidR="00FD6E43" w:rsidRPr="00E06855">
        <w:rPr>
          <w:rFonts w:ascii="Times New Roman" w:hAnsi="Times New Roman" w:cs="Times New Roman"/>
          <w:sz w:val="25"/>
          <w:szCs w:val="25"/>
        </w:rPr>
        <w:t>proceedings of the national legislature”.</w:t>
      </w:r>
      <w:r w:rsidR="00FD6E43" w:rsidRPr="00E06855">
        <w:rPr>
          <w:rFonts w:ascii="Times New Roman" w:hAnsi="Times New Roman" w:cs="Times New Roman"/>
          <w:sz w:val="25"/>
          <w:szCs w:val="25"/>
          <w:vertAlign w:val="superscript"/>
        </w:rPr>
        <w:footnoteReference w:id="167"/>
      </w:r>
    </w:p>
    <w:p w14:paraId="7F33E0FD" w14:textId="7821114D" w:rsidR="001A2712" w:rsidRPr="00E06855" w:rsidRDefault="00FD6E43" w:rsidP="00544C80">
      <w:pPr>
        <w:rPr>
          <w:rFonts w:ascii="Times New Roman" w:hAnsi="Times New Roman" w:cs="Times New Roman"/>
          <w:sz w:val="25"/>
          <w:szCs w:val="25"/>
        </w:rPr>
      </w:pPr>
      <w:r w:rsidRPr="00E06855">
        <w:rPr>
          <w:rFonts w:ascii="Times New Roman" w:hAnsi="Times New Roman" w:cs="Times New Roman"/>
          <w:sz w:val="25"/>
          <w:szCs w:val="25"/>
        </w:rPr>
        <w:lastRenderedPageBreak/>
        <w:t>Indeed, with the “feedback effects” of such review, it may be questioned whether the Court determining when the legislative process is of sufficient quality may end up offering less autonomy to Member State decision-makers, contrary to the desire of process review advocates in this area. In fact, top-down procedural requirements from the Court may place greater limits, constraining Member State decision-makers as they act “in the shadow” of the requirements of the Court.</w:t>
      </w:r>
      <w:r w:rsidR="00B401D2" w:rsidRPr="00E06855">
        <w:rPr>
          <w:rStyle w:val="FootnoteReference"/>
          <w:rFonts w:ascii="Times New Roman" w:hAnsi="Times New Roman" w:cs="Times New Roman"/>
          <w:sz w:val="25"/>
          <w:szCs w:val="25"/>
        </w:rPr>
        <w:footnoteReference w:id="168"/>
      </w:r>
      <w:r w:rsidRPr="00E06855">
        <w:rPr>
          <w:rFonts w:ascii="Times New Roman" w:hAnsi="Times New Roman" w:cs="Times New Roman"/>
          <w:sz w:val="25"/>
          <w:szCs w:val="25"/>
        </w:rPr>
        <w:t xml:space="preserve"> It can be questioned whether the democratic nature of the process might be </w:t>
      </w:r>
      <w:r w:rsidR="009522BE" w:rsidRPr="00E06855">
        <w:rPr>
          <w:rFonts w:ascii="Times New Roman" w:hAnsi="Times New Roman" w:cs="Times New Roman"/>
          <w:sz w:val="25"/>
          <w:szCs w:val="25"/>
        </w:rPr>
        <w:t>limited</w:t>
      </w:r>
      <w:r w:rsidRPr="00E06855">
        <w:rPr>
          <w:rFonts w:ascii="Times New Roman" w:hAnsi="Times New Roman" w:cs="Times New Roman"/>
          <w:sz w:val="25"/>
          <w:szCs w:val="25"/>
        </w:rPr>
        <w:t xml:space="preserve"> by such legal obligations.</w:t>
      </w:r>
    </w:p>
    <w:p w14:paraId="714817C8" w14:textId="2802D6BB" w:rsidR="0036645E" w:rsidRPr="00E06855" w:rsidRDefault="0036645E" w:rsidP="00D853B3">
      <w:pPr>
        <w:pStyle w:val="Heading1"/>
        <w:rPr>
          <w:rFonts w:ascii="Times New Roman" w:hAnsi="Times New Roman" w:cs="Times New Roman"/>
        </w:rPr>
      </w:pPr>
      <w:r w:rsidRPr="00E06855">
        <w:rPr>
          <w:rFonts w:ascii="Times New Roman" w:hAnsi="Times New Roman" w:cs="Times New Roman"/>
        </w:rPr>
        <w:t>Conclusion</w:t>
      </w:r>
    </w:p>
    <w:p w14:paraId="12ABE228" w14:textId="72F3E10E" w:rsidR="005C1031" w:rsidRPr="00E06855" w:rsidRDefault="005C1031" w:rsidP="007B5B23">
      <w:pPr>
        <w:rPr>
          <w:rFonts w:ascii="Times New Roman" w:hAnsi="Times New Roman" w:cs="Times New Roman"/>
          <w:sz w:val="25"/>
          <w:szCs w:val="25"/>
        </w:rPr>
      </w:pPr>
      <w:r w:rsidRPr="00E06855">
        <w:rPr>
          <w:rFonts w:ascii="Times New Roman" w:hAnsi="Times New Roman" w:cs="Times New Roman"/>
          <w:sz w:val="25"/>
          <w:szCs w:val="25"/>
        </w:rPr>
        <w:t xml:space="preserve">This paper offers a critical response to the trend of process review advocacy in </w:t>
      </w:r>
      <w:r w:rsidR="00806336">
        <w:rPr>
          <w:rFonts w:ascii="Times New Roman" w:hAnsi="Times New Roman" w:cs="Times New Roman"/>
          <w:sz w:val="25"/>
          <w:szCs w:val="25"/>
        </w:rPr>
        <w:t>Union</w:t>
      </w:r>
      <w:r w:rsidRPr="00E06855">
        <w:rPr>
          <w:rFonts w:ascii="Times New Roman" w:hAnsi="Times New Roman" w:cs="Times New Roman"/>
          <w:sz w:val="25"/>
          <w:szCs w:val="25"/>
        </w:rPr>
        <w:t xml:space="preserve"> literature. It argues that process review may fail to live up to the expectations placed on it, both in terms of the </w:t>
      </w:r>
      <w:r w:rsidRPr="00E06855">
        <w:rPr>
          <w:rFonts w:ascii="Times New Roman" w:hAnsi="Times New Roman" w:cs="Times New Roman"/>
          <w:i/>
          <w:iCs/>
          <w:sz w:val="25"/>
          <w:szCs w:val="25"/>
        </w:rPr>
        <w:t>outcomes</w:t>
      </w:r>
      <w:r w:rsidRPr="00E06855">
        <w:rPr>
          <w:rFonts w:ascii="Times New Roman" w:hAnsi="Times New Roman" w:cs="Times New Roman"/>
          <w:sz w:val="25"/>
          <w:szCs w:val="25"/>
        </w:rPr>
        <w:t xml:space="preserve"> of review and its </w:t>
      </w:r>
      <w:r w:rsidRPr="00E06855">
        <w:rPr>
          <w:rFonts w:ascii="Times New Roman" w:hAnsi="Times New Roman" w:cs="Times New Roman"/>
          <w:i/>
          <w:iCs/>
          <w:sz w:val="25"/>
          <w:szCs w:val="25"/>
        </w:rPr>
        <w:t>legitimacy</w:t>
      </w:r>
      <w:r w:rsidRPr="00E06855">
        <w:rPr>
          <w:rFonts w:ascii="Times New Roman" w:hAnsi="Times New Roman" w:cs="Times New Roman"/>
          <w:sz w:val="25"/>
          <w:szCs w:val="25"/>
        </w:rPr>
        <w:t xml:space="preserve">. </w:t>
      </w:r>
      <w:r w:rsidR="000F24D7" w:rsidRPr="00E06855">
        <w:rPr>
          <w:rFonts w:ascii="Times New Roman" w:hAnsi="Times New Roman" w:cs="Times New Roman"/>
          <w:sz w:val="25"/>
          <w:szCs w:val="25"/>
        </w:rPr>
        <w:t>While</w:t>
      </w:r>
      <w:r w:rsidRPr="00E06855">
        <w:rPr>
          <w:rFonts w:ascii="Times New Roman" w:hAnsi="Times New Roman" w:cs="Times New Roman"/>
          <w:sz w:val="25"/>
          <w:szCs w:val="25"/>
        </w:rPr>
        <w:t xml:space="preserve"> academia </w:t>
      </w:r>
      <w:r w:rsidR="00973BED" w:rsidRPr="00E06855">
        <w:rPr>
          <w:rFonts w:ascii="Times New Roman" w:hAnsi="Times New Roman" w:cs="Times New Roman"/>
          <w:sz w:val="25"/>
          <w:szCs w:val="25"/>
        </w:rPr>
        <w:t xml:space="preserve">can </w:t>
      </w:r>
      <w:r w:rsidR="0010656F" w:rsidRPr="00E06855">
        <w:rPr>
          <w:rFonts w:ascii="Times New Roman" w:hAnsi="Times New Roman" w:cs="Times New Roman"/>
          <w:sz w:val="25"/>
          <w:szCs w:val="25"/>
        </w:rPr>
        <w:t>influence</w:t>
      </w:r>
      <w:r w:rsidRPr="00E06855">
        <w:rPr>
          <w:rFonts w:ascii="Times New Roman" w:hAnsi="Times New Roman" w:cs="Times New Roman"/>
          <w:sz w:val="25"/>
          <w:szCs w:val="25"/>
        </w:rPr>
        <w:t xml:space="preserve"> the way that judges think and how they reason in decisions</w:t>
      </w:r>
      <w:r w:rsidR="00B10F07" w:rsidRPr="00E06855">
        <w:rPr>
          <w:rFonts w:ascii="Times New Roman" w:hAnsi="Times New Roman" w:cs="Times New Roman"/>
          <w:sz w:val="25"/>
          <w:szCs w:val="25"/>
        </w:rPr>
        <w:t>,</w:t>
      </w:r>
      <w:r w:rsidRPr="00E06855">
        <w:rPr>
          <w:rStyle w:val="FootnoteReference"/>
          <w:rFonts w:ascii="Times New Roman" w:hAnsi="Times New Roman" w:cs="Times New Roman"/>
          <w:sz w:val="25"/>
          <w:szCs w:val="25"/>
        </w:rPr>
        <w:footnoteReference w:id="169"/>
      </w:r>
      <w:r w:rsidRPr="00E06855">
        <w:rPr>
          <w:rFonts w:ascii="Times New Roman" w:hAnsi="Times New Roman" w:cs="Times New Roman"/>
          <w:sz w:val="25"/>
          <w:szCs w:val="25"/>
        </w:rPr>
        <w:t xml:space="preserve"> far too much is expected of process review</w:t>
      </w:r>
      <w:r w:rsidR="00B10F07" w:rsidRPr="00E06855">
        <w:rPr>
          <w:rFonts w:ascii="Times New Roman" w:hAnsi="Times New Roman" w:cs="Times New Roman"/>
          <w:sz w:val="25"/>
          <w:szCs w:val="25"/>
        </w:rPr>
        <w:t xml:space="preserve">. </w:t>
      </w:r>
      <w:r w:rsidR="00A80BF4" w:rsidRPr="00E06855">
        <w:rPr>
          <w:rFonts w:ascii="Times New Roman" w:hAnsi="Times New Roman" w:cs="Times New Roman"/>
          <w:sz w:val="25"/>
          <w:szCs w:val="25"/>
        </w:rPr>
        <w:t xml:space="preserve">This is not </w:t>
      </w:r>
      <w:r w:rsidRPr="00E06855">
        <w:rPr>
          <w:rFonts w:ascii="Times New Roman" w:hAnsi="Times New Roman" w:cs="Times New Roman"/>
          <w:sz w:val="25"/>
          <w:szCs w:val="25"/>
        </w:rPr>
        <w:t>least because of the fluidity of</w:t>
      </w:r>
      <w:r w:rsidR="00DC7233" w:rsidRPr="00E06855">
        <w:rPr>
          <w:rFonts w:ascii="Times New Roman" w:hAnsi="Times New Roman" w:cs="Times New Roman"/>
          <w:sz w:val="25"/>
          <w:szCs w:val="25"/>
        </w:rPr>
        <w:t xml:space="preserve"> the</w:t>
      </w:r>
      <w:r w:rsidRPr="00E06855">
        <w:rPr>
          <w:rFonts w:ascii="Times New Roman" w:hAnsi="Times New Roman" w:cs="Times New Roman"/>
          <w:sz w:val="25"/>
          <w:szCs w:val="25"/>
        </w:rPr>
        <w:t xml:space="preserve"> </w:t>
      </w:r>
      <w:r w:rsidR="00745F16" w:rsidRPr="00E06855">
        <w:rPr>
          <w:rFonts w:ascii="Times New Roman" w:hAnsi="Times New Roman" w:cs="Times New Roman"/>
          <w:sz w:val="25"/>
          <w:szCs w:val="25"/>
        </w:rPr>
        <w:t>process-substance distinctio</w:t>
      </w:r>
      <w:r w:rsidR="003B7CB9" w:rsidRPr="00E06855">
        <w:rPr>
          <w:rFonts w:ascii="Times New Roman" w:hAnsi="Times New Roman" w:cs="Times New Roman"/>
          <w:sz w:val="25"/>
          <w:szCs w:val="25"/>
        </w:rPr>
        <w:t>n</w:t>
      </w:r>
      <w:r w:rsidRPr="00E06855">
        <w:rPr>
          <w:rFonts w:ascii="Times New Roman" w:hAnsi="Times New Roman" w:cs="Times New Roman"/>
          <w:sz w:val="25"/>
          <w:szCs w:val="25"/>
        </w:rPr>
        <w:t xml:space="preserve">, and the malleability of legal language generally, especially in the context of </w:t>
      </w:r>
      <w:r w:rsidR="004700BA" w:rsidRPr="00E06855">
        <w:rPr>
          <w:rFonts w:ascii="Times New Roman" w:hAnsi="Times New Roman" w:cs="Times New Roman"/>
          <w:sz w:val="25"/>
          <w:szCs w:val="25"/>
        </w:rPr>
        <w:t>the broad interpretive powers of the Court.</w:t>
      </w:r>
    </w:p>
    <w:p w14:paraId="6C805DB1" w14:textId="7DE320FE" w:rsidR="00850CE1" w:rsidRPr="00E06855" w:rsidRDefault="00850CE1" w:rsidP="00F91C96">
      <w:pPr>
        <w:rPr>
          <w:rFonts w:ascii="Times New Roman" w:hAnsi="Times New Roman" w:cs="Times New Roman"/>
          <w:sz w:val="25"/>
          <w:szCs w:val="25"/>
        </w:rPr>
      </w:pPr>
      <w:r w:rsidRPr="00E06855">
        <w:rPr>
          <w:rFonts w:ascii="Times New Roman" w:hAnsi="Times New Roman" w:cs="Times New Roman"/>
          <w:sz w:val="25"/>
          <w:szCs w:val="25"/>
        </w:rPr>
        <w:t>Process review has emerged as something of a “panacea” with a r</w:t>
      </w:r>
      <w:r w:rsidR="00DB16ED" w:rsidRPr="00E06855">
        <w:rPr>
          <w:rFonts w:ascii="Times New Roman" w:hAnsi="Times New Roman" w:cs="Times New Roman"/>
          <w:sz w:val="25"/>
          <w:szCs w:val="25"/>
        </w:rPr>
        <w:t>a</w:t>
      </w:r>
      <w:r w:rsidR="00D101C2" w:rsidRPr="00E06855">
        <w:rPr>
          <w:rFonts w:ascii="Times New Roman" w:hAnsi="Times New Roman" w:cs="Times New Roman"/>
          <w:sz w:val="25"/>
          <w:szCs w:val="25"/>
        </w:rPr>
        <w:t>n</w:t>
      </w:r>
      <w:r w:rsidRPr="00E06855">
        <w:rPr>
          <w:rFonts w:ascii="Times New Roman" w:hAnsi="Times New Roman" w:cs="Times New Roman"/>
          <w:sz w:val="25"/>
          <w:szCs w:val="25"/>
        </w:rPr>
        <w:t>ge of different, and potentially contradictory, expectations placed upon it.</w:t>
      </w:r>
      <w:r w:rsidR="00F226D7" w:rsidRPr="00E06855">
        <w:rPr>
          <w:rFonts w:ascii="Times New Roman" w:hAnsi="Times New Roman" w:cs="Times New Roman"/>
          <w:sz w:val="25"/>
          <w:szCs w:val="25"/>
        </w:rPr>
        <w:t xml:space="preserve"> From this range of purposes</w:t>
      </w:r>
      <w:r w:rsidR="00B63797" w:rsidRPr="00E06855">
        <w:rPr>
          <w:rFonts w:ascii="Times New Roman" w:hAnsi="Times New Roman" w:cs="Times New Roman"/>
          <w:sz w:val="25"/>
          <w:szCs w:val="25"/>
        </w:rPr>
        <w:t>, perhaps the most realistic and achievable goal is</w:t>
      </w:r>
      <w:r w:rsidR="006D21B6" w:rsidRPr="00E06855">
        <w:rPr>
          <w:rFonts w:ascii="Times New Roman" w:hAnsi="Times New Roman" w:cs="Times New Roman"/>
          <w:sz w:val="25"/>
          <w:szCs w:val="25"/>
        </w:rPr>
        <w:t xml:space="preserve"> further rationalisation of decision-making processes</w:t>
      </w:r>
      <w:r w:rsidR="00DD7ECD" w:rsidRPr="00E06855">
        <w:rPr>
          <w:rFonts w:ascii="Times New Roman" w:hAnsi="Times New Roman" w:cs="Times New Roman"/>
          <w:sz w:val="25"/>
          <w:szCs w:val="25"/>
        </w:rPr>
        <w:t xml:space="preserve">. However, it must be recognised that </w:t>
      </w:r>
      <w:r w:rsidR="00E52F04">
        <w:rPr>
          <w:rFonts w:ascii="Times New Roman" w:hAnsi="Times New Roman" w:cs="Times New Roman"/>
          <w:sz w:val="25"/>
          <w:szCs w:val="25"/>
        </w:rPr>
        <w:t>such rationalisation is accompanie</w:t>
      </w:r>
      <w:r w:rsidR="008430F8">
        <w:rPr>
          <w:rFonts w:ascii="Times New Roman" w:hAnsi="Times New Roman" w:cs="Times New Roman"/>
          <w:sz w:val="25"/>
          <w:szCs w:val="25"/>
        </w:rPr>
        <w:t>d</w:t>
      </w:r>
      <w:r w:rsidR="00E52F04">
        <w:rPr>
          <w:rFonts w:ascii="Times New Roman" w:hAnsi="Times New Roman" w:cs="Times New Roman"/>
          <w:sz w:val="25"/>
          <w:szCs w:val="25"/>
        </w:rPr>
        <w:t xml:space="preserve"> by de-</w:t>
      </w:r>
      <w:r w:rsidR="005A3DE3">
        <w:rPr>
          <w:rFonts w:ascii="Times New Roman" w:hAnsi="Times New Roman" w:cs="Times New Roman"/>
          <w:sz w:val="25"/>
          <w:szCs w:val="25"/>
        </w:rPr>
        <w:t>politicisation</w:t>
      </w:r>
      <w:r w:rsidR="00E52F04">
        <w:rPr>
          <w:rFonts w:ascii="Times New Roman" w:hAnsi="Times New Roman" w:cs="Times New Roman"/>
          <w:sz w:val="25"/>
          <w:szCs w:val="25"/>
        </w:rPr>
        <w:t xml:space="preserve"> and judicialisation. This is one normative choice amongst many, and as such will come at the expense of other values.</w:t>
      </w:r>
      <w:r w:rsidR="00DD7ECD" w:rsidRPr="00E06855">
        <w:rPr>
          <w:rFonts w:ascii="Times New Roman" w:hAnsi="Times New Roman" w:cs="Times New Roman"/>
          <w:sz w:val="25"/>
          <w:szCs w:val="25"/>
        </w:rPr>
        <w:t xml:space="preserve"> </w:t>
      </w:r>
    </w:p>
    <w:p w14:paraId="4C27F5D9" w14:textId="3319DDAA" w:rsidR="0000401E" w:rsidRPr="00E06855" w:rsidRDefault="00A05A19" w:rsidP="0000401E">
      <w:pPr>
        <w:rPr>
          <w:rFonts w:ascii="Times New Roman" w:hAnsi="Times New Roman" w:cs="Times New Roman"/>
          <w:sz w:val="25"/>
          <w:szCs w:val="25"/>
        </w:rPr>
      </w:pPr>
      <w:r w:rsidRPr="00E06855">
        <w:rPr>
          <w:rFonts w:ascii="Times New Roman" w:hAnsi="Times New Roman" w:cs="Times New Roman"/>
          <w:sz w:val="25"/>
          <w:szCs w:val="25"/>
        </w:rPr>
        <w:t>For</w:t>
      </w:r>
      <w:r w:rsidR="005C1031" w:rsidRPr="00E06855">
        <w:rPr>
          <w:rFonts w:ascii="Times New Roman" w:hAnsi="Times New Roman" w:cs="Times New Roman"/>
          <w:sz w:val="25"/>
          <w:szCs w:val="25"/>
        </w:rPr>
        <w:t xml:space="preserve"> those who seek alternative normative </w:t>
      </w:r>
      <w:r w:rsidR="009E67EF" w:rsidRPr="00E06855">
        <w:rPr>
          <w:rFonts w:ascii="Times New Roman" w:hAnsi="Times New Roman" w:cs="Times New Roman"/>
          <w:sz w:val="25"/>
          <w:szCs w:val="25"/>
        </w:rPr>
        <w:t xml:space="preserve">directions, </w:t>
      </w:r>
      <w:r w:rsidR="005C1031" w:rsidRPr="00E06855">
        <w:rPr>
          <w:rFonts w:ascii="Times New Roman" w:hAnsi="Times New Roman" w:cs="Times New Roman"/>
          <w:sz w:val="25"/>
          <w:szCs w:val="25"/>
        </w:rPr>
        <w:t xml:space="preserve">it is suggested that process review may </w:t>
      </w:r>
      <w:r w:rsidR="00A676E2">
        <w:rPr>
          <w:rFonts w:ascii="Times New Roman" w:hAnsi="Times New Roman" w:cs="Times New Roman"/>
          <w:sz w:val="25"/>
          <w:szCs w:val="25"/>
        </w:rPr>
        <w:t>offer</w:t>
      </w:r>
      <w:r w:rsidR="005C1031" w:rsidRPr="00E06855">
        <w:rPr>
          <w:rFonts w:ascii="Times New Roman" w:hAnsi="Times New Roman" w:cs="Times New Roman"/>
          <w:sz w:val="25"/>
          <w:szCs w:val="25"/>
        </w:rPr>
        <w:t xml:space="preserve"> the wrong route. In this vein, Loughlin’s comment on the</w:t>
      </w:r>
      <w:r w:rsidR="007476EE" w:rsidRPr="00E06855">
        <w:rPr>
          <w:rFonts w:ascii="Times New Roman" w:hAnsi="Times New Roman" w:cs="Times New Roman"/>
          <w:sz w:val="25"/>
          <w:szCs w:val="25"/>
        </w:rPr>
        <w:t xml:space="preserve"> misplaced focus of</w:t>
      </w:r>
      <w:r w:rsidR="005C1031" w:rsidRPr="00E06855">
        <w:rPr>
          <w:rFonts w:ascii="Times New Roman" w:hAnsi="Times New Roman" w:cs="Times New Roman"/>
          <w:sz w:val="25"/>
          <w:szCs w:val="25"/>
        </w:rPr>
        <w:t xml:space="preserve"> public lawyers in Britain may be informative</w:t>
      </w:r>
      <w:r w:rsidR="004D4336" w:rsidRPr="00E06855">
        <w:rPr>
          <w:rFonts w:ascii="Times New Roman" w:hAnsi="Times New Roman" w:cs="Times New Roman"/>
          <w:sz w:val="25"/>
          <w:szCs w:val="25"/>
        </w:rPr>
        <w:t>. He used</w:t>
      </w:r>
      <w:r w:rsidR="005C1031" w:rsidRPr="00E06855">
        <w:rPr>
          <w:rFonts w:ascii="Times New Roman" w:hAnsi="Times New Roman" w:cs="Times New Roman"/>
          <w:sz w:val="25"/>
          <w:szCs w:val="25"/>
        </w:rPr>
        <w:t xml:space="preserve"> the story of the </w:t>
      </w:r>
      <w:r w:rsidR="00F545C9">
        <w:rPr>
          <w:rFonts w:ascii="Times New Roman" w:hAnsi="Times New Roman" w:cs="Times New Roman"/>
          <w:sz w:val="25"/>
          <w:szCs w:val="25"/>
        </w:rPr>
        <w:t>man</w:t>
      </w:r>
      <w:r w:rsidR="005C1031" w:rsidRPr="00E06855">
        <w:rPr>
          <w:rFonts w:ascii="Times New Roman" w:hAnsi="Times New Roman" w:cs="Times New Roman"/>
          <w:sz w:val="25"/>
          <w:szCs w:val="25"/>
        </w:rPr>
        <w:t xml:space="preserve"> who, instead of looking for the keys in the dark corner where he dropped them, looks underneath the lamppost because there </w:t>
      </w:r>
      <w:r w:rsidR="00AE5C71" w:rsidRPr="00E06855">
        <w:rPr>
          <w:rFonts w:ascii="Times New Roman" w:hAnsi="Times New Roman" w:cs="Times New Roman"/>
          <w:sz w:val="25"/>
          <w:szCs w:val="25"/>
        </w:rPr>
        <w:t>was</w:t>
      </w:r>
      <w:r w:rsidR="005C1031" w:rsidRPr="00E06855">
        <w:rPr>
          <w:rFonts w:ascii="Times New Roman" w:hAnsi="Times New Roman" w:cs="Times New Roman"/>
          <w:sz w:val="25"/>
          <w:szCs w:val="25"/>
        </w:rPr>
        <w:t xml:space="preserve"> more light there.</w:t>
      </w:r>
      <w:r w:rsidR="005C1031" w:rsidRPr="00E06855">
        <w:rPr>
          <w:rStyle w:val="FootnoteReference"/>
          <w:rFonts w:ascii="Times New Roman" w:hAnsi="Times New Roman" w:cs="Times New Roman"/>
          <w:sz w:val="25"/>
          <w:szCs w:val="25"/>
        </w:rPr>
        <w:footnoteReference w:id="170"/>
      </w:r>
      <w:r w:rsidR="005C1031" w:rsidRPr="00E06855">
        <w:rPr>
          <w:rFonts w:ascii="Times New Roman" w:hAnsi="Times New Roman" w:cs="Times New Roman"/>
          <w:sz w:val="25"/>
          <w:szCs w:val="25"/>
        </w:rPr>
        <w:t xml:space="preserve"> This paper suggests for those </w:t>
      </w:r>
      <w:r w:rsidR="00BE1757" w:rsidRPr="00E06855">
        <w:rPr>
          <w:rFonts w:ascii="Times New Roman" w:hAnsi="Times New Roman" w:cs="Times New Roman"/>
          <w:sz w:val="25"/>
          <w:szCs w:val="25"/>
        </w:rPr>
        <w:t>with more ambitious goals -</w:t>
      </w:r>
      <w:r w:rsidR="005C1031" w:rsidRPr="00E06855">
        <w:rPr>
          <w:rFonts w:ascii="Times New Roman" w:hAnsi="Times New Roman" w:cs="Times New Roman"/>
          <w:sz w:val="25"/>
          <w:szCs w:val="25"/>
        </w:rPr>
        <w:t xml:space="preserve"> to create more normative room for Member States </w:t>
      </w:r>
      <w:r w:rsidR="00441238">
        <w:rPr>
          <w:rFonts w:ascii="Times New Roman" w:hAnsi="Times New Roman" w:cs="Times New Roman"/>
          <w:sz w:val="25"/>
          <w:szCs w:val="25"/>
        </w:rPr>
        <w:t xml:space="preserve"> to pursue non-market goals</w:t>
      </w:r>
      <w:r w:rsidR="005C1031" w:rsidRPr="00E06855">
        <w:rPr>
          <w:rFonts w:ascii="Times New Roman" w:hAnsi="Times New Roman" w:cs="Times New Roman"/>
          <w:sz w:val="25"/>
          <w:szCs w:val="25"/>
        </w:rPr>
        <w:t xml:space="preserve">, or </w:t>
      </w:r>
      <w:r w:rsidR="00F3428E" w:rsidRPr="00E06855">
        <w:rPr>
          <w:rFonts w:ascii="Times New Roman" w:hAnsi="Times New Roman" w:cs="Times New Roman"/>
          <w:sz w:val="25"/>
          <w:szCs w:val="25"/>
        </w:rPr>
        <w:t xml:space="preserve">to </w:t>
      </w:r>
      <w:r w:rsidR="005C1031" w:rsidRPr="00E06855">
        <w:rPr>
          <w:rFonts w:ascii="Times New Roman" w:hAnsi="Times New Roman" w:cs="Times New Roman"/>
          <w:sz w:val="25"/>
          <w:szCs w:val="25"/>
        </w:rPr>
        <w:t>genuinely improve decision-making process</w:t>
      </w:r>
      <w:r w:rsidR="00DF4769" w:rsidRPr="00E06855">
        <w:rPr>
          <w:rFonts w:ascii="Times New Roman" w:hAnsi="Times New Roman" w:cs="Times New Roman"/>
          <w:sz w:val="25"/>
          <w:szCs w:val="25"/>
        </w:rPr>
        <w:t xml:space="preserve">es </w:t>
      </w:r>
      <w:r w:rsidR="005C1031" w:rsidRPr="00E06855">
        <w:rPr>
          <w:rFonts w:ascii="Times New Roman" w:hAnsi="Times New Roman" w:cs="Times New Roman"/>
          <w:sz w:val="25"/>
          <w:szCs w:val="25"/>
        </w:rPr>
        <w:t xml:space="preserve">to </w:t>
      </w:r>
      <w:r w:rsidR="009F6E53" w:rsidRPr="00E06855">
        <w:rPr>
          <w:rFonts w:ascii="Times New Roman" w:hAnsi="Times New Roman" w:cs="Times New Roman"/>
          <w:sz w:val="25"/>
          <w:szCs w:val="25"/>
        </w:rPr>
        <w:t xml:space="preserve">reflect political will </w:t>
      </w:r>
      <w:r w:rsidR="00BE1757" w:rsidRPr="00E06855">
        <w:rPr>
          <w:rFonts w:ascii="Times New Roman" w:hAnsi="Times New Roman" w:cs="Times New Roman"/>
          <w:sz w:val="25"/>
          <w:szCs w:val="25"/>
        </w:rPr>
        <w:t xml:space="preserve">- </w:t>
      </w:r>
      <w:r w:rsidR="005C1031" w:rsidRPr="00E06855">
        <w:rPr>
          <w:rFonts w:ascii="Times New Roman" w:hAnsi="Times New Roman" w:cs="Times New Roman"/>
          <w:sz w:val="25"/>
          <w:szCs w:val="25"/>
        </w:rPr>
        <w:t xml:space="preserve">the inquiry into process review is misplaced. If broad ambitions are held, meaningful change will not emerge from trying, and often failing, to tweak judicial formulas. If we </w:t>
      </w:r>
      <w:r w:rsidR="005C1031" w:rsidRPr="00E06855">
        <w:rPr>
          <w:rFonts w:ascii="Times New Roman" w:hAnsi="Times New Roman" w:cs="Times New Roman"/>
          <w:sz w:val="25"/>
          <w:szCs w:val="25"/>
        </w:rPr>
        <w:lastRenderedPageBreak/>
        <w:t xml:space="preserve">want real reform of process, we must imagine and encourage political </w:t>
      </w:r>
      <w:r w:rsidR="00DF4769" w:rsidRPr="00E06855">
        <w:rPr>
          <w:rFonts w:ascii="Times New Roman" w:hAnsi="Times New Roman" w:cs="Times New Roman"/>
          <w:sz w:val="25"/>
          <w:szCs w:val="25"/>
        </w:rPr>
        <w:t>reforms of that</w:t>
      </w:r>
      <w:r w:rsidR="005C1031" w:rsidRPr="00E06855">
        <w:rPr>
          <w:rFonts w:ascii="Times New Roman" w:hAnsi="Times New Roman" w:cs="Times New Roman"/>
          <w:sz w:val="25"/>
          <w:szCs w:val="25"/>
        </w:rPr>
        <w:t xml:space="preserve"> process, rather than asking that the </w:t>
      </w:r>
      <w:r w:rsidR="00B36123" w:rsidRPr="00E06855">
        <w:rPr>
          <w:rFonts w:ascii="Times New Roman" w:hAnsi="Times New Roman" w:cs="Times New Roman"/>
          <w:sz w:val="25"/>
          <w:szCs w:val="25"/>
        </w:rPr>
        <w:t>c</w:t>
      </w:r>
      <w:r w:rsidR="005C1031" w:rsidRPr="00E06855">
        <w:rPr>
          <w:rFonts w:ascii="Times New Roman" w:hAnsi="Times New Roman" w:cs="Times New Roman"/>
          <w:sz w:val="25"/>
          <w:szCs w:val="25"/>
        </w:rPr>
        <w:t>ourt</w:t>
      </w:r>
      <w:r w:rsidR="00B36123" w:rsidRPr="00E06855">
        <w:rPr>
          <w:rFonts w:ascii="Times New Roman" w:hAnsi="Times New Roman" w:cs="Times New Roman"/>
          <w:sz w:val="25"/>
          <w:szCs w:val="25"/>
        </w:rPr>
        <w:t>s</w:t>
      </w:r>
      <w:r w:rsidR="005C1031" w:rsidRPr="00E06855">
        <w:rPr>
          <w:rFonts w:ascii="Times New Roman" w:hAnsi="Times New Roman" w:cs="Times New Roman"/>
          <w:sz w:val="25"/>
          <w:szCs w:val="25"/>
        </w:rPr>
        <w:t xml:space="preserve"> change it for us.</w:t>
      </w:r>
    </w:p>
    <w:sectPr w:rsidR="0000401E" w:rsidRPr="00E06855" w:rsidSect="007410E7">
      <w:footerReference w:type="even" r:id="rId8"/>
      <w:footerReference w:type="defaul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7F92" w14:textId="77777777" w:rsidR="003B1065" w:rsidRDefault="003B1065" w:rsidP="00BD4A8F">
      <w:pPr>
        <w:spacing w:before="0" w:after="0" w:line="240" w:lineRule="auto"/>
      </w:pPr>
      <w:r>
        <w:separator/>
      </w:r>
    </w:p>
  </w:endnote>
  <w:endnote w:type="continuationSeparator" w:id="0">
    <w:p w14:paraId="7D2DD354" w14:textId="77777777" w:rsidR="003B1065" w:rsidRDefault="003B1065" w:rsidP="00BD4A8F">
      <w:pPr>
        <w:spacing w:before="0" w:after="0" w:line="240" w:lineRule="auto"/>
      </w:pPr>
      <w:r>
        <w:continuationSeparator/>
      </w:r>
    </w:p>
  </w:endnote>
  <w:endnote w:type="continuationNotice" w:id="1">
    <w:p w14:paraId="49FB1348" w14:textId="77777777" w:rsidR="003B1065" w:rsidRDefault="003B10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5393772"/>
      <w:docPartObj>
        <w:docPartGallery w:val="Page Numbers (Bottom of Page)"/>
        <w:docPartUnique/>
      </w:docPartObj>
    </w:sdtPr>
    <w:sdtEndPr>
      <w:rPr>
        <w:rStyle w:val="PageNumber"/>
      </w:rPr>
    </w:sdtEndPr>
    <w:sdtContent>
      <w:p w14:paraId="267DF444" w14:textId="1D97F81B" w:rsidR="00EE6056" w:rsidRDefault="00EE6056" w:rsidP="00D12D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3AF6E" w14:textId="77777777" w:rsidR="00EE6056" w:rsidRDefault="00EE6056" w:rsidP="00EE60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5665861"/>
      <w:docPartObj>
        <w:docPartGallery w:val="Page Numbers (Bottom of Page)"/>
        <w:docPartUnique/>
      </w:docPartObj>
    </w:sdtPr>
    <w:sdtEndPr>
      <w:rPr>
        <w:rStyle w:val="PageNumber"/>
      </w:rPr>
    </w:sdtEndPr>
    <w:sdtContent>
      <w:p w14:paraId="74F9E274" w14:textId="1EF2F562" w:rsidR="00EE6056" w:rsidRDefault="00EE6056" w:rsidP="00D12D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EC5841" w14:textId="77777777" w:rsidR="00C6445D" w:rsidRDefault="00C6445D" w:rsidP="00C6445D">
    <w:pPr>
      <w:jc w:val="center"/>
      <w:rPr>
        <w:i/>
        <w:iCs/>
      </w:rPr>
    </w:pPr>
  </w:p>
  <w:p w14:paraId="192D2BE6" w14:textId="7BCB5674" w:rsidR="00EE6056" w:rsidRPr="00C6445D" w:rsidRDefault="00EE6056" w:rsidP="00C6445D">
    <w:pPr>
      <w:jc w:val="center"/>
      <w:rPr>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0800" w14:textId="66C6895E" w:rsidR="007410E7" w:rsidRPr="007410E7" w:rsidRDefault="007410E7" w:rsidP="007410E7">
    <w:pPr>
      <w:jc w:val="center"/>
      <w:rPr>
        <w:i/>
        <w:iCs/>
      </w:rPr>
    </w:pPr>
    <w:r>
      <w:rPr>
        <w:i/>
        <w:iCs/>
      </w:rPr>
      <w:t>Woodhouse: Process Review as Panacea</w:t>
    </w:r>
    <w:r>
      <w:rPr>
        <w:i/>
        <w:iCs/>
      </w:rPr>
      <w:br/>
    </w:r>
    <w:r w:rsidRPr="001C28DC">
      <w:rPr>
        <w:i/>
        <w:iCs/>
      </w:rPr>
      <w:t xml:space="preserve">European Law </w:t>
    </w:r>
    <w:r>
      <w:rPr>
        <w:i/>
        <w:iCs/>
      </w:rPr>
      <w:t xml:space="preserve">Review </w:t>
    </w:r>
    <w:r w:rsidRPr="001C28DC">
      <w:rPr>
        <w:i/>
        <w:iCs/>
      </w:rPr>
      <w:t>(Forthcoming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8ECCE" w14:textId="77777777" w:rsidR="003B1065" w:rsidRDefault="003B1065" w:rsidP="00BD4A8F">
      <w:pPr>
        <w:spacing w:before="0" w:after="0" w:line="240" w:lineRule="auto"/>
      </w:pPr>
      <w:r>
        <w:separator/>
      </w:r>
    </w:p>
  </w:footnote>
  <w:footnote w:type="continuationSeparator" w:id="0">
    <w:p w14:paraId="662E6D53" w14:textId="77777777" w:rsidR="003B1065" w:rsidRDefault="003B1065" w:rsidP="00BD4A8F">
      <w:pPr>
        <w:spacing w:before="0" w:after="0" w:line="240" w:lineRule="auto"/>
      </w:pPr>
      <w:r>
        <w:continuationSeparator/>
      </w:r>
    </w:p>
  </w:footnote>
  <w:footnote w:type="continuationNotice" w:id="1">
    <w:p w14:paraId="0B470EDF" w14:textId="77777777" w:rsidR="003B1065" w:rsidRDefault="003B1065">
      <w:pPr>
        <w:spacing w:before="0" w:after="0" w:line="240" w:lineRule="auto"/>
      </w:pPr>
    </w:p>
  </w:footnote>
  <w:footnote w:id="2">
    <w:p w14:paraId="37B9E396" w14:textId="4FE5AB07" w:rsidR="004F7D3A" w:rsidRDefault="003848AB" w:rsidP="00C6445D">
      <w:pPr>
        <w:spacing w:before="0" w:after="0" w:line="240" w:lineRule="auto"/>
        <w:rPr>
          <w:rFonts w:ascii="Times" w:eastAsia="Times New Roman" w:hAnsi="Times" w:cs="Times New Roman"/>
          <w:lang w:eastAsia="en-GB"/>
        </w:rPr>
      </w:pPr>
      <w:r w:rsidRPr="00C6445D">
        <w:rPr>
          <w:rFonts w:ascii="Times" w:hAnsi="Times" w:cs="Times New Roman"/>
        </w:rPr>
        <w:t>*</w:t>
      </w:r>
      <w:r w:rsidR="00C6445D">
        <w:rPr>
          <w:rFonts w:ascii="Times" w:hAnsi="Times" w:cs="Times New Roman"/>
        </w:rPr>
        <w:t xml:space="preserve"> </w:t>
      </w:r>
      <w:r w:rsidRPr="00C6445D">
        <w:rPr>
          <w:rFonts w:ascii="Times" w:hAnsi="Times" w:cs="Times New Roman"/>
        </w:rPr>
        <w:t xml:space="preserve">Lecturer in Law at the University of Liverpool. The author is grateful to </w:t>
      </w:r>
      <w:r w:rsidR="00FF081B" w:rsidRPr="00C6445D">
        <w:rPr>
          <w:rFonts w:ascii="Times" w:hAnsi="Times" w:cs="Times New Roman"/>
        </w:rPr>
        <w:t>Thomas Horsley</w:t>
      </w:r>
      <w:r w:rsidR="00B3158F" w:rsidRPr="00C6445D">
        <w:rPr>
          <w:rFonts w:ascii="Times" w:hAnsi="Times" w:cs="Times New Roman"/>
        </w:rPr>
        <w:t xml:space="preserve">, </w:t>
      </w:r>
      <w:r w:rsidR="003837B0" w:rsidRPr="00C6445D">
        <w:rPr>
          <w:rFonts w:ascii="Times" w:hAnsi="Times" w:cs="Times New Roman"/>
        </w:rPr>
        <w:t>Michael Dougan</w:t>
      </w:r>
      <w:r w:rsidR="00B3158F" w:rsidRPr="00C6445D">
        <w:rPr>
          <w:rFonts w:ascii="Times" w:hAnsi="Times" w:cs="Times New Roman"/>
        </w:rPr>
        <w:t xml:space="preserve">, Patricia Popelier, </w:t>
      </w:r>
      <w:r w:rsidR="00E33681" w:rsidRPr="00C6445D">
        <w:rPr>
          <w:rFonts w:ascii="Times" w:hAnsi="Times" w:cs="Times New Roman"/>
        </w:rPr>
        <w:t xml:space="preserve">Stephanie Reynolds, </w:t>
      </w:r>
      <w:r w:rsidR="00BC0F04" w:rsidRPr="00C6445D">
        <w:rPr>
          <w:rFonts w:ascii="Times" w:hAnsi="Times" w:cs="Times New Roman"/>
        </w:rPr>
        <w:t>Katy Sowery, Adam Tucker</w:t>
      </w:r>
      <w:r w:rsidR="00477315" w:rsidRPr="00C6445D">
        <w:rPr>
          <w:rFonts w:ascii="Times" w:hAnsi="Times" w:cs="Times New Roman"/>
        </w:rPr>
        <w:t>,</w:t>
      </w:r>
      <w:r w:rsidR="00BC0F04" w:rsidRPr="00C6445D">
        <w:rPr>
          <w:rFonts w:ascii="Times" w:hAnsi="Times" w:cs="Times New Roman"/>
        </w:rPr>
        <w:t xml:space="preserve"> Michelle </w:t>
      </w:r>
      <w:proofErr w:type="spellStart"/>
      <w:r w:rsidR="00BC0F04" w:rsidRPr="00C6445D">
        <w:rPr>
          <w:rFonts w:ascii="Times" w:hAnsi="Times" w:cs="Times New Roman"/>
        </w:rPr>
        <w:t>Finck</w:t>
      </w:r>
      <w:proofErr w:type="spellEnd"/>
      <w:r w:rsidR="006368CF" w:rsidRPr="00C6445D">
        <w:rPr>
          <w:rFonts w:ascii="Times" w:hAnsi="Times" w:cs="Times New Roman"/>
        </w:rPr>
        <w:t xml:space="preserve"> and </w:t>
      </w:r>
      <w:r w:rsidR="006825FF" w:rsidRPr="00C6445D">
        <w:rPr>
          <w:rFonts w:ascii="Times" w:hAnsi="Times" w:cs="Times New Roman"/>
        </w:rPr>
        <w:t xml:space="preserve">Christophe </w:t>
      </w:r>
      <w:proofErr w:type="spellStart"/>
      <w:r w:rsidR="006825FF" w:rsidRPr="00C6445D">
        <w:rPr>
          <w:rFonts w:ascii="Times" w:hAnsi="Times" w:cs="Times New Roman"/>
        </w:rPr>
        <w:t>Hillion</w:t>
      </w:r>
      <w:proofErr w:type="spellEnd"/>
      <w:r w:rsidR="006825FF" w:rsidRPr="00C6445D">
        <w:rPr>
          <w:rFonts w:ascii="Times" w:hAnsi="Times" w:cs="Times New Roman"/>
        </w:rPr>
        <w:t xml:space="preserve"> for comments on earlier draft</w:t>
      </w:r>
      <w:r w:rsidR="00A57D34" w:rsidRPr="00C6445D">
        <w:rPr>
          <w:rFonts w:ascii="Times" w:hAnsi="Times" w:cs="Times New Roman"/>
        </w:rPr>
        <w:t>s.</w:t>
      </w:r>
      <w:r w:rsidR="00D573AD" w:rsidRPr="00C6445D">
        <w:rPr>
          <w:rFonts w:ascii="Times" w:hAnsi="Times" w:cs="Times New Roman"/>
        </w:rPr>
        <w:t xml:space="preserve"> </w:t>
      </w:r>
      <w:r w:rsidR="00C6445D" w:rsidRPr="004F7D3A">
        <w:rPr>
          <w:rFonts w:ascii="Times" w:eastAsia="Times New Roman" w:hAnsi="Times" w:cs="Times New Roman"/>
          <w:lang w:eastAsia="en-GB"/>
        </w:rPr>
        <w:t xml:space="preserve">This is a pre-copyedited, author-produced version of an article accepted for publication in </w:t>
      </w:r>
      <w:r w:rsidR="00C6445D" w:rsidRPr="00C6445D">
        <w:rPr>
          <w:rFonts w:ascii="Times" w:eastAsia="Times New Roman" w:hAnsi="Times" w:cs="Times New Roman"/>
          <w:lang w:eastAsia="en-GB"/>
        </w:rPr>
        <w:t xml:space="preserve">European Law </w:t>
      </w:r>
      <w:r w:rsidR="00C6445D">
        <w:rPr>
          <w:rFonts w:ascii="Times" w:eastAsia="Times New Roman" w:hAnsi="Times" w:cs="Times New Roman"/>
          <w:lang w:eastAsia="en-GB"/>
        </w:rPr>
        <w:t>Review</w:t>
      </w:r>
      <w:r w:rsidR="00C6445D" w:rsidRPr="004F7D3A">
        <w:rPr>
          <w:rFonts w:ascii="Times" w:eastAsia="Times New Roman" w:hAnsi="Times" w:cs="Times New Roman"/>
          <w:lang w:eastAsia="en-GB"/>
        </w:rPr>
        <w:t xml:space="preserve"> following peer review. The definitive published version </w:t>
      </w:r>
      <w:r w:rsidR="00C6445D" w:rsidRPr="00C6445D">
        <w:rPr>
          <w:rFonts w:ascii="Times" w:eastAsia="Times New Roman" w:hAnsi="Times" w:cs="Times New Roman"/>
          <w:lang w:eastAsia="en-GB"/>
        </w:rPr>
        <w:t>will be</w:t>
      </w:r>
      <w:r w:rsidR="00C6445D" w:rsidRPr="004F7D3A">
        <w:rPr>
          <w:rFonts w:ascii="Times" w:eastAsia="Times New Roman" w:hAnsi="Times" w:cs="Times New Roman"/>
          <w:lang w:eastAsia="en-GB"/>
        </w:rPr>
        <w:t xml:space="preserve"> available online on Westlaw UK or from Thomson Reuters </w:t>
      </w:r>
      <w:proofErr w:type="spellStart"/>
      <w:r w:rsidR="00C6445D" w:rsidRPr="004F7D3A">
        <w:rPr>
          <w:rFonts w:ascii="Times" w:eastAsia="Times New Roman" w:hAnsi="Times" w:cs="Times New Roman"/>
          <w:lang w:eastAsia="en-GB"/>
        </w:rPr>
        <w:t>DocDel</w:t>
      </w:r>
      <w:proofErr w:type="spellEnd"/>
      <w:r w:rsidR="00C6445D" w:rsidRPr="004F7D3A">
        <w:rPr>
          <w:rFonts w:ascii="Times" w:eastAsia="Times New Roman" w:hAnsi="Times" w:cs="Times New Roman"/>
          <w:lang w:eastAsia="en-GB"/>
        </w:rPr>
        <w:t xml:space="preserve"> service</w:t>
      </w:r>
      <w:r w:rsidR="00C6445D" w:rsidRPr="00C6445D">
        <w:rPr>
          <w:rFonts w:ascii="Times" w:eastAsia="Times New Roman" w:hAnsi="Times" w:cs="Times New Roman"/>
          <w:lang w:eastAsia="en-GB"/>
        </w:rPr>
        <w:t xml:space="preserve"> in June 2020</w:t>
      </w:r>
    </w:p>
    <w:p w14:paraId="1D9AA78A" w14:textId="77777777" w:rsidR="00C6445D" w:rsidRPr="00C6445D" w:rsidRDefault="00C6445D" w:rsidP="00C6445D">
      <w:pPr>
        <w:spacing w:before="0" w:after="0" w:line="240" w:lineRule="auto"/>
        <w:rPr>
          <w:rFonts w:ascii="Times" w:eastAsia="Times New Roman" w:hAnsi="Times" w:cs="Times New Roman"/>
          <w:lang w:eastAsia="en-GB"/>
        </w:rPr>
      </w:pPr>
    </w:p>
    <w:p w14:paraId="4B89A811" w14:textId="728D2C35" w:rsidR="00341923" w:rsidRPr="00C6445D" w:rsidRDefault="00341923"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E83093" w:rsidRPr="00C6445D">
        <w:rPr>
          <w:rFonts w:ascii="Times" w:hAnsi="Times" w:cs="Times New Roman"/>
        </w:rPr>
        <w:t xml:space="preserve">See for example: </w:t>
      </w:r>
      <w:r w:rsidR="0068572A" w:rsidRPr="00C6445D">
        <w:rPr>
          <w:rFonts w:ascii="Times" w:hAnsi="Times" w:cs="Times New Roman"/>
        </w:rPr>
        <w:t xml:space="preserve">K. Lenaerts, "The European Court of Justice and Process-Oriented Review', </w:t>
      </w:r>
      <w:r w:rsidR="00C968FB" w:rsidRPr="00C6445D">
        <w:rPr>
          <w:rFonts w:ascii="Times" w:hAnsi="Times" w:cs="Times New Roman"/>
        </w:rPr>
        <w:t xml:space="preserve">(2012) </w:t>
      </w:r>
      <w:r w:rsidR="0068572A" w:rsidRPr="00C6445D">
        <w:rPr>
          <w:rFonts w:ascii="Times" w:hAnsi="Times" w:cs="Times New Roman"/>
        </w:rPr>
        <w:t xml:space="preserve">31 </w:t>
      </w:r>
      <w:r w:rsidR="00C968FB" w:rsidRPr="00C6445D">
        <w:rPr>
          <w:rFonts w:ascii="Times" w:hAnsi="Times" w:cs="Times New Roman"/>
        </w:rPr>
        <w:t>Y.E.L.</w:t>
      </w:r>
      <w:r w:rsidR="004B18CC" w:rsidRPr="00C6445D">
        <w:rPr>
          <w:rFonts w:ascii="Times" w:hAnsi="Times" w:cs="Times New Roman"/>
        </w:rPr>
        <w:t xml:space="preserve"> </w:t>
      </w:r>
      <w:r w:rsidR="0068572A" w:rsidRPr="00C6445D">
        <w:rPr>
          <w:rFonts w:ascii="Times" w:hAnsi="Times" w:cs="Times New Roman"/>
        </w:rPr>
        <w:t>3</w:t>
      </w:r>
      <w:r w:rsidR="00E837B4" w:rsidRPr="00C6445D">
        <w:rPr>
          <w:rFonts w:ascii="Times" w:hAnsi="Times" w:cs="Times New Roman"/>
        </w:rPr>
        <w:t xml:space="preserve">; </w:t>
      </w:r>
      <w:r w:rsidR="00D72905" w:rsidRPr="00C6445D">
        <w:rPr>
          <w:rFonts w:ascii="Times" w:hAnsi="Times" w:cs="Times New Roman"/>
        </w:rPr>
        <w:t xml:space="preserve">J. </w:t>
      </w:r>
      <w:r w:rsidR="00E837B4" w:rsidRPr="00C6445D">
        <w:rPr>
          <w:rFonts w:ascii="Times" w:hAnsi="Times" w:cs="Times New Roman"/>
        </w:rPr>
        <w:t xml:space="preserve">Oberg, “The rise of the procedural paradigm: judicial review of EU legislation in vertical competence disputes”, </w:t>
      </w:r>
      <w:r w:rsidR="003B1425" w:rsidRPr="00C6445D">
        <w:rPr>
          <w:rFonts w:ascii="Times" w:hAnsi="Times" w:cs="Times New Roman"/>
        </w:rPr>
        <w:t xml:space="preserve">(2017) </w:t>
      </w:r>
      <w:r w:rsidR="00E837B4" w:rsidRPr="00C6445D">
        <w:rPr>
          <w:rFonts w:ascii="Times" w:hAnsi="Times" w:cs="Times New Roman"/>
        </w:rPr>
        <w:t xml:space="preserve">13 </w:t>
      </w:r>
      <w:r w:rsidR="00AC315C" w:rsidRPr="00C6445D">
        <w:rPr>
          <w:rFonts w:ascii="Times" w:hAnsi="Times" w:cs="Times New Roman"/>
        </w:rPr>
        <w:t xml:space="preserve">Eur. Const. Law Rev. </w:t>
      </w:r>
      <w:r w:rsidR="00E837B4" w:rsidRPr="00C6445D">
        <w:rPr>
          <w:rFonts w:ascii="Times" w:hAnsi="Times" w:cs="Times New Roman"/>
        </w:rPr>
        <w:t xml:space="preserve">248; </w:t>
      </w:r>
      <w:r w:rsidR="003B2316" w:rsidRPr="00C6445D">
        <w:rPr>
          <w:rFonts w:ascii="Times" w:hAnsi="Times" w:cs="Times New Roman"/>
        </w:rPr>
        <w:t xml:space="preserve">J. </w:t>
      </w:r>
      <w:r w:rsidR="00E837B4" w:rsidRPr="00C6445D">
        <w:rPr>
          <w:rFonts w:ascii="Times" w:hAnsi="Times" w:cs="Times New Roman"/>
          <w:color w:val="000000" w:themeColor="text1"/>
        </w:rPr>
        <w:t>Gerards</w:t>
      </w:r>
      <w:r w:rsidR="0003795A" w:rsidRPr="00C6445D">
        <w:rPr>
          <w:rFonts w:ascii="Times" w:hAnsi="Times" w:cs="Times New Roman"/>
          <w:color w:val="000000" w:themeColor="text1"/>
        </w:rPr>
        <w:t>,</w:t>
      </w:r>
      <w:r w:rsidR="00E837B4" w:rsidRPr="00C6445D">
        <w:rPr>
          <w:rFonts w:ascii="Times" w:hAnsi="Times" w:cs="Times New Roman"/>
          <w:color w:val="000000" w:themeColor="text1"/>
        </w:rPr>
        <w:t xml:space="preserve"> </w:t>
      </w:r>
      <w:r w:rsidR="003B1425" w:rsidRPr="00C6445D">
        <w:rPr>
          <w:rFonts w:ascii="Times" w:hAnsi="Times" w:cs="Times New Roman"/>
          <w:color w:val="000000" w:themeColor="text1"/>
        </w:rPr>
        <w:t>“</w:t>
      </w:r>
      <w:r w:rsidR="00E837B4" w:rsidRPr="00C6445D">
        <w:rPr>
          <w:rFonts w:ascii="Times" w:hAnsi="Times" w:cs="Times New Roman"/>
          <w:color w:val="000000" w:themeColor="text1"/>
        </w:rPr>
        <w:t>Pluralism, Deference and the Margin of Appreciation Doctrine</w:t>
      </w:r>
      <w:r w:rsidR="003B1425" w:rsidRPr="00C6445D">
        <w:rPr>
          <w:rFonts w:ascii="Times" w:hAnsi="Times" w:cs="Times New Roman"/>
          <w:color w:val="000000" w:themeColor="text1"/>
        </w:rPr>
        <w:t>”</w:t>
      </w:r>
      <w:r w:rsidR="00E837B4" w:rsidRPr="00C6445D">
        <w:rPr>
          <w:rFonts w:ascii="Times" w:hAnsi="Times" w:cs="Times New Roman"/>
          <w:color w:val="000000" w:themeColor="text1"/>
        </w:rPr>
        <w:t xml:space="preserve"> </w:t>
      </w:r>
      <w:r w:rsidR="003B1425" w:rsidRPr="00C6445D">
        <w:rPr>
          <w:rFonts w:ascii="Times" w:hAnsi="Times" w:cs="Times New Roman"/>
          <w:color w:val="000000" w:themeColor="text1"/>
        </w:rPr>
        <w:t>(2011)</w:t>
      </w:r>
      <w:r w:rsidR="00E837B4" w:rsidRPr="00C6445D">
        <w:rPr>
          <w:rFonts w:ascii="Times" w:hAnsi="Times" w:cs="Times New Roman"/>
          <w:color w:val="000000" w:themeColor="text1"/>
        </w:rPr>
        <w:t xml:space="preserve"> 17 </w:t>
      </w:r>
      <w:r w:rsidR="005A239A" w:rsidRPr="00C6445D">
        <w:rPr>
          <w:rFonts w:ascii="Times" w:hAnsi="Times" w:cs="Times New Roman"/>
          <w:color w:val="000000" w:themeColor="text1"/>
        </w:rPr>
        <w:t>E.J.L.</w:t>
      </w:r>
      <w:r w:rsidR="00507A4C" w:rsidRPr="00C6445D">
        <w:rPr>
          <w:rFonts w:ascii="Times" w:hAnsi="Times" w:cs="Times New Roman"/>
          <w:color w:val="000000" w:themeColor="text1"/>
        </w:rPr>
        <w:t xml:space="preserve"> </w:t>
      </w:r>
      <w:r w:rsidR="00E837B4" w:rsidRPr="00C6445D">
        <w:rPr>
          <w:rFonts w:ascii="Times" w:hAnsi="Times" w:cs="Times New Roman"/>
          <w:color w:val="000000" w:themeColor="text1"/>
        </w:rPr>
        <w:t xml:space="preserve">80; </w:t>
      </w:r>
      <w:r w:rsidR="000B08CA" w:rsidRPr="00C6445D">
        <w:rPr>
          <w:rFonts w:ascii="Times" w:hAnsi="Times" w:cs="Times New Roman"/>
          <w:color w:val="000000" w:themeColor="text1"/>
        </w:rPr>
        <w:t xml:space="preserve">T.I. </w:t>
      </w:r>
      <w:r w:rsidR="00E837B4" w:rsidRPr="00C6445D">
        <w:rPr>
          <w:rFonts w:ascii="Times" w:hAnsi="Times" w:cs="Times New Roman"/>
        </w:rPr>
        <w:t>Harbo</w:t>
      </w:r>
      <w:r w:rsidR="0003795A" w:rsidRPr="00C6445D">
        <w:rPr>
          <w:rFonts w:ascii="Times" w:hAnsi="Times" w:cs="Times New Roman"/>
        </w:rPr>
        <w:t>,</w:t>
      </w:r>
      <w:r w:rsidR="00E837B4" w:rsidRPr="00C6445D">
        <w:rPr>
          <w:rFonts w:ascii="Times" w:hAnsi="Times" w:cs="Times New Roman"/>
        </w:rPr>
        <w:t xml:space="preserve"> “Introducing Procedural Proportionality Review in European Law”, </w:t>
      </w:r>
      <w:r w:rsidR="00D36131" w:rsidRPr="00C6445D">
        <w:rPr>
          <w:rFonts w:ascii="Times" w:hAnsi="Times" w:cs="Times New Roman"/>
        </w:rPr>
        <w:t xml:space="preserve">30 </w:t>
      </w:r>
      <w:r w:rsidR="00E837B4" w:rsidRPr="00C6445D">
        <w:rPr>
          <w:rFonts w:ascii="Times" w:hAnsi="Times" w:cs="Times New Roman"/>
        </w:rPr>
        <w:t>L</w:t>
      </w:r>
      <w:r w:rsidR="00C15AC0" w:rsidRPr="00C6445D">
        <w:rPr>
          <w:rFonts w:ascii="Times" w:hAnsi="Times" w:cs="Times New Roman"/>
        </w:rPr>
        <w:t>.J.I.L.</w:t>
      </w:r>
      <w:r w:rsidR="00D36131" w:rsidRPr="00C6445D">
        <w:rPr>
          <w:rFonts w:ascii="Times" w:hAnsi="Times" w:cs="Times New Roman"/>
        </w:rPr>
        <w:t xml:space="preserve"> </w:t>
      </w:r>
      <w:r w:rsidR="00E837B4" w:rsidRPr="00C6445D">
        <w:rPr>
          <w:rFonts w:ascii="Times" w:hAnsi="Times" w:cs="Times New Roman"/>
        </w:rPr>
        <w:t>(2017)</w:t>
      </w:r>
      <w:r w:rsidR="00D36131" w:rsidRPr="00C6445D">
        <w:rPr>
          <w:rFonts w:ascii="Times" w:hAnsi="Times" w:cs="Times New Roman"/>
        </w:rPr>
        <w:t>,</w:t>
      </w:r>
      <w:r w:rsidR="00E837B4" w:rsidRPr="00C6445D">
        <w:rPr>
          <w:rFonts w:ascii="Times" w:hAnsi="Times" w:cs="Times New Roman"/>
        </w:rPr>
        <w:t xml:space="preserve"> 25; </w:t>
      </w:r>
      <w:r w:rsidR="00D36131" w:rsidRPr="00C6445D">
        <w:rPr>
          <w:rFonts w:ascii="Times" w:hAnsi="Times" w:cs="Times New Roman"/>
        </w:rPr>
        <w:t xml:space="preserve">A. </w:t>
      </w:r>
      <w:r w:rsidR="00E837B4" w:rsidRPr="00C6445D">
        <w:rPr>
          <w:rFonts w:ascii="Times" w:hAnsi="Times" w:cs="Times New Roman"/>
        </w:rPr>
        <w:t xml:space="preserve">Meuwese and </w:t>
      </w:r>
      <w:r w:rsidR="00D36131" w:rsidRPr="00C6445D">
        <w:rPr>
          <w:rFonts w:ascii="Times" w:hAnsi="Times" w:cs="Times New Roman"/>
        </w:rPr>
        <w:t xml:space="preserve">P. </w:t>
      </w:r>
      <w:r w:rsidR="00E837B4" w:rsidRPr="00C6445D">
        <w:rPr>
          <w:rFonts w:ascii="Times" w:hAnsi="Times" w:cs="Times New Roman"/>
        </w:rPr>
        <w:t>Popelier</w:t>
      </w:r>
      <w:r w:rsidR="0003795A" w:rsidRPr="00C6445D">
        <w:rPr>
          <w:rFonts w:ascii="Times" w:hAnsi="Times" w:cs="Times New Roman"/>
        </w:rPr>
        <w:t xml:space="preserve">, </w:t>
      </w:r>
      <w:r w:rsidR="00E837B4" w:rsidRPr="00C6445D">
        <w:rPr>
          <w:rFonts w:ascii="Times" w:hAnsi="Times" w:cs="Times New Roman"/>
        </w:rPr>
        <w:t xml:space="preserve">“Legal Implications of Better Regulation: A Special Issue” </w:t>
      </w:r>
      <w:r w:rsidR="003B1425" w:rsidRPr="00C6445D">
        <w:rPr>
          <w:rFonts w:ascii="Times" w:hAnsi="Times" w:cs="Times New Roman"/>
        </w:rPr>
        <w:t xml:space="preserve">(2011) </w:t>
      </w:r>
      <w:r w:rsidR="00A8261C" w:rsidRPr="00C6445D">
        <w:rPr>
          <w:rFonts w:ascii="Times" w:hAnsi="Times" w:cs="Times New Roman"/>
        </w:rPr>
        <w:t xml:space="preserve">17 </w:t>
      </w:r>
      <w:r w:rsidR="00F37086" w:rsidRPr="00C6445D">
        <w:rPr>
          <w:rFonts w:ascii="Times" w:hAnsi="Times" w:cs="Times New Roman"/>
        </w:rPr>
        <w:t>E.P.L</w:t>
      </w:r>
      <w:r w:rsidR="00E837B4" w:rsidRPr="00C6445D">
        <w:rPr>
          <w:rFonts w:ascii="Times" w:hAnsi="Times" w:cs="Times New Roman"/>
        </w:rPr>
        <w:t xml:space="preserve"> 455;</w:t>
      </w:r>
      <w:r w:rsidR="00DE41CB" w:rsidRPr="00C6445D">
        <w:rPr>
          <w:rFonts w:ascii="Times" w:hAnsi="Times" w:cs="Times New Roman"/>
        </w:rPr>
        <w:t xml:space="preserve"> D. </w:t>
      </w:r>
      <w:r w:rsidR="00D61022" w:rsidRPr="00C6445D">
        <w:rPr>
          <w:rFonts w:ascii="Times" w:hAnsi="Times" w:cs="Times New Roman"/>
        </w:rPr>
        <w:t xml:space="preserve">Harvey, “Towards Process-Oriented Proportionality Review in the European Union” </w:t>
      </w:r>
      <w:r w:rsidR="00756A89" w:rsidRPr="00C6445D">
        <w:rPr>
          <w:rFonts w:ascii="Times" w:hAnsi="Times" w:cs="Times New Roman"/>
        </w:rPr>
        <w:t xml:space="preserve">(2017) </w:t>
      </w:r>
      <w:r w:rsidR="00D61022" w:rsidRPr="00C6445D">
        <w:rPr>
          <w:rFonts w:ascii="Times" w:hAnsi="Times" w:cs="Times New Roman"/>
        </w:rPr>
        <w:t xml:space="preserve">23 </w:t>
      </w:r>
      <w:r w:rsidR="005E64BF" w:rsidRPr="00C6445D">
        <w:rPr>
          <w:rFonts w:ascii="Times" w:hAnsi="Times" w:cs="Times New Roman"/>
        </w:rPr>
        <w:t>E.P.L.</w:t>
      </w:r>
      <w:r w:rsidR="00674359" w:rsidRPr="00C6445D">
        <w:rPr>
          <w:rFonts w:ascii="Times" w:hAnsi="Times" w:cs="Times New Roman"/>
        </w:rPr>
        <w:t xml:space="preserve"> </w:t>
      </w:r>
      <w:r w:rsidR="00D61022" w:rsidRPr="00C6445D">
        <w:rPr>
          <w:rFonts w:ascii="Times" w:hAnsi="Times" w:cs="Times New Roman"/>
        </w:rPr>
        <w:t xml:space="preserve">93. </w:t>
      </w:r>
      <w:r w:rsidR="005A651D" w:rsidRPr="00C6445D">
        <w:rPr>
          <w:rFonts w:ascii="Times" w:hAnsi="Times" w:cs="Times New Roman"/>
        </w:rPr>
        <w:t xml:space="preserve">A. </w:t>
      </w:r>
      <w:r w:rsidR="00E837B4" w:rsidRPr="00C6445D">
        <w:rPr>
          <w:rFonts w:ascii="Times" w:hAnsi="Times" w:cs="Times New Roman"/>
        </w:rPr>
        <w:t>Alemanno, “The Emergence of the Evidence-Based Judicial Reflex: A Response to Bar-Siman-</w:t>
      </w:r>
      <w:proofErr w:type="spellStart"/>
      <w:r w:rsidR="00E837B4" w:rsidRPr="00C6445D">
        <w:rPr>
          <w:rFonts w:ascii="Times" w:hAnsi="Times" w:cs="Times New Roman"/>
        </w:rPr>
        <w:t>Tov’s</w:t>
      </w:r>
      <w:proofErr w:type="spellEnd"/>
      <w:r w:rsidR="00E837B4" w:rsidRPr="00C6445D">
        <w:rPr>
          <w:rFonts w:ascii="Times" w:hAnsi="Times" w:cs="Times New Roman"/>
        </w:rPr>
        <w:t xml:space="preserve"> Semiprocedural Review” </w:t>
      </w:r>
      <w:r w:rsidR="006F2E29" w:rsidRPr="00C6445D">
        <w:rPr>
          <w:rFonts w:ascii="Times" w:hAnsi="Times" w:cs="Times New Roman"/>
        </w:rPr>
        <w:t xml:space="preserve">(2013) </w:t>
      </w:r>
      <w:r w:rsidR="00E837B4" w:rsidRPr="00C6445D">
        <w:rPr>
          <w:rFonts w:ascii="Times" w:hAnsi="Times" w:cs="Times New Roman"/>
        </w:rPr>
        <w:t xml:space="preserve">1 </w:t>
      </w:r>
      <w:r w:rsidR="0012496C" w:rsidRPr="00C6445D">
        <w:rPr>
          <w:rFonts w:ascii="Times" w:hAnsi="Times" w:cs="Times New Roman"/>
        </w:rPr>
        <w:t xml:space="preserve">T. &amp; P.L. </w:t>
      </w:r>
      <w:r w:rsidR="00E837B4" w:rsidRPr="00C6445D">
        <w:rPr>
          <w:rFonts w:ascii="Times" w:hAnsi="Times" w:cs="Times New Roman"/>
        </w:rPr>
        <w:t>327</w:t>
      </w:r>
      <w:r w:rsidR="00374AA0" w:rsidRPr="00C6445D">
        <w:rPr>
          <w:rFonts w:ascii="Times" w:hAnsi="Times" w:cs="Times New Roman"/>
        </w:rPr>
        <w:t xml:space="preserve">; </w:t>
      </w:r>
      <w:r w:rsidR="002B3C5D" w:rsidRPr="00C6445D">
        <w:rPr>
          <w:rFonts w:ascii="Times" w:hAnsi="Times" w:cs="Times New Roman"/>
        </w:rPr>
        <w:t xml:space="preserve">I. </w:t>
      </w:r>
      <w:r w:rsidR="00374AA0" w:rsidRPr="00C6445D">
        <w:rPr>
          <w:rFonts w:ascii="Times" w:hAnsi="Times" w:cs="Times New Roman"/>
        </w:rPr>
        <w:t xml:space="preserve">Bar-Siman-Tov “Semiprocedural Judicial Review”, </w:t>
      </w:r>
      <w:r w:rsidR="00085FC9" w:rsidRPr="00C6445D">
        <w:rPr>
          <w:rFonts w:ascii="Times" w:hAnsi="Times" w:cs="Times New Roman"/>
        </w:rPr>
        <w:t xml:space="preserve">(2012) </w:t>
      </w:r>
      <w:r w:rsidR="00374AA0" w:rsidRPr="00C6445D">
        <w:rPr>
          <w:rFonts w:ascii="Times" w:hAnsi="Times" w:cs="Times New Roman"/>
        </w:rPr>
        <w:t>6 Leg</w:t>
      </w:r>
      <w:r w:rsidR="006F58BE" w:rsidRPr="00C6445D">
        <w:rPr>
          <w:rFonts w:ascii="Times" w:hAnsi="Times" w:cs="Times New Roman"/>
        </w:rPr>
        <w:t>.</w:t>
      </w:r>
      <w:r w:rsidR="00CF4064" w:rsidRPr="00C6445D">
        <w:rPr>
          <w:rFonts w:ascii="Times" w:hAnsi="Times" w:cs="Times New Roman"/>
        </w:rPr>
        <w:t xml:space="preserve"> </w:t>
      </w:r>
      <w:r w:rsidR="00374AA0" w:rsidRPr="00C6445D">
        <w:rPr>
          <w:rFonts w:ascii="Times" w:hAnsi="Times" w:cs="Times New Roman"/>
        </w:rPr>
        <w:t>271</w:t>
      </w:r>
      <w:r w:rsidR="008E1B0E" w:rsidRPr="00C6445D">
        <w:rPr>
          <w:rFonts w:ascii="Times" w:hAnsi="Times" w:cs="Times New Roman"/>
        </w:rPr>
        <w:t>; X. Groussot and S. Bogjević</w:t>
      </w:r>
      <w:r w:rsidR="0003795A" w:rsidRPr="00C6445D">
        <w:rPr>
          <w:rFonts w:ascii="Times" w:hAnsi="Times" w:cs="Times New Roman"/>
        </w:rPr>
        <w:t>,</w:t>
      </w:r>
      <w:r w:rsidR="008E1B0E" w:rsidRPr="00C6445D">
        <w:rPr>
          <w:rFonts w:ascii="Times" w:hAnsi="Times" w:cs="Times New Roman"/>
        </w:rPr>
        <w:t xml:space="preserve"> “Subsidiarity as a procedural safeguard of federalism” in</w:t>
      </w:r>
      <w:r w:rsidR="00C91555" w:rsidRPr="00C6445D">
        <w:rPr>
          <w:rFonts w:ascii="Times" w:hAnsi="Times" w:cs="Times New Roman"/>
        </w:rPr>
        <w:t xml:space="preserve"> L. Azoulai (ed.)</w:t>
      </w:r>
      <w:r w:rsidR="008E1B0E" w:rsidRPr="00C6445D">
        <w:rPr>
          <w:rFonts w:ascii="Times" w:hAnsi="Times" w:cs="Times New Roman"/>
        </w:rPr>
        <w:t xml:space="preserve"> </w:t>
      </w:r>
      <w:r w:rsidR="008E1B0E" w:rsidRPr="00C6445D">
        <w:rPr>
          <w:rFonts w:ascii="Times" w:hAnsi="Times" w:cs="Times New Roman"/>
          <w:i/>
        </w:rPr>
        <w:t xml:space="preserve">The question of competence in the European Union </w:t>
      </w:r>
      <w:r w:rsidR="008E1B0E" w:rsidRPr="00C6445D">
        <w:rPr>
          <w:rFonts w:ascii="Times" w:hAnsi="Times" w:cs="Times New Roman"/>
        </w:rPr>
        <w:t>(</w:t>
      </w:r>
      <w:r w:rsidR="00E82704" w:rsidRPr="00C6445D">
        <w:rPr>
          <w:rFonts w:ascii="Times" w:hAnsi="Times" w:cs="Times New Roman"/>
        </w:rPr>
        <w:t xml:space="preserve">Oxford: </w:t>
      </w:r>
      <w:r w:rsidR="008E1B0E" w:rsidRPr="00C6445D">
        <w:rPr>
          <w:rFonts w:ascii="Times" w:hAnsi="Times" w:cs="Times New Roman"/>
        </w:rPr>
        <w:t>OUP, 2014), p. 245</w:t>
      </w:r>
      <w:r w:rsidR="00E22A53" w:rsidRPr="00C6445D">
        <w:rPr>
          <w:rFonts w:ascii="Times" w:hAnsi="Times" w:cs="Times New Roman"/>
        </w:rPr>
        <w:t xml:space="preserve">; F. De Witte. </w:t>
      </w:r>
      <w:r w:rsidR="00317549" w:rsidRPr="00C6445D">
        <w:rPr>
          <w:rFonts w:ascii="Times" w:hAnsi="Times" w:cs="Times New Roman"/>
        </w:rPr>
        <w:t>“</w:t>
      </w:r>
      <w:r w:rsidR="00E22A53" w:rsidRPr="00C6445D">
        <w:rPr>
          <w:rFonts w:ascii="Times" w:hAnsi="Times" w:cs="Times New Roman"/>
        </w:rPr>
        <w:t>Sex, Drugs &amp; EU Law: The Recognition of Moral and Ethical Diversity in EU Law</w:t>
      </w:r>
      <w:r w:rsidR="00FC3B9E" w:rsidRPr="00C6445D">
        <w:rPr>
          <w:rFonts w:ascii="Times" w:hAnsi="Times" w:cs="Times New Roman"/>
        </w:rPr>
        <w:t>”</w:t>
      </w:r>
      <w:r w:rsidR="00E22A53" w:rsidRPr="00C6445D">
        <w:rPr>
          <w:rFonts w:ascii="Times" w:hAnsi="Times" w:cs="Times New Roman"/>
        </w:rPr>
        <w:t xml:space="preserve"> (2013) 50 C.M.L. Rev. 1545</w:t>
      </w:r>
      <w:r w:rsidR="008E4AD0" w:rsidRPr="00C6445D">
        <w:rPr>
          <w:rFonts w:ascii="Times" w:hAnsi="Times" w:cs="Times New Roman"/>
        </w:rPr>
        <w:t>.</w:t>
      </w:r>
    </w:p>
  </w:footnote>
  <w:footnote w:id="3">
    <w:p w14:paraId="581808BA" w14:textId="32BB8ED7" w:rsidR="00BA1475" w:rsidRPr="00C6445D" w:rsidRDefault="00BA147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Oberg</w:t>
      </w:r>
      <w:r w:rsidR="004076D9" w:rsidRPr="00C6445D">
        <w:rPr>
          <w:rFonts w:ascii="Times" w:hAnsi="Times" w:cs="Times New Roman"/>
        </w:rPr>
        <w:t xml:space="preserve"> “The </w:t>
      </w:r>
      <w:r w:rsidR="00C70728" w:rsidRPr="00C6445D">
        <w:rPr>
          <w:rFonts w:ascii="Times" w:hAnsi="Times" w:cs="Times New Roman"/>
        </w:rPr>
        <w:t>P</w:t>
      </w:r>
      <w:r w:rsidR="004076D9" w:rsidRPr="00C6445D">
        <w:rPr>
          <w:rFonts w:ascii="Times" w:hAnsi="Times" w:cs="Times New Roman"/>
        </w:rPr>
        <w:t xml:space="preserve">rocedural </w:t>
      </w:r>
      <w:r w:rsidR="00C70728" w:rsidRPr="00C6445D">
        <w:rPr>
          <w:rFonts w:ascii="Times" w:hAnsi="Times" w:cs="Times New Roman"/>
        </w:rPr>
        <w:t>Pa</w:t>
      </w:r>
      <w:r w:rsidR="004076D9" w:rsidRPr="00C6445D">
        <w:rPr>
          <w:rFonts w:ascii="Times" w:hAnsi="Times" w:cs="Times New Roman"/>
        </w:rPr>
        <w:t>radigm”</w:t>
      </w:r>
      <w:r w:rsidR="00D72413" w:rsidRPr="00C6445D">
        <w:rPr>
          <w:rFonts w:ascii="Times" w:hAnsi="Times" w:cs="Times New Roman"/>
        </w:rPr>
        <w:t xml:space="preserve"> </w:t>
      </w:r>
      <w:r w:rsidR="00166026" w:rsidRPr="00C6445D">
        <w:rPr>
          <w:rFonts w:ascii="Times" w:hAnsi="Times" w:cs="Times New Roman"/>
        </w:rPr>
        <w:t>above</w:t>
      </w:r>
      <w:r w:rsidR="001E0CEA" w:rsidRPr="00C6445D">
        <w:rPr>
          <w:rFonts w:ascii="Times" w:hAnsi="Times" w:cs="Times New Roman"/>
        </w:rPr>
        <w:t xml:space="preserve">, </w:t>
      </w:r>
      <w:r w:rsidRPr="00C6445D">
        <w:rPr>
          <w:rFonts w:ascii="Times" w:hAnsi="Times" w:cs="Times New Roman"/>
        </w:rPr>
        <w:t xml:space="preserve"> 278.</w:t>
      </w:r>
    </w:p>
  </w:footnote>
  <w:footnote w:id="4">
    <w:p w14:paraId="2D13A741" w14:textId="4A18B953" w:rsidR="00BA1475" w:rsidRPr="00C6445D" w:rsidRDefault="00BA147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A7186A" w:rsidRPr="00C6445D">
        <w:rPr>
          <w:rFonts w:ascii="Times" w:hAnsi="Times" w:cs="Times New Roman"/>
          <w:color w:val="000000" w:themeColor="text1"/>
        </w:rPr>
        <w:t xml:space="preserve">Gerards </w:t>
      </w:r>
      <w:r w:rsidR="00CD11A9" w:rsidRPr="00C6445D">
        <w:rPr>
          <w:rFonts w:ascii="Times" w:hAnsi="Times" w:cs="Times New Roman"/>
          <w:color w:val="000000" w:themeColor="text1"/>
        </w:rPr>
        <w:t xml:space="preserve">“The Margin of Appreciation Doctrine” </w:t>
      </w:r>
      <w:r w:rsidR="00166026" w:rsidRPr="00C6445D">
        <w:rPr>
          <w:rFonts w:ascii="Times" w:hAnsi="Times" w:cs="Times New Roman"/>
        </w:rPr>
        <w:t>above</w:t>
      </w:r>
      <w:r w:rsidR="00A7186A" w:rsidRPr="00C6445D">
        <w:rPr>
          <w:rFonts w:ascii="Times" w:hAnsi="Times" w:cs="Times New Roman"/>
          <w:color w:val="000000" w:themeColor="text1"/>
        </w:rPr>
        <w:t xml:space="preserve">, </w:t>
      </w:r>
      <w:r w:rsidRPr="00C6445D">
        <w:rPr>
          <w:rFonts w:ascii="Times" w:hAnsi="Times" w:cs="Times New Roman"/>
        </w:rPr>
        <w:t>115</w:t>
      </w:r>
    </w:p>
  </w:footnote>
  <w:footnote w:id="5">
    <w:p w14:paraId="660440BA" w14:textId="57747C3F" w:rsidR="00BA1475" w:rsidRPr="00C6445D" w:rsidRDefault="00BA147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59216E" w:rsidRPr="00C6445D">
        <w:rPr>
          <w:rFonts w:ascii="Times" w:hAnsi="Times" w:cs="Times New Roman"/>
        </w:rPr>
        <w:t>Harbo</w:t>
      </w:r>
      <w:r w:rsidR="00166026" w:rsidRPr="00C6445D">
        <w:rPr>
          <w:rFonts w:ascii="Times" w:hAnsi="Times" w:cs="Times New Roman"/>
        </w:rPr>
        <w:t xml:space="preserve"> </w:t>
      </w:r>
      <w:r w:rsidR="00A53DC1" w:rsidRPr="00C6445D">
        <w:rPr>
          <w:rFonts w:ascii="Times" w:hAnsi="Times" w:cs="Times New Roman"/>
        </w:rPr>
        <w:t>“Introducing Procedural P</w:t>
      </w:r>
      <w:r w:rsidR="00E02CF4" w:rsidRPr="00C6445D">
        <w:rPr>
          <w:rFonts w:ascii="Times" w:hAnsi="Times" w:cs="Times New Roman"/>
        </w:rPr>
        <w:t>ro</w:t>
      </w:r>
      <w:r w:rsidR="00A53DC1" w:rsidRPr="00C6445D">
        <w:rPr>
          <w:rFonts w:ascii="Times" w:hAnsi="Times" w:cs="Times New Roman"/>
        </w:rPr>
        <w:t xml:space="preserve">portionality Review” </w:t>
      </w:r>
      <w:r w:rsidR="00166026" w:rsidRPr="00C6445D">
        <w:rPr>
          <w:rFonts w:ascii="Times" w:hAnsi="Times" w:cs="Times New Roman"/>
        </w:rPr>
        <w:t xml:space="preserve">above, </w:t>
      </w:r>
      <w:r w:rsidRPr="00C6445D">
        <w:rPr>
          <w:rFonts w:ascii="Times" w:hAnsi="Times" w:cs="Times New Roman"/>
        </w:rPr>
        <w:t>35.</w:t>
      </w:r>
    </w:p>
  </w:footnote>
  <w:footnote w:id="6">
    <w:p w14:paraId="4C3410C9" w14:textId="35236FDE" w:rsidR="00BA1475" w:rsidRPr="00C6445D" w:rsidRDefault="00BA1475" w:rsidP="00FB49D8">
      <w:pPr>
        <w:pStyle w:val="FootnoteText"/>
        <w:rPr>
          <w:rFonts w:ascii="Times" w:hAnsi="Times" w:cs="Times New Roman"/>
          <w:lang w:val="en-US"/>
        </w:rPr>
      </w:pPr>
      <w:r w:rsidRPr="00C6445D">
        <w:rPr>
          <w:rStyle w:val="FootnoteReference"/>
          <w:rFonts w:ascii="Times" w:hAnsi="Times" w:cs="Times New Roman"/>
        </w:rPr>
        <w:footnoteRef/>
      </w:r>
      <w:r w:rsidRPr="00C6445D">
        <w:rPr>
          <w:rFonts w:ascii="Times" w:hAnsi="Times" w:cs="Times New Roman"/>
        </w:rPr>
        <w:t xml:space="preserve"> </w:t>
      </w:r>
      <w:r w:rsidR="00830BB5" w:rsidRPr="00C6445D">
        <w:rPr>
          <w:rFonts w:ascii="Times" w:hAnsi="Times" w:cs="Times New Roman"/>
        </w:rPr>
        <w:t>Meuwese and Popelier</w:t>
      </w:r>
      <w:r w:rsidR="0059073F" w:rsidRPr="00C6445D">
        <w:rPr>
          <w:rFonts w:ascii="Times" w:hAnsi="Times" w:cs="Times New Roman"/>
        </w:rPr>
        <w:t xml:space="preserve"> “Better Regulation”</w:t>
      </w:r>
      <w:r w:rsidR="00830BB5" w:rsidRPr="00C6445D">
        <w:rPr>
          <w:rFonts w:ascii="Times" w:hAnsi="Times" w:cs="Times New Roman"/>
        </w:rPr>
        <w:t xml:space="preserve"> </w:t>
      </w:r>
      <w:r w:rsidR="00166026" w:rsidRPr="00C6445D">
        <w:rPr>
          <w:rFonts w:ascii="Times" w:hAnsi="Times" w:cs="Times New Roman"/>
        </w:rPr>
        <w:t xml:space="preserve">above, </w:t>
      </w:r>
      <w:r w:rsidRPr="00C6445D">
        <w:rPr>
          <w:rFonts w:ascii="Times" w:hAnsi="Times" w:cs="Times New Roman"/>
          <w:lang w:val="en-US"/>
        </w:rPr>
        <w:t>464.</w:t>
      </w:r>
    </w:p>
  </w:footnote>
  <w:footnote w:id="7">
    <w:p w14:paraId="7097E1E9" w14:textId="6A080E44" w:rsidR="00BA1475" w:rsidRPr="00C6445D" w:rsidRDefault="00BA147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Harb</w:t>
      </w:r>
      <w:r w:rsidR="00571E39" w:rsidRPr="00C6445D">
        <w:rPr>
          <w:rFonts w:ascii="Times" w:hAnsi="Times" w:cs="Times New Roman"/>
        </w:rPr>
        <w:t>o</w:t>
      </w:r>
      <w:r w:rsidR="00166026" w:rsidRPr="00C6445D">
        <w:rPr>
          <w:rFonts w:ascii="Times" w:hAnsi="Times" w:cs="Times New Roman"/>
        </w:rPr>
        <w:t xml:space="preserve"> </w:t>
      </w:r>
      <w:r w:rsidR="003C5484" w:rsidRPr="00C6445D">
        <w:rPr>
          <w:rFonts w:ascii="Times" w:hAnsi="Times" w:cs="Times New Roman"/>
        </w:rPr>
        <w:t xml:space="preserve">“Introducing Procedural Proportionality Review” </w:t>
      </w:r>
      <w:r w:rsidR="00166026" w:rsidRPr="00C6445D">
        <w:rPr>
          <w:rFonts w:ascii="Times" w:hAnsi="Times" w:cs="Times New Roman"/>
        </w:rPr>
        <w:t xml:space="preserve">above, </w:t>
      </w:r>
      <w:r w:rsidRPr="00C6445D">
        <w:rPr>
          <w:rFonts w:ascii="Times" w:hAnsi="Times" w:cs="Times New Roman"/>
        </w:rPr>
        <w:t>36.</w:t>
      </w:r>
    </w:p>
  </w:footnote>
  <w:footnote w:id="8">
    <w:p w14:paraId="0DC2A78D" w14:textId="0318C170" w:rsidR="00BA1475" w:rsidRPr="00C6445D" w:rsidRDefault="00BA147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De Witte</w:t>
      </w:r>
      <w:r w:rsidR="00722136" w:rsidRPr="00C6445D">
        <w:rPr>
          <w:rFonts w:ascii="Times" w:hAnsi="Times" w:cs="Times New Roman"/>
        </w:rPr>
        <w:t xml:space="preserve"> “Sex, Drugs and EU Law”</w:t>
      </w:r>
      <w:r w:rsidR="00810CA2" w:rsidRPr="00C6445D">
        <w:rPr>
          <w:rFonts w:ascii="Times" w:hAnsi="Times" w:cs="Times New Roman"/>
        </w:rPr>
        <w:t xml:space="preserve"> above,</w:t>
      </w:r>
      <w:r w:rsidRPr="00C6445D">
        <w:rPr>
          <w:rFonts w:ascii="Times" w:hAnsi="Times" w:cs="Times New Roman"/>
        </w:rPr>
        <w:t xml:space="preserve"> 1571</w:t>
      </w:r>
    </w:p>
  </w:footnote>
  <w:footnote w:id="9">
    <w:p w14:paraId="7FA28218" w14:textId="2F322F59" w:rsidR="00BA1475" w:rsidRPr="00C6445D" w:rsidRDefault="00BA147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Lenaerts</w:t>
      </w:r>
      <w:r w:rsidR="00542B0E" w:rsidRPr="00C6445D">
        <w:rPr>
          <w:rFonts w:ascii="Times" w:hAnsi="Times" w:cs="Times New Roman"/>
        </w:rPr>
        <w:t xml:space="preserve"> </w:t>
      </w:r>
      <w:r w:rsidR="00001940" w:rsidRPr="00C6445D">
        <w:rPr>
          <w:rFonts w:ascii="Times" w:hAnsi="Times" w:cs="Times New Roman"/>
        </w:rPr>
        <w:t xml:space="preserve">“Process-Oriented Review” </w:t>
      </w:r>
      <w:r w:rsidR="00542B0E" w:rsidRPr="00C6445D">
        <w:rPr>
          <w:rFonts w:ascii="Times" w:hAnsi="Times" w:cs="Times New Roman"/>
        </w:rPr>
        <w:t xml:space="preserve">above, </w:t>
      </w:r>
      <w:r w:rsidRPr="00C6445D">
        <w:rPr>
          <w:rFonts w:ascii="Times" w:hAnsi="Times" w:cs="Times New Roman"/>
        </w:rPr>
        <w:t>9.</w:t>
      </w:r>
    </w:p>
  </w:footnote>
  <w:footnote w:id="10">
    <w:p w14:paraId="67DB4FF3" w14:textId="6ACCAEA2" w:rsidR="00AD57F4" w:rsidRPr="00C6445D" w:rsidRDefault="00AD57F4"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406FB5" w:rsidRPr="00C6445D">
        <w:rPr>
          <w:rFonts w:ascii="Times" w:hAnsi="Times" w:cs="Times New Roman"/>
        </w:rPr>
        <w:t xml:space="preserve">For “process-oriented review”, see </w:t>
      </w:r>
      <w:r w:rsidR="00815BE0" w:rsidRPr="00C6445D">
        <w:rPr>
          <w:rFonts w:ascii="Times" w:hAnsi="Times" w:cs="Times New Roman"/>
        </w:rPr>
        <w:t>Lenaerts</w:t>
      </w:r>
      <w:r w:rsidR="00001940" w:rsidRPr="00C6445D">
        <w:rPr>
          <w:rFonts w:ascii="Times" w:hAnsi="Times" w:cs="Times New Roman"/>
        </w:rPr>
        <w:t xml:space="preserve"> </w:t>
      </w:r>
      <w:r w:rsidR="00815BE0" w:rsidRPr="00C6445D">
        <w:rPr>
          <w:rFonts w:ascii="Times" w:hAnsi="Times" w:cs="Times New Roman"/>
        </w:rPr>
        <w:t xml:space="preserve"> </w:t>
      </w:r>
      <w:r w:rsidR="00F74BB3" w:rsidRPr="00C6445D">
        <w:rPr>
          <w:rFonts w:ascii="Times" w:hAnsi="Times" w:cs="Times New Roman"/>
        </w:rPr>
        <w:t>above</w:t>
      </w:r>
      <w:r w:rsidR="00815BE0" w:rsidRPr="00C6445D">
        <w:rPr>
          <w:rFonts w:ascii="Times" w:hAnsi="Times" w:cs="Times New Roman"/>
        </w:rPr>
        <w:t>.</w:t>
      </w:r>
      <w:r w:rsidR="0015113B" w:rsidRPr="00C6445D">
        <w:rPr>
          <w:rFonts w:ascii="Times" w:hAnsi="Times" w:cs="Times New Roman"/>
        </w:rPr>
        <w:t xml:space="preserve"> </w:t>
      </w:r>
      <w:r w:rsidR="005A798E" w:rsidRPr="00C6445D">
        <w:rPr>
          <w:rFonts w:ascii="Times" w:hAnsi="Times" w:cs="Times New Roman"/>
        </w:rPr>
        <w:t>For “procedural proportionality”, see</w:t>
      </w:r>
      <w:r w:rsidR="00D62F31" w:rsidRPr="00C6445D">
        <w:rPr>
          <w:rFonts w:ascii="Times" w:hAnsi="Times" w:cs="Times New Roman"/>
        </w:rPr>
        <w:t xml:space="preserve"> Harbo</w:t>
      </w:r>
      <w:r w:rsidR="000759D3" w:rsidRPr="00C6445D">
        <w:rPr>
          <w:rFonts w:ascii="Times" w:hAnsi="Times" w:cs="Times New Roman"/>
        </w:rPr>
        <w:t xml:space="preserve"> </w:t>
      </w:r>
      <w:r w:rsidR="003C5484" w:rsidRPr="00C6445D">
        <w:rPr>
          <w:rFonts w:ascii="Times" w:hAnsi="Times" w:cs="Times New Roman"/>
        </w:rPr>
        <w:t>“Introducing Procedural Proportionality Review” above</w:t>
      </w:r>
      <w:r w:rsidR="000223AF" w:rsidRPr="00C6445D">
        <w:rPr>
          <w:rFonts w:ascii="Times" w:hAnsi="Times" w:cs="Times New Roman"/>
        </w:rPr>
        <w:t xml:space="preserve">. </w:t>
      </w:r>
      <w:r w:rsidR="00887ABC" w:rsidRPr="00C6445D">
        <w:rPr>
          <w:rFonts w:ascii="Times" w:hAnsi="Times" w:cs="Times New Roman"/>
        </w:rPr>
        <w:t>For</w:t>
      </w:r>
      <w:r w:rsidR="00F80788" w:rsidRPr="00C6445D">
        <w:rPr>
          <w:rFonts w:ascii="Times" w:hAnsi="Times" w:cs="Times New Roman"/>
        </w:rPr>
        <w:t xml:space="preserve"> “</w:t>
      </w:r>
      <w:r w:rsidR="00A836D7" w:rsidRPr="00C6445D">
        <w:rPr>
          <w:rFonts w:ascii="Times" w:hAnsi="Times" w:cs="Times New Roman"/>
        </w:rPr>
        <w:t>semiprocedural review”, see</w:t>
      </w:r>
      <w:r w:rsidR="00F80788" w:rsidRPr="00C6445D">
        <w:rPr>
          <w:rFonts w:ascii="Times" w:hAnsi="Times" w:cs="Times New Roman"/>
        </w:rPr>
        <w:t xml:space="preserve"> </w:t>
      </w:r>
      <w:r w:rsidR="00A836D7" w:rsidRPr="00C6445D">
        <w:rPr>
          <w:rFonts w:ascii="Times" w:hAnsi="Times" w:cs="Times New Roman"/>
        </w:rPr>
        <w:t>Bar-Siman-Tov “Semiprocedural Judicial Review”</w:t>
      </w:r>
      <w:r w:rsidR="00EB4525" w:rsidRPr="00C6445D">
        <w:rPr>
          <w:rFonts w:ascii="Times" w:hAnsi="Times" w:cs="Times New Roman"/>
        </w:rPr>
        <w:t xml:space="preserve"> above.</w:t>
      </w:r>
    </w:p>
  </w:footnote>
  <w:footnote w:id="11">
    <w:p w14:paraId="6DA340CA" w14:textId="73D8367D" w:rsidR="009E7397" w:rsidRPr="00C6445D" w:rsidRDefault="009E7397"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In this sense, this article is focused on the </w:t>
      </w:r>
      <w:r w:rsidR="000F5266" w:rsidRPr="00C6445D">
        <w:rPr>
          <w:rFonts w:ascii="Times" w:hAnsi="Times" w:cs="Times New Roman"/>
        </w:rPr>
        <w:t>review of the adoption</w:t>
      </w:r>
      <w:r w:rsidRPr="00C6445D">
        <w:rPr>
          <w:rFonts w:ascii="Times" w:hAnsi="Times" w:cs="Times New Roman"/>
        </w:rPr>
        <w:t xml:space="preserve"> “legislative” or “general” decisions as opposed to the implementation </w:t>
      </w:r>
      <w:r w:rsidR="001F1D72" w:rsidRPr="00C6445D">
        <w:rPr>
          <w:rFonts w:ascii="Times" w:hAnsi="Times" w:cs="Times New Roman"/>
        </w:rPr>
        <w:t>and enforcement</w:t>
      </w:r>
      <w:r w:rsidR="0096708C" w:rsidRPr="00C6445D">
        <w:rPr>
          <w:rFonts w:ascii="Times" w:hAnsi="Times" w:cs="Times New Roman"/>
        </w:rPr>
        <w:t xml:space="preserve"> </w:t>
      </w:r>
      <w:r w:rsidRPr="00C6445D">
        <w:rPr>
          <w:rFonts w:ascii="Times" w:hAnsi="Times" w:cs="Times New Roman"/>
        </w:rPr>
        <w:t>of those decisions. There are a number of cases in the EU context focused on the implementation of measures in the Internal Market.</w:t>
      </w:r>
      <w:r w:rsidR="00CB0CF8" w:rsidRPr="00C6445D">
        <w:rPr>
          <w:rFonts w:ascii="Times" w:hAnsi="Times" w:cs="Times New Roman"/>
        </w:rPr>
        <w:t xml:space="preserve"> See, for example, See also </w:t>
      </w:r>
      <w:r w:rsidR="00CB0CF8" w:rsidRPr="00C6445D">
        <w:rPr>
          <w:rFonts w:ascii="Times" w:hAnsi="Times" w:cs="Times New Roman"/>
          <w:i/>
        </w:rPr>
        <w:t xml:space="preserve">Aklagaren v Mickelson </w:t>
      </w:r>
      <w:r w:rsidR="00CD6E21" w:rsidRPr="00C6445D">
        <w:rPr>
          <w:rFonts w:ascii="Times" w:hAnsi="Times" w:cs="Times New Roman"/>
          <w:iCs/>
        </w:rPr>
        <w:t>(</w:t>
      </w:r>
      <w:r w:rsidR="00CD6E21" w:rsidRPr="00C6445D">
        <w:rPr>
          <w:rFonts w:ascii="Times" w:hAnsi="Times" w:cs="Times New Roman"/>
        </w:rPr>
        <w:t xml:space="preserve">C-142/05 ) </w:t>
      </w:r>
      <w:r w:rsidR="00CB0CF8" w:rsidRPr="00C6445D">
        <w:rPr>
          <w:rFonts w:ascii="Times" w:hAnsi="Times" w:cs="Times New Roman"/>
        </w:rPr>
        <w:t>EU:C:2009:336.</w:t>
      </w:r>
      <w:r w:rsidR="00CA679D" w:rsidRPr="00C6445D">
        <w:rPr>
          <w:rFonts w:ascii="Times" w:hAnsi="Times" w:cs="Times New Roman"/>
        </w:rPr>
        <w:t xml:space="preserve"> </w:t>
      </w:r>
      <w:r w:rsidR="00CA679D" w:rsidRPr="00C6445D">
        <w:rPr>
          <w:rFonts w:ascii="Times" w:hAnsi="Times" w:cs="Times New Roman"/>
          <w:i/>
        </w:rPr>
        <w:t>Greenham and Abel</w:t>
      </w:r>
      <w:r w:rsidR="00CA679D" w:rsidRPr="00C6445D">
        <w:rPr>
          <w:rFonts w:ascii="Times" w:hAnsi="Times" w:cs="Times New Roman"/>
        </w:rPr>
        <w:t xml:space="preserve"> </w:t>
      </w:r>
      <w:r w:rsidR="00CD6E21" w:rsidRPr="00C6445D">
        <w:rPr>
          <w:rFonts w:ascii="Times" w:hAnsi="Times" w:cs="Times New Roman"/>
        </w:rPr>
        <w:t>(Case C-95/01</w:t>
      </w:r>
      <w:r w:rsidR="00CD6E21" w:rsidRPr="00C6445D">
        <w:rPr>
          <w:rFonts w:ascii="Times" w:hAnsi="Times" w:cs="Times New Roman"/>
          <w:i/>
        </w:rPr>
        <w:t xml:space="preserve">) </w:t>
      </w:r>
      <w:r w:rsidR="00CA679D" w:rsidRPr="00C6445D">
        <w:rPr>
          <w:rFonts w:ascii="Times" w:hAnsi="Times" w:cs="Times New Roman"/>
          <w:shd w:val="clear" w:color="auto" w:fill="FFFFFF"/>
        </w:rPr>
        <w:t xml:space="preserve">EU:C:2004:71. See also, </w:t>
      </w:r>
      <w:r w:rsidR="00CA679D" w:rsidRPr="00C6445D">
        <w:rPr>
          <w:rFonts w:ascii="Times" w:hAnsi="Times" w:cs="Times New Roman"/>
          <w:i/>
        </w:rPr>
        <w:t>Commission v France</w:t>
      </w:r>
      <w:r w:rsidR="00CA679D" w:rsidRPr="00C6445D">
        <w:rPr>
          <w:rFonts w:ascii="Times" w:hAnsi="Times" w:cs="Times New Roman"/>
        </w:rPr>
        <w:t xml:space="preserve"> </w:t>
      </w:r>
      <w:r w:rsidR="000266E6" w:rsidRPr="00C6445D">
        <w:rPr>
          <w:rFonts w:ascii="Times" w:hAnsi="Times" w:cs="Times New Roman"/>
        </w:rPr>
        <w:t xml:space="preserve">(C-24/00) </w:t>
      </w:r>
      <w:r w:rsidR="00CA679D" w:rsidRPr="00C6445D">
        <w:rPr>
          <w:rFonts w:ascii="Times" w:hAnsi="Times" w:cs="Times New Roman"/>
        </w:rPr>
        <w:t xml:space="preserve">EU:C:2004:70, </w:t>
      </w:r>
      <w:r w:rsidR="00CA679D" w:rsidRPr="00C6445D">
        <w:rPr>
          <w:rFonts w:ascii="Times" w:hAnsi="Times" w:cs="Times New Roman"/>
          <w:i/>
        </w:rPr>
        <w:t xml:space="preserve">Commission v Spain </w:t>
      </w:r>
      <w:r w:rsidR="00D762C4" w:rsidRPr="00C6445D">
        <w:rPr>
          <w:rFonts w:ascii="Times" w:hAnsi="Times" w:cs="Times New Roman"/>
          <w:i/>
        </w:rPr>
        <w:t>(</w:t>
      </w:r>
      <w:r w:rsidR="00D762C4" w:rsidRPr="00C6445D">
        <w:rPr>
          <w:rFonts w:ascii="Times" w:hAnsi="Times" w:cs="Times New Roman"/>
        </w:rPr>
        <w:t xml:space="preserve">C-88/07) </w:t>
      </w:r>
      <w:r w:rsidR="00CA679D" w:rsidRPr="00C6445D">
        <w:rPr>
          <w:rFonts w:ascii="Times" w:hAnsi="Times" w:cs="Times New Roman"/>
        </w:rPr>
        <w:t>EU:C:2009:123;</w:t>
      </w:r>
      <w:r w:rsidR="00D762C4" w:rsidRPr="00C6445D">
        <w:rPr>
          <w:rFonts w:ascii="Times" w:hAnsi="Times" w:cs="Times New Roman"/>
        </w:rPr>
        <w:t xml:space="preserve"> </w:t>
      </w:r>
      <w:proofErr w:type="spellStart"/>
      <w:r w:rsidR="00CA679D" w:rsidRPr="00C6445D">
        <w:rPr>
          <w:rFonts w:ascii="Times" w:hAnsi="Times" w:cs="Times New Roman"/>
          <w:i/>
        </w:rPr>
        <w:t>Nationale</w:t>
      </w:r>
      <w:proofErr w:type="spellEnd"/>
      <w:r w:rsidR="00CA679D" w:rsidRPr="00C6445D">
        <w:rPr>
          <w:rFonts w:ascii="Times" w:hAnsi="Times" w:cs="Times New Roman"/>
          <w:i/>
        </w:rPr>
        <w:t xml:space="preserve"> Road</w:t>
      </w:r>
      <w:r w:rsidR="00CA679D" w:rsidRPr="00C6445D">
        <w:rPr>
          <w:rFonts w:ascii="Times" w:hAnsi="Times" w:cs="Times New Roman"/>
        </w:rPr>
        <w:t xml:space="preserve"> </w:t>
      </w:r>
      <w:r w:rsidR="00D762C4" w:rsidRPr="00C6445D">
        <w:rPr>
          <w:rFonts w:ascii="Times" w:hAnsi="Times" w:cs="Times New Roman"/>
        </w:rPr>
        <w:t xml:space="preserve">(C-219/07) </w:t>
      </w:r>
      <w:r w:rsidR="00CA679D" w:rsidRPr="00C6445D">
        <w:rPr>
          <w:rFonts w:ascii="Times" w:hAnsi="Times" w:cs="Times New Roman"/>
        </w:rPr>
        <w:t>EU:C:2008:353.</w:t>
      </w:r>
      <w:r w:rsidR="00AA0F08" w:rsidRPr="00C6445D">
        <w:rPr>
          <w:rFonts w:ascii="Times" w:hAnsi="Times" w:cs="Times New Roman"/>
        </w:rPr>
        <w:t xml:space="preserve"> For comment, see S</w:t>
      </w:r>
      <w:r w:rsidR="00AA0F08" w:rsidRPr="00C6445D">
        <w:rPr>
          <w:rFonts w:ascii="Times" w:hAnsi="Times" w:cs="Times New Roman"/>
          <w:bCs/>
          <w:shd w:val="clear" w:color="auto" w:fill="FFFFFF"/>
        </w:rPr>
        <w:t xml:space="preserve">paventa, “Leaving Keck behind? The free movement of goods after the rulings in Commission v Italy and Mickelson and </w:t>
      </w:r>
      <w:proofErr w:type="spellStart"/>
      <w:r w:rsidR="00AA0F08" w:rsidRPr="00C6445D">
        <w:rPr>
          <w:rFonts w:ascii="Times" w:hAnsi="Times" w:cs="Times New Roman"/>
          <w:bCs/>
          <w:shd w:val="clear" w:color="auto" w:fill="FFFFFF"/>
        </w:rPr>
        <w:t>Roos</w:t>
      </w:r>
      <w:proofErr w:type="spellEnd"/>
      <w:r w:rsidR="00AA0F08" w:rsidRPr="00C6445D">
        <w:rPr>
          <w:rFonts w:ascii="Times" w:hAnsi="Times" w:cs="Times New Roman"/>
          <w:bCs/>
          <w:shd w:val="clear" w:color="auto" w:fill="FFFFFF"/>
        </w:rPr>
        <w:t>” (2009) 35 E.L. Rev. 914.</w:t>
      </w:r>
    </w:p>
  </w:footnote>
  <w:footnote w:id="12">
    <w:p w14:paraId="53CDC2DC" w14:textId="0FFA1198" w:rsidR="00724996" w:rsidRPr="00C6445D" w:rsidRDefault="00724996"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501407" w:rsidRPr="00C6445D">
        <w:rPr>
          <w:rFonts w:ascii="Times" w:hAnsi="Times" w:cs="Times New Roman"/>
        </w:rPr>
        <w:t>See</w:t>
      </w:r>
      <w:r w:rsidR="002D150D" w:rsidRPr="00C6445D">
        <w:rPr>
          <w:rFonts w:ascii="Times" w:hAnsi="Times" w:cs="Times New Roman"/>
        </w:rPr>
        <w:t xml:space="preserve"> section</w:t>
      </w:r>
      <w:r w:rsidR="00501407" w:rsidRPr="00C6445D">
        <w:rPr>
          <w:rFonts w:ascii="Times" w:hAnsi="Times" w:cs="Times New Roman"/>
        </w:rPr>
        <w:t xml:space="preserve"> </w:t>
      </w:r>
      <w:r w:rsidR="0094013C" w:rsidRPr="00C6445D">
        <w:rPr>
          <w:rFonts w:ascii="Times" w:hAnsi="Times" w:cs="Times New Roman"/>
          <w:i/>
          <w:iCs/>
        </w:rPr>
        <w:t>infra</w:t>
      </w:r>
      <w:r w:rsidR="0094013C" w:rsidRPr="00C6445D">
        <w:rPr>
          <w:rFonts w:ascii="Times" w:hAnsi="Times" w:cs="Times New Roman"/>
        </w:rPr>
        <w:t>, “Process Review Advocacy in the European Union”</w:t>
      </w:r>
      <w:r w:rsidR="00EC0CF0" w:rsidRPr="00C6445D">
        <w:rPr>
          <w:rFonts w:ascii="Times" w:hAnsi="Times" w:cs="Times New Roman"/>
        </w:rPr>
        <w:t>, for specific developments in each context.</w:t>
      </w:r>
    </w:p>
  </w:footnote>
  <w:footnote w:id="13">
    <w:p w14:paraId="138F66D5" w14:textId="10DE6359" w:rsidR="006A5DF6" w:rsidRPr="00C6445D" w:rsidRDefault="006A5DF6"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234B01" w:rsidRPr="00C6445D">
        <w:rPr>
          <w:rFonts w:ascii="Times" w:hAnsi="Times" w:cs="Times New Roman"/>
          <w:bCs/>
        </w:rPr>
        <w:t>J. H. Ely, </w:t>
      </w:r>
      <w:r w:rsidR="00234B01" w:rsidRPr="00C6445D">
        <w:rPr>
          <w:rFonts w:ascii="Times" w:hAnsi="Times" w:cs="Times New Roman"/>
          <w:bCs/>
          <w:i/>
          <w:iCs/>
        </w:rPr>
        <w:t>Democracy and Distrust</w:t>
      </w:r>
      <w:r w:rsidR="00234B01" w:rsidRPr="00C6445D">
        <w:rPr>
          <w:rFonts w:ascii="Times" w:hAnsi="Times" w:cs="Times New Roman"/>
          <w:bCs/>
        </w:rPr>
        <w:t xml:space="preserve"> (Harvard University Press, 1980). See also, J. H. Ely, </w:t>
      </w:r>
      <w:r w:rsidR="00B8561B" w:rsidRPr="00C6445D">
        <w:rPr>
          <w:rFonts w:ascii="Times" w:hAnsi="Times" w:cs="Times New Roman"/>
          <w:bCs/>
        </w:rPr>
        <w:t>“</w:t>
      </w:r>
      <w:r w:rsidR="00234B01" w:rsidRPr="00C6445D">
        <w:rPr>
          <w:rFonts w:ascii="Times" w:hAnsi="Times" w:cs="Times New Roman"/>
          <w:bCs/>
        </w:rPr>
        <w:t>Toward a Representation-reinforcing Mode of Judicial Review</w:t>
      </w:r>
      <w:r w:rsidR="00B8561B" w:rsidRPr="00C6445D">
        <w:rPr>
          <w:rFonts w:ascii="Times" w:hAnsi="Times" w:cs="Times New Roman"/>
          <w:bCs/>
        </w:rPr>
        <w:t>”</w:t>
      </w:r>
      <w:r w:rsidR="00234B01" w:rsidRPr="00C6445D">
        <w:rPr>
          <w:rFonts w:ascii="Times" w:hAnsi="Times" w:cs="Times New Roman"/>
          <w:bCs/>
        </w:rPr>
        <w:t xml:space="preserve"> </w:t>
      </w:r>
      <w:r w:rsidR="00C26AB3" w:rsidRPr="00C6445D">
        <w:rPr>
          <w:rFonts w:ascii="Times" w:hAnsi="Times" w:cs="Times New Roman"/>
          <w:bCs/>
        </w:rPr>
        <w:t xml:space="preserve">(1978) </w:t>
      </w:r>
      <w:r w:rsidR="00981E8C" w:rsidRPr="00C6445D">
        <w:rPr>
          <w:rFonts w:ascii="Times" w:hAnsi="Times" w:cs="Times New Roman"/>
          <w:bCs/>
        </w:rPr>
        <w:t xml:space="preserve">37 </w:t>
      </w:r>
      <w:r w:rsidR="00234B01" w:rsidRPr="00C6445D">
        <w:rPr>
          <w:rFonts w:ascii="Times" w:hAnsi="Times" w:cs="Times New Roman"/>
          <w:bCs/>
        </w:rPr>
        <w:t>Maryland Law Review</w:t>
      </w:r>
      <w:r w:rsidR="00E0038C" w:rsidRPr="00C6445D">
        <w:rPr>
          <w:rFonts w:ascii="Times" w:hAnsi="Times" w:cs="Times New Roman"/>
          <w:bCs/>
        </w:rPr>
        <w:t xml:space="preserve"> </w:t>
      </w:r>
      <w:r w:rsidR="00234B01" w:rsidRPr="00C6445D">
        <w:rPr>
          <w:rFonts w:ascii="Times" w:hAnsi="Times" w:cs="Times New Roman"/>
          <w:bCs/>
        </w:rPr>
        <w:t>451.</w:t>
      </w:r>
    </w:p>
  </w:footnote>
  <w:footnote w:id="14">
    <w:p w14:paraId="17C22899" w14:textId="2538EDF6" w:rsidR="00135C5E" w:rsidRPr="00C6445D" w:rsidRDefault="00135C5E" w:rsidP="00FB49D8">
      <w:pPr>
        <w:pStyle w:val="NormalWeb"/>
        <w:spacing w:before="0" w:beforeAutospacing="0" w:after="0" w:afterAutospacing="0"/>
        <w:rPr>
          <w:rFonts w:ascii="Times" w:hAnsi="Times"/>
          <w:szCs w:val="20"/>
        </w:rPr>
      </w:pPr>
      <w:r w:rsidRPr="00C6445D">
        <w:rPr>
          <w:rStyle w:val="FootnoteReference"/>
          <w:rFonts w:ascii="Times" w:hAnsi="Times"/>
          <w:szCs w:val="20"/>
        </w:rPr>
        <w:footnoteRef/>
      </w:r>
      <w:r w:rsidRPr="00C6445D">
        <w:rPr>
          <w:rFonts w:ascii="Times" w:hAnsi="Times"/>
          <w:szCs w:val="20"/>
        </w:rPr>
        <w:t xml:space="preserve"> </w:t>
      </w:r>
      <w:r w:rsidR="00A365E6" w:rsidRPr="00C6445D">
        <w:rPr>
          <w:rFonts w:ascii="Times" w:hAnsi="Times"/>
          <w:szCs w:val="20"/>
        </w:rPr>
        <w:t xml:space="preserve">See </w:t>
      </w:r>
      <w:r w:rsidR="00A365E6" w:rsidRPr="00C6445D">
        <w:rPr>
          <w:rFonts w:ascii="Times" w:hAnsi="Times"/>
          <w:i/>
          <w:iCs/>
          <w:szCs w:val="20"/>
        </w:rPr>
        <w:t>infra</w:t>
      </w:r>
      <w:r w:rsidR="00F26A92" w:rsidRPr="00C6445D">
        <w:rPr>
          <w:rFonts w:ascii="Times" w:hAnsi="Times"/>
          <w:i/>
          <w:iCs/>
          <w:szCs w:val="20"/>
        </w:rPr>
        <w:t>,</w:t>
      </w:r>
      <w:r w:rsidR="00A365E6" w:rsidRPr="00C6445D">
        <w:rPr>
          <w:rFonts w:ascii="Times" w:hAnsi="Times"/>
          <w:szCs w:val="20"/>
        </w:rPr>
        <w:t xml:space="preserve"> note </w:t>
      </w:r>
      <w:r w:rsidR="00234B01" w:rsidRPr="00C6445D">
        <w:rPr>
          <w:rFonts w:ascii="Times" w:hAnsi="Times"/>
          <w:szCs w:val="20"/>
        </w:rPr>
        <w:fldChar w:fldCharType="begin"/>
      </w:r>
      <w:r w:rsidR="00234B01" w:rsidRPr="00C6445D">
        <w:rPr>
          <w:rFonts w:ascii="Times" w:hAnsi="Times"/>
          <w:szCs w:val="20"/>
        </w:rPr>
        <w:instrText xml:space="preserve"> NOTEREF _Ref14696223 \h </w:instrText>
      </w:r>
      <w:r w:rsidR="00945D1D" w:rsidRPr="00C6445D">
        <w:rPr>
          <w:rFonts w:ascii="Times" w:hAnsi="Times"/>
          <w:szCs w:val="20"/>
        </w:rPr>
        <w:instrText xml:space="preserve"> \* MERGEFORMAT </w:instrText>
      </w:r>
      <w:r w:rsidR="00234B01" w:rsidRPr="00C6445D">
        <w:rPr>
          <w:rFonts w:ascii="Times" w:hAnsi="Times"/>
          <w:szCs w:val="20"/>
        </w:rPr>
      </w:r>
      <w:r w:rsidR="00234B01" w:rsidRPr="00C6445D">
        <w:rPr>
          <w:rFonts w:ascii="Times" w:hAnsi="Times"/>
          <w:szCs w:val="20"/>
        </w:rPr>
        <w:fldChar w:fldCharType="separate"/>
      </w:r>
      <w:r w:rsidR="00E64EEF" w:rsidRPr="00C6445D">
        <w:rPr>
          <w:rFonts w:ascii="Times" w:hAnsi="Times"/>
          <w:szCs w:val="20"/>
        </w:rPr>
        <w:t>42</w:t>
      </w:r>
      <w:r w:rsidR="00234B01" w:rsidRPr="00C6445D">
        <w:rPr>
          <w:rFonts w:ascii="Times" w:hAnsi="Times"/>
          <w:szCs w:val="20"/>
        </w:rPr>
        <w:fldChar w:fldCharType="end"/>
      </w:r>
      <w:r w:rsidR="00234B01" w:rsidRPr="00C6445D">
        <w:rPr>
          <w:rFonts w:ascii="Times" w:hAnsi="Times"/>
          <w:szCs w:val="20"/>
        </w:rPr>
        <w:t xml:space="preserve">. </w:t>
      </w:r>
    </w:p>
  </w:footnote>
  <w:footnote w:id="15">
    <w:p w14:paraId="31ACE044" w14:textId="2BD4114A" w:rsidR="00BD4A8F" w:rsidRPr="00C6445D" w:rsidRDefault="00BD4A8F" w:rsidP="00FB49D8">
      <w:pPr>
        <w:pStyle w:val="NormalWeb"/>
        <w:shd w:val="clear" w:color="auto" w:fill="FFFFFF"/>
        <w:spacing w:before="0" w:beforeAutospacing="0" w:after="0" w:afterAutospacing="0"/>
        <w:rPr>
          <w:rFonts w:ascii="Times" w:hAnsi="Times"/>
          <w:szCs w:val="20"/>
        </w:rPr>
      </w:pPr>
      <w:r w:rsidRPr="00C6445D">
        <w:rPr>
          <w:rStyle w:val="FootnoteReference"/>
          <w:rFonts w:ascii="Times" w:hAnsi="Times"/>
          <w:szCs w:val="20"/>
        </w:rPr>
        <w:footnoteRef/>
      </w:r>
      <w:r w:rsidRPr="00C6445D">
        <w:rPr>
          <w:rFonts w:ascii="Times" w:hAnsi="Times"/>
          <w:szCs w:val="20"/>
        </w:rPr>
        <w:t xml:space="preserve"> </w:t>
      </w:r>
      <w:r w:rsidR="0096738F" w:rsidRPr="00C6445D">
        <w:rPr>
          <w:rFonts w:ascii="Times" w:hAnsi="Times"/>
          <w:szCs w:val="20"/>
        </w:rPr>
        <w:t xml:space="preserve">See for example, </w:t>
      </w:r>
      <w:r w:rsidR="0096738F" w:rsidRPr="00C6445D">
        <w:rPr>
          <w:rFonts w:ascii="Times" w:hAnsi="Times"/>
          <w:color w:val="1E1E1E"/>
          <w:szCs w:val="20"/>
        </w:rPr>
        <w:t>R. Dworkin, Freedom’s Law: The Moral Reading of the American Constitution (H</w:t>
      </w:r>
      <w:r w:rsidR="000A2829" w:rsidRPr="00C6445D">
        <w:rPr>
          <w:rFonts w:ascii="Times" w:hAnsi="Times"/>
          <w:color w:val="1E1E1E"/>
          <w:szCs w:val="20"/>
        </w:rPr>
        <w:t xml:space="preserve">arvard </w:t>
      </w:r>
      <w:r w:rsidR="0096738F" w:rsidRPr="00C6445D">
        <w:rPr>
          <w:rFonts w:ascii="Times" w:hAnsi="Times"/>
          <w:color w:val="1E1E1E"/>
          <w:szCs w:val="20"/>
        </w:rPr>
        <w:t>U</w:t>
      </w:r>
      <w:r w:rsidR="000A2829" w:rsidRPr="00C6445D">
        <w:rPr>
          <w:rFonts w:ascii="Times" w:hAnsi="Times"/>
          <w:color w:val="1E1E1E"/>
          <w:szCs w:val="20"/>
        </w:rPr>
        <w:t xml:space="preserve">niversity </w:t>
      </w:r>
      <w:r w:rsidR="0096738F" w:rsidRPr="00C6445D">
        <w:rPr>
          <w:rFonts w:ascii="Times" w:hAnsi="Times"/>
          <w:color w:val="1E1E1E"/>
          <w:szCs w:val="20"/>
        </w:rPr>
        <w:t>P</w:t>
      </w:r>
      <w:r w:rsidR="000A2829" w:rsidRPr="00C6445D">
        <w:rPr>
          <w:rFonts w:ascii="Times" w:hAnsi="Times"/>
          <w:color w:val="1E1E1E"/>
          <w:szCs w:val="20"/>
        </w:rPr>
        <w:t>ress</w:t>
      </w:r>
      <w:r w:rsidR="0096738F" w:rsidRPr="00C6445D">
        <w:rPr>
          <w:rFonts w:ascii="Times" w:hAnsi="Times"/>
          <w:color w:val="1E1E1E"/>
          <w:szCs w:val="20"/>
        </w:rPr>
        <w:t>, 1996)</w:t>
      </w:r>
      <w:r w:rsidR="000A2829" w:rsidRPr="00C6445D">
        <w:rPr>
          <w:rFonts w:ascii="Times" w:hAnsi="Times"/>
          <w:color w:val="1E1E1E"/>
          <w:szCs w:val="20"/>
        </w:rPr>
        <w:t>;</w:t>
      </w:r>
      <w:r w:rsidR="0096738F" w:rsidRPr="00C6445D">
        <w:rPr>
          <w:rFonts w:ascii="Times" w:hAnsi="Times"/>
          <w:color w:val="1E1E1E"/>
          <w:szCs w:val="20"/>
        </w:rPr>
        <w:t xml:space="preserve"> Allan, “In Defence of the Common Law Constitution”</w:t>
      </w:r>
      <w:r w:rsidR="00654E7D" w:rsidRPr="00C6445D">
        <w:rPr>
          <w:rFonts w:ascii="Times" w:hAnsi="Times"/>
          <w:color w:val="1E1E1E"/>
          <w:szCs w:val="20"/>
        </w:rPr>
        <w:t xml:space="preserve"> (2009)</w:t>
      </w:r>
      <w:r w:rsidR="0096738F" w:rsidRPr="00C6445D">
        <w:rPr>
          <w:rFonts w:ascii="Times" w:hAnsi="Times"/>
          <w:color w:val="1E1E1E"/>
          <w:szCs w:val="20"/>
        </w:rPr>
        <w:t xml:space="preserve"> 22 C</w:t>
      </w:r>
      <w:r w:rsidR="00654E7D" w:rsidRPr="00C6445D">
        <w:rPr>
          <w:rFonts w:ascii="Times" w:hAnsi="Times"/>
          <w:color w:val="1E1E1E"/>
          <w:szCs w:val="20"/>
        </w:rPr>
        <w:t>.</w:t>
      </w:r>
      <w:r w:rsidR="0096738F" w:rsidRPr="00C6445D">
        <w:rPr>
          <w:rFonts w:ascii="Times" w:hAnsi="Times"/>
          <w:color w:val="1E1E1E"/>
          <w:szCs w:val="20"/>
        </w:rPr>
        <w:t>J</w:t>
      </w:r>
      <w:r w:rsidR="00654E7D" w:rsidRPr="00C6445D">
        <w:rPr>
          <w:rFonts w:ascii="Times" w:hAnsi="Times"/>
          <w:color w:val="1E1E1E"/>
          <w:szCs w:val="20"/>
        </w:rPr>
        <w:t>.</w:t>
      </w:r>
      <w:r w:rsidR="0096738F" w:rsidRPr="00C6445D">
        <w:rPr>
          <w:rFonts w:ascii="Times" w:hAnsi="Times"/>
          <w:color w:val="1E1E1E"/>
          <w:szCs w:val="20"/>
        </w:rPr>
        <w:t>L</w:t>
      </w:r>
      <w:r w:rsidR="00654E7D" w:rsidRPr="00C6445D">
        <w:rPr>
          <w:rFonts w:ascii="Times" w:hAnsi="Times"/>
          <w:color w:val="1E1E1E"/>
          <w:szCs w:val="20"/>
        </w:rPr>
        <w:t>.</w:t>
      </w:r>
      <w:r w:rsidR="0096738F" w:rsidRPr="00C6445D">
        <w:rPr>
          <w:rFonts w:ascii="Times" w:hAnsi="Times"/>
          <w:color w:val="1E1E1E"/>
          <w:szCs w:val="20"/>
        </w:rPr>
        <w:t>J</w:t>
      </w:r>
      <w:r w:rsidR="00654E7D" w:rsidRPr="00C6445D">
        <w:rPr>
          <w:rFonts w:ascii="Times" w:hAnsi="Times"/>
          <w:color w:val="1E1E1E"/>
          <w:szCs w:val="20"/>
        </w:rPr>
        <w:t>.</w:t>
      </w:r>
      <w:r w:rsidR="0096738F" w:rsidRPr="00C6445D">
        <w:rPr>
          <w:rFonts w:ascii="Times" w:hAnsi="Times"/>
          <w:color w:val="1E1E1E"/>
          <w:szCs w:val="20"/>
        </w:rPr>
        <w:t xml:space="preserve"> 187. </w:t>
      </w:r>
    </w:p>
  </w:footnote>
  <w:footnote w:id="16">
    <w:p w14:paraId="50245137" w14:textId="6788065B" w:rsidR="00BD4A8F" w:rsidRPr="00C6445D" w:rsidRDefault="00BD4A8F" w:rsidP="00FB49D8">
      <w:pPr>
        <w:pStyle w:val="NormalWeb"/>
        <w:shd w:val="clear" w:color="auto" w:fill="FFFFFF"/>
        <w:spacing w:before="0" w:beforeAutospacing="0" w:after="0" w:afterAutospacing="0"/>
        <w:rPr>
          <w:rFonts w:ascii="Times" w:hAnsi="Times"/>
          <w:szCs w:val="20"/>
        </w:rPr>
      </w:pPr>
      <w:r w:rsidRPr="00C6445D">
        <w:rPr>
          <w:rStyle w:val="FootnoteReference"/>
          <w:rFonts w:ascii="Times" w:hAnsi="Times"/>
          <w:szCs w:val="20"/>
        </w:rPr>
        <w:footnoteRef/>
      </w:r>
      <w:r w:rsidRPr="00C6445D">
        <w:rPr>
          <w:rFonts w:ascii="Times" w:hAnsi="Times"/>
          <w:szCs w:val="20"/>
        </w:rPr>
        <w:t xml:space="preserve"> </w:t>
      </w:r>
      <w:r w:rsidR="00EA621D" w:rsidRPr="00C6445D">
        <w:rPr>
          <w:rFonts w:ascii="Times" w:hAnsi="Times"/>
          <w:szCs w:val="20"/>
        </w:rPr>
        <w:t>See,</w:t>
      </w:r>
      <w:r w:rsidR="00945D1D" w:rsidRPr="00C6445D">
        <w:rPr>
          <w:rFonts w:ascii="Times" w:hAnsi="Times"/>
          <w:szCs w:val="20"/>
        </w:rPr>
        <w:t xml:space="preserve"> </w:t>
      </w:r>
      <w:r w:rsidR="00D11886" w:rsidRPr="00C6445D">
        <w:rPr>
          <w:rFonts w:ascii="Times" w:hAnsi="Times"/>
          <w:szCs w:val="20"/>
        </w:rPr>
        <w:t xml:space="preserve">J. </w:t>
      </w:r>
      <w:r w:rsidR="00064851" w:rsidRPr="00C6445D">
        <w:rPr>
          <w:rFonts w:ascii="Times" w:hAnsi="Times"/>
          <w:color w:val="1E1E1E"/>
          <w:szCs w:val="20"/>
        </w:rPr>
        <w:t xml:space="preserve">Waldron, </w:t>
      </w:r>
      <w:r w:rsidR="00EC1B06" w:rsidRPr="00C6445D">
        <w:rPr>
          <w:rFonts w:ascii="Times" w:hAnsi="Times"/>
          <w:color w:val="1E1E1E"/>
          <w:szCs w:val="20"/>
        </w:rPr>
        <w:t>“</w:t>
      </w:r>
      <w:r w:rsidR="00064851" w:rsidRPr="00C6445D">
        <w:rPr>
          <w:rFonts w:ascii="Times" w:hAnsi="Times"/>
          <w:color w:val="1E1E1E"/>
          <w:szCs w:val="20"/>
        </w:rPr>
        <w:t>The Core of the Case Against Judicial Review</w:t>
      </w:r>
      <w:r w:rsidR="00EC1B06" w:rsidRPr="00C6445D">
        <w:rPr>
          <w:rFonts w:ascii="Times" w:hAnsi="Times"/>
          <w:color w:val="1E1E1E"/>
          <w:szCs w:val="20"/>
        </w:rPr>
        <w:t>”</w:t>
      </w:r>
      <w:r w:rsidR="00064851" w:rsidRPr="00C6445D">
        <w:rPr>
          <w:rFonts w:ascii="Times" w:hAnsi="Times"/>
          <w:color w:val="1E1E1E"/>
          <w:szCs w:val="20"/>
        </w:rPr>
        <w:t xml:space="preserve"> </w:t>
      </w:r>
      <w:r w:rsidR="00EC1B06" w:rsidRPr="00C6445D">
        <w:rPr>
          <w:rFonts w:ascii="Times" w:hAnsi="Times"/>
          <w:color w:val="1E1E1E"/>
          <w:szCs w:val="20"/>
        </w:rPr>
        <w:t xml:space="preserve">(2006) </w:t>
      </w:r>
      <w:r w:rsidR="00064851" w:rsidRPr="00C6445D">
        <w:rPr>
          <w:rFonts w:ascii="Times" w:hAnsi="Times"/>
          <w:color w:val="1E1E1E"/>
          <w:szCs w:val="20"/>
        </w:rPr>
        <w:t>115 Yale Law Journal 1346.</w:t>
      </w:r>
      <w:r w:rsidR="00EA621D" w:rsidRPr="00C6445D">
        <w:rPr>
          <w:rFonts w:ascii="Times" w:hAnsi="Times"/>
          <w:color w:val="1E1E1E"/>
          <w:szCs w:val="20"/>
        </w:rPr>
        <w:t xml:space="preserve"> </w:t>
      </w:r>
      <w:r w:rsidR="00D11886" w:rsidRPr="00C6445D">
        <w:rPr>
          <w:rFonts w:ascii="Times" w:hAnsi="Times"/>
          <w:color w:val="1E1E1E"/>
          <w:szCs w:val="20"/>
        </w:rPr>
        <w:t xml:space="preserve">J. </w:t>
      </w:r>
      <w:r w:rsidR="00EA621D" w:rsidRPr="00C6445D">
        <w:rPr>
          <w:rFonts w:ascii="Times" w:hAnsi="Times"/>
          <w:color w:val="1E1E1E"/>
          <w:szCs w:val="20"/>
        </w:rPr>
        <w:t xml:space="preserve">Waldron </w:t>
      </w:r>
      <w:r w:rsidR="00EA621D" w:rsidRPr="00C6445D">
        <w:rPr>
          <w:rFonts w:ascii="Times" w:hAnsi="Times"/>
          <w:i/>
          <w:iCs/>
          <w:color w:val="1E1E1E"/>
          <w:szCs w:val="20"/>
        </w:rPr>
        <w:t>Law and Disagreement</w:t>
      </w:r>
      <w:r w:rsidR="00EA621D" w:rsidRPr="00C6445D">
        <w:rPr>
          <w:rFonts w:ascii="Times" w:hAnsi="Times"/>
          <w:color w:val="1E1E1E"/>
          <w:szCs w:val="20"/>
        </w:rPr>
        <w:t xml:space="preserve"> (OUP, 1999)</w:t>
      </w:r>
      <w:r w:rsidR="00162BA5" w:rsidRPr="00C6445D">
        <w:rPr>
          <w:rFonts w:ascii="Times" w:hAnsi="Times"/>
          <w:color w:val="1E1E1E"/>
          <w:szCs w:val="20"/>
        </w:rPr>
        <w:t xml:space="preserve">, </w:t>
      </w:r>
      <w:r w:rsidR="00D11886" w:rsidRPr="00C6445D">
        <w:rPr>
          <w:rFonts w:ascii="Times" w:hAnsi="Times"/>
          <w:color w:val="1E1E1E"/>
          <w:szCs w:val="20"/>
        </w:rPr>
        <w:t xml:space="preserve">R. </w:t>
      </w:r>
      <w:r w:rsidR="00162BA5" w:rsidRPr="00C6445D">
        <w:rPr>
          <w:rFonts w:ascii="Times" w:hAnsi="Times"/>
          <w:color w:val="1E1E1E"/>
          <w:szCs w:val="20"/>
        </w:rPr>
        <w:t xml:space="preserve">Bellamy, </w:t>
      </w:r>
      <w:r w:rsidR="00162BA5" w:rsidRPr="00C6445D">
        <w:rPr>
          <w:rFonts w:ascii="Times" w:hAnsi="Times"/>
          <w:i/>
          <w:iCs/>
          <w:color w:val="1E1E1E"/>
          <w:szCs w:val="20"/>
        </w:rPr>
        <w:t>Political Constitutionalism</w:t>
      </w:r>
      <w:r w:rsidR="00162BA5" w:rsidRPr="00C6445D">
        <w:rPr>
          <w:rFonts w:ascii="Times" w:hAnsi="Times"/>
          <w:color w:val="1E1E1E"/>
          <w:szCs w:val="20"/>
        </w:rPr>
        <w:t xml:space="preserve"> (CUP, 2007)</w:t>
      </w:r>
      <w:r w:rsidR="00D11886" w:rsidRPr="00C6445D">
        <w:rPr>
          <w:rFonts w:ascii="Times" w:hAnsi="Times"/>
          <w:color w:val="1E1E1E"/>
          <w:szCs w:val="20"/>
        </w:rPr>
        <w:t>; J.</w:t>
      </w:r>
      <w:r w:rsidR="00B44983" w:rsidRPr="00C6445D">
        <w:rPr>
          <w:rFonts w:ascii="Times" w:hAnsi="Times"/>
          <w:color w:val="1E1E1E"/>
          <w:szCs w:val="20"/>
        </w:rPr>
        <w:t>A.G.</w:t>
      </w:r>
      <w:r w:rsidR="00D11886" w:rsidRPr="00C6445D">
        <w:rPr>
          <w:rFonts w:ascii="Times" w:hAnsi="Times"/>
          <w:color w:val="1E1E1E"/>
          <w:szCs w:val="20"/>
        </w:rPr>
        <w:t xml:space="preserve"> </w:t>
      </w:r>
      <w:r w:rsidR="00162BA5" w:rsidRPr="00C6445D">
        <w:rPr>
          <w:rFonts w:ascii="Times" w:hAnsi="Times"/>
          <w:color w:val="1E1E1E"/>
          <w:szCs w:val="20"/>
        </w:rPr>
        <w:t xml:space="preserve">Griffith, “The Political Constitution” </w:t>
      </w:r>
      <w:r w:rsidR="000A2829" w:rsidRPr="00C6445D">
        <w:rPr>
          <w:rFonts w:ascii="Times" w:hAnsi="Times"/>
          <w:color w:val="1E1E1E"/>
          <w:szCs w:val="20"/>
        </w:rPr>
        <w:t xml:space="preserve">(1979) </w:t>
      </w:r>
      <w:r w:rsidR="00162BA5" w:rsidRPr="00C6445D">
        <w:rPr>
          <w:rFonts w:ascii="Times" w:hAnsi="Times"/>
          <w:color w:val="1E1E1E"/>
          <w:szCs w:val="20"/>
        </w:rPr>
        <w:t>42 M</w:t>
      </w:r>
      <w:r w:rsidR="000A2829" w:rsidRPr="00C6445D">
        <w:rPr>
          <w:rFonts w:ascii="Times" w:hAnsi="Times"/>
          <w:color w:val="1E1E1E"/>
          <w:szCs w:val="20"/>
        </w:rPr>
        <w:t>.</w:t>
      </w:r>
      <w:r w:rsidR="00162BA5" w:rsidRPr="00C6445D">
        <w:rPr>
          <w:rFonts w:ascii="Times" w:hAnsi="Times"/>
          <w:color w:val="1E1E1E"/>
          <w:szCs w:val="20"/>
        </w:rPr>
        <w:t>L</w:t>
      </w:r>
      <w:r w:rsidR="000A2829" w:rsidRPr="00C6445D">
        <w:rPr>
          <w:rFonts w:ascii="Times" w:hAnsi="Times"/>
          <w:color w:val="1E1E1E"/>
          <w:szCs w:val="20"/>
        </w:rPr>
        <w:t>.</w:t>
      </w:r>
      <w:r w:rsidR="00162BA5" w:rsidRPr="00C6445D">
        <w:rPr>
          <w:rFonts w:ascii="Times" w:hAnsi="Times"/>
          <w:color w:val="1E1E1E"/>
          <w:szCs w:val="20"/>
        </w:rPr>
        <w:t>R</w:t>
      </w:r>
      <w:r w:rsidR="000A2829" w:rsidRPr="00C6445D">
        <w:rPr>
          <w:rFonts w:ascii="Times" w:hAnsi="Times"/>
          <w:color w:val="1E1E1E"/>
          <w:szCs w:val="20"/>
        </w:rPr>
        <w:t xml:space="preserve">. </w:t>
      </w:r>
      <w:r w:rsidR="00162BA5" w:rsidRPr="00C6445D">
        <w:rPr>
          <w:rFonts w:ascii="Times" w:hAnsi="Times"/>
          <w:color w:val="1E1E1E"/>
          <w:szCs w:val="20"/>
        </w:rPr>
        <w:t>1.</w:t>
      </w:r>
    </w:p>
  </w:footnote>
  <w:footnote w:id="17">
    <w:p w14:paraId="056FE687" w14:textId="1C0D6F5F" w:rsidR="001D07D1" w:rsidRPr="00C6445D" w:rsidRDefault="001D07D1"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C12556" w:rsidRPr="00C6445D">
        <w:rPr>
          <w:rFonts w:ascii="Times" w:hAnsi="Times" w:cs="Times New Roman"/>
        </w:rPr>
        <w:t>Specifically</w:t>
      </w:r>
      <w:r w:rsidR="00E66D11" w:rsidRPr="00C6445D">
        <w:rPr>
          <w:rFonts w:ascii="Times" w:hAnsi="Times" w:cs="Times New Roman"/>
        </w:rPr>
        <w:t>, Ely</w:t>
      </w:r>
      <w:r w:rsidR="00DE52F7" w:rsidRPr="00C6445D">
        <w:rPr>
          <w:rFonts w:ascii="Times" w:hAnsi="Times" w:cs="Times New Roman"/>
        </w:rPr>
        <w:t xml:space="preserve"> placed his theory as a choice between “interpretivism” and “non-interpretivism”</w:t>
      </w:r>
      <w:r w:rsidR="001133A2" w:rsidRPr="00C6445D">
        <w:rPr>
          <w:rFonts w:ascii="Times" w:hAnsi="Times" w:cs="Times New Roman"/>
        </w:rPr>
        <w:t xml:space="preserve">. </w:t>
      </w:r>
      <w:r w:rsidR="00FF1B63" w:rsidRPr="00C6445D">
        <w:rPr>
          <w:rFonts w:ascii="Times" w:hAnsi="Times" w:cs="Times New Roman"/>
        </w:rPr>
        <w:t>I</w:t>
      </w:r>
      <w:r w:rsidR="00510C84" w:rsidRPr="00C6445D">
        <w:rPr>
          <w:rFonts w:ascii="Times" w:hAnsi="Times" w:cs="Times New Roman"/>
        </w:rPr>
        <w:t xml:space="preserve">nterpretivists held the view that only norms </w:t>
      </w:r>
      <w:r w:rsidR="006C1B56" w:rsidRPr="00C6445D">
        <w:rPr>
          <w:rFonts w:ascii="Times" w:hAnsi="Times" w:cs="Times New Roman"/>
        </w:rPr>
        <w:t xml:space="preserve">stated or clearly </w:t>
      </w:r>
      <w:r w:rsidR="005F0B97" w:rsidRPr="00C6445D">
        <w:rPr>
          <w:rFonts w:ascii="Times" w:hAnsi="Times" w:cs="Times New Roman"/>
        </w:rPr>
        <w:t>implicit</w:t>
      </w:r>
      <w:r w:rsidR="00510C84" w:rsidRPr="00C6445D">
        <w:rPr>
          <w:rFonts w:ascii="Times" w:hAnsi="Times" w:cs="Times New Roman"/>
        </w:rPr>
        <w:t xml:space="preserve"> in the</w:t>
      </w:r>
      <w:r w:rsidR="009751D2" w:rsidRPr="00C6445D">
        <w:rPr>
          <w:rFonts w:ascii="Times" w:hAnsi="Times" w:cs="Times New Roman"/>
        </w:rPr>
        <w:t xml:space="preserve"> US</w:t>
      </w:r>
      <w:r w:rsidR="00FF1B63" w:rsidRPr="00C6445D">
        <w:rPr>
          <w:rFonts w:ascii="Times" w:hAnsi="Times" w:cs="Times New Roman"/>
        </w:rPr>
        <w:t xml:space="preserve"> constitution should be enforced, </w:t>
      </w:r>
      <w:r w:rsidR="00E8373E" w:rsidRPr="00C6445D">
        <w:rPr>
          <w:rFonts w:ascii="Times" w:hAnsi="Times" w:cs="Times New Roman"/>
        </w:rPr>
        <w:t>and non-</w:t>
      </w:r>
      <w:r w:rsidR="005F0B97" w:rsidRPr="00C6445D">
        <w:rPr>
          <w:rFonts w:ascii="Times" w:hAnsi="Times" w:cs="Times New Roman"/>
        </w:rPr>
        <w:t>interpretivists</w:t>
      </w:r>
      <w:r w:rsidR="00E8373E" w:rsidRPr="00C6445D">
        <w:rPr>
          <w:rFonts w:ascii="Times" w:hAnsi="Times" w:cs="Times New Roman"/>
        </w:rPr>
        <w:t xml:space="preserve"> held the view that a broader set of norms</w:t>
      </w:r>
      <w:r w:rsidR="00343E5D" w:rsidRPr="00C6445D">
        <w:rPr>
          <w:rFonts w:ascii="Times" w:hAnsi="Times" w:cs="Times New Roman"/>
        </w:rPr>
        <w:t>, beyond those explicit in the constitution,</w:t>
      </w:r>
      <w:r w:rsidR="00E8373E" w:rsidRPr="00C6445D">
        <w:rPr>
          <w:rFonts w:ascii="Times" w:hAnsi="Times" w:cs="Times New Roman"/>
        </w:rPr>
        <w:t xml:space="preserve"> should be enforced.</w:t>
      </w:r>
      <w:r w:rsidR="00F45238" w:rsidRPr="00C6445D">
        <w:rPr>
          <w:rFonts w:ascii="Times" w:hAnsi="Times" w:cs="Times New Roman"/>
        </w:rPr>
        <w:t xml:space="preserve"> Ely viewed interpretivism as leaving insufficient room for </w:t>
      </w:r>
      <w:r w:rsidR="007E75CE" w:rsidRPr="00C6445D">
        <w:rPr>
          <w:rFonts w:ascii="Times" w:hAnsi="Times" w:cs="Times New Roman"/>
        </w:rPr>
        <w:t>judges to intervene</w:t>
      </w:r>
      <w:r w:rsidR="0035530D" w:rsidRPr="00C6445D">
        <w:rPr>
          <w:rFonts w:ascii="Times" w:hAnsi="Times" w:cs="Times New Roman"/>
        </w:rPr>
        <w:t>, and non-interpretivism</w:t>
      </w:r>
      <w:r w:rsidR="008333D8" w:rsidRPr="00C6445D">
        <w:rPr>
          <w:rFonts w:ascii="Times" w:hAnsi="Times" w:cs="Times New Roman"/>
        </w:rPr>
        <w:t xml:space="preserve"> as offering too much room for judges to disapply decisions </w:t>
      </w:r>
      <w:r w:rsidR="00C11141" w:rsidRPr="00C6445D">
        <w:rPr>
          <w:rFonts w:ascii="Times" w:hAnsi="Times" w:cs="Times New Roman"/>
        </w:rPr>
        <w:t>of the legislature</w:t>
      </w:r>
      <w:r w:rsidR="004947BC" w:rsidRPr="00C6445D">
        <w:rPr>
          <w:rFonts w:ascii="Times" w:hAnsi="Times" w:cs="Times New Roman"/>
        </w:rPr>
        <w:t>. The two sides can thus be seen as broadly comparable to the pro- and anti-judicial review arguments that continue to this day</w:t>
      </w:r>
      <w:r w:rsidR="00BC2D8D" w:rsidRPr="00C6445D">
        <w:rPr>
          <w:rFonts w:ascii="Times" w:hAnsi="Times" w:cs="Times New Roman"/>
        </w:rPr>
        <w:t>. Ely sought a middle ground view</w:t>
      </w:r>
      <w:r w:rsidR="00447CF4" w:rsidRPr="00C6445D">
        <w:rPr>
          <w:rFonts w:ascii="Times" w:hAnsi="Times" w:cs="Times New Roman"/>
        </w:rPr>
        <w:t xml:space="preserve"> </w:t>
      </w:r>
      <w:r w:rsidRPr="00C6445D">
        <w:rPr>
          <w:rFonts w:ascii="Times" w:hAnsi="Times" w:cs="Times New Roman"/>
        </w:rPr>
        <w:t>in contrast to his contemporaries who argued that a choice must be made either way</w:t>
      </w:r>
      <w:r w:rsidR="008861CE" w:rsidRPr="00C6445D">
        <w:rPr>
          <w:rFonts w:ascii="Times" w:hAnsi="Times" w:cs="Times New Roman"/>
        </w:rPr>
        <w:t xml:space="preserve">. See Ely </w:t>
      </w:r>
      <w:r w:rsidR="00E36A87" w:rsidRPr="00C6445D">
        <w:rPr>
          <w:rFonts w:ascii="Times" w:hAnsi="Times" w:cs="Times New Roman"/>
        </w:rPr>
        <w:t>“</w:t>
      </w:r>
      <w:r w:rsidR="00E36A87" w:rsidRPr="00C6445D">
        <w:rPr>
          <w:rFonts w:ascii="Times" w:hAnsi="Times" w:cs="Times New Roman"/>
          <w:bCs/>
        </w:rPr>
        <w:t xml:space="preserve">Representation-reinforcing” </w:t>
      </w:r>
      <w:r w:rsidR="008861CE" w:rsidRPr="00C6445D">
        <w:rPr>
          <w:rFonts w:ascii="Times" w:hAnsi="Times" w:cs="Times New Roman"/>
        </w:rPr>
        <w:t>above, 451</w:t>
      </w:r>
      <w:r w:rsidR="007D5EBE" w:rsidRPr="00C6445D">
        <w:rPr>
          <w:rFonts w:ascii="Times" w:hAnsi="Times" w:cs="Times New Roman"/>
        </w:rPr>
        <w:t xml:space="preserve">, citing </w:t>
      </w:r>
      <w:r w:rsidR="0060780D" w:rsidRPr="00C6445D">
        <w:rPr>
          <w:rFonts w:ascii="Times" w:hAnsi="Times" w:cs="Times New Roman"/>
        </w:rPr>
        <w:t xml:space="preserve">L. Tribe </w:t>
      </w:r>
      <w:r w:rsidR="0060780D" w:rsidRPr="00C6445D">
        <w:rPr>
          <w:rFonts w:ascii="Times" w:hAnsi="Times" w:cs="Times New Roman"/>
          <w:i/>
          <w:iCs/>
        </w:rPr>
        <w:t>American Constitutional Law</w:t>
      </w:r>
      <w:r w:rsidR="00216D27" w:rsidRPr="00C6445D">
        <w:rPr>
          <w:rFonts w:ascii="Times" w:hAnsi="Times" w:cs="Times New Roman"/>
        </w:rPr>
        <w:t xml:space="preserve"> (Foundation </w:t>
      </w:r>
      <w:r w:rsidR="0076261D" w:rsidRPr="00C6445D">
        <w:rPr>
          <w:rFonts w:ascii="Times" w:hAnsi="Times" w:cs="Times New Roman"/>
        </w:rPr>
        <w:t>P</w:t>
      </w:r>
      <w:r w:rsidR="00216D27" w:rsidRPr="00C6445D">
        <w:rPr>
          <w:rFonts w:ascii="Times" w:hAnsi="Times" w:cs="Times New Roman"/>
        </w:rPr>
        <w:t>ress, 1978)</w:t>
      </w:r>
      <w:r w:rsidR="007A2CF8" w:rsidRPr="00C6445D">
        <w:rPr>
          <w:rFonts w:ascii="Times" w:hAnsi="Times" w:cs="Times New Roman"/>
        </w:rPr>
        <w:t>.</w:t>
      </w:r>
    </w:p>
  </w:footnote>
  <w:footnote w:id="18">
    <w:p w14:paraId="3E8ED2BA" w14:textId="3FD50BC9" w:rsidR="00325B12" w:rsidRPr="00C6445D" w:rsidRDefault="00325B12" w:rsidP="00FB49D8">
      <w:pPr>
        <w:pStyle w:val="NormalWeb"/>
        <w:spacing w:before="0" w:beforeAutospacing="0" w:after="0" w:afterAutospacing="0"/>
        <w:rPr>
          <w:rFonts w:ascii="Times" w:hAnsi="Times"/>
          <w:szCs w:val="20"/>
        </w:rPr>
      </w:pPr>
      <w:r w:rsidRPr="00C6445D">
        <w:rPr>
          <w:rStyle w:val="FootnoteReference"/>
          <w:rFonts w:ascii="Times" w:hAnsi="Times"/>
          <w:szCs w:val="20"/>
        </w:rPr>
        <w:footnoteRef/>
      </w:r>
      <w:r w:rsidRPr="00C6445D">
        <w:rPr>
          <w:rFonts w:ascii="Times" w:hAnsi="Times"/>
          <w:szCs w:val="20"/>
        </w:rPr>
        <w:t xml:space="preserve"> </w:t>
      </w:r>
      <w:r w:rsidR="005F47E8" w:rsidRPr="00C6445D">
        <w:rPr>
          <w:rFonts w:ascii="Times" w:hAnsi="Times"/>
          <w:szCs w:val="20"/>
        </w:rPr>
        <w:t>United States v Carolene Products Co. 304 U.S. 144 (1938).</w:t>
      </w:r>
    </w:p>
  </w:footnote>
  <w:footnote w:id="19">
    <w:p w14:paraId="40D203F7" w14:textId="13901D26" w:rsidR="00BD4A8F" w:rsidRPr="00C6445D" w:rsidRDefault="00BD4A8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3D6FC7" w:rsidRPr="00C6445D">
        <w:rPr>
          <w:rFonts w:ascii="Times" w:hAnsi="Times" w:cs="Times New Roman"/>
        </w:rPr>
        <w:t>Ely</w:t>
      </w:r>
      <w:r w:rsidR="00E26EA1" w:rsidRPr="00C6445D">
        <w:rPr>
          <w:rFonts w:ascii="Times" w:hAnsi="Times" w:cs="Times New Roman"/>
        </w:rPr>
        <w:t xml:space="preserve"> </w:t>
      </w:r>
      <w:r w:rsidR="0046436D" w:rsidRPr="00C6445D">
        <w:rPr>
          <w:rFonts w:ascii="Times" w:hAnsi="Times" w:cs="Times New Roman"/>
        </w:rPr>
        <w:t>“</w:t>
      </w:r>
      <w:r w:rsidR="0046436D" w:rsidRPr="00C6445D">
        <w:rPr>
          <w:rFonts w:ascii="Times" w:hAnsi="Times" w:cs="Times New Roman"/>
          <w:bCs/>
        </w:rPr>
        <w:t>Representation-reinforcing” above</w:t>
      </w:r>
      <w:r w:rsidR="00D11C2E" w:rsidRPr="00C6445D">
        <w:rPr>
          <w:rFonts w:ascii="Times" w:hAnsi="Times" w:cs="Times New Roman"/>
        </w:rPr>
        <w:t xml:space="preserve">, </w:t>
      </w:r>
      <w:r w:rsidR="00A50CFB" w:rsidRPr="00C6445D">
        <w:rPr>
          <w:rFonts w:ascii="Times" w:hAnsi="Times" w:cs="Times New Roman"/>
        </w:rPr>
        <w:t>486.</w:t>
      </w:r>
    </w:p>
  </w:footnote>
  <w:footnote w:id="20">
    <w:p w14:paraId="53EF03C7" w14:textId="05BA9B6A" w:rsidR="00BD4A8F" w:rsidRPr="00C6445D" w:rsidRDefault="00BD4A8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CD6BD6" w:rsidRPr="00C6445D">
        <w:rPr>
          <w:rFonts w:ascii="Times" w:hAnsi="Times" w:cs="Times New Roman"/>
        </w:rPr>
        <w:t xml:space="preserve">Ely </w:t>
      </w:r>
      <w:r w:rsidR="0046436D" w:rsidRPr="00C6445D">
        <w:rPr>
          <w:rFonts w:ascii="Times" w:hAnsi="Times" w:cs="Times New Roman"/>
          <w:bCs/>
          <w:i/>
          <w:iCs/>
        </w:rPr>
        <w:t>Democracy and Distrust</w:t>
      </w:r>
      <w:r w:rsidR="0046436D" w:rsidRPr="00C6445D">
        <w:rPr>
          <w:rFonts w:ascii="Times" w:hAnsi="Times" w:cs="Times New Roman"/>
        </w:rPr>
        <w:t xml:space="preserve"> </w:t>
      </w:r>
      <w:r w:rsidR="00AE09BF" w:rsidRPr="00C6445D">
        <w:rPr>
          <w:rFonts w:ascii="Times" w:hAnsi="Times" w:cs="Times New Roman"/>
        </w:rPr>
        <w:t xml:space="preserve">above, </w:t>
      </w:r>
      <w:r w:rsidR="002D65CF" w:rsidRPr="00C6445D">
        <w:rPr>
          <w:rFonts w:ascii="Times" w:hAnsi="Times" w:cs="Times New Roman"/>
        </w:rPr>
        <w:t>p</w:t>
      </w:r>
      <w:r w:rsidRPr="00C6445D">
        <w:rPr>
          <w:rFonts w:ascii="Times" w:hAnsi="Times" w:cs="Times New Roman"/>
        </w:rPr>
        <w:t>p. 73-74. This comment comes in relation to the focus of the Warren Court.</w:t>
      </w:r>
    </w:p>
  </w:footnote>
  <w:footnote w:id="21">
    <w:p w14:paraId="1370DC76" w14:textId="06B4810F" w:rsidR="00BD4A8F" w:rsidRPr="00C6445D" w:rsidRDefault="00BD4A8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2D65CF" w:rsidRPr="00C6445D">
        <w:rPr>
          <w:rFonts w:ascii="Times" w:hAnsi="Times" w:cs="Times New Roman"/>
        </w:rPr>
        <w:t xml:space="preserve">Ely </w:t>
      </w:r>
      <w:r w:rsidR="0046436D" w:rsidRPr="00C6445D">
        <w:rPr>
          <w:rFonts w:ascii="Times" w:hAnsi="Times" w:cs="Times New Roman"/>
          <w:bCs/>
          <w:i/>
          <w:iCs/>
        </w:rPr>
        <w:t>Democracy and Distrust</w:t>
      </w:r>
      <w:r w:rsidR="0046436D" w:rsidRPr="00C6445D">
        <w:rPr>
          <w:rFonts w:ascii="Times" w:hAnsi="Times" w:cs="Times New Roman"/>
          <w:bCs/>
        </w:rPr>
        <w:t> </w:t>
      </w:r>
      <w:r w:rsidR="0046436D" w:rsidRPr="00C6445D">
        <w:rPr>
          <w:rFonts w:ascii="Times" w:hAnsi="Times" w:cs="Times New Roman"/>
        </w:rPr>
        <w:t xml:space="preserve"> </w:t>
      </w:r>
      <w:r w:rsidR="00091D08" w:rsidRPr="00C6445D">
        <w:rPr>
          <w:rFonts w:ascii="Times" w:hAnsi="Times" w:cs="Times New Roman"/>
        </w:rPr>
        <w:t xml:space="preserve">above, </w:t>
      </w:r>
      <w:r w:rsidR="002D65CF" w:rsidRPr="00C6445D">
        <w:rPr>
          <w:rFonts w:ascii="Times" w:hAnsi="Times" w:cs="Times New Roman"/>
        </w:rPr>
        <w:t>p</w:t>
      </w:r>
      <w:r w:rsidRPr="00C6445D">
        <w:rPr>
          <w:rFonts w:ascii="Times" w:hAnsi="Times" w:cs="Times New Roman"/>
        </w:rPr>
        <w:t>. 104.</w:t>
      </w:r>
    </w:p>
  </w:footnote>
  <w:footnote w:id="22">
    <w:p w14:paraId="6BC6554F" w14:textId="1D75758A" w:rsidR="00BD4A8F" w:rsidRPr="00C6445D" w:rsidRDefault="00BD4A8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1E1A7A" w:rsidRPr="00C6445D">
        <w:rPr>
          <w:rFonts w:ascii="Times" w:hAnsi="Times" w:cs="Times New Roman"/>
        </w:rPr>
        <w:t>Ely “</w:t>
      </w:r>
      <w:r w:rsidR="001E1A7A" w:rsidRPr="00C6445D">
        <w:rPr>
          <w:rFonts w:ascii="Times" w:hAnsi="Times" w:cs="Times New Roman"/>
          <w:bCs/>
        </w:rPr>
        <w:t>Representation-reinforcing” above</w:t>
      </w:r>
      <w:r w:rsidR="001E1A7A" w:rsidRPr="00C6445D">
        <w:rPr>
          <w:rFonts w:ascii="Times" w:hAnsi="Times" w:cs="Times New Roman"/>
        </w:rPr>
        <w:t xml:space="preserve">, </w:t>
      </w:r>
      <w:r w:rsidRPr="00C6445D">
        <w:rPr>
          <w:rFonts w:ascii="Times" w:hAnsi="Times" w:cs="Times New Roman"/>
        </w:rPr>
        <w:t>485.</w:t>
      </w:r>
    </w:p>
  </w:footnote>
  <w:footnote w:id="23">
    <w:p w14:paraId="509023EC" w14:textId="5727A76D" w:rsidR="00B5658A" w:rsidRPr="00C6445D" w:rsidRDefault="00B5658A"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B070B2" w:rsidRPr="00C6445D">
        <w:rPr>
          <w:rFonts w:ascii="Times" w:hAnsi="Times" w:cs="Times New Roman"/>
        </w:rPr>
        <w:t xml:space="preserve">See: </w:t>
      </w:r>
      <w:r w:rsidR="009C2F86" w:rsidRPr="00C6445D">
        <w:rPr>
          <w:rFonts w:ascii="Times" w:hAnsi="Times" w:cs="Times New Roman"/>
        </w:rPr>
        <w:t xml:space="preserve">R. </w:t>
      </w:r>
      <w:r w:rsidR="00B93529" w:rsidRPr="00C6445D">
        <w:rPr>
          <w:rFonts w:ascii="Times" w:hAnsi="Times" w:cs="Times New Roman"/>
          <w:bCs/>
          <w:shd w:val="clear" w:color="auto" w:fill="FFFFFF"/>
        </w:rPr>
        <w:t xml:space="preserve">Posner, </w:t>
      </w:r>
      <w:r w:rsidR="00BC091E" w:rsidRPr="00C6445D">
        <w:rPr>
          <w:rFonts w:ascii="Times" w:hAnsi="Times" w:cs="Times New Roman"/>
          <w:bCs/>
          <w:shd w:val="clear" w:color="auto" w:fill="FFFFFF"/>
        </w:rPr>
        <w:t>“</w:t>
      </w:r>
      <w:r w:rsidR="00B93529" w:rsidRPr="00C6445D">
        <w:rPr>
          <w:rFonts w:ascii="Times" w:hAnsi="Times" w:cs="Times New Roman"/>
          <w:bCs/>
          <w:shd w:val="clear" w:color="auto" w:fill="FFFFFF"/>
        </w:rPr>
        <w:t>Democracy and Distrust Revisited</w:t>
      </w:r>
      <w:r w:rsidR="00BC091E" w:rsidRPr="00C6445D">
        <w:rPr>
          <w:rFonts w:ascii="Times" w:hAnsi="Times" w:cs="Times New Roman"/>
          <w:bCs/>
          <w:shd w:val="clear" w:color="auto" w:fill="FFFFFF"/>
        </w:rPr>
        <w:t xml:space="preserve">” </w:t>
      </w:r>
      <w:r w:rsidR="00014848" w:rsidRPr="00C6445D">
        <w:rPr>
          <w:rFonts w:ascii="Times" w:hAnsi="Times" w:cs="Times New Roman"/>
          <w:bCs/>
          <w:shd w:val="clear" w:color="auto" w:fill="FFFFFF"/>
        </w:rPr>
        <w:t xml:space="preserve">(1991) </w:t>
      </w:r>
      <w:r w:rsidR="00BC091E" w:rsidRPr="00C6445D">
        <w:rPr>
          <w:rFonts w:ascii="Times" w:hAnsi="Times" w:cs="Times New Roman"/>
          <w:bCs/>
          <w:shd w:val="clear" w:color="auto" w:fill="FFFFFF"/>
        </w:rPr>
        <w:t xml:space="preserve">77 </w:t>
      </w:r>
      <w:r w:rsidR="00B93529" w:rsidRPr="00C6445D">
        <w:rPr>
          <w:rFonts w:ascii="Times" w:hAnsi="Times" w:cs="Times New Roman"/>
          <w:bCs/>
          <w:shd w:val="clear" w:color="auto" w:fill="FFFFFF"/>
        </w:rPr>
        <w:t>Virginia Law Review</w:t>
      </w:r>
      <w:r w:rsidR="00BC091E" w:rsidRPr="00C6445D">
        <w:rPr>
          <w:rFonts w:ascii="Times" w:hAnsi="Times" w:cs="Times New Roman"/>
          <w:bCs/>
          <w:shd w:val="clear" w:color="auto" w:fill="FFFFFF"/>
        </w:rPr>
        <w:t xml:space="preserve"> </w:t>
      </w:r>
      <w:r w:rsidR="00B93529" w:rsidRPr="00C6445D">
        <w:rPr>
          <w:rFonts w:ascii="Times" w:hAnsi="Times" w:cs="Times New Roman"/>
          <w:bCs/>
          <w:shd w:val="clear" w:color="auto" w:fill="FFFFFF"/>
        </w:rPr>
        <w:t>641</w:t>
      </w:r>
      <w:r w:rsidR="00B070B2" w:rsidRPr="00C6445D">
        <w:rPr>
          <w:rFonts w:ascii="Times" w:hAnsi="Times" w:cs="Times New Roman"/>
          <w:bCs/>
          <w:shd w:val="clear" w:color="auto" w:fill="FFFFFF"/>
        </w:rPr>
        <w:t xml:space="preserve">; </w:t>
      </w:r>
      <w:r w:rsidR="00837B62" w:rsidRPr="00C6445D">
        <w:rPr>
          <w:rFonts w:ascii="Times" w:hAnsi="Times" w:cs="Times New Roman"/>
          <w:bCs/>
          <w:shd w:val="clear" w:color="auto" w:fill="FFFFFF"/>
        </w:rPr>
        <w:t>L.</w:t>
      </w:r>
      <w:r w:rsidR="005174DC" w:rsidRPr="00C6445D">
        <w:rPr>
          <w:rFonts w:ascii="Times" w:hAnsi="Times" w:cs="Times New Roman"/>
          <w:bCs/>
          <w:shd w:val="clear" w:color="auto" w:fill="FFFFFF"/>
        </w:rPr>
        <w:t xml:space="preserve"> </w:t>
      </w:r>
      <w:r w:rsidR="00B070B2" w:rsidRPr="00C6445D">
        <w:rPr>
          <w:rFonts w:ascii="Times" w:hAnsi="Times" w:cs="Times New Roman"/>
          <w:shd w:val="clear" w:color="auto" w:fill="FFFFFF"/>
        </w:rPr>
        <w:t xml:space="preserve">Tribe, </w:t>
      </w:r>
      <w:r w:rsidR="00AE2041" w:rsidRPr="00C6445D">
        <w:rPr>
          <w:rFonts w:ascii="Times" w:hAnsi="Times" w:cs="Times New Roman"/>
          <w:shd w:val="clear" w:color="auto" w:fill="FFFFFF"/>
        </w:rPr>
        <w:t>“</w:t>
      </w:r>
      <w:r w:rsidR="00B070B2" w:rsidRPr="00C6445D">
        <w:rPr>
          <w:rFonts w:ascii="Times" w:hAnsi="Times" w:cs="Times New Roman"/>
          <w:shd w:val="clear" w:color="auto" w:fill="FFFFFF"/>
        </w:rPr>
        <w:t>The Puzzling Persistence of Process-Based Constitutional Theories</w:t>
      </w:r>
      <w:r w:rsidR="001335A8" w:rsidRPr="00C6445D">
        <w:rPr>
          <w:rFonts w:ascii="Times" w:hAnsi="Times" w:cs="Times New Roman"/>
          <w:shd w:val="clear" w:color="auto" w:fill="FFFFFF"/>
        </w:rPr>
        <w:t>”</w:t>
      </w:r>
      <w:r w:rsidR="00B070B2" w:rsidRPr="00C6445D">
        <w:rPr>
          <w:rFonts w:ascii="Times" w:hAnsi="Times" w:cs="Times New Roman"/>
          <w:shd w:val="clear" w:color="auto" w:fill="FFFFFF"/>
        </w:rPr>
        <w:t xml:space="preserve"> </w:t>
      </w:r>
      <w:r w:rsidR="00014848" w:rsidRPr="00C6445D">
        <w:rPr>
          <w:rFonts w:ascii="Times" w:hAnsi="Times" w:cs="Times New Roman"/>
          <w:shd w:val="clear" w:color="auto" w:fill="FFFFFF"/>
        </w:rPr>
        <w:t xml:space="preserve">(1980) </w:t>
      </w:r>
      <w:r w:rsidR="001335A8" w:rsidRPr="00C6445D">
        <w:rPr>
          <w:rFonts w:ascii="Times" w:hAnsi="Times" w:cs="Times New Roman"/>
          <w:bCs/>
        </w:rPr>
        <w:t>89 The Yale Law Journal 1063</w:t>
      </w:r>
      <w:r w:rsidR="004202C9" w:rsidRPr="00C6445D">
        <w:rPr>
          <w:rFonts w:ascii="Times" w:hAnsi="Times" w:cs="Times New Roman"/>
          <w:shd w:val="clear" w:color="auto" w:fill="FFFFFF"/>
        </w:rPr>
        <w:t xml:space="preserve">; </w:t>
      </w:r>
      <w:r w:rsidR="005174DC" w:rsidRPr="00C6445D">
        <w:rPr>
          <w:rFonts w:ascii="Times" w:hAnsi="Times" w:cs="Times New Roman"/>
          <w:shd w:val="clear" w:color="auto" w:fill="FFFFFF"/>
        </w:rPr>
        <w:t xml:space="preserve">M. </w:t>
      </w:r>
      <w:r w:rsidR="004202C9" w:rsidRPr="00C6445D">
        <w:rPr>
          <w:rFonts w:ascii="Times" w:hAnsi="Times" w:cs="Times New Roman"/>
          <w:shd w:val="clear" w:color="auto" w:fill="FFFFFF"/>
        </w:rPr>
        <w:t xml:space="preserve">Tushnet, </w:t>
      </w:r>
      <w:r w:rsidR="00AE2041" w:rsidRPr="00C6445D">
        <w:rPr>
          <w:rFonts w:ascii="Times" w:hAnsi="Times" w:cs="Times New Roman"/>
          <w:shd w:val="clear" w:color="auto" w:fill="FFFFFF"/>
        </w:rPr>
        <w:t>“</w:t>
      </w:r>
      <w:r w:rsidR="004202C9" w:rsidRPr="00C6445D">
        <w:rPr>
          <w:rFonts w:ascii="Times" w:hAnsi="Times" w:cs="Times New Roman"/>
          <w:shd w:val="clear" w:color="auto" w:fill="FFFFFF"/>
        </w:rPr>
        <w:t>Darkness on the Edge of Town: The Contributions of John Hart Ely to Constitutional</w:t>
      </w:r>
      <w:r w:rsidR="00AE2041" w:rsidRPr="00C6445D">
        <w:rPr>
          <w:rFonts w:ascii="Times" w:hAnsi="Times" w:cs="Times New Roman"/>
          <w:shd w:val="clear" w:color="auto" w:fill="FFFFFF"/>
        </w:rPr>
        <w:t>”</w:t>
      </w:r>
      <w:r w:rsidR="004202C9" w:rsidRPr="00C6445D">
        <w:rPr>
          <w:rFonts w:ascii="Times" w:hAnsi="Times" w:cs="Times New Roman"/>
          <w:shd w:val="clear" w:color="auto" w:fill="FFFFFF"/>
        </w:rPr>
        <w:t xml:space="preserve"> </w:t>
      </w:r>
      <w:r w:rsidR="00507EAE" w:rsidRPr="00C6445D">
        <w:rPr>
          <w:rFonts w:ascii="Times" w:hAnsi="Times" w:cs="Times New Roman"/>
          <w:shd w:val="clear" w:color="auto" w:fill="FFFFFF"/>
        </w:rPr>
        <w:t xml:space="preserve">(1980) </w:t>
      </w:r>
      <w:r w:rsidR="00AE2041" w:rsidRPr="00C6445D">
        <w:rPr>
          <w:rFonts w:ascii="Times" w:hAnsi="Times" w:cs="Times New Roman"/>
          <w:bCs/>
        </w:rPr>
        <w:t>89 The Yale Law Journal 1037</w:t>
      </w:r>
      <w:r w:rsidR="00945740" w:rsidRPr="00C6445D">
        <w:rPr>
          <w:rFonts w:ascii="Times" w:hAnsi="Times" w:cs="Times New Roman"/>
          <w:shd w:val="clear" w:color="auto" w:fill="FFFFFF"/>
        </w:rPr>
        <w:t xml:space="preserve">; </w:t>
      </w:r>
      <w:r w:rsidR="002B6EEE" w:rsidRPr="00C6445D">
        <w:rPr>
          <w:rFonts w:ascii="Times" w:hAnsi="Times" w:cs="Times New Roman"/>
          <w:shd w:val="clear" w:color="auto" w:fill="FFFFFF"/>
        </w:rPr>
        <w:t xml:space="preserve">J. </w:t>
      </w:r>
      <w:r w:rsidR="0070649E" w:rsidRPr="00C6445D">
        <w:rPr>
          <w:rFonts w:ascii="Times" w:hAnsi="Times" w:cs="Times New Roman"/>
          <w:bCs/>
        </w:rPr>
        <w:t>Koffler, “Constitutional Catarrh: Democracy and Distrust, by John Hart Ely” 1 Pace L. Rev. (1981), 403</w:t>
      </w:r>
      <w:r w:rsidR="00EF4E1A" w:rsidRPr="00C6445D">
        <w:rPr>
          <w:rFonts w:ascii="Times" w:hAnsi="Times" w:cs="Times New Roman"/>
          <w:shd w:val="clear" w:color="auto" w:fill="FFFFFF"/>
        </w:rPr>
        <w:t>; Brest. “The Substance of Process</w:t>
      </w:r>
      <w:r w:rsidR="00333522" w:rsidRPr="00C6445D">
        <w:rPr>
          <w:rFonts w:ascii="Times" w:hAnsi="Times" w:cs="Times New Roman"/>
          <w:shd w:val="clear" w:color="auto" w:fill="FFFFFF"/>
        </w:rPr>
        <w:t xml:space="preserve">”, </w:t>
      </w:r>
      <w:r w:rsidR="00CA4CC8" w:rsidRPr="00C6445D">
        <w:rPr>
          <w:rFonts w:ascii="Times" w:hAnsi="Times" w:cs="Times New Roman"/>
          <w:shd w:val="clear" w:color="auto" w:fill="FFFFFF"/>
        </w:rPr>
        <w:t xml:space="preserve">(1980) </w:t>
      </w:r>
      <w:r w:rsidR="00333522" w:rsidRPr="00C6445D">
        <w:rPr>
          <w:rFonts w:ascii="Times" w:hAnsi="Times" w:cs="Times New Roman"/>
          <w:shd w:val="clear" w:color="auto" w:fill="FFFFFF"/>
        </w:rPr>
        <w:t>42 Ohio State Law Journal 131</w:t>
      </w:r>
      <w:r w:rsidR="00C20EC9" w:rsidRPr="00C6445D">
        <w:rPr>
          <w:rFonts w:ascii="Times" w:hAnsi="Times" w:cs="Times New Roman"/>
          <w:shd w:val="clear" w:color="auto" w:fill="FFFFFF"/>
        </w:rPr>
        <w:t xml:space="preserve">. </w:t>
      </w:r>
      <w:r w:rsidR="00EA41D2" w:rsidRPr="00C6445D">
        <w:rPr>
          <w:rFonts w:ascii="Times" w:hAnsi="Times" w:cs="Times New Roman"/>
          <w:shd w:val="clear" w:color="auto" w:fill="FFFFFF"/>
        </w:rPr>
        <w:t xml:space="preserve">A. </w:t>
      </w:r>
      <w:r w:rsidR="0067184A" w:rsidRPr="00C6445D">
        <w:rPr>
          <w:rFonts w:ascii="Times" w:hAnsi="Times" w:cs="Times New Roman"/>
          <w:shd w:val="clear" w:color="auto" w:fill="FFFFFF"/>
        </w:rPr>
        <w:t>Chand</w:t>
      </w:r>
      <w:r w:rsidR="006A0CEC" w:rsidRPr="00C6445D">
        <w:rPr>
          <w:rFonts w:ascii="Times" w:hAnsi="Times" w:cs="Times New Roman"/>
          <w:shd w:val="clear" w:color="auto" w:fill="FFFFFF"/>
        </w:rPr>
        <w:t>l</w:t>
      </w:r>
      <w:r w:rsidR="0067184A" w:rsidRPr="00C6445D">
        <w:rPr>
          <w:rFonts w:ascii="Times" w:hAnsi="Times" w:cs="Times New Roman"/>
          <w:shd w:val="clear" w:color="auto" w:fill="FFFFFF"/>
        </w:rPr>
        <w:t>er, “Globalization and Distrust”</w:t>
      </w:r>
      <w:r w:rsidR="00790A74" w:rsidRPr="00C6445D">
        <w:rPr>
          <w:rFonts w:ascii="Times" w:hAnsi="Times" w:cs="Times New Roman"/>
          <w:shd w:val="clear" w:color="auto" w:fill="FFFFFF"/>
        </w:rPr>
        <w:t xml:space="preserve">, </w:t>
      </w:r>
      <w:r w:rsidR="00893554" w:rsidRPr="00C6445D">
        <w:rPr>
          <w:rFonts w:ascii="Times" w:hAnsi="Times" w:cs="Times New Roman"/>
          <w:shd w:val="clear" w:color="auto" w:fill="FFFFFF"/>
        </w:rPr>
        <w:t xml:space="preserve">(2005) </w:t>
      </w:r>
      <w:r w:rsidR="006F414E" w:rsidRPr="00C6445D">
        <w:rPr>
          <w:rFonts w:ascii="Times" w:hAnsi="Times" w:cs="Times New Roman"/>
          <w:shd w:val="clear" w:color="auto" w:fill="FFFFFF"/>
        </w:rPr>
        <w:t xml:space="preserve">115 Yale Law Journal </w:t>
      </w:r>
      <w:r w:rsidR="00155015" w:rsidRPr="00C6445D">
        <w:rPr>
          <w:rFonts w:ascii="Times" w:hAnsi="Times" w:cs="Times New Roman"/>
          <w:shd w:val="clear" w:color="auto" w:fill="FFFFFF"/>
        </w:rPr>
        <w:t xml:space="preserve">1193. </w:t>
      </w:r>
      <w:r w:rsidR="004E3FDB" w:rsidRPr="00C6445D">
        <w:rPr>
          <w:rFonts w:ascii="Times" w:hAnsi="Times" w:cs="Times New Roman"/>
          <w:shd w:val="clear" w:color="auto" w:fill="FFFFFF"/>
        </w:rPr>
        <w:t xml:space="preserve">N. </w:t>
      </w:r>
      <w:r w:rsidR="00C20EC9" w:rsidRPr="00C6445D">
        <w:rPr>
          <w:rFonts w:ascii="Times" w:hAnsi="Times" w:cs="Times New Roman"/>
          <w:shd w:val="clear" w:color="auto" w:fill="FFFFFF"/>
        </w:rPr>
        <w:t xml:space="preserve">Komesar, “A Job for the Judges: The Judiciary and the Constitution in a Massive and Complex Society” </w:t>
      </w:r>
      <w:r w:rsidR="00D42244" w:rsidRPr="00C6445D">
        <w:rPr>
          <w:rFonts w:ascii="Times" w:hAnsi="Times" w:cs="Times New Roman"/>
          <w:shd w:val="clear" w:color="auto" w:fill="FFFFFF"/>
        </w:rPr>
        <w:t xml:space="preserve">(1988) </w:t>
      </w:r>
      <w:r w:rsidR="00C12818" w:rsidRPr="00C6445D">
        <w:rPr>
          <w:rFonts w:ascii="Times" w:hAnsi="Times" w:cs="Times New Roman"/>
          <w:shd w:val="clear" w:color="auto" w:fill="FFFFFF"/>
        </w:rPr>
        <w:t xml:space="preserve">86 Michigan Law Review </w:t>
      </w:r>
      <w:r w:rsidR="007960C0" w:rsidRPr="00C6445D">
        <w:rPr>
          <w:rFonts w:ascii="Times" w:hAnsi="Times" w:cs="Times New Roman"/>
          <w:shd w:val="clear" w:color="auto" w:fill="FFFFFF"/>
        </w:rPr>
        <w:t>657.</w:t>
      </w:r>
    </w:p>
  </w:footnote>
  <w:footnote w:id="24">
    <w:p w14:paraId="17355815" w14:textId="10D7FEAB" w:rsidR="00823405" w:rsidRPr="00C6445D" w:rsidRDefault="0082340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1E1A7A" w:rsidRPr="00C6445D">
        <w:rPr>
          <w:rFonts w:ascii="Times" w:hAnsi="Times" w:cs="Times New Roman"/>
        </w:rPr>
        <w:t>Ely “</w:t>
      </w:r>
      <w:r w:rsidR="001E1A7A" w:rsidRPr="00C6445D">
        <w:rPr>
          <w:rFonts w:ascii="Times" w:hAnsi="Times" w:cs="Times New Roman"/>
          <w:bCs/>
        </w:rPr>
        <w:t>Representation-reinforcing” above</w:t>
      </w:r>
      <w:r w:rsidR="001E1A7A" w:rsidRPr="00C6445D">
        <w:rPr>
          <w:rFonts w:ascii="Times" w:hAnsi="Times" w:cs="Times New Roman"/>
        </w:rPr>
        <w:t xml:space="preserve">, </w:t>
      </w:r>
      <w:r w:rsidR="003517C1" w:rsidRPr="00C6445D">
        <w:rPr>
          <w:rFonts w:ascii="Times" w:hAnsi="Times" w:cs="Times New Roman"/>
        </w:rPr>
        <w:t>486.</w:t>
      </w:r>
    </w:p>
  </w:footnote>
  <w:footnote w:id="25">
    <w:p w14:paraId="2DB70B65" w14:textId="5CFA075A" w:rsidR="007E0126" w:rsidRPr="00C6445D" w:rsidRDefault="007E0126" w:rsidP="00FB49D8">
      <w:pPr>
        <w:spacing w:before="0" w:after="0" w:line="240" w:lineRule="auto"/>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E14585" w:rsidRPr="00C6445D">
        <w:rPr>
          <w:rFonts w:ascii="Times" w:hAnsi="Times" w:cs="Times New Roman"/>
        </w:rPr>
        <w:t>Komesar</w:t>
      </w:r>
      <w:r w:rsidR="0096303C" w:rsidRPr="00C6445D">
        <w:rPr>
          <w:rFonts w:ascii="Times" w:hAnsi="Times" w:cs="Times New Roman"/>
        </w:rPr>
        <w:t xml:space="preserve"> “A Job for the Judges”</w:t>
      </w:r>
      <w:r w:rsidR="003517C1" w:rsidRPr="00C6445D">
        <w:rPr>
          <w:rFonts w:ascii="Times" w:hAnsi="Times" w:cs="Times New Roman"/>
        </w:rPr>
        <w:t xml:space="preserve">, </w:t>
      </w:r>
      <w:r w:rsidR="001A2F81" w:rsidRPr="00C6445D">
        <w:rPr>
          <w:rFonts w:ascii="Times" w:hAnsi="Times" w:cs="Times New Roman"/>
        </w:rPr>
        <w:t>above,</w:t>
      </w:r>
      <w:r w:rsidR="003517C1" w:rsidRPr="00C6445D">
        <w:rPr>
          <w:rFonts w:ascii="Times" w:hAnsi="Times" w:cs="Times New Roman"/>
        </w:rPr>
        <w:t xml:space="preserve"> 666: </w:t>
      </w:r>
      <w:r w:rsidR="00174C8C" w:rsidRPr="00C6445D">
        <w:rPr>
          <w:rFonts w:ascii="Times" w:hAnsi="Times" w:cs="Times New Roman"/>
        </w:rPr>
        <w:t xml:space="preserve"> The process-substance splits “imagines that judicial review can take place without judicial value judgments</w:t>
      </w:r>
      <w:r w:rsidR="003517C1" w:rsidRPr="00C6445D">
        <w:rPr>
          <w:rFonts w:ascii="Times" w:hAnsi="Times" w:cs="Times New Roman"/>
        </w:rPr>
        <w:t>”.</w:t>
      </w:r>
    </w:p>
  </w:footnote>
  <w:footnote w:id="26">
    <w:p w14:paraId="39B36A0A" w14:textId="3629C08E" w:rsidR="00415839" w:rsidRPr="00C6445D" w:rsidRDefault="00415839"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AC06F1" w:rsidRPr="00C6445D">
        <w:rPr>
          <w:rFonts w:ascii="Times" w:hAnsi="Times" w:cs="Times New Roman"/>
        </w:rPr>
        <w:t>See</w:t>
      </w:r>
      <w:r w:rsidR="00E3349C" w:rsidRPr="00C6445D">
        <w:rPr>
          <w:rFonts w:ascii="Times" w:hAnsi="Times" w:cs="Times New Roman"/>
        </w:rPr>
        <w:t xml:space="preserve"> section</w:t>
      </w:r>
      <w:r w:rsidR="0056547B" w:rsidRPr="00C6445D">
        <w:rPr>
          <w:rFonts w:ascii="Times" w:hAnsi="Times" w:cs="Times New Roman"/>
        </w:rPr>
        <w:t xml:space="preserve"> </w:t>
      </w:r>
      <w:r w:rsidR="0056547B" w:rsidRPr="00C6445D">
        <w:rPr>
          <w:rFonts w:ascii="Times" w:hAnsi="Times" w:cs="Times New Roman"/>
          <w:i/>
          <w:iCs/>
        </w:rPr>
        <w:t>infra</w:t>
      </w:r>
      <w:r w:rsidR="00E3349C" w:rsidRPr="00C6445D">
        <w:rPr>
          <w:rFonts w:ascii="Times" w:hAnsi="Times" w:cs="Times New Roman"/>
        </w:rPr>
        <w:t xml:space="preserve">: “The </w:t>
      </w:r>
      <w:r w:rsidR="00E3349C" w:rsidRPr="00C6445D">
        <w:rPr>
          <w:rFonts w:ascii="Times" w:hAnsi="Times" w:cs="Times New Roman"/>
          <w:i/>
          <w:iCs/>
        </w:rPr>
        <w:t>Outcomes</w:t>
      </w:r>
      <w:r w:rsidR="00E3349C" w:rsidRPr="00C6445D">
        <w:rPr>
          <w:rFonts w:ascii="Times" w:hAnsi="Times" w:cs="Times New Roman"/>
        </w:rPr>
        <w:t xml:space="preserve"> of Process Review in the European Union”</w:t>
      </w:r>
    </w:p>
  </w:footnote>
  <w:footnote w:id="27">
    <w:p w14:paraId="05DD38DF" w14:textId="5989FF3F" w:rsidR="00E55BFF" w:rsidRPr="00C6445D" w:rsidRDefault="00E55BF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1E1A7A" w:rsidRPr="00C6445D">
        <w:rPr>
          <w:rFonts w:ascii="Times" w:hAnsi="Times" w:cs="Times New Roman"/>
        </w:rPr>
        <w:t>Ely “</w:t>
      </w:r>
      <w:r w:rsidR="001E1A7A" w:rsidRPr="00C6445D">
        <w:rPr>
          <w:rFonts w:ascii="Times" w:hAnsi="Times" w:cs="Times New Roman"/>
          <w:bCs/>
        </w:rPr>
        <w:t>Representation-reinforcing” above</w:t>
      </w:r>
      <w:r w:rsidR="001E1A7A" w:rsidRPr="00C6445D">
        <w:rPr>
          <w:rFonts w:ascii="Times" w:hAnsi="Times" w:cs="Times New Roman"/>
        </w:rPr>
        <w:t xml:space="preserve">, </w:t>
      </w:r>
      <w:r w:rsidR="00BB178A" w:rsidRPr="00C6445D">
        <w:rPr>
          <w:rFonts w:ascii="Times" w:hAnsi="Times" w:cs="Times New Roman"/>
        </w:rPr>
        <w:t>470.</w:t>
      </w:r>
    </w:p>
  </w:footnote>
  <w:footnote w:id="28">
    <w:p w14:paraId="2E0F2C18" w14:textId="35BD4960" w:rsidR="00BC605F" w:rsidRPr="00C6445D" w:rsidRDefault="00BC605F" w:rsidP="00FB49D8">
      <w:pPr>
        <w:pStyle w:val="FootnoteText"/>
        <w:rPr>
          <w:rFonts w:ascii="Times" w:hAnsi="Times" w:cs="Times New Roman"/>
        </w:rPr>
      </w:pPr>
      <w:r w:rsidRPr="00C6445D">
        <w:rPr>
          <w:rStyle w:val="FootnoteReference"/>
          <w:rFonts w:ascii="Times" w:hAnsi="Times" w:cs="Times New Roman"/>
        </w:rPr>
        <w:footnoteRef/>
      </w:r>
      <w:r w:rsidR="00AB34E6" w:rsidRPr="00C6445D">
        <w:rPr>
          <w:rFonts w:ascii="Times" w:hAnsi="Times" w:cs="Times New Roman"/>
        </w:rPr>
        <w:t xml:space="preserve"> </w:t>
      </w:r>
      <w:r w:rsidR="001E1A7A" w:rsidRPr="00C6445D">
        <w:rPr>
          <w:rFonts w:ascii="Times" w:hAnsi="Times" w:cs="Times New Roman"/>
        </w:rPr>
        <w:t>Ely “</w:t>
      </w:r>
      <w:r w:rsidR="001E1A7A" w:rsidRPr="00C6445D">
        <w:rPr>
          <w:rFonts w:ascii="Times" w:hAnsi="Times" w:cs="Times New Roman"/>
          <w:bCs/>
        </w:rPr>
        <w:t>Representation-reinforcing” above</w:t>
      </w:r>
      <w:r w:rsidR="001E1A7A" w:rsidRPr="00C6445D">
        <w:rPr>
          <w:rFonts w:ascii="Times" w:hAnsi="Times" w:cs="Times New Roman"/>
        </w:rPr>
        <w:t xml:space="preserve">, </w:t>
      </w:r>
      <w:r w:rsidR="00F51881" w:rsidRPr="00C6445D">
        <w:rPr>
          <w:rFonts w:ascii="Times" w:hAnsi="Times" w:cs="Times New Roman"/>
        </w:rPr>
        <w:t>475:</w:t>
      </w:r>
      <w:r w:rsidRPr="00C6445D">
        <w:rPr>
          <w:rFonts w:ascii="Times" w:hAnsi="Times" w:cs="Times New Roman"/>
        </w:rPr>
        <w:t xml:space="preserve"> This covers a wide range of provision</w:t>
      </w:r>
      <w:r w:rsidR="007E2BA6" w:rsidRPr="00C6445D">
        <w:rPr>
          <w:rFonts w:ascii="Times" w:hAnsi="Times" w:cs="Times New Roman"/>
        </w:rPr>
        <w:t>s</w:t>
      </w:r>
      <w:r w:rsidRPr="00C6445D">
        <w:rPr>
          <w:rFonts w:ascii="Times" w:hAnsi="Times" w:cs="Times New Roman"/>
        </w:rPr>
        <w:t>, with Ely recognis</w:t>
      </w:r>
      <w:r w:rsidR="00617E75" w:rsidRPr="00C6445D">
        <w:rPr>
          <w:rFonts w:ascii="Times" w:hAnsi="Times" w:cs="Times New Roman"/>
        </w:rPr>
        <w:t xml:space="preserve">ing </w:t>
      </w:r>
      <w:r w:rsidRPr="00C6445D">
        <w:rPr>
          <w:rFonts w:ascii="Times" w:hAnsi="Times" w:cs="Times New Roman"/>
        </w:rPr>
        <w:t>that  for some “process and value seem to have been intertwined”. See the Obligations of Contracts Clause</w:t>
      </w:r>
      <w:r w:rsidR="00F00EE4" w:rsidRPr="00C6445D">
        <w:rPr>
          <w:rFonts w:ascii="Times" w:hAnsi="Times" w:cs="Times New Roman"/>
        </w:rPr>
        <w:t>,</w:t>
      </w:r>
      <w:r w:rsidRPr="00C6445D">
        <w:rPr>
          <w:rFonts w:ascii="Times" w:hAnsi="Times" w:cs="Times New Roman"/>
        </w:rPr>
        <w:t xml:space="preserve"> U.S. CONST. art. I, § 10, cl. 1</w:t>
      </w:r>
      <w:r w:rsidR="00FA004D" w:rsidRPr="00C6445D">
        <w:rPr>
          <w:rFonts w:ascii="Times" w:hAnsi="Times" w:cs="Times New Roman"/>
        </w:rPr>
        <w:t>.</w:t>
      </w:r>
    </w:p>
  </w:footnote>
  <w:footnote w:id="29">
    <w:p w14:paraId="08778EEF" w14:textId="29732977" w:rsidR="00C72831" w:rsidRPr="00C6445D" w:rsidRDefault="00C72831"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1D516F" w:rsidRPr="00C6445D">
        <w:rPr>
          <w:rFonts w:ascii="Times" w:hAnsi="Times" w:cs="Times New Roman"/>
        </w:rPr>
        <w:t>See Tribe</w:t>
      </w:r>
      <w:r w:rsidR="00F42367" w:rsidRPr="00C6445D">
        <w:rPr>
          <w:rFonts w:ascii="Times" w:hAnsi="Times" w:cs="Times New Roman"/>
        </w:rPr>
        <w:t xml:space="preserve"> “Puzzling Persistence”</w:t>
      </w:r>
      <w:r w:rsidR="00410955" w:rsidRPr="00C6445D">
        <w:rPr>
          <w:rFonts w:ascii="Times" w:hAnsi="Times" w:cs="Times New Roman"/>
        </w:rPr>
        <w:t xml:space="preserve"> above,</w:t>
      </w:r>
      <w:r w:rsidR="001D516F" w:rsidRPr="00C6445D">
        <w:rPr>
          <w:rFonts w:ascii="Times" w:hAnsi="Times" w:cs="Times New Roman"/>
        </w:rPr>
        <w:t xml:space="preserve"> </w:t>
      </w:r>
      <w:r w:rsidR="00E104F0" w:rsidRPr="00C6445D">
        <w:rPr>
          <w:rFonts w:ascii="Times" w:hAnsi="Times" w:cs="Times New Roman"/>
        </w:rPr>
        <w:t>1065.</w:t>
      </w:r>
    </w:p>
  </w:footnote>
  <w:footnote w:id="30">
    <w:p w14:paraId="171B5FA4" w14:textId="40DD5A85" w:rsidR="00BC605F" w:rsidRPr="00C6445D" w:rsidRDefault="00BC605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CE424C" w:rsidRPr="00C6445D">
        <w:rPr>
          <w:rFonts w:ascii="Times" w:hAnsi="Times" w:cs="Times New Roman"/>
        </w:rPr>
        <w:t>See Tribe “Puzzling Persistence” abo</w:t>
      </w:r>
      <w:r w:rsidR="00453C17" w:rsidRPr="00C6445D">
        <w:rPr>
          <w:rFonts w:ascii="Times" w:hAnsi="Times" w:cs="Times New Roman"/>
        </w:rPr>
        <w:t>ve</w:t>
      </w:r>
      <w:r w:rsidR="00D81A7F" w:rsidRPr="00C6445D">
        <w:rPr>
          <w:rFonts w:ascii="Times" w:hAnsi="Times" w:cs="Times New Roman"/>
        </w:rPr>
        <w:t>, 1067</w:t>
      </w:r>
      <w:r w:rsidR="00453C17" w:rsidRPr="00C6445D">
        <w:rPr>
          <w:rFonts w:ascii="Times" w:hAnsi="Times" w:cs="Times New Roman"/>
        </w:rPr>
        <w:t xml:space="preserve">: “What is puzzling is that anyone can say, in the face of this reality, that the Constitution is or should be predominantly concerned with </w:t>
      </w:r>
      <w:r w:rsidR="00453C17" w:rsidRPr="00C6445D">
        <w:rPr>
          <w:rFonts w:ascii="Times" w:hAnsi="Times" w:cs="Times New Roman"/>
          <w:i/>
          <w:iCs/>
        </w:rPr>
        <w:t>process</w:t>
      </w:r>
      <w:r w:rsidR="007048F9" w:rsidRPr="00C6445D">
        <w:rPr>
          <w:rFonts w:ascii="Times" w:hAnsi="Times" w:cs="Times New Roman"/>
        </w:rPr>
        <w:t xml:space="preserve"> </w:t>
      </w:r>
      <w:r w:rsidR="00453C17" w:rsidRPr="00C6445D">
        <w:rPr>
          <w:rFonts w:ascii="Times" w:hAnsi="Times" w:cs="Times New Roman"/>
        </w:rPr>
        <w:t xml:space="preserve">and </w:t>
      </w:r>
      <w:r w:rsidR="00453C17" w:rsidRPr="00C6445D">
        <w:rPr>
          <w:rFonts w:ascii="Times" w:hAnsi="Times" w:cs="Times New Roman"/>
          <w:i/>
          <w:iCs/>
        </w:rPr>
        <w:t xml:space="preserve">not </w:t>
      </w:r>
      <w:r w:rsidR="00453C17" w:rsidRPr="00C6445D">
        <w:rPr>
          <w:rFonts w:ascii="Times" w:hAnsi="Times" w:cs="Times New Roman"/>
        </w:rPr>
        <w:t>substance.”</w:t>
      </w:r>
    </w:p>
  </w:footnote>
  <w:footnote w:id="31">
    <w:p w14:paraId="1030D363" w14:textId="0C587DD4" w:rsidR="00BC605F" w:rsidRPr="00C6445D" w:rsidRDefault="00BC605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687F44" w:rsidRPr="00C6445D">
        <w:rPr>
          <w:rFonts w:ascii="Times" w:hAnsi="Times" w:cs="Times New Roman"/>
        </w:rPr>
        <w:t>See Tribe</w:t>
      </w:r>
      <w:r w:rsidR="00A85E40" w:rsidRPr="00C6445D">
        <w:rPr>
          <w:rFonts w:ascii="Times" w:hAnsi="Times" w:cs="Times New Roman"/>
        </w:rPr>
        <w:t xml:space="preserve"> </w:t>
      </w:r>
      <w:r w:rsidR="007F26B6" w:rsidRPr="00C6445D">
        <w:rPr>
          <w:rFonts w:ascii="Times" w:hAnsi="Times" w:cs="Times New Roman"/>
        </w:rPr>
        <w:t xml:space="preserve">“Puzzling Persistence” </w:t>
      </w:r>
      <w:r w:rsidR="00687F44" w:rsidRPr="00C6445D">
        <w:rPr>
          <w:rFonts w:ascii="Times" w:hAnsi="Times" w:cs="Times New Roman"/>
        </w:rPr>
        <w:t xml:space="preserve"> above, </w:t>
      </w:r>
      <w:r w:rsidRPr="00C6445D">
        <w:rPr>
          <w:rFonts w:ascii="Times" w:hAnsi="Times" w:cs="Times New Roman"/>
        </w:rPr>
        <w:t>1074.</w:t>
      </w:r>
    </w:p>
  </w:footnote>
  <w:footnote w:id="32">
    <w:p w14:paraId="692557D1" w14:textId="12656C93" w:rsidR="00F54814" w:rsidRPr="00C6445D" w:rsidRDefault="00F54814"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687F44" w:rsidRPr="00C6445D">
        <w:rPr>
          <w:rFonts w:ascii="Times" w:hAnsi="Times" w:cs="Times New Roman"/>
        </w:rPr>
        <w:t xml:space="preserve">See Tribe </w:t>
      </w:r>
      <w:r w:rsidR="007F26B6" w:rsidRPr="00C6445D">
        <w:rPr>
          <w:rFonts w:ascii="Times" w:hAnsi="Times" w:cs="Times New Roman"/>
        </w:rPr>
        <w:t xml:space="preserve">“Puzzling Persistence” </w:t>
      </w:r>
      <w:r w:rsidR="00687F44" w:rsidRPr="00C6445D">
        <w:rPr>
          <w:rFonts w:ascii="Times" w:hAnsi="Times" w:cs="Times New Roman"/>
        </w:rPr>
        <w:t xml:space="preserve">above, </w:t>
      </w:r>
      <w:r w:rsidR="00656B81" w:rsidRPr="00C6445D">
        <w:rPr>
          <w:rFonts w:ascii="Times" w:hAnsi="Times" w:cs="Times New Roman"/>
        </w:rPr>
        <w:t>1075.</w:t>
      </w:r>
    </w:p>
  </w:footnote>
  <w:footnote w:id="33">
    <w:p w14:paraId="6E68B9CF" w14:textId="43D7B8FD" w:rsidR="00AF550E" w:rsidRPr="00C6445D" w:rsidRDefault="00AF550E"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E42A40" w:rsidRPr="00C6445D">
        <w:rPr>
          <w:rFonts w:ascii="Times" w:hAnsi="Times" w:cs="Times New Roman"/>
        </w:rPr>
        <w:t xml:space="preserve">Posner “Democracy and Distrust Revisited” above, </w:t>
      </w:r>
      <w:r w:rsidR="00400469" w:rsidRPr="00C6445D">
        <w:rPr>
          <w:rFonts w:ascii="Times" w:hAnsi="Times" w:cs="Times New Roman"/>
        </w:rPr>
        <w:t>649.</w:t>
      </w:r>
    </w:p>
  </w:footnote>
  <w:footnote w:id="34">
    <w:p w14:paraId="51231F14" w14:textId="5EA5CE5E" w:rsidR="00BC605F" w:rsidRPr="00C6445D" w:rsidRDefault="00BC605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936A16" w:rsidRPr="00C6445D">
        <w:rPr>
          <w:rFonts w:ascii="Times" w:hAnsi="Times" w:cs="Times New Roman"/>
        </w:rPr>
        <w:t>Posner “Democracy and Distrust Revisited” above.</w:t>
      </w:r>
    </w:p>
  </w:footnote>
  <w:footnote w:id="35">
    <w:p w14:paraId="4B6C33A2" w14:textId="09D3E18A" w:rsidR="00BC605F" w:rsidRPr="00C6445D" w:rsidRDefault="00BC605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9D2BEA" w:rsidRPr="00C6445D">
        <w:rPr>
          <w:rFonts w:ascii="Times" w:hAnsi="Times" w:cs="Times New Roman"/>
        </w:rPr>
        <w:t xml:space="preserve">Ely </w:t>
      </w:r>
      <w:r w:rsidR="0046436D" w:rsidRPr="00C6445D">
        <w:rPr>
          <w:rFonts w:ascii="Times" w:hAnsi="Times" w:cs="Times New Roman"/>
          <w:bCs/>
          <w:i/>
          <w:iCs/>
        </w:rPr>
        <w:t>Democracy and Distrust</w:t>
      </w:r>
      <w:r w:rsidR="0046436D" w:rsidRPr="00C6445D">
        <w:rPr>
          <w:rFonts w:ascii="Times" w:hAnsi="Times" w:cs="Times New Roman"/>
        </w:rPr>
        <w:t xml:space="preserve"> </w:t>
      </w:r>
      <w:r w:rsidR="00201E72" w:rsidRPr="00C6445D">
        <w:rPr>
          <w:rFonts w:ascii="Times" w:hAnsi="Times" w:cs="Times New Roman"/>
        </w:rPr>
        <w:t>above</w:t>
      </w:r>
      <w:r w:rsidR="00B842FE" w:rsidRPr="00C6445D">
        <w:rPr>
          <w:rFonts w:ascii="Times" w:hAnsi="Times" w:cs="Times New Roman"/>
        </w:rPr>
        <w:t>,</w:t>
      </w:r>
      <w:r w:rsidR="009D2BEA" w:rsidRPr="00C6445D">
        <w:rPr>
          <w:rFonts w:ascii="Times" w:hAnsi="Times" w:cs="Times New Roman"/>
        </w:rPr>
        <w:t xml:space="preserve"> p. 104.</w:t>
      </w:r>
    </w:p>
  </w:footnote>
  <w:footnote w:id="36">
    <w:p w14:paraId="1105A0E0" w14:textId="0BA8F5B0" w:rsidR="00BC605F" w:rsidRPr="00C6445D" w:rsidRDefault="00BC605F" w:rsidP="00FB49D8">
      <w:pPr>
        <w:spacing w:before="0" w:after="0" w:line="240" w:lineRule="auto"/>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B9248D" w:rsidRPr="00C6445D">
        <w:rPr>
          <w:rFonts w:ascii="Times" w:hAnsi="Times" w:cs="Times New Roman"/>
        </w:rPr>
        <w:t>Komesar</w:t>
      </w:r>
      <w:r w:rsidR="00EE1521" w:rsidRPr="00C6445D">
        <w:rPr>
          <w:rFonts w:ascii="Times" w:hAnsi="Times" w:cs="Times New Roman"/>
        </w:rPr>
        <w:t xml:space="preserve"> </w:t>
      </w:r>
      <w:r w:rsidR="00862EDC" w:rsidRPr="00C6445D">
        <w:rPr>
          <w:rFonts w:ascii="Times" w:hAnsi="Times" w:cs="Times New Roman"/>
        </w:rPr>
        <w:t xml:space="preserve">“A Job for the Judges” </w:t>
      </w:r>
      <w:r w:rsidR="00EE1521" w:rsidRPr="00C6445D">
        <w:rPr>
          <w:rFonts w:ascii="Times" w:hAnsi="Times" w:cs="Times New Roman"/>
        </w:rPr>
        <w:t>above,</w:t>
      </w:r>
      <w:r w:rsidR="00FE63DC" w:rsidRPr="00C6445D">
        <w:rPr>
          <w:rFonts w:ascii="Times" w:hAnsi="Times" w:cs="Times New Roman"/>
        </w:rPr>
        <w:t xml:space="preserve"> </w:t>
      </w:r>
      <w:r w:rsidR="00B9248D" w:rsidRPr="00C6445D">
        <w:rPr>
          <w:rFonts w:ascii="Times" w:hAnsi="Times" w:cs="Times New Roman"/>
        </w:rPr>
        <w:t xml:space="preserve">p.666. See also, </w:t>
      </w:r>
      <w:r w:rsidR="00694871" w:rsidRPr="00C6445D">
        <w:rPr>
          <w:rFonts w:ascii="Times" w:hAnsi="Times" w:cs="Times New Roman"/>
        </w:rPr>
        <w:t xml:space="preserve">R. </w:t>
      </w:r>
      <w:r w:rsidR="00EC4F9B" w:rsidRPr="00C6445D">
        <w:rPr>
          <w:rFonts w:ascii="Times" w:hAnsi="Times" w:cs="Times New Roman"/>
        </w:rPr>
        <w:t>Schütze</w:t>
      </w:r>
      <w:r w:rsidR="00172A7D" w:rsidRPr="00C6445D">
        <w:rPr>
          <w:rFonts w:ascii="Times" w:hAnsi="Times" w:cs="Times New Roman"/>
        </w:rPr>
        <w:t>, “Judicial majoritarianism revisited: "we, the other court"?”</w:t>
      </w:r>
      <w:r w:rsidR="00CB35E4" w:rsidRPr="00C6445D">
        <w:rPr>
          <w:rFonts w:ascii="Times" w:hAnsi="Times" w:cs="Times New Roman"/>
        </w:rPr>
        <w:t xml:space="preserve">, 43 </w:t>
      </w:r>
      <w:r w:rsidR="00BC1100" w:rsidRPr="00C6445D">
        <w:rPr>
          <w:rFonts w:ascii="Times" w:hAnsi="Times" w:cs="Times New Roman"/>
        </w:rPr>
        <w:t>E.L. Rev.</w:t>
      </w:r>
      <w:r w:rsidR="00CB35E4" w:rsidRPr="00C6445D">
        <w:rPr>
          <w:rFonts w:ascii="Times" w:hAnsi="Times" w:cs="Times New Roman"/>
        </w:rPr>
        <w:t xml:space="preserve"> (2018)</w:t>
      </w:r>
      <w:r w:rsidR="00DE2229" w:rsidRPr="00C6445D">
        <w:rPr>
          <w:rFonts w:ascii="Times" w:hAnsi="Times" w:cs="Times New Roman"/>
        </w:rPr>
        <w:t>, 269</w:t>
      </w:r>
      <w:r w:rsidR="00A8278B" w:rsidRPr="00C6445D">
        <w:rPr>
          <w:rFonts w:ascii="Times" w:hAnsi="Times" w:cs="Times New Roman"/>
        </w:rPr>
        <w:t>, 275:</w:t>
      </w:r>
      <w:r w:rsidRPr="00C6445D">
        <w:rPr>
          <w:rFonts w:ascii="Times" w:hAnsi="Times" w:cs="Times New Roman"/>
        </w:rPr>
        <w:t xml:space="preserve"> “the process-substance distinction for judicial review is nonetheless an unworkable one”</w:t>
      </w:r>
      <w:r w:rsidR="00C25096" w:rsidRPr="00C6445D">
        <w:rPr>
          <w:rFonts w:ascii="Times" w:hAnsi="Times" w:cs="Times New Roman"/>
        </w:rPr>
        <w:t>.</w:t>
      </w:r>
    </w:p>
  </w:footnote>
  <w:footnote w:id="37">
    <w:p w14:paraId="1FF96EBE" w14:textId="6FB22D06" w:rsidR="00BC605F" w:rsidRPr="00C6445D" w:rsidRDefault="00BC605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F533B5" w:rsidRPr="00C6445D">
        <w:rPr>
          <w:rFonts w:ascii="Times" w:hAnsi="Times" w:cs="Times New Roman"/>
        </w:rPr>
        <w:t xml:space="preserve">Ely </w:t>
      </w:r>
      <w:r w:rsidR="0046436D" w:rsidRPr="00C6445D">
        <w:rPr>
          <w:rFonts w:ascii="Times" w:hAnsi="Times" w:cs="Times New Roman"/>
          <w:bCs/>
          <w:i/>
          <w:iCs/>
        </w:rPr>
        <w:t>Democracy and Distrust</w:t>
      </w:r>
      <w:r w:rsidR="0046436D" w:rsidRPr="00C6445D">
        <w:rPr>
          <w:rFonts w:ascii="Times" w:hAnsi="Times" w:cs="Times New Roman"/>
          <w:bCs/>
        </w:rPr>
        <w:t> </w:t>
      </w:r>
      <w:r w:rsidR="00B842FE" w:rsidRPr="00C6445D">
        <w:rPr>
          <w:rFonts w:ascii="Times" w:hAnsi="Times" w:cs="Times New Roman"/>
        </w:rPr>
        <w:t>above,</w:t>
      </w:r>
      <w:r w:rsidR="00F533B5" w:rsidRPr="00C6445D">
        <w:rPr>
          <w:rFonts w:ascii="Times" w:hAnsi="Times" w:cs="Times New Roman"/>
        </w:rPr>
        <w:t xml:space="preserve"> p. 58.</w:t>
      </w:r>
    </w:p>
  </w:footnote>
  <w:footnote w:id="38">
    <w:p w14:paraId="3F1A3FCC" w14:textId="73AA36F1" w:rsidR="00BC605F" w:rsidRPr="00C6445D" w:rsidRDefault="00BC605F" w:rsidP="00FB49D8">
      <w:pPr>
        <w:pStyle w:val="NormalWeb"/>
        <w:spacing w:before="0" w:beforeAutospacing="0" w:after="0" w:afterAutospacing="0"/>
        <w:rPr>
          <w:rFonts w:ascii="Times" w:hAnsi="Times"/>
          <w:szCs w:val="20"/>
        </w:rPr>
      </w:pPr>
      <w:r w:rsidRPr="00C6445D">
        <w:rPr>
          <w:rStyle w:val="FootnoteReference"/>
          <w:rFonts w:ascii="Times" w:hAnsi="Times"/>
          <w:szCs w:val="20"/>
        </w:rPr>
        <w:footnoteRef/>
      </w:r>
      <w:r w:rsidRPr="00C6445D">
        <w:rPr>
          <w:rFonts w:ascii="Times" w:hAnsi="Times"/>
          <w:szCs w:val="20"/>
        </w:rPr>
        <w:t xml:space="preserve"> </w:t>
      </w:r>
      <w:r w:rsidR="00EF16E4" w:rsidRPr="00C6445D">
        <w:rPr>
          <w:rFonts w:ascii="Times" w:hAnsi="Times"/>
          <w:szCs w:val="20"/>
        </w:rPr>
        <w:t xml:space="preserve">S.A. </w:t>
      </w:r>
      <w:r w:rsidR="00F40C05" w:rsidRPr="00C6445D">
        <w:rPr>
          <w:rFonts w:ascii="Times" w:hAnsi="Times"/>
          <w:szCs w:val="20"/>
        </w:rPr>
        <w:t xml:space="preserve">Barber and </w:t>
      </w:r>
      <w:r w:rsidR="00EF16E4" w:rsidRPr="00C6445D">
        <w:rPr>
          <w:rFonts w:ascii="Times" w:hAnsi="Times"/>
          <w:szCs w:val="20"/>
        </w:rPr>
        <w:t xml:space="preserve">J.E. </w:t>
      </w:r>
      <w:r w:rsidR="00F40C05" w:rsidRPr="00C6445D">
        <w:rPr>
          <w:rFonts w:ascii="Times" w:hAnsi="Times"/>
          <w:szCs w:val="20"/>
        </w:rPr>
        <w:t xml:space="preserve">Fleming, </w:t>
      </w:r>
      <w:r w:rsidR="00F40C05" w:rsidRPr="00C6445D">
        <w:rPr>
          <w:rFonts w:ascii="Times" w:hAnsi="Times"/>
          <w:i/>
          <w:iCs/>
          <w:szCs w:val="20"/>
        </w:rPr>
        <w:t xml:space="preserve">Constitutional Interpretation: The Basic Questions </w:t>
      </w:r>
      <w:r w:rsidR="00F40C05" w:rsidRPr="00C6445D">
        <w:rPr>
          <w:rFonts w:ascii="Times" w:hAnsi="Times"/>
          <w:szCs w:val="20"/>
        </w:rPr>
        <w:t xml:space="preserve">(OUP, 2007), p. </w:t>
      </w:r>
      <w:r w:rsidRPr="00C6445D">
        <w:rPr>
          <w:rFonts w:ascii="Times" w:hAnsi="Times"/>
          <w:szCs w:val="20"/>
        </w:rPr>
        <w:t>132.</w:t>
      </w:r>
    </w:p>
  </w:footnote>
  <w:footnote w:id="39">
    <w:p w14:paraId="6D0E479A" w14:textId="108964FD" w:rsidR="00BC605F" w:rsidRPr="00C6445D" w:rsidRDefault="00BC605F"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492118" w:rsidRPr="00C6445D">
        <w:rPr>
          <w:rFonts w:ascii="Times" w:hAnsi="Times" w:cs="Times New Roman"/>
        </w:rPr>
        <w:t>Tribe</w:t>
      </w:r>
      <w:r w:rsidR="00442416" w:rsidRPr="00C6445D">
        <w:rPr>
          <w:rFonts w:ascii="Times" w:hAnsi="Times" w:cs="Times New Roman"/>
        </w:rPr>
        <w:t xml:space="preserve"> </w:t>
      </w:r>
      <w:r w:rsidR="0005211B" w:rsidRPr="00C6445D">
        <w:rPr>
          <w:rFonts w:ascii="Times" w:hAnsi="Times" w:cs="Times New Roman"/>
        </w:rPr>
        <w:t xml:space="preserve">“Puzzling Persistence” </w:t>
      </w:r>
      <w:r w:rsidR="00442416" w:rsidRPr="00C6445D">
        <w:rPr>
          <w:rFonts w:ascii="Times" w:hAnsi="Times" w:cs="Times New Roman"/>
        </w:rPr>
        <w:t>above</w:t>
      </w:r>
      <w:r w:rsidR="00492118" w:rsidRPr="00C6445D">
        <w:rPr>
          <w:rFonts w:ascii="Times" w:hAnsi="Times" w:cs="Times New Roman"/>
        </w:rPr>
        <w:t xml:space="preserve">, </w:t>
      </w:r>
      <w:r w:rsidRPr="00C6445D">
        <w:rPr>
          <w:rFonts w:ascii="Times" w:hAnsi="Times" w:cs="Times New Roman"/>
        </w:rPr>
        <w:t>1064.</w:t>
      </w:r>
      <w:r w:rsidR="001D058F" w:rsidRPr="00C6445D">
        <w:rPr>
          <w:rFonts w:ascii="Times" w:hAnsi="Times" w:cs="Times New Roman"/>
        </w:rPr>
        <w:t xml:space="preserve"> </w:t>
      </w:r>
      <w:r w:rsidR="002924CE" w:rsidRPr="00C6445D">
        <w:rPr>
          <w:rFonts w:ascii="Times" w:hAnsi="Times" w:cs="Times New Roman"/>
        </w:rPr>
        <w:t>Emphasis added.</w:t>
      </w:r>
    </w:p>
  </w:footnote>
  <w:footnote w:id="40">
    <w:p w14:paraId="57DDDE9F" w14:textId="53EC7603" w:rsidR="00BC605F" w:rsidRPr="00C6445D" w:rsidRDefault="00BC605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6A0CEC" w:rsidRPr="00C6445D">
        <w:rPr>
          <w:rFonts w:ascii="Times" w:hAnsi="Times" w:cs="Times New Roman"/>
        </w:rPr>
        <w:t>Chandler</w:t>
      </w:r>
      <w:r w:rsidR="00731176" w:rsidRPr="00C6445D">
        <w:rPr>
          <w:rFonts w:ascii="Times" w:hAnsi="Times" w:cs="Times New Roman"/>
        </w:rPr>
        <w:t xml:space="preserve"> “Globalization and Distrust”</w:t>
      </w:r>
      <w:r w:rsidR="001F5ED2" w:rsidRPr="00C6445D">
        <w:rPr>
          <w:rFonts w:ascii="Times" w:hAnsi="Times" w:cs="Times New Roman"/>
        </w:rPr>
        <w:t xml:space="preserve"> above,</w:t>
      </w:r>
      <w:r w:rsidR="009E74C6" w:rsidRPr="00C6445D">
        <w:rPr>
          <w:rFonts w:ascii="Times" w:hAnsi="Times" w:cs="Times New Roman"/>
        </w:rPr>
        <w:t xml:space="preserve"> </w:t>
      </w:r>
      <w:r w:rsidRPr="00C6445D">
        <w:rPr>
          <w:rFonts w:ascii="Times" w:hAnsi="Times" w:cs="Times New Roman"/>
        </w:rPr>
        <w:t>1228</w:t>
      </w:r>
      <w:r w:rsidR="00CD2B76" w:rsidRPr="00C6445D">
        <w:rPr>
          <w:rFonts w:ascii="Times" w:hAnsi="Times" w:cs="Times New Roman"/>
        </w:rPr>
        <w:t>.</w:t>
      </w:r>
    </w:p>
  </w:footnote>
  <w:footnote w:id="41">
    <w:p w14:paraId="75B26761" w14:textId="44ED8236" w:rsidR="00BC605F" w:rsidRPr="00C6445D" w:rsidRDefault="00BC605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882026" w:rsidRPr="00C6445D">
        <w:rPr>
          <w:rFonts w:ascii="Times" w:hAnsi="Times" w:cs="Times New Roman"/>
        </w:rPr>
        <w:t>Tribe</w:t>
      </w:r>
      <w:r w:rsidR="00912186" w:rsidRPr="00C6445D">
        <w:rPr>
          <w:rFonts w:ascii="Times" w:hAnsi="Times" w:cs="Times New Roman"/>
        </w:rPr>
        <w:t xml:space="preserve"> </w:t>
      </w:r>
      <w:r w:rsidR="00A042F3" w:rsidRPr="00C6445D">
        <w:rPr>
          <w:rFonts w:ascii="Times" w:hAnsi="Times" w:cs="Times New Roman"/>
        </w:rPr>
        <w:t xml:space="preserve">“Puzzling Persistence” </w:t>
      </w:r>
      <w:r w:rsidR="00912186" w:rsidRPr="00C6445D">
        <w:rPr>
          <w:rFonts w:ascii="Times" w:hAnsi="Times" w:cs="Times New Roman"/>
        </w:rPr>
        <w:t>above,</w:t>
      </w:r>
      <w:r w:rsidRPr="00C6445D">
        <w:rPr>
          <w:rFonts w:ascii="Times" w:hAnsi="Times" w:cs="Times New Roman"/>
        </w:rPr>
        <w:t xml:space="preserve"> 1063</w:t>
      </w:r>
      <w:r w:rsidR="00CD2B76" w:rsidRPr="00C6445D">
        <w:rPr>
          <w:rFonts w:ascii="Times" w:hAnsi="Times" w:cs="Times New Roman"/>
        </w:rPr>
        <w:t>.</w:t>
      </w:r>
    </w:p>
  </w:footnote>
  <w:footnote w:id="42">
    <w:p w14:paraId="5834EA79" w14:textId="66A935B8" w:rsidR="00BC605F" w:rsidRPr="00C6445D" w:rsidRDefault="00BC605F"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882026" w:rsidRPr="00C6445D">
        <w:rPr>
          <w:rFonts w:ascii="Times" w:hAnsi="Times" w:cs="Times New Roman"/>
        </w:rPr>
        <w:t>Tribe</w:t>
      </w:r>
      <w:r w:rsidR="000A7D51" w:rsidRPr="00C6445D">
        <w:rPr>
          <w:rFonts w:ascii="Times" w:hAnsi="Times" w:cs="Times New Roman"/>
        </w:rPr>
        <w:t xml:space="preserve"> </w:t>
      </w:r>
      <w:r w:rsidR="00A042F3" w:rsidRPr="00C6445D">
        <w:rPr>
          <w:rFonts w:ascii="Times" w:hAnsi="Times" w:cs="Times New Roman"/>
        </w:rPr>
        <w:t xml:space="preserve">“Puzzling Persistence” </w:t>
      </w:r>
      <w:r w:rsidR="000A7D51" w:rsidRPr="00C6445D">
        <w:rPr>
          <w:rFonts w:ascii="Times" w:hAnsi="Times" w:cs="Times New Roman"/>
        </w:rPr>
        <w:t>above,</w:t>
      </w:r>
      <w:r w:rsidR="00882026" w:rsidRPr="00C6445D">
        <w:rPr>
          <w:rFonts w:ascii="Times" w:hAnsi="Times" w:cs="Times New Roman"/>
        </w:rPr>
        <w:t xml:space="preserve"> </w:t>
      </w:r>
      <w:r w:rsidRPr="00C6445D">
        <w:rPr>
          <w:rFonts w:ascii="Times" w:hAnsi="Times" w:cs="Times New Roman"/>
        </w:rPr>
        <w:t>1080</w:t>
      </w:r>
      <w:r w:rsidR="00CD2B76" w:rsidRPr="00C6445D">
        <w:rPr>
          <w:rFonts w:ascii="Times" w:hAnsi="Times" w:cs="Times New Roman"/>
        </w:rPr>
        <w:t>.</w:t>
      </w:r>
    </w:p>
  </w:footnote>
  <w:footnote w:id="43">
    <w:p w14:paraId="5BD5797C" w14:textId="54C4D9AC" w:rsidR="00290C57" w:rsidRPr="00C6445D" w:rsidRDefault="008050B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621B6D" w:rsidRPr="00C6445D">
        <w:rPr>
          <w:rFonts w:ascii="Times" w:hAnsi="Times" w:cs="Times New Roman"/>
        </w:rPr>
        <w:t xml:space="preserve">The influence of Ely is clear from the repeated citation of </w:t>
      </w:r>
      <w:r w:rsidR="001A556A" w:rsidRPr="00C6445D">
        <w:rPr>
          <w:rFonts w:ascii="Times" w:hAnsi="Times" w:cs="Times New Roman"/>
        </w:rPr>
        <w:t xml:space="preserve">his work </w:t>
      </w:r>
      <w:r w:rsidR="00553D57" w:rsidRPr="00C6445D">
        <w:rPr>
          <w:rFonts w:ascii="Times" w:hAnsi="Times" w:cs="Times New Roman"/>
        </w:rPr>
        <w:t xml:space="preserve">in the EU </w:t>
      </w:r>
      <w:r w:rsidR="001A556A" w:rsidRPr="00C6445D">
        <w:rPr>
          <w:rFonts w:ascii="Times" w:hAnsi="Times" w:cs="Times New Roman"/>
        </w:rPr>
        <w:t>process revie</w:t>
      </w:r>
      <w:r w:rsidR="00D5536D" w:rsidRPr="00C6445D">
        <w:rPr>
          <w:rFonts w:ascii="Times" w:hAnsi="Times" w:cs="Times New Roman"/>
        </w:rPr>
        <w:t>w</w:t>
      </w:r>
      <w:r w:rsidR="001A556A" w:rsidRPr="00C6445D">
        <w:rPr>
          <w:rFonts w:ascii="Times" w:hAnsi="Times" w:cs="Times New Roman"/>
        </w:rPr>
        <w:t xml:space="preserve"> literature.</w:t>
      </w:r>
      <w:r w:rsidR="009864F8" w:rsidRPr="00C6445D">
        <w:rPr>
          <w:rFonts w:ascii="Times" w:hAnsi="Times" w:cs="Times New Roman"/>
        </w:rPr>
        <w:t xml:space="preserve"> </w:t>
      </w:r>
      <w:r w:rsidRPr="00C6445D">
        <w:rPr>
          <w:rFonts w:ascii="Times" w:hAnsi="Times" w:cs="Times New Roman"/>
        </w:rPr>
        <w:t>Len</w:t>
      </w:r>
      <w:r w:rsidR="00855938" w:rsidRPr="00C6445D">
        <w:rPr>
          <w:rFonts w:ascii="Times" w:hAnsi="Times" w:cs="Times New Roman"/>
        </w:rPr>
        <w:t>a</w:t>
      </w:r>
      <w:r w:rsidRPr="00C6445D">
        <w:rPr>
          <w:rFonts w:ascii="Times" w:hAnsi="Times" w:cs="Times New Roman"/>
        </w:rPr>
        <w:t>erts</w:t>
      </w:r>
      <w:r w:rsidR="00001940" w:rsidRPr="00C6445D">
        <w:rPr>
          <w:rFonts w:ascii="Times" w:hAnsi="Times" w:cs="Times New Roman"/>
        </w:rPr>
        <w:t xml:space="preserve"> “Process-Oriented Review” above</w:t>
      </w:r>
      <w:r w:rsidR="004305A1" w:rsidRPr="00C6445D">
        <w:rPr>
          <w:rFonts w:ascii="Times" w:hAnsi="Times" w:cs="Times New Roman"/>
        </w:rPr>
        <w:t>,</w:t>
      </w:r>
      <w:r w:rsidR="009F1CF1" w:rsidRPr="00C6445D">
        <w:rPr>
          <w:rFonts w:ascii="Times" w:hAnsi="Times" w:cs="Times New Roman"/>
        </w:rPr>
        <w:t xml:space="preserve"> 2</w:t>
      </w:r>
      <w:r w:rsidR="00F10FAB" w:rsidRPr="00C6445D">
        <w:rPr>
          <w:rFonts w:ascii="Times" w:hAnsi="Times" w:cs="Times New Roman"/>
        </w:rPr>
        <w:t xml:space="preserve">, </w:t>
      </w:r>
      <w:r w:rsidRPr="00C6445D">
        <w:rPr>
          <w:rFonts w:ascii="Times" w:hAnsi="Times" w:cs="Times New Roman"/>
        </w:rPr>
        <w:t xml:space="preserve"> open</w:t>
      </w:r>
      <w:r w:rsidR="00BE75B7" w:rsidRPr="00C6445D">
        <w:rPr>
          <w:rFonts w:ascii="Times" w:hAnsi="Times" w:cs="Times New Roman"/>
        </w:rPr>
        <w:t>s</w:t>
      </w:r>
      <w:r w:rsidRPr="00C6445D">
        <w:rPr>
          <w:rFonts w:ascii="Times" w:hAnsi="Times" w:cs="Times New Roman"/>
        </w:rPr>
        <w:t xml:space="preserve"> his article </w:t>
      </w:r>
      <w:r w:rsidR="00E13741" w:rsidRPr="00C6445D">
        <w:rPr>
          <w:rFonts w:ascii="Times" w:hAnsi="Times" w:cs="Times New Roman"/>
        </w:rPr>
        <w:t xml:space="preserve">with a </w:t>
      </w:r>
      <w:r w:rsidRPr="00C6445D">
        <w:rPr>
          <w:rFonts w:ascii="Times" w:hAnsi="Times" w:cs="Times New Roman"/>
        </w:rPr>
        <w:t xml:space="preserve">discussion of Ely’s theory of “structuralism” and argues that, in a similar way, “the ECJ has also striven to develop guiding principles which aim to improve the way in which the political institutions of the EU adopt their decisions”. </w:t>
      </w:r>
      <w:r w:rsidR="002A4D02" w:rsidRPr="00C6445D">
        <w:rPr>
          <w:rFonts w:ascii="Times" w:hAnsi="Times" w:cs="Times New Roman"/>
        </w:rPr>
        <w:t xml:space="preserve">See </w:t>
      </w:r>
      <w:r w:rsidRPr="00C6445D">
        <w:rPr>
          <w:rFonts w:ascii="Times" w:hAnsi="Times" w:cs="Times New Roman"/>
        </w:rPr>
        <w:t>Gerards,</w:t>
      </w:r>
      <w:r w:rsidR="00F10FAB" w:rsidRPr="00C6445D">
        <w:rPr>
          <w:rFonts w:ascii="Times" w:hAnsi="Times" w:cs="Times New Roman"/>
        </w:rPr>
        <w:t xml:space="preserve"> </w:t>
      </w:r>
      <w:r w:rsidR="00A17A0E" w:rsidRPr="00C6445D">
        <w:rPr>
          <w:rFonts w:ascii="Times" w:hAnsi="Times" w:cs="Times New Roman"/>
          <w:color w:val="000000" w:themeColor="text1"/>
        </w:rPr>
        <w:t>“The Margin of Appreciation Doctrine” above,</w:t>
      </w:r>
      <w:r w:rsidR="00F10FAB" w:rsidRPr="00C6445D">
        <w:rPr>
          <w:rFonts w:ascii="Times" w:hAnsi="Times" w:cs="Times New Roman"/>
        </w:rPr>
        <w:t xml:space="preserve"> 119: </w:t>
      </w:r>
      <w:r w:rsidRPr="00C6445D">
        <w:rPr>
          <w:rFonts w:ascii="Times" w:hAnsi="Times" w:cs="Times New Roman"/>
        </w:rPr>
        <w:t>“It certainly seems possible to adapt this theory to the situation of the European courts so as to provide them with some guidance as to the determination of their level of review. In particular, Ely’s two main indications should be supplemented with an indication concerning fundamental individual rights such as human dignity or personal autonomy and core constitutional objectives</w:t>
      </w:r>
      <w:r w:rsidR="002F2882" w:rsidRPr="00C6445D">
        <w:rPr>
          <w:rFonts w:ascii="Times" w:hAnsi="Times" w:cs="Times New Roman"/>
        </w:rPr>
        <w:t>”.</w:t>
      </w:r>
      <w:r w:rsidRPr="00C6445D">
        <w:rPr>
          <w:rFonts w:ascii="Times" w:hAnsi="Times" w:cs="Times New Roman"/>
        </w:rPr>
        <w:t xml:space="preserve"> Harvey discusses Ely’s “locus </w:t>
      </w:r>
      <w:proofErr w:type="spellStart"/>
      <w:r w:rsidRPr="00C6445D">
        <w:rPr>
          <w:rFonts w:ascii="Times" w:hAnsi="Times" w:cs="Times New Roman"/>
        </w:rPr>
        <w:t>classicus</w:t>
      </w:r>
      <w:proofErr w:type="spellEnd"/>
      <w:r w:rsidRPr="00C6445D">
        <w:rPr>
          <w:rFonts w:ascii="Times" w:hAnsi="Times" w:cs="Times New Roman"/>
        </w:rPr>
        <w:t xml:space="preserve">” </w:t>
      </w:r>
      <w:r w:rsidRPr="00C6445D">
        <w:rPr>
          <w:rFonts w:ascii="Times" w:hAnsi="Times" w:cs="Times New Roman"/>
          <w:i/>
          <w:iCs/>
        </w:rPr>
        <w:t>Democracy and Distrust</w:t>
      </w:r>
      <w:r w:rsidRPr="00C6445D">
        <w:rPr>
          <w:rFonts w:ascii="Times" w:hAnsi="Times" w:cs="Times New Roman"/>
        </w:rPr>
        <w:t xml:space="preserve"> and </w:t>
      </w:r>
      <w:r w:rsidR="00C02DD2" w:rsidRPr="00C6445D">
        <w:rPr>
          <w:rFonts w:ascii="Times" w:hAnsi="Times" w:cs="Times New Roman"/>
        </w:rPr>
        <w:t>asks,</w:t>
      </w:r>
      <w:r w:rsidRPr="00C6445D">
        <w:rPr>
          <w:rFonts w:ascii="Times" w:hAnsi="Times" w:cs="Times New Roman"/>
        </w:rPr>
        <w:t xml:space="preserve"> “whether such a procedural approach to judicial review (particularly in those proportionality cases where fundamental rights are not a predominant issue) is well-suited to the EU system of policymaking”</w:t>
      </w:r>
      <w:r w:rsidR="00D61022" w:rsidRPr="00C6445D">
        <w:rPr>
          <w:rFonts w:ascii="Times" w:hAnsi="Times" w:cs="Times New Roman"/>
        </w:rPr>
        <w:t xml:space="preserve">, </w:t>
      </w:r>
      <w:r w:rsidR="00260272" w:rsidRPr="00C6445D">
        <w:rPr>
          <w:rFonts w:ascii="Times" w:hAnsi="Times" w:cs="Times New Roman"/>
        </w:rPr>
        <w:t>“</w:t>
      </w:r>
      <w:r w:rsidR="004F0107" w:rsidRPr="00C6445D">
        <w:rPr>
          <w:rFonts w:ascii="Times" w:hAnsi="Times" w:cs="Times New Roman"/>
        </w:rPr>
        <w:t>Towards Process-Oriented Proportionality Review</w:t>
      </w:r>
      <w:r w:rsidR="00260272" w:rsidRPr="00C6445D">
        <w:rPr>
          <w:rFonts w:ascii="Times" w:hAnsi="Times" w:cs="Times New Roman"/>
        </w:rPr>
        <w:t>” above</w:t>
      </w:r>
      <w:r w:rsidR="00D61022" w:rsidRPr="00C6445D">
        <w:rPr>
          <w:rFonts w:ascii="Times" w:hAnsi="Times" w:cs="Times New Roman"/>
        </w:rPr>
        <w:t xml:space="preserve">, </w:t>
      </w:r>
      <w:r w:rsidRPr="00C6445D">
        <w:rPr>
          <w:rFonts w:ascii="Times" w:hAnsi="Times" w:cs="Times New Roman"/>
        </w:rPr>
        <w:t xml:space="preserve">114-5. </w:t>
      </w:r>
      <w:r w:rsidR="003E26FB" w:rsidRPr="00C6445D">
        <w:rPr>
          <w:rFonts w:ascii="Times" w:hAnsi="Times" w:cs="Times New Roman"/>
        </w:rPr>
        <w:t>See citation</w:t>
      </w:r>
      <w:r w:rsidR="00585E46" w:rsidRPr="00C6445D">
        <w:rPr>
          <w:rFonts w:ascii="Times" w:hAnsi="Times" w:cs="Times New Roman"/>
        </w:rPr>
        <w:t xml:space="preserve"> in </w:t>
      </w:r>
      <w:r w:rsidR="00260272" w:rsidRPr="00C6445D">
        <w:rPr>
          <w:rFonts w:ascii="Times" w:hAnsi="Times" w:cs="Times New Roman"/>
        </w:rPr>
        <w:t>Alemanno “Judicial Reflex” above</w:t>
      </w:r>
      <w:r w:rsidR="003E26FB" w:rsidRPr="00C6445D">
        <w:rPr>
          <w:rFonts w:ascii="Times" w:hAnsi="Times" w:cs="Times New Roman"/>
        </w:rPr>
        <w:t>,  328</w:t>
      </w:r>
      <w:r w:rsidR="008E36C4" w:rsidRPr="00C6445D">
        <w:rPr>
          <w:rFonts w:ascii="Times" w:hAnsi="Times" w:cs="Times New Roman"/>
        </w:rPr>
        <w:t>;</w:t>
      </w:r>
      <w:r w:rsidRPr="00C6445D">
        <w:rPr>
          <w:rFonts w:ascii="Times" w:hAnsi="Times" w:cs="Times New Roman"/>
        </w:rPr>
        <w:t xml:space="preserve"> Bar-Siman-Tov cit</w:t>
      </w:r>
      <w:r w:rsidR="008E36C4" w:rsidRPr="00C6445D">
        <w:rPr>
          <w:rFonts w:ascii="Times" w:hAnsi="Times" w:cs="Times New Roman"/>
        </w:rPr>
        <w:t>ation</w:t>
      </w:r>
      <w:r w:rsidR="00015400" w:rsidRPr="00C6445D">
        <w:rPr>
          <w:rFonts w:ascii="Times" w:hAnsi="Times" w:cs="Times New Roman"/>
        </w:rPr>
        <w:t xml:space="preserve">, </w:t>
      </w:r>
      <w:r w:rsidR="00BA2F9B" w:rsidRPr="00C6445D">
        <w:rPr>
          <w:rFonts w:ascii="Times" w:hAnsi="Times" w:cs="Times New Roman"/>
        </w:rPr>
        <w:t>“semiprocedural judicial review” above</w:t>
      </w:r>
      <w:r w:rsidR="00015400" w:rsidRPr="00C6445D">
        <w:rPr>
          <w:rFonts w:ascii="Times" w:hAnsi="Times" w:cs="Times New Roman"/>
        </w:rPr>
        <w:t>, 288</w:t>
      </w:r>
      <w:r w:rsidRPr="00C6445D">
        <w:rPr>
          <w:rFonts w:ascii="Times" w:hAnsi="Times" w:cs="Times New Roman"/>
        </w:rPr>
        <w:t>. Oberg</w:t>
      </w:r>
      <w:r w:rsidR="008A4A93" w:rsidRPr="00C6445D">
        <w:rPr>
          <w:rFonts w:ascii="Times" w:hAnsi="Times" w:cs="Times New Roman"/>
        </w:rPr>
        <w:t xml:space="preserve"> “The procedural paradigm”</w:t>
      </w:r>
      <w:r w:rsidR="00015400" w:rsidRPr="00C6445D">
        <w:rPr>
          <w:rFonts w:ascii="Times" w:hAnsi="Times" w:cs="Times New Roman"/>
        </w:rPr>
        <w:t xml:space="preserve">, </w:t>
      </w:r>
      <w:r w:rsidRPr="00C6445D">
        <w:rPr>
          <w:rFonts w:ascii="Times" w:hAnsi="Times" w:cs="Times New Roman"/>
        </w:rPr>
        <w:t xml:space="preserve"> cites Ely and the Carolene products footnote at 279 for the point “the Court of Justice is responsible for policing the system of political and institutional safeguards that the EU political process ordinarily rely on to resolve most problems”</w:t>
      </w:r>
      <w:r w:rsidR="00026291" w:rsidRPr="00C6445D">
        <w:rPr>
          <w:rFonts w:ascii="Times" w:hAnsi="Times" w:cs="Times New Roman"/>
        </w:rPr>
        <w:t xml:space="preserve">. See </w:t>
      </w:r>
      <w:r w:rsidR="00F237E7" w:rsidRPr="00C6445D">
        <w:rPr>
          <w:rFonts w:ascii="Times" w:hAnsi="Times" w:cs="Times New Roman"/>
        </w:rPr>
        <w:t xml:space="preserve">also </w:t>
      </w:r>
      <w:r w:rsidR="0083254B" w:rsidRPr="00C6445D">
        <w:rPr>
          <w:rFonts w:ascii="Times" w:hAnsi="Times" w:cs="Times New Roman"/>
        </w:rPr>
        <w:t>Groussot and Bogjević “Procedural Safeguard” above</w:t>
      </w:r>
      <w:r w:rsidR="001536BA" w:rsidRPr="00C6445D">
        <w:rPr>
          <w:rFonts w:ascii="Times" w:hAnsi="Times" w:cs="Times New Roman"/>
        </w:rPr>
        <w:t>, 251.</w:t>
      </w:r>
    </w:p>
  </w:footnote>
  <w:footnote w:id="44">
    <w:p w14:paraId="194A8453" w14:textId="00E95EEB" w:rsidR="00083C8A" w:rsidRPr="00C6445D" w:rsidRDefault="00083C8A" w:rsidP="00FB49D8">
      <w:pPr>
        <w:spacing w:before="0" w:after="0" w:line="240" w:lineRule="auto"/>
        <w:rPr>
          <w:rFonts w:ascii="Times" w:eastAsia="Times New Roman" w:hAnsi="Times" w:cs="Times New Roman"/>
          <w:lang w:eastAsia="en-GB"/>
        </w:rPr>
      </w:pPr>
      <w:r w:rsidRPr="00C6445D">
        <w:rPr>
          <w:rStyle w:val="FootnoteReference"/>
          <w:rFonts w:ascii="Times" w:hAnsi="Times" w:cs="Times New Roman"/>
        </w:rPr>
        <w:footnoteRef/>
      </w:r>
      <w:r w:rsidRPr="00C6445D">
        <w:rPr>
          <w:rFonts w:ascii="Times" w:hAnsi="Times" w:cs="Times New Roman"/>
        </w:rPr>
        <w:t xml:space="preserve"> </w:t>
      </w:r>
      <w:r w:rsidR="00C82024" w:rsidRPr="00C6445D">
        <w:rPr>
          <w:rFonts w:ascii="Times" w:hAnsi="Times" w:cs="Times New Roman"/>
        </w:rPr>
        <w:t xml:space="preserve">See </w:t>
      </w:r>
      <w:r w:rsidR="005E7571" w:rsidRPr="00C6445D">
        <w:rPr>
          <w:rFonts w:ascii="Times" w:hAnsi="Times" w:cs="Times New Roman"/>
        </w:rPr>
        <w:t>note 1 above</w:t>
      </w:r>
      <w:r w:rsidR="001A6328" w:rsidRPr="00C6445D">
        <w:rPr>
          <w:rFonts w:ascii="Times" w:hAnsi="Times" w:cs="Times New Roman"/>
        </w:rPr>
        <w:t xml:space="preserve"> for the </w:t>
      </w:r>
      <w:r w:rsidR="002577C9" w:rsidRPr="00C6445D">
        <w:rPr>
          <w:rFonts w:ascii="Times" w:hAnsi="Times" w:cs="Times New Roman"/>
        </w:rPr>
        <w:t>long list of articles that refer to these two context</w:t>
      </w:r>
      <w:r w:rsidR="009854D0" w:rsidRPr="00C6445D">
        <w:rPr>
          <w:rFonts w:ascii="Times" w:hAnsi="Times" w:cs="Times New Roman"/>
        </w:rPr>
        <w:t>s</w:t>
      </w:r>
      <w:r w:rsidR="002577C9" w:rsidRPr="00C6445D">
        <w:rPr>
          <w:rFonts w:ascii="Times" w:hAnsi="Times" w:cs="Times New Roman"/>
        </w:rPr>
        <w:t xml:space="preserve">. </w:t>
      </w:r>
      <w:r w:rsidR="00416F25" w:rsidRPr="00C6445D">
        <w:rPr>
          <w:rFonts w:ascii="Times" w:hAnsi="Times" w:cs="Times New Roman"/>
          <w:color w:val="000000"/>
        </w:rPr>
        <w:t>There are, of course, examples of procedural review taking place outside of these two contexts. For example, Union measures in the area of merger control (</w:t>
      </w:r>
      <w:r w:rsidR="00416F25" w:rsidRPr="00C6445D">
        <w:rPr>
          <w:rFonts w:ascii="Times" w:eastAsia="Times New Roman" w:hAnsi="Times" w:cs="Times New Roman"/>
          <w:color w:val="000000"/>
          <w:lang w:eastAsia="en-GB"/>
        </w:rPr>
        <w:t xml:space="preserve">Case T-5/02 </w:t>
      </w:r>
      <w:r w:rsidR="00416F25" w:rsidRPr="00C6445D">
        <w:rPr>
          <w:rFonts w:ascii="Times" w:eastAsia="Times New Roman" w:hAnsi="Times" w:cs="Times New Roman"/>
          <w:i/>
          <w:iCs/>
          <w:color w:val="000000"/>
          <w:lang w:eastAsia="en-GB"/>
        </w:rPr>
        <w:t>Tetra Laval</w:t>
      </w:r>
      <w:r w:rsidR="00416F25" w:rsidRPr="00C6445D">
        <w:rPr>
          <w:rFonts w:ascii="Times" w:eastAsia="Times New Roman" w:hAnsi="Times" w:cs="Times New Roman"/>
          <w:color w:val="000000"/>
          <w:lang w:eastAsia="en-GB"/>
        </w:rPr>
        <w:t xml:space="preserve"> </w:t>
      </w:r>
      <w:r w:rsidR="00416F25" w:rsidRPr="00C6445D">
        <w:rPr>
          <w:rStyle w:val="outputecliaff"/>
          <w:rFonts w:ascii="Times" w:hAnsi="Times" w:cs="Times New Roman"/>
        </w:rPr>
        <w:t>EU:T:2002:264) and risk regulation (</w:t>
      </w:r>
      <w:r w:rsidR="00416F25" w:rsidRPr="00C6445D">
        <w:rPr>
          <w:rFonts w:ascii="Times" w:eastAsia="Times New Roman" w:hAnsi="Times" w:cs="Times New Roman"/>
          <w:color w:val="000000"/>
          <w:lang w:eastAsia="en-GB"/>
        </w:rPr>
        <w:t xml:space="preserve">Case T-13/99 </w:t>
      </w:r>
      <w:r w:rsidR="00416F25" w:rsidRPr="00C6445D">
        <w:rPr>
          <w:rFonts w:ascii="Times" w:eastAsia="Times New Roman" w:hAnsi="Times" w:cs="Times New Roman"/>
          <w:i/>
          <w:iCs/>
          <w:color w:val="000000"/>
          <w:lang w:eastAsia="en-GB"/>
        </w:rPr>
        <w:t xml:space="preserve">Pfizer </w:t>
      </w:r>
      <w:r w:rsidR="00416F25" w:rsidRPr="00C6445D">
        <w:rPr>
          <w:rStyle w:val="outputecliaff"/>
          <w:rFonts w:ascii="Times" w:hAnsi="Times" w:cs="Times New Roman"/>
        </w:rPr>
        <w:t xml:space="preserve">EU:T:2002:209). See also the decision in Case C-62/14 </w:t>
      </w:r>
      <w:r w:rsidR="00416F25" w:rsidRPr="00C6445D">
        <w:rPr>
          <w:rStyle w:val="outputecliaff"/>
          <w:rFonts w:ascii="Times" w:hAnsi="Times" w:cs="Times New Roman"/>
          <w:i/>
          <w:iCs/>
        </w:rPr>
        <w:t>Gauweiler</w:t>
      </w:r>
      <w:r w:rsidR="00416F25" w:rsidRPr="00C6445D">
        <w:rPr>
          <w:rStyle w:val="outputecliaff"/>
          <w:rFonts w:ascii="Times" w:hAnsi="Times" w:cs="Times New Roman"/>
        </w:rPr>
        <w:t xml:space="preserve"> EU:C:2015:400</w:t>
      </w:r>
      <w:r w:rsidR="00416F25" w:rsidRPr="00C6445D">
        <w:rPr>
          <w:rFonts w:ascii="Times" w:hAnsi="Times" w:cs="Times New Roman"/>
        </w:rPr>
        <w:t xml:space="preserve"> which used a focus on process as part of its review of a decision of the European Central Bank. Further, the Court has also conducted a review of Member State process based on certain Directives. See the Environmental Impact Assessment Directive(Directive 2014/52/EU of the European Parliament and of the Council of 16 April 2014 amending Directive 2011/92/EU on the assessment of the effects of certain public and private projects on the environment Text with EEA relevance (OJ 2014 L 124/1)</w:t>
      </w:r>
      <w:r w:rsidR="004B6A1E" w:rsidRPr="00C6445D">
        <w:rPr>
          <w:rFonts w:ascii="Times" w:hAnsi="Times" w:cs="Times New Roman"/>
        </w:rPr>
        <w:t xml:space="preserve">, </w:t>
      </w:r>
      <w:r w:rsidR="00A03CB3" w:rsidRPr="00C6445D">
        <w:rPr>
          <w:rFonts w:ascii="Times" w:hAnsi="Times" w:cs="Times New Roman"/>
          <w:i/>
          <w:shd w:val="clear" w:color="auto" w:fill="FFFFFF"/>
        </w:rPr>
        <w:t xml:space="preserve">Nomarchiaki Aftodioikisi Aitoloakarnanias and Others </w:t>
      </w:r>
      <w:r w:rsidR="00A03CB3" w:rsidRPr="00C6445D">
        <w:rPr>
          <w:rFonts w:ascii="Times" w:hAnsi="Times" w:cs="Times New Roman"/>
          <w:iCs/>
          <w:shd w:val="clear" w:color="auto" w:fill="FFFFFF"/>
        </w:rPr>
        <w:t>(C-43/10 ) EU:C:2012:560.</w:t>
      </w:r>
      <w:r w:rsidR="00416F25" w:rsidRPr="00C6445D">
        <w:rPr>
          <w:rFonts w:ascii="Times" w:hAnsi="Times" w:cs="Times New Roman"/>
        </w:rPr>
        <w:t xml:space="preserve"> See also, Data Protection Directive (95/46/EC (OJ 1995 L281/31)</w:t>
      </w:r>
      <w:r w:rsidR="00470E0E" w:rsidRPr="00C6445D">
        <w:rPr>
          <w:rFonts w:ascii="Times" w:hAnsi="Times" w:cs="Times New Roman"/>
        </w:rPr>
        <w:t xml:space="preserve">, </w:t>
      </w:r>
      <w:r w:rsidR="00470E0E" w:rsidRPr="00C6445D">
        <w:rPr>
          <w:rFonts w:ascii="Times" w:hAnsi="Times" w:cs="Times New Roman"/>
          <w:i/>
        </w:rPr>
        <w:t xml:space="preserve">Commission v Hungary </w:t>
      </w:r>
      <w:r w:rsidR="00470E0E" w:rsidRPr="00C6445D">
        <w:rPr>
          <w:rFonts w:ascii="Times" w:hAnsi="Times" w:cs="Times New Roman"/>
          <w:iCs/>
        </w:rPr>
        <w:t xml:space="preserve">(Case C-288/12) </w:t>
      </w:r>
      <w:r w:rsidR="00470E0E" w:rsidRPr="00C6445D">
        <w:rPr>
          <w:rFonts w:ascii="Times" w:hAnsi="Times" w:cs="Times New Roman"/>
        </w:rPr>
        <w:t>EU:C:2014:237</w:t>
      </w:r>
      <w:r w:rsidR="00416F25" w:rsidRPr="00C6445D">
        <w:rPr>
          <w:rFonts w:ascii="Times" w:hAnsi="Times" w:cs="Times New Roman"/>
        </w:rPr>
        <w:t xml:space="preserve"> </w:t>
      </w:r>
    </w:p>
  </w:footnote>
  <w:footnote w:id="45">
    <w:p w14:paraId="31DAA667" w14:textId="5FBD4C9A" w:rsidR="00A5332D" w:rsidRPr="00C6445D" w:rsidRDefault="00A5332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1E1A7A" w:rsidRPr="00C6445D">
        <w:rPr>
          <w:rFonts w:ascii="Times" w:hAnsi="Times" w:cs="Times New Roman"/>
        </w:rPr>
        <w:t>Ely “</w:t>
      </w:r>
      <w:r w:rsidR="001E1A7A" w:rsidRPr="00C6445D">
        <w:rPr>
          <w:rFonts w:ascii="Times" w:hAnsi="Times" w:cs="Times New Roman"/>
          <w:bCs/>
        </w:rPr>
        <w:t>Representation-reinforcing” above</w:t>
      </w:r>
      <w:r w:rsidR="001E1A7A" w:rsidRPr="00C6445D">
        <w:rPr>
          <w:rFonts w:ascii="Times" w:hAnsi="Times" w:cs="Times New Roman"/>
        </w:rPr>
        <w:t xml:space="preserve">, </w:t>
      </w:r>
      <w:r w:rsidR="00D535C0" w:rsidRPr="00C6445D">
        <w:rPr>
          <w:rFonts w:ascii="Times" w:hAnsi="Times" w:cs="Times New Roman"/>
        </w:rPr>
        <w:t xml:space="preserve">487. </w:t>
      </w:r>
    </w:p>
  </w:footnote>
  <w:footnote w:id="46">
    <w:p w14:paraId="7FBA1475" w14:textId="13A34FCA" w:rsidR="0072149A" w:rsidRPr="00C6445D" w:rsidRDefault="0072149A" w:rsidP="00FB49D8">
      <w:pPr>
        <w:spacing w:before="0" w:after="0" w:line="240" w:lineRule="auto"/>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74168C" w:rsidRPr="00C6445D">
        <w:rPr>
          <w:rFonts w:ascii="Times" w:hAnsi="Times" w:cs="Times New Roman"/>
        </w:rPr>
        <w:t xml:space="preserve">See, for example, </w:t>
      </w:r>
      <w:r w:rsidR="00262CB1" w:rsidRPr="00C6445D">
        <w:rPr>
          <w:rFonts w:ascii="Times" w:hAnsi="Times" w:cs="Times New Roman"/>
        </w:rPr>
        <w:t xml:space="preserve">A. </w:t>
      </w:r>
      <w:r w:rsidR="004A6BE5" w:rsidRPr="00C6445D">
        <w:rPr>
          <w:rFonts w:ascii="Times" w:hAnsi="Times" w:cs="Times New Roman"/>
        </w:rPr>
        <w:t xml:space="preserve">Follesdal and </w:t>
      </w:r>
      <w:r w:rsidR="00262CB1" w:rsidRPr="00C6445D">
        <w:rPr>
          <w:rFonts w:ascii="Times" w:hAnsi="Times" w:cs="Times New Roman"/>
        </w:rPr>
        <w:t xml:space="preserve">S. </w:t>
      </w:r>
      <w:r w:rsidR="004A6BE5" w:rsidRPr="00C6445D">
        <w:rPr>
          <w:rFonts w:ascii="Times" w:hAnsi="Times" w:cs="Times New Roman"/>
        </w:rPr>
        <w:t xml:space="preserve">Hix, “Why There is a Democratic Deficit in the EU: A Response to Majone and Moravcsik”, </w:t>
      </w:r>
      <w:r w:rsidR="005D4528" w:rsidRPr="00C6445D">
        <w:rPr>
          <w:rFonts w:ascii="Times" w:hAnsi="Times" w:cs="Times New Roman"/>
        </w:rPr>
        <w:t xml:space="preserve">(2006) </w:t>
      </w:r>
      <w:r w:rsidR="004A6BE5" w:rsidRPr="00C6445D">
        <w:rPr>
          <w:rFonts w:ascii="Times" w:hAnsi="Times" w:cs="Times New Roman"/>
        </w:rPr>
        <w:t xml:space="preserve">44 </w:t>
      </w:r>
      <w:r w:rsidR="0052454E" w:rsidRPr="00C6445D">
        <w:rPr>
          <w:rFonts w:ascii="Times" w:hAnsi="Times" w:cs="Times New Roman"/>
        </w:rPr>
        <w:t xml:space="preserve">J.Com.Mar.St. </w:t>
      </w:r>
      <w:r w:rsidR="004A6BE5" w:rsidRPr="00C6445D">
        <w:rPr>
          <w:rFonts w:ascii="Times" w:hAnsi="Times" w:cs="Times New Roman"/>
        </w:rPr>
        <w:t>533.</w:t>
      </w:r>
      <w:r w:rsidR="00FA61B6" w:rsidRPr="00C6445D">
        <w:rPr>
          <w:rFonts w:ascii="Times" w:hAnsi="Times" w:cs="Times New Roman"/>
        </w:rPr>
        <w:t xml:space="preserve"> </w:t>
      </w:r>
    </w:p>
  </w:footnote>
  <w:footnote w:id="47">
    <w:p w14:paraId="54C7F441" w14:textId="77777777" w:rsidR="00AC303C" w:rsidRPr="00C6445D" w:rsidRDefault="00AC303C"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Note: This phenomenon relates to the principle of conferral as well as principles of proportionality and subsidiarity. However, this paper limits its analysis to the latter two principles as these are the two for which process review has been proposed.</w:t>
      </w:r>
    </w:p>
  </w:footnote>
  <w:footnote w:id="48">
    <w:p w14:paraId="15F24F50" w14:textId="77777777" w:rsidR="00AC303C" w:rsidRPr="00C6445D" w:rsidRDefault="00AC303C"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Oberg “The procedural paradigm” above, 254. This “poor enforcement” is part of a failure to protect “the distribution of competences between the Member States and the Union”, 251.</w:t>
      </w:r>
    </w:p>
  </w:footnote>
  <w:footnote w:id="49">
    <w:p w14:paraId="0BD9608B" w14:textId="77777777" w:rsidR="00AC303C" w:rsidRPr="00C6445D" w:rsidRDefault="00AC303C"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C. Ritzer et al., “How to sharpen a dull sword – the principle of subsidiarity and its control”, (2006) 7 G.L.J. 733. See also D. Wyatt, “Could a “yellow card” for national parliaments strengthen judicial and political policing of subsidiarity?”, (2006) 2 </w:t>
      </w:r>
      <w:r w:rsidRPr="00C6445D">
        <w:rPr>
          <w:rFonts w:ascii="Times" w:hAnsi="Times" w:cs="Times New Roman"/>
          <w:iCs/>
        </w:rPr>
        <w:t>Croatian Yearbook of European Law and Policy</w:t>
      </w:r>
      <w:r w:rsidRPr="00C6445D">
        <w:rPr>
          <w:rFonts w:ascii="Times" w:hAnsi="Times" w:cs="Times New Roman"/>
        </w:rPr>
        <w:t xml:space="preserve"> 1, 11 arguing that British American Tobacco “seems designed to minimize any possibility of substantive review and create an irrebuttable presumption that the objectives of internal market measures can be better achieved at Community level rather than national level.”</w:t>
      </w:r>
    </w:p>
  </w:footnote>
  <w:footnote w:id="50">
    <w:p w14:paraId="2D597BFB" w14:textId="77777777" w:rsidR="00AC303C" w:rsidRPr="00C6445D" w:rsidRDefault="00AC303C" w:rsidP="00FB49D8">
      <w:pPr>
        <w:spacing w:before="0" w:after="0" w:line="240" w:lineRule="auto"/>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Groussot and Bogjević “Procedural Safeguard for Federalism” above, p. 245. See also, Weatherill “Drafting Guide” above, 850; </w:t>
      </w:r>
    </w:p>
  </w:footnote>
  <w:footnote w:id="51">
    <w:p w14:paraId="1C306754" w14:textId="59423BBD" w:rsidR="00B949B3" w:rsidRPr="00C6445D" w:rsidRDefault="00B949B3"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6370B2" w:rsidRPr="00C6445D">
        <w:rPr>
          <w:rFonts w:ascii="Times" w:hAnsi="Times" w:cs="Times New Roman"/>
        </w:rPr>
        <w:t xml:space="preserve">A. </w:t>
      </w:r>
      <w:r w:rsidR="008376B3" w:rsidRPr="00C6445D">
        <w:rPr>
          <w:rFonts w:ascii="Times" w:hAnsi="Times" w:cs="Times New Roman"/>
        </w:rPr>
        <w:t xml:space="preserve">Meuwese and </w:t>
      </w:r>
      <w:r w:rsidR="006370B2" w:rsidRPr="00C6445D">
        <w:rPr>
          <w:rFonts w:ascii="Times" w:hAnsi="Times" w:cs="Times New Roman"/>
        </w:rPr>
        <w:t xml:space="preserve">P. </w:t>
      </w:r>
      <w:r w:rsidR="008376B3" w:rsidRPr="00C6445D">
        <w:rPr>
          <w:rFonts w:ascii="Times" w:hAnsi="Times" w:cs="Times New Roman"/>
        </w:rPr>
        <w:t xml:space="preserve">Popelier “Legal Implications of Better Regulation: A Special Issue” </w:t>
      </w:r>
      <w:r w:rsidR="002C580F" w:rsidRPr="00C6445D">
        <w:rPr>
          <w:rFonts w:ascii="Times" w:hAnsi="Times" w:cs="Times New Roman"/>
        </w:rPr>
        <w:t xml:space="preserve">(2011) </w:t>
      </w:r>
      <w:r w:rsidR="008376B3" w:rsidRPr="00C6445D">
        <w:rPr>
          <w:rFonts w:ascii="Times" w:hAnsi="Times" w:cs="Times New Roman"/>
        </w:rPr>
        <w:t>17 European Public Law</w:t>
      </w:r>
      <w:r w:rsidR="002C580F" w:rsidRPr="00C6445D">
        <w:rPr>
          <w:rFonts w:ascii="Times" w:hAnsi="Times" w:cs="Times New Roman"/>
        </w:rPr>
        <w:t xml:space="preserve"> </w:t>
      </w:r>
      <w:r w:rsidR="008376B3" w:rsidRPr="00C6445D">
        <w:rPr>
          <w:rFonts w:ascii="Times" w:hAnsi="Times" w:cs="Times New Roman"/>
        </w:rPr>
        <w:t>455,</w:t>
      </w:r>
      <w:r w:rsidRPr="00C6445D">
        <w:rPr>
          <w:rFonts w:ascii="Times" w:hAnsi="Times" w:cs="Times New Roman"/>
        </w:rPr>
        <w:t xml:space="preserve"> 459.</w:t>
      </w:r>
    </w:p>
  </w:footnote>
  <w:footnote w:id="52">
    <w:p w14:paraId="07F8B239" w14:textId="0125B1E2" w:rsidR="00B949B3" w:rsidRPr="00C6445D" w:rsidRDefault="00B949B3"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U. Karpen,</w:t>
      </w:r>
      <w:r w:rsidR="00E261E6" w:rsidRPr="00C6445D">
        <w:rPr>
          <w:rFonts w:ascii="Times" w:hAnsi="Times" w:cs="Times New Roman"/>
        </w:rPr>
        <w:t xml:space="preserve"> </w:t>
      </w:r>
      <w:r w:rsidR="006370B2" w:rsidRPr="00C6445D">
        <w:rPr>
          <w:rFonts w:ascii="Times" w:hAnsi="Times" w:cs="Times New Roman"/>
        </w:rPr>
        <w:t>“</w:t>
      </w:r>
      <w:r w:rsidRPr="00C6445D">
        <w:rPr>
          <w:rFonts w:ascii="Times" w:hAnsi="Times" w:cs="Times New Roman"/>
        </w:rPr>
        <w:t>On the State of Legislation Studies in Europe</w:t>
      </w:r>
      <w:r w:rsidR="006370B2" w:rsidRPr="00C6445D">
        <w:rPr>
          <w:rFonts w:ascii="Times" w:hAnsi="Times" w:cs="Times New Roman"/>
        </w:rPr>
        <w:t>”</w:t>
      </w:r>
      <w:r w:rsidRPr="00C6445D">
        <w:rPr>
          <w:rFonts w:ascii="Times" w:hAnsi="Times" w:cs="Times New Roman"/>
        </w:rPr>
        <w:t>,</w:t>
      </w:r>
      <w:r w:rsidR="00640633" w:rsidRPr="00C6445D">
        <w:rPr>
          <w:rFonts w:ascii="Times" w:hAnsi="Times" w:cs="Times New Roman"/>
        </w:rPr>
        <w:t xml:space="preserve"> </w:t>
      </w:r>
      <w:r w:rsidR="00AD643C" w:rsidRPr="00C6445D">
        <w:rPr>
          <w:rFonts w:ascii="Times" w:hAnsi="Times" w:cs="Times New Roman"/>
        </w:rPr>
        <w:t xml:space="preserve">(2005) </w:t>
      </w:r>
      <w:r w:rsidR="00640633" w:rsidRPr="00C6445D">
        <w:rPr>
          <w:rFonts w:ascii="Times" w:hAnsi="Times" w:cs="Times New Roman"/>
        </w:rPr>
        <w:t>7</w:t>
      </w:r>
      <w:r w:rsidRPr="00C6445D">
        <w:rPr>
          <w:rFonts w:ascii="Times" w:hAnsi="Times" w:cs="Times New Roman"/>
        </w:rPr>
        <w:t xml:space="preserve"> European Journal of Law Reform </w:t>
      </w:r>
      <w:r w:rsidR="00640633" w:rsidRPr="00C6445D">
        <w:rPr>
          <w:rFonts w:ascii="Times" w:hAnsi="Times" w:cs="Times New Roman"/>
        </w:rPr>
        <w:t xml:space="preserve">59, </w:t>
      </w:r>
      <w:r w:rsidRPr="00C6445D">
        <w:rPr>
          <w:rFonts w:ascii="Times" w:hAnsi="Times" w:cs="Times New Roman"/>
        </w:rPr>
        <w:t>61.</w:t>
      </w:r>
    </w:p>
  </w:footnote>
  <w:footnote w:id="53">
    <w:p w14:paraId="6AD9EABA" w14:textId="77777777" w:rsidR="00B949B3" w:rsidRPr="00C6445D" w:rsidRDefault="00B949B3"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See, Mandelkern Report “Better Regulation” February 2001 published 13 November 2001: “White Paper on European Governance (</w:t>
      </w:r>
      <w:r w:rsidRPr="00C6445D">
        <w:rPr>
          <w:rFonts w:ascii="Times" w:hAnsi="Times" w:cs="Times New Roman"/>
          <w:color w:val="000000" w:themeColor="text1"/>
        </w:rPr>
        <w:t xml:space="preserve">Com(2001) 428 Final); </w:t>
      </w:r>
      <w:r w:rsidRPr="00C6445D">
        <w:rPr>
          <w:rFonts w:ascii="Times" w:hAnsi="Times" w:cs="Times New Roman"/>
        </w:rPr>
        <w:t>Council and European Parliament in the “Inter-Institutional Agreement on Better Lawmaking”.</w:t>
      </w:r>
      <w:r w:rsidRPr="00C6445D">
        <w:rPr>
          <w:rFonts w:ascii="Times" w:hAnsi="Times" w:cs="Times New Roman"/>
          <w:color w:val="000000" w:themeColor="text1"/>
        </w:rPr>
        <w:t xml:space="preserve"> (2003) (OJ EU 2003, C 321).</w:t>
      </w:r>
    </w:p>
  </w:footnote>
  <w:footnote w:id="54">
    <w:p w14:paraId="450EE059" w14:textId="166E97C2"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Lenaerts</w:t>
      </w:r>
      <w:r w:rsidR="00E42A89" w:rsidRPr="00C6445D">
        <w:rPr>
          <w:rFonts w:ascii="Times" w:hAnsi="Times" w:cs="Times New Roman"/>
        </w:rPr>
        <w:t xml:space="preserve"> </w:t>
      </w:r>
      <w:r w:rsidR="00AA448C" w:rsidRPr="00C6445D">
        <w:rPr>
          <w:rFonts w:ascii="Times" w:hAnsi="Times" w:cs="Times New Roman"/>
        </w:rPr>
        <w:t xml:space="preserve">“Process-Oriented Review” </w:t>
      </w:r>
      <w:r w:rsidR="00E42A89" w:rsidRPr="00C6445D">
        <w:rPr>
          <w:rFonts w:ascii="Times" w:hAnsi="Times" w:cs="Times New Roman"/>
        </w:rPr>
        <w:t>above,</w:t>
      </w:r>
      <w:r w:rsidRPr="00C6445D">
        <w:rPr>
          <w:rFonts w:ascii="Times" w:hAnsi="Times" w:cs="Times New Roman"/>
        </w:rPr>
        <w:t xml:space="preserve">  9.</w:t>
      </w:r>
    </w:p>
  </w:footnote>
  <w:footnote w:id="55">
    <w:p w14:paraId="66C19D0F" w14:textId="49BE9137" w:rsidR="00B949B3" w:rsidRPr="00C6445D" w:rsidRDefault="00B949B3" w:rsidP="00FB49D8">
      <w:pPr>
        <w:spacing w:before="0" w:after="0" w:line="240" w:lineRule="auto"/>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On this point, </w:t>
      </w:r>
      <w:r w:rsidR="00970E52" w:rsidRPr="00C6445D">
        <w:rPr>
          <w:rFonts w:ascii="Times" w:hAnsi="Times" w:cs="Times New Roman"/>
        </w:rPr>
        <w:t>Weatherill</w:t>
      </w:r>
      <w:r w:rsidR="005E6058" w:rsidRPr="00C6445D">
        <w:rPr>
          <w:rFonts w:ascii="Times" w:hAnsi="Times" w:cs="Times New Roman"/>
        </w:rPr>
        <w:t xml:space="preserve"> “Drafting Guide”</w:t>
      </w:r>
      <w:r w:rsidR="001B4D37" w:rsidRPr="00C6445D">
        <w:rPr>
          <w:rFonts w:ascii="Times" w:hAnsi="Times" w:cs="Times New Roman"/>
        </w:rPr>
        <w:t xml:space="preserve"> </w:t>
      </w:r>
      <w:r w:rsidR="005E6058" w:rsidRPr="00C6445D">
        <w:rPr>
          <w:rFonts w:ascii="Times" w:hAnsi="Times" w:cs="Times New Roman"/>
        </w:rPr>
        <w:t>above</w:t>
      </w:r>
      <w:r w:rsidR="00DD0028" w:rsidRPr="00C6445D">
        <w:rPr>
          <w:rFonts w:ascii="Times" w:hAnsi="Times" w:cs="Times New Roman"/>
        </w:rPr>
        <w:t>,</w:t>
      </w:r>
      <w:r w:rsidRPr="00C6445D">
        <w:rPr>
          <w:rFonts w:ascii="Times" w:hAnsi="Times" w:cs="Times New Roman"/>
        </w:rPr>
        <w:t xml:space="preserve"> argued that the new early warning mechanism could lead to “more intensive ex post control by the Court”</w:t>
      </w:r>
      <w:r w:rsidR="00DD0028" w:rsidRPr="00C6445D">
        <w:rPr>
          <w:rFonts w:ascii="Times" w:hAnsi="Times" w:cs="Times New Roman"/>
        </w:rPr>
        <w:t xml:space="preserve">, 853. </w:t>
      </w:r>
      <w:r w:rsidRPr="00C6445D">
        <w:rPr>
          <w:rFonts w:ascii="Times" w:hAnsi="Times" w:cs="Times New Roman"/>
          <w:color w:val="000000"/>
          <w:shd w:val="clear" w:color="auto" w:fill="FFFFFF"/>
        </w:rPr>
        <w:t>On this point, see G.A. Bermann, ‘The Lisbon Treaty: The Irish “No”. National Parliaments and Subsidiarity: An Outsider’s View’ (2008) 4 </w:t>
      </w:r>
      <w:r w:rsidRPr="00C6445D">
        <w:rPr>
          <w:rFonts w:ascii="Times" w:hAnsi="Times" w:cs="Times New Roman"/>
          <w:i/>
          <w:iCs/>
          <w:color w:val="000000"/>
          <w:shd w:val="clear" w:color="auto" w:fill="FFFFFF"/>
        </w:rPr>
        <w:t>European Constitutional Law Review</w:t>
      </w:r>
      <w:r w:rsidRPr="00C6445D">
        <w:rPr>
          <w:rFonts w:ascii="Times" w:hAnsi="Times" w:cs="Times New Roman"/>
          <w:color w:val="000000"/>
          <w:shd w:val="clear" w:color="auto" w:fill="FFFFFF"/>
        </w:rPr>
        <w:t xml:space="preserve"> 453, </w:t>
      </w:r>
      <w:r w:rsidR="00C82024" w:rsidRPr="00C6445D">
        <w:rPr>
          <w:rFonts w:ascii="Times" w:hAnsi="Times" w:cs="Times New Roman"/>
        </w:rPr>
        <w:t>Groussot and Bogjević “Procedural Safeguard” above</w:t>
      </w:r>
      <w:r w:rsidRPr="00C6445D">
        <w:rPr>
          <w:rFonts w:ascii="Times" w:hAnsi="Times" w:cs="Times New Roman"/>
        </w:rPr>
        <w:t xml:space="preserve">, 241. </w:t>
      </w:r>
      <w:r w:rsidRPr="00C6445D">
        <w:rPr>
          <w:rFonts w:ascii="Times" w:hAnsi="Times" w:cs="Times New Roman"/>
          <w:color w:val="000000"/>
          <w:shd w:val="clear" w:color="auto" w:fill="FFFFFF"/>
        </w:rPr>
        <w:t>See generally,</w:t>
      </w:r>
      <w:r w:rsidRPr="00C6445D">
        <w:rPr>
          <w:rFonts w:ascii="Times" w:hAnsi="Times" w:cs="Times New Roman"/>
        </w:rPr>
        <w:t xml:space="preserve"> </w:t>
      </w:r>
      <w:r w:rsidR="009876CB" w:rsidRPr="00C6445D">
        <w:rPr>
          <w:rFonts w:ascii="Times" w:hAnsi="Times" w:cs="Times New Roman"/>
        </w:rPr>
        <w:t xml:space="preserve">S. </w:t>
      </w:r>
      <w:r w:rsidRPr="00C6445D">
        <w:rPr>
          <w:rFonts w:ascii="Times" w:hAnsi="Times" w:cs="Times New Roman"/>
        </w:rPr>
        <w:t xml:space="preserve">Weatherill, “Competence creep and competence control”, </w:t>
      </w:r>
      <w:r w:rsidR="00E722C1" w:rsidRPr="00C6445D">
        <w:rPr>
          <w:rFonts w:ascii="Times" w:hAnsi="Times" w:cs="Times New Roman"/>
        </w:rPr>
        <w:t xml:space="preserve">(2004) </w:t>
      </w:r>
      <w:r w:rsidRPr="00C6445D">
        <w:rPr>
          <w:rFonts w:ascii="Times" w:hAnsi="Times" w:cs="Times New Roman"/>
        </w:rPr>
        <w:t>23</w:t>
      </w:r>
      <w:r w:rsidR="00BF50C3" w:rsidRPr="00C6445D">
        <w:rPr>
          <w:rFonts w:ascii="Times" w:hAnsi="Times" w:cs="Times New Roman"/>
        </w:rPr>
        <w:t xml:space="preserve"> </w:t>
      </w:r>
      <w:r w:rsidRPr="00C6445D">
        <w:rPr>
          <w:rFonts w:ascii="Times" w:hAnsi="Times" w:cs="Times New Roman"/>
        </w:rPr>
        <w:t>Y</w:t>
      </w:r>
      <w:r w:rsidR="00E722C1" w:rsidRPr="00C6445D">
        <w:rPr>
          <w:rFonts w:ascii="Times" w:hAnsi="Times" w:cs="Times New Roman"/>
        </w:rPr>
        <w:t>.</w:t>
      </w:r>
      <w:r w:rsidRPr="00C6445D">
        <w:rPr>
          <w:rFonts w:ascii="Times" w:hAnsi="Times" w:cs="Times New Roman"/>
        </w:rPr>
        <w:t>E</w:t>
      </w:r>
      <w:r w:rsidR="00E722C1" w:rsidRPr="00C6445D">
        <w:rPr>
          <w:rFonts w:ascii="Times" w:hAnsi="Times" w:cs="Times New Roman"/>
        </w:rPr>
        <w:t>.</w:t>
      </w:r>
      <w:r w:rsidRPr="00C6445D">
        <w:rPr>
          <w:rFonts w:ascii="Times" w:hAnsi="Times" w:cs="Times New Roman"/>
        </w:rPr>
        <w:t>L</w:t>
      </w:r>
      <w:r w:rsidR="00E722C1" w:rsidRPr="00C6445D">
        <w:rPr>
          <w:rFonts w:ascii="Times" w:hAnsi="Times" w:cs="Times New Roman"/>
        </w:rPr>
        <w:t>.</w:t>
      </w:r>
      <w:r w:rsidRPr="00C6445D">
        <w:rPr>
          <w:rFonts w:ascii="Times" w:hAnsi="Times" w:cs="Times New Roman"/>
        </w:rPr>
        <w:t>, 1</w:t>
      </w:r>
      <w:r w:rsidR="00E722C1" w:rsidRPr="00C6445D">
        <w:rPr>
          <w:rFonts w:ascii="Times" w:hAnsi="Times" w:cs="Times New Roman"/>
        </w:rPr>
        <w:t>;</w:t>
      </w:r>
      <w:r w:rsidRPr="00C6445D">
        <w:rPr>
          <w:rFonts w:ascii="Times" w:hAnsi="Times" w:cs="Times New Roman"/>
        </w:rPr>
        <w:t xml:space="preserve"> </w:t>
      </w:r>
      <w:r w:rsidR="009876CB" w:rsidRPr="00C6445D">
        <w:rPr>
          <w:rFonts w:ascii="Times" w:hAnsi="Times" w:cs="Times New Roman"/>
        </w:rPr>
        <w:t xml:space="preserve">I. </w:t>
      </w:r>
      <w:r w:rsidRPr="00C6445D">
        <w:rPr>
          <w:rFonts w:ascii="Times" w:hAnsi="Times" w:cs="Times New Roman"/>
        </w:rPr>
        <w:t xml:space="preserve">Cooper, “The watchdogs of subsidiarity: National parliaments and the logic of arguing in the EU”, </w:t>
      </w:r>
      <w:r w:rsidR="006D02BD" w:rsidRPr="00C6445D">
        <w:rPr>
          <w:rFonts w:ascii="Times" w:hAnsi="Times" w:cs="Times New Roman"/>
        </w:rPr>
        <w:t xml:space="preserve">(2006) </w:t>
      </w:r>
      <w:r w:rsidRPr="00C6445D">
        <w:rPr>
          <w:rFonts w:ascii="Times" w:hAnsi="Times" w:cs="Times New Roman"/>
        </w:rPr>
        <w:t xml:space="preserve">44 </w:t>
      </w:r>
      <w:r w:rsidR="006D02BD" w:rsidRPr="00C6445D">
        <w:rPr>
          <w:rFonts w:ascii="Times" w:hAnsi="Times" w:cs="Times New Roman"/>
        </w:rPr>
        <w:t>J.Com.Mar.St</w:t>
      </w:r>
      <w:r w:rsidR="00CC0130" w:rsidRPr="00C6445D">
        <w:rPr>
          <w:rFonts w:ascii="Times" w:hAnsi="Times" w:cs="Times New Roman"/>
        </w:rPr>
        <w:t>.</w:t>
      </w:r>
      <w:r w:rsidRPr="00C6445D">
        <w:rPr>
          <w:rFonts w:ascii="Times" w:hAnsi="Times" w:cs="Times New Roman"/>
        </w:rPr>
        <w:t xml:space="preserve"> 283. 1. </w:t>
      </w:r>
      <w:r w:rsidR="009876CB" w:rsidRPr="00C6445D">
        <w:rPr>
          <w:rFonts w:ascii="Times" w:hAnsi="Times" w:cs="Times New Roman"/>
        </w:rPr>
        <w:t xml:space="preserve">P. </w:t>
      </w:r>
      <w:r w:rsidRPr="00C6445D">
        <w:rPr>
          <w:rFonts w:ascii="Times" w:hAnsi="Times" w:cs="Times New Roman"/>
        </w:rPr>
        <w:t xml:space="preserve">Kiiver, </w:t>
      </w:r>
      <w:r w:rsidRPr="00C6445D">
        <w:rPr>
          <w:rFonts w:ascii="Times" w:hAnsi="Times" w:cs="Times New Roman"/>
          <w:i/>
        </w:rPr>
        <w:t xml:space="preserve">The National Parliaments in the European Union </w:t>
      </w:r>
      <w:r w:rsidRPr="00C6445D">
        <w:rPr>
          <w:rFonts w:ascii="Times" w:hAnsi="Times" w:cs="Times New Roman"/>
        </w:rPr>
        <w:t xml:space="preserve">(Kluwer Law International, 2006). </w:t>
      </w:r>
    </w:p>
  </w:footnote>
  <w:footnote w:id="56">
    <w:p w14:paraId="2CB3236A" w14:textId="5F77AAF4" w:rsidR="00B949B3" w:rsidRPr="00C6445D" w:rsidRDefault="00B949B3"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Groussot and Bogjević </w:t>
      </w:r>
      <w:r w:rsidR="00D25787" w:rsidRPr="00C6445D">
        <w:rPr>
          <w:rFonts w:ascii="Times" w:hAnsi="Times" w:cs="Times New Roman"/>
        </w:rPr>
        <w:t xml:space="preserve">“Procedural Safeguard” </w:t>
      </w:r>
      <w:r w:rsidR="001C1320" w:rsidRPr="00C6445D">
        <w:rPr>
          <w:rFonts w:ascii="Times" w:hAnsi="Times" w:cs="Times New Roman"/>
        </w:rPr>
        <w:t>above</w:t>
      </w:r>
      <w:r w:rsidRPr="00C6445D">
        <w:rPr>
          <w:rFonts w:ascii="Times" w:hAnsi="Times" w:cs="Times New Roman"/>
        </w:rPr>
        <w:t>, 244.</w:t>
      </w:r>
    </w:p>
  </w:footnote>
  <w:footnote w:id="57">
    <w:p w14:paraId="6F62609D" w14:textId="28304B98"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Lenaerts</w:t>
      </w:r>
      <w:r w:rsidR="00ED2B20" w:rsidRPr="00C6445D">
        <w:rPr>
          <w:rFonts w:ascii="Times" w:hAnsi="Times" w:cs="Times New Roman"/>
        </w:rPr>
        <w:t xml:space="preserve"> </w:t>
      </w:r>
      <w:r w:rsidR="00A41C4A" w:rsidRPr="00C6445D">
        <w:rPr>
          <w:rFonts w:ascii="Times" w:hAnsi="Times" w:cs="Times New Roman"/>
        </w:rPr>
        <w:t xml:space="preserve">“Process-Oriented Review” </w:t>
      </w:r>
      <w:r w:rsidR="00ED2B20" w:rsidRPr="00C6445D">
        <w:rPr>
          <w:rFonts w:ascii="Times" w:hAnsi="Times" w:cs="Times New Roman"/>
        </w:rPr>
        <w:t>above</w:t>
      </w:r>
      <w:r w:rsidR="00D83C26" w:rsidRPr="00C6445D">
        <w:rPr>
          <w:rFonts w:ascii="Times" w:hAnsi="Times" w:cs="Times New Roman"/>
        </w:rPr>
        <w:t xml:space="preserve">, </w:t>
      </w:r>
      <w:r w:rsidRPr="00C6445D">
        <w:rPr>
          <w:rFonts w:ascii="Times" w:hAnsi="Times" w:cs="Times New Roman"/>
        </w:rPr>
        <w:t>15</w:t>
      </w:r>
    </w:p>
  </w:footnote>
  <w:footnote w:id="58">
    <w:p w14:paraId="2C214F56" w14:textId="43B8BAB7"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Oberg </w:t>
      </w:r>
      <w:r w:rsidR="00C25CA1" w:rsidRPr="00C6445D">
        <w:rPr>
          <w:rFonts w:ascii="Times" w:hAnsi="Times" w:cs="Times New Roman"/>
        </w:rPr>
        <w:t xml:space="preserve">“The procedural paradigm” </w:t>
      </w:r>
      <w:r w:rsidR="006A45CE" w:rsidRPr="00C6445D">
        <w:rPr>
          <w:rFonts w:ascii="Times" w:hAnsi="Times" w:cs="Times New Roman"/>
        </w:rPr>
        <w:t>above</w:t>
      </w:r>
      <w:r w:rsidRPr="00C6445D">
        <w:rPr>
          <w:rFonts w:ascii="Times" w:hAnsi="Times" w:cs="Times New Roman"/>
        </w:rPr>
        <w:t>, 280</w:t>
      </w:r>
    </w:p>
  </w:footnote>
  <w:footnote w:id="59">
    <w:p w14:paraId="14ED6A17" w14:textId="51C6C087"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Meuwese and Popelier </w:t>
      </w:r>
      <w:r w:rsidR="00742DFC" w:rsidRPr="00C6445D">
        <w:rPr>
          <w:rFonts w:ascii="Times" w:hAnsi="Times" w:cs="Times New Roman"/>
        </w:rPr>
        <w:t xml:space="preserve">“Better Regulation” </w:t>
      </w:r>
      <w:r w:rsidR="00352D03" w:rsidRPr="00C6445D">
        <w:rPr>
          <w:rFonts w:ascii="Times" w:hAnsi="Times" w:cs="Times New Roman"/>
        </w:rPr>
        <w:t>above</w:t>
      </w:r>
      <w:r w:rsidRPr="00C6445D">
        <w:rPr>
          <w:rFonts w:ascii="Times" w:hAnsi="Times" w:cs="Times New Roman"/>
        </w:rPr>
        <w:t>, 458.</w:t>
      </w:r>
    </w:p>
  </w:footnote>
  <w:footnote w:id="60">
    <w:p w14:paraId="22AAF71C" w14:textId="5FFB7C1B"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Oberg </w:t>
      </w:r>
      <w:r w:rsidR="00C25CA1" w:rsidRPr="00C6445D">
        <w:rPr>
          <w:rFonts w:ascii="Times" w:hAnsi="Times" w:cs="Times New Roman"/>
        </w:rPr>
        <w:t xml:space="preserve">“The procedural paradigm” </w:t>
      </w:r>
      <w:r w:rsidR="00565D5C" w:rsidRPr="00C6445D">
        <w:rPr>
          <w:rFonts w:ascii="Times" w:hAnsi="Times" w:cs="Times New Roman"/>
        </w:rPr>
        <w:t>above</w:t>
      </w:r>
      <w:r w:rsidRPr="00C6445D">
        <w:rPr>
          <w:rFonts w:ascii="Times" w:hAnsi="Times" w:cs="Times New Roman"/>
        </w:rPr>
        <w:t>, 279.</w:t>
      </w:r>
    </w:p>
  </w:footnote>
  <w:footnote w:id="61">
    <w:p w14:paraId="446615E8" w14:textId="289C42F6" w:rsidR="001C53DD" w:rsidRPr="00C6445D" w:rsidRDefault="001C53D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242013" w:rsidRPr="00C6445D">
        <w:rPr>
          <w:rFonts w:ascii="Times" w:hAnsi="Times" w:cs="Times New Roman"/>
        </w:rPr>
        <w:t xml:space="preserve">Lenaerts “Process-Oriented Review” above, 15. </w:t>
      </w:r>
      <w:r w:rsidRPr="00C6445D">
        <w:rPr>
          <w:rFonts w:ascii="Times" w:hAnsi="Times" w:cs="Times New Roman"/>
        </w:rPr>
        <w:t xml:space="preserve">See </w:t>
      </w:r>
      <w:r w:rsidR="00242013" w:rsidRPr="00C6445D">
        <w:rPr>
          <w:rFonts w:ascii="Times" w:hAnsi="Times" w:cs="Times New Roman"/>
        </w:rPr>
        <w:t xml:space="preserve">also </w:t>
      </w:r>
      <w:r w:rsidRPr="00C6445D">
        <w:rPr>
          <w:rFonts w:ascii="Times" w:hAnsi="Times" w:cs="Times New Roman"/>
        </w:rPr>
        <w:t>Oberg “The procedural paradigm” above, 252: The Court would “go beyond its legitimacy and competence” in conducting substantive review because it involves “assessing open-ended political, economic and social issues</w:t>
      </w:r>
    </w:p>
  </w:footnote>
  <w:footnote w:id="62">
    <w:p w14:paraId="6D13A5D2" w14:textId="39BC1056"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Oberg </w:t>
      </w:r>
      <w:r w:rsidR="00C25CA1" w:rsidRPr="00C6445D">
        <w:rPr>
          <w:rFonts w:ascii="Times" w:hAnsi="Times" w:cs="Times New Roman"/>
        </w:rPr>
        <w:t xml:space="preserve">“The procedural paradigm” </w:t>
      </w:r>
      <w:r w:rsidR="00BA1EF8" w:rsidRPr="00C6445D">
        <w:rPr>
          <w:rFonts w:ascii="Times" w:hAnsi="Times" w:cs="Times New Roman"/>
        </w:rPr>
        <w:t>above,</w:t>
      </w:r>
      <w:r w:rsidRPr="00C6445D">
        <w:rPr>
          <w:rFonts w:ascii="Times" w:hAnsi="Times" w:cs="Times New Roman"/>
        </w:rPr>
        <w:t xml:space="preserve"> 264.</w:t>
      </w:r>
    </w:p>
  </w:footnote>
  <w:footnote w:id="63">
    <w:p w14:paraId="25CD4E25" w14:textId="0FB10D07"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205C84" w:rsidRPr="00C6445D">
        <w:rPr>
          <w:rFonts w:ascii="Times" w:hAnsi="Times" w:cs="Times New Roman"/>
        </w:rPr>
        <w:t xml:space="preserve">P. </w:t>
      </w:r>
      <w:r w:rsidRPr="00C6445D">
        <w:rPr>
          <w:rFonts w:ascii="Times" w:hAnsi="Times" w:cs="Times New Roman"/>
        </w:rPr>
        <w:t xml:space="preserve">Popelier, “Preliminary Comments on the Role of Courts as Regulatory Watchdogs”, </w:t>
      </w:r>
      <w:r w:rsidR="007C4CA4" w:rsidRPr="00C6445D">
        <w:rPr>
          <w:rFonts w:ascii="Times" w:hAnsi="Times" w:cs="Times New Roman"/>
        </w:rPr>
        <w:t xml:space="preserve">(2012) </w:t>
      </w:r>
      <w:r w:rsidRPr="00C6445D">
        <w:rPr>
          <w:rFonts w:ascii="Times" w:hAnsi="Times" w:cs="Times New Roman"/>
        </w:rPr>
        <w:t>6 Leg</w:t>
      </w:r>
      <w:r w:rsidR="007C4CA4" w:rsidRPr="00C6445D">
        <w:rPr>
          <w:rFonts w:ascii="Times" w:hAnsi="Times" w:cs="Times New Roman"/>
        </w:rPr>
        <w:t>.</w:t>
      </w:r>
      <w:r w:rsidRPr="00C6445D">
        <w:rPr>
          <w:rFonts w:ascii="Times" w:hAnsi="Times" w:cs="Times New Roman"/>
        </w:rPr>
        <w:t xml:space="preserve"> 257, 260 Note: Popelier’s golden mean </w:t>
      </w:r>
      <w:r w:rsidR="005A3F61" w:rsidRPr="00C6445D">
        <w:rPr>
          <w:rFonts w:ascii="Times" w:hAnsi="Times" w:cs="Times New Roman"/>
        </w:rPr>
        <w:t xml:space="preserve">relates to the context of the European Court of Human </w:t>
      </w:r>
      <w:r w:rsidR="00C40F58" w:rsidRPr="00C6445D">
        <w:rPr>
          <w:rFonts w:ascii="Times" w:hAnsi="Times" w:cs="Times New Roman"/>
        </w:rPr>
        <w:t>Rights but</w:t>
      </w:r>
      <w:r w:rsidR="00CA0EB2" w:rsidRPr="00C6445D">
        <w:rPr>
          <w:rFonts w:ascii="Times" w:hAnsi="Times" w:cs="Times New Roman"/>
        </w:rPr>
        <w:t xml:space="preserve"> makes the same point regarding the </w:t>
      </w:r>
      <w:r w:rsidRPr="00C6445D">
        <w:rPr>
          <w:rFonts w:ascii="Times" w:hAnsi="Times" w:cs="Times New Roman"/>
        </w:rPr>
        <w:t xml:space="preserve">role of process review </w:t>
      </w:r>
      <w:r w:rsidR="00585E3C" w:rsidRPr="00C6445D">
        <w:rPr>
          <w:rFonts w:ascii="Times" w:hAnsi="Times" w:cs="Times New Roman"/>
        </w:rPr>
        <w:t xml:space="preserve">as acting </w:t>
      </w:r>
      <w:r w:rsidRPr="00C6445D">
        <w:rPr>
          <w:rFonts w:ascii="Times" w:hAnsi="Times" w:cs="Times New Roman"/>
        </w:rPr>
        <w:t xml:space="preserve">between </w:t>
      </w:r>
      <w:r w:rsidR="009D491E" w:rsidRPr="00C6445D">
        <w:rPr>
          <w:rFonts w:ascii="Times" w:hAnsi="Times" w:cs="Times New Roman"/>
        </w:rPr>
        <w:t>light-touch</w:t>
      </w:r>
      <w:r w:rsidRPr="00C6445D">
        <w:rPr>
          <w:rFonts w:ascii="Times" w:hAnsi="Times" w:cs="Times New Roman"/>
        </w:rPr>
        <w:t xml:space="preserve"> and </w:t>
      </w:r>
      <w:r w:rsidR="00226D41" w:rsidRPr="00C6445D">
        <w:rPr>
          <w:rFonts w:ascii="Times" w:hAnsi="Times" w:cs="Times New Roman"/>
        </w:rPr>
        <w:t xml:space="preserve">intensive </w:t>
      </w:r>
      <w:r w:rsidRPr="00C6445D">
        <w:rPr>
          <w:rFonts w:ascii="Times" w:hAnsi="Times" w:cs="Times New Roman"/>
        </w:rPr>
        <w:t>substan</w:t>
      </w:r>
      <w:r w:rsidR="00B42479" w:rsidRPr="00C6445D">
        <w:rPr>
          <w:rFonts w:ascii="Times" w:hAnsi="Times" w:cs="Times New Roman"/>
        </w:rPr>
        <w:t>tive</w:t>
      </w:r>
      <w:r w:rsidRPr="00C6445D">
        <w:rPr>
          <w:rFonts w:ascii="Times" w:hAnsi="Times" w:cs="Times New Roman"/>
        </w:rPr>
        <w:t xml:space="preserve"> review</w:t>
      </w:r>
      <w:r w:rsidR="00B42479" w:rsidRPr="00C6445D">
        <w:rPr>
          <w:rFonts w:ascii="Times" w:hAnsi="Times" w:cs="Times New Roman"/>
        </w:rPr>
        <w:t>.</w:t>
      </w:r>
    </w:p>
  </w:footnote>
  <w:footnote w:id="64">
    <w:p w14:paraId="503BA7CC" w14:textId="127ACE01"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Lenaerts</w:t>
      </w:r>
      <w:r w:rsidR="00325A28" w:rsidRPr="00C6445D">
        <w:rPr>
          <w:rFonts w:ascii="Times" w:hAnsi="Times" w:cs="Times New Roman"/>
        </w:rPr>
        <w:t xml:space="preserve"> “Process-Oriented Review”</w:t>
      </w:r>
      <w:r w:rsidRPr="00C6445D">
        <w:rPr>
          <w:rFonts w:ascii="Times" w:hAnsi="Times" w:cs="Times New Roman"/>
        </w:rPr>
        <w:t xml:space="preserve"> </w:t>
      </w:r>
      <w:r w:rsidR="007B06C3" w:rsidRPr="00C6445D">
        <w:rPr>
          <w:rFonts w:ascii="Times" w:hAnsi="Times" w:cs="Times New Roman"/>
        </w:rPr>
        <w:t>above</w:t>
      </w:r>
      <w:r w:rsidRPr="00C6445D">
        <w:rPr>
          <w:rFonts w:ascii="Times" w:hAnsi="Times" w:cs="Times New Roman"/>
        </w:rPr>
        <w:t>, 16.</w:t>
      </w:r>
    </w:p>
  </w:footnote>
  <w:footnote w:id="65">
    <w:p w14:paraId="1BA12C75" w14:textId="652D2354"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Alemanno, </w:t>
      </w:r>
      <w:r w:rsidR="00BA2FD6" w:rsidRPr="00C6445D">
        <w:rPr>
          <w:rFonts w:ascii="Times" w:hAnsi="Times" w:cs="Times New Roman"/>
        </w:rPr>
        <w:t>“</w:t>
      </w:r>
      <w:r w:rsidR="00A30AA7" w:rsidRPr="00C6445D">
        <w:rPr>
          <w:rFonts w:ascii="Times" w:hAnsi="Times" w:cs="Times New Roman"/>
        </w:rPr>
        <w:t>J</w:t>
      </w:r>
      <w:r w:rsidR="00BA2FD6" w:rsidRPr="00C6445D">
        <w:rPr>
          <w:rFonts w:ascii="Times" w:hAnsi="Times" w:cs="Times New Roman"/>
        </w:rPr>
        <w:t xml:space="preserve">udicial </w:t>
      </w:r>
      <w:r w:rsidR="00A30AA7" w:rsidRPr="00C6445D">
        <w:rPr>
          <w:rFonts w:ascii="Times" w:hAnsi="Times" w:cs="Times New Roman"/>
        </w:rPr>
        <w:t>R</w:t>
      </w:r>
      <w:r w:rsidR="00BA2FD6" w:rsidRPr="00C6445D">
        <w:rPr>
          <w:rFonts w:ascii="Times" w:hAnsi="Times" w:cs="Times New Roman"/>
        </w:rPr>
        <w:t xml:space="preserve">eflex” above, </w:t>
      </w:r>
      <w:r w:rsidRPr="00C6445D">
        <w:rPr>
          <w:rFonts w:ascii="Times" w:hAnsi="Times" w:cs="Times New Roman"/>
        </w:rPr>
        <w:t xml:space="preserve"> 338.</w:t>
      </w:r>
    </w:p>
  </w:footnote>
  <w:footnote w:id="66">
    <w:p w14:paraId="113334D6" w14:textId="53AF25D2" w:rsidR="00B949B3" w:rsidRPr="00C6445D" w:rsidRDefault="00B949B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Oberg </w:t>
      </w:r>
      <w:r w:rsidR="00C25CA1" w:rsidRPr="00C6445D">
        <w:rPr>
          <w:rFonts w:ascii="Times" w:hAnsi="Times" w:cs="Times New Roman"/>
        </w:rPr>
        <w:t xml:space="preserve">“The </w:t>
      </w:r>
      <w:r w:rsidR="002642AE" w:rsidRPr="00C6445D">
        <w:rPr>
          <w:rFonts w:ascii="Times" w:hAnsi="Times" w:cs="Times New Roman"/>
        </w:rPr>
        <w:t>P</w:t>
      </w:r>
      <w:r w:rsidR="00C25CA1" w:rsidRPr="00C6445D">
        <w:rPr>
          <w:rFonts w:ascii="Times" w:hAnsi="Times" w:cs="Times New Roman"/>
        </w:rPr>
        <w:t xml:space="preserve">rocedural </w:t>
      </w:r>
      <w:r w:rsidR="002642AE" w:rsidRPr="00C6445D">
        <w:rPr>
          <w:rFonts w:ascii="Times" w:hAnsi="Times" w:cs="Times New Roman"/>
        </w:rPr>
        <w:t>Pa</w:t>
      </w:r>
      <w:r w:rsidR="00C25CA1" w:rsidRPr="00C6445D">
        <w:rPr>
          <w:rFonts w:ascii="Times" w:hAnsi="Times" w:cs="Times New Roman"/>
        </w:rPr>
        <w:t xml:space="preserve">radigm” </w:t>
      </w:r>
      <w:r w:rsidR="007B06C3" w:rsidRPr="00C6445D">
        <w:rPr>
          <w:rFonts w:ascii="Times" w:hAnsi="Times" w:cs="Times New Roman"/>
        </w:rPr>
        <w:t>above</w:t>
      </w:r>
      <w:r w:rsidRPr="00C6445D">
        <w:rPr>
          <w:rFonts w:ascii="Times" w:hAnsi="Times" w:cs="Times New Roman"/>
        </w:rPr>
        <w:t>, 277.</w:t>
      </w:r>
    </w:p>
  </w:footnote>
  <w:footnote w:id="67">
    <w:p w14:paraId="60B6E1B2" w14:textId="7EB41643" w:rsidR="00E82D86" w:rsidRPr="00C6445D" w:rsidRDefault="00E82D86"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This breadth can be seen, for example, in the Court of Justice’s interpretation of Art. 34 TFEU in </w:t>
      </w:r>
      <w:r w:rsidRPr="00C6445D">
        <w:rPr>
          <w:rFonts w:ascii="Times" w:hAnsi="Times" w:cs="Times New Roman"/>
          <w:i/>
        </w:rPr>
        <w:t xml:space="preserve">Cassis De Dijon </w:t>
      </w:r>
      <w:r w:rsidR="00EB092B" w:rsidRPr="00C6445D">
        <w:rPr>
          <w:rFonts w:ascii="Times" w:hAnsi="Times" w:cs="Times New Roman"/>
          <w:i/>
        </w:rPr>
        <w:t>(</w:t>
      </w:r>
      <w:r w:rsidR="00EB092B" w:rsidRPr="00C6445D">
        <w:rPr>
          <w:rFonts w:ascii="Times" w:hAnsi="Times" w:cs="Times New Roman"/>
        </w:rPr>
        <w:t xml:space="preserve">120/78) </w:t>
      </w:r>
      <w:r w:rsidRPr="00C6445D">
        <w:rPr>
          <w:rFonts w:ascii="Times" w:hAnsi="Times" w:cs="Times New Roman"/>
        </w:rPr>
        <w:t xml:space="preserve">EU:C:1979:42 and </w:t>
      </w:r>
      <w:r w:rsidRPr="00C6445D">
        <w:rPr>
          <w:rFonts w:ascii="Times" w:hAnsi="Times" w:cs="Times New Roman"/>
          <w:bCs/>
          <w:i/>
        </w:rPr>
        <w:t xml:space="preserve">Procureur du Roi v Benoît and Gustave Dassonville </w:t>
      </w:r>
      <w:r w:rsidR="00225AF8" w:rsidRPr="00C6445D">
        <w:rPr>
          <w:rFonts w:ascii="Times" w:hAnsi="Times" w:cs="Times New Roman"/>
          <w:bCs/>
          <w:i/>
        </w:rPr>
        <w:t>(</w:t>
      </w:r>
      <w:r w:rsidR="00225AF8" w:rsidRPr="00C6445D">
        <w:rPr>
          <w:rFonts w:ascii="Times" w:hAnsi="Times" w:cs="Times New Roman"/>
          <w:bCs/>
        </w:rPr>
        <w:t xml:space="preserve">8/74) </w:t>
      </w:r>
      <w:r w:rsidRPr="00C6445D">
        <w:rPr>
          <w:rFonts w:ascii="Times" w:hAnsi="Times" w:cs="Times New Roman"/>
          <w:bCs/>
        </w:rPr>
        <w:t xml:space="preserve">EU:C:1974:82. It is also evident in the expansion of Art. 56 TFEU </w:t>
      </w:r>
      <w:r w:rsidRPr="00C6445D">
        <w:rPr>
          <w:rFonts w:ascii="Times" w:hAnsi="Times" w:cs="Times New Roman"/>
          <w:bCs/>
          <w:lang w:val="en-US"/>
        </w:rPr>
        <w:t xml:space="preserve">to include not only freedom to </w:t>
      </w:r>
      <w:r w:rsidRPr="00C6445D">
        <w:rPr>
          <w:rFonts w:ascii="Times" w:hAnsi="Times" w:cs="Times New Roman"/>
          <w:bCs/>
          <w:i/>
          <w:lang w:val="en-US"/>
        </w:rPr>
        <w:t>provide</w:t>
      </w:r>
      <w:r w:rsidRPr="00C6445D">
        <w:rPr>
          <w:rFonts w:ascii="Times" w:hAnsi="Times" w:cs="Times New Roman"/>
          <w:bCs/>
          <w:lang w:val="en-US"/>
        </w:rPr>
        <w:t xml:space="preserve"> but also freedom to </w:t>
      </w:r>
      <w:r w:rsidRPr="00C6445D">
        <w:rPr>
          <w:rFonts w:ascii="Times" w:hAnsi="Times" w:cs="Times New Roman"/>
          <w:bCs/>
          <w:i/>
          <w:lang w:val="en-US"/>
        </w:rPr>
        <w:t>receive</w:t>
      </w:r>
      <w:r w:rsidRPr="00C6445D">
        <w:rPr>
          <w:rFonts w:ascii="Times" w:hAnsi="Times" w:cs="Times New Roman"/>
          <w:bCs/>
          <w:lang w:val="en-US"/>
        </w:rPr>
        <w:t xml:space="preserve"> services. See </w:t>
      </w:r>
      <w:r w:rsidRPr="00C6445D">
        <w:rPr>
          <w:rFonts w:ascii="Times" w:hAnsi="Times" w:cs="Times New Roman"/>
        </w:rPr>
        <w:t>See</w:t>
      </w:r>
      <w:r w:rsidRPr="00C6445D">
        <w:rPr>
          <w:rFonts w:ascii="Times" w:hAnsi="Times" w:cs="Times New Roman"/>
          <w:shd w:val="clear" w:color="auto" w:fill="FFFFFF"/>
        </w:rPr>
        <w:t> </w:t>
      </w:r>
      <w:r w:rsidRPr="00C6445D">
        <w:rPr>
          <w:rFonts w:ascii="Times" w:hAnsi="Times" w:cs="Times New Roman"/>
          <w:i/>
          <w:iCs/>
          <w:shd w:val="clear" w:color="auto" w:fill="FFFFFF"/>
        </w:rPr>
        <w:t>Luisi and Carbone</w:t>
      </w:r>
      <w:r w:rsidRPr="00C6445D">
        <w:rPr>
          <w:rFonts w:ascii="Times" w:hAnsi="Times" w:cs="Times New Roman"/>
          <w:shd w:val="clear" w:color="auto" w:fill="FFFFFF"/>
        </w:rPr>
        <w:t> v </w:t>
      </w:r>
      <w:proofErr w:type="spellStart"/>
      <w:r w:rsidRPr="00C6445D">
        <w:rPr>
          <w:rFonts w:ascii="Times" w:hAnsi="Times" w:cs="Times New Roman"/>
          <w:i/>
          <w:iCs/>
          <w:shd w:val="clear" w:color="auto" w:fill="FFFFFF"/>
        </w:rPr>
        <w:t>Ministero</w:t>
      </w:r>
      <w:proofErr w:type="spellEnd"/>
      <w:r w:rsidRPr="00C6445D">
        <w:rPr>
          <w:rFonts w:ascii="Times" w:hAnsi="Times" w:cs="Times New Roman"/>
          <w:i/>
          <w:iCs/>
          <w:shd w:val="clear" w:color="auto" w:fill="FFFFFF"/>
        </w:rPr>
        <w:t xml:space="preserve"> del Tesoro </w:t>
      </w:r>
      <w:r w:rsidR="008F4CBE" w:rsidRPr="00C6445D">
        <w:rPr>
          <w:rFonts w:ascii="Times" w:hAnsi="Times" w:cs="Times New Roman"/>
          <w:i/>
          <w:iCs/>
          <w:shd w:val="clear" w:color="auto" w:fill="FFFFFF"/>
        </w:rPr>
        <w:t>(</w:t>
      </w:r>
      <w:r w:rsidR="008F4CBE" w:rsidRPr="00C6445D">
        <w:rPr>
          <w:rFonts w:ascii="Times" w:hAnsi="Times" w:cs="Times New Roman"/>
          <w:shd w:val="clear" w:color="auto" w:fill="FFFFFF"/>
        </w:rPr>
        <w:t xml:space="preserve">282/82 and 26/83) </w:t>
      </w:r>
      <w:r w:rsidRPr="00C6445D">
        <w:rPr>
          <w:rFonts w:ascii="Times" w:hAnsi="Times" w:cs="Times New Roman"/>
          <w:shd w:val="clear" w:color="auto" w:fill="FFFFFF"/>
        </w:rPr>
        <w:t>EU:</w:t>
      </w:r>
      <w:proofErr w:type="gramStart"/>
      <w:r w:rsidRPr="00C6445D">
        <w:rPr>
          <w:rFonts w:ascii="Times" w:hAnsi="Times" w:cs="Times New Roman"/>
          <w:shd w:val="clear" w:color="auto" w:fill="FFFFFF"/>
        </w:rPr>
        <w:t>C:1984:35</w:t>
      </w:r>
      <w:proofErr w:type="gramEnd"/>
      <w:r w:rsidRPr="00C6445D">
        <w:rPr>
          <w:rFonts w:ascii="Times" w:hAnsi="Times" w:cs="Times New Roman"/>
          <w:shd w:val="clear" w:color="auto" w:fill="FFFFFF"/>
        </w:rPr>
        <w:t xml:space="preserve">. </w:t>
      </w:r>
      <w:r w:rsidRPr="00C6445D">
        <w:rPr>
          <w:rFonts w:ascii="Times" w:hAnsi="Times" w:cs="Times New Roman"/>
        </w:rPr>
        <w:t>As Weatherill comments: “The location of the most vigorous activity in the shaping of the law of the</w:t>
      </w:r>
      <w:r w:rsidRPr="00C6445D">
        <w:rPr>
          <w:rFonts w:ascii="Times" w:hAnsi="Times" w:cs="Times New Roman"/>
          <w:i/>
        </w:rPr>
        <w:t xml:space="preserve"> internal market</w:t>
      </w:r>
      <w:r w:rsidRPr="00C6445D">
        <w:rPr>
          <w:rFonts w:ascii="Times" w:hAnsi="Times" w:cs="Times New Roman"/>
        </w:rPr>
        <w:t xml:space="preserve"> is the Court. Over an extended </w:t>
      </w:r>
      <w:r w:rsidR="00F4225F" w:rsidRPr="00C6445D">
        <w:rPr>
          <w:rFonts w:ascii="Times" w:hAnsi="Times" w:cs="Times New Roman"/>
        </w:rPr>
        <w:t>period,</w:t>
      </w:r>
      <w:r w:rsidRPr="00C6445D">
        <w:rPr>
          <w:rFonts w:ascii="Times" w:hAnsi="Times" w:cs="Times New Roman"/>
        </w:rPr>
        <w:t xml:space="preserve"> it has actively developed the law of the</w:t>
      </w:r>
      <w:r w:rsidRPr="00C6445D">
        <w:rPr>
          <w:rFonts w:ascii="Times" w:hAnsi="Times" w:cs="Times New Roman"/>
          <w:i/>
        </w:rPr>
        <w:t xml:space="preserve"> internal market</w:t>
      </w:r>
      <w:r w:rsidRPr="00C6445D">
        <w:rPr>
          <w:rFonts w:ascii="Times" w:hAnsi="Times" w:cs="Times New Roman"/>
        </w:rPr>
        <w:t xml:space="preserve"> in such a way that it is impossible to get a true sense of the impact of EU law on national regulatory autonomy without a secure grasp of the case law.” S. Weatherill </w:t>
      </w:r>
      <w:r w:rsidRPr="00C6445D">
        <w:rPr>
          <w:rFonts w:ascii="Times" w:hAnsi="Times" w:cs="Times New Roman"/>
          <w:i/>
        </w:rPr>
        <w:t>The Internal market as a Legal Concept</w:t>
      </w:r>
      <w:r w:rsidRPr="00C6445D">
        <w:rPr>
          <w:rFonts w:ascii="Times" w:hAnsi="Times" w:cs="Times New Roman"/>
        </w:rPr>
        <w:t xml:space="preserve"> (Oxford University Press, 2017), p. 31.</w:t>
      </w:r>
    </w:p>
  </w:footnote>
  <w:footnote w:id="68">
    <w:p w14:paraId="718DF8D5" w14:textId="33C9C640" w:rsidR="00200227" w:rsidRPr="00C6445D" w:rsidRDefault="00200227"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453AD5" w:rsidRPr="00C6445D">
        <w:rPr>
          <w:rFonts w:ascii="Times" w:hAnsi="Times" w:cs="Times New Roman"/>
        </w:rPr>
        <w:t xml:space="preserve">As Barnard comments, </w:t>
      </w:r>
      <w:r w:rsidR="00BF64DF" w:rsidRPr="00C6445D">
        <w:rPr>
          <w:rFonts w:ascii="Times" w:hAnsi="Times" w:cs="Times New Roman"/>
        </w:rPr>
        <w:t>each measure remaining in place</w:t>
      </w:r>
      <w:r w:rsidR="003E524C" w:rsidRPr="00C6445D">
        <w:rPr>
          <w:rFonts w:ascii="Times" w:hAnsi="Times" w:cs="Times New Roman"/>
        </w:rPr>
        <w:t xml:space="preserve"> means another barrier to free movement,</w:t>
      </w:r>
      <w:r w:rsidR="00752199" w:rsidRPr="00C6445D">
        <w:rPr>
          <w:rFonts w:ascii="Times" w:hAnsi="Times" w:cs="Times New Roman"/>
        </w:rPr>
        <w:t xml:space="preserve"> but “every failed justification is another nail in the coffin of its legislative autonomy”</w:t>
      </w:r>
      <w:r w:rsidR="008B04A0" w:rsidRPr="00C6445D">
        <w:rPr>
          <w:rFonts w:ascii="Times" w:hAnsi="Times" w:cs="Times New Roman"/>
        </w:rPr>
        <w:t xml:space="preserve"> in </w:t>
      </w:r>
      <w:r w:rsidR="008B04A0" w:rsidRPr="00C6445D">
        <w:rPr>
          <w:rFonts w:ascii="Times" w:hAnsi="Times" w:cs="Times New Roman"/>
          <w:color w:val="000000" w:themeColor="text1"/>
        </w:rPr>
        <w:t xml:space="preserve">C. Barnard “Derogations, Justifications and the Four Freedoms: Is State Interest Really Protected?” in C. Barnard and O. Odudu (eds.) </w:t>
      </w:r>
      <w:r w:rsidR="008B04A0" w:rsidRPr="00C6445D">
        <w:rPr>
          <w:rFonts w:ascii="Times" w:hAnsi="Times" w:cs="Times New Roman"/>
          <w:i/>
          <w:iCs/>
          <w:color w:val="000000" w:themeColor="text1"/>
        </w:rPr>
        <w:t xml:space="preserve">The Outer Limits of European Union Law, </w:t>
      </w:r>
      <w:r w:rsidR="008B04A0" w:rsidRPr="00C6445D">
        <w:rPr>
          <w:rFonts w:ascii="Times" w:hAnsi="Times" w:cs="Times New Roman"/>
          <w:color w:val="000000" w:themeColor="text1"/>
        </w:rPr>
        <w:t>2009, p.273.</w:t>
      </w:r>
    </w:p>
  </w:footnote>
  <w:footnote w:id="69">
    <w:p w14:paraId="673E4CB9" w14:textId="3C6C0F67" w:rsidR="00D77643" w:rsidRPr="00C6445D" w:rsidRDefault="00D77643"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For example, in the free movement of goods, Art. 36</w:t>
      </w:r>
      <w:r w:rsidR="00543964" w:rsidRPr="00C6445D">
        <w:rPr>
          <w:rFonts w:ascii="Times" w:hAnsi="Times" w:cs="Times New Roman"/>
        </w:rPr>
        <w:t xml:space="preserve"> TFEU</w:t>
      </w:r>
      <w:r w:rsidRPr="00C6445D">
        <w:rPr>
          <w:rFonts w:ascii="Times" w:hAnsi="Times" w:cs="Times New Roman"/>
        </w:rPr>
        <w:t xml:space="preserve"> outlines the circumstances through which a Member State can justify a measure. Measures can also be justified through any “compelling interest” as long as the measure is indistinctly applicable to imported and domestic goods; </w:t>
      </w:r>
      <w:r w:rsidRPr="00C6445D">
        <w:rPr>
          <w:rFonts w:ascii="Times" w:hAnsi="Times" w:cs="Times New Roman"/>
          <w:lang w:val="en-US"/>
        </w:rPr>
        <w:t xml:space="preserve">See, </w:t>
      </w:r>
      <w:r w:rsidRPr="00C6445D">
        <w:rPr>
          <w:rFonts w:ascii="Times" w:hAnsi="Times" w:cs="Times New Roman"/>
          <w:i/>
        </w:rPr>
        <w:t>Cassis De Dijon (</w:t>
      </w:r>
      <w:r w:rsidRPr="00C6445D">
        <w:rPr>
          <w:rFonts w:ascii="Times" w:hAnsi="Times" w:cs="Times New Roman"/>
        </w:rPr>
        <w:t>120/78) EU:C:1979:42</w:t>
      </w:r>
      <w:r w:rsidRPr="00C6445D">
        <w:rPr>
          <w:rFonts w:ascii="Times" w:hAnsi="Times" w:cs="Times New Roman"/>
          <w:bCs/>
        </w:rPr>
        <w:t xml:space="preserve"> at [8].</w:t>
      </w:r>
    </w:p>
  </w:footnote>
  <w:footnote w:id="70">
    <w:p w14:paraId="4B202742" w14:textId="4F336A89" w:rsidR="0096722F" w:rsidRPr="00C6445D" w:rsidRDefault="0096722F"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 xml:space="preserve">Commission v Denmark </w:t>
      </w:r>
      <w:r w:rsidR="00AB7BB3" w:rsidRPr="00C6445D">
        <w:rPr>
          <w:rFonts w:ascii="Times" w:hAnsi="Times" w:cs="Times New Roman"/>
          <w:i/>
        </w:rPr>
        <w:t>(</w:t>
      </w:r>
      <w:r w:rsidR="00AB7BB3" w:rsidRPr="00C6445D">
        <w:rPr>
          <w:rFonts w:ascii="Times" w:hAnsi="Times" w:cs="Times New Roman"/>
        </w:rPr>
        <w:t xml:space="preserve">C-192/01) </w:t>
      </w:r>
      <w:r w:rsidRPr="00C6445D">
        <w:rPr>
          <w:rFonts w:ascii="Times" w:hAnsi="Times" w:cs="Times New Roman"/>
        </w:rPr>
        <w:t>EU:C:2003:492. Emphasis added.</w:t>
      </w:r>
    </w:p>
  </w:footnote>
  <w:footnote w:id="71">
    <w:p w14:paraId="1E33383B" w14:textId="21AA9C89" w:rsidR="005030AC" w:rsidRPr="00C6445D" w:rsidRDefault="005030AC"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Campus Oil</w:t>
      </w:r>
      <w:r w:rsidRPr="00C6445D">
        <w:rPr>
          <w:rFonts w:ascii="Times" w:hAnsi="Times" w:cs="Times New Roman"/>
        </w:rPr>
        <w:t xml:space="preserve"> </w:t>
      </w:r>
      <w:r w:rsidR="00805CE5" w:rsidRPr="00C6445D">
        <w:rPr>
          <w:rFonts w:ascii="Times" w:hAnsi="Times" w:cs="Times New Roman"/>
        </w:rPr>
        <w:t xml:space="preserve">(72/83) </w:t>
      </w:r>
      <w:r w:rsidRPr="00C6445D">
        <w:rPr>
          <w:rFonts w:ascii="Times" w:hAnsi="Times" w:cs="Times New Roman"/>
        </w:rPr>
        <w:t xml:space="preserve">EU:C:1984:256. It should be made clear at this point that the Court does not always apply an intensive standard in the review of Member State measures. The case law on justification of free movement prohibitions is varied and features many instances where the Court explicitly defers to the choices of Member States. See, for example, </w:t>
      </w:r>
      <w:r w:rsidRPr="00C6445D">
        <w:rPr>
          <w:rFonts w:ascii="Times" w:hAnsi="Times" w:cs="Times New Roman"/>
          <w:i/>
          <w:iCs/>
        </w:rPr>
        <w:t>Omega</w:t>
      </w:r>
      <w:r w:rsidRPr="00C6445D">
        <w:rPr>
          <w:rFonts w:ascii="Times" w:hAnsi="Times" w:cs="Times New Roman"/>
        </w:rPr>
        <w:t xml:space="preserve"> </w:t>
      </w:r>
      <w:r w:rsidR="00054744" w:rsidRPr="00C6445D">
        <w:rPr>
          <w:rFonts w:ascii="Times" w:hAnsi="Times" w:cs="Times New Roman"/>
        </w:rPr>
        <w:t xml:space="preserve">(C-36/02) </w:t>
      </w:r>
      <w:r w:rsidRPr="00C6445D">
        <w:rPr>
          <w:rFonts w:ascii="Times" w:hAnsi="Times" w:cs="Times New Roman"/>
        </w:rPr>
        <w:t xml:space="preserve">EU:C:2004:614, </w:t>
      </w:r>
      <w:r w:rsidRPr="00C6445D">
        <w:rPr>
          <w:rFonts w:ascii="Times" w:hAnsi="Times" w:cs="Times New Roman"/>
          <w:i/>
        </w:rPr>
        <w:t>Sayn Wittgenstein</w:t>
      </w:r>
      <w:r w:rsidRPr="00C6445D">
        <w:rPr>
          <w:rFonts w:ascii="Times" w:hAnsi="Times" w:cs="Times New Roman"/>
        </w:rPr>
        <w:t xml:space="preserve"> </w:t>
      </w:r>
      <w:r w:rsidR="00054744" w:rsidRPr="00C6445D">
        <w:rPr>
          <w:rFonts w:ascii="Times" w:hAnsi="Times" w:cs="Times New Roman"/>
        </w:rPr>
        <w:t xml:space="preserve">(C-208/09) </w:t>
      </w:r>
      <w:r w:rsidRPr="00C6445D">
        <w:rPr>
          <w:rFonts w:ascii="Times" w:hAnsi="Times" w:cs="Times New Roman"/>
        </w:rPr>
        <w:t xml:space="preserve">EU:C:2010:806. </w:t>
      </w:r>
      <w:r w:rsidRPr="00C6445D">
        <w:rPr>
          <w:rFonts w:ascii="Times" w:hAnsi="Times" w:cs="Times New Roman"/>
          <w:lang w:val="en-US"/>
        </w:rPr>
        <w:t>Besselink, “Case C-208/09, Ilonka Sayn-Wittgenstein v Landeshauptmann von Wien” (2012) 49 C.M.L. Rev. 671. See also Zglinski,</w:t>
      </w:r>
      <w:r w:rsidRPr="00C6445D">
        <w:rPr>
          <w:rFonts w:ascii="Times" w:hAnsi="Times" w:cs="Times New Roman"/>
        </w:rPr>
        <w:t xml:space="preserve"> </w:t>
      </w:r>
      <w:r w:rsidRPr="00C6445D">
        <w:rPr>
          <w:rFonts w:ascii="Times" w:hAnsi="Times" w:cs="Times New Roman"/>
          <w:lang w:val="en-US"/>
        </w:rPr>
        <w:t>“The rise of deference: The margin of appreciation and decentralized judicial review in EU free movement law” (2018) 55 C.M.L. Rev. 1341.</w:t>
      </w:r>
    </w:p>
  </w:footnote>
  <w:footnote w:id="72">
    <w:p w14:paraId="1DEE795D" w14:textId="6B9F6B0E" w:rsidR="00A5332D" w:rsidRPr="00C6445D" w:rsidRDefault="00A5332D"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shd w:val="clear" w:color="auto" w:fill="FFFFFF"/>
        </w:rPr>
        <w:t xml:space="preserve">Commission v Italy </w:t>
      </w:r>
      <w:r w:rsidR="003110D4" w:rsidRPr="00C6445D">
        <w:rPr>
          <w:rFonts w:ascii="Times" w:hAnsi="Times" w:cs="Times New Roman"/>
          <w:i/>
          <w:shd w:val="clear" w:color="auto" w:fill="FFFFFF"/>
        </w:rPr>
        <w:t>(</w:t>
      </w:r>
      <w:r w:rsidR="003110D4" w:rsidRPr="00C6445D">
        <w:rPr>
          <w:rFonts w:ascii="Times" w:hAnsi="Times" w:cs="Times New Roman"/>
          <w:shd w:val="clear" w:color="auto" w:fill="FFFFFF"/>
        </w:rPr>
        <w:t>C</w:t>
      </w:r>
      <w:r w:rsidR="003110D4" w:rsidRPr="00C6445D">
        <w:rPr>
          <w:rFonts w:ascii="Times" w:hAnsi="Times" w:cs="Times New Roman"/>
          <w:shd w:val="clear" w:color="auto" w:fill="FFFFFF"/>
        </w:rPr>
        <w:noBreakHyphen/>
        <w:t xml:space="preserve">110/05) </w:t>
      </w:r>
      <w:r w:rsidRPr="00C6445D">
        <w:rPr>
          <w:rFonts w:ascii="Times" w:hAnsi="Times" w:cs="Times New Roman"/>
          <w:shd w:val="clear" w:color="auto" w:fill="FFFFFF"/>
        </w:rPr>
        <w:t>EU:C:2009:66</w:t>
      </w:r>
      <w:r w:rsidR="00866BBB" w:rsidRPr="00C6445D">
        <w:rPr>
          <w:rFonts w:ascii="Times" w:hAnsi="Times" w:cs="Times New Roman"/>
          <w:shd w:val="clear" w:color="auto" w:fill="FFFFFF"/>
        </w:rPr>
        <w:t xml:space="preserve"> at [</w:t>
      </w:r>
      <w:r w:rsidRPr="00C6445D">
        <w:rPr>
          <w:rFonts w:ascii="Times" w:hAnsi="Times" w:cs="Times New Roman"/>
          <w:shd w:val="clear" w:color="auto" w:fill="FFFFFF"/>
        </w:rPr>
        <w:t>66</w:t>
      </w:r>
      <w:r w:rsidR="00866BBB" w:rsidRPr="00C6445D">
        <w:rPr>
          <w:rFonts w:ascii="Times" w:hAnsi="Times" w:cs="Times New Roman"/>
          <w:shd w:val="clear" w:color="auto" w:fill="FFFFFF"/>
        </w:rPr>
        <w:t>]</w:t>
      </w:r>
      <w:r w:rsidRPr="00C6445D">
        <w:rPr>
          <w:rFonts w:ascii="Times" w:hAnsi="Times" w:cs="Times New Roman"/>
          <w:shd w:val="clear" w:color="auto" w:fill="FFFFFF"/>
        </w:rPr>
        <w:t xml:space="preserve">. </w:t>
      </w:r>
      <w:r w:rsidR="001C2601" w:rsidRPr="00C6445D">
        <w:rPr>
          <w:rFonts w:ascii="Times" w:hAnsi="Times" w:cs="Times New Roman"/>
          <w:shd w:val="clear" w:color="auto" w:fill="FFFFFF"/>
        </w:rPr>
        <w:t>However</w:t>
      </w:r>
      <w:r w:rsidRPr="00C6445D">
        <w:rPr>
          <w:rFonts w:ascii="Times" w:hAnsi="Times" w:cs="Times New Roman"/>
          <w:shd w:val="clear" w:color="auto" w:fill="FFFFFF"/>
        </w:rPr>
        <w:t xml:space="preserve">, this paragraph </w:t>
      </w:r>
      <w:r w:rsidR="005B76D5" w:rsidRPr="00C6445D">
        <w:rPr>
          <w:rFonts w:ascii="Times" w:hAnsi="Times" w:cs="Times New Roman"/>
          <w:shd w:val="clear" w:color="auto" w:fill="FFFFFF"/>
        </w:rPr>
        <w:t xml:space="preserve">also </w:t>
      </w:r>
      <w:r w:rsidRPr="00C6445D">
        <w:rPr>
          <w:rFonts w:ascii="Times" w:hAnsi="Times" w:cs="Times New Roman"/>
          <w:shd w:val="clear" w:color="auto" w:fill="FFFFFF"/>
        </w:rPr>
        <w:t>stresses that “such a burden cannot be so extensive as to require the Member State to prove, positively, that no other conceivable measure could enable that objective to be attained under the same conditions”.</w:t>
      </w:r>
      <w:r w:rsidR="00EC3704" w:rsidRPr="00C6445D">
        <w:rPr>
          <w:rFonts w:ascii="Times" w:hAnsi="Times" w:cs="Times New Roman"/>
          <w:shd w:val="clear" w:color="auto" w:fill="FFFFFF"/>
        </w:rPr>
        <w:t xml:space="preserve"> A measure will be deemed disproportionate if it fails to amass evidence in support of it. See </w:t>
      </w:r>
      <w:r w:rsidR="00EC3704" w:rsidRPr="00C6445D">
        <w:rPr>
          <w:rFonts w:ascii="Times" w:hAnsi="Times" w:cs="Times New Roman"/>
          <w:i/>
        </w:rPr>
        <w:t>Lindman</w:t>
      </w:r>
      <w:r w:rsidR="00EC3704" w:rsidRPr="00C6445D">
        <w:rPr>
          <w:rFonts w:ascii="Times" w:hAnsi="Times" w:cs="Times New Roman"/>
        </w:rPr>
        <w:t xml:space="preserve"> </w:t>
      </w:r>
      <w:r w:rsidR="00875045" w:rsidRPr="00C6445D">
        <w:rPr>
          <w:rFonts w:ascii="Times" w:hAnsi="Times" w:cs="Times New Roman"/>
        </w:rPr>
        <w:t xml:space="preserve">(C-42/02) </w:t>
      </w:r>
      <w:r w:rsidR="00EC3704" w:rsidRPr="00C6445D">
        <w:rPr>
          <w:rFonts w:ascii="Times" w:hAnsi="Times" w:cs="Times New Roman"/>
        </w:rPr>
        <w:t>EU:C:2003:613</w:t>
      </w:r>
      <w:r w:rsidR="00866BBB" w:rsidRPr="00C6445D">
        <w:rPr>
          <w:rFonts w:ascii="Times" w:hAnsi="Times" w:cs="Times New Roman"/>
        </w:rPr>
        <w:t xml:space="preserve"> at [</w:t>
      </w:r>
      <w:r w:rsidR="00EC3704" w:rsidRPr="00C6445D">
        <w:rPr>
          <w:rFonts w:ascii="Times" w:hAnsi="Times" w:cs="Times New Roman"/>
        </w:rPr>
        <w:t>25</w:t>
      </w:r>
      <w:r w:rsidR="00866BBB" w:rsidRPr="00C6445D">
        <w:rPr>
          <w:rFonts w:ascii="Times" w:hAnsi="Times" w:cs="Times New Roman"/>
        </w:rPr>
        <w:t>]</w:t>
      </w:r>
      <w:r w:rsidR="00EC3704" w:rsidRPr="00C6445D">
        <w:rPr>
          <w:rFonts w:ascii="Times" w:hAnsi="Times" w:cs="Times New Roman"/>
        </w:rPr>
        <w:t xml:space="preserve">. See also, </w:t>
      </w:r>
      <w:r w:rsidR="00EC3704" w:rsidRPr="00C6445D">
        <w:rPr>
          <w:rFonts w:ascii="Times" w:hAnsi="Times" w:cs="Times New Roman"/>
          <w:i/>
        </w:rPr>
        <w:t>Commission v Austria</w:t>
      </w:r>
      <w:r w:rsidR="00EC3704" w:rsidRPr="00C6445D">
        <w:rPr>
          <w:rFonts w:ascii="Times" w:hAnsi="Times" w:cs="Times New Roman"/>
        </w:rPr>
        <w:t xml:space="preserve"> </w:t>
      </w:r>
      <w:r w:rsidR="004E01B6" w:rsidRPr="00C6445D">
        <w:rPr>
          <w:rFonts w:ascii="Times" w:hAnsi="Times" w:cs="Times New Roman"/>
        </w:rPr>
        <w:t xml:space="preserve">(C-147/03) </w:t>
      </w:r>
      <w:r w:rsidR="00EC3704" w:rsidRPr="00C6445D">
        <w:rPr>
          <w:rFonts w:ascii="Times" w:hAnsi="Times" w:cs="Times New Roman"/>
        </w:rPr>
        <w:t>EU:C:2005:427</w:t>
      </w:r>
      <w:r w:rsidR="002D73E8" w:rsidRPr="00C6445D">
        <w:rPr>
          <w:rFonts w:ascii="Times" w:hAnsi="Times" w:cs="Times New Roman"/>
        </w:rPr>
        <w:t xml:space="preserve"> at [</w:t>
      </w:r>
      <w:r w:rsidR="00EC3704" w:rsidRPr="00C6445D">
        <w:rPr>
          <w:rFonts w:ascii="Times" w:hAnsi="Times" w:cs="Times New Roman"/>
        </w:rPr>
        <w:t>63</w:t>
      </w:r>
      <w:r w:rsidR="002D73E8" w:rsidRPr="00C6445D">
        <w:rPr>
          <w:rFonts w:ascii="Times" w:hAnsi="Times" w:cs="Times New Roman"/>
        </w:rPr>
        <w:t>]</w:t>
      </w:r>
      <w:r w:rsidR="00EC3704" w:rsidRPr="00C6445D">
        <w:rPr>
          <w:rFonts w:ascii="Times" w:hAnsi="Times" w:cs="Times New Roman"/>
        </w:rPr>
        <w:t xml:space="preserve">. </w:t>
      </w:r>
      <w:r w:rsidR="00EC3704" w:rsidRPr="00C6445D">
        <w:rPr>
          <w:rFonts w:ascii="Times" w:hAnsi="Times" w:cs="Times New Roman"/>
          <w:i/>
        </w:rPr>
        <w:t xml:space="preserve">Scotch Whisky Association and Others </w:t>
      </w:r>
      <w:r w:rsidR="00431567" w:rsidRPr="00C6445D">
        <w:rPr>
          <w:rFonts w:ascii="Times" w:hAnsi="Times" w:cs="Times New Roman"/>
          <w:i/>
        </w:rPr>
        <w:t>(</w:t>
      </w:r>
      <w:r w:rsidR="00431567" w:rsidRPr="00C6445D">
        <w:rPr>
          <w:rFonts w:ascii="Times" w:hAnsi="Times" w:cs="Times New Roman"/>
        </w:rPr>
        <w:t xml:space="preserve">C-333/14) </w:t>
      </w:r>
      <w:r w:rsidR="00EC3704" w:rsidRPr="00C6445D">
        <w:rPr>
          <w:rFonts w:ascii="Times" w:hAnsi="Times" w:cs="Times New Roman"/>
        </w:rPr>
        <w:t>EU:C:2015:845. See further,</w:t>
      </w:r>
      <w:r w:rsidR="00EC3704" w:rsidRPr="00C6445D">
        <w:rPr>
          <w:rFonts w:ascii="Times" w:hAnsi="Times" w:cs="Times New Roman"/>
          <w:i/>
        </w:rPr>
        <w:t xml:space="preserve"> </w:t>
      </w:r>
      <w:r w:rsidR="00EC3704" w:rsidRPr="00C6445D">
        <w:rPr>
          <w:rFonts w:ascii="Times" w:hAnsi="Times" w:cs="Times New Roman"/>
        </w:rPr>
        <w:t>Nic Shuibhne and Maci ‘Proving Public Interest: The Grown Impact of Evidence in Free Movement Case Law” (2013) 50 C.M.L. Rev. 965.</w:t>
      </w:r>
    </w:p>
  </w:footnote>
  <w:footnote w:id="73">
    <w:p w14:paraId="3D13C53F" w14:textId="1B52189B" w:rsidR="001E1F5D" w:rsidRPr="00C6445D" w:rsidRDefault="001E1F5D" w:rsidP="00FB49D8">
      <w:pPr>
        <w:spacing w:before="0" w:after="0" w:line="240" w:lineRule="auto"/>
        <w:rPr>
          <w:rFonts w:ascii="Times" w:eastAsia="Times New Roman"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BE0D0E" w:rsidRPr="00C6445D">
        <w:rPr>
          <w:rFonts w:ascii="Times" w:eastAsia="Times New Roman" w:hAnsi="Times" w:cs="Times New Roman"/>
        </w:rPr>
        <w:t>White,</w:t>
      </w:r>
      <w:r w:rsidR="002A75B8" w:rsidRPr="00C6445D">
        <w:rPr>
          <w:rFonts w:ascii="Times" w:eastAsia="Times New Roman" w:hAnsi="Times" w:cs="Times New Roman"/>
        </w:rPr>
        <w:t xml:space="preserve"> “</w:t>
      </w:r>
      <w:r w:rsidR="00BE0D0E" w:rsidRPr="00C6445D">
        <w:rPr>
          <w:rFonts w:ascii="Times" w:eastAsia="Times New Roman" w:hAnsi="Times" w:cs="Times New Roman"/>
        </w:rPr>
        <w:t>In Search of the Limits to Art. 30 of the EEC Treaty</w:t>
      </w:r>
      <w:r w:rsidR="00BE0D0E" w:rsidRPr="00C6445D">
        <w:rPr>
          <w:rFonts w:ascii="Times New Roman" w:eastAsia="Times New Roman" w:hAnsi="Times New Roman" w:cs="Times New Roman"/>
        </w:rPr>
        <w:t>‟</w:t>
      </w:r>
      <w:r w:rsidR="00BE0D0E" w:rsidRPr="00C6445D">
        <w:rPr>
          <w:rFonts w:ascii="Times" w:eastAsia="Times New Roman" w:hAnsi="Times" w:cs="Times New Roman"/>
        </w:rPr>
        <w:t xml:space="preserve"> (1989) 26 </w:t>
      </w:r>
      <w:r w:rsidR="00BD4892" w:rsidRPr="00C6445D">
        <w:rPr>
          <w:rFonts w:ascii="Times" w:eastAsia="Times New Roman" w:hAnsi="Times" w:cs="Times New Roman"/>
        </w:rPr>
        <w:t xml:space="preserve">C.M.L. Rev. </w:t>
      </w:r>
      <w:r w:rsidR="00BE0D0E" w:rsidRPr="00C6445D">
        <w:rPr>
          <w:rFonts w:ascii="Times" w:eastAsia="Times New Roman" w:hAnsi="Times" w:cs="Times New Roman"/>
        </w:rPr>
        <w:t xml:space="preserve">235; </w:t>
      </w:r>
      <w:r w:rsidR="00421116" w:rsidRPr="00C6445D">
        <w:rPr>
          <w:rFonts w:ascii="Times" w:hAnsi="Times" w:cs="Times New Roman"/>
        </w:rPr>
        <w:t xml:space="preserve">Maduro, ”Reforming the Market of the State? Article 30 and the European Constitution: Economic Freedom and Political Rights”, </w:t>
      </w:r>
      <w:r w:rsidR="006E5733" w:rsidRPr="00C6445D">
        <w:rPr>
          <w:rFonts w:ascii="Times" w:hAnsi="Times" w:cs="Times New Roman"/>
        </w:rPr>
        <w:t xml:space="preserve">(1997) </w:t>
      </w:r>
      <w:r w:rsidR="00421116" w:rsidRPr="00C6445D">
        <w:rPr>
          <w:rFonts w:ascii="Times" w:hAnsi="Times" w:cs="Times New Roman"/>
        </w:rPr>
        <w:t>3 E</w:t>
      </w:r>
      <w:r w:rsidR="00CF6C74" w:rsidRPr="00C6445D">
        <w:rPr>
          <w:rFonts w:ascii="Times" w:hAnsi="Times" w:cs="Times New Roman"/>
        </w:rPr>
        <w:t>.</w:t>
      </w:r>
      <w:r w:rsidR="00421116" w:rsidRPr="00C6445D">
        <w:rPr>
          <w:rFonts w:ascii="Times" w:hAnsi="Times" w:cs="Times New Roman"/>
        </w:rPr>
        <w:t>L</w:t>
      </w:r>
      <w:r w:rsidR="00CF6C74" w:rsidRPr="00C6445D">
        <w:rPr>
          <w:rFonts w:ascii="Times" w:hAnsi="Times" w:cs="Times New Roman"/>
        </w:rPr>
        <w:t>.</w:t>
      </w:r>
      <w:r w:rsidR="00421116" w:rsidRPr="00C6445D">
        <w:rPr>
          <w:rFonts w:ascii="Times" w:hAnsi="Times" w:cs="Times New Roman"/>
        </w:rPr>
        <w:t>J</w:t>
      </w:r>
      <w:r w:rsidR="00CF6C74" w:rsidRPr="00C6445D">
        <w:rPr>
          <w:rFonts w:ascii="Times" w:hAnsi="Times" w:cs="Times New Roman"/>
        </w:rPr>
        <w:t>.</w:t>
      </w:r>
      <w:r w:rsidR="00421116" w:rsidRPr="00C6445D">
        <w:rPr>
          <w:rFonts w:ascii="Times" w:hAnsi="Times" w:cs="Times New Roman"/>
        </w:rPr>
        <w:t xml:space="preserve"> 55</w:t>
      </w:r>
      <w:r w:rsidR="00C1145A" w:rsidRPr="00C6445D">
        <w:rPr>
          <w:rFonts w:ascii="Times" w:hAnsi="Times" w:cs="Times New Roman"/>
        </w:rPr>
        <w:t>;</w:t>
      </w:r>
      <w:r w:rsidR="003745B2" w:rsidRPr="00C6445D">
        <w:rPr>
          <w:rFonts w:ascii="Times" w:hAnsi="Times" w:cs="Times New Roman"/>
        </w:rPr>
        <w:t xml:space="preserve"> </w:t>
      </w:r>
      <w:r w:rsidR="003745B2" w:rsidRPr="00C6445D">
        <w:rPr>
          <w:rFonts w:ascii="Times" w:eastAsia="Times New Roman" w:hAnsi="Times" w:cs="Times New Roman"/>
        </w:rPr>
        <w:t>T. Horsley, “Anyone for Keck?</w:t>
      </w:r>
      <w:r w:rsidR="003745B2" w:rsidRPr="00C6445D">
        <w:rPr>
          <w:rFonts w:ascii="Times New Roman" w:eastAsia="Times New Roman" w:hAnsi="Times New Roman" w:cs="Times New Roman"/>
        </w:rPr>
        <w:t>‟</w:t>
      </w:r>
      <w:r w:rsidR="003745B2" w:rsidRPr="00C6445D">
        <w:rPr>
          <w:rFonts w:ascii="Times" w:eastAsia="Times New Roman" w:hAnsi="Times" w:cs="Times New Roman"/>
        </w:rPr>
        <w:t xml:space="preserve"> Case Comment</w:t>
      </w:r>
      <w:r w:rsidR="00DC1196" w:rsidRPr="00C6445D">
        <w:rPr>
          <w:rFonts w:ascii="Times" w:eastAsia="Times New Roman" w:hAnsi="Times" w:cs="Times New Roman"/>
        </w:rPr>
        <w:t>”</w:t>
      </w:r>
      <w:r w:rsidR="003745B2" w:rsidRPr="00C6445D">
        <w:rPr>
          <w:rFonts w:ascii="Times" w:eastAsia="Times New Roman" w:hAnsi="Times" w:cs="Times New Roman"/>
        </w:rPr>
        <w:t xml:space="preserve"> (2009) 46 </w:t>
      </w:r>
      <w:r w:rsidR="00BD4892" w:rsidRPr="00C6445D">
        <w:rPr>
          <w:rFonts w:ascii="Times" w:eastAsia="Times New Roman" w:hAnsi="Times" w:cs="Times New Roman"/>
        </w:rPr>
        <w:t>C.M.L. Rev</w:t>
      </w:r>
      <w:r w:rsidR="00530565" w:rsidRPr="00C6445D">
        <w:rPr>
          <w:rFonts w:ascii="Times" w:eastAsia="Times New Roman" w:hAnsi="Times" w:cs="Times New Roman"/>
        </w:rPr>
        <w:t xml:space="preserve">. </w:t>
      </w:r>
      <w:r w:rsidR="003745B2" w:rsidRPr="00C6445D">
        <w:rPr>
          <w:rFonts w:ascii="Times" w:eastAsia="Times New Roman" w:hAnsi="Times" w:cs="Times New Roman"/>
        </w:rPr>
        <w:t>2008</w:t>
      </w:r>
      <w:r w:rsidR="0034363A" w:rsidRPr="00C6445D">
        <w:rPr>
          <w:rFonts w:ascii="Times" w:eastAsia="Times New Roman" w:hAnsi="Times" w:cs="Times New Roman"/>
        </w:rPr>
        <w:t>.</w:t>
      </w:r>
    </w:p>
  </w:footnote>
  <w:footnote w:id="74">
    <w:p w14:paraId="1BD061A5" w14:textId="10D827B0" w:rsidR="00817615" w:rsidRPr="00C6445D" w:rsidRDefault="0081761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Reynolds</w:t>
      </w:r>
      <w:r w:rsidR="00A309B5" w:rsidRPr="00C6445D">
        <w:rPr>
          <w:rFonts w:ascii="Times" w:hAnsi="Times" w:cs="Times New Roman"/>
        </w:rPr>
        <w:t xml:space="preserve">, “Explaining the constitutional drivers behind a perceived judicial preference for free movement over fundamental rights” </w:t>
      </w:r>
      <w:r w:rsidR="0034363A" w:rsidRPr="00C6445D">
        <w:rPr>
          <w:rFonts w:ascii="Times" w:hAnsi="Times" w:cs="Times New Roman"/>
        </w:rPr>
        <w:t xml:space="preserve">(2016) </w:t>
      </w:r>
      <w:r w:rsidR="00A309B5" w:rsidRPr="00C6445D">
        <w:rPr>
          <w:rFonts w:ascii="Times" w:hAnsi="Times" w:cs="Times New Roman"/>
        </w:rPr>
        <w:t xml:space="preserve">53 </w:t>
      </w:r>
      <w:r w:rsidR="00BD4892" w:rsidRPr="00C6445D">
        <w:rPr>
          <w:rFonts w:ascii="Times" w:eastAsia="Times New Roman" w:hAnsi="Times" w:cs="Times New Roman"/>
        </w:rPr>
        <w:t xml:space="preserve">C.M.L. Rev. </w:t>
      </w:r>
      <w:r w:rsidR="004F321F" w:rsidRPr="00C6445D">
        <w:rPr>
          <w:rFonts w:ascii="Times" w:eastAsia="Times New Roman" w:hAnsi="Times" w:cs="Times New Roman"/>
        </w:rPr>
        <w:t>643.</w:t>
      </w:r>
    </w:p>
  </w:footnote>
  <w:footnote w:id="75">
    <w:p w14:paraId="74295F6B" w14:textId="5FB80091" w:rsidR="007A17CD" w:rsidRPr="00C6445D" w:rsidRDefault="007A17C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73099F" w:rsidRPr="00C6445D">
        <w:rPr>
          <w:rFonts w:ascii="Times" w:hAnsi="Times" w:cs="Times New Roman"/>
        </w:rPr>
        <w:t>Guastaferro</w:t>
      </w:r>
      <w:r w:rsidR="00D368AC" w:rsidRPr="00C6445D">
        <w:rPr>
          <w:rFonts w:ascii="Times" w:hAnsi="Times" w:cs="Times New Roman"/>
        </w:rPr>
        <w:t>,</w:t>
      </w:r>
      <w:r w:rsidR="0073099F" w:rsidRPr="00C6445D">
        <w:rPr>
          <w:rFonts w:ascii="Times" w:hAnsi="Times" w:cs="Times New Roman"/>
        </w:rPr>
        <w:t xml:space="preserve"> </w:t>
      </w:r>
      <w:r w:rsidR="00D368AC" w:rsidRPr="00C6445D">
        <w:rPr>
          <w:rFonts w:ascii="Times" w:hAnsi="Times" w:cs="Times New Roman"/>
        </w:rPr>
        <w:t>“</w:t>
      </w:r>
      <w:r w:rsidR="0073099F" w:rsidRPr="00C6445D">
        <w:rPr>
          <w:rFonts w:ascii="Times" w:hAnsi="Times" w:cs="Times New Roman"/>
        </w:rPr>
        <w:t>Coupling National Identity with Subsidiarity Concerns in National Parliaments' Reasoned Opinions</w:t>
      </w:r>
      <w:r w:rsidR="00D368AC" w:rsidRPr="00C6445D">
        <w:rPr>
          <w:rFonts w:ascii="Times" w:hAnsi="Times" w:cs="Times New Roman"/>
        </w:rPr>
        <w:t>”</w:t>
      </w:r>
      <w:r w:rsidR="0073099F" w:rsidRPr="00C6445D">
        <w:rPr>
          <w:rFonts w:ascii="Times" w:hAnsi="Times" w:cs="Times New Roman"/>
        </w:rPr>
        <w:t xml:space="preserve"> </w:t>
      </w:r>
      <w:r w:rsidR="00D368AC" w:rsidRPr="00C6445D">
        <w:rPr>
          <w:rFonts w:ascii="Times" w:hAnsi="Times" w:cs="Times New Roman"/>
        </w:rPr>
        <w:t xml:space="preserve">(2014) </w:t>
      </w:r>
      <w:r w:rsidR="0073099F" w:rsidRPr="00C6445D">
        <w:rPr>
          <w:rFonts w:ascii="Times" w:hAnsi="Times" w:cs="Times New Roman"/>
        </w:rPr>
        <w:t>21 Maastricht J. Eur. &amp; Comp. L. 320</w:t>
      </w:r>
    </w:p>
  </w:footnote>
  <w:footnote w:id="76">
    <w:p w14:paraId="0AF23A7F" w14:textId="718C4A77" w:rsidR="007A17CD" w:rsidRPr="00C6445D" w:rsidRDefault="007A17C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F80690" w:rsidRPr="00C6445D">
        <w:rPr>
          <w:rFonts w:ascii="Times" w:hAnsi="Times" w:cs="Times New Roman"/>
          <w:lang w:val="en-US"/>
        </w:rPr>
        <w:t>Zglinski,</w:t>
      </w:r>
      <w:r w:rsidR="00F80690" w:rsidRPr="00C6445D">
        <w:rPr>
          <w:rFonts w:ascii="Times" w:hAnsi="Times" w:cs="Times New Roman"/>
        </w:rPr>
        <w:t xml:space="preserve"> </w:t>
      </w:r>
      <w:r w:rsidR="00F80690" w:rsidRPr="00C6445D">
        <w:rPr>
          <w:rFonts w:ascii="Times" w:hAnsi="Times" w:cs="Times New Roman"/>
          <w:lang w:val="en-US"/>
        </w:rPr>
        <w:t xml:space="preserve">“The rise of deference: The margin of appreciation and decentralized judicial review in EU free movement law” </w:t>
      </w:r>
      <w:r w:rsidR="00A55E5E" w:rsidRPr="00C6445D">
        <w:rPr>
          <w:rFonts w:ascii="Times" w:hAnsi="Times" w:cs="Times New Roman"/>
          <w:lang w:val="en-US"/>
        </w:rPr>
        <w:t xml:space="preserve">(2018) </w:t>
      </w:r>
      <w:r w:rsidR="00F80690" w:rsidRPr="00C6445D">
        <w:rPr>
          <w:rFonts w:ascii="Times" w:hAnsi="Times" w:cs="Times New Roman"/>
          <w:lang w:val="en-US"/>
        </w:rPr>
        <w:t xml:space="preserve">55 </w:t>
      </w:r>
      <w:r w:rsidR="00BD4892" w:rsidRPr="00C6445D">
        <w:rPr>
          <w:rFonts w:ascii="Times" w:hAnsi="Times" w:cs="Times New Roman"/>
          <w:lang w:val="en-US"/>
        </w:rPr>
        <w:t>C.M.L. Rev.</w:t>
      </w:r>
      <w:r w:rsidR="00F80690" w:rsidRPr="00C6445D">
        <w:rPr>
          <w:rFonts w:ascii="Times" w:hAnsi="Times" w:cs="Times New Roman"/>
          <w:lang w:val="en-US"/>
        </w:rPr>
        <w:t>1341.</w:t>
      </w:r>
    </w:p>
  </w:footnote>
  <w:footnote w:id="77">
    <w:p w14:paraId="00F9C927" w14:textId="3060FEB6" w:rsidR="00AD5217" w:rsidRPr="00C6445D" w:rsidRDefault="00AD521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De Witte </w:t>
      </w:r>
      <w:r w:rsidR="00B86F6F" w:rsidRPr="00C6445D">
        <w:rPr>
          <w:rFonts w:ascii="Times" w:hAnsi="Times" w:cs="Times New Roman"/>
        </w:rPr>
        <w:t xml:space="preserve">“Sex, Drugs and EU Law” </w:t>
      </w:r>
      <w:r w:rsidR="00FD62AA" w:rsidRPr="00C6445D">
        <w:rPr>
          <w:rFonts w:ascii="Times" w:hAnsi="Times" w:cs="Times New Roman"/>
        </w:rPr>
        <w:t>above</w:t>
      </w:r>
      <w:r w:rsidRPr="00C6445D">
        <w:rPr>
          <w:rFonts w:ascii="Times" w:hAnsi="Times" w:cs="Times New Roman"/>
        </w:rPr>
        <w:t>, 1573.</w:t>
      </w:r>
    </w:p>
  </w:footnote>
  <w:footnote w:id="78">
    <w:p w14:paraId="09A68C27" w14:textId="14186968" w:rsidR="00AD5217" w:rsidRPr="00C6445D" w:rsidRDefault="00AD521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De Witte </w:t>
      </w:r>
      <w:r w:rsidR="00B86F6F" w:rsidRPr="00C6445D">
        <w:rPr>
          <w:rFonts w:ascii="Times" w:hAnsi="Times" w:cs="Times New Roman"/>
        </w:rPr>
        <w:t xml:space="preserve">“Sex, Drugs and EU Law” </w:t>
      </w:r>
      <w:r w:rsidR="00FD62AA" w:rsidRPr="00C6445D">
        <w:rPr>
          <w:rFonts w:ascii="Times" w:hAnsi="Times" w:cs="Times New Roman"/>
        </w:rPr>
        <w:t>above,</w:t>
      </w:r>
      <w:r w:rsidRPr="00C6445D">
        <w:rPr>
          <w:rFonts w:ascii="Times" w:hAnsi="Times" w:cs="Times New Roman"/>
        </w:rPr>
        <w:t xml:space="preserve"> 1576.</w:t>
      </w:r>
    </w:p>
  </w:footnote>
  <w:footnote w:id="79">
    <w:p w14:paraId="555B635F" w14:textId="4210D965" w:rsidR="00AD5217" w:rsidRPr="00C6445D" w:rsidRDefault="00AD5217" w:rsidP="00FB49D8">
      <w:pPr>
        <w:pStyle w:val="NoSpacing"/>
        <w:contextualSpacing/>
        <w:rPr>
          <w:rFonts w:ascii="Times" w:hAnsi="Times" w:cs="Times New Roman"/>
          <w:lang w:val="en-US"/>
        </w:rPr>
      </w:pPr>
      <w:r w:rsidRPr="00C6445D">
        <w:rPr>
          <w:rStyle w:val="FootnoteReference"/>
          <w:rFonts w:ascii="Times" w:hAnsi="Times" w:cs="Times New Roman"/>
        </w:rPr>
        <w:footnoteRef/>
      </w:r>
      <w:r w:rsidRPr="00C6445D">
        <w:rPr>
          <w:rFonts w:ascii="Times" w:hAnsi="Times" w:cs="Times New Roman"/>
        </w:rPr>
        <w:t xml:space="preserve"> Gerards </w:t>
      </w:r>
      <w:r w:rsidR="00A53DC1" w:rsidRPr="00C6445D">
        <w:rPr>
          <w:rFonts w:ascii="Times" w:hAnsi="Times" w:cs="Times New Roman"/>
        </w:rPr>
        <w:t>“</w:t>
      </w:r>
      <w:r w:rsidR="00A53DC1" w:rsidRPr="00C6445D">
        <w:rPr>
          <w:rFonts w:ascii="Times" w:hAnsi="Times" w:cs="Times New Roman"/>
          <w:color w:val="000000" w:themeColor="text1"/>
        </w:rPr>
        <w:t xml:space="preserve">“The Margin of Appreciation Doctrine” </w:t>
      </w:r>
      <w:r w:rsidR="00CF0CE4" w:rsidRPr="00C6445D">
        <w:rPr>
          <w:rFonts w:ascii="Times" w:hAnsi="Times" w:cs="Times New Roman"/>
        </w:rPr>
        <w:t>above</w:t>
      </w:r>
      <w:r w:rsidRPr="00C6445D">
        <w:rPr>
          <w:rFonts w:ascii="Times" w:hAnsi="Times" w:cs="Times New Roman"/>
        </w:rPr>
        <w:t>, 118.</w:t>
      </w:r>
    </w:p>
  </w:footnote>
  <w:footnote w:id="80">
    <w:p w14:paraId="754E90E2" w14:textId="5CCD3872" w:rsidR="006B0781" w:rsidRPr="00C6445D" w:rsidRDefault="006B0781" w:rsidP="00FB49D8">
      <w:pPr>
        <w:pStyle w:val="NoSpacing"/>
        <w:contextualSpacing/>
        <w:rPr>
          <w:rFonts w:ascii="Times" w:hAnsi="Times" w:cs="Times New Roman"/>
          <w:lang w:val="en-US"/>
        </w:rPr>
      </w:pPr>
      <w:r w:rsidRPr="00C6445D">
        <w:rPr>
          <w:rStyle w:val="FootnoteReference"/>
          <w:rFonts w:ascii="Times" w:hAnsi="Times" w:cs="Times New Roman"/>
        </w:rPr>
        <w:footnoteRef/>
      </w:r>
      <w:r w:rsidRPr="00C6445D">
        <w:rPr>
          <w:rFonts w:ascii="Times" w:hAnsi="Times" w:cs="Times New Roman"/>
        </w:rPr>
        <w:t xml:space="preserve"> Harbo “Introducing Procedural Proportionality Review” above, 36. This should involve: “an examination of the debate which has taken place” including “reading the minutes from the debate or the more extensive travail preparatoire to the measure.” </w:t>
      </w:r>
      <w:r w:rsidR="00121AB0" w:rsidRPr="00C6445D">
        <w:rPr>
          <w:rFonts w:ascii="Times" w:hAnsi="Times" w:cs="Times New Roman"/>
        </w:rPr>
        <w:t>A</w:t>
      </w:r>
      <w:r w:rsidRPr="00C6445D">
        <w:rPr>
          <w:rFonts w:ascii="Times" w:hAnsi="Times" w:cs="Times New Roman"/>
        </w:rPr>
        <w:t xml:space="preserve">lthough he is in fact one of the few process review advocates not to cite Ely, </w:t>
      </w:r>
      <w:r w:rsidR="0043520B" w:rsidRPr="00C6445D">
        <w:rPr>
          <w:rFonts w:ascii="Times" w:hAnsi="Times" w:cs="Times New Roman"/>
        </w:rPr>
        <w:t>Harbo’s</w:t>
      </w:r>
      <w:r w:rsidRPr="00C6445D">
        <w:rPr>
          <w:rFonts w:ascii="Times" w:hAnsi="Times" w:cs="Times New Roman"/>
        </w:rPr>
        <w:t xml:space="preserve"> theory of court review based on around representation </w:t>
      </w:r>
      <w:r w:rsidR="000F5EB3" w:rsidRPr="00C6445D">
        <w:rPr>
          <w:rFonts w:ascii="Times" w:hAnsi="Times" w:cs="Times New Roman"/>
        </w:rPr>
        <w:t>suggest he is at least implicitly</w:t>
      </w:r>
      <w:r w:rsidR="00DE46F4" w:rsidRPr="00C6445D">
        <w:rPr>
          <w:rFonts w:ascii="Times" w:hAnsi="Times" w:cs="Times New Roman"/>
        </w:rPr>
        <w:t>, or indirectly,</w:t>
      </w:r>
      <w:r w:rsidR="000F5EB3" w:rsidRPr="00C6445D">
        <w:rPr>
          <w:rFonts w:ascii="Times" w:hAnsi="Times" w:cs="Times New Roman"/>
        </w:rPr>
        <w:t xml:space="preserve"> inspired by Ely</w:t>
      </w:r>
      <w:r w:rsidR="00E85164" w:rsidRPr="00C6445D">
        <w:rPr>
          <w:rFonts w:ascii="Times" w:hAnsi="Times" w:cs="Times New Roman"/>
        </w:rPr>
        <w:t>’s theory.</w:t>
      </w:r>
    </w:p>
  </w:footnote>
  <w:footnote w:id="81">
    <w:p w14:paraId="762A3C6A" w14:textId="079073BB" w:rsidR="00AD5217" w:rsidRPr="00C6445D" w:rsidRDefault="00AD521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De Witte </w:t>
      </w:r>
      <w:r w:rsidR="00B86F6F" w:rsidRPr="00C6445D">
        <w:rPr>
          <w:rFonts w:ascii="Times" w:hAnsi="Times" w:cs="Times New Roman"/>
        </w:rPr>
        <w:t xml:space="preserve">“Sex, Drugs and EU Law” </w:t>
      </w:r>
      <w:r w:rsidR="00B92A79" w:rsidRPr="00C6445D">
        <w:rPr>
          <w:rFonts w:ascii="Times" w:hAnsi="Times" w:cs="Times New Roman"/>
        </w:rPr>
        <w:t>above</w:t>
      </w:r>
      <w:r w:rsidRPr="00C6445D">
        <w:rPr>
          <w:rFonts w:ascii="Times" w:hAnsi="Times" w:cs="Times New Roman"/>
        </w:rPr>
        <w:t>, 1567.</w:t>
      </w:r>
    </w:p>
  </w:footnote>
  <w:footnote w:id="82">
    <w:p w14:paraId="7543736E" w14:textId="1042DB4D" w:rsidR="00231208" w:rsidRPr="00C6445D" w:rsidRDefault="00231208"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Harbo </w:t>
      </w:r>
      <w:r w:rsidR="00665FB4" w:rsidRPr="00C6445D">
        <w:rPr>
          <w:rFonts w:ascii="Times" w:hAnsi="Times" w:cs="Times New Roman"/>
        </w:rPr>
        <w:t xml:space="preserve">“Introducing Procedural Proportionality Review” </w:t>
      </w:r>
      <w:r w:rsidR="00B92A79" w:rsidRPr="00C6445D">
        <w:rPr>
          <w:rFonts w:ascii="Times" w:hAnsi="Times" w:cs="Times New Roman"/>
        </w:rPr>
        <w:t>above</w:t>
      </w:r>
      <w:r w:rsidRPr="00C6445D">
        <w:rPr>
          <w:rFonts w:ascii="Times" w:hAnsi="Times" w:cs="Times New Roman"/>
        </w:rPr>
        <w:t>, 32.</w:t>
      </w:r>
    </w:p>
  </w:footnote>
  <w:footnote w:id="83">
    <w:p w14:paraId="76907A7B" w14:textId="1B70CB3D" w:rsidR="00AD5217" w:rsidRPr="00C6445D" w:rsidRDefault="00AD521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Gerards </w:t>
      </w:r>
      <w:r w:rsidR="00A53DC1" w:rsidRPr="00C6445D">
        <w:rPr>
          <w:rFonts w:ascii="Times" w:hAnsi="Times" w:cs="Times New Roman"/>
          <w:color w:val="000000" w:themeColor="text1"/>
        </w:rPr>
        <w:t xml:space="preserve">“The Margin of Appreciation Doctrine” </w:t>
      </w:r>
      <w:r w:rsidR="00B92A79" w:rsidRPr="00C6445D">
        <w:rPr>
          <w:rFonts w:ascii="Times" w:hAnsi="Times" w:cs="Times New Roman"/>
        </w:rPr>
        <w:t>above</w:t>
      </w:r>
      <w:r w:rsidRPr="00C6445D">
        <w:rPr>
          <w:rFonts w:ascii="Times" w:hAnsi="Times" w:cs="Times New Roman"/>
          <w:i/>
        </w:rPr>
        <w:t xml:space="preserve">, </w:t>
      </w:r>
      <w:r w:rsidRPr="00C6445D">
        <w:rPr>
          <w:rFonts w:ascii="Times" w:hAnsi="Times" w:cs="Times New Roman"/>
        </w:rPr>
        <w:t>115.</w:t>
      </w:r>
    </w:p>
  </w:footnote>
  <w:footnote w:id="84">
    <w:p w14:paraId="661F456A" w14:textId="3B76BC3A" w:rsidR="00AD5217" w:rsidRPr="00C6445D" w:rsidRDefault="00AD5217" w:rsidP="00FB49D8">
      <w:pPr>
        <w:pStyle w:val="NoSpacing"/>
        <w:contextualSpacing/>
        <w:rPr>
          <w:rFonts w:ascii="Times" w:hAnsi="Times" w:cs="Times New Roman"/>
          <w:lang w:val="en-US"/>
        </w:rPr>
      </w:pPr>
      <w:r w:rsidRPr="00C6445D">
        <w:rPr>
          <w:rStyle w:val="FootnoteReference"/>
          <w:rFonts w:ascii="Times" w:hAnsi="Times" w:cs="Times New Roman"/>
        </w:rPr>
        <w:footnoteRef/>
      </w:r>
      <w:r w:rsidRPr="00C6445D">
        <w:rPr>
          <w:rFonts w:ascii="Times" w:hAnsi="Times" w:cs="Times New Roman"/>
        </w:rPr>
        <w:t xml:space="preserve"> Broadly,</w:t>
      </w:r>
      <w:r w:rsidR="007D21F4" w:rsidRPr="00C6445D">
        <w:rPr>
          <w:rFonts w:ascii="Times" w:hAnsi="Times" w:cs="Times New Roman"/>
        </w:rPr>
        <w:t xml:space="preserve"> </w:t>
      </w:r>
      <w:r w:rsidRPr="00C6445D">
        <w:rPr>
          <w:rFonts w:ascii="Times" w:hAnsi="Times" w:cs="Times New Roman"/>
        </w:rPr>
        <w:t xml:space="preserve">there are three overlapping categories evident in the </w:t>
      </w:r>
      <w:r w:rsidR="0028687D" w:rsidRPr="00C6445D">
        <w:rPr>
          <w:rFonts w:ascii="Times" w:hAnsi="Times" w:cs="Times New Roman"/>
        </w:rPr>
        <w:t>literature</w:t>
      </w:r>
      <w:r w:rsidRPr="00C6445D">
        <w:rPr>
          <w:rFonts w:ascii="Times" w:hAnsi="Times" w:cs="Times New Roman"/>
        </w:rPr>
        <w:t>: moral and ethical, cultural and historical, and redistributive. Many argue that moral and ethical decisions ought to be shown deference. For example, De Witte</w:t>
      </w:r>
      <w:r w:rsidR="00B86F6F" w:rsidRPr="00C6445D">
        <w:rPr>
          <w:rFonts w:ascii="Times" w:hAnsi="Times" w:cs="Times New Roman"/>
        </w:rPr>
        <w:t xml:space="preserve"> “Sex, Drugs and EU Law”</w:t>
      </w:r>
      <w:r w:rsidR="00EB3F42" w:rsidRPr="00C6445D">
        <w:rPr>
          <w:rFonts w:ascii="Times" w:hAnsi="Times" w:cs="Times New Roman"/>
        </w:rPr>
        <w:t>, above,</w:t>
      </w:r>
      <w:r w:rsidRPr="00C6445D">
        <w:rPr>
          <w:rFonts w:ascii="Times" w:hAnsi="Times" w:cs="Times New Roman"/>
        </w:rPr>
        <w:t xml:space="preserve"> suggests “morally and ethically contentious goods”(1566). Another set of cases which are deemed to warrant deference are those “concerned with deeply embedded values of historical/cultural and societal nature”(Harbo</w:t>
      </w:r>
      <w:r w:rsidR="006C5E4E" w:rsidRPr="00C6445D">
        <w:rPr>
          <w:rFonts w:ascii="Times" w:hAnsi="Times" w:cs="Times New Roman"/>
        </w:rPr>
        <w:t xml:space="preserve"> </w:t>
      </w:r>
      <w:r w:rsidR="0059073F" w:rsidRPr="00C6445D">
        <w:rPr>
          <w:rFonts w:ascii="Times" w:hAnsi="Times" w:cs="Times New Roman"/>
        </w:rPr>
        <w:t xml:space="preserve">“Introducing Procedural Proportionality Review” </w:t>
      </w:r>
      <w:r w:rsidR="006C5E4E" w:rsidRPr="00C6445D">
        <w:rPr>
          <w:rFonts w:ascii="Times" w:hAnsi="Times" w:cs="Times New Roman"/>
        </w:rPr>
        <w:t>above</w:t>
      </w:r>
      <w:r w:rsidRPr="00C6445D">
        <w:rPr>
          <w:rFonts w:ascii="Times" w:hAnsi="Times" w:cs="Times New Roman"/>
        </w:rPr>
        <w:t>, 37 and De Witte</w:t>
      </w:r>
      <w:r w:rsidR="00475881" w:rsidRPr="00C6445D">
        <w:rPr>
          <w:rFonts w:ascii="Times" w:hAnsi="Times" w:cs="Times New Roman"/>
        </w:rPr>
        <w:t xml:space="preserve"> </w:t>
      </w:r>
      <w:r w:rsidR="00B86F6F" w:rsidRPr="00C6445D">
        <w:rPr>
          <w:rFonts w:ascii="Times" w:hAnsi="Times" w:cs="Times New Roman"/>
        </w:rPr>
        <w:t xml:space="preserve">“Sex, Drugs and EU Law” </w:t>
      </w:r>
      <w:r w:rsidR="00475881" w:rsidRPr="00C6445D">
        <w:rPr>
          <w:rFonts w:ascii="Times" w:hAnsi="Times" w:cs="Times New Roman"/>
        </w:rPr>
        <w:t>above</w:t>
      </w:r>
      <w:r w:rsidRPr="00C6445D">
        <w:rPr>
          <w:rFonts w:ascii="Times" w:hAnsi="Times" w:cs="Times New Roman"/>
        </w:rPr>
        <w:t xml:space="preserve">, 1568, where he supports deference for “redistributive or cultural” matters.) There is also suggestion that redistributive matters should be offered more deference. So, for example, Harbo argues that measures such as those </w:t>
      </w:r>
      <w:r w:rsidR="00EB2FB5" w:rsidRPr="00C6445D">
        <w:rPr>
          <w:rFonts w:ascii="Times" w:hAnsi="Times" w:cs="Times New Roman"/>
        </w:rPr>
        <w:t xml:space="preserve">under review </w:t>
      </w:r>
      <w:r w:rsidRPr="00C6445D">
        <w:rPr>
          <w:rFonts w:ascii="Times" w:hAnsi="Times" w:cs="Times New Roman"/>
        </w:rPr>
        <w:t xml:space="preserve">in </w:t>
      </w:r>
      <w:r w:rsidRPr="00C6445D">
        <w:rPr>
          <w:rFonts w:ascii="Times" w:hAnsi="Times" w:cs="Times New Roman"/>
          <w:i/>
        </w:rPr>
        <w:t xml:space="preserve">Laval un </w:t>
      </w:r>
      <w:proofErr w:type="spellStart"/>
      <w:r w:rsidRPr="00C6445D">
        <w:rPr>
          <w:rFonts w:ascii="Times" w:hAnsi="Times" w:cs="Times New Roman"/>
          <w:i/>
        </w:rPr>
        <w:t>Partneri</w:t>
      </w:r>
      <w:proofErr w:type="spellEnd"/>
      <w:r w:rsidRPr="00C6445D">
        <w:rPr>
          <w:rFonts w:ascii="Times" w:hAnsi="Times" w:cs="Times New Roman"/>
          <w:i/>
        </w:rPr>
        <w:t xml:space="preserve">, </w:t>
      </w:r>
      <w:r w:rsidR="00E94CCD" w:rsidRPr="00C6445D">
        <w:rPr>
          <w:rFonts w:ascii="Times" w:hAnsi="Times" w:cs="Times New Roman"/>
          <w:i/>
        </w:rPr>
        <w:t>(</w:t>
      </w:r>
      <w:r w:rsidR="00E94CCD" w:rsidRPr="00C6445D">
        <w:rPr>
          <w:rFonts w:ascii="Times" w:hAnsi="Times" w:cs="Times New Roman"/>
        </w:rPr>
        <w:t xml:space="preserve">Case C-341/05) </w:t>
      </w:r>
      <w:r w:rsidRPr="00C6445D">
        <w:rPr>
          <w:rFonts w:ascii="Times" w:hAnsi="Times" w:cs="Times New Roman"/>
        </w:rPr>
        <w:t xml:space="preserve">EU:C:2007:809 and </w:t>
      </w:r>
      <w:r w:rsidRPr="00C6445D">
        <w:rPr>
          <w:rFonts w:ascii="Times" w:hAnsi="Times" w:cs="Times New Roman"/>
          <w:i/>
        </w:rPr>
        <w:t>Commission v UK</w:t>
      </w:r>
      <w:r w:rsidRPr="00C6445D">
        <w:rPr>
          <w:rFonts w:ascii="Times" w:hAnsi="Times" w:cs="Times New Roman"/>
        </w:rPr>
        <w:t xml:space="preserve"> </w:t>
      </w:r>
      <w:r w:rsidR="00F03D11" w:rsidRPr="00C6445D">
        <w:rPr>
          <w:rFonts w:ascii="Times" w:hAnsi="Times" w:cs="Times New Roman"/>
        </w:rPr>
        <w:t xml:space="preserve">(Case C-308/14) </w:t>
      </w:r>
      <w:r w:rsidRPr="00C6445D">
        <w:rPr>
          <w:rFonts w:ascii="Times" w:hAnsi="Times" w:cs="Times New Roman"/>
        </w:rPr>
        <w:t>EU:C:2016:436</w:t>
      </w:r>
      <w:r w:rsidR="00EB2FB5" w:rsidRPr="00C6445D">
        <w:rPr>
          <w:rFonts w:ascii="Times" w:hAnsi="Times" w:cs="Times New Roman"/>
        </w:rPr>
        <w:t>,</w:t>
      </w:r>
      <w:r w:rsidRPr="00C6445D">
        <w:rPr>
          <w:rFonts w:ascii="Times" w:hAnsi="Times" w:cs="Times New Roman"/>
        </w:rPr>
        <w:t xml:space="preserve"> ought to be </w:t>
      </w:r>
      <w:r w:rsidR="00EB2FB5" w:rsidRPr="00C6445D">
        <w:rPr>
          <w:rFonts w:ascii="Times" w:hAnsi="Times" w:cs="Times New Roman"/>
        </w:rPr>
        <w:t>shown</w:t>
      </w:r>
      <w:r w:rsidRPr="00C6445D">
        <w:rPr>
          <w:rFonts w:ascii="Times" w:hAnsi="Times" w:cs="Times New Roman"/>
        </w:rPr>
        <w:t xml:space="preserve"> deference because they relate to “important elements of respective member states’ welfare regimes”. Newdick argues that the Court in individual cases may damage the communal ethic expressed through the national decision in favour of protection of the individual. Newdick, “Citizenship, Free Movement and Health Care: Cementing Individual Rights by Corroding Social Solidarity” </w:t>
      </w:r>
      <w:r w:rsidR="001A0CFA" w:rsidRPr="00C6445D">
        <w:rPr>
          <w:rFonts w:ascii="Times" w:hAnsi="Times" w:cs="Times New Roman"/>
        </w:rPr>
        <w:t xml:space="preserve">(2018) </w:t>
      </w:r>
      <w:r w:rsidRPr="00C6445D">
        <w:rPr>
          <w:rFonts w:ascii="Times" w:hAnsi="Times" w:cs="Times New Roman"/>
        </w:rPr>
        <w:t>43 C</w:t>
      </w:r>
      <w:r w:rsidR="008F4C99" w:rsidRPr="00C6445D">
        <w:rPr>
          <w:rFonts w:ascii="Times" w:hAnsi="Times" w:cs="Times New Roman"/>
        </w:rPr>
        <w:t>.</w:t>
      </w:r>
      <w:r w:rsidRPr="00C6445D">
        <w:rPr>
          <w:rFonts w:ascii="Times" w:hAnsi="Times" w:cs="Times New Roman"/>
        </w:rPr>
        <w:t>M</w:t>
      </w:r>
      <w:r w:rsidR="008F4C99" w:rsidRPr="00C6445D">
        <w:rPr>
          <w:rFonts w:ascii="Times" w:hAnsi="Times" w:cs="Times New Roman"/>
        </w:rPr>
        <w:t>.</w:t>
      </w:r>
      <w:r w:rsidRPr="00C6445D">
        <w:rPr>
          <w:rFonts w:ascii="Times" w:hAnsi="Times" w:cs="Times New Roman"/>
        </w:rPr>
        <w:t>L</w:t>
      </w:r>
      <w:r w:rsidR="008F4C99" w:rsidRPr="00C6445D">
        <w:rPr>
          <w:rFonts w:ascii="Times" w:hAnsi="Times" w:cs="Times New Roman"/>
        </w:rPr>
        <w:t>.</w:t>
      </w:r>
      <w:r w:rsidRPr="00C6445D">
        <w:rPr>
          <w:rFonts w:ascii="Times" w:hAnsi="Times" w:cs="Times New Roman"/>
        </w:rPr>
        <w:t>R</w:t>
      </w:r>
      <w:r w:rsidR="008F4C99" w:rsidRPr="00C6445D">
        <w:rPr>
          <w:rFonts w:ascii="Times" w:hAnsi="Times" w:cs="Times New Roman"/>
        </w:rPr>
        <w:t>ev.</w:t>
      </w:r>
      <w:r w:rsidRPr="00C6445D">
        <w:rPr>
          <w:rFonts w:ascii="Times" w:hAnsi="Times" w:cs="Times New Roman"/>
        </w:rPr>
        <w:t xml:space="preserve"> 1645. See also De Witte</w:t>
      </w:r>
      <w:r w:rsidR="00C56D0C" w:rsidRPr="00C6445D">
        <w:rPr>
          <w:rFonts w:ascii="Times" w:hAnsi="Times" w:cs="Times New Roman"/>
        </w:rPr>
        <w:t xml:space="preserve"> </w:t>
      </w:r>
      <w:r w:rsidR="00B86F6F" w:rsidRPr="00C6445D">
        <w:rPr>
          <w:rFonts w:ascii="Times" w:hAnsi="Times" w:cs="Times New Roman"/>
        </w:rPr>
        <w:t xml:space="preserve">“Sex, Drugs and EU Law” </w:t>
      </w:r>
      <w:r w:rsidR="00C56D0C" w:rsidRPr="00C6445D">
        <w:rPr>
          <w:rFonts w:ascii="Times" w:hAnsi="Times" w:cs="Times New Roman"/>
        </w:rPr>
        <w:t>above,</w:t>
      </w:r>
      <w:r w:rsidR="00D03FDF" w:rsidRPr="00C6445D">
        <w:rPr>
          <w:rFonts w:ascii="Times" w:hAnsi="Times" w:cs="Times New Roman"/>
        </w:rPr>
        <w:t xml:space="preserve"> </w:t>
      </w:r>
      <w:r w:rsidRPr="00C6445D">
        <w:rPr>
          <w:rFonts w:ascii="Times" w:hAnsi="Times" w:cs="Times New Roman"/>
        </w:rPr>
        <w:t>1570 on the “communitarian blindspot” in this area.</w:t>
      </w:r>
    </w:p>
  </w:footnote>
  <w:footnote w:id="85">
    <w:p w14:paraId="58B6F0A3" w14:textId="470F9447" w:rsidR="00AD5217" w:rsidRPr="00C6445D" w:rsidRDefault="00AD521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De Witte</w:t>
      </w:r>
      <w:r w:rsidR="00025D17" w:rsidRPr="00C6445D">
        <w:rPr>
          <w:rFonts w:ascii="Times" w:hAnsi="Times" w:cs="Times New Roman"/>
        </w:rPr>
        <w:t xml:space="preserve"> </w:t>
      </w:r>
      <w:r w:rsidR="00B86F6F" w:rsidRPr="00C6445D">
        <w:rPr>
          <w:rFonts w:ascii="Times" w:hAnsi="Times" w:cs="Times New Roman"/>
        </w:rPr>
        <w:t xml:space="preserve">“Sex, Drugs and EU Law” </w:t>
      </w:r>
      <w:r w:rsidR="00025D17" w:rsidRPr="00C6445D">
        <w:rPr>
          <w:rFonts w:ascii="Times" w:hAnsi="Times" w:cs="Times New Roman"/>
        </w:rPr>
        <w:t>above</w:t>
      </w:r>
      <w:r w:rsidR="000E5742" w:rsidRPr="00C6445D">
        <w:rPr>
          <w:rFonts w:ascii="Times" w:hAnsi="Times" w:cs="Times New Roman"/>
        </w:rPr>
        <w:t xml:space="preserve">, </w:t>
      </w:r>
      <w:r w:rsidRPr="00C6445D">
        <w:rPr>
          <w:rFonts w:ascii="Times" w:hAnsi="Times" w:cs="Times New Roman"/>
        </w:rPr>
        <w:t>1547.</w:t>
      </w:r>
    </w:p>
  </w:footnote>
  <w:footnote w:id="86">
    <w:p w14:paraId="7D3A8417" w14:textId="1F19629F" w:rsidR="00AD5217" w:rsidRPr="00C6445D" w:rsidRDefault="00AD521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536C34" w:rsidRPr="00C6445D">
        <w:rPr>
          <w:rFonts w:ascii="Times" w:hAnsi="Times" w:cs="Times New Roman"/>
        </w:rPr>
        <w:t xml:space="preserve">De Witte </w:t>
      </w:r>
      <w:r w:rsidR="00B86F6F" w:rsidRPr="00C6445D">
        <w:rPr>
          <w:rFonts w:ascii="Times" w:hAnsi="Times" w:cs="Times New Roman"/>
        </w:rPr>
        <w:t xml:space="preserve">“Sex, Drugs and EU Law” </w:t>
      </w:r>
      <w:r w:rsidR="00536C34" w:rsidRPr="00C6445D">
        <w:rPr>
          <w:rFonts w:ascii="Times" w:hAnsi="Times" w:cs="Times New Roman"/>
        </w:rPr>
        <w:t xml:space="preserve">above, </w:t>
      </w:r>
      <w:r w:rsidRPr="00C6445D">
        <w:rPr>
          <w:rFonts w:ascii="Times" w:hAnsi="Times" w:cs="Times New Roman"/>
        </w:rPr>
        <w:t xml:space="preserve">1569. See also, </w:t>
      </w:r>
      <w:r w:rsidR="001F7B76" w:rsidRPr="00C6445D">
        <w:rPr>
          <w:rFonts w:ascii="Times" w:hAnsi="Times" w:cs="Times New Roman"/>
        </w:rPr>
        <w:t xml:space="preserve">his </w:t>
      </w:r>
      <w:r w:rsidRPr="00C6445D">
        <w:rPr>
          <w:rFonts w:ascii="Times" w:hAnsi="Times" w:cs="Times New Roman"/>
        </w:rPr>
        <w:t>argument that this creates a normative bias in favour of transnationally mobile individuals, damaging the communal ethic of the national society.</w:t>
      </w:r>
    </w:p>
  </w:footnote>
  <w:footnote w:id="87">
    <w:p w14:paraId="48EA4F41" w14:textId="214AF06F" w:rsidR="00AD5217" w:rsidRPr="00C6445D" w:rsidRDefault="00AD521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E272AC" w:rsidRPr="00C6445D">
        <w:rPr>
          <w:rFonts w:ascii="Times" w:hAnsi="Times" w:cs="Times New Roman"/>
        </w:rPr>
        <w:t xml:space="preserve">Harbo </w:t>
      </w:r>
      <w:r w:rsidR="0059073F" w:rsidRPr="00C6445D">
        <w:rPr>
          <w:rFonts w:ascii="Times" w:hAnsi="Times" w:cs="Times New Roman"/>
        </w:rPr>
        <w:t xml:space="preserve">“Introducing Procedural Proportionality Review” </w:t>
      </w:r>
      <w:r w:rsidR="00445DFA" w:rsidRPr="00C6445D">
        <w:rPr>
          <w:rFonts w:ascii="Times" w:hAnsi="Times" w:cs="Times New Roman"/>
        </w:rPr>
        <w:t>above,</w:t>
      </w:r>
      <w:r w:rsidRPr="00C6445D">
        <w:rPr>
          <w:rFonts w:ascii="Times" w:hAnsi="Times" w:cs="Times New Roman"/>
        </w:rPr>
        <w:t xml:space="preserve"> 47.</w:t>
      </w:r>
    </w:p>
  </w:footnote>
  <w:footnote w:id="88">
    <w:p w14:paraId="5FEF55D7" w14:textId="4A2B7A6C" w:rsidR="00AD5217" w:rsidRPr="00C6445D" w:rsidRDefault="00AD521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Newdick </w:t>
      </w:r>
      <w:r w:rsidR="00F813B7" w:rsidRPr="00C6445D">
        <w:rPr>
          <w:rFonts w:ascii="Times" w:hAnsi="Times" w:cs="Times New Roman"/>
        </w:rPr>
        <w:t xml:space="preserve">“Corroding Social Solidarity” </w:t>
      </w:r>
      <w:r w:rsidR="00445DFA" w:rsidRPr="00C6445D">
        <w:rPr>
          <w:rFonts w:ascii="Times" w:hAnsi="Times" w:cs="Times New Roman"/>
        </w:rPr>
        <w:t xml:space="preserve">above, </w:t>
      </w:r>
      <w:r w:rsidRPr="00C6445D">
        <w:rPr>
          <w:rFonts w:ascii="Times" w:hAnsi="Times" w:cs="Times New Roman"/>
        </w:rPr>
        <w:t>652</w:t>
      </w:r>
    </w:p>
  </w:footnote>
  <w:footnote w:id="89">
    <w:p w14:paraId="7BBD0227" w14:textId="5131AAF1" w:rsidR="00AD5217" w:rsidRPr="00C6445D" w:rsidRDefault="00AD521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Gerards </w:t>
      </w:r>
      <w:r w:rsidR="00A53DC1" w:rsidRPr="00C6445D">
        <w:rPr>
          <w:rFonts w:ascii="Times" w:hAnsi="Times" w:cs="Times New Roman"/>
          <w:color w:val="000000" w:themeColor="text1"/>
        </w:rPr>
        <w:t xml:space="preserve">“The Margin of Appreciation Doctrine” </w:t>
      </w:r>
      <w:r w:rsidR="00384CD0" w:rsidRPr="00C6445D">
        <w:rPr>
          <w:rFonts w:ascii="Times" w:hAnsi="Times" w:cs="Times New Roman"/>
        </w:rPr>
        <w:t>above,</w:t>
      </w:r>
      <w:r w:rsidR="005B3452" w:rsidRPr="00C6445D">
        <w:rPr>
          <w:rFonts w:ascii="Times" w:hAnsi="Times" w:cs="Times New Roman"/>
        </w:rPr>
        <w:t xml:space="preserve"> </w:t>
      </w:r>
      <w:r w:rsidRPr="00C6445D">
        <w:rPr>
          <w:rFonts w:ascii="Times" w:hAnsi="Times" w:cs="Times New Roman"/>
        </w:rPr>
        <w:t>118.</w:t>
      </w:r>
    </w:p>
  </w:footnote>
  <w:footnote w:id="90">
    <w:p w14:paraId="04B76D5C" w14:textId="2B57CFA2" w:rsidR="007E1600" w:rsidRPr="00C6445D" w:rsidRDefault="007E1600"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591700" w:rsidRPr="00C6445D">
        <w:rPr>
          <w:rFonts w:ascii="Times" w:hAnsi="Times" w:cs="Times New Roman"/>
        </w:rPr>
        <w:t xml:space="preserve">See, M. Shapiro, </w:t>
      </w:r>
      <w:r w:rsidR="00591700" w:rsidRPr="00C6445D">
        <w:rPr>
          <w:rFonts w:ascii="Times" w:eastAsia="Times New Roman" w:hAnsi="Times" w:cs="Times New Roman"/>
        </w:rPr>
        <w:t xml:space="preserve">“The European Court of Justice”, in P. Craig and G. de Burca (eds.), </w:t>
      </w:r>
      <w:r w:rsidR="00591700" w:rsidRPr="00C6445D">
        <w:rPr>
          <w:rFonts w:ascii="Times" w:eastAsia="Times New Roman" w:hAnsi="Times" w:cs="Times New Roman"/>
          <w:i/>
          <w:iCs/>
        </w:rPr>
        <w:t>The Evolution of EU Law</w:t>
      </w:r>
      <w:r w:rsidR="00591700" w:rsidRPr="00C6445D">
        <w:rPr>
          <w:rFonts w:ascii="Times" w:eastAsia="Times New Roman" w:hAnsi="Times" w:cs="Times New Roman"/>
        </w:rPr>
        <w:t xml:space="preserve"> (Oxford: Oxford University Press, 1999) 323</w:t>
      </w:r>
      <w:r w:rsidR="00EF60C7" w:rsidRPr="00C6445D">
        <w:rPr>
          <w:rFonts w:ascii="Times" w:eastAsia="Times New Roman" w:hAnsi="Times" w:cs="Times New Roman"/>
        </w:rPr>
        <w:t>: “</w:t>
      </w:r>
      <w:r w:rsidR="00EF60C7" w:rsidRPr="00C6445D">
        <w:rPr>
          <w:rFonts w:ascii="Times" w:hAnsi="Times" w:cs="Times New Roman"/>
        </w:rPr>
        <w:t>the more general the text, the more discretion to the interpreter”</w:t>
      </w:r>
    </w:p>
  </w:footnote>
  <w:footnote w:id="91">
    <w:p w14:paraId="5EBDEA36" w14:textId="2D90CAB1" w:rsidR="0003059D" w:rsidRPr="00C6445D" w:rsidRDefault="0003059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Realist methodology has been described as a “revolt” against classical legal thought, which saw judicial decisions as “the outcome of reasoning from a finite set of determinate principles”, </w:t>
      </w:r>
      <w:r w:rsidR="001B3621" w:rsidRPr="00C6445D">
        <w:rPr>
          <w:rFonts w:ascii="Times" w:hAnsi="Times" w:cs="Times New Roman"/>
        </w:rPr>
        <w:t xml:space="preserve">see </w:t>
      </w:r>
      <w:r w:rsidRPr="00C6445D">
        <w:rPr>
          <w:rFonts w:ascii="Times" w:hAnsi="Times" w:cs="Times New Roman"/>
        </w:rPr>
        <w:t>(Note) “’Round and ’Round the Bramble Bush: From Legal Realism to Critical Legal Scholarship”, (1982) 95 H.L.R. 1669, 1670</w:t>
      </w:r>
    </w:p>
  </w:footnote>
  <w:footnote w:id="92">
    <w:p w14:paraId="7D087FF7" w14:textId="596CDF46" w:rsidR="00B035ED" w:rsidRPr="00C6445D" w:rsidRDefault="00B035E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37540D" w:rsidRPr="00C6445D">
        <w:rPr>
          <w:rFonts w:ascii="Times" w:hAnsi="Times" w:cs="Times New Roman"/>
        </w:rPr>
        <w:t xml:space="preserve">A. Stone Sweet and J. Matthews, “Proportionality Balancing and Global Constitutionalism”, (2008) 47 Colum. J. Transnat'l L. 72, </w:t>
      </w:r>
      <w:r w:rsidRPr="00C6445D">
        <w:rPr>
          <w:rFonts w:ascii="Times" w:hAnsi="Times" w:cs="Times New Roman"/>
        </w:rPr>
        <w:t>85</w:t>
      </w:r>
      <w:r w:rsidR="00080DF0" w:rsidRPr="00C6445D">
        <w:rPr>
          <w:rFonts w:ascii="Times" w:hAnsi="Times" w:cs="Times New Roman"/>
        </w:rPr>
        <w:t>.</w:t>
      </w:r>
    </w:p>
  </w:footnote>
  <w:footnote w:id="93">
    <w:p w14:paraId="36CF1241" w14:textId="10DE32CE" w:rsidR="0003059D" w:rsidRPr="00C6445D" w:rsidRDefault="0003059D" w:rsidP="00FB49D8">
      <w:pPr>
        <w:spacing w:before="0" w:after="0" w:line="240" w:lineRule="auto"/>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7540C2" w:rsidRPr="00C6445D">
        <w:rPr>
          <w:rFonts w:ascii="Times" w:hAnsi="Times" w:cs="Times New Roman"/>
          <w:color w:val="000000"/>
        </w:rPr>
        <w:t xml:space="preserve">Stone Sweet, </w:t>
      </w:r>
      <w:r w:rsidR="007540C2" w:rsidRPr="00C6445D">
        <w:rPr>
          <w:rFonts w:ascii="Times" w:hAnsi="Times" w:cs="Times New Roman"/>
          <w:i/>
          <w:color w:val="000000"/>
        </w:rPr>
        <w:t xml:space="preserve">The Judicial Construction of Europe </w:t>
      </w:r>
      <w:r w:rsidR="007540C2" w:rsidRPr="00C6445D">
        <w:rPr>
          <w:rFonts w:ascii="Times" w:hAnsi="Times" w:cs="Times New Roman"/>
          <w:color w:val="000000"/>
        </w:rPr>
        <w:t>(Oxford: OUP, 2004), 10: “In balancing situations, judges are most clearly exposed as policymakers”.</w:t>
      </w:r>
      <w:r w:rsidR="007540C2" w:rsidRPr="00C6445D">
        <w:rPr>
          <w:rFonts w:ascii="Times" w:hAnsi="Times" w:cs="Times New Roman"/>
        </w:rPr>
        <w:t xml:space="preserve"> </w:t>
      </w:r>
      <w:r w:rsidRPr="00C6445D">
        <w:rPr>
          <w:rFonts w:ascii="Times" w:hAnsi="Times" w:cs="Times New Roman"/>
        </w:rPr>
        <w:t>According to Stone Sweet and Matthews, “Proportionality Balancing</w:t>
      </w:r>
      <w:r w:rsidR="00E841B4" w:rsidRPr="00C6445D">
        <w:rPr>
          <w:rFonts w:ascii="Times" w:hAnsi="Times" w:cs="Times New Roman"/>
        </w:rPr>
        <w:t>” above</w:t>
      </w:r>
      <w:r w:rsidR="009A2112" w:rsidRPr="00C6445D">
        <w:rPr>
          <w:rFonts w:ascii="Times" w:hAnsi="Times" w:cs="Times New Roman"/>
        </w:rPr>
        <w:t>, 87</w:t>
      </w:r>
      <w:r w:rsidRPr="00C6445D">
        <w:rPr>
          <w:rFonts w:ascii="Times" w:hAnsi="Times" w:cs="Times New Roman"/>
        </w:rPr>
        <w:t>. Proportionality balancing cannot be disassociated from lawmaking, but the courts are faced no other choice with the powers that have been delegated to them.</w:t>
      </w:r>
    </w:p>
  </w:footnote>
  <w:footnote w:id="94">
    <w:p w14:paraId="6896E8DF" w14:textId="77777777" w:rsidR="0003059D" w:rsidRPr="00C6445D" w:rsidRDefault="0003059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Stone Sweet and Matthews “Proportionality Balancing” above, 80.</w:t>
      </w:r>
    </w:p>
  </w:footnote>
  <w:footnote w:id="95">
    <w:p w14:paraId="0070AEDF" w14:textId="77777777" w:rsidR="0003059D" w:rsidRPr="00C6445D" w:rsidRDefault="0003059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Stone Sweet and Matthews “Proportionality Balancing” above, 88.</w:t>
      </w:r>
    </w:p>
  </w:footnote>
  <w:footnote w:id="96">
    <w:p w14:paraId="7DF15E26" w14:textId="77777777" w:rsidR="0003059D" w:rsidRPr="00C6445D" w:rsidRDefault="0003059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For a practical example, see N. Nic Shuibhne and M. Maci ‘Proving Public Interest: The Growing Impact of Evidence in Free Movement Case Law” (2013) 50 C.M.L. Rev. 965, explored later in this section.</w:t>
      </w:r>
    </w:p>
  </w:footnote>
  <w:footnote w:id="97">
    <w:p w14:paraId="1CF5A2FB" w14:textId="3CD4067B"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See</w:t>
      </w:r>
      <w:r w:rsidR="001B3621" w:rsidRPr="00C6445D">
        <w:rPr>
          <w:rFonts w:ascii="Times" w:hAnsi="Times" w:cs="Times New Roman"/>
        </w:rPr>
        <w:t xml:space="preserve"> section</w:t>
      </w:r>
      <w:r w:rsidRPr="00C6445D">
        <w:rPr>
          <w:rFonts w:ascii="Times" w:hAnsi="Times" w:cs="Times New Roman"/>
        </w:rPr>
        <w:t xml:space="preserve"> </w:t>
      </w:r>
      <w:r w:rsidR="00387EEC" w:rsidRPr="00C6445D">
        <w:rPr>
          <w:rFonts w:ascii="Times" w:hAnsi="Times" w:cs="Times New Roman"/>
          <w:i/>
          <w:iCs/>
        </w:rPr>
        <w:t>infra</w:t>
      </w:r>
      <w:r w:rsidR="001B3621" w:rsidRPr="00C6445D">
        <w:rPr>
          <w:rFonts w:ascii="Times" w:hAnsi="Times" w:cs="Times New Roman"/>
        </w:rPr>
        <w:t>:</w:t>
      </w:r>
      <w:r w:rsidR="00387EEC" w:rsidRPr="00C6445D">
        <w:rPr>
          <w:rFonts w:ascii="Times" w:hAnsi="Times" w:cs="Times New Roman"/>
        </w:rPr>
        <w:t xml:space="preserve"> </w:t>
      </w:r>
      <w:r w:rsidR="00D15ED5" w:rsidRPr="00C6445D">
        <w:rPr>
          <w:rFonts w:ascii="Times" w:hAnsi="Times" w:cs="Times New Roman"/>
        </w:rPr>
        <w:t>“Court of Justice for Review of Union Legislation for Compliance with Proportionality and Subsidiarity”</w:t>
      </w:r>
      <w:r w:rsidR="00B85E25" w:rsidRPr="00C6445D">
        <w:rPr>
          <w:rFonts w:ascii="Times" w:hAnsi="Times" w:cs="Times New Roman"/>
        </w:rPr>
        <w:t>.</w:t>
      </w:r>
      <w:r w:rsidR="00D15ED5" w:rsidRPr="00C6445D">
        <w:rPr>
          <w:rFonts w:ascii="Times" w:hAnsi="Times" w:cs="Times New Roman"/>
        </w:rPr>
        <w:t xml:space="preserve"> </w:t>
      </w:r>
    </w:p>
  </w:footnote>
  <w:footnote w:id="98">
    <w:p w14:paraId="167A2591" w14:textId="51BAAE30" w:rsidR="009D37E7" w:rsidRPr="00C6445D" w:rsidRDefault="009D37E7" w:rsidP="00FB49D8">
      <w:pPr>
        <w:spacing w:before="0" w:after="0" w:line="240" w:lineRule="auto"/>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There is one exception to this general rule in the case of </w:t>
      </w:r>
      <w:r w:rsidRPr="00C6445D">
        <w:rPr>
          <w:rFonts w:ascii="Times" w:hAnsi="Times" w:cs="Times New Roman"/>
          <w:i/>
        </w:rPr>
        <w:t>Spain v Council</w:t>
      </w:r>
      <w:r w:rsidR="001A18E0" w:rsidRPr="00C6445D">
        <w:rPr>
          <w:rFonts w:ascii="Times" w:hAnsi="Times" w:cs="Times New Roman"/>
        </w:rPr>
        <w:t xml:space="preserve"> (C-310/04) </w:t>
      </w:r>
      <w:r w:rsidRPr="00C6445D">
        <w:rPr>
          <w:rFonts w:ascii="Times" w:hAnsi="Times" w:cs="Times New Roman"/>
        </w:rPr>
        <w:t>EU:C:2006:521, a case in which the lack of an IAR supported the Court’s finding that the Union measure was disproportionate. However, there are some key aspects of the case which set it apart from general harmonisation cases. At challenge in the case</w:t>
      </w:r>
      <w:r w:rsidR="00E77C76" w:rsidRPr="00C6445D">
        <w:rPr>
          <w:rFonts w:ascii="Times" w:hAnsi="Times" w:cs="Times New Roman"/>
        </w:rPr>
        <w:t xml:space="preserve"> was </w:t>
      </w:r>
      <w:r w:rsidRPr="00C6445D">
        <w:rPr>
          <w:rFonts w:ascii="Times" w:hAnsi="Times" w:cs="Times New Roman"/>
        </w:rPr>
        <w:t>a specific figure of 35% aid set aside for c</w:t>
      </w:r>
      <w:r w:rsidR="00381CEB" w:rsidRPr="00C6445D">
        <w:rPr>
          <w:rFonts w:ascii="Times" w:hAnsi="Times" w:cs="Times New Roman"/>
        </w:rPr>
        <w:t>ott</w:t>
      </w:r>
      <w:r w:rsidRPr="00C6445D">
        <w:rPr>
          <w:rFonts w:ascii="Times" w:hAnsi="Times" w:cs="Times New Roman"/>
        </w:rPr>
        <w:t xml:space="preserve">on farmers. It is easier for the Court to challenge a specific figure that the legislature has calculated, as opposed to a more general policy. It is also notable that the issue of “competence creep” tends to focus on Art. 114 TFEU and Art. 352 TFEU, with less concern for CAP measures. In any case, the scrutiny of process evident in </w:t>
      </w:r>
      <w:r w:rsidRPr="00C6445D">
        <w:rPr>
          <w:rFonts w:ascii="Times" w:hAnsi="Times" w:cs="Times New Roman"/>
          <w:i/>
          <w:iCs/>
        </w:rPr>
        <w:t>Spain v Council</w:t>
      </w:r>
      <w:r w:rsidRPr="00C6445D">
        <w:rPr>
          <w:rFonts w:ascii="Times" w:hAnsi="Times" w:cs="Times New Roman"/>
        </w:rPr>
        <w:t xml:space="preserve"> is absent from the cases that have since followed.</w:t>
      </w:r>
    </w:p>
  </w:footnote>
  <w:footnote w:id="99">
    <w:p w14:paraId="66FFEFDC" w14:textId="54B98DFD" w:rsidR="009D37E7" w:rsidRPr="00C6445D" w:rsidRDefault="009D37E7" w:rsidP="00FB49D8">
      <w:pPr>
        <w:spacing w:before="0" w:after="0" w:line="240" w:lineRule="auto"/>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Style w:val="affairetitle"/>
          <w:rFonts w:ascii="Times" w:hAnsi="Times" w:cs="Times New Roman"/>
          <w:i/>
        </w:rPr>
        <w:t xml:space="preserve">Afton Chemical </w:t>
      </w:r>
      <w:r w:rsidR="007E0F6C" w:rsidRPr="00C6445D">
        <w:rPr>
          <w:rStyle w:val="affairetitle"/>
          <w:rFonts w:ascii="Times" w:hAnsi="Times" w:cs="Times New Roman"/>
          <w:i/>
        </w:rPr>
        <w:t>(</w:t>
      </w:r>
      <w:r w:rsidR="007E0F6C" w:rsidRPr="00C6445D">
        <w:rPr>
          <w:rStyle w:val="affairetitle"/>
          <w:rFonts w:ascii="Times" w:hAnsi="Times" w:cs="Times New Roman"/>
        </w:rPr>
        <w:t xml:space="preserve">C-343/09) </w:t>
      </w:r>
      <w:r w:rsidRPr="00C6445D">
        <w:rPr>
          <w:rStyle w:val="outputecliaff"/>
          <w:rFonts w:ascii="Times" w:hAnsi="Times" w:cs="Times New Roman"/>
        </w:rPr>
        <w:t>EU:C:2010:419</w:t>
      </w:r>
      <w:r w:rsidR="002D73E8" w:rsidRPr="00C6445D">
        <w:rPr>
          <w:rFonts w:ascii="Times" w:hAnsi="Times" w:cs="Times New Roman"/>
        </w:rPr>
        <w:t xml:space="preserve"> at [</w:t>
      </w:r>
      <w:r w:rsidRPr="00C6445D">
        <w:rPr>
          <w:rFonts w:ascii="Times" w:hAnsi="Times" w:cs="Times New Roman"/>
        </w:rPr>
        <w:t>57</w:t>
      </w:r>
      <w:r w:rsidR="002D73E8" w:rsidRPr="00C6445D">
        <w:rPr>
          <w:rFonts w:ascii="Times" w:hAnsi="Times" w:cs="Times New Roman"/>
        </w:rPr>
        <w:t>]</w:t>
      </w:r>
      <w:r w:rsidRPr="00C6445D">
        <w:rPr>
          <w:rFonts w:ascii="Times" w:hAnsi="Times" w:cs="Times New Roman"/>
        </w:rPr>
        <w:t>.</w:t>
      </w:r>
    </w:p>
  </w:footnote>
  <w:footnote w:id="100">
    <w:p w14:paraId="03A1B001" w14:textId="4BEE240E" w:rsidR="009D37E7" w:rsidRPr="00C6445D" w:rsidRDefault="009D37E7" w:rsidP="00FB49D8">
      <w:pPr>
        <w:spacing w:before="0" w:after="0" w:line="240" w:lineRule="auto"/>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Pillbox 38</w:t>
      </w:r>
      <w:r w:rsidRPr="00C6445D">
        <w:rPr>
          <w:rFonts w:ascii="Times" w:hAnsi="Times" w:cs="Times New Roman"/>
        </w:rPr>
        <w:t xml:space="preserve"> </w:t>
      </w:r>
      <w:r w:rsidR="007F6F61" w:rsidRPr="00C6445D">
        <w:rPr>
          <w:rFonts w:ascii="Times" w:hAnsi="Times" w:cs="Times New Roman"/>
        </w:rPr>
        <w:t xml:space="preserve">(C-477/14) </w:t>
      </w:r>
      <w:r w:rsidRPr="00C6445D">
        <w:rPr>
          <w:rFonts w:ascii="Times" w:hAnsi="Times" w:cs="Times New Roman"/>
        </w:rPr>
        <w:t>EU:C:2016:732</w:t>
      </w:r>
      <w:r w:rsidR="002D73E8" w:rsidRPr="00C6445D">
        <w:rPr>
          <w:rFonts w:ascii="Times" w:hAnsi="Times" w:cs="Times New Roman"/>
        </w:rPr>
        <w:t xml:space="preserve"> at [</w:t>
      </w:r>
      <w:r w:rsidRPr="00C6445D">
        <w:rPr>
          <w:rFonts w:ascii="Times" w:hAnsi="Times" w:cs="Times New Roman"/>
        </w:rPr>
        <w:t>65</w:t>
      </w:r>
      <w:r w:rsidR="002D73E8" w:rsidRPr="00C6445D">
        <w:rPr>
          <w:rFonts w:ascii="Times" w:hAnsi="Times" w:cs="Times New Roman"/>
        </w:rPr>
        <w:t>]</w:t>
      </w:r>
      <w:r w:rsidRPr="00C6445D">
        <w:rPr>
          <w:rFonts w:ascii="Times" w:hAnsi="Times" w:cs="Times New Roman"/>
        </w:rPr>
        <w:t>.</w:t>
      </w:r>
    </w:p>
  </w:footnote>
  <w:footnote w:id="101">
    <w:p w14:paraId="6CE9CB1C" w14:textId="11DBBA45" w:rsidR="009D37E7" w:rsidRPr="00C6445D" w:rsidRDefault="009D37E7" w:rsidP="00FB49D8">
      <w:pPr>
        <w:spacing w:before="0" w:after="0" w:line="240" w:lineRule="auto"/>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Estonia v Parliament and Council</w:t>
      </w:r>
      <w:r w:rsidRPr="00C6445D">
        <w:rPr>
          <w:rFonts w:ascii="Times" w:hAnsi="Times" w:cs="Times New Roman"/>
        </w:rPr>
        <w:t xml:space="preserve"> </w:t>
      </w:r>
      <w:r w:rsidR="00140537" w:rsidRPr="00C6445D">
        <w:rPr>
          <w:rFonts w:ascii="Times" w:hAnsi="Times" w:cs="Times New Roman"/>
        </w:rPr>
        <w:t xml:space="preserve">(C-508/13) </w:t>
      </w:r>
      <w:r w:rsidRPr="00C6445D">
        <w:rPr>
          <w:rFonts w:ascii="Times" w:hAnsi="Times" w:cs="Times New Roman"/>
        </w:rPr>
        <w:t>EU:C:2015:403</w:t>
      </w:r>
      <w:r w:rsidR="002D73E8" w:rsidRPr="00C6445D">
        <w:rPr>
          <w:rFonts w:ascii="Times" w:hAnsi="Times" w:cs="Times New Roman"/>
        </w:rPr>
        <w:t xml:space="preserve"> at [2</w:t>
      </w:r>
      <w:r w:rsidRPr="00C6445D">
        <w:rPr>
          <w:rFonts w:ascii="Times" w:hAnsi="Times" w:cs="Times New Roman"/>
        </w:rPr>
        <w:t>0</w:t>
      </w:r>
      <w:r w:rsidR="002D73E8" w:rsidRPr="00C6445D">
        <w:rPr>
          <w:rFonts w:ascii="Times" w:hAnsi="Times" w:cs="Times New Roman"/>
        </w:rPr>
        <w:t>].</w:t>
      </w:r>
    </w:p>
  </w:footnote>
  <w:footnote w:id="102">
    <w:p w14:paraId="6021EC94" w14:textId="19C71460"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F46C9E" w:rsidRPr="00C6445D">
        <w:rPr>
          <w:rFonts w:ascii="Times" w:hAnsi="Times" w:cs="Times New Roman"/>
          <w:i/>
        </w:rPr>
        <w:t>Estonia v Parliament and Council</w:t>
      </w:r>
      <w:r w:rsidR="00F46C9E" w:rsidRPr="00C6445D">
        <w:rPr>
          <w:rFonts w:ascii="Times" w:hAnsi="Times" w:cs="Times New Roman"/>
        </w:rPr>
        <w:t xml:space="preserve"> at [</w:t>
      </w:r>
      <w:r w:rsidRPr="00C6445D">
        <w:rPr>
          <w:rFonts w:ascii="Times" w:hAnsi="Times" w:cs="Times New Roman"/>
        </w:rPr>
        <w:t>32-40</w:t>
      </w:r>
      <w:r w:rsidR="00F46C9E" w:rsidRPr="00C6445D">
        <w:rPr>
          <w:rFonts w:ascii="Times" w:hAnsi="Times" w:cs="Times New Roman"/>
        </w:rPr>
        <w:t>]</w:t>
      </w:r>
      <w:r w:rsidRPr="00C6445D">
        <w:rPr>
          <w:rFonts w:ascii="Times" w:hAnsi="Times" w:cs="Times New Roman"/>
        </w:rPr>
        <w:t>, For comment, see Harvey, “</w:t>
      </w:r>
      <w:r w:rsidR="004F0107" w:rsidRPr="00C6445D">
        <w:rPr>
          <w:rFonts w:ascii="Times" w:hAnsi="Times" w:cs="Times New Roman"/>
        </w:rPr>
        <w:t xml:space="preserve">Towards Process-Oriented Proportionality Review” above, </w:t>
      </w:r>
      <w:r w:rsidRPr="00C6445D">
        <w:rPr>
          <w:rFonts w:ascii="Times" w:hAnsi="Times" w:cs="Times New Roman"/>
        </w:rPr>
        <w:t>93.</w:t>
      </w:r>
    </w:p>
  </w:footnote>
  <w:footnote w:id="103">
    <w:p w14:paraId="107DC9E7" w14:textId="2E951A83"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Pillbox 38</w:t>
      </w:r>
      <w:r w:rsidRPr="00C6445D">
        <w:rPr>
          <w:rFonts w:ascii="Times" w:hAnsi="Times" w:cs="Times New Roman"/>
        </w:rPr>
        <w:t xml:space="preserve"> EU:C:2016:732</w:t>
      </w:r>
      <w:r w:rsidR="00B002CB" w:rsidRPr="00C6445D">
        <w:rPr>
          <w:rFonts w:ascii="Times" w:hAnsi="Times" w:cs="Times New Roman"/>
        </w:rPr>
        <w:t xml:space="preserve"> at [</w:t>
      </w:r>
      <w:r w:rsidRPr="00C6445D">
        <w:rPr>
          <w:rFonts w:ascii="Times" w:hAnsi="Times" w:cs="Times New Roman"/>
        </w:rPr>
        <w:t>88</w:t>
      </w:r>
      <w:r w:rsidR="00B002CB" w:rsidRPr="00C6445D">
        <w:rPr>
          <w:rFonts w:ascii="Times" w:hAnsi="Times" w:cs="Times New Roman"/>
        </w:rPr>
        <w:t>]</w:t>
      </w:r>
      <w:r w:rsidR="00E17E7F" w:rsidRPr="00C6445D">
        <w:rPr>
          <w:rFonts w:ascii="Times" w:hAnsi="Times" w:cs="Times New Roman"/>
        </w:rPr>
        <w:t xml:space="preserve">. </w:t>
      </w:r>
      <w:r w:rsidR="001A1FEC" w:rsidRPr="00C6445D">
        <w:rPr>
          <w:rFonts w:ascii="Times" w:hAnsi="Times" w:cs="Times New Roman"/>
        </w:rPr>
        <w:t>Directive 2014/40/EU of the European Parliament and of the Council of 3 April 2014 on the approximation of the laws, regulations and administrative provisions of the Member States concerning the manufacture, presentation and sale of tobacco and related products.</w:t>
      </w:r>
    </w:p>
  </w:footnote>
  <w:footnote w:id="104">
    <w:p w14:paraId="44B7581E" w14:textId="79DFE4AC"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Pillbox 38</w:t>
      </w:r>
      <w:r w:rsidRPr="00C6445D">
        <w:rPr>
          <w:rFonts w:ascii="Times" w:hAnsi="Times" w:cs="Times New Roman"/>
        </w:rPr>
        <w:t xml:space="preserve"> EU:C:2016:732</w:t>
      </w:r>
      <w:r w:rsidR="00AB6A8E" w:rsidRPr="00C6445D">
        <w:rPr>
          <w:rFonts w:ascii="Times" w:hAnsi="Times" w:cs="Times New Roman"/>
        </w:rPr>
        <w:t xml:space="preserve"> at [</w:t>
      </w:r>
      <w:r w:rsidRPr="00C6445D">
        <w:rPr>
          <w:rFonts w:ascii="Times" w:hAnsi="Times" w:cs="Times New Roman"/>
        </w:rPr>
        <w:t>96</w:t>
      </w:r>
      <w:r w:rsidR="00AB6A8E" w:rsidRPr="00C6445D">
        <w:rPr>
          <w:rFonts w:ascii="Times" w:hAnsi="Times" w:cs="Times New Roman"/>
        </w:rPr>
        <w:t>]</w:t>
      </w:r>
      <w:r w:rsidRPr="00C6445D">
        <w:rPr>
          <w:rFonts w:ascii="Times" w:hAnsi="Times" w:cs="Times New Roman"/>
        </w:rPr>
        <w:t xml:space="preserve">. </w:t>
      </w:r>
    </w:p>
  </w:footnote>
  <w:footnote w:id="105">
    <w:p w14:paraId="48BC4F63" w14:textId="47EFA0E9" w:rsidR="009D37E7" w:rsidRPr="00C6445D" w:rsidRDefault="009D37E7" w:rsidP="00FB49D8">
      <w:pPr>
        <w:spacing w:before="0" w:after="0" w:line="240" w:lineRule="auto"/>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Philip Morris Brands and Others</w:t>
      </w:r>
      <w:r w:rsidRPr="00C6445D">
        <w:rPr>
          <w:rFonts w:ascii="Times" w:hAnsi="Times" w:cs="Times New Roman"/>
        </w:rPr>
        <w:t xml:space="preserve"> </w:t>
      </w:r>
      <w:r w:rsidR="00AF2090" w:rsidRPr="00C6445D">
        <w:rPr>
          <w:rFonts w:ascii="Times" w:hAnsi="Times" w:cs="Times New Roman"/>
        </w:rPr>
        <w:t xml:space="preserve">(C-547/14) </w:t>
      </w:r>
      <w:r w:rsidRPr="00C6445D">
        <w:rPr>
          <w:rFonts w:ascii="Times" w:hAnsi="Times" w:cs="Times New Roman"/>
        </w:rPr>
        <w:t>EU:C:2016:325</w:t>
      </w:r>
      <w:r w:rsidR="00AB6A8E" w:rsidRPr="00C6445D">
        <w:rPr>
          <w:rFonts w:ascii="Times" w:hAnsi="Times" w:cs="Times New Roman"/>
        </w:rPr>
        <w:t xml:space="preserve"> at [1</w:t>
      </w:r>
      <w:r w:rsidRPr="00C6445D">
        <w:rPr>
          <w:rFonts w:ascii="Times" w:hAnsi="Times" w:cs="Times New Roman"/>
        </w:rPr>
        <w:t>89-190</w:t>
      </w:r>
      <w:r w:rsidR="00AB6A8E" w:rsidRPr="00C6445D">
        <w:rPr>
          <w:rFonts w:ascii="Times" w:hAnsi="Times" w:cs="Times New Roman"/>
        </w:rPr>
        <w:t>]</w:t>
      </w:r>
      <w:r w:rsidRPr="00C6445D">
        <w:rPr>
          <w:rFonts w:ascii="Times" w:hAnsi="Times" w:cs="Times New Roman"/>
        </w:rPr>
        <w:t xml:space="preserve">. See further, </w:t>
      </w:r>
      <w:r w:rsidRPr="00C6445D">
        <w:rPr>
          <w:rFonts w:ascii="Times" w:hAnsi="Times" w:cs="Times New Roman"/>
          <w:i/>
        </w:rPr>
        <w:t xml:space="preserve">Slovakia v Council </w:t>
      </w:r>
      <w:r w:rsidR="001815C6" w:rsidRPr="00C6445D">
        <w:rPr>
          <w:rFonts w:ascii="Times" w:hAnsi="Times" w:cs="Times New Roman"/>
          <w:i/>
        </w:rPr>
        <w:t>(</w:t>
      </w:r>
      <w:r w:rsidR="001815C6" w:rsidRPr="00C6445D">
        <w:rPr>
          <w:rFonts w:ascii="Times" w:hAnsi="Times" w:cs="Times New Roman"/>
        </w:rPr>
        <w:t xml:space="preserve">C-643/15) </w:t>
      </w:r>
      <w:r w:rsidRPr="00C6445D">
        <w:rPr>
          <w:rFonts w:ascii="Times" w:hAnsi="Times" w:cs="Times New Roman"/>
        </w:rPr>
        <w:t>EU:C:2017:631</w:t>
      </w:r>
      <w:r w:rsidR="00891F66" w:rsidRPr="00C6445D">
        <w:rPr>
          <w:rFonts w:ascii="Times" w:hAnsi="Times" w:cs="Times New Roman"/>
        </w:rPr>
        <w:t xml:space="preserve"> at [2</w:t>
      </w:r>
      <w:r w:rsidRPr="00C6445D">
        <w:rPr>
          <w:rFonts w:ascii="Times" w:hAnsi="Times" w:cs="Times New Roman"/>
        </w:rPr>
        <w:t>40</w:t>
      </w:r>
      <w:r w:rsidR="00891F66" w:rsidRPr="00C6445D">
        <w:rPr>
          <w:rFonts w:ascii="Times" w:hAnsi="Times" w:cs="Times New Roman"/>
        </w:rPr>
        <w:t>]</w:t>
      </w:r>
      <w:r w:rsidRPr="00C6445D">
        <w:rPr>
          <w:rFonts w:ascii="Times" w:hAnsi="Times" w:cs="Times New Roman"/>
        </w:rPr>
        <w:t xml:space="preserve">, </w:t>
      </w:r>
      <w:r w:rsidR="00891F66" w:rsidRPr="00C6445D">
        <w:rPr>
          <w:rFonts w:ascii="Times" w:hAnsi="Times" w:cs="Times New Roman"/>
        </w:rPr>
        <w:t>[</w:t>
      </w:r>
      <w:r w:rsidRPr="00C6445D">
        <w:rPr>
          <w:rFonts w:ascii="Times" w:hAnsi="Times" w:cs="Times New Roman"/>
        </w:rPr>
        <w:t>267</w:t>
      </w:r>
      <w:r w:rsidR="00891F66" w:rsidRPr="00C6445D">
        <w:rPr>
          <w:rFonts w:ascii="Times" w:hAnsi="Times" w:cs="Times New Roman"/>
        </w:rPr>
        <w:t>]</w:t>
      </w:r>
      <w:r w:rsidRPr="00C6445D">
        <w:rPr>
          <w:rFonts w:ascii="Times" w:hAnsi="Times" w:cs="Times New Roman"/>
        </w:rPr>
        <w:t xml:space="preserve">; </w:t>
      </w:r>
      <w:r w:rsidRPr="00C6445D">
        <w:rPr>
          <w:rFonts w:ascii="Times" w:hAnsi="Times" w:cs="Times New Roman"/>
          <w:i/>
        </w:rPr>
        <w:t>Pillbox 38</w:t>
      </w:r>
      <w:r w:rsidRPr="00C6445D">
        <w:rPr>
          <w:rFonts w:ascii="Times" w:hAnsi="Times" w:cs="Times New Roman"/>
        </w:rPr>
        <w:t xml:space="preserve"> EU:C:2016:732</w:t>
      </w:r>
      <w:r w:rsidR="001B58A7" w:rsidRPr="00C6445D">
        <w:rPr>
          <w:rFonts w:ascii="Times" w:hAnsi="Times" w:cs="Times New Roman"/>
        </w:rPr>
        <w:t xml:space="preserve"> at [</w:t>
      </w:r>
      <w:r w:rsidRPr="00C6445D">
        <w:rPr>
          <w:rFonts w:ascii="Times" w:hAnsi="Times" w:cs="Times New Roman"/>
        </w:rPr>
        <w:t>129</w:t>
      </w:r>
      <w:r w:rsidR="001B58A7" w:rsidRPr="00C6445D">
        <w:rPr>
          <w:rFonts w:ascii="Times" w:hAnsi="Times" w:cs="Times New Roman"/>
        </w:rPr>
        <w:t>]</w:t>
      </w:r>
      <w:r w:rsidRPr="00C6445D">
        <w:rPr>
          <w:rFonts w:ascii="Times" w:hAnsi="Times" w:cs="Times New Roman"/>
        </w:rPr>
        <w:t>.</w:t>
      </w:r>
      <w:r w:rsidR="00BE6B5A" w:rsidRPr="00C6445D">
        <w:rPr>
          <w:rFonts w:ascii="Times" w:hAnsi="Times" w:cs="Times New Roman"/>
        </w:rPr>
        <w:t xml:space="preserve"> </w:t>
      </w:r>
      <w:r w:rsidRPr="00C6445D">
        <w:rPr>
          <w:rFonts w:ascii="Times" w:hAnsi="Times" w:cs="Times New Roman"/>
          <w:i/>
        </w:rPr>
        <w:t>Poland v Parliament and Council</w:t>
      </w:r>
      <w:r w:rsidRPr="00C6445D">
        <w:rPr>
          <w:rFonts w:ascii="Times" w:hAnsi="Times" w:cs="Times New Roman"/>
        </w:rPr>
        <w:t xml:space="preserve"> </w:t>
      </w:r>
      <w:r w:rsidR="00BE6B5A" w:rsidRPr="00C6445D">
        <w:rPr>
          <w:rFonts w:ascii="Times" w:hAnsi="Times" w:cs="Times New Roman"/>
        </w:rPr>
        <w:t xml:space="preserve">(C-358/14) </w:t>
      </w:r>
      <w:r w:rsidRPr="00C6445D">
        <w:rPr>
          <w:rFonts w:ascii="Times" w:hAnsi="Times" w:cs="Times New Roman"/>
        </w:rPr>
        <w:t>EU:C:2016:323,</w:t>
      </w:r>
      <w:r w:rsidR="001E77C3" w:rsidRPr="00C6445D">
        <w:rPr>
          <w:rFonts w:ascii="Times" w:hAnsi="Times" w:cs="Times New Roman"/>
        </w:rPr>
        <w:t xml:space="preserve"> at</w:t>
      </w:r>
      <w:r w:rsidRPr="00C6445D">
        <w:rPr>
          <w:rFonts w:ascii="Times" w:hAnsi="Times" w:cs="Times New Roman"/>
        </w:rPr>
        <w:t xml:space="preserve"> </w:t>
      </w:r>
      <w:r w:rsidR="001E77C3" w:rsidRPr="00C6445D">
        <w:rPr>
          <w:rFonts w:ascii="Times" w:hAnsi="Times" w:cs="Times New Roman"/>
        </w:rPr>
        <w:t>[</w:t>
      </w:r>
      <w:r w:rsidRPr="00C6445D">
        <w:rPr>
          <w:rFonts w:ascii="Times" w:hAnsi="Times" w:cs="Times New Roman"/>
        </w:rPr>
        <w:t>101</w:t>
      </w:r>
      <w:r w:rsidR="001E77C3" w:rsidRPr="00C6445D">
        <w:rPr>
          <w:rFonts w:ascii="Times" w:hAnsi="Times" w:cs="Times New Roman"/>
        </w:rPr>
        <w:t>]</w:t>
      </w:r>
      <w:r w:rsidRPr="00C6445D">
        <w:rPr>
          <w:rFonts w:ascii="Times" w:hAnsi="Times" w:cs="Times New Roman"/>
        </w:rPr>
        <w:t>.</w:t>
      </w:r>
    </w:p>
  </w:footnote>
  <w:footnote w:id="106">
    <w:p w14:paraId="0C58FA16" w14:textId="31E5361A" w:rsidR="00912DF0" w:rsidRPr="00C6445D" w:rsidRDefault="00912DF0"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Oberg “The procedural paradigm” above,  250. See also</w:t>
      </w:r>
      <w:r w:rsidR="00E1435E" w:rsidRPr="00C6445D">
        <w:rPr>
          <w:rFonts w:ascii="Times" w:hAnsi="Times" w:cs="Times New Roman"/>
        </w:rPr>
        <w:t xml:space="preserve">, W. Vandenbruwaene “Multi-tiered political questions: The ECJ's Mandate in Enforcing Subsidiarity”, (2012) 6 Leg. 321, 342, describing </w:t>
      </w:r>
      <w:r w:rsidR="00E1435E" w:rsidRPr="00C6445D">
        <w:rPr>
          <w:rFonts w:ascii="Times" w:hAnsi="Times" w:cs="Times New Roman"/>
          <w:i/>
          <w:iCs/>
        </w:rPr>
        <w:t>Vodafone</w:t>
      </w:r>
      <w:r w:rsidR="000D0A7E" w:rsidRPr="00C6445D">
        <w:rPr>
          <w:rFonts w:ascii="Times" w:hAnsi="Times" w:cs="Times New Roman"/>
          <w:i/>
          <w:iCs/>
        </w:rPr>
        <w:t xml:space="preserve"> </w:t>
      </w:r>
      <w:r w:rsidR="00413C8F" w:rsidRPr="00C6445D">
        <w:rPr>
          <w:rFonts w:ascii="Times" w:hAnsi="Times" w:cs="Times New Roman"/>
          <w:i/>
          <w:iCs/>
        </w:rPr>
        <w:t>(</w:t>
      </w:r>
      <w:r w:rsidR="00413C8F" w:rsidRPr="00C6445D">
        <w:rPr>
          <w:rFonts w:ascii="Times" w:hAnsi="Times" w:cs="Times New Roman"/>
        </w:rPr>
        <w:t xml:space="preserve">C-58/08) </w:t>
      </w:r>
      <w:r w:rsidR="000D0A7E" w:rsidRPr="00C6445D">
        <w:rPr>
          <w:rFonts w:ascii="Times" w:hAnsi="Times" w:cs="Times New Roman"/>
        </w:rPr>
        <w:t>EU:C:2010:321</w:t>
      </w:r>
      <w:r w:rsidR="00B611DB" w:rsidRPr="00C6445D">
        <w:rPr>
          <w:rFonts w:ascii="Times" w:hAnsi="Times" w:cs="Times New Roman"/>
        </w:rPr>
        <w:t>, as adopting the findings of the legislature “without scrutinizing their merit”</w:t>
      </w:r>
      <w:r w:rsidR="00C80CF9" w:rsidRPr="00C6445D">
        <w:rPr>
          <w:rFonts w:ascii="Times" w:hAnsi="Times" w:cs="Times New Roman"/>
        </w:rPr>
        <w:t>.</w:t>
      </w:r>
    </w:p>
  </w:footnote>
  <w:footnote w:id="107">
    <w:p w14:paraId="0D57D3B8" w14:textId="6BF8332C" w:rsidR="009D37E7" w:rsidRPr="00C6445D" w:rsidRDefault="009D37E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B972D2" w:rsidRPr="00C6445D">
        <w:rPr>
          <w:rFonts w:ascii="Times" w:hAnsi="Times" w:cs="Times New Roman"/>
        </w:rPr>
        <w:t xml:space="preserve">R. </w:t>
      </w:r>
      <w:r w:rsidRPr="00C6445D">
        <w:rPr>
          <w:rFonts w:ascii="Times" w:hAnsi="Times" w:cs="Times New Roman"/>
        </w:rPr>
        <w:t xml:space="preserve">Van Gestel and </w:t>
      </w:r>
      <w:r w:rsidR="00B85D2D" w:rsidRPr="00C6445D">
        <w:rPr>
          <w:rFonts w:ascii="Times" w:hAnsi="Times" w:cs="Times New Roman"/>
        </w:rPr>
        <w:t xml:space="preserve">M. </w:t>
      </w:r>
      <w:r w:rsidRPr="00C6445D">
        <w:rPr>
          <w:rFonts w:ascii="Times" w:hAnsi="Times" w:cs="Times New Roman"/>
        </w:rPr>
        <w:t>Menting “Ex Ante Evaluation and Alternatives to Legislation: Going Dutch?” (2011)</w:t>
      </w:r>
      <w:r w:rsidR="005F32DC" w:rsidRPr="00C6445D">
        <w:rPr>
          <w:rFonts w:ascii="Times" w:hAnsi="Times" w:cs="Times New Roman"/>
        </w:rPr>
        <w:t xml:space="preserve"> 32</w:t>
      </w:r>
      <w:r w:rsidRPr="00C6445D">
        <w:rPr>
          <w:rFonts w:ascii="Times" w:hAnsi="Times" w:cs="Times New Roman"/>
        </w:rPr>
        <w:t xml:space="preserve"> </w:t>
      </w:r>
      <w:r w:rsidR="00843653" w:rsidRPr="00C6445D">
        <w:rPr>
          <w:rFonts w:ascii="Times" w:hAnsi="Times" w:cs="Times New Roman"/>
        </w:rPr>
        <w:t xml:space="preserve">Stat.L.R. </w:t>
      </w:r>
      <w:r w:rsidRPr="00C6445D">
        <w:rPr>
          <w:rFonts w:ascii="Times" w:hAnsi="Times" w:cs="Times New Roman"/>
        </w:rPr>
        <w:t>209, 218.</w:t>
      </w:r>
    </w:p>
  </w:footnote>
  <w:footnote w:id="108">
    <w:p w14:paraId="7D61FF39" w14:textId="23B763CB" w:rsidR="009D37E7" w:rsidRPr="00C6445D" w:rsidRDefault="009D37E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Harvey </w:t>
      </w:r>
      <w:r w:rsidR="00A16380" w:rsidRPr="00C6445D">
        <w:rPr>
          <w:rFonts w:ascii="Times" w:hAnsi="Times" w:cs="Times New Roman"/>
        </w:rPr>
        <w:t>“</w:t>
      </w:r>
      <w:r w:rsidR="00E23F6E" w:rsidRPr="00C6445D">
        <w:rPr>
          <w:rFonts w:ascii="Times" w:hAnsi="Times" w:cs="Times New Roman"/>
        </w:rPr>
        <w:t>Towards Process-Oriented Proportionality Review</w:t>
      </w:r>
      <w:r w:rsidR="00A16380" w:rsidRPr="00C6445D">
        <w:rPr>
          <w:rFonts w:ascii="Times" w:hAnsi="Times" w:cs="Times New Roman"/>
        </w:rPr>
        <w:t xml:space="preserve">” </w:t>
      </w:r>
      <w:r w:rsidR="003D2493" w:rsidRPr="00C6445D">
        <w:rPr>
          <w:rFonts w:ascii="Times" w:hAnsi="Times" w:cs="Times New Roman"/>
        </w:rPr>
        <w:t>above</w:t>
      </w:r>
      <w:r w:rsidRPr="00C6445D">
        <w:rPr>
          <w:rFonts w:ascii="Times" w:hAnsi="Times" w:cs="Times New Roman"/>
        </w:rPr>
        <w:t>, 120.</w:t>
      </w:r>
    </w:p>
  </w:footnote>
  <w:footnote w:id="109">
    <w:p w14:paraId="3389358E" w14:textId="58B3D110"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Nic Shuibhne and Maci</w:t>
      </w:r>
      <w:r w:rsidR="00ED1770" w:rsidRPr="00C6445D">
        <w:rPr>
          <w:rFonts w:ascii="Times" w:hAnsi="Times" w:cs="Times New Roman"/>
        </w:rPr>
        <w:t xml:space="preserve"> </w:t>
      </w:r>
      <w:r w:rsidR="00DD4ED0" w:rsidRPr="00C6445D">
        <w:rPr>
          <w:rFonts w:ascii="Times" w:hAnsi="Times" w:cs="Times New Roman"/>
        </w:rPr>
        <w:t>“</w:t>
      </w:r>
      <w:r w:rsidR="00872D78" w:rsidRPr="00C6445D">
        <w:rPr>
          <w:rFonts w:ascii="Times" w:hAnsi="Times" w:cs="Times New Roman"/>
        </w:rPr>
        <w:t xml:space="preserve">Evidence” </w:t>
      </w:r>
      <w:r w:rsidR="00ED1770" w:rsidRPr="00C6445D">
        <w:rPr>
          <w:rFonts w:ascii="Times" w:hAnsi="Times" w:cs="Times New Roman"/>
        </w:rPr>
        <w:t>above</w:t>
      </w:r>
      <w:r w:rsidRPr="00C6445D">
        <w:rPr>
          <w:rFonts w:ascii="Times" w:hAnsi="Times" w:cs="Times New Roman"/>
        </w:rPr>
        <w:t>,</w:t>
      </w:r>
      <w:r w:rsidR="00ED1770" w:rsidRPr="00C6445D">
        <w:rPr>
          <w:rFonts w:ascii="Times" w:hAnsi="Times" w:cs="Times New Roman"/>
        </w:rPr>
        <w:t xml:space="preserve"> </w:t>
      </w:r>
      <w:r w:rsidRPr="00C6445D">
        <w:rPr>
          <w:rFonts w:ascii="Times" w:hAnsi="Times" w:cs="Times New Roman"/>
        </w:rPr>
        <w:t>988.</w:t>
      </w:r>
    </w:p>
  </w:footnote>
  <w:footnote w:id="110">
    <w:p w14:paraId="31D84834" w14:textId="08E6C5D3" w:rsidR="009D37E7" w:rsidRPr="00C6445D" w:rsidRDefault="009D37E7"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It should be pointed out that there is some gambling case law which incorporates procedural elements. For example, </w:t>
      </w:r>
      <w:r w:rsidRPr="00C6445D">
        <w:rPr>
          <w:rFonts w:ascii="Times" w:hAnsi="Times" w:cs="Times New Roman"/>
          <w:i/>
        </w:rPr>
        <w:t>Gambelli and Others</w:t>
      </w:r>
      <w:r w:rsidRPr="00C6445D">
        <w:rPr>
          <w:rFonts w:ascii="Times" w:hAnsi="Times" w:cs="Times New Roman"/>
        </w:rPr>
        <w:t xml:space="preserve"> </w:t>
      </w:r>
      <w:r w:rsidR="000B29F9" w:rsidRPr="00C6445D">
        <w:rPr>
          <w:rFonts w:ascii="Times" w:hAnsi="Times" w:cs="Times New Roman"/>
        </w:rPr>
        <w:t xml:space="preserve">(Case C-243/01) </w:t>
      </w:r>
      <w:r w:rsidRPr="00C6445D">
        <w:rPr>
          <w:rFonts w:ascii="Times" w:hAnsi="Times" w:cs="Times New Roman"/>
        </w:rPr>
        <w:t>EU:C:2003:597 considered the context of Italy’s gambling regulation, including the fact that it was expanding betting and gaming at the national level. However, the general reference to gambling cases as procedural because they are deferential is a conflation that ought to be avoided.</w:t>
      </w:r>
    </w:p>
  </w:footnote>
  <w:footnote w:id="111">
    <w:p w14:paraId="0206EBF8" w14:textId="7A0E16E1" w:rsidR="00AF1AE5" w:rsidRPr="00C6445D" w:rsidRDefault="00AF1AE5"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BB6E50" w:rsidRPr="00C6445D">
        <w:rPr>
          <w:rFonts w:ascii="Times" w:hAnsi="Times" w:cs="Times New Roman"/>
          <w:i/>
        </w:rPr>
        <w:t>Her Majesty’s Customs and Excise v Schindler</w:t>
      </w:r>
      <w:r w:rsidR="00BB6E50" w:rsidRPr="00C6445D">
        <w:rPr>
          <w:rFonts w:ascii="Times" w:hAnsi="Times" w:cs="Times New Roman"/>
        </w:rPr>
        <w:t xml:space="preserve"> </w:t>
      </w:r>
      <w:r w:rsidR="00200EBB" w:rsidRPr="00C6445D">
        <w:rPr>
          <w:rFonts w:ascii="Times" w:hAnsi="Times" w:cs="Times New Roman"/>
        </w:rPr>
        <w:t xml:space="preserve">(C-275/92) </w:t>
      </w:r>
      <w:r w:rsidR="00BB6E50" w:rsidRPr="00C6445D">
        <w:rPr>
          <w:rFonts w:ascii="Times" w:hAnsi="Times" w:cs="Times New Roman"/>
        </w:rPr>
        <w:t>EU:C:1994:119</w:t>
      </w:r>
      <w:r w:rsidR="00057AA3" w:rsidRPr="00C6445D">
        <w:rPr>
          <w:rFonts w:ascii="Times" w:hAnsi="Times" w:cs="Times New Roman"/>
        </w:rPr>
        <w:t xml:space="preserve"> at [</w:t>
      </w:r>
      <w:r w:rsidR="00FD7F74" w:rsidRPr="00C6445D">
        <w:rPr>
          <w:rFonts w:ascii="Times" w:hAnsi="Times" w:cs="Times New Roman"/>
        </w:rPr>
        <w:t>60</w:t>
      </w:r>
      <w:r w:rsidR="00057AA3" w:rsidRPr="00C6445D">
        <w:rPr>
          <w:rFonts w:ascii="Times" w:hAnsi="Times" w:cs="Times New Roman"/>
        </w:rPr>
        <w:t>]</w:t>
      </w:r>
      <w:r w:rsidR="00FD7F74" w:rsidRPr="00C6445D">
        <w:rPr>
          <w:rFonts w:ascii="Times" w:hAnsi="Times" w:cs="Times New Roman"/>
        </w:rPr>
        <w:t>.</w:t>
      </w:r>
    </w:p>
  </w:footnote>
  <w:footnote w:id="112">
    <w:p w14:paraId="0DD0118A" w14:textId="7FAC0F7C"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205A5E" w:rsidRPr="00C6445D">
        <w:rPr>
          <w:rFonts w:ascii="Times" w:hAnsi="Times" w:cs="Times New Roman"/>
        </w:rPr>
        <w:t xml:space="preserve">S. </w:t>
      </w:r>
      <w:r w:rsidRPr="00C6445D">
        <w:rPr>
          <w:rFonts w:ascii="Times" w:hAnsi="Times" w:cs="Times New Roman"/>
        </w:rPr>
        <w:t xml:space="preserve">Van den Bogaert and </w:t>
      </w:r>
      <w:r w:rsidR="00205A5E" w:rsidRPr="00C6445D">
        <w:rPr>
          <w:rFonts w:ascii="Times" w:hAnsi="Times" w:cs="Times New Roman"/>
        </w:rPr>
        <w:t xml:space="preserve">A. </w:t>
      </w:r>
      <w:r w:rsidRPr="00C6445D">
        <w:rPr>
          <w:rFonts w:ascii="Times" w:hAnsi="Times" w:cs="Times New Roman"/>
        </w:rPr>
        <w:t xml:space="preserve">Cuyvers, “Money for nothing: The case law of the EU Court of Justice on the regulation of gambling”, </w:t>
      </w:r>
      <w:r w:rsidR="00C80F44" w:rsidRPr="00C6445D">
        <w:rPr>
          <w:rFonts w:ascii="Times" w:hAnsi="Times" w:cs="Times New Roman"/>
        </w:rPr>
        <w:t xml:space="preserve">(2011) </w:t>
      </w:r>
      <w:r w:rsidRPr="00C6445D">
        <w:rPr>
          <w:rFonts w:ascii="Times" w:hAnsi="Times" w:cs="Times New Roman"/>
        </w:rPr>
        <w:t xml:space="preserve">48 </w:t>
      </w:r>
      <w:r w:rsidR="00BD4892" w:rsidRPr="00C6445D">
        <w:rPr>
          <w:rFonts w:ascii="Times" w:hAnsi="Times" w:cs="Times New Roman"/>
        </w:rPr>
        <w:t>C.M.L. Rev.</w:t>
      </w:r>
      <w:r w:rsidRPr="00C6445D">
        <w:rPr>
          <w:rFonts w:ascii="Times" w:hAnsi="Times" w:cs="Times New Roman"/>
        </w:rPr>
        <w:t xml:space="preserve"> 1175, 1208</w:t>
      </w:r>
      <w:r w:rsidR="00E04ED6" w:rsidRPr="00C6445D">
        <w:rPr>
          <w:rFonts w:ascii="Times" w:hAnsi="Times" w:cs="Times New Roman"/>
        </w:rPr>
        <w:t>: Thus “the key argument that the same effect could be reached with less restrictive measures is made irrelevant”</w:t>
      </w:r>
      <w:r w:rsidR="00FD419A" w:rsidRPr="00C6445D">
        <w:rPr>
          <w:rFonts w:ascii="Times" w:hAnsi="Times" w:cs="Times New Roman"/>
        </w:rPr>
        <w:t>.</w:t>
      </w:r>
    </w:p>
  </w:footnote>
  <w:footnote w:id="113">
    <w:p w14:paraId="023DA6AA" w14:textId="75456CD5"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D36586" w:rsidRPr="00C6445D">
        <w:rPr>
          <w:rFonts w:ascii="Times" w:hAnsi="Times" w:cs="Times New Roman"/>
        </w:rPr>
        <w:t>Van den Bogaert and Cuyvers</w:t>
      </w:r>
      <w:r w:rsidR="00534699" w:rsidRPr="00C6445D">
        <w:rPr>
          <w:rFonts w:ascii="Times" w:hAnsi="Times" w:cs="Times New Roman"/>
        </w:rPr>
        <w:t xml:space="preserve"> “Money for Nothing above</w:t>
      </w:r>
      <w:r w:rsidR="00D36586" w:rsidRPr="00C6445D">
        <w:rPr>
          <w:rFonts w:ascii="Times" w:hAnsi="Times" w:cs="Times New Roman"/>
        </w:rPr>
        <w:t xml:space="preserve">, </w:t>
      </w:r>
      <w:r w:rsidRPr="00C6445D">
        <w:rPr>
          <w:rFonts w:ascii="Times" w:hAnsi="Times" w:cs="Times New Roman"/>
        </w:rPr>
        <w:t>1208.</w:t>
      </w:r>
      <w:r w:rsidR="00242F86" w:rsidRPr="00C6445D">
        <w:rPr>
          <w:rFonts w:ascii="Times" w:hAnsi="Times" w:cs="Times New Roman"/>
        </w:rPr>
        <w:t xml:space="preserve"> This contrasts with the general standard of review, where an intense application of the less restrictive measure test can result in the Court dictating policy to Member States, see De Witte </w:t>
      </w:r>
      <w:r w:rsidR="00B86F6F" w:rsidRPr="00C6445D">
        <w:rPr>
          <w:rFonts w:ascii="Times" w:hAnsi="Times" w:cs="Times New Roman"/>
        </w:rPr>
        <w:t>“Sex, Drugs and EU Law”</w:t>
      </w:r>
      <w:r w:rsidR="002F230D" w:rsidRPr="00C6445D">
        <w:rPr>
          <w:rFonts w:ascii="Times" w:hAnsi="Times" w:cs="Times New Roman"/>
        </w:rPr>
        <w:t xml:space="preserve"> above</w:t>
      </w:r>
      <w:r w:rsidR="00242F86" w:rsidRPr="00C6445D">
        <w:rPr>
          <w:rFonts w:ascii="Times" w:hAnsi="Times" w:cs="Times New Roman"/>
        </w:rPr>
        <w:t>, 1568.</w:t>
      </w:r>
    </w:p>
  </w:footnote>
  <w:footnote w:id="114">
    <w:p w14:paraId="43217843" w14:textId="55E21D43" w:rsidR="009D37E7" w:rsidRPr="00C6445D" w:rsidRDefault="009D37E7"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iCs/>
        </w:rPr>
        <w:t>Omega</w:t>
      </w:r>
      <w:r w:rsidRPr="00C6445D">
        <w:rPr>
          <w:rFonts w:ascii="Times" w:hAnsi="Times" w:cs="Times New Roman"/>
        </w:rPr>
        <w:t xml:space="preserve"> </w:t>
      </w:r>
      <w:r w:rsidR="00C44790" w:rsidRPr="00C6445D">
        <w:rPr>
          <w:rFonts w:ascii="Times" w:hAnsi="Times" w:cs="Times New Roman"/>
        </w:rPr>
        <w:t xml:space="preserve">(C-36/02) </w:t>
      </w:r>
      <w:r w:rsidRPr="00C6445D">
        <w:rPr>
          <w:rFonts w:ascii="Times" w:hAnsi="Times" w:cs="Times New Roman"/>
        </w:rPr>
        <w:t xml:space="preserve">EU:C:2004:614. </w:t>
      </w:r>
      <w:r w:rsidR="00F448AC" w:rsidRPr="00C6445D">
        <w:rPr>
          <w:rFonts w:ascii="Times" w:hAnsi="Times" w:cs="Times New Roman"/>
        </w:rPr>
        <w:t xml:space="preserve">See </w:t>
      </w:r>
      <w:r w:rsidRPr="00C6445D">
        <w:rPr>
          <w:rFonts w:ascii="Times" w:hAnsi="Times" w:cs="Times New Roman"/>
        </w:rPr>
        <w:t xml:space="preserve">De Witte </w:t>
      </w:r>
      <w:r w:rsidR="00B86F6F" w:rsidRPr="00C6445D">
        <w:rPr>
          <w:rFonts w:ascii="Times" w:hAnsi="Times" w:cs="Times New Roman"/>
        </w:rPr>
        <w:t xml:space="preserve">“Sex, Drugs and EU Law” </w:t>
      </w:r>
      <w:r w:rsidR="009B4EB6" w:rsidRPr="00C6445D">
        <w:rPr>
          <w:rFonts w:ascii="Times" w:hAnsi="Times" w:cs="Times New Roman"/>
        </w:rPr>
        <w:t>above</w:t>
      </w:r>
      <w:r w:rsidRPr="00C6445D">
        <w:rPr>
          <w:rFonts w:ascii="Times" w:hAnsi="Times" w:cs="Times New Roman"/>
        </w:rPr>
        <w:t>, 1571</w:t>
      </w:r>
    </w:p>
  </w:footnote>
  <w:footnote w:id="115">
    <w:p w14:paraId="603FD645" w14:textId="6AE69A45" w:rsidR="000D578E" w:rsidRPr="00C6445D" w:rsidRDefault="000D578E"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It should be noted that the Court is far from consistent in having regard to procedural elements</w:t>
      </w:r>
      <w:r w:rsidR="007A36BC" w:rsidRPr="00C6445D">
        <w:rPr>
          <w:rFonts w:ascii="Times" w:hAnsi="Times" w:cs="Times New Roman"/>
        </w:rPr>
        <w:t xml:space="preserve">. In fact, in </w:t>
      </w:r>
      <w:r w:rsidR="007A36BC" w:rsidRPr="00C6445D">
        <w:rPr>
          <w:rFonts w:ascii="Times" w:hAnsi="Times" w:cs="Times New Roman"/>
          <w:i/>
          <w:iCs/>
        </w:rPr>
        <w:t>Scotch Whisky</w:t>
      </w:r>
      <w:r w:rsidR="007A36BC" w:rsidRPr="00C6445D">
        <w:rPr>
          <w:rFonts w:ascii="Times" w:hAnsi="Times" w:cs="Times New Roman"/>
        </w:rPr>
        <w:t>, the Court explicitly excludes the idea that review should only be conducted on the basis of information available during the decision-making process.</w:t>
      </w:r>
      <w:r w:rsidR="00B76241" w:rsidRPr="00C6445D">
        <w:rPr>
          <w:rFonts w:ascii="Times" w:hAnsi="Times" w:cs="Times New Roman"/>
        </w:rPr>
        <w:t xml:space="preserve"> In assessing evidence</w:t>
      </w:r>
      <w:r w:rsidR="00643D3E" w:rsidRPr="00C6445D">
        <w:rPr>
          <w:rFonts w:ascii="Times" w:hAnsi="Times" w:cs="Times New Roman"/>
        </w:rPr>
        <w:t>, it is not only that available to the Member State at the time the measure was passed that could be considered by the Court, but also all information available at the date of the ruling</w:t>
      </w:r>
      <w:r w:rsidR="00BF076C" w:rsidRPr="00C6445D">
        <w:rPr>
          <w:rFonts w:ascii="Times" w:hAnsi="Times" w:cs="Times New Roman"/>
        </w:rPr>
        <w:t>.</w:t>
      </w:r>
      <w:r w:rsidR="007013D2" w:rsidRPr="00C6445D">
        <w:rPr>
          <w:rFonts w:ascii="Times" w:hAnsi="Times" w:cs="Times New Roman"/>
        </w:rPr>
        <w:t xml:space="preserve"> See</w:t>
      </w:r>
      <w:r w:rsidR="00F10499" w:rsidRPr="00C6445D">
        <w:rPr>
          <w:rFonts w:ascii="Times" w:hAnsi="Times" w:cs="Times New Roman"/>
        </w:rPr>
        <w:t>,</w:t>
      </w:r>
      <w:r w:rsidR="007013D2" w:rsidRPr="00C6445D">
        <w:rPr>
          <w:rFonts w:ascii="Times" w:hAnsi="Times" w:cs="Times New Roman"/>
        </w:rPr>
        <w:t xml:space="preserve"> </w:t>
      </w:r>
      <w:r w:rsidR="007013D2" w:rsidRPr="00C6445D">
        <w:rPr>
          <w:rFonts w:ascii="Times" w:hAnsi="Times" w:cs="Times New Roman"/>
          <w:i/>
        </w:rPr>
        <w:t>Scotch Whiskey</w:t>
      </w:r>
      <w:r w:rsidR="007013D2" w:rsidRPr="00C6445D">
        <w:rPr>
          <w:rFonts w:ascii="Times" w:hAnsi="Times" w:cs="Times New Roman"/>
        </w:rPr>
        <w:t xml:space="preserve"> </w:t>
      </w:r>
      <w:r w:rsidR="00B475B3" w:rsidRPr="00C6445D">
        <w:rPr>
          <w:rFonts w:ascii="Times" w:hAnsi="Times" w:cs="Times New Roman"/>
        </w:rPr>
        <w:t xml:space="preserve">(C-333/14) </w:t>
      </w:r>
      <w:r w:rsidR="007013D2" w:rsidRPr="00C6445D">
        <w:rPr>
          <w:rFonts w:ascii="Times" w:hAnsi="Times" w:cs="Times New Roman"/>
        </w:rPr>
        <w:t>EU:C:2015:845</w:t>
      </w:r>
      <w:r w:rsidR="00F02C57" w:rsidRPr="00C6445D">
        <w:rPr>
          <w:rFonts w:ascii="Times" w:hAnsi="Times" w:cs="Times New Roman"/>
        </w:rPr>
        <w:t xml:space="preserve"> at [</w:t>
      </w:r>
      <w:r w:rsidR="007013D2" w:rsidRPr="00C6445D">
        <w:rPr>
          <w:rFonts w:ascii="Times" w:hAnsi="Times" w:cs="Times New Roman"/>
        </w:rPr>
        <w:t>65</w:t>
      </w:r>
      <w:r w:rsidR="00F02C57" w:rsidRPr="00C6445D">
        <w:rPr>
          <w:rFonts w:ascii="Times" w:hAnsi="Times" w:cs="Times New Roman"/>
        </w:rPr>
        <w:t>]</w:t>
      </w:r>
      <w:r w:rsidR="007013D2" w:rsidRPr="00C6445D">
        <w:rPr>
          <w:rFonts w:ascii="Times" w:hAnsi="Times" w:cs="Times New Roman"/>
        </w:rPr>
        <w:t>.</w:t>
      </w:r>
    </w:p>
  </w:footnote>
  <w:footnote w:id="116">
    <w:p w14:paraId="760F8CBC" w14:textId="22AA59DE"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lang w:val="pt-PT"/>
        </w:rPr>
        <w:t xml:space="preserve"> </w:t>
      </w:r>
      <w:r w:rsidRPr="00C6445D">
        <w:rPr>
          <w:rFonts w:ascii="Times" w:hAnsi="Times" w:cs="Times New Roman"/>
          <w:i/>
          <w:lang w:val="pt-PT"/>
        </w:rPr>
        <w:t>Bressol</w:t>
      </w:r>
      <w:r w:rsidRPr="00C6445D">
        <w:rPr>
          <w:rFonts w:ascii="Times" w:hAnsi="Times" w:cs="Times New Roman"/>
          <w:lang w:val="pt-PT"/>
        </w:rPr>
        <w:t xml:space="preserve"> </w:t>
      </w:r>
      <w:r w:rsidR="00060F7B" w:rsidRPr="00C6445D">
        <w:rPr>
          <w:rFonts w:ascii="Times" w:hAnsi="Times" w:cs="Times New Roman"/>
          <w:lang w:val="pt-PT"/>
        </w:rPr>
        <w:t>(C-73/08</w:t>
      </w:r>
      <w:r w:rsidR="00060F7B" w:rsidRPr="00C6445D">
        <w:rPr>
          <w:rFonts w:ascii="Times" w:hAnsi="Times" w:cs="Times New Roman"/>
          <w:i/>
          <w:lang w:val="pt-PT"/>
        </w:rPr>
        <w:t xml:space="preserve">) </w:t>
      </w:r>
      <w:r w:rsidRPr="00C6445D">
        <w:rPr>
          <w:rFonts w:ascii="Times" w:hAnsi="Times" w:cs="Times New Roman"/>
          <w:bCs/>
          <w:shd w:val="clear" w:color="auto" w:fill="FFFFFF"/>
        </w:rPr>
        <w:t>EU:C:2010:181.</w:t>
      </w:r>
    </w:p>
  </w:footnote>
  <w:footnote w:id="117">
    <w:p w14:paraId="4D9705CD" w14:textId="20BDD3C5"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Ibid</w:t>
      </w:r>
      <w:r w:rsidR="00EB030A" w:rsidRPr="00C6445D">
        <w:rPr>
          <w:rFonts w:ascii="Times" w:hAnsi="Times" w:cs="Times New Roman"/>
        </w:rPr>
        <w:t xml:space="preserve"> at [</w:t>
      </w:r>
      <w:r w:rsidRPr="00C6445D">
        <w:rPr>
          <w:rFonts w:ascii="Times" w:hAnsi="Times" w:cs="Times New Roman"/>
        </w:rPr>
        <w:t>71</w:t>
      </w:r>
      <w:r w:rsidR="00EB030A" w:rsidRPr="00C6445D">
        <w:rPr>
          <w:rFonts w:ascii="Times" w:hAnsi="Times" w:cs="Times New Roman"/>
        </w:rPr>
        <w:t>]</w:t>
      </w:r>
      <w:r w:rsidRPr="00C6445D">
        <w:rPr>
          <w:rFonts w:ascii="Times" w:hAnsi="Times" w:cs="Times New Roman"/>
        </w:rPr>
        <w:t>.</w:t>
      </w:r>
    </w:p>
  </w:footnote>
  <w:footnote w:id="118">
    <w:p w14:paraId="35C66CE7" w14:textId="7000FF1D"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Van den Bogaert and Cuyvers </w:t>
      </w:r>
      <w:r w:rsidR="00672E2B" w:rsidRPr="00C6445D">
        <w:rPr>
          <w:rFonts w:ascii="Times" w:hAnsi="Times" w:cs="Times New Roman"/>
        </w:rPr>
        <w:t>above</w:t>
      </w:r>
      <w:r w:rsidRPr="00C6445D">
        <w:rPr>
          <w:rFonts w:ascii="Times" w:hAnsi="Times" w:cs="Times New Roman"/>
        </w:rPr>
        <w:t xml:space="preserve">, 1206. </w:t>
      </w:r>
      <w:r w:rsidRPr="00C6445D">
        <w:rPr>
          <w:rFonts w:ascii="Times" w:hAnsi="Times" w:cs="Times New Roman"/>
          <w:i/>
          <w:lang w:val="pt-PT"/>
        </w:rPr>
        <w:t>Bressol</w:t>
      </w:r>
      <w:r w:rsidRPr="00C6445D">
        <w:rPr>
          <w:rFonts w:ascii="Times" w:hAnsi="Times" w:cs="Times New Roman"/>
          <w:lang w:val="pt-PT"/>
        </w:rPr>
        <w:t xml:space="preserve"> </w:t>
      </w:r>
      <w:r w:rsidRPr="00C6445D">
        <w:rPr>
          <w:rFonts w:ascii="Times" w:hAnsi="Times" w:cs="Times New Roman"/>
          <w:bCs/>
          <w:shd w:val="clear" w:color="auto" w:fill="FFFFFF"/>
        </w:rPr>
        <w:t>EU:C:2010:181</w:t>
      </w:r>
      <w:r w:rsidR="00891F66" w:rsidRPr="00C6445D">
        <w:rPr>
          <w:rFonts w:ascii="Times" w:hAnsi="Times" w:cs="Times New Roman"/>
          <w:bCs/>
          <w:shd w:val="clear" w:color="auto" w:fill="FFFFFF"/>
        </w:rPr>
        <w:t xml:space="preserve"> at</w:t>
      </w:r>
      <w:r w:rsidRPr="00C6445D">
        <w:rPr>
          <w:rFonts w:ascii="Times" w:hAnsi="Times" w:cs="Times New Roman"/>
        </w:rPr>
        <w:t xml:space="preserve"> </w:t>
      </w:r>
      <w:r w:rsidR="00891F66" w:rsidRPr="00C6445D">
        <w:rPr>
          <w:rFonts w:ascii="Times" w:hAnsi="Times" w:cs="Times New Roman"/>
        </w:rPr>
        <w:t>[</w:t>
      </w:r>
      <w:r w:rsidRPr="00C6445D">
        <w:rPr>
          <w:rFonts w:ascii="Times" w:hAnsi="Times" w:cs="Times New Roman"/>
        </w:rPr>
        <w:t>72-81</w:t>
      </w:r>
      <w:r w:rsidR="00891F66" w:rsidRPr="00C6445D">
        <w:rPr>
          <w:rFonts w:ascii="Times" w:hAnsi="Times" w:cs="Times New Roman"/>
        </w:rPr>
        <w:t>]</w:t>
      </w:r>
      <w:r w:rsidRPr="00C6445D">
        <w:rPr>
          <w:rFonts w:ascii="Times" w:hAnsi="Times" w:cs="Times New Roman"/>
        </w:rPr>
        <w:t>, stated that this analysis should include: the maximum number of students that can be trained on relevant courses, the number of graduates who must establish themselves in the French Community to ensure adequate public health services, the impact of non-resident students on the pursuit of ensuring availability of professionals within the French Community, the possibility that residents may choose not to work in Belgium after their studies and, finally, the possibility that persons who have not studied in the French Community may establish themselves as professionals there. This list only concerns the need to prove that there is a risk to public health in the first place. There is also a need to prove that the legislation in question is appropriate for protecting the objective of public health and whether it could be achieved by less restrictive measures.</w:t>
      </w:r>
    </w:p>
  </w:footnote>
  <w:footnote w:id="119">
    <w:p w14:paraId="184CB52F" w14:textId="137A0ACF" w:rsidR="009D37E7" w:rsidRPr="00C6445D" w:rsidRDefault="009D37E7" w:rsidP="00FB49D8">
      <w:pPr>
        <w:pStyle w:val="NoSpacing"/>
        <w:tabs>
          <w:tab w:val="left" w:pos="5945"/>
        </w:tabs>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Opinion of Advocate General Sharpston in </w:t>
      </w:r>
      <w:r w:rsidRPr="00C6445D">
        <w:rPr>
          <w:rFonts w:ascii="Times" w:hAnsi="Times" w:cs="Times New Roman"/>
          <w:i/>
        </w:rPr>
        <w:t>Bressol</w:t>
      </w:r>
      <w:r w:rsidRPr="00C6445D">
        <w:rPr>
          <w:rFonts w:ascii="Times" w:hAnsi="Times" w:cs="Times New Roman"/>
        </w:rPr>
        <w:t xml:space="preserve">, </w:t>
      </w:r>
      <w:r w:rsidRPr="00C6445D">
        <w:rPr>
          <w:rFonts w:ascii="Times" w:hAnsi="Times" w:cs="Times New Roman"/>
          <w:shd w:val="clear" w:color="auto" w:fill="FFFFFF"/>
        </w:rPr>
        <w:t>EU:C:2009:396</w:t>
      </w:r>
      <w:r w:rsidR="00F36AB0" w:rsidRPr="00C6445D">
        <w:rPr>
          <w:rFonts w:ascii="Times" w:hAnsi="Times" w:cs="Times New Roman"/>
          <w:shd w:val="clear" w:color="auto" w:fill="FFFFFF"/>
        </w:rPr>
        <w:t xml:space="preserve"> at [</w:t>
      </w:r>
      <w:r w:rsidRPr="00C6445D">
        <w:rPr>
          <w:rFonts w:ascii="Times" w:hAnsi="Times" w:cs="Times New Roman"/>
        </w:rPr>
        <w:t>103</w:t>
      </w:r>
      <w:r w:rsidR="00F36AB0" w:rsidRPr="00C6445D">
        <w:rPr>
          <w:rFonts w:ascii="Times" w:hAnsi="Times" w:cs="Times New Roman"/>
        </w:rPr>
        <w:t>]</w:t>
      </w:r>
      <w:r w:rsidRPr="00C6445D">
        <w:rPr>
          <w:rFonts w:ascii="Times" w:hAnsi="Times" w:cs="Times New Roman"/>
        </w:rPr>
        <w:t>.</w:t>
      </w:r>
      <w:r w:rsidRPr="00C6445D">
        <w:rPr>
          <w:rFonts w:ascii="Times" w:hAnsi="Times" w:cs="Times New Roman"/>
        </w:rPr>
        <w:tab/>
      </w:r>
    </w:p>
  </w:footnote>
  <w:footnote w:id="120">
    <w:p w14:paraId="51CF88B1" w14:textId="30E8EC0C" w:rsidR="009D37E7" w:rsidRPr="00C6445D" w:rsidRDefault="009D37E7" w:rsidP="00FB49D8">
      <w:pPr>
        <w:pStyle w:val="NoSpacing"/>
        <w:contextualSpacing/>
        <w:rPr>
          <w:rFonts w:ascii="Times" w:hAnsi="Times" w:cs="Times New Roman"/>
          <w:lang w:val="en-US"/>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 xml:space="preserve">Commission v Austria </w:t>
      </w:r>
      <w:r w:rsidR="003751AD" w:rsidRPr="00C6445D">
        <w:rPr>
          <w:rFonts w:ascii="Times" w:hAnsi="Times" w:cs="Times New Roman"/>
          <w:iCs/>
        </w:rPr>
        <w:t xml:space="preserve">(C-320/03) </w:t>
      </w:r>
      <w:r w:rsidRPr="00C6445D">
        <w:rPr>
          <w:rFonts w:ascii="Times" w:hAnsi="Times" w:cs="Times New Roman"/>
          <w:iCs/>
        </w:rPr>
        <w:t>EU:C:2005:684.</w:t>
      </w:r>
    </w:p>
  </w:footnote>
  <w:footnote w:id="121">
    <w:p w14:paraId="21BBC61E" w14:textId="1F62F0F3" w:rsidR="009D37E7" w:rsidRPr="00C6445D" w:rsidRDefault="009D37E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891F66" w:rsidRPr="00C6445D">
        <w:rPr>
          <w:rFonts w:ascii="Times" w:hAnsi="Times" w:cs="Times New Roman"/>
          <w:i/>
        </w:rPr>
        <w:t xml:space="preserve">Commission v Austria </w:t>
      </w:r>
      <w:r w:rsidR="00891F66" w:rsidRPr="00C6445D">
        <w:rPr>
          <w:rFonts w:ascii="Times" w:hAnsi="Times" w:cs="Times New Roman"/>
          <w:iCs/>
        </w:rPr>
        <w:t>[87-</w:t>
      </w:r>
      <w:r w:rsidRPr="00C6445D">
        <w:rPr>
          <w:rFonts w:ascii="Times" w:hAnsi="Times" w:cs="Times New Roman"/>
        </w:rPr>
        <w:t>89</w:t>
      </w:r>
      <w:r w:rsidR="00891F66" w:rsidRPr="00C6445D">
        <w:rPr>
          <w:rFonts w:ascii="Times" w:hAnsi="Times" w:cs="Times New Roman"/>
        </w:rPr>
        <w:t>].</w:t>
      </w:r>
      <w:r w:rsidRPr="00C6445D">
        <w:rPr>
          <w:rFonts w:ascii="Times" w:hAnsi="Times" w:cs="Times New Roman"/>
        </w:rPr>
        <w:t xml:space="preserve"> Emphasis added</w:t>
      </w:r>
    </w:p>
  </w:footnote>
  <w:footnote w:id="122">
    <w:p w14:paraId="103A78D5" w14:textId="02E1E3F8" w:rsidR="00227F3A" w:rsidRPr="00C6445D" w:rsidRDefault="00227F3A"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891F66" w:rsidRPr="00C6445D">
        <w:rPr>
          <w:rFonts w:ascii="Times" w:hAnsi="Times" w:cs="Times New Roman"/>
          <w:i/>
        </w:rPr>
        <w:t xml:space="preserve">Commission v Austria </w:t>
      </w:r>
      <w:r w:rsidR="00891F66" w:rsidRPr="00C6445D">
        <w:rPr>
          <w:rFonts w:ascii="Times" w:hAnsi="Times" w:cs="Times New Roman"/>
          <w:iCs/>
        </w:rPr>
        <w:t>[87-</w:t>
      </w:r>
      <w:r w:rsidR="00891F66" w:rsidRPr="00C6445D">
        <w:rPr>
          <w:rFonts w:ascii="Times" w:hAnsi="Times" w:cs="Times New Roman"/>
        </w:rPr>
        <w:t>89].</w:t>
      </w:r>
    </w:p>
  </w:footnote>
  <w:footnote w:id="123">
    <w:p w14:paraId="3BAC423E" w14:textId="6AB83A68" w:rsidR="009D37E7" w:rsidRPr="00C6445D" w:rsidRDefault="009D37E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Commission v Austria</w:t>
      </w:r>
      <w:r w:rsidR="00FE3901" w:rsidRPr="00C6445D">
        <w:rPr>
          <w:rFonts w:ascii="Times" w:hAnsi="Times" w:cs="Times New Roman"/>
        </w:rPr>
        <w:t xml:space="preserve"> (C-28/09) </w:t>
      </w:r>
      <w:r w:rsidRPr="00C6445D">
        <w:rPr>
          <w:rFonts w:ascii="Times" w:hAnsi="Times" w:cs="Times New Roman"/>
        </w:rPr>
        <w:t>EU:C:2011:854</w:t>
      </w:r>
      <w:r w:rsidR="00F36AB0" w:rsidRPr="00C6445D">
        <w:rPr>
          <w:rFonts w:ascii="Times" w:hAnsi="Times" w:cs="Times New Roman"/>
        </w:rPr>
        <w:t xml:space="preserve"> at [</w:t>
      </w:r>
      <w:r w:rsidRPr="00C6445D">
        <w:rPr>
          <w:rFonts w:ascii="Times" w:hAnsi="Times" w:cs="Times New Roman"/>
        </w:rPr>
        <w:t>148</w:t>
      </w:r>
      <w:r w:rsidR="00F36AB0" w:rsidRPr="00C6445D">
        <w:rPr>
          <w:rFonts w:ascii="Times" w:hAnsi="Times" w:cs="Times New Roman"/>
        </w:rPr>
        <w:t>]</w:t>
      </w:r>
      <w:r w:rsidRPr="00C6445D">
        <w:rPr>
          <w:rFonts w:ascii="Times" w:hAnsi="Times" w:cs="Times New Roman"/>
        </w:rPr>
        <w:t>.</w:t>
      </w:r>
    </w:p>
  </w:footnote>
  <w:footnote w:id="124">
    <w:p w14:paraId="5A761A17" w14:textId="4CFC1AA5" w:rsidR="009D37E7" w:rsidRPr="00C6445D" w:rsidRDefault="009D37E7" w:rsidP="00FB49D8">
      <w:pPr>
        <w:pStyle w:val="NoSpacing"/>
        <w:contextualSpacing/>
        <w:rPr>
          <w:rFonts w:ascii="Times" w:hAnsi="Times" w:cs="Times New Roman"/>
          <w:lang w:val="en-US"/>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Finalarte and Others</w:t>
      </w:r>
      <w:r w:rsidRPr="00C6445D">
        <w:rPr>
          <w:rFonts w:ascii="Times" w:hAnsi="Times" w:cs="Times New Roman"/>
        </w:rPr>
        <w:t xml:space="preserve"> </w:t>
      </w:r>
      <w:r w:rsidR="00462E8A" w:rsidRPr="00C6445D">
        <w:rPr>
          <w:rFonts w:ascii="Times" w:hAnsi="Times" w:cs="Times New Roman"/>
        </w:rPr>
        <w:t xml:space="preserve">(C-49/98, C-50/98, C-52/98 to C-54/98 and C-68/98 to C-71/98) </w:t>
      </w:r>
      <w:r w:rsidRPr="00C6445D">
        <w:rPr>
          <w:rFonts w:ascii="Times" w:hAnsi="Times" w:cs="Times New Roman"/>
        </w:rPr>
        <w:t>EU:C:2001:564</w:t>
      </w:r>
      <w:r w:rsidR="00F36AB0" w:rsidRPr="00C6445D">
        <w:rPr>
          <w:rFonts w:ascii="Times" w:hAnsi="Times" w:cs="Times New Roman"/>
        </w:rPr>
        <w:t xml:space="preserve"> at [</w:t>
      </w:r>
      <w:r w:rsidRPr="00C6445D">
        <w:rPr>
          <w:rFonts w:ascii="Times" w:hAnsi="Times" w:cs="Times New Roman"/>
        </w:rPr>
        <w:t>40</w:t>
      </w:r>
      <w:r w:rsidR="00F36AB0" w:rsidRPr="00C6445D">
        <w:rPr>
          <w:rFonts w:ascii="Times" w:hAnsi="Times" w:cs="Times New Roman"/>
        </w:rPr>
        <w:t>].</w:t>
      </w:r>
      <w:r w:rsidRPr="00C6445D">
        <w:rPr>
          <w:rFonts w:ascii="Times" w:hAnsi="Times" w:cs="Times New Roman"/>
        </w:rPr>
        <w:t xml:space="preserve"> Such information is not conclusive, but it may constitute an “indication of the aim of that law”.</w:t>
      </w:r>
    </w:p>
  </w:footnote>
  <w:footnote w:id="125">
    <w:p w14:paraId="7FD3CED3" w14:textId="0EF64655" w:rsidR="009D37E7" w:rsidRPr="00C6445D" w:rsidRDefault="009D37E7"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iCs/>
        </w:rPr>
        <w:t xml:space="preserve">Commission </w:t>
      </w:r>
      <w:r w:rsidRPr="00C6445D">
        <w:rPr>
          <w:rFonts w:ascii="Times" w:hAnsi="Times" w:cs="Times New Roman"/>
        </w:rPr>
        <w:t xml:space="preserve">v </w:t>
      </w:r>
      <w:r w:rsidRPr="00C6445D">
        <w:rPr>
          <w:rFonts w:ascii="Times" w:hAnsi="Times" w:cs="Times New Roman"/>
          <w:i/>
          <w:iCs/>
        </w:rPr>
        <w:t>Poland (Genetically modified organisms)</w:t>
      </w:r>
      <w:r w:rsidRPr="00C6445D">
        <w:rPr>
          <w:rFonts w:ascii="Times" w:hAnsi="Times" w:cs="Times New Roman"/>
        </w:rPr>
        <w:t xml:space="preserve"> </w:t>
      </w:r>
      <w:r w:rsidR="00AA264E" w:rsidRPr="00C6445D">
        <w:rPr>
          <w:rFonts w:ascii="Times" w:hAnsi="Times" w:cs="Times New Roman"/>
        </w:rPr>
        <w:t xml:space="preserve">(C-165/08) </w:t>
      </w:r>
      <w:r w:rsidRPr="00C6445D">
        <w:rPr>
          <w:rFonts w:ascii="Times" w:hAnsi="Times" w:cs="Times New Roman"/>
        </w:rPr>
        <w:t>EU:C:2009:473</w:t>
      </w:r>
      <w:r w:rsidR="00D61F14" w:rsidRPr="00C6445D">
        <w:rPr>
          <w:rFonts w:ascii="Times" w:hAnsi="Times" w:cs="Times New Roman"/>
        </w:rPr>
        <w:t xml:space="preserve"> at [</w:t>
      </w:r>
      <w:r w:rsidRPr="00C6445D">
        <w:rPr>
          <w:rFonts w:ascii="Times" w:hAnsi="Times" w:cs="Times New Roman"/>
        </w:rPr>
        <w:t>52</w:t>
      </w:r>
      <w:r w:rsidR="00D61F14" w:rsidRPr="00C6445D">
        <w:rPr>
          <w:rFonts w:ascii="Times" w:hAnsi="Times" w:cs="Times New Roman"/>
        </w:rPr>
        <w:t>]</w:t>
      </w:r>
      <w:r w:rsidRPr="00C6445D">
        <w:rPr>
          <w:rFonts w:ascii="Times" w:hAnsi="Times" w:cs="Times New Roman"/>
        </w:rPr>
        <w:t>.</w:t>
      </w:r>
    </w:p>
  </w:footnote>
  <w:footnote w:id="126">
    <w:p w14:paraId="7BB2791F" w14:textId="302FD26C" w:rsidR="009D37E7" w:rsidRPr="00C6445D" w:rsidRDefault="009D37E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rPr>
        <w:t>Commission v United Kingdom (Newcastle Disease</w:t>
      </w:r>
      <w:r w:rsidRPr="00C6445D">
        <w:rPr>
          <w:rFonts w:ascii="Times" w:hAnsi="Times" w:cs="Times New Roman"/>
        </w:rPr>
        <w:t xml:space="preserve">) </w:t>
      </w:r>
      <w:r w:rsidR="00B72F62" w:rsidRPr="00C6445D">
        <w:rPr>
          <w:rFonts w:ascii="Times" w:hAnsi="Times" w:cs="Times New Roman"/>
        </w:rPr>
        <w:t xml:space="preserve">(40/82) </w:t>
      </w:r>
      <w:r w:rsidRPr="00C6445D">
        <w:rPr>
          <w:rFonts w:ascii="Times" w:hAnsi="Times" w:cs="Times New Roman"/>
        </w:rPr>
        <w:t>EU:C:1984:33.</w:t>
      </w:r>
    </w:p>
  </w:footnote>
  <w:footnote w:id="127">
    <w:p w14:paraId="08DD9FDD" w14:textId="1847926E" w:rsidR="009D37E7" w:rsidRPr="00C6445D" w:rsidRDefault="009D37E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9D3F82" w:rsidRPr="00C6445D">
        <w:rPr>
          <w:rFonts w:ascii="Times" w:hAnsi="Times" w:cs="Times New Roman"/>
          <w:i/>
        </w:rPr>
        <w:t>Newcastle Disease</w:t>
      </w:r>
      <w:r w:rsidR="009D3F82" w:rsidRPr="00C6445D">
        <w:rPr>
          <w:rFonts w:ascii="Times" w:hAnsi="Times" w:cs="Times New Roman"/>
        </w:rPr>
        <w:t xml:space="preserve"> at [</w:t>
      </w:r>
      <w:r w:rsidRPr="00C6445D">
        <w:rPr>
          <w:rFonts w:ascii="Times" w:hAnsi="Times" w:cs="Times New Roman"/>
        </w:rPr>
        <w:t>38</w:t>
      </w:r>
      <w:r w:rsidR="009D3F82" w:rsidRPr="00C6445D">
        <w:rPr>
          <w:rFonts w:ascii="Times" w:hAnsi="Times" w:cs="Times New Roman"/>
        </w:rPr>
        <w:t>]</w:t>
      </w:r>
      <w:r w:rsidRPr="00C6445D">
        <w:rPr>
          <w:rFonts w:ascii="Times" w:hAnsi="Times" w:cs="Times New Roman"/>
        </w:rPr>
        <w:t>. By way of comparison, the Court looked at an earlier ban adopted by Great Britain that was “thoroughly prepared by an elaborate report of a committee of experts, by various studies and by prolonged discussion among veterinary experts”.</w:t>
      </w:r>
    </w:p>
  </w:footnote>
  <w:footnote w:id="128">
    <w:p w14:paraId="394A8FAB" w14:textId="52BCC473" w:rsidR="009D37E7" w:rsidRPr="00C6445D" w:rsidRDefault="009D37E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C. Hilson, “Going Local? EU Law, Localism and Climate Change” </w:t>
      </w:r>
      <w:r w:rsidR="00CD606E" w:rsidRPr="00C6445D">
        <w:rPr>
          <w:rFonts w:ascii="Times" w:hAnsi="Times" w:cs="Times New Roman"/>
        </w:rPr>
        <w:t xml:space="preserve">(2008) </w:t>
      </w:r>
      <w:r w:rsidRPr="00C6445D">
        <w:rPr>
          <w:rFonts w:ascii="Times" w:hAnsi="Times" w:cs="Times New Roman"/>
        </w:rPr>
        <w:t>33 E</w:t>
      </w:r>
      <w:r w:rsidR="004F6986" w:rsidRPr="00C6445D">
        <w:rPr>
          <w:rFonts w:ascii="Times" w:hAnsi="Times" w:cs="Times New Roman"/>
        </w:rPr>
        <w:t>.</w:t>
      </w:r>
      <w:r w:rsidRPr="00C6445D">
        <w:rPr>
          <w:rFonts w:ascii="Times" w:hAnsi="Times" w:cs="Times New Roman"/>
        </w:rPr>
        <w:t>L</w:t>
      </w:r>
      <w:r w:rsidR="004F6986" w:rsidRPr="00C6445D">
        <w:rPr>
          <w:rFonts w:ascii="Times" w:hAnsi="Times" w:cs="Times New Roman"/>
        </w:rPr>
        <w:t xml:space="preserve">. </w:t>
      </w:r>
      <w:r w:rsidRPr="00C6445D">
        <w:rPr>
          <w:rFonts w:ascii="Times" w:hAnsi="Times" w:cs="Times New Roman"/>
        </w:rPr>
        <w:t>Rev</w:t>
      </w:r>
      <w:r w:rsidR="004F6986" w:rsidRPr="00C6445D">
        <w:rPr>
          <w:rFonts w:ascii="Times" w:hAnsi="Times" w:cs="Times New Roman"/>
        </w:rPr>
        <w:t xml:space="preserve">. </w:t>
      </w:r>
      <w:r w:rsidRPr="00C6445D">
        <w:rPr>
          <w:rFonts w:ascii="Times" w:hAnsi="Times" w:cs="Times New Roman"/>
        </w:rPr>
        <w:t>194.</w:t>
      </w:r>
    </w:p>
  </w:footnote>
  <w:footnote w:id="129">
    <w:p w14:paraId="7C76574D" w14:textId="38E20077" w:rsidR="009D37E7" w:rsidRPr="00C6445D" w:rsidRDefault="009D37E7" w:rsidP="00FB49D8">
      <w:pPr>
        <w:pStyle w:val="NoSpacing"/>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814B9D" w:rsidRPr="00C6445D">
        <w:rPr>
          <w:rFonts w:ascii="Times" w:hAnsi="Times" w:cs="Times New Roman"/>
        </w:rPr>
        <w:t xml:space="preserve">M. </w:t>
      </w:r>
      <w:r w:rsidRPr="00C6445D">
        <w:rPr>
          <w:rFonts w:ascii="Times" w:hAnsi="Times" w:cs="Times New Roman"/>
        </w:rPr>
        <w:t>Shapiro, “The Giving Reasons Requirement”, The University of Chicago Legal Forum (1992), 179, 188. See also at 210: The difference between "did not give good enough reasons" and "did not adopt a good enough policy is non-existent in many instances”.</w:t>
      </w:r>
    </w:p>
  </w:footnote>
  <w:footnote w:id="130">
    <w:p w14:paraId="6300306A" w14:textId="62521C9E"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i/>
          <w:shd w:val="clear" w:color="auto" w:fill="FFFFFF"/>
        </w:rPr>
        <w:t xml:space="preserve">Commission v Italy </w:t>
      </w:r>
      <w:r w:rsidR="00544AE1" w:rsidRPr="00C6445D">
        <w:rPr>
          <w:rFonts w:ascii="Times" w:hAnsi="Times" w:cs="Times New Roman"/>
          <w:i/>
          <w:shd w:val="clear" w:color="auto" w:fill="FFFFFF"/>
        </w:rPr>
        <w:t>(</w:t>
      </w:r>
      <w:r w:rsidR="00544AE1" w:rsidRPr="00C6445D">
        <w:rPr>
          <w:rFonts w:ascii="Times" w:hAnsi="Times" w:cs="Times New Roman"/>
          <w:shd w:val="clear" w:color="auto" w:fill="FFFFFF"/>
        </w:rPr>
        <w:t>C</w:t>
      </w:r>
      <w:r w:rsidR="00544AE1" w:rsidRPr="00C6445D">
        <w:rPr>
          <w:rFonts w:ascii="Times" w:hAnsi="Times" w:cs="Times New Roman"/>
          <w:shd w:val="clear" w:color="auto" w:fill="FFFFFF"/>
        </w:rPr>
        <w:noBreakHyphen/>
        <w:t xml:space="preserve">110/05) </w:t>
      </w:r>
      <w:r w:rsidRPr="00C6445D">
        <w:rPr>
          <w:rFonts w:ascii="Times" w:hAnsi="Times" w:cs="Times New Roman"/>
          <w:shd w:val="clear" w:color="auto" w:fill="FFFFFF"/>
        </w:rPr>
        <w:t xml:space="preserve">EU:C:2009:66. </w:t>
      </w:r>
      <w:r w:rsidR="00260272" w:rsidRPr="00C6445D">
        <w:rPr>
          <w:rFonts w:ascii="Times" w:hAnsi="Times" w:cs="Times New Roman"/>
        </w:rPr>
        <w:t>Nic Shuibhne and Maci “Evidence” above</w:t>
      </w:r>
      <w:r w:rsidRPr="00C6445D">
        <w:rPr>
          <w:rFonts w:ascii="Times" w:hAnsi="Times" w:cs="Times New Roman"/>
        </w:rPr>
        <w:t>, 995</w:t>
      </w:r>
    </w:p>
  </w:footnote>
  <w:footnote w:id="131">
    <w:p w14:paraId="194E2DB3" w14:textId="7FB78BE9" w:rsidR="009D37E7" w:rsidRPr="00C6445D" w:rsidRDefault="009D37E7" w:rsidP="00FB49D8">
      <w:pPr>
        <w:pStyle w:val="FootnoteText"/>
        <w:contextualSpacing/>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424A87" w:rsidRPr="00C6445D">
        <w:rPr>
          <w:rFonts w:ascii="Times" w:hAnsi="Times" w:cs="Times New Roman"/>
        </w:rPr>
        <w:t xml:space="preserve">Nic Shuibhne and Maci </w:t>
      </w:r>
      <w:r w:rsidR="00934054" w:rsidRPr="00C6445D">
        <w:rPr>
          <w:rFonts w:ascii="Times" w:hAnsi="Times" w:cs="Times New Roman"/>
        </w:rPr>
        <w:t xml:space="preserve">“Evidence” </w:t>
      </w:r>
      <w:r w:rsidR="0080034F" w:rsidRPr="00C6445D">
        <w:rPr>
          <w:rFonts w:ascii="Times" w:hAnsi="Times" w:cs="Times New Roman"/>
        </w:rPr>
        <w:t>above,</w:t>
      </w:r>
      <w:r w:rsidRPr="00C6445D">
        <w:rPr>
          <w:rFonts w:ascii="Times" w:hAnsi="Times" w:cs="Times New Roman"/>
        </w:rPr>
        <w:t xml:space="preserve"> 996</w:t>
      </w:r>
    </w:p>
  </w:footnote>
  <w:footnote w:id="132">
    <w:p w14:paraId="50823824" w14:textId="7B3C12C9" w:rsidR="009A7412" w:rsidRPr="00C6445D" w:rsidRDefault="009A7412" w:rsidP="00FB49D8">
      <w:pPr>
        <w:pStyle w:val="NoSpacing"/>
        <w:contextualSpacing/>
        <w:rPr>
          <w:rFonts w:ascii="Times" w:hAnsi="Times" w:cs="Times New Roman"/>
          <w:lang w:val="en-US"/>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hAnsi="Times" w:cs="Times New Roman"/>
          <w:color w:val="000000"/>
        </w:rPr>
        <w:t xml:space="preserve">Stone Sweet, </w:t>
      </w:r>
      <w:r w:rsidRPr="00C6445D">
        <w:rPr>
          <w:rFonts w:ascii="Times" w:hAnsi="Times" w:cs="Times New Roman"/>
          <w:i/>
          <w:color w:val="000000"/>
        </w:rPr>
        <w:t xml:space="preserve">Governing with Judges: Constitutional Politics in Europe </w:t>
      </w:r>
      <w:r w:rsidRPr="00C6445D">
        <w:rPr>
          <w:rFonts w:ascii="Times" w:hAnsi="Times" w:cs="Times New Roman"/>
          <w:color w:val="000000"/>
        </w:rPr>
        <w:t xml:space="preserve">(OUP, 2000); </w:t>
      </w:r>
    </w:p>
  </w:footnote>
  <w:footnote w:id="133">
    <w:p w14:paraId="2EB090B3" w14:textId="1B15B696" w:rsidR="009A7412" w:rsidRPr="00C6445D" w:rsidRDefault="009A7412" w:rsidP="00FB49D8">
      <w:pPr>
        <w:pStyle w:val="NoSpacing"/>
        <w:contextualSpacing/>
        <w:rPr>
          <w:rFonts w:ascii="Times" w:hAnsi="Times" w:cs="Times New Roman"/>
        </w:rPr>
      </w:pPr>
      <w:r w:rsidRPr="00C6445D">
        <w:rPr>
          <w:rStyle w:val="FootnoteReference"/>
          <w:rFonts w:ascii="Times" w:hAnsi="Times" w:cs="Times New Roman"/>
        </w:rPr>
        <w:footnoteRef/>
      </w:r>
      <w:r w:rsidR="00FC1691" w:rsidRPr="00C6445D">
        <w:rPr>
          <w:rFonts w:ascii="Times" w:hAnsi="Times" w:cs="Times New Roman"/>
        </w:rPr>
        <w:t xml:space="preserve"> </w:t>
      </w:r>
      <w:r w:rsidRPr="00C6445D">
        <w:rPr>
          <w:rFonts w:ascii="Times" w:hAnsi="Times" w:cs="Times New Roman"/>
        </w:rPr>
        <w:t xml:space="preserve">Stone Sweet </w:t>
      </w:r>
      <w:r w:rsidR="009D39DF" w:rsidRPr="00C6445D">
        <w:rPr>
          <w:rFonts w:ascii="Times" w:hAnsi="Times" w:cs="Times New Roman"/>
          <w:i/>
          <w:iCs/>
        </w:rPr>
        <w:t xml:space="preserve">Governing with Judges </w:t>
      </w:r>
      <w:r w:rsidR="002C37F0" w:rsidRPr="00C6445D">
        <w:rPr>
          <w:rFonts w:ascii="Times" w:hAnsi="Times" w:cs="Times New Roman"/>
        </w:rPr>
        <w:t>above</w:t>
      </w:r>
      <w:r w:rsidRPr="00C6445D">
        <w:rPr>
          <w:rFonts w:ascii="Times" w:hAnsi="Times" w:cs="Times New Roman"/>
        </w:rPr>
        <w:t>, p.202. See, A. Woodhouse “With Great Power, Comes No Responsibility? The “Political Exception” to Duties of Sincere Cooperation for National Parliaments” (2017) 54</w:t>
      </w:r>
      <w:r w:rsidR="00EF2D36" w:rsidRPr="00C6445D">
        <w:rPr>
          <w:rFonts w:ascii="Times" w:hAnsi="Times" w:cs="Times New Roman"/>
        </w:rPr>
        <w:t xml:space="preserve"> C.M.L.Rev.</w:t>
      </w:r>
      <w:r w:rsidRPr="00C6445D">
        <w:rPr>
          <w:rFonts w:ascii="Times" w:hAnsi="Times" w:cs="Times New Roman"/>
        </w:rPr>
        <w:t xml:space="preserve"> 443.</w:t>
      </w:r>
    </w:p>
  </w:footnote>
  <w:footnote w:id="134">
    <w:p w14:paraId="46ABF1C7" w14:textId="76F54687" w:rsidR="009A7412" w:rsidRPr="00C6445D" w:rsidRDefault="009A7412" w:rsidP="00FB49D8">
      <w:pPr>
        <w:pStyle w:val="FootnoteText"/>
        <w:contextualSpacing/>
        <w:rPr>
          <w:rFonts w:ascii="Times" w:hAnsi="Times" w:cs="Times New Roman"/>
          <w:b/>
          <w:bCs/>
        </w:rPr>
      </w:pPr>
      <w:r w:rsidRPr="00C6445D">
        <w:rPr>
          <w:rStyle w:val="FootnoteReference"/>
          <w:rFonts w:ascii="Times" w:hAnsi="Times" w:cs="Times New Roman"/>
        </w:rPr>
        <w:footnoteRef/>
      </w:r>
      <w:r w:rsidRPr="00C6445D">
        <w:rPr>
          <w:rFonts w:ascii="Times" w:hAnsi="Times" w:cs="Times New Roman"/>
        </w:rPr>
        <w:t xml:space="preserve"> Stone Sweet </w:t>
      </w:r>
      <w:r w:rsidR="0083524E" w:rsidRPr="00C6445D">
        <w:rPr>
          <w:rFonts w:ascii="Times" w:hAnsi="Times" w:cs="Times New Roman"/>
          <w:i/>
          <w:iCs/>
        </w:rPr>
        <w:t xml:space="preserve">Governing with Judges </w:t>
      </w:r>
      <w:r w:rsidR="00DB407C" w:rsidRPr="00C6445D">
        <w:rPr>
          <w:rFonts w:ascii="Times" w:hAnsi="Times" w:cs="Times New Roman"/>
        </w:rPr>
        <w:t>above.</w:t>
      </w:r>
    </w:p>
  </w:footnote>
  <w:footnote w:id="135">
    <w:p w14:paraId="63F93E74" w14:textId="4AFC4F55" w:rsidR="000B0F21" w:rsidRPr="00C6445D" w:rsidRDefault="000B0F21"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DF2A91" w:rsidRPr="00C6445D">
        <w:rPr>
          <w:rFonts w:ascii="Times" w:hAnsi="Times" w:cs="Times New Roman"/>
        </w:rPr>
        <w:t xml:space="preserve">Stone Sweet </w:t>
      </w:r>
      <w:r w:rsidR="0083524E" w:rsidRPr="00C6445D">
        <w:rPr>
          <w:rFonts w:ascii="Times" w:hAnsi="Times" w:cs="Times New Roman"/>
          <w:i/>
          <w:iCs/>
        </w:rPr>
        <w:t xml:space="preserve">Governing with Judges </w:t>
      </w:r>
      <w:r w:rsidR="007564D3" w:rsidRPr="00C6445D">
        <w:rPr>
          <w:rFonts w:ascii="Times" w:hAnsi="Times" w:cs="Times New Roman"/>
        </w:rPr>
        <w:t>above.</w:t>
      </w:r>
    </w:p>
  </w:footnote>
  <w:footnote w:id="136">
    <w:p w14:paraId="4D673576" w14:textId="0AE7C686"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0C4EFB" w:rsidRPr="00C6445D">
        <w:rPr>
          <w:rFonts w:ascii="Times" w:hAnsi="Times" w:cs="Times New Roman"/>
        </w:rPr>
        <w:t xml:space="preserve">Stone Sweet and Mathews </w:t>
      </w:r>
      <w:r w:rsidR="00C266CE" w:rsidRPr="00C6445D">
        <w:rPr>
          <w:rFonts w:ascii="Times" w:hAnsi="Times" w:cs="Times New Roman"/>
        </w:rPr>
        <w:t>“Proportionality Balancing”</w:t>
      </w:r>
      <w:r w:rsidR="00EC673B" w:rsidRPr="00C6445D">
        <w:rPr>
          <w:rFonts w:ascii="Times" w:hAnsi="Times" w:cs="Times New Roman"/>
        </w:rPr>
        <w:t xml:space="preserve"> </w:t>
      </w:r>
      <w:r w:rsidR="00A33602" w:rsidRPr="00C6445D">
        <w:rPr>
          <w:rFonts w:ascii="Times" w:hAnsi="Times" w:cs="Times New Roman"/>
        </w:rPr>
        <w:t>above</w:t>
      </w:r>
      <w:r w:rsidR="000C4EFB" w:rsidRPr="00C6445D">
        <w:rPr>
          <w:rFonts w:ascii="Times" w:hAnsi="Times" w:cs="Times New Roman"/>
        </w:rPr>
        <w:t>,</w:t>
      </w:r>
      <w:r w:rsidRPr="00C6445D">
        <w:rPr>
          <w:rFonts w:ascii="Times" w:hAnsi="Times" w:cs="Times New Roman"/>
        </w:rPr>
        <w:t xml:space="preserve"> 163.</w:t>
      </w:r>
    </w:p>
  </w:footnote>
  <w:footnote w:id="137">
    <w:p w14:paraId="0B7AC55D" w14:textId="63FCAEFF" w:rsidR="009A7412" w:rsidRPr="00C6445D" w:rsidRDefault="009A7412" w:rsidP="00FB49D8">
      <w:pPr>
        <w:spacing w:before="0" w:after="0" w:line="240" w:lineRule="auto"/>
        <w:rPr>
          <w:rFonts w:ascii="Times" w:hAnsi="Times" w:cs="Times New Roman"/>
          <w:lang w:val="en-US"/>
        </w:rPr>
      </w:pPr>
      <w:r w:rsidRPr="00C6445D">
        <w:rPr>
          <w:rStyle w:val="FootnoteReference"/>
          <w:rFonts w:ascii="Times" w:hAnsi="Times" w:cs="Times New Roman"/>
        </w:rPr>
        <w:footnoteRef/>
      </w:r>
      <w:r w:rsidRPr="00C6445D">
        <w:rPr>
          <w:rFonts w:ascii="Times" w:hAnsi="Times" w:cs="Times New Roman"/>
        </w:rPr>
        <w:t xml:space="preserve"> Alemanno</w:t>
      </w:r>
      <w:r w:rsidR="004D0784" w:rsidRPr="00C6445D">
        <w:rPr>
          <w:rFonts w:ascii="Times" w:hAnsi="Times" w:cs="Times New Roman"/>
        </w:rPr>
        <w:t xml:space="preserve"> “Judicial Reflex”</w:t>
      </w:r>
      <w:r w:rsidR="00871B0D" w:rsidRPr="00C6445D">
        <w:rPr>
          <w:rFonts w:ascii="Times" w:hAnsi="Times" w:cs="Times New Roman"/>
        </w:rPr>
        <w:t xml:space="preserve"> </w:t>
      </w:r>
      <w:r w:rsidR="00D518EC" w:rsidRPr="00C6445D">
        <w:rPr>
          <w:rFonts w:ascii="Times" w:hAnsi="Times" w:cs="Times New Roman"/>
        </w:rPr>
        <w:t>above</w:t>
      </w:r>
      <w:r w:rsidR="00871B0D" w:rsidRPr="00C6445D">
        <w:rPr>
          <w:rFonts w:ascii="Times" w:hAnsi="Times" w:cs="Times New Roman"/>
        </w:rPr>
        <w:t>,</w:t>
      </w:r>
      <w:r w:rsidRPr="00C6445D">
        <w:rPr>
          <w:rFonts w:ascii="Times" w:hAnsi="Times" w:cs="Times New Roman"/>
        </w:rPr>
        <w:t xml:space="preserve"> 333. Lenaerts</w:t>
      </w:r>
      <w:r w:rsidR="00130188" w:rsidRPr="00C6445D">
        <w:rPr>
          <w:rFonts w:ascii="Times" w:hAnsi="Times" w:cs="Times New Roman"/>
        </w:rPr>
        <w:t xml:space="preserve"> “Process-Oriented Review”</w:t>
      </w:r>
      <w:r w:rsidR="00987DFD" w:rsidRPr="00C6445D">
        <w:rPr>
          <w:rFonts w:ascii="Times" w:hAnsi="Times" w:cs="Times New Roman"/>
        </w:rPr>
        <w:t xml:space="preserve"> </w:t>
      </w:r>
      <w:r w:rsidR="006326DF" w:rsidRPr="00C6445D">
        <w:rPr>
          <w:rFonts w:ascii="Times" w:hAnsi="Times" w:cs="Times New Roman"/>
        </w:rPr>
        <w:t>above</w:t>
      </w:r>
      <w:r w:rsidRPr="00C6445D">
        <w:rPr>
          <w:rFonts w:ascii="Times" w:hAnsi="Times" w:cs="Times New Roman"/>
        </w:rPr>
        <w:t>, ex-post JR “may contribute to a more rational law-making”,</w:t>
      </w:r>
      <w:r w:rsidR="003816F2" w:rsidRPr="00C6445D">
        <w:rPr>
          <w:rFonts w:ascii="Times" w:hAnsi="Times" w:cs="Times New Roman"/>
        </w:rPr>
        <w:t xml:space="preserve"> 9.</w:t>
      </w:r>
      <w:r w:rsidRPr="00C6445D">
        <w:rPr>
          <w:rFonts w:ascii="Times" w:hAnsi="Times" w:cs="Times New Roman"/>
        </w:rPr>
        <w:t xml:space="preserve"> Harvey</w:t>
      </w:r>
      <w:r w:rsidR="00277D46" w:rsidRPr="00C6445D">
        <w:rPr>
          <w:rFonts w:ascii="Times" w:hAnsi="Times" w:cs="Times New Roman"/>
        </w:rPr>
        <w:t xml:space="preserve"> “</w:t>
      </w:r>
      <w:r w:rsidR="00E23F6E" w:rsidRPr="00C6445D">
        <w:rPr>
          <w:rFonts w:ascii="Times" w:hAnsi="Times" w:cs="Times New Roman"/>
        </w:rPr>
        <w:t>Towards Process-Oriented Proportionality Review</w:t>
      </w:r>
      <w:r w:rsidR="00277D46" w:rsidRPr="00C6445D">
        <w:rPr>
          <w:rFonts w:ascii="Times" w:hAnsi="Times" w:cs="Times New Roman"/>
        </w:rPr>
        <w:t>”</w:t>
      </w:r>
      <w:r w:rsidR="002A0942" w:rsidRPr="00C6445D">
        <w:rPr>
          <w:rFonts w:ascii="Times" w:hAnsi="Times" w:cs="Times New Roman"/>
        </w:rPr>
        <w:t xml:space="preserve"> above,</w:t>
      </w:r>
      <w:r w:rsidR="00BA338B" w:rsidRPr="00C6445D">
        <w:rPr>
          <w:rFonts w:ascii="Times" w:hAnsi="Times" w:cs="Times New Roman"/>
        </w:rPr>
        <w:t xml:space="preserve"> 117:</w:t>
      </w:r>
      <w:r w:rsidRPr="00C6445D">
        <w:rPr>
          <w:rFonts w:ascii="Times" w:hAnsi="Times" w:cs="Times New Roman"/>
        </w:rPr>
        <w:t xml:space="preserve"> “courts can indeed contribute to enhancing the rationality of law-making</w:t>
      </w:r>
      <w:r w:rsidR="003816F2" w:rsidRPr="00C6445D">
        <w:rPr>
          <w:rFonts w:ascii="Times" w:hAnsi="Times" w:cs="Times New Roman"/>
        </w:rPr>
        <w:t>”</w:t>
      </w:r>
      <w:r w:rsidR="005B1CE0" w:rsidRPr="00C6445D">
        <w:rPr>
          <w:rFonts w:ascii="Times" w:hAnsi="Times" w:cs="Times New Roman"/>
        </w:rPr>
        <w:t>.</w:t>
      </w:r>
    </w:p>
  </w:footnote>
  <w:footnote w:id="138">
    <w:p w14:paraId="7FF23DEC" w14:textId="4D2502C8"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Oberg</w:t>
      </w:r>
      <w:r w:rsidR="00B13454" w:rsidRPr="00C6445D">
        <w:rPr>
          <w:rFonts w:ascii="Times" w:hAnsi="Times" w:cs="Times New Roman"/>
        </w:rPr>
        <w:t xml:space="preserve"> </w:t>
      </w:r>
      <w:r w:rsidR="00C25CA1" w:rsidRPr="00C6445D">
        <w:rPr>
          <w:rFonts w:ascii="Times" w:hAnsi="Times" w:cs="Times New Roman"/>
        </w:rPr>
        <w:t xml:space="preserve">“The procedural paradigm” </w:t>
      </w:r>
      <w:r w:rsidR="00EE1218" w:rsidRPr="00C6445D">
        <w:rPr>
          <w:rFonts w:ascii="Times" w:hAnsi="Times" w:cs="Times New Roman"/>
        </w:rPr>
        <w:t>above</w:t>
      </w:r>
      <w:r w:rsidRPr="00C6445D">
        <w:rPr>
          <w:rFonts w:ascii="Times" w:hAnsi="Times" w:cs="Times New Roman"/>
        </w:rPr>
        <w:t>, 261.</w:t>
      </w:r>
    </w:p>
  </w:footnote>
  <w:footnote w:id="139">
    <w:p w14:paraId="0B3E8F55" w14:textId="1D60EE47"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3B0A6C" w:rsidRPr="00C6445D">
        <w:rPr>
          <w:rFonts w:ascii="Times" w:hAnsi="Times" w:cs="Times New Roman"/>
        </w:rPr>
        <w:t xml:space="preserve">U. </w:t>
      </w:r>
      <w:r w:rsidRPr="00C6445D">
        <w:rPr>
          <w:rFonts w:ascii="Times" w:hAnsi="Times" w:cs="Times New Roman"/>
        </w:rPr>
        <w:t>Karpen</w:t>
      </w:r>
      <w:r w:rsidR="004667C6" w:rsidRPr="00C6445D">
        <w:rPr>
          <w:rFonts w:ascii="Times" w:hAnsi="Times" w:cs="Times New Roman"/>
        </w:rPr>
        <w:t>, “On the State of Legislation Studies in Europe”</w:t>
      </w:r>
      <w:r w:rsidR="00592C7D" w:rsidRPr="00C6445D">
        <w:rPr>
          <w:rFonts w:ascii="Times" w:hAnsi="Times" w:cs="Times New Roman"/>
        </w:rPr>
        <w:t xml:space="preserve">, </w:t>
      </w:r>
      <w:r w:rsidR="003B0A6C" w:rsidRPr="00C6445D">
        <w:rPr>
          <w:rFonts w:ascii="Times" w:hAnsi="Times" w:cs="Times New Roman"/>
        </w:rPr>
        <w:t xml:space="preserve">(2006) </w:t>
      </w:r>
      <w:r w:rsidR="00592C7D" w:rsidRPr="00C6445D">
        <w:rPr>
          <w:rFonts w:ascii="Times" w:hAnsi="Times" w:cs="Times New Roman"/>
        </w:rPr>
        <w:t xml:space="preserve">8 </w:t>
      </w:r>
      <w:r w:rsidR="00681E55" w:rsidRPr="00C6445D">
        <w:rPr>
          <w:rFonts w:ascii="Times" w:hAnsi="Times" w:cs="Times New Roman"/>
        </w:rPr>
        <w:t>E.J.L.R.</w:t>
      </w:r>
      <w:r w:rsidR="002100C5" w:rsidRPr="00C6445D">
        <w:rPr>
          <w:rFonts w:ascii="Times" w:hAnsi="Times" w:cs="Times New Roman"/>
        </w:rPr>
        <w:t xml:space="preserve"> 59</w:t>
      </w:r>
      <w:r w:rsidR="00A1738B" w:rsidRPr="00C6445D">
        <w:rPr>
          <w:rFonts w:ascii="Times" w:hAnsi="Times" w:cs="Times New Roman"/>
        </w:rPr>
        <w:t>,</w:t>
      </w:r>
      <w:r w:rsidR="00945AD7" w:rsidRPr="00C6445D">
        <w:rPr>
          <w:rFonts w:ascii="Times" w:hAnsi="Times" w:cs="Times New Roman"/>
        </w:rPr>
        <w:t xml:space="preserve"> evidently writing</w:t>
      </w:r>
      <w:r w:rsidRPr="00C6445D">
        <w:rPr>
          <w:rFonts w:ascii="Times" w:hAnsi="Times" w:cs="Times New Roman"/>
        </w:rPr>
        <w:t xml:space="preserve"> prior to the 2008 financial crisis</w:t>
      </w:r>
      <w:r w:rsidR="00B76449" w:rsidRPr="00C6445D">
        <w:rPr>
          <w:rFonts w:ascii="Times" w:hAnsi="Times" w:cs="Times New Roman"/>
        </w:rPr>
        <w:t>,</w:t>
      </w:r>
      <w:r w:rsidRPr="00C6445D">
        <w:rPr>
          <w:rFonts w:ascii="Times" w:hAnsi="Times" w:cs="Times New Roman"/>
        </w:rPr>
        <w:t xml:space="preserve"> describes </w:t>
      </w:r>
      <w:r w:rsidR="007419C6" w:rsidRPr="00C6445D">
        <w:rPr>
          <w:rFonts w:ascii="Times" w:hAnsi="Times" w:cs="Times New Roman"/>
        </w:rPr>
        <w:t xml:space="preserve">the </w:t>
      </w:r>
      <w:r w:rsidRPr="00C6445D">
        <w:rPr>
          <w:rFonts w:ascii="Times" w:hAnsi="Times" w:cs="Times New Roman"/>
        </w:rPr>
        <w:t>“consensus that the end of the age of planning euphoria has arrived, that budget consolidation and personnel reduction are the order of the day, that many tasks of the state must be privatized”.</w:t>
      </w:r>
    </w:p>
  </w:footnote>
  <w:footnote w:id="140">
    <w:p w14:paraId="7A0D6872" w14:textId="2613AF56"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766D73" w:rsidRPr="00C6445D">
        <w:rPr>
          <w:rFonts w:ascii="Times" w:hAnsi="Times" w:cs="Times New Roman"/>
        </w:rPr>
        <w:t xml:space="preserve">Meuwese and Popelier </w:t>
      </w:r>
      <w:r w:rsidR="00742DFC" w:rsidRPr="00C6445D">
        <w:rPr>
          <w:rFonts w:ascii="Times" w:hAnsi="Times" w:cs="Times New Roman"/>
        </w:rPr>
        <w:t xml:space="preserve">“Better Regulation” </w:t>
      </w:r>
      <w:r w:rsidR="0061209C" w:rsidRPr="00C6445D">
        <w:rPr>
          <w:rFonts w:ascii="Times" w:hAnsi="Times" w:cs="Times New Roman"/>
        </w:rPr>
        <w:t>above</w:t>
      </w:r>
      <w:r w:rsidR="00766D73" w:rsidRPr="00C6445D">
        <w:rPr>
          <w:rFonts w:ascii="Times" w:hAnsi="Times" w:cs="Times New Roman"/>
        </w:rPr>
        <w:t>,</w:t>
      </w:r>
      <w:r w:rsidRPr="00C6445D">
        <w:rPr>
          <w:rFonts w:ascii="Times" w:hAnsi="Times" w:cs="Times New Roman"/>
        </w:rPr>
        <w:t xml:space="preserve"> 461.</w:t>
      </w:r>
    </w:p>
  </w:footnote>
  <w:footnote w:id="141">
    <w:p w14:paraId="3F4ADF0A" w14:textId="14EFA904"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Karpen</w:t>
      </w:r>
      <w:r w:rsidR="00C55DCA" w:rsidRPr="00C6445D">
        <w:rPr>
          <w:rFonts w:ascii="Times" w:hAnsi="Times" w:cs="Times New Roman"/>
        </w:rPr>
        <w:t xml:space="preserve"> </w:t>
      </w:r>
      <w:r w:rsidR="00527E5E" w:rsidRPr="00C6445D">
        <w:rPr>
          <w:rFonts w:ascii="Times" w:hAnsi="Times" w:cs="Times New Roman"/>
        </w:rPr>
        <w:t xml:space="preserve">“Legislation Studies” </w:t>
      </w:r>
      <w:r w:rsidR="0061209C" w:rsidRPr="00C6445D">
        <w:rPr>
          <w:rFonts w:ascii="Times" w:hAnsi="Times" w:cs="Times New Roman"/>
        </w:rPr>
        <w:t>above</w:t>
      </w:r>
      <w:r w:rsidRPr="00C6445D">
        <w:rPr>
          <w:rFonts w:ascii="Times" w:hAnsi="Times" w:cs="Times New Roman"/>
        </w:rPr>
        <w:t>, 61.</w:t>
      </w:r>
    </w:p>
  </w:footnote>
  <w:footnote w:id="142">
    <w:p w14:paraId="76F30659" w14:textId="565B974F" w:rsidR="00716464" w:rsidRPr="00C6445D" w:rsidRDefault="00716464"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AB4291" w:rsidRPr="00C6445D">
        <w:rPr>
          <w:rFonts w:ascii="Times" w:hAnsi="Times" w:cs="Times New Roman"/>
        </w:rPr>
        <w:t>Ely</w:t>
      </w:r>
      <w:r w:rsidR="0046436D" w:rsidRPr="00C6445D">
        <w:rPr>
          <w:rFonts w:ascii="Times" w:hAnsi="Times" w:cs="Times New Roman"/>
          <w:bCs/>
          <w:i/>
          <w:iCs/>
        </w:rPr>
        <w:t xml:space="preserve"> Democracy and Distrust</w:t>
      </w:r>
      <w:r w:rsidR="00467B0B" w:rsidRPr="00C6445D">
        <w:rPr>
          <w:rFonts w:ascii="Times" w:hAnsi="Times" w:cs="Times New Roman"/>
        </w:rPr>
        <w:t xml:space="preserve"> abo</w:t>
      </w:r>
      <w:r w:rsidR="00AF6859" w:rsidRPr="00C6445D">
        <w:rPr>
          <w:rFonts w:ascii="Times" w:hAnsi="Times" w:cs="Times New Roman"/>
        </w:rPr>
        <w:t>ve</w:t>
      </w:r>
      <w:r w:rsidR="000750DC" w:rsidRPr="00C6445D">
        <w:rPr>
          <w:rFonts w:ascii="Times" w:hAnsi="Times" w:cs="Times New Roman"/>
        </w:rPr>
        <w:t xml:space="preserve">, </w:t>
      </w:r>
      <w:r w:rsidR="00AB4291" w:rsidRPr="00C6445D">
        <w:rPr>
          <w:rFonts w:ascii="Times" w:hAnsi="Times" w:cs="Times New Roman"/>
        </w:rPr>
        <w:t>pp. 73-74.</w:t>
      </w:r>
    </w:p>
  </w:footnote>
  <w:footnote w:id="143">
    <w:p w14:paraId="67CDA7ED" w14:textId="33B8F979" w:rsidR="003605B7" w:rsidRPr="00C6445D" w:rsidRDefault="003605B7"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Tushnet</w:t>
      </w:r>
      <w:r w:rsidR="00FF2E62" w:rsidRPr="00C6445D">
        <w:rPr>
          <w:rFonts w:ascii="Times" w:hAnsi="Times" w:cs="Times New Roman"/>
        </w:rPr>
        <w:t xml:space="preserve"> </w:t>
      </w:r>
      <w:r w:rsidR="00117217" w:rsidRPr="00C6445D">
        <w:rPr>
          <w:rFonts w:ascii="Times" w:hAnsi="Times" w:cs="Times New Roman"/>
        </w:rPr>
        <w:t xml:space="preserve">“Darkness on the Edge of Town” </w:t>
      </w:r>
      <w:r w:rsidR="00315F32" w:rsidRPr="00C6445D">
        <w:rPr>
          <w:rFonts w:ascii="Times" w:hAnsi="Times" w:cs="Times New Roman"/>
        </w:rPr>
        <w:t>above</w:t>
      </w:r>
      <w:r w:rsidR="00FF2E62" w:rsidRPr="00C6445D">
        <w:rPr>
          <w:rFonts w:ascii="Times" w:hAnsi="Times" w:cs="Times New Roman"/>
        </w:rPr>
        <w:t xml:space="preserve">, </w:t>
      </w:r>
      <w:r w:rsidR="00C16A9C" w:rsidRPr="00C6445D">
        <w:rPr>
          <w:rFonts w:ascii="Times" w:hAnsi="Times" w:cs="Times New Roman"/>
        </w:rPr>
        <w:t>1060.</w:t>
      </w:r>
    </w:p>
  </w:footnote>
  <w:footnote w:id="144">
    <w:p w14:paraId="5683F078" w14:textId="59671F2C" w:rsidR="003605B7" w:rsidRPr="00C6445D" w:rsidRDefault="003605B7"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BB7FF2" w:rsidRPr="00C6445D">
        <w:rPr>
          <w:rFonts w:ascii="Times" w:hAnsi="Times" w:cs="Times New Roman"/>
        </w:rPr>
        <w:t xml:space="preserve">Tushnet </w:t>
      </w:r>
      <w:r w:rsidR="00C91A5B" w:rsidRPr="00C6445D">
        <w:rPr>
          <w:rFonts w:ascii="Times" w:hAnsi="Times" w:cs="Times New Roman"/>
        </w:rPr>
        <w:t xml:space="preserve">“Darkness on the Edge of Town” </w:t>
      </w:r>
      <w:r w:rsidR="00BB7FF2" w:rsidRPr="00C6445D">
        <w:rPr>
          <w:rFonts w:ascii="Times" w:hAnsi="Times" w:cs="Times New Roman"/>
        </w:rPr>
        <w:t>above</w:t>
      </w:r>
      <w:r w:rsidR="00AE6901" w:rsidRPr="00C6445D">
        <w:rPr>
          <w:rFonts w:ascii="Times" w:hAnsi="Times" w:cs="Times New Roman"/>
        </w:rPr>
        <w:t>, 1</w:t>
      </w:r>
      <w:r w:rsidR="00344BE4" w:rsidRPr="00C6445D">
        <w:rPr>
          <w:rFonts w:ascii="Times" w:hAnsi="Times" w:cs="Times New Roman"/>
        </w:rPr>
        <w:t>0</w:t>
      </w:r>
      <w:r w:rsidR="00AE6901" w:rsidRPr="00C6445D">
        <w:rPr>
          <w:rFonts w:ascii="Times" w:hAnsi="Times" w:cs="Times New Roman"/>
        </w:rPr>
        <w:t>60.</w:t>
      </w:r>
    </w:p>
  </w:footnote>
  <w:footnote w:id="145">
    <w:p w14:paraId="2E13E6AC" w14:textId="219A2D12" w:rsidR="00BC1437" w:rsidRPr="00C6445D" w:rsidRDefault="00BC1437"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C33393" w:rsidRPr="00C6445D">
        <w:rPr>
          <w:rFonts w:ascii="Times" w:hAnsi="Times" w:cs="Times New Roman"/>
        </w:rPr>
        <w:t xml:space="preserve">G. </w:t>
      </w:r>
      <w:r w:rsidR="00AE1CC1" w:rsidRPr="00C6445D">
        <w:rPr>
          <w:rFonts w:ascii="Times" w:hAnsi="Times" w:cs="Times New Roman"/>
        </w:rPr>
        <w:t>Davies, ”Democracy and Legitimacy in the Shadow of Purposive Competence”, (2015) 21 E.L.J. 2</w:t>
      </w:r>
    </w:p>
  </w:footnote>
  <w:footnote w:id="146">
    <w:p w14:paraId="22BA126F" w14:textId="5B3984D6" w:rsidR="007B34AA" w:rsidRPr="00C6445D" w:rsidRDefault="007B34AA"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0C3F3B" w:rsidRPr="00C6445D">
        <w:rPr>
          <w:rFonts w:ascii="Times" w:hAnsi="Times" w:cs="Times New Roman"/>
        </w:rPr>
        <w:t>Davies “Democracy and Legitimacy” above, 3.</w:t>
      </w:r>
    </w:p>
  </w:footnote>
  <w:footnote w:id="147">
    <w:p w14:paraId="0D1434BE" w14:textId="3B0E8D56" w:rsidR="00106A0C" w:rsidRPr="00C6445D" w:rsidRDefault="00106A0C"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861AB8" w:rsidRPr="00C6445D">
        <w:rPr>
          <w:rFonts w:ascii="Times" w:hAnsi="Times" w:cs="Times New Roman"/>
        </w:rPr>
        <w:t>Davies</w:t>
      </w:r>
      <w:r w:rsidR="00EE72D6" w:rsidRPr="00C6445D">
        <w:rPr>
          <w:rFonts w:ascii="Times" w:hAnsi="Times" w:cs="Times New Roman"/>
        </w:rPr>
        <w:t xml:space="preserve"> “Democracy and Legitimacy”</w:t>
      </w:r>
      <w:r w:rsidR="00AE1CC1" w:rsidRPr="00C6445D">
        <w:rPr>
          <w:rFonts w:ascii="Times" w:hAnsi="Times" w:cs="Times New Roman"/>
        </w:rPr>
        <w:t xml:space="preserve"> above</w:t>
      </w:r>
      <w:r w:rsidR="00BE060D" w:rsidRPr="00C6445D">
        <w:rPr>
          <w:rFonts w:ascii="Times" w:hAnsi="Times" w:cs="Times New Roman"/>
        </w:rPr>
        <w:t xml:space="preserve">, </w:t>
      </w:r>
      <w:r w:rsidR="00861AB8" w:rsidRPr="00C6445D">
        <w:rPr>
          <w:rFonts w:ascii="Times" w:hAnsi="Times" w:cs="Times New Roman"/>
        </w:rPr>
        <w:t>3</w:t>
      </w:r>
      <w:r w:rsidR="002E42AC" w:rsidRPr="00C6445D">
        <w:rPr>
          <w:rFonts w:ascii="Times" w:hAnsi="Times" w:cs="Times New Roman"/>
        </w:rPr>
        <w:t>.</w:t>
      </w:r>
      <w:r w:rsidR="00363028" w:rsidRPr="00C6445D">
        <w:rPr>
          <w:rFonts w:ascii="Times" w:hAnsi="Times" w:cs="Times New Roman"/>
        </w:rPr>
        <w:t xml:space="preserve"> See also De Witte “Sex, Drugs and EU Law”, above.</w:t>
      </w:r>
    </w:p>
  </w:footnote>
  <w:footnote w:id="148">
    <w:p w14:paraId="6864F1BB" w14:textId="428A5464"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8D061B" w:rsidRPr="00C6445D">
        <w:rPr>
          <w:rFonts w:ascii="Times" w:hAnsi="Times" w:cs="Times New Roman"/>
        </w:rPr>
        <w:t xml:space="preserve">M. </w:t>
      </w:r>
      <w:r w:rsidR="00E0408C" w:rsidRPr="00C6445D">
        <w:rPr>
          <w:rFonts w:ascii="Times" w:hAnsi="Times" w:cs="Times New Roman"/>
        </w:rPr>
        <w:t xml:space="preserve">Loughlin </w:t>
      </w:r>
      <w:r w:rsidR="00E0408C" w:rsidRPr="00C6445D">
        <w:rPr>
          <w:rFonts w:ascii="Times" w:hAnsi="Times" w:cs="Times New Roman"/>
          <w:i/>
        </w:rPr>
        <w:t>The Idea of Public Law</w:t>
      </w:r>
      <w:r w:rsidR="00E0408C" w:rsidRPr="00C6445D">
        <w:rPr>
          <w:rFonts w:ascii="Times" w:hAnsi="Times" w:cs="Times New Roman"/>
        </w:rPr>
        <w:t xml:space="preserve"> (Oxford</w:t>
      </w:r>
      <w:r w:rsidR="00D816BA" w:rsidRPr="00C6445D">
        <w:rPr>
          <w:rFonts w:ascii="Times" w:hAnsi="Times" w:cs="Times New Roman"/>
        </w:rPr>
        <w:t>:</w:t>
      </w:r>
      <w:r w:rsidR="00E0408C" w:rsidRPr="00C6445D">
        <w:rPr>
          <w:rFonts w:ascii="Times" w:hAnsi="Times" w:cs="Times New Roman"/>
        </w:rPr>
        <w:t xml:space="preserve"> OUP, 2003)</w:t>
      </w:r>
      <w:r w:rsidR="00BE060D" w:rsidRPr="00C6445D">
        <w:rPr>
          <w:rFonts w:ascii="Times" w:hAnsi="Times" w:cs="Times New Roman"/>
        </w:rPr>
        <w:t xml:space="preserve">, </w:t>
      </w:r>
      <w:r w:rsidR="00CF7B27" w:rsidRPr="00C6445D">
        <w:rPr>
          <w:rFonts w:ascii="Times" w:hAnsi="Times" w:cs="Times New Roman"/>
        </w:rPr>
        <w:t>p. 52.</w:t>
      </w:r>
    </w:p>
  </w:footnote>
  <w:footnote w:id="149">
    <w:p w14:paraId="039A9430" w14:textId="561A7004"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E0408C" w:rsidRPr="00C6445D">
        <w:rPr>
          <w:rFonts w:ascii="Times" w:hAnsi="Times" w:cs="Times New Roman"/>
        </w:rPr>
        <w:t>Chandler</w:t>
      </w:r>
      <w:r w:rsidR="00977711" w:rsidRPr="00C6445D">
        <w:rPr>
          <w:rFonts w:ascii="Times" w:hAnsi="Times" w:cs="Times New Roman"/>
        </w:rPr>
        <w:t xml:space="preserve"> “Globalization and Distrust”</w:t>
      </w:r>
      <w:r w:rsidR="00E0408C" w:rsidRPr="00C6445D">
        <w:rPr>
          <w:rFonts w:ascii="Times" w:hAnsi="Times" w:cs="Times New Roman"/>
        </w:rPr>
        <w:t xml:space="preserve"> </w:t>
      </w:r>
      <w:r w:rsidR="00411337" w:rsidRPr="00C6445D">
        <w:rPr>
          <w:rFonts w:ascii="Times" w:hAnsi="Times" w:cs="Times New Roman"/>
        </w:rPr>
        <w:t>above</w:t>
      </w:r>
      <w:r w:rsidR="00E0408C" w:rsidRPr="00C6445D">
        <w:rPr>
          <w:rFonts w:ascii="Times" w:hAnsi="Times" w:cs="Times New Roman"/>
        </w:rPr>
        <w:t>, 1228</w:t>
      </w:r>
      <w:r w:rsidR="00484912" w:rsidRPr="00C6445D">
        <w:rPr>
          <w:rFonts w:ascii="Times" w:hAnsi="Times" w:cs="Times New Roman"/>
        </w:rPr>
        <w:t>:</w:t>
      </w:r>
      <w:r w:rsidR="00E0408C" w:rsidRPr="00C6445D">
        <w:rPr>
          <w:rFonts w:ascii="Times" w:hAnsi="Times" w:cs="Times New Roman"/>
        </w:rPr>
        <w:t xml:space="preserve"> Ely’s particular commitment is to “to an egalitarian democracy”.</w:t>
      </w:r>
    </w:p>
  </w:footnote>
  <w:footnote w:id="150">
    <w:p w14:paraId="29E2FCCF" w14:textId="6F2D53E9" w:rsidR="009A3D31" w:rsidRPr="00C6445D" w:rsidRDefault="009A3D31" w:rsidP="00FB49D8">
      <w:pPr>
        <w:spacing w:before="0" w:after="0" w:line="240" w:lineRule="auto"/>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8D061B" w:rsidRPr="00C6445D">
        <w:rPr>
          <w:rFonts w:ascii="Times" w:hAnsi="Times" w:cs="Times New Roman"/>
        </w:rPr>
        <w:t xml:space="preserve">M. </w:t>
      </w:r>
      <w:r w:rsidR="0055594A" w:rsidRPr="00C6445D">
        <w:rPr>
          <w:rFonts w:ascii="Times" w:hAnsi="Times" w:cs="Times New Roman"/>
        </w:rPr>
        <w:t xml:space="preserve">Wilkinson, “Political Constitutionalism and the European Union”, </w:t>
      </w:r>
      <w:r w:rsidR="0065737F" w:rsidRPr="00C6445D">
        <w:rPr>
          <w:rFonts w:ascii="Times" w:hAnsi="Times" w:cs="Times New Roman"/>
        </w:rPr>
        <w:t xml:space="preserve">(2013) </w:t>
      </w:r>
      <w:r w:rsidR="0055594A" w:rsidRPr="00C6445D">
        <w:rPr>
          <w:rFonts w:ascii="Times" w:hAnsi="Times" w:cs="Times New Roman"/>
        </w:rPr>
        <w:t>76 M</w:t>
      </w:r>
      <w:r w:rsidR="0065737F" w:rsidRPr="00C6445D">
        <w:rPr>
          <w:rFonts w:ascii="Times" w:hAnsi="Times" w:cs="Times New Roman"/>
        </w:rPr>
        <w:t>.</w:t>
      </w:r>
      <w:r w:rsidR="0055594A" w:rsidRPr="00C6445D">
        <w:rPr>
          <w:rFonts w:ascii="Times" w:hAnsi="Times" w:cs="Times New Roman"/>
        </w:rPr>
        <w:t>L</w:t>
      </w:r>
      <w:r w:rsidR="0065737F" w:rsidRPr="00C6445D">
        <w:rPr>
          <w:rFonts w:ascii="Times" w:hAnsi="Times" w:cs="Times New Roman"/>
        </w:rPr>
        <w:t>.</w:t>
      </w:r>
      <w:r w:rsidR="0055594A" w:rsidRPr="00C6445D">
        <w:rPr>
          <w:rFonts w:ascii="Times" w:hAnsi="Times" w:cs="Times New Roman"/>
        </w:rPr>
        <w:t>R</w:t>
      </w:r>
      <w:r w:rsidR="0065737F" w:rsidRPr="00C6445D">
        <w:rPr>
          <w:rFonts w:ascii="Times" w:hAnsi="Times" w:cs="Times New Roman"/>
        </w:rPr>
        <w:t>.</w:t>
      </w:r>
      <w:r w:rsidR="0055594A" w:rsidRPr="00C6445D">
        <w:rPr>
          <w:rFonts w:ascii="Times" w:hAnsi="Times" w:cs="Times New Roman"/>
        </w:rPr>
        <w:t xml:space="preserve"> 191</w:t>
      </w:r>
      <w:r w:rsidRPr="00C6445D">
        <w:rPr>
          <w:rFonts w:ascii="Times" w:hAnsi="Times" w:cs="Times New Roman"/>
        </w:rPr>
        <w:t>, 217.</w:t>
      </w:r>
    </w:p>
  </w:footnote>
  <w:footnote w:id="151">
    <w:p w14:paraId="5C33B593" w14:textId="42CDCCB6"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B275FE" w:rsidRPr="00C6445D">
        <w:rPr>
          <w:rFonts w:ascii="Times" w:hAnsi="Times" w:cs="Times New Roman"/>
        </w:rPr>
        <w:t>Wilkinson</w:t>
      </w:r>
      <w:r w:rsidR="00925D5A" w:rsidRPr="00C6445D">
        <w:rPr>
          <w:rFonts w:ascii="Times" w:hAnsi="Times" w:cs="Times New Roman"/>
        </w:rPr>
        <w:t xml:space="preserve"> “Political Constitutionalism”</w:t>
      </w:r>
      <w:r w:rsidR="00B275FE" w:rsidRPr="00C6445D">
        <w:rPr>
          <w:rFonts w:ascii="Times" w:hAnsi="Times" w:cs="Times New Roman"/>
        </w:rPr>
        <w:t xml:space="preserve"> above,</w:t>
      </w:r>
      <w:r w:rsidR="00802F02" w:rsidRPr="00C6445D">
        <w:rPr>
          <w:rFonts w:ascii="Times" w:hAnsi="Times" w:cs="Times New Roman"/>
        </w:rPr>
        <w:t xml:space="preserve"> </w:t>
      </w:r>
      <w:r w:rsidRPr="00C6445D">
        <w:rPr>
          <w:rFonts w:ascii="Times" w:hAnsi="Times" w:cs="Times New Roman"/>
        </w:rPr>
        <w:t>212</w:t>
      </w:r>
    </w:p>
  </w:footnote>
  <w:footnote w:id="152">
    <w:p w14:paraId="28A91931" w14:textId="70293FD9" w:rsidR="00C40B19" w:rsidRPr="00C6445D" w:rsidRDefault="00C40B19"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B8276F" w:rsidRPr="00C6445D">
        <w:rPr>
          <w:rFonts w:ascii="Times" w:hAnsi="Times" w:cs="Times New Roman"/>
        </w:rPr>
        <w:t xml:space="preserve">Wilkinson </w:t>
      </w:r>
      <w:r w:rsidR="00E842AA" w:rsidRPr="00C6445D">
        <w:rPr>
          <w:rFonts w:ascii="Times" w:hAnsi="Times" w:cs="Times New Roman"/>
        </w:rPr>
        <w:t xml:space="preserve">“Political Constitutionalism” </w:t>
      </w:r>
      <w:r w:rsidR="00B8276F" w:rsidRPr="00C6445D">
        <w:rPr>
          <w:rFonts w:ascii="Times" w:hAnsi="Times" w:cs="Times New Roman"/>
        </w:rPr>
        <w:t>above,</w:t>
      </w:r>
      <w:r w:rsidR="000638A7" w:rsidRPr="00C6445D">
        <w:rPr>
          <w:rFonts w:ascii="Times" w:hAnsi="Times" w:cs="Times New Roman"/>
        </w:rPr>
        <w:t xml:space="preserve"> 207: “The constitution of a polity depends on a negotiation of the productive(or destructive) tensions between politics and law, power and au</w:t>
      </w:r>
      <w:r w:rsidR="002052C0" w:rsidRPr="00C6445D">
        <w:rPr>
          <w:rFonts w:ascii="Times" w:hAnsi="Times" w:cs="Times New Roman"/>
        </w:rPr>
        <w:t>t</w:t>
      </w:r>
      <w:r w:rsidR="000638A7" w:rsidRPr="00C6445D">
        <w:rPr>
          <w:rFonts w:ascii="Times" w:hAnsi="Times" w:cs="Times New Roman"/>
        </w:rPr>
        <w:t>hority, materialism and idealism, fact and norm”</w:t>
      </w:r>
    </w:p>
  </w:footnote>
  <w:footnote w:id="153">
    <w:p w14:paraId="46C9B4D3" w14:textId="7A3640D3"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966CDA" w:rsidRPr="00C6445D">
        <w:rPr>
          <w:rFonts w:ascii="Times" w:hAnsi="Times" w:cs="Times New Roman"/>
        </w:rPr>
        <w:t xml:space="preserve">See Bartl, “Internal Market Rationality, Private Law and the Direction of the Union: Resuscitating the Market as the Object of the Political” </w:t>
      </w:r>
      <w:r w:rsidR="00F13E23" w:rsidRPr="00C6445D">
        <w:rPr>
          <w:rFonts w:ascii="Times" w:hAnsi="Times" w:cs="Times New Roman"/>
        </w:rPr>
        <w:t xml:space="preserve">(2015) </w:t>
      </w:r>
      <w:r w:rsidR="00966CDA" w:rsidRPr="00C6445D">
        <w:rPr>
          <w:rFonts w:ascii="Times" w:hAnsi="Times" w:cs="Times New Roman"/>
        </w:rPr>
        <w:t xml:space="preserve">21 </w:t>
      </w:r>
      <w:r w:rsidR="00F13E23" w:rsidRPr="00C6445D">
        <w:rPr>
          <w:rFonts w:ascii="Times" w:hAnsi="Times" w:cs="Times New Roman"/>
        </w:rPr>
        <w:t>E.L.J.</w:t>
      </w:r>
      <w:r w:rsidR="00966CDA" w:rsidRPr="00C6445D">
        <w:rPr>
          <w:rFonts w:ascii="Times" w:hAnsi="Times" w:cs="Times New Roman"/>
        </w:rPr>
        <w:t xml:space="preserve"> 569.</w:t>
      </w:r>
    </w:p>
  </w:footnote>
  <w:footnote w:id="154">
    <w:p w14:paraId="0E0668AC" w14:textId="4097834B" w:rsidR="002D500C" w:rsidRPr="00C6445D" w:rsidRDefault="002D500C"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See Section</w:t>
      </w:r>
      <w:r w:rsidR="00F8675E" w:rsidRPr="00C6445D">
        <w:rPr>
          <w:rFonts w:ascii="Times" w:hAnsi="Times" w:cs="Times New Roman"/>
        </w:rPr>
        <w:t xml:space="preserve"> </w:t>
      </w:r>
      <w:r w:rsidR="00F8675E" w:rsidRPr="00C6445D">
        <w:rPr>
          <w:rFonts w:ascii="Times" w:hAnsi="Times" w:cs="Times New Roman"/>
          <w:i/>
          <w:iCs/>
        </w:rPr>
        <w:t>infra</w:t>
      </w:r>
      <w:r w:rsidR="00F8675E" w:rsidRPr="00C6445D">
        <w:rPr>
          <w:rFonts w:ascii="Times" w:hAnsi="Times" w:cs="Times New Roman"/>
        </w:rPr>
        <w:t>, “The Expectations of Advocates of Process Review for Member State Measures”</w:t>
      </w:r>
      <w:r w:rsidR="00A0083D" w:rsidRPr="00C6445D">
        <w:rPr>
          <w:rFonts w:ascii="Times" w:hAnsi="Times" w:cs="Times New Roman"/>
        </w:rPr>
        <w:t>.</w:t>
      </w:r>
    </w:p>
  </w:footnote>
  <w:footnote w:id="155">
    <w:p w14:paraId="432AD61F" w14:textId="6AA6964E"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0C52FF" w:rsidRPr="00C6445D">
        <w:rPr>
          <w:rFonts w:ascii="Times" w:hAnsi="Times" w:cs="Times New Roman"/>
        </w:rPr>
        <w:t xml:space="preserve">See, </w:t>
      </w:r>
      <w:r w:rsidR="008D061B" w:rsidRPr="00C6445D">
        <w:rPr>
          <w:rFonts w:ascii="Times" w:hAnsi="Times" w:cs="Times New Roman"/>
        </w:rPr>
        <w:t>A</w:t>
      </w:r>
      <w:r w:rsidR="00421AC9" w:rsidRPr="00C6445D">
        <w:rPr>
          <w:rFonts w:ascii="Times" w:hAnsi="Times" w:cs="Times New Roman"/>
        </w:rPr>
        <w:t xml:space="preserve">. </w:t>
      </w:r>
      <w:r w:rsidR="000C52FF" w:rsidRPr="00C6445D">
        <w:rPr>
          <w:rFonts w:ascii="Times" w:hAnsi="Times" w:cs="Times New Roman"/>
        </w:rPr>
        <w:t>Bickel,</w:t>
      </w:r>
      <w:r w:rsidR="00421AC9" w:rsidRPr="00C6445D">
        <w:rPr>
          <w:rFonts w:ascii="Times" w:hAnsi="Times" w:cs="Times New Roman"/>
        </w:rPr>
        <w:t xml:space="preserve"> </w:t>
      </w:r>
      <w:r w:rsidR="000C52FF" w:rsidRPr="00C6445D">
        <w:rPr>
          <w:rFonts w:ascii="Times" w:hAnsi="Times" w:cs="Times New Roman"/>
          <w:i/>
          <w:iCs/>
        </w:rPr>
        <w:t>The Least Dangerous Branch: The Supreme Court at the Bar of Politics</w:t>
      </w:r>
      <w:r w:rsidR="000C52FF" w:rsidRPr="00C6445D">
        <w:rPr>
          <w:rFonts w:ascii="Times" w:hAnsi="Times" w:cs="Times New Roman"/>
        </w:rPr>
        <w:t xml:space="preserve"> (2nd </w:t>
      </w:r>
      <w:r w:rsidR="008F7B30" w:rsidRPr="00C6445D">
        <w:rPr>
          <w:rFonts w:ascii="Times" w:hAnsi="Times" w:cs="Times New Roman"/>
        </w:rPr>
        <w:t>ed</w:t>
      </w:r>
      <w:r w:rsidR="000C52FF" w:rsidRPr="00C6445D">
        <w:rPr>
          <w:rFonts w:ascii="Times" w:hAnsi="Times" w:cs="Times New Roman"/>
        </w:rPr>
        <w:t>., Yale University Press</w:t>
      </w:r>
      <w:r w:rsidR="000B1C6C" w:rsidRPr="00C6445D">
        <w:rPr>
          <w:rFonts w:ascii="Times" w:hAnsi="Times" w:cs="Times New Roman"/>
        </w:rPr>
        <w:t>,</w:t>
      </w:r>
      <w:r w:rsidR="000C52FF" w:rsidRPr="00C6445D">
        <w:rPr>
          <w:rFonts w:ascii="Times" w:hAnsi="Times" w:cs="Times New Roman"/>
        </w:rPr>
        <w:t xml:space="preserve"> 1986).</w:t>
      </w:r>
    </w:p>
  </w:footnote>
  <w:footnote w:id="156">
    <w:p w14:paraId="36FDBB79" w14:textId="7DA7E2D0" w:rsidR="008A77BD" w:rsidRPr="00C6445D" w:rsidRDefault="008A77BD"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D108AC" w:rsidRPr="00C6445D">
        <w:rPr>
          <w:rFonts w:ascii="Times" w:hAnsi="Times" w:cs="Times New Roman"/>
        </w:rPr>
        <w:t xml:space="preserve">R. </w:t>
      </w:r>
      <w:r w:rsidR="00CD767C" w:rsidRPr="00C6445D">
        <w:rPr>
          <w:rFonts w:ascii="Times" w:hAnsi="Times" w:cs="Times New Roman"/>
        </w:rPr>
        <w:t>Schütze</w:t>
      </w:r>
      <w:r w:rsidR="00BC319B" w:rsidRPr="00C6445D">
        <w:rPr>
          <w:rFonts w:ascii="Times" w:hAnsi="Times" w:cs="Times New Roman"/>
        </w:rPr>
        <w:t xml:space="preserve">, “Judicial majoritarianism revisited: "we, the other court"?”, </w:t>
      </w:r>
      <w:r w:rsidR="008A61B3" w:rsidRPr="00C6445D">
        <w:rPr>
          <w:rFonts w:ascii="Times" w:hAnsi="Times" w:cs="Times New Roman"/>
        </w:rPr>
        <w:t xml:space="preserve">(2018) </w:t>
      </w:r>
      <w:r w:rsidR="00BC319B" w:rsidRPr="00C6445D">
        <w:rPr>
          <w:rFonts w:ascii="Times" w:hAnsi="Times" w:cs="Times New Roman"/>
        </w:rPr>
        <w:t xml:space="preserve">43 </w:t>
      </w:r>
      <w:r w:rsidR="00BC1100" w:rsidRPr="00C6445D">
        <w:rPr>
          <w:rFonts w:ascii="Times" w:hAnsi="Times" w:cs="Times New Roman"/>
        </w:rPr>
        <w:t>E.L. Rev.</w:t>
      </w:r>
      <w:r w:rsidR="008A61B3" w:rsidRPr="00C6445D">
        <w:rPr>
          <w:rFonts w:ascii="Times" w:hAnsi="Times" w:cs="Times New Roman"/>
        </w:rPr>
        <w:t xml:space="preserve"> </w:t>
      </w:r>
      <w:r w:rsidR="00BC319B" w:rsidRPr="00C6445D">
        <w:rPr>
          <w:rFonts w:ascii="Times" w:hAnsi="Times" w:cs="Times New Roman"/>
        </w:rPr>
        <w:t>269</w:t>
      </w:r>
    </w:p>
  </w:footnote>
  <w:footnote w:id="157">
    <w:p w14:paraId="5D654A70" w14:textId="7DB719D2"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E81C23" w:rsidRPr="00C6445D">
        <w:rPr>
          <w:rFonts w:ascii="Times" w:hAnsi="Times" w:cs="Times New Roman"/>
        </w:rPr>
        <w:t>Schütze</w:t>
      </w:r>
      <w:r w:rsidR="00881A8A" w:rsidRPr="00C6445D">
        <w:rPr>
          <w:rFonts w:ascii="Times" w:hAnsi="Times" w:cs="Times New Roman"/>
        </w:rPr>
        <w:t xml:space="preserve"> </w:t>
      </w:r>
      <w:r w:rsidR="00DB1763" w:rsidRPr="00C6445D">
        <w:rPr>
          <w:rFonts w:ascii="Times" w:hAnsi="Times" w:cs="Times New Roman"/>
        </w:rPr>
        <w:t xml:space="preserve">“The Other Court” </w:t>
      </w:r>
      <w:r w:rsidR="00881A8A" w:rsidRPr="00C6445D">
        <w:rPr>
          <w:rFonts w:ascii="Times" w:hAnsi="Times" w:cs="Times New Roman"/>
        </w:rPr>
        <w:t>above,</w:t>
      </w:r>
      <w:r w:rsidRPr="00C6445D">
        <w:rPr>
          <w:rFonts w:ascii="Times" w:hAnsi="Times" w:cs="Times New Roman"/>
        </w:rPr>
        <w:t xml:space="preserve"> 279.</w:t>
      </w:r>
    </w:p>
  </w:footnote>
  <w:footnote w:id="158">
    <w:p w14:paraId="11E5891A" w14:textId="77FA8FCA"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2516C7" w:rsidRPr="00C6445D">
        <w:rPr>
          <w:rFonts w:ascii="Times" w:hAnsi="Times" w:cs="Times New Roman"/>
        </w:rPr>
        <w:t>Komesar</w:t>
      </w:r>
      <w:r w:rsidR="00435AE6" w:rsidRPr="00C6445D">
        <w:rPr>
          <w:rFonts w:ascii="Times" w:hAnsi="Times" w:cs="Times New Roman"/>
        </w:rPr>
        <w:t xml:space="preserve"> “A Job for the Judges”</w:t>
      </w:r>
      <w:r w:rsidR="002516C7" w:rsidRPr="00C6445D">
        <w:rPr>
          <w:rFonts w:ascii="Times" w:hAnsi="Times" w:cs="Times New Roman"/>
        </w:rPr>
        <w:t xml:space="preserve"> </w:t>
      </w:r>
      <w:r w:rsidR="002A0E3B" w:rsidRPr="00C6445D">
        <w:rPr>
          <w:rFonts w:ascii="Times" w:hAnsi="Times" w:cs="Times New Roman"/>
        </w:rPr>
        <w:t>above</w:t>
      </w:r>
      <w:r w:rsidR="002516C7" w:rsidRPr="00C6445D">
        <w:rPr>
          <w:rFonts w:ascii="Times" w:hAnsi="Times" w:cs="Times New Roman"/>
        </w:rPr>
        <w:t>, 697.</w:t>
      </w:r>
    </w:p>
  </w:footnote>
  <w:footnote w:id="159">
    <w:p w14:paraId="2DC958D4" w14:textId="0C862781"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Posner </w:t>
      </w:r>
      <w:r w:rsidR="00F1418D" w:rsidRPr="00C6445D">
        <w:rPr>
          <w:rFonts w:ascii="Times" w:hAnsi="Times" w:cs="Times New Roman"/>
        </w:rPr>
        <w:t xml:space="preserve">“Democracy and Distrust Revisited” </w:t>
      </w:r>
      <w:r w:rsidR="006441D8" w:rsidRPr="00C6445D">
        <w:rPr>
          <w:rFonts w:ascii="Times" w:hAnsi="Times" w:cs="Times New Roman"/>
        </w:rPr>
        <w:t>above</w:t>
      </w:r>
      <w:r w:rsidRPr="00C6445D">
        <w:rPr>
          <w:rFonts w:ascii="Times" w:hAnsi="Times" w:cs="Times New Roman"/>
        </w:rPr>
        <w:t xml:space="preserve"> , 650.</w:t>
      </w:r>
    </w:p>
  </w:footnote>
  <w:footnote w:id="160">
    <w:p w14:paraId="20618134" w14:textId="246AD48E" w:rsidR="009A7412" w:rsidRPr="00C6445D" w:rsidRDefault="009A7412" w:rsidP="00FB49D8">
      <w:pPr>
        <w:pStyle w:val="NormalWeb"/>
        <w:spacing w:before="0" w:beforeAutospacing="0" w:after="0" w:afterAutospacing="0"/>
        <w:rPr>
          <w:rFonts w:ascii="Times" w:hAnsi="Times"/>
          <w:szCs w:val="20"/>
        </w:rPr>
      </w:pPr>
      <w:r w:rsidRPr="00C6445D">
        <w:rPr>
          <w:rStyle w:val="FootnoteReference"/>
          <w:rFonts w:ascii="Times" w:hAnsi="Times"/>
          <w:szCs w:val="20"/>
        </w:rPr>
        <w:footnoteRef/>
      </w:r>
      <w:r w:rsidRPr="00C6445D">
        <w:rPr>
          <w:rFonts w:ascii="Times" w:hAnsi="Times"/>
          <w:szCs w:val="20"/>
        </w:rPr>
        <w:t xml:space="preserve"> </w:t>
      </w:r>
      <w:r w:rsidR="00AD34AF" w:rsidRPr="00C6445D">
        <w:rPr>
          <w:rFonts w:ascii="Times" w:hAnsi="Times"/>
          <w:szCs w:val="20"/>
        </w:rPr>
        <w:t xml:space="preserve">Komesar </w:t>
      </w:r>
      <w:r w:rsidR="00F1418D" w:rsidRPr="00C6445D">
        <w:rPr>
          <w:rFonts w:ascii="Times" w:hAnsi="Times"/>
          <w:szCs w:val="20"/>
        </w:rPr>
        <w:t xml:space="preserve">“A Job for the Judges” </w:t>
      </w:r>
      <w:r w:rsidR="00774C7D" w:rsidRPr="00C6445D">
        <w:rPr>
          <w:rFonts w:ascii="Times" w:hAnsi="Times"/>
          <w:szCs w:val="20"/>
        </w:rPr>
        <w:t>above</w:t>
      </w:r>
      <w:r w:rsidR="00AD34AF" w:rsidRPr="00C6445D">
        <w:rPr>
          <w:rFonts w:ascii="Times" w:hAnsi="Times"/>
          <w:szCs w:val="20"/>
        </w:rPr>
        <w:t xml:space="preserve">, </w:t>
      </w:r>
      <w:r w:rsidRPr="00C6445D">
        <w:rPr>
          <w:rFonts w:ascii="Times" w:hAnsi="Times"/>
          <w:szCs w:val="20"/>
        </w:rPr>
        <w:t>679</w:t>
      </w:r>
      <w:r w:rsidR="0098656C" w:rsidRPr="00C6445D">
        <w:rPr>
          <w:rFonts w:ascii="Times" w:hAnsi="Times"/>
          <w:szCs w:val="20"/>
        </w:rPr>
        <w:t xml:space="preserve">, </w:t>
      </w:r>
      <w:r w:rsidRPr="00C6445D">
        <w:rPr>
          <w:rFonts w:ascii="Times" w:hAnsi="Times"/>
          <w:szCs w:val="20"/>
        </w:rPr>
        <w:t>argues that “Governmental failure to deliberate seems an unworkable sufficient condition for judicial review. Very little governmental action is the product of removed, neutral, public-interest deliberation. Failure of these conditions would suggest that virtually all such actions would be candidates for serious judicial scrutiny”</w:t>
      </w:r>
    </w:p>
  </w:footnote>
  <w:footnote w:id="161">
    <w:p w14:paraId="63EE26AB" w14:textId="58725C4D" w:rsidR="00E43860" w:rsidRPr="00C6445D" w:rsidRDefault="00E43860"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98656C" w:rsidRPr="00C6445D">
        <w:rPr>
          <w:rFonts w:ascii="Times" w:hAnsi="Times" w:cs="Times New Roman"/>
        </w:rPr>
        <w:t xml:space="preserve">D. </w:t>
      </w:r>
      <w:r w:rsidR="00613EEF" w:rsidRPr="00C6445D">
        <w:rPr>
          <w:rFonts w:ascii="Times" w:hAnsi="Times" w:cs="Times New Roman"/>
        </w:rPr>
        <w:t xml:space="preserve">Ritleng, “Does the European Court of Justice Take Democracy Seriously? Some Thoughts about the </w:t>
      </w:r>
      <w:r w:rsidR="00613EEF" w:rsidRPr="00C6445D">
        <w:rPr>
          <w:rFonts w:ascii="Times" w:hAnsi="Times" w:cs="Times New Roman"/>
          <w:i/>
        </w:rPr>
        <w:t xml:space="preserve">Macro-Financial Assistance </w:t>
      </w:r>
      <w:r w:rsidR="00613EEF" w:rsidRPr="00C6445D">
        <w:rPr>
          <w:rFonts w:ascii="Times" w:hAnsi="Times" w:cs="Times New Roman"/>
        </w:rPr>
        <w:t xml:space="preserve">case”, </w:t>
      </w:r>
      <w:r w:rsidR="00DE75A3" w:rsidRPr="00C6445D">
        <w:rPr>
          <w:rFonts w:ascii="Times" w:hAnsi="Times" w:cs="Times New Roman"/>
        </w:rPr>
        <w:t xml:space="preserve">(2016) </w:t>
      </w:r>
      <w:r w:rsidR="00613EEF" w:rsidRPr="00C6445D">
        <w:rPr>
          <w:rFonts w:ascii="Times" w:hAnsi="Times" w:cs="Times New Roman"/>
        </w:rPr>
        <w:t xml:space="preserve">53 </w:t>
      </w:r>
      <w:r w:rsidR="00BD4892" w:rsidRPr="00C6445D">
        <w:rPr>
          <w:rFonts w:ascii="Times" w:hAnsi="Times" w:cs="Times New Roman"/>
        </w:rPr>
        <w:t xml:space="preserve">C.M.L. Rev. </w:t>
      </w:r>
      <w:r w:rsidR="00613EEF" w:rsidRPr="00C6445D">
        <w:rPr>
          <w:rFonts w:ascii="Times" w:hAnsi="Times" w:cs="Times New Roman"/>
        </w:rPr>
        <w:t>11.</w:t>
      </w:r>
    </w:p>
  </w:footnote>
  <w:footnote w:id="162">
    <w:p w14:paraId="042BF356" w14:textId="77777777" w:rsidR="00D24466" w:rsidRPr="00C6445D" w:rsidRDefault="00D24466"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See for example, </w:t>
      </w:r>
      <w:r w:rsidRPr="00C6445D">
        <w:rPr>
          <w:rFonts w:ascii="Times" w:hAnsi="Times" w:cs="Times New Roman"/>
          <w:i/>
        </w:rPr>
        <w:t xml:space="preserve">Greece </w:t>
      </w:r>
      <w:r w:rsidRPr="00C6445D">
        <w:rPr>
          <w:rFonts w:ascii="Times" w:hAnsi="Times" w:cs="Times New Roman"/>
        </w:rPr>
        <w:t>v</w:t>
      </w:r>
      <w:r w:rsidRPr="00C6445D">
        <w:rPr>
          <w:rFonts w:ascii="Times" w:hAnsi="Times" w:cs="Times New Roman"/>
          <w:i/>
        </w:rPr>
        <w:t xml:space="preserve"> Council</w:t>
      </w:r>
      <w:r w:rsidRPr="00C6445D">
        <w:rPr>
          <w:rFonts w:ascii="Times" w:hAnsi="Times" w:cs="Times New Roman"/>
        </w:rPr>
        <w:t xml:space="preserve"> (C-204/86) EU:C:1988:450; </w:t>
      </w:r>
      <w:r w:rsidRPr="00C6445D">
        <w:rPr>
          <w:rFonts w:ascii="Times" w:hAnsi="Times" w:cs="Times New Roman"/>
          <w:i/>
        </w:rPr>
        <w:t xml:space="preserve">Parliament </w:t>
      </w:r>
      <w:r w:rsidRPr="00C6445D">
        <w:rPr>
          <w:rFonts w:ascii="Times" w:hAnsi="Times" w:cs="Times New Roman"/>
        </w:rPr>
        <w:t>v</w:t>
      </w:r>
      <w:r w:rsidRPr="00C6445D">
        <w:rPr>
          <w:rFonts w:ascii="Times" w:hAnsi="Times" w:cs="Times New Roman"/>
          <w:i/>
        </w:rPr>
        <w:t xml:space="preserve"> Council (</w:t>
      </w:r>
      <w:r w:rsidRPr="00C6445D">
        <w:rPr>
          <w:rFonts w:ascii="Times" w:hAnsi="Times" w:cs="Times New Roman"/>
        </w:rPr>
        <w:t xml:space="preserve">C-65/93) EU:C:1995:91; </w:t>
      </w:r>
      <w:r w:rsidRPr="00C6445D">
        <w:rPr>
          <w:rFonts w:ascii="Times" w:hAnsi="Times" w:cs="Times New Roman"/>
          <w:i/>
          <w:iCs/>
        </w:rPr>
        <w:t>Roquette Freres</w:t>
      </w:r>
      <w:r w:rsidRPr="00C6445D">
        <w:rPr>
          <w:rFonts w:ascii="Times" w:hAnsi="Times" w:cs="Times New Roman"/>
          <w:b/>
          <w:i/>
          <w:iCs/>
        </w:rPr>
        <w:t xml:space="preserve"> (</w:t>
      </w:r>
      <w:r w:rsidRPr="00C6445D">
        <w:rPr>
          <w:rFonts w:ascii="Times" w:hAnsi="Times" w:cs="Times New Roman"/>
          <w:iCs/>
        </w:rPr>
        <w:t>138/79</w:t>
      </w:r>
      <w:r w:rsidRPr="00C6445D">
        <w:rPr>
          <w:rFonts w:ascii="Times" w:hAnsi="Times" w:cs="Times New Roman"/>
          <w:b/>
          <w:iCs/>
        </w:rPr>
        <w:t xml:space="preserve">) </w:t>
      </w:r>
      <w:r w:rsidRPr="00C6445D">
        <w:rPr>
          <w:rFonts w:ascii="Times" w:hAnsi="Times" w:cs="Times New Roman"/>
          <w:iCs/>
        </w:rPr>
        <w:t>EU:C:1980:249.</w:t>
      </w:r>
    </w:p>
  </w:footnote>
  <w:footnote w:id="163">
    <w:p w14:paraId="57A6669B" w14:textId="6B00D725" w:rsidR="009A7412" w:rsidRPr="00C6445D" w:rsidRDefault="009A741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Ritleng</w:t>
      </w:r>
      <w:r w:rsidR="003C5630" w:rsidRPr="00C6445D">
        <w:rPr>
          <w:rFonts w:ascii="Times" w:hAnsi="Times" w:cs="Times New Roman"/>
        </w:rPr>
        <w:t xml:space="preserve"> “Democracy”</w:t>
      </w:r>
      <w:r w:rsidR="003464D0" w:rsidRPr="00C6445D">
        <w:rPr>
          <w:rFonts w:ascii="Times" w:hAnsi="Times" w:cs="Times New Roman"/>
        </w:rPr>
        <w:t xml:space="preserve"> </w:t>
      </w:r>
      <w:r w:rsidR="00543759" w:rsidRPr="00C6445D">
        <w:rPr>
          <w:rFonts w:ascii="Times" w:hAnsi="Times" w:cs="Times New Roman"/>
        </w:rPr>
        <w:t>above,</w:t>
      </w:r>
      <w:r w:rsidRPr="00C6445D">
        <w:rPr>
          <w:rFonts w:ascii="Times" w:hAnsi="Times" w:cs="Times New Roman"/>
        </w:rPr>
        <w:t xml:space="preserve"> 32.</w:t>
      </w:r>
    </w:p>
  </w:footnote>
  <w:footnote w:id="164">
    <w:p w14:paraId="6910879F" w14:textId="77777777" w:rsidR="00FD6E43" w:rsidRPr="00C6445D" w:rsidRDefault="00FD6E43" w:rsidP="00FB49D8">
      <w:pPr>
        <w:autoSpaceDE w:val="0"/>
        <w:autoSpaceDN w:val="0"/>
        <w:adjustRightInd w:val="0"/>
        <w:spacing w:before="0" w:after="0" w:line="240" w:lineRule="auto"/>
        <w:rPr>
          <w:rFonts w:ascii="Times" w:hAnsi="Times" w:cs="Times New Roman"/>
          <w:color w:val="000000" w:themeColor="text1"/>
        </w:rPr>
      </w:pPr>
      <w:r w:rsidRPr="00C6445D">
        <w:rPr>
          <w:rStyle w:val="FootnoteReference"/>
          <w:rFonts w:ascii="Times" w:hAnsi="Times" w:cs="Times New Roman"/>
          <w:color w:val="000000" w:themeColor="text1"/>
        </w:rPr>
        <w:footnoteRef/>
      </w:r>
      <w:r w:rsidRPr="00C6445D">
        <w:rPr>
          <w:rFonts w:ascii="Times" w:hAnsi="Times" w:cs="Times New Roman"/>
          <w:color w:val="000000" w:themeColor="text1"/>
        </w:rPr>
        <w:t xml:space="preserve"> I. Bar-Siman-Tov, ‘The Puzzling Resistance to Judicial Review of the Legislative Process’ (2011) 91 </w:t>
      </w:r>
      <w:r w:rsidRPr="00C6445D">
        <w:rPr>
          <w:rFonts w:ascii="Times" w:hAnsi="Times" w:cs="Times New Roman"/>
          <w:i/>
          <w:iCs/>
          <w:color w:val="000000" w:themeColor="text1"/>
        </w:rPr>
        <w:t xml:space="preserve">Boston University Law Review </w:t>
      </w:r>
      <w:r w:rsidRPr="00C6445D">
        <w:rPr>
          <w:rFonts w:ascii="Times" w:hAnsi="Times" w:cs="Times New Roman"/>
          <w:color w:val="000000" w:themeColor="text1"/>
        </w:rPr>
        <w:t>1915, 1918.</w:t>
      </w:r>
    </w:p>
  </w:footnote>
  <w:footnote w:id="165">
    <w:p w14:paraId="6FAAA4E5" w14:textId="71AD7AE4" w:rsidR="00617BC6" w:rsidRPr="00C6445D" w:rsidRDefault="00617BC6"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107A18" w:rsidRPr="00C6445D">
        <w:rPr>
          <w:rFonts w:ascii="Times" w:hAnsi="Times" w:cs="Times New Roman"/>
        </w:rPr>
        <w:t>R (on the application of HS2 Action Alliance Limited) v The Secretary of State for Transport and another [2014] UKSC3.</w:t>
      </w:r>
    </w:p>
  </w:footnote>
  <w:footnote w:id="166">
    <w:p w14:paraId="1B3F6BEB" w14:textId="7B4413BA" w:rsidR="00A35DB0" w:rsidRPr="00C6445D" w:rsidRDefault="00A35DB0"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DB180B" w:rsidRPr="00C6445D">
        <w:rPr>
          <w:rFonts w:ascii="Times" w:hAnsi="Times" w:cs="Times New Roman"/>
        </w:rPr>
        <w:t>Council Directive 97/11/EC (now amended)</w:t>
      </w:r>
      <w:r w:rsidR="00B614F7" w:rsidRPr="00C6445D">
        <w:rPr>
          <w:rFonts w:ascii="Times" w:hAnsi="Times" w:cs="Times New Roman"/>
        </w:rPr>
        <w:t>. See</w:t>
      </w:r>
      <w:r w:rsidR="00B614F7" w:rsidRPr="00C6445D">
        <w:rPr>
          <w:rFonts w:ascii="Times" w:hAnsi="Times" w:cs="Times New Roman"/>
          <w:bCs/>
          <w:shd w:val="clear" w:color="auto" w:fill="FFFFFF"/>
        </w:rPr>
        <w:t xml:space="preserve"> </w:t>
      </w:r>
      <w:r w:rsidR="00B614F7" w:rsidRPr="00C6445D">
        <w:rPr>
          <w:rFonts w:ascii="Times" w:hAnsi="Times" w:cs="Times New Roman"/>
          <w:bCs/>
          <w:i/>
          <w:shd w:val="clear" w:color="auto" w:fill="FFFFFF"/>
        </w:rPr>
        <w:t>Boxus</w:t>
      </w:r>
      <w:r w:rsidR="000641E7" w:rsidRPr="00C6445D">
        <w:rPr>
          <w:rFonts w:ascii="Times" w:hAnsi="Times" w:cs="Times New Roman"/>
          <w:bCs/>
          <w:shd w:val="clear" w:color="auto" w:fill="FFFFFF"/>
        </w:rPr>
        <w:t xml:space="preserve"> (C</w:t>
      </w:r>
      <w:r w:rsidR="000641E7" w:rsidRPr="00C6445D">
        <w:rPr>
          <w:rFonts w:ascii="Times" w:hAnsi="Times" w:cs="Times New Roman"/>
          <w:bCs/>
          <w:shd w:val="clear" w:color="auto" w:fill="FFFFFF"/>
        </w:rPr>
        <w:noBreakHyphen/>
        <w:t>128/09, C</w:t>
      </w:r>
      <w:r w:rsidR="000641E7" w:rsidRPr="00C6445D">
        <w:rPr>
          <w:rFonts w:ascii="Times" w:hAnsi="Times" w:cs="Times New Roman"/>
          <w:bCs/>
          <w:shd w:val="clear" w:color="auto" w:fill="FFFFFF"/>
        </w:rPr>
        <w:noBreakHyphen/>
        <w:t>129/09, C</w:t>
      </w:r>
      <w:r w:rsidR="000641E7" w:rsidRPr="00C6445D">
        <w:rPr>
          <w:rFonts w:ascii="Times" w:hAnsi="Times" w:cs="Times New Roman"/>
          <w:bCs/>
          <w:shd w:val="clear" w:color="auto" w:fill="FFFFFF"/>
        </w:rPr>
        <w:noBreakHyphen/>
        <w:t>130/09, C</w:t>
      </w:r>
      <w:r w:rsidR="000641E7" w:rsidRPr="00C6445D">
        <w:rPr>
          <w:rFonts w:ascii="Times" w:hAnsi="Times" w:cs="Times New Roman"/>
          <w:bCs/>
          <w:shd w:val="clear" w:color="auto" w:fill="FFFFFF"/>
        </w:rPr>
        <w:noBreakHyphen/>
        <w:t>131/09, C</w:t>
      </w:r>
      <w:r w:rsidR="000641E7" w:rsidRPr="00C6445D">
        <w:rPr>
          <w:rFonts w:ascii="Times" w:hAnsi="Times" w:cs="Times New Roman"/>
          <w:bCs/>
          <w:shd w:val="clear" w:color="auto" w:fill="FFFFFF"/>
        </w:rPr>
        <w:noBreakHyphen/>
        <w:t>134/09 and C</w:t>
      </w:r>
      <w:r w:rsidR="000641E7" w:rsidRPr="00C6445D">
        <w:rPr>
          <w:rFonts w:ascii="Times" w:hAnsi="Times" w:cs="Times New Roman"/>
          <w:bCs/>
          <w:shd w:val="clear" w:color="auto" w:fill="FFFFFF"/>
        </w:rPr>
        <w:noBreakHyphen/>
        <w:t xml:space="preserve">135/09) </w:t>
      </w:r>
      <w:r w:rsidR="00B614F7" w:rsidRPr="00C6445D">
        <w:rPr>
          <w:rFonts w:ascii="Times" w:hAnsi="Times" w:cs="Times New Roman"/>
          <w:bCs/>
          <w:shd w:val="clear" w:color="auto" w:fill="FFFFFF"/>
        </w:rPr>
        <w:t>EU:C:2011:667</w:t>
      </w:r>
      <w:r w:rsidR="00BF3146" w:rsidRPr="00C6445D">
        <w:rPr>
          <w:rFonts w:ascii="Times" w:hAnsi="Times" w:cs="Times New Roman"/>
        </w:rPr>
        <w:t xml:space="preserve"> at [</w:t>
      </w:r>
      <w:r w:rsidR="00B614F7" w:rsidRPr="00C6445D">
        <w:rPr>
          <w:rFonts w:ascii="Times" w:hAnsi="Times" w:cs="Times New Roman"/>
        </w:rPr>
        <w:t>48</w:t>
      </w:r>
      <w:r w:rsidR="00BF3146" w:rsidRPr="00C6445D">
        <w:rPr>
          <w:rFonts w:ascii="Times" w:hAnsi="Times" w:cs="Times New Roman"/>
        </w:rPr>
        <w:t>]</w:t>
      </w:r>
      <w:r w:rsidR="00B614F7" w:rsidRPr="00C6445D">
        <w:rPr>
          <w:rFonts w:ascii="Times" w:hAnsi="Times" w:cs="Times New Roman"/>
        </w:rPr>
        <w:t xml:space="preserve">. See also </w:t>
      </w:r>
      <w:r w:rsidR="00B614F7" w:rsidRPr="00C6445D">
        <w:rPr>
          <w:rFonts w:ascii="Times" w:hAnsi="Times" w:cs="Times New Roman"/>
          <w:i/>
        </w:rPr>
        <w:t>WWF and Others</w:t>
      </w:r>
      <w:r w:rsidR="00B614F7" w:rsidRPr="00C6445D">
        <w:rPr>
          <w:rFonts w:ascii="Times" w:hAnsi="Times" w:cs="Times New Roman"/>
        </w:rPr>
        <w:t xml:space="preserve"> </w:t>
      </w:r>
      <w:r w:rsidR="00781A6A" w:rsidRPr="00C6445D">
        <w:rPr>
          <w:rFonts w:ascii="Times" w:hAnsi="Times" w:cs="Times New Roman"/>
        </w:rPr>
        <w:t xml:space="preserve">(C-435/97) </w:t>
      </w:r>
      <w:r w:rsidR="00B614F7" w:rsidRPr="00C6445D">
        <w:rPr>
          <w:rFonts w:ascii="Times" w:hAnsi="Times" w:cs="Times New Roman"/>
        </w:rPr>
        <w:t xml:space="preserve">EU:C:1999:418, </w:t>
      </w:r>
      <w:r w:rsidR="00B614F7" w:rsidRPr="00C6445D">
        <w:rPr>
          <w:rFonts w:ascii="Times" w:hAnsi="Times" w:cs="Times New Roman"/>
          <w:i/>
        </w:rPr>
        <w:t>Linster,</w:t>
      </w:r>
      <w:r w:rsidR="00B614F7" w:rsidRPr="00C6445D">
        <w:rPr>
          <w:rFonts w:ascii="Times" w:hAnsi="Times" w:cs="Times New Roman"/>
        </w:rPr>
        <w:t xml:space="preserve"> </w:t>
      </w:r>
      <w:r w:rsidR="00264A43" w:rsidRPr="00C6445D">
        <w:rPr>
          <w:rFonts w:ascii="Times" w:hAnsi="Times" w:cs="Times New Roman"/>
        </w:rPr>
        <w:t xml:space="preserve">(C-287/98) </w:t>
      </w:r>
      <w:r w:rsidR="00B614F7" w:rsidRPr="00C6445D">
        <w:rPr>
          <w:rFonts w:ascii="Times" w:hAnsi="Times" w:cs="Times New Roman"/>
        </w:rPr>
        <w:t xml:space="preserve">EU:C:2000:468, </w:t>
      </w:r>
      <w:r w:rsidR="00B614F7" w:rsidRPr="00C6445D">
        <w:rPr>
          <w:rFonts w:ascii="Times" w:hAnsi="Times" w:cs="Times New Roman"/>
          <w:i/>
          <w:shd w:val="clear" w:color="auto" w:fill="FFFFFF"/>
        </w:rPr>
        <w:t>Solvay and Others</w:t>
      </w:r>
      <w:r w:rsidR="0005724F" w:rsidRPr="00C6445D">
        <w:rPr>
          <w:rFonts w:ascii="Times" w:hAnsi="Times" w:cs="Times New Roman"/>
          <w:shd w:val="clear" w:color="auto" w:fill="FFFFFF"/>
        </w:rPr>
        <w:t xml:space="preserve"> (C-182/10) </w:t>
      </w:r>
      <w:r w:rsidR="00B614F7" w:rsidRPr="00C6445D">
        <w:rPr>
          <w:rFonts w:ascii="Times" w:hAnsi="Times" w:cs="Times New Roman"/>
          <w:shd w:val="clear" w:color="auto" w:fill="FFFFFF"/>
        </w:rPr>
        <w:t>EU:C:2012:82</w:t>
      </w:r>
      <w:r w:rsidR="00B614F7" w:rsidRPr="00C6445D">
        <w:rPr>
          <w:rFonts w:ascii="Times" w:hAnsi="Times" w:cs="Times New Roman"/>
        </w:rPr>
        <w:t xml:space="preserve">, </w:t>
      </w:r>
      <w:r w:rsidR="00B614F7" w:rsidRPr="00C6445D">
        <w:rPr>
          <w:rFonts w:ascii="Times" w:hAnsi="Times" w:cs="Times New Roman"/>
          <w:i/>
          <w:shd w:val="clear" w:color="auto" w:fill="FFFFFF"/>
        </w:rPr>
        <w:t>Nomarchiaki Aftodioikisi Aitoloakarnanias and Others</w:t>
      </w:r>
      <w:r w:rsidR="00B614F7" w:rsidRPr="00C6445D">
        <w:rPr>
          <w:rFonts w:ascii="Times" w:hAnsi="Times" w:cs="Times New Roman"/>
        </w:rPr>
        <w:t xml:space="preserve"> </w:t>
      </w:r>
      <w:r w:rsidR="00F71693" w:rsidRPr="00C6445D">
        <w:rPr>
          <w:rFonts w:ascii="Times" w:hAnsi="Times" w:cs="Times New Roman"/>
        </w:rPr>
        <w:t>(</w:t>
      </w:r>
      <w:r w:rsidR="00F71693" w:rsidRPr="00C6445D">
        <w:rPr>
          <w:rFonts w:ascii="Times" w:hAnsi="Times" w:cs="Times New Roman"/>
          <w:shd w:val="clear" w:color="auto" w:fill="FFFFFF"/>
        </w:rPr>
        <w:t xml:space="preserve">C-43/10 ) </w:t>
      </w:r>
      <w:r w:rsidR="00B614F7" w:rsidRPr="00C6445D">
        <w:rPr>
          <w:rFonts w:ascii="Times" w:hAnsi="Times" w:cs="Times New Roman"/>
          <w:shd w:val="clear" w:color="auto" w:fill="FFFFFF"/>
        </w:rPr>
        <w:t>EU:C:2012:560.</w:t>
      </w:r>
    </w:p>
  </w:footnote>
  <w:footnote w:id="167">
    <w:p w14:paraId="3A2FC3C4" w14:textId="26B5B809" w:rsidR="00FD6E43" w:rsidRPr="00C6445D" w:rsidRDefault="00FD6E43" w:rsidP="00FB49D8">
      <w:pPr>
        <w:pStyle w:val="NoSpacing"/>
        <w:rPr>
          <w:rFonts w:ascii="Times" w:hAnsi="Times" w:cs="Times New Roman"/>
          <w:b/>
          <w:bCs/>
        </w:rPr>
      </w:pPr>
      <w:r w:rsidRPr="00C6445D">
        <w:rPr>
          <w:rStyle w:val="FootnoteReference"/>
          <w:rFonts w:ascii="Times" w:hAnsi="Times" w:cs="Times New Roman"/>
          <w:b/>
          <w:bCs/>
        </w:rPr>
        <w:footnoteRef/>
      </w:r>
      <w:r w:rsidRPr="00C6445D">
        <w:rPr>
          <w:rFonts w:ascii="Times" w:hAnsi="Times" w:cs="Times New Roman"/>
          <w:b/>
          <w:bCs/>
        </w:rPr>
        <w:t xml:space="preserve"> </w:t>
      </w:r>
      <w:r w:rsidR="00AA1398" w:rsidRPr="00C6445D">
        <w:rPr>
          <w:rFonts w:ascii="Times" w:hAnsi="Times" w:cs="Times New Roman"/>
        </w:rPr>
        <w:t>R (on the application of HS2 Action Alliance Limited) v The Secretary of State for Transport and another [2014] UKSC3,</w:t>
      </w:r>
      <w:r w:rsidRPr="00C6445D">
        <w:rPr>
          <w:rFonts w:ascii="Times" w:hAnsi="Times" w:cs="Times New Roman"/>
        </w:rPr>
        <w:t xml:space="preserve"> </w:t>
      </w:r>
      <w:r w:rsidR="009867F0" w:rsidRPr="00C6445D">
        <w:rPr>
          <w:rFonts w:ascii="Times" w:hAnsi="Times" w:cs="Times New Roman"/>
        </w:rPr>
        <w:t>at [</w:t>
      </w:r>
      <w:r w:rsidRPr="00C6445D">
        <w:rPr>
          <w:rFonts w:ascii="Times" w:hAnsi="Times" w:cs="Times New Roman"/>
        </w:rPr>
        <w:t>110</w:t>
      </w:r>
      <w:r w:rsidR="009867F0" w:rsidRPr="00C6445D">
        <w:rPr>
          <w:rFonts w:ascii="Times" w:hAnsi="Times" w:cs="Times New Roman"/>
        </w:rPr>
        <w:t>]</w:t>
      </w:r>
      <w:r w:rsidRPr="00C6445D">
        <w:rPr>
          <w:rFonts w:ascii="Times" w:hAnsi="Times" w:cs="Times New Roman"/>
        </w:rPr>
        <w:t>.</w:t>
      </w:r>
      <w:r w:rsidR="00392065" w:rsidRPr="00C6445D">
        <w:rPr>
          <w:rFonts w:ascii="Times" w:hAnsi="Times" w:cs="Times New Roman"/>
        </w:rPr>
        <w:t xml:space="preserve"> It should be noted that this decision may in fact be illegal under the UK</w:t>
      </w:r>
      <w:r w:rsidR="00734D38" w:rsidRPr="00C6445D">
        <w:rPr>
          <w:rFonts w:ascii="Times" w:hAnsi="Times" w:cs="Times New Roman"/>
        </w:rPr>
        <w:t xml:space="preserve"> on the basis of its incompatibility with “fundamental and enshrined” principles the Bill of Rights </w:t>
      </w:r>
      <w:r w:rsidR="009867F0" w:rsidRPr="00C6445D">
        <w:rPr>
          <w:rFonts w:ascii="Times" w:hAnsi="Times" w:cs="Times New Roman"/>
        </w:rPr>
        <w:t>at [</w:t>
      </w:r>
      <w:r w:rsidR="00734D38" w:rsidRPr="00C6445D">
        <w:rPr>
          <w:rFonts w:ascii="Times" w:hAnsi="Times" w:cs="Times New Roman"/>
        </w:rPr>
        <w:t>206</w:t>
      </w:r>
      <w:r w:rsidR="009867F0" w:rsidRPr="00C6445D">
        <w:rPr>
          <w:rFonts w:ascii="Times" w:hAnsi="Times" w:cs="Times New Roman"/>
        </w:rPr>
        <w:t>]</w:t>
      </w:r>
      <w:r w:rsidR="00734D38" w:rsidRPr="00C6445D">
        <w:rPr>
          <w:rFonts w:ascii="Times" w:hAnsi="Times" w:cs="Times New Roman"/>
        </w:rPr>
        <w:t>.</w:t>
      </w:r>
    </w:p>
  </w:footnote>
  <w:footnote w:id="168">
    <w:p w14:paraId="6082CFDC" w14:textId="7911D4E4" w:rsidR="00B401D2" w:rsidRPr="00C6445D" w:rsidRDefault="00B401D2"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362FEF" w:rsidRPr="00C6445D">
        <w:rPr>
          <w:rFonts w:ascii="Times" w:hAnsi="Times" w:cs="Times New Roman"/>
        </w:rPr>
        <w:t>Stone Sweet (2000</w:t>
      </w:r>
      <w:r w:rsidR="002E6455" w:rsidRPr="00C6445D">
        <w:rPr>
          <w:rFonts w:ascii="Times" w:hAnsi="Times" w:cs="Times New Roman"/>
        </w:rPr>
        <w:t>) above</w:t>
      </w:r>
      <w:r w:rsidR="00362FEF" w:rsidRPr="00C6445D">
        <w:rPr>
          <w:rFonts w:ascii="Times" w:hAnsi="Times" w:cs="Times New Roman"/>
        </w:rPr>
        <w:t>,  p.202.</w:t>
      </w:r>
    </w:p>
  </w:footnote>
  <w:footnote w:id="169">
    <w:p w14:paraId="09092682" w14:textId="1CE52EE6" w:rsidR="005C1031" w:rsidRPr="00C6445D" w:rsidRDefault="005C1031" w:rsidP="00FB49D8">
      <w:pPr>
        <w:pStyle w:val="FootnoteText"/>
        <w:rPr>
          <w:rFonts w:ascii="Times"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004C580F" w:rsidRPr="00C6445D">
        <w:rPr>
          <w:rFonts w:ascii="Times" w:hAnsi="Times" w:cs="Times New Roman"/>
        </w:rPr>
        <w:t>R. Posner</w:t>
      </w:r>
      <w:r w:rsidRPr="00C6445D">
        <w:rPr>
          <w:rFonts w:ascii="Times" w:hAnsi="Times" w:cs="Times New Roman"/>
        </w:rPr>
        <w:t xml:space="preserve"> How Judges Think (Harvard University Press, 2008). See also, R. Van Gestel and H.W. Micklitz, “Why Methods Matter in European Legal Scholarship” (2014) 20 E.L.J. 292.</w:t>
      </w:r>
    </w:p>
  </w:footnote>
  <w:footnote w:id="170">
    <w:p w14:paraId="3F16F4FC" w14:textId="7AF07F28" w:rsidR="005C1031" w:rsidRPr="00C6445D" w:rsidRDefault="005C1031" w:rsidP="00FB49D8">
      <w:pPr>
        <w:spacing w:before="0" w:after="0" w:line="240" w:lineRule="auto"/>
        <w:rPr>
          <w:rFonts w:ascii="Times" w:eastAsia="Times New Roman" w:hAnsi="Times" w:cs="Times New Roman"/>
        </w:rPr>
      </w:pPr>
      <w:r w:rsidRPr="00C6445D">
        <w:rPr>
          <w:rStyle w:val="FootnoteReference"/>
          <w:rFonts w:ascii="Times" w:hAnsi="Times" w:cs="Times New Roman"/>
        </w:rPr>
        <w:footnoteRef/>
      </w:r>
      <w:r w:rsidRPr="00C6445D">
        <w:rPr>
          <w:rFonts w:ascii="Times" w:hAnsi="Times" w:cs="Times New Roman"/>
        </w:rPr>
        <w:t xml:space="preserve"> </w:t>
      </w:r>
      <w:r w:rsidRPr="00C6445D">
        <w:rPr>
          <w:rFonts w:ascii="Times" w:eastAsia="Times New Roman" w:hAnsi="Times" w:cs="Times New Roman"/>
        </w:rPr>
        <w:t xml:space="preserve">Loughlin “The Idea of Public Law” above, 3, citing C. Taylor “The Diversity of Goods” in </w:t>
      </w:r>
      <w:r w:rsidRPr="00C6445D">
        <w:rPr>
          <w:rFonts w:ascii="Times" w:eastAsia="Times New Roman" w:hAnsi="Times" w:cs="Times New Roman"/>
          <w:i/>
          <w:iCs/>
        </w:rPr>
        <w:t>Philosophical Papers, vol. 2: Philosophy and the Human Sciences</w:t>
      </w:r>
      <w:r w:rsidRPr="00C6445D">
        <w:rPr>
          <w:rFonts w:ascii="Times" w:eastAsia="Times New Roman" w:hAnsi="Times" w:cs="Times New Roman"/>
        </w:rPr>
        <w:t xml:space="preserve"> (Cambridge: Cambridge University Press, 1985) 230, 241, and his story about  “a passer-by coming to the assistance of a drunk who is stumbling around late at night looking for his key under a street lamp. After searching unsuccessfully for some time, the passer-by asks the drunk if he can remember precisely where he dropped it. ‘Over there’, answers the drunk, pointing to a dark corner. ‘Then why are we searching for it here?’ ‘Because’, the drunk replies, ‘there’s much more light here’</w:t>
      </w:r>
      <w:r w:rsidR="00762B54" w:rsidRPr="00C6445D">
        <w:rPr>
          <w:rFonts w:ascii="Times" w:eastAsia="Times New Roman" w:hAnsi="Time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433"/>
    <w:multiLevelType w:val="hybridMultilevel"/>
    <w:tmpl w:val="6C44FDCE"/>
    <w:lvl w:ilvl="0" w:tplc="9280B54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834CB"/>
    <w:multiLevelType w:val="hybridMultilevel"/>
    <w:tmpl w:val="2DF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433"/>
    <w:multiLevelType w:val="hybridMultilevel"/>
    <w:tmpl w:val="87C61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66D"/>
    <w:multiLevelType w:val="multilevel"/>
    <w:tmpl w:val="8214DC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924E4"/>
    <w:multiLevelType w:val="multilevel"/>
    <w:tmpl w:val="F58A5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C2C"/>
    <w:multiLevelType w:val="hybridMultilevel"/>
    <w:tmpl w:val="EFFC2948"/>
    <w:lvl w:ilvl="0" w:tplc="BE4E6AF6">
      <w:start w:val="13"/>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A6881"/>
    <w:multiLevelType w:val="multilevel"/>
    <w:tmpl w:val="ED8CBBEC"/>
    <w:lvl w:ilvl="0">
      <w:start w:val="1"/>
      <w:numFmt w:val="upperRoman"/>
      <w:lvlText w:val="%1."/>
      <w:lvlJc w:val="left"/>
      <w:pPr>
        <w:ind w:left="1080" w:hanging="720"/>
      </w:pPr>
      <w:rPr>
        <w:rFonts w:hint="default"/>
      </w:rPr>
    </w:lvl>
    <w:lvl w:ilvl="1">
      <w:start w:val="4"/>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2D6185"/>
    <w:multiLevelType w:val="hybridMultilevel"/>
    <w:tmpl w:val="16F4E342"/>
    <w:lvl w:ilvl="0" w:tplc="7A5CB7A8">
      <w:start w:val="1"/>
      <w:numFmt w:val="bullet"/>
      <w:lvlText w:val="-"/>
      <w:lvlJc w:val="left"/>
      <w:pPr>
        <w:ind w:left="720" w:hanging="360"/>
      </w:pPr>
      <w:rPr>
        <w:rFonts w:ascii="Book Antiqua" w:eastAsiaTheme="minorEastAsia"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25C05"/>
    <w:multiLevelType w:val="multilevel"/>
    <w:tmpl w:val="27622A16"/>
    <w:lvl w:ilvl="0">
      <w:start w:val="2"/>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001E2E"/>
    <w:multiLevelType w:val="multilevel"/>
    <w:tmpl w:val="FD5696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1D1BA8"/>
    <w:multiLevelType w:val="hybridMultilevel"/>
    <w:tmpl w:val="86DE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B7B1B"/>
    <w:multiLevelType w:val="hybridMultilevel"/>
    <w:tmpl w:val="330E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53F35"/>
    <w:multiLevelType w:val="hybridMultilevel"/>
    <w:tmpl w:val="56DA4A92"/>
    <w:lvl w:ilvl="0" w:tplc="27741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00A6E"/>
    <w:multiLevelType w:val="multilevel"/>
    <w:tmpl w:val="9F6A22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C22751"/>
    <w:multiLevelType w:val="hybridMultilevel"/>
    <w:tmpl w:val="EC867E84"/>
    <w:lvl w:ilvl="0" w:tplc="86F01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7727A"/>
    <w:multiLevelType w:val="hybridMultilevel"/>
    <w:tmpl w:val="D5EEB6CC"/>
    <w:lvl w:ilvl="0" w:tplc="0FBCF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C2B0B"/>
    <w:multiLevelType w:val="hybridMultilevel"/>
    <w:tmpl w:val="9F502AB4"/>
    <w:lvl w:ilvl="0" w:tplc="AA8651BA">
      <w:start w:val="3"/>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D0D88"/>
    <w:multiLevelType w:val="multilevel"/>
    <w:tmpl w:val="7FFA0F9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8E54791"/>
    <w:multiLevelType w:val="hybridMultilevel"/>
    <w:tmpl w:val="73A4FA94"/>
    <w:lvl w:ilvl="0" w:tplc="1E9A8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10"/>
  </w:num>
  <w:num w:numId="5">
    <w:abstractNumId w:val="11"/>
  </w:num>
  <w:num w:numId="6">
    <w:abstractNumId w:val="7"/>
  </w:num>
  <w:num w:numId="7">
    <w:abstractNumId w:val="6"/>
  </w:num>
  <w:num w:numId="8">
    <w:abstractNumId w:val="14"/>
  </w:num>
  <w:num w:numId="9">
    <w:abstractNumId w:val="17"/>
  </w:num>
  <w:num w:numId="10">
    <w:abstractNumId w:val="1"/>
  </w:num>
  <w:num w:numId="11">
    <w:abstractNumId w:val="8"/>
  </w:num>
  <w:num w:numId="12">
    <w:abstractNumId w:val="12"/>
  </w:num>
  <w:num w:numId="13">
    <w:abstractNumId w:val="9"/>
  </w:num>
  <w:num w:numId="14">
    <w:abstractNumId w:val="18"/>
  </w:num>
  <w:num w:numId="15">
    <w:abstractNumId w:val="3"/>
  </w:num>
  <w:num w:numId="16">
    <w:abstractNumId w:val="16"/>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2F"/>
    <w:rsid w:val="00001858"/>
    <w:rsid w:val="00001940"/>
    <w:rsid w:val="00002331"/>
    <w:rsid w:val="00002336"/>
    <w:rsid w:val="0000401E"/>
    <w:rsid w:val="000041E4"/>
    <w:rsid w:val="000045A0"/>
    <w:rsid w:val="00006BA7"/>
    <w:rsid w:val="00006CB6"/>
    <w:rsid w:val="0000713D"/>
    <w:rsid w:val="00007511"/>
    <w:rsid w:val="00007571"/>
    <w:rsid w:val="00007974"/>
    <w:rsid w:val="000109BB"/>
    <w:rsid w:val="000110D8"/>
    <w:rsid w:val="0001277F"/>
    <w:rsid w:val="00013A5C"/>
    <w:rsid w:val="00014848"/>
    <w:rsid w:val="00014C9F"/>
    <w:rsid w:val="00015400"/>
    <w:rsid w:val="0001655D"/>
    <w:rsid w:val="000171FE"/>
    <w:rsid w:val="00017541"/>
    <w:rsid w:val="000178C2"/>
    <w:rsid w:val="00017BD4"/>
    <w:rsid w:val="00017D28"/>
    <w:rsid w:val="00017E66"/>
    <w:rsid w:val="000223AF"/>
    <w:rsid w:val="0002366B"/>
    <w:rsid w:val="00025D17"/>
    <w:rsid w:val="00026291"/>
    <w:rsid w:val="000266E6"/>
    <w:rsid w:val="00026723"/>
    <w:rsid w:val="0002704F"/>
    <w:rsid w:val="000274D9"/>
    <w:rsid w:val="0002764B"/>
    <w:rsid w:val="00027702"/>
    <w:rsid w:val="0002771F"/>
    <w:rsid w:val="0003014E"/>
    <w:rsid w:val="0003059D"/>
    <w:rsid w:val="00031364"/>
    <w:rsid w:val="00031542"/>
    <w:rsid w:val="000336B3"/>
    <w:rsid w:val="00033F32"/>
    <w:rsid w:val="00034E81"/>
    <w:rsid w:val="00035B66"/>
    <w:rsid w:val="00037340"/>
    <w:rsid w:val="0003795A"/>
    <w:rsid w:val="00040510"/>
    <w:rsid w:val="000405E6"/>
    <w:rsid w:val="0004168A"/>
    <w:rsid w:val="00041E12"/>
    <w:rsid w:val="00042087"/>
    <w:rsid w:val="000431FA"/>
    <w:rsid w:val="00043D68"/>
    <w:rsid w:val="00044788"/>
    <w:rsid w:val="000458C8"/>
    <w:rsid w:val="000463FA"/>
    <w:rsid w:val="00047377"/>
    <w:rsid w:val="000507E2"/>
    <w:rsid w:val="00051B85"/>
    <w:rsid w:val="0005211B"/>
    <w:rsid w:val="00052988"/>
    <w:rsid w:val="00053F0B"/>
    <w:rsid w:val="0005470A"/>
    <w:rsid w:val="00054744"/>
    <w:rsid w:val="0005478C"/>
    <w:rsid w:val="00055E15"/>
    <w:rsid w:val="00056B63"/>
    <w:rsid w:val="0005724F"/>
    <w:rsid w:val="00057AA3"/>
    <w:rsid w:val="00060BD6"/>
    <w:rsid w:val="00060C07"/>
    <w:rsid w:val="00060F7B"/>
    <w:rsid w:val="00061589"/>
    <w:rsid w:val="000617E9"/>
    <w:rsid w:val="00061BFE"/>
    <w:rsid w:val="00061FA9"/>
    <w:rsid w:val="00062AD4"/>
    <w:rsid w:val="000638A7"/>
    <w:rsid w:val="000641E7"/>
    <w:rsid w:val="000644C4"/>
    <w:rsid w:val="00064851"/>
    <w:rsid w:val="00065C68"/>
    <w:rsid w:val="00070327"/>
    <w:rsid w:val="0007161F"/>
    <w:rsid w:val="000719CC"/>
    <w:rsid w:val="00071B6D"/>
    <w:rsid w:val="00072912"/>
    <w:rsid w:val="00073C97"/>
    <w:rsid w:val="000745C8"/>
    <w:rsid w:val="000750DC"/>
    <w:rsid w:val="000759D3"/>
    <w:rsid w:val="00075D4E"/>
    <w:rsid w:val="00076A1B"/>
    <w:rsid w:val="00080DF0"/>
    <w:rsid w:val="00081B7B"/>
    <w:rsid w:val="00081FEF"/>
    <w:rsid w:val="00082CAF"/>
    <w:rsid w:val="00083090"/>
    <w:rsid w:val="00083C8A"/>
    <w:rsid w:val="00085822"/>
    <w:rsid w:val="00085FC9"/>
    <w:rsid w:val="00091C4B"/>
    <w:rsid w:val="00091D08"/>
    <w:rsid w:val="00092184"/>
    <w:rsid w:val="000926D7"/>
    <w:rsid w:val="00092851"/>
    <w:rsid w:val="000931BE"/>
    <w:rsid w:val="00093953"/>
    <w:rsid w:val="000948FD"/>
    <w:rsid w:val="00094BAB"/>
    <w:rsid w:val="00094BC2"/>
    <w:rsid w:val="0009649F"/>
    <w:rsid w:val="000967A9"/>
    <w:rsid w:val="000A01E2"/>
    <w:rsid w:val="000A04E5"/>
    <w:rsid w:val="000A05D6"/>
    <w:rsid w:val="000A2829"/>
    <w:rsid w:val="000A29C7"/>
    <w:rsid w:val="000A407F"/>
    <w:rsid w:val="000A420F"/>
    <w:rsid w:val="000A4948"/>
    <w:rsid w:val="000A4DD5"/>
    <w:rsid w:val="000A51D1"/>
    <w:rsid w:val="000A5BB9"/>
    <w:rsid w:val="000A7695"/>
    <w:rsid w:val="000A7D51"/>
    <w:rsid w:val="000B006F"/>
    <w:rsid w:val="000B0732"/>
    <w:rsid w:val="000B08CA"/>
    <w:rsid w:val="000B0F21"/>
    <w:rsid w:val="000B154B"/>
    <w:rsid w:val="000B17DF"/>
    <w:rsid w:val="000B1C6C"/>
    <w:rsid w:val="000B2489"/>
    <w:rsid w:val="000B29F9"/>
    <w:rsid w:val="000B3623"/>
    <w:rsid w:val="000B4074"/>
    <w:rsid w:val="000B7247"/>
    <w:rsid w:val="000B733C"/>
    <w:rsid w:val="000B7EA1"/>
    <w:rsid w:val="000C0E4F"/>
    <w:rsid w:val="000C162C"/>
    <w:rsid w:val="000C2581"/>
    <w:rsid w:val="000C3457"/>
    <w:rsid w:val="000C3E8C"/>
    <w:rsid w:val="000C3F3B"/>
    <w:rsid w:val="000C44AE"/>
    <w:rsid w:val="000C4EFB"/>
    <w:rsid w:val="000C52FF"/>
    <w:rsid w:val="000C7C0B"/>
    <w:rsid w:val="000D0233"/>
    <w:rsid w:val="000D0A7E"/>
    <w:rsid w:val="000D0C22"/>
    <w:rsid w:val="000D1D79"/>
    <w:rsid w:val="000D2751"/>
    <w:rsid w:val="000D2A61"/>
    <w:rsid w:val="000D2CB2"/>
    <w:rsid w:val="000D36A8"/>
    <w:rsid w:val="000D396B"/>
    <w:rsid w:val="000D3CDF"/>
    <w:rsid w:val="000D578E"/>
    <w:rsid w:val="000D5B75"/>
    <w:rsid w:val="000D633B"/>
    <w:rsid w:val="000D68FC"/>
    <w:rsid w:val="000D6920"/>
    <w:rsid w:val="000D73ED"/>
    <w:rsid w:val="000E056B"/>
    <w:rsid w:val="000E0891"/>
    <w:rsid w:val="000E1F0B"/>
    <w:rsid w:val="000E3115"/>
    <w:rsid w:val="000E40B8"/>
    <w:rsid w:val="000E41DD"/>
    <w:rsid w:val="000E4621"/>
    <w:rsid w:val="000E4C80"/>
    <w:rsid w:val="000E5742"/>
    <w:rsid w:val="000E578A"/>
    <w:rsid w:val="000E5863"/>
    <w:rsid w:val="000E5A00"/>
    <w:rsid w:val="000E5BB1"/>
    <w:rsid w:val="000E675A"/>
    <w:rsid w:val="000E7D2C"/>
    <w:rsid w:val="000F0066"/>
    <w:rsid w:val="000F0AAA"/>
    <w:rsid w:val="000F24D7"/>
    <w:rsid w:val="000F261F"/>
    <w:rsid w:val="000F27F2"/>
    <w:rsid w:val="000F2882"/>
    <w:rsid w:val="000F32D1"/>
    <w:rsid w:val="000F3506"/>
    <w:rsid w:val="000F3CEA"/>
    <w:rsid w:val="000F4804"/>
    <w:rsid w:val="000F5266"/>
    <w:rsid w:val="000F5A52"/>
    <w:rsid w:val="000F5EB3"/>
    <w:rsid w:val="001012DF"/>
    <w:rsid w:val="00101CB4"/>
    <w:rsid w:val="00102015"/>
    <w:rsid w:val="001037A5"/>
    <w:rsid w:val="001045D0"/>
    <w:rsid w:val="00105453"/>
    <w:rsid w:val="00105705"/>
    <w:rsid w:val="0010645F"/>
    <w:rsid w:val="0010656F"/>
    <w:rsid w:val="00106965"/>
    <w:rsid w:val="00106A0C"/>
    <w:rsid w:val="00107A04"/>
    <w:rsid w:val="00107A18"/>
    <w:rsid w:val="0011228C"/>
    <w:rsid w:val="001133A2"/>
    <w:rsid w:val="0011371A"/>
    <w:rsid w:val="0011382A"/>
    <w:rsid w:val="00113BF1"/>
    <w:rsid w:val="00113F62"/>
    <w:rsid w:val="00114CE0"/>
    <w:rsid w:val="001158ED"/>
    <w:rsid w:val="00115BF6"/>
    <w:rsid w:val="001160B4"/>
    <w:rsid w:val="001168DD"/>
    <w:rsid w:val="00116A99"/>
    <w:rsid w:val="00117217"/>
    <w:rsid w:val="001201BC"/>
    <w:rsid w:val="00120421"/>
    <w:rsid w:val="00120F12"/>
    <w:rsid w:val="00121687"/>
    <w:rsid w:val="00121AB0"/>
    <w:rsid w:val="00121D0E"/>
    <w:rsid w:val="001225FF"/>
    <w:rsid w:val="00123349"/>
    <w:rsid w:val="001238FB"/>
    <w:rsid w:val="001239B1"/>
    <w:rsid w:val="00124553"/>
    <w:rsid w:val="0012496C"/>
    <w:rsid w:val="00124D8C"/>
    <w:rsid w:val="001251D6"/>
    <w:rsid w:val="00125BA6"/>
    <w:rsid w:val="00127292"/>
    <w:rsid w:val="0012753C"/>
    <w:rsid w:val="00130188"/>
    <w:rsid w:val="001304A8"/>
    <w:rsid w:val="001304DF"/>
    <w:rsid w:val="001316E7"/>
    <w:rsid w:val="00131CF8"/>
    <w:rsid w:val="001322A1"/>
    <w:rsid w:val="001324D4"/>
    <w:rsid w:val="001335A8"/>
    <w:rsid w:val="001340FD"/>
    <w:rsid w:val="00134779"/>
    <w:rsid w:val="00134B86"/>
    <w:rsid w:val="00134C0A"/>
    <w:rsid w:val="00135C5E"/>
    <w:rsid w:val="00140537"/>
    <w:rsid w:val="00143069"/>
    <w:rsid w:val="0014630B"/>
    <w:rsid w:val="001464B3"/>
    <w:rsid w:val="00146500"/>
    <w:rsid w:val="00147B30"/>
    <w:rsid w:val="0015113B"/>
    <w:rsid w:val="001515FA"/>
    <w:rsid w:val="00151852"/>
    <w:rsid w:val="001530EA"/>
    <w:rsid w:val="00153116"/>
    <w:rsid w:val="001536BA"/>
    <w:rsid w:val="001544E9"/>
    <w:rsid w:val="00154DB2"/>
    <w:rsid w:val="00155015"/>
    <w:rsid w:val="00155EDC"/>
    <w:rsid w:val="001574B3"/>
    <w:rsid w:val="00161EF2"/>
    <w:rsid w:val="001621ED"/>
    <w:rsid w:val="00162BA5"/>
    <w:rsid w:val="00166026"/>
    <w:rsid w:val="00166397"/>
    <w:rsid w:val="00166717"/>
    <w:rsid w:val="00166877"/>
    <w:rsid w:val="00166F65"/>
    <w:rsid w:val="00167826"/>
    <w:rsid w:val="00167A79"/>
    <w:rsid w:val="00170205"/>
    <w:rsid w:val="0017106B"/>
    <w:rsid w:val="001710CB"/>
    <w:rsid w:val="00171960"/>
    <w:rsid w:val="00171AC0"/>
    <w:rsid w:val="00172A7D"/>
    <w:rsid w:val="00172CF6"/>
    <w:rsid w:val="00174461"/>
    <w:rsid w:val="00174C8C"/>
    <w:rsid w:val="0017595D"/>
    <w:rsid w:val="00176A86"/>
    <w:rsid w:val="001815C6"/>
    <w:rsid w:val="00181981"/>
    <w:rsid w:val="00181E20"/>
    <w:rsid w:val="00182782"/>
    <w:rsid w:val="00182B9A"/>
    <w:rsid w:val="00182D35"/>
    <w:rsid w:val="0018311C"/>
    <w:rsid w:val="0018425F"/>
    <w:rsid w:val="00184CBD"/>
    <w:rsid w:val="0018669C"/>
    <w:rsid w:val="00186F9E"/>
    <w:rsid w:val="001873D2"/>
    <w:rsid w:val="00193193"/>
    <w:rsid w:val="00193390"/>
    <w:rsid w:val="00195051"/>
    <w:rsid w:val="001952B9"/>
    <w:rsid w:val="00195659"/>
    <w:rsid w:val="001975DB"/>
    <w:rsid w:val="00197965"/>
    <w:rsid w:val="001A02E7"/>
    <w:rsid w:val="001A06AF"/>
    <w:rsid w:val="001A0CFA"/>
    <w:rsid w:val="001A18E0"/>
    <w:rsid w:val="001A1FEC"/>
    <w:rsid w:val="001A2712"/>
    <w:rsid w:val="001A2F81"/>
    <w:rsid w:val="001A43FF"/>
    <w:rsid w:val="001A4D7D"/>
    <w:rsid w:val="001A556A"/>
    <w:rsid w:val="001A5D1B"/>
    <w:rsid w:val="001A6328"/>
    <w:rsid w:val="001A7EFF"/>
    <w:rsid w:val="001B0891"/>
    <w:rsid w:val="001B1A4D"/>
    <w:rsid w:val="001B2E7A"/>
    <w:rsid w:val="001B3621"/>
    <w:rsid w:val="001B4D37"/>
    <w:rsid w:val="001B52A2"/>
    <w:rsid w:val="001B5666"/>
    <w:rsid w:val="001B567D"/>
    <w:rsid w:val="001B57BB"/>
    <w:rsid w:val="001B58A7"/>
    <w:rsid w:val="001B5BE2"/>
    <w:rsid w:val="001B7AE9"/>
    <w:rsid w:val="001B7B0A"/>
    <w:rsid w:val="001B7D90"/>
    <w:rsid w:val="001C0321"/>
    <w:rsid w:val="001C0C30"/>
    <w:rsid w:val="001C1320"/>
    <w:rsid w:val="001C2601"/>
    <w:rsid w:val="001C28DC"/>
    <w:rsid w:val="001C3430"/>
    <w:rsid w:val="001C4D98"/>
    <w:rsid w:val="001C53DD"/>
    <w:rsid w:val="001C5C2C"/>
    <w:rsid w:val="001C5FB5"/>
    <w:rsid w:val="001C60BF"/>
    <w:rsid w:val="001D058F"/>
    <w:rsid w:val="001D07D1"/>
    <w:rsid w:val="001D0C02"/>
    <w:rsid w:val="001D1000"/>
    <w:rsid w:val="001D1F7C"/>
    <w:rsid w:val="001D4C01"/>
    <w:rsid w:val="001D516F"/>
    <w:rsid w:val="001D5871"/>
    <w:rsid w:val="001E0CEA"/>
    <w:rsid w:val="001E1A7A"/>
    <w:rsid w:val="001E1F5D"/>
    <w:rsid w:val="001E359A"/>
    <w:rsid w:val="001E4606"/>
    <w:rsid w:val="001E4C2B"/>
    <w:rsid w:val="001E5B7E"/>
    <w:rsid w:val="001E77C3"/>
    <w:rsid w:val="001F1D72"/>
    <w:rsid w:val="001F4187"/>
    <w:rsid w:val="001F4521"/>
    <w:rsid w:val="001F5D2A"/>
    <w:rsid w:val="001F5ED2"/>
    <w:rsid w:val="001F6AEF"/>
    <w:rsid w:val="001F7B76"/>
    <w:rsid w:val="00200227"/>
    <w:rsid w:val="002007D4"/>
    <w:rsid w:val="0020082C"/>
    <w:rsid w:val="00200EBB"/>
    <w:rsid w:val="00201207"/>
    <w:rsid w:val="00201291"/>
    <w:rsid w:val="00201E72"/>
    <w:rsid w:val="0020200C"/>
    <w:rsid w:val="00202EF3"/>
    <w:rsid w:val="00203F0C"/>
    <w:rsid w:val="00204E1B"/>
    <w:rsid w:val="002052C0"/>
    <w:rsid w:val="00205A5E"/>
    <w:rsid w:val="00205C84"/>
    <w:rsid w:val="00206622"/>
    <w:rsid w:val="00206895"/>
    <w:rsid w:val="00206C03"/>
    <w:rsid w:val="002077D4"/>
    <w:rsid w:val="002100C5"/>
    <w:rsid w:val="00211370"/>
    <w:rsid w:val="00212768"/>
    <w:rsid w:val="00212CCD"/>
    <w:rsid w:val="00212CE1"/>
    <w:rsid w:val="0021397F"/>
    <w:rsid w:val="00215A22"/>
    <w:rsid w:val="002168EC"/>
    <w:rsid w:val="00216D27"/>
    <w:rsid w:val="00216DAA"/>
    <w:rsid w:val="00216E0C"/>
    <w:rsid w:val="00221C67"/>
    <w:rsid w:val="002234F4"/>
    <w:rsid w:val="0022475C"/>
    <w:rsid w:val="00225AF8"/>
    <w:rsid w:val="00225CF2"/>
    <w:rsid w:val="00226D41"/>
    <w:rsid w:val="002275D4"/>
    <w:rsid w:val="00227F3A"/>
    <w:rsid w:val="00230342"/>
    <w:rsid w:val="00230496"/>
    <w:rsid w:val="00231208"/>
    <w:rsid w:val="00232655"/>
    <w:rsid w:val="00232E8D"/>
    <w:rsid w:val="00234B01"/>
    <w:rsid w:val="00235AB8"/>
    <w:rsid w:val="00236E1F"/>
    <w:rsid w:val="00240179"/>
    <w:rsid w:val="00241669"/>
    <w:rsid w:val="00241B42"/>
    <w:rsid w:val="00241E8C"/>
    <w:rsid w:val="00242013"/>
    <w:rsid w:val="00242346"/>
    <w:rsid w:val="00242F86"/>
    <w:rsid w:val="00243EE7"/>
    <w:rsid w:val="0024419D"/>
    <w:rsid w:val="00244C76"/>
    <w:rsid w:val="00245A7F"/>
    <w:rsid w:val="002466C4"/>
    <w:rsid w:val="00246F6B"/>
    <w:rsid w:val="002476F3"/>
    <w:rsid w:val="002516C7"/>
    <w:rsid w:val="00251F44"/>
    <w:rsid w:val="0025282E"/>
    <w:rsid w:val="00252A4F"/>
    <w:rsid w:val="00253027"/>
    <w:rsid w:val="002530B7"/>
    <w:rsid w:val="00253792"/>
    <w:rsid w:val="00253969"/>
    <w:rsid w:val="00253A10"/>
    <w:rsid w:val="002540EA"/>
    <w:rsid w:val="00254272"/>
    <w:rsid w:val="00254A87"/>
    <w:rsid w:val="00256AB0"/>
    <w:rsid w:val="00256C33"/>
    <w:rsid w:val="002577C9"/>
    <w:rsid w:val="00260053"/>
    <w:rsid w:val="00260272"/>
    <w:rsid w:val="00260446"/>
    <w:rsid w:val="00260C05"/>
    <w:rsid w:val="00260ED2"/>
    <w:rsid w:val="0026200B"/>
    <w:rsid w:val="002624A5"/>
    <w:rsid w:val="00262787"/>
    <w:rsid w:val="00262CB1"/>
    <w:rsid w:val="00262D1D"/>
    <w:rsid w:val="002634A9"/>
    <w:rsid w:val="002634FF"/>
    <w:rsid w:val="00263C61"/>
    <w:rsid w:val="002642AE"/>
    <w:rsid w:val="002648A9"/>
    <w:rsid w:val="00264A43"/>
    <w:rsid w:val="002651AC"/>
    <w:rsid w:val="00266062"/>
    <w:rsid w:val="00267B37"/>
    <w:rsid w:val="00267BBF"/>
    <w:rsid w:val="00267FA5"/>
    <w:rsid w:val="00271314"/>
    <w:rsid w:val="002713E4"/>
    <w:rsid w:val="00272F2E"/>
    <w:rsid w:val="0027480A"/>
    <w:rsid w:val="00274F2E"/>
    <w:rsid w:val="0027581E"/>
    <w:rsid w:val="00276340"/>
    <w:rsid w:val="00277D46"/>
    <w:rsid w:val="00280A23"/>
    <w:rsid w:val="00282BFC"/>
    <w:rsid w:val="00282CD4"/>
    <w:rsid w:val="002834A4"/>
    <w:rsid w:val="0028399C"/>
    <w:rsid w:val="00283A59"/>
    <w:rsid w:val="0028433A"/>
    <w:rsid w:val="002845E3"/>
    <w:rsid w:val="00284FAF"/>
    <w:rsid w:val="0028687D"/>
    <w:rsid w:val="00286AF4"/>
    <w:rsid w:val="00286B7D"/>
    <w:rsid w:val="00287605"/>
    <w:rsid w:val="0028763B"/>
    <w:rsid w:val="00287B21"/>
    <w:rsid w:val="00287FAD"/>
    <w:rsid w:val="002901EF"/>
    <w:rsid w:val="00290C57"/>
    <w:rsid w:val="0029157E"/>
    <w:rsid w:val="002924CE"/>
    <w:rsid w:val="0029418F"/>
    <w:rsid w:val="00294BE5"/>
    <w:rsid w:val="0029511A"/>
    <w:rsid w:val="00296A30"/>
    <w:rsid w:val="00296FCF"/>
    <w:rsid w:val="00297DCE"/>
    <w:rsid w:val="00297E08"/>
    <w:rsid w:val="002A0942"/>
    <w:rsid w:val="002A0E3B"/>
    <w:rsid w:val="002A3675"/>
    <w:rsid w:val="002A4B0D"/>
    <w:rsid w:val="002A4D02"/>
    <w:rsid w:val="002A4D64"/>
    <w:rsid w:val="002A655B"/>
    <w:rsid w:val="002A65DC"/>
    <w:rsid w:val="002A75B8"/>
    <w:rsid w:val="002B0FFB"/>
    <w:rsid w:val="002B199B"/>
    <w:rsid w:val="002B20CA"/>
    <w:rsid w:val="002B2414"/>
    <w:rsid w:val="002B317C"/>
    <w:rsid w:val="002B35C4"/>
    <w:rsid w:val="002B3C5D"/>
    <w:rsid w:val="002B6EEE"/>
    <w:rsid w:val="002B779D"/>
    <w:rsid w:val="002C0D3C"/>
    <w:rsid w:val="002C27F7"/>
    <w:rsid w:val="002C34CC"/>
    <w:rsid w:val="002C37F0"/>
    <w:rsid w:val="002C39C7"/>
    <w:rsid w:val="002C4F96"/>
    <w:rsid w:val="002C52C2"/>
    <w:rsid w:val="002C5399"/>
    <w:rsid w:val="002C580F"/>
    <w:rsid w:val="002C5F73"/>
    <w:rsid w:val="002C65C3"/>
    <w:rsid w:val="002D150D"/>
    <w:rsid w:val="002D2AB2"/>
    <w:rsid w:val="002D3AFE"/>
    <w:rsid w:val="002D46AB"/>
    <w:rsid w:val="002D500C"/>
    <w:rsid w:val="002D5B5F"/>
    <w:rsid w:val="002D65CF"/>
    <w:rsid w:val="002D6783"/>
    <w:rsid w:val="002D73E8"/>
    <w:rsid w:val="002D7CA5"/>
    <w:rsid w:val="002E04BC"/>
    <w:rsid w:val="002E0DA3"/>
    <w:rsid w:val="002E119E"/>
    <w:rsid w:val="002E14CA"/>
    <w:rsid w:val="002E14E1"/>
    <w:rsid w:val="002E16CB"/>
    <w:rsid w:val="002E42AC"/>
    <w:rsid w:val="002E509F"/>
    <w:rsid w:val="002E592F"/>
    <w:rsid w:val="002E5979"/>
    <w:rsid w:val="002E5D92"/>
    <w:rsid w:val="002E6112"/>
    <w:rsid w:val="002E6455"/>
    <w:rsid w:val="002F0CA2"/>
    <w:rsid w:val="002F230D"/>
    <w:rsid w:val="002F2882"/>
    <w:rsid w:val="002F4EFB"/>
    <w:rsid w:val="002F54F7"/>
    <w:rsid w:val="002F576E"/>
    <w:rsid w:val="00300167"/>
    <w:rsid w:val="003009CC"/>
    <w:rsid w:val="00300B84"/>
    <w:rsid w:val="003014F7"/>
    <w:rsid w:val="00301D3C"/>
    <w:rsid w:val="00302FF4"/>
    <w:rsid w:val="00303020"/>
    <w:rsid w:val="003049AB"/>
    <w:rsid w:val="00304ECC"/>
    <w:rsid w:val="0030597A"/>
    <w:rsid w:val="003063B2"/>
    <w:rsid w:val="00306E69"/>
    <w:rsid w:val="00307349"/>
    <w:rsid w:val="00307938"/>
    <w:rsid w:val="00310966"/>
    <w:rsid w:val="003110D4"/>
    <w:rsid w:val="003115B9"/>
    <w:rsid w:val="00311F0C"/>
    <w:rsid w:val="00313500"/>
    <w:rsid w:val="00313A19"/>
    <w:rsid w:val="00314652"/>
    <w:rsid w:val="00315156"/>
    <w:rsid w:val="00315F32"/>
    <w:rsid w:val="00316945"/>
    <w:rsid w:val="00317549"/>
    <w:rsid w:val="00320637"/>
    <w:rsid w:val="00320F97"/>
    <w:rsid w:val="00321216"/>
    <w:rsid w:val="00321FCA"/>
    <w:rsid w:val="00322205"/>
    <w:rsid w:val="00322FD5"/>
    <w:rsid w:val="00323A84"/>
    <w:rsid w:val="003255E5"/>
    <w:rsid w:val="00325A28"/>
    <w:rsid w:val="00325B12"/>
    <w:rsid w:val="00325DA1"/>
    <w:rsid w:val="00326E16"/>
    <w:rsid w:val="00326E6E"/>
    <w:rsid w:val="003274C9"/>
    <w:rsid w:val="0033157E"/>
    <w:rsid w:val="00333522"/>
    <w:rsid w:val="003335BA"/>
    <w:rsid w:val="0033399C"/>
    <w:rsid w:val="003342CF"/>
    <w:rsid w:val="00337A08"/>
    <w:rsid w:val="00340DEE"/>
    <w:rsid w:val="00341923"/>
    <w:rsid w:val="00342E50"/>
    <w:rsid w:val="0034363A"/>
    <w:rsid w:val="00343E5D"/>
    <w:rsid w:val="003442EC"/>
    <w:rsid w:val="0034454E"/>
    <w:rsid w:val="00344AD6"/>
    <w:rsid w:val="00344BE4"/>
    <w:rsid w:val="00345A17"/>
    <w:rsid w:val="00345B40"/>
    <w:rsid w:val="003464D0"/>
    <w:rsid w:val="0035016E"/>
    <w:rsid w:val="00351025"/>
    <w:rsid w:val="003517C1"/>
    <w:rsid w:val="00351AEB"/>
    <w:rsid w:val="00352266"/>
    <w:rsid w:val="00352D03"/>
    <w:rsid w:val="00353330"/>
    <w:rsid w:val="00353539"/>
    <w:rsid w:val="00354601"/>
    <w:rsid w:val="0035530D"/>
    <w:rsid w:val="00356468"/>
    <w:rsid w:val="003574A8"/>
    <w:rsid w:val="0035759B"/>
    <w:rsid w:val="003605B7"/>
    <w:rsid w:val="00360708"/>
    <w:rsid w:val="00362FEF"/>
    <w:rsid w:val="00363028"/>
    <w:rsid w:val="0036496C"/>
    <w:rsid w:val="00364EBC"/>
    <w:rsid w:val="00365DD6"/>
    <w:rsid w:val="0036645E"/>
    <w:rsid w:val="003679D1"/>
    <w:rsid w:val="00370124"/>
    <w:rsid w:val="00370619"/>
    <w:rsid w:val="0037224E"/>
    <w:rsid w:val="0037316A"/>
    <w:rsid w:val="00373199"/>
    <w:rsid w:val="0037396B"/>
    <w:rsid w:val="003745B2"/>
    <w:rsid w:val="00374AA0"/>
    <w:rsid w:val="003751AD"/>
    <w:rsid w:val="0037540D"/>
    <w:rsid w:val="00376267"/>
    <w:rsid w:val="00376F18"/>
    <w:rsid w:val="00376F3C"/>
    <w:rsid w:val="003778B0"/>
    <w:rsid w:val="003810CA"/>
    <w:rsid w:val="003816F2"/>
    <w:rsid w:val="00381CEB"/>
    <w:rsid w:val="00381EE4"/>
    <w:rsid w:val="0038315E"/>
    <w:rsid w:val="003837B0"/>
    <w:rsid w:val="003848AB"/>
    <w:rsid w:val="00384954"/>
    <w:rsid w:val="00384B6D"/>
    <w:rsid w:val="00384CD0"/>
    <w:rsid w:val="00384DA9"/>
    <w:rsid w:val="00385E15"/>
    <w:rsid w:val="00387150"/>
    <w:rsid w:val="00387EEC"/>
    <w:rsid w:val="00390933"/>
    <w:rsid w:val="003916A4"/>
    <w:rsid w:val="00391CED"/>
    <w:rsid w:val="00392065"/>
    <w:rsid w:val="0039312C"/>
    <w:rsid w:val="003948C7"/>
    <w:rsid w:val="00394EEB"/>
    <w:rsid w:val="00395B6B"/>
    <w:rsid w:val="00395C73"/>
    <w:rsid w:val="00396901"/>
    <w:rsid w:val="00396B39"/>
    <w:rsid w:val="003A061B"/>
    <w:rsid w:val="003A4E39"/>
    <w:rsid w:val="003A70F1"/>
    <w:rsid w:val="003A747E"/>
    <w:rsid w:val="003A7759"/>
    <w:rsid w:val="003A7E4A"/>
    <w:rsid w:val="003B0101"/>
    <w:rsid w:val="003B0A6C"/>
    <w:rsid w:val="003B1065"/>
    <w:rsid w:val="003B1425"/>
    <w:rsid w:val="003B1E1F"/>
    <w:rsid w:val="003B2316"/>
    <w:rsid w:val="003B32F9"/>
    <w:rsid w:val="003B3F78"/>
    <w:rsid w:val="003B5CA1"/>
    <w:rsid w:val="003B7CB9"/>
    <w:rsid w:val="003C26C6"/>
    <w:rsid w:val="003C33A8"/>
    <w:rsid w:val="003C4AD9"/>
    <w:rsid w:val="003C5484"/>
    <w:rsid w:val="003C5630"/>
    <w:rsid w:val="003C707A"/>
    <w:rsid w:val="003C7419"/>
    <w:rsid w:val="003D0F6D"/>
    <w:rsid w:val="003D1AF9"/>
    <w:rsid w:val="003D2205"/>
    <w:rsid w:val="003D2493"/>
    <w:rsid w:val="003D2C35"/>
    <w:rsid w:val="003D3E71"/>
    <w:rsid w:val="003D4977"/>
    <w:rsid w:val="003D6446"/>
    <w:rsid w:val="003D67E1"/>
    <w:rsid w:val="003D6B8B"/>
    <w:rsid w:val="003D6FC7"/>
    <w:rsid w:val="003D74D5"/>
    <w:rsid w:val="003D7C2E"/>
    <w:rsid w:val="003E0AC4"/>
    <w:rsid w:val="003E2072"/>
    <w:rsid w:val="003E239E"/>
    <w:rsid w:val="003E26FB"/>
    <w:rsid w:val="003E3FDB"/>
    <w:rsid w:val="003E4464"/>
    <w:rsid w:val="003E45F2"/>
    <w:rsid w:val="003E51AF"/>
    <w:rsid w:val="003E524C"/>
    <w:rsid w:val="003E61FC"/>
    <w:rsid w:val="003E6D3F"/>
    <w:rsid w:val="003E6F5A"/>
    <w:rsid w:val="003E7CC8"/>
    <w:rsid w:val="003F03B6"/>
    <w:rsid w:val="003F217F"/>
    <w:rsid w:val="003F27D8"/>
    <w:rsid w:val="003F2A7B"/>
    <w:rsid w:val="003F3577"/>
    <w:rsid w:val="003F5436"/>
    <w:rsid w:val="003F5571"/>
    <w:rsid w:val="003F691D"/>
    <w:rsid w:val="003F7D56"/>
    <w:rsid w:val="00400469"/>
    <w:rsid w:val="00400F11"/>
    <w:rsid w:val="00403343"/>
    <w:rsid w:val="004033A4"/>
    <w:rsid w:val="00404903"/>
    <w:rsid w:val="00406FB5"/>
    <w:rsid w:val="004075B0"/>
    <w:rsid w:val="004076D9"/>
    <w:rsid w:val="00410955"/>
    <w:rsid w:val="00411337"/>
    <w:rsid w:val="004138BF"/>
    <w:rsid w:val="00413C8F"/>
    <w:rsid w:val="00415839"/>
    <w:rsid w:val="00416D4A"/>
    <w:rsid w:val="00416F25"/>
    <w:rsid w:val="00417321"/>
    <w:rsid w:val="004202C9"/>
    <w:rsid w:val="00420ED0"/>
    <w:rsid w:val="00421116"/>
    <w:rsid w:val="00421AC9"/>
    <w:rsid w:val="00423074"/>
    <w:rsid w:val="004244E0"/>
    <w:rsid w:val="004247BF"/>
    <w:rsid w:val="00424A87"/>
    <w:rsid w:val="00424E18"/>
    <w:rsid w:val="00425A6B"/>
    <w:rsid w:val="0042625B"/>
    <w:rsid w:val="00426FD3"/>
    <w:rsid w:val="00430181"/>
    <w:rsid w:val="004305A1"/>
    <w:rsid w:val="004311CD"/>
    <w:rsid w:val="00431567"/>
    <w:rsid w:val="00431933"/>
    <w:rsid w:val="00432B38"/>
    <w:rsid w:val="00432C60"/>
    <w:rsid w:val="00432E9C"/>
    <w:rsid w:val="004331CD"/>
    <w:rsid w:val="0043387A"/>
    <w:rsid w:val="00434454"/>
    <w:rsid w:val="00434B23"/>
    <w:rsid w:val="0043520B"/>
    <w:rsid w:val="00435218"/>
    <w:rsid w:val="00435AE6"/>
    <w:rsid w:val="00436192"/>
    <w:rsid w:val="00436661"/>
    <w:rsid w:val="004368B7"/>
    <w:rsid w:val="00436A95"/>
    <w:rsid w:val="00437E6C"/>
    <w:rsid w:val="00440961"/>
    <w:rsid w:val="00441008"/>
    <w:rsid w:val="00441238"/>
    <w:rsid w:val="00442416"/>
    <w:rsid w:val="00442C34"/>
    <w:rsid w:val="00442E52"/>
    <w:rsid w:val="00443D33"/>
    <w:rsid w:val="00445209"/>
    <w:rsid w:val="00445DFA"/>
    <w:rsid w:val="004476E5"/>
    <w:rsid w:val="00447CF4"/>
    <w:rsid w:val="0045062A"/>
    <w:rsid w:val="00451816"/>
    <w:rsid w:val="00452125"/>
    <w:rsid w:val="004522EC"/>
    <w:rsid w:val="00453AD5"/>
    <w:rsid w:val="00453C17"/>
    <w:rsid w:val="0045463E"/>
    <w:rsid w:val="004565FE"/>
    <w:rsid w:val="00460279"/>
    <w:rsid w:val="00461452"/>
    <w:rsid w:val="00461F01"/>
    <w:rsid w:val="00462675"/>
    <w:rsid w:val="00462860"/>
    <w:rsid w:val="00462E8A"/>
    <w:rsid w:val="0046302B"/>
    <w:rsid w:val="00463ABE"/>
    <w:rsid w:val="0046409E"/>
    <w:rsid w:val="0046436D"/>
    <w:rsid w:val="00465FE6"/>
    <w:rsid w:val="004667C6"/>
    <w:rsid w:val="0046681B"/>
    <w:rsid w:val="00467840"/>
    <w:rsid w:val="00467B0B"/>
    <w:rsid w:val="004700BA"/>
    <w:rsid w:val="004708F4"/>
    <w:rsid w:val="00470CCC"/>
    <w:rsid w:val="00470D52"/>
    <w:rsid w:val="00470E0E"/>
    <w:rsid w:val="0047157A"/>
    <w:rsid w:val="00471A87"/>
    <w:rsid w:val="004728E3"/>
    <w:rsid w:val="00472FCE"/>
    <w:rsid w:val="004736F0"/>
    <w:rsid w:val="00473C71"/>
    <w:rsid w:val="00475881"/>
    <w:rsid w:val="004766CD"/>
    <w:rsid w:val="0047696D"/>
    <w:rsid w:val="00476E82"/>
    <w:rsid w:val="00477315"/>
    <w:rsid w:val="00477B8E"/>
    <w:rsid w:val="00477E71"/>
    <w:rsid w:val="00481E37"/>
    <w:rsid w:val="00483006"/>
    <w:rsid w:val="0048370A"/>
    <w:rsid w:val="004845A0"/>
    <w:rsid w:val="00484912"/>
    <w:rsid w:val="0048520E"/>
    <w:rsid w:val="004853F5"/>
    <w:rsid w:val="0048557F"/>
    <w:rsid w:val="00486051"/>
    <w:rsid w:val="0048707E"/>
    <w:rsid w:val="004873FD"/>
    <w:rsid w:val="0049150A"/>
    <w:rsid w:val="00491D0A"/>
    <w:rsid w:val="00491EAA"/>
    <w:rsid w:val="00491F42"/>
    <w:rsid w:val="00492118"/>
    <w:rsid w:val="00492BED"/>
    <w:rsid w:val="00493A4B"/>
    <w:rsid w:val="004947BC"/>
    <w:rsid w:val="00495472"/>
    <w:rsid w:val="004A0D37"/>
    <w:rsid w:val="004A0D38"/>
    <w:rsid w:val="004A251E"/>
    <w:rsid w:val="004A2BE9"/>
    <w:rsid w:val="004A3B59"/>
    <w:rsid w:val="004A53B3"/>
    <w:rsid w:val="004A5619"/>
    <w:rsid w:val="004A6BE5"/>
    <w:rsid w:val="004A6FB2"/>
    <w:rsid w:val="004A7302"/>
    <w:rsid w:val="004B01F6"/>
    <w:rsid w:val="004B0EA7"/>
    <w:rsid w:val="004B18CC"/>
    <w:rsid w:val="004B1C9F"/>
    <w:rsid w:val="004B4804"/>
    <w:rsid w:val="004B6A1E"/>
    <w:rsid w:val="004B73CC"/>
    <w:rsid w:val="004B7A0E"/>
    <w:rsid w:val="004C03E9"/>
    <w:rsid w:val="004C47B7"/>
    <w:rsid w:val="004C580F"/>
    <w:rsid w:val="004C6B48"/>
    <w:rsid w:val="004C6B78"/>
    <w:rsid w:val="004C6E37"/>
    <w:rsid w:val="004C76B7"/>
    <w:rsid w:val="004D035A"/>
    <w:rsid w:val="004D0784"/>
    <w:rsid w:val="004D0B7D"/>
    <w:rsid w:val="004D12D3"/>
    <w:rsid w:val="004D2119"/>
    <w:rsid w:val="004D3604"/>
    <w:rsid w:val="004D4336"/>
    <w:rsid w:val="004D4FA5"/>
    <w:rsid w:val="004D5210"/>
    <w:rsid w:val="004D53E7"/>
    <w:rsid w:val="004D599B"/>
    <w:rsid w:val="004D5A41"/>
    <w:rsid w:val="004D71C6"/>
    <w:rsid w:val="004D7A3E"/>
    <w:rsid w:val="004D7AB3"/>
    <w:rsid w:val="004E01B6"/>
    <w:rsid w:val="004E2B64"/>
    <w:rsid w:val="004E3FDB"/>
    <w:rsid w:val="004E41BF"/>
    <w:rsid w:val="004E515E"/>
    <w:rsid w:val="004E5C1E"/>
    <w:rsid w:val="004E6D59"/>
    <w:rsid w:val="004E778C"/>
    <w:rsid w:val="004F0107"/>
    <w:rsid w:val="004F0EF0"/>
    <w:rsid w:val="004F16F6"/>
    <w:rsid w:val="004F1976"/>
    <w:rsid w:val="004F1C5D"/>
    <w:rsid w:val="004F2793"/>
    <w:rsid w:val="004F321F"/>
    <w:rsid w:val="004F3EBF"/>
    <w:rsid w:val="004F423E"/>
    <w:rsid w:val="004F5EBC"/>
    <w:rsid w:val="004F689D"/>
    <w:rsid w:val="004F6986"/>
    <w:rsid w:val="004F786A"/>
    <w:rsid w:val="004F7D3A"/>
    <w:rsid w:val="005006B3"/>
    <w:rsid w:val="00501407"/>
    <w:rsid w:val="00501F52"/>
    <w:rsid w:val="005024A4"/>
    <w:rsid w:val="005030AC"/>
    <w:rsid w:val="00504038"/>
    <w:rsid w:val="00505C4B"/>
    <w:rsid w:val="0050638A"/>
    <w:rsid w:val="005065C2"/>
    <w:rsid w:val="00507A4C"/>
    <w:rsid w:val="00507EAE"/>
    <w:rsid w:val="005103FE"/>
    <w:rsid w:val="00510C47"/>
    <w:rsid w:val="00510C84"/>
    <w:rsid w:val="00513844"/>
    <w:rsid w:val="00513CE7"/>
    <w:rsid w:val="0051527B"/>
    <w:rsid w:val="00515E65"/>
    <w:rsid w:val="00516ECA"/>
    <w:rsid w:val="005174DC"/>
    <w:rsid w:val="00520390"/>
    <w:rsid w:val="00520F79"/>
    <w:rsid w:val="0052158E"/>
    <w:rsid w:val="00523921"/>
    <w:rsid w:val="00523EE5"/>
    <w:rsid w:val="0052454E"/>
    <w:rsid w:val="005270B1"/>
    <w:rsid w:val="0052731D"/>
    <w:rsid w:val="00527684"/>
    <w:rsid w:val="00527E5E"/>
    <w:rsid w:val="00530565"/>
    <w:rsid w:val="005307D0"/>
    <w:rsid w:val="0053095E"/>
    <w:rsid w:val="005311B7"/>
    <w:rsid w:val="0053360C"/>
    <w:rsid w:val="005336FE"/>
    <w:rsid w:val="00534699"/>
    <w:rsid w:val="00535735"/>
    <w:rsid w:val="00536A3E"/>
    <w:rsid w:val="00536C34"/>
    <w:rsid w:val="005372F7"/>
    <w:rsid w:val="00541EA0"/>
    <w:rsid w:val="00542B0E"/>
    <w:rsid w:val="00543759"/>
    <w:rsid w:val="00543964"/>
    <w:rsid w:val="005446DC"/>
    <w:rsid w:val="00544AE1"/>
    <w:rsid w:val="00544C80"/>
    <w:rsid w:val="00545994"/>
    <w:rsid w:val="00547678"/>
    <w:rsid w:val="00550B29"/>
    <w:rsid w:val="00553D57"/>
    <w:rsid w:val="00554B63"/>
    <w:rsid w:val="00554E9B"/>
    <w:rsid w:val="00554F2C"/>
    <w:rsid w:val="00555315"/>
    <w:rsid w:val="00555692"/>
    <w:rsid w:val="0055594A"/>
    <w:rsid w:val="00561339"/>
    <w:rsid w:val="005621CA"/>
    <w:rsid w:val="00562686"/>
    <w:rsid w:val="00562B82"/>
    <w:rsid w:val="005634AC"/>
    <w:rsid w:val="0056524A"/>
    <w:rsid w:val="0056547B"/>
    <w:rsid w:val="00565D5C"/>
    <w:rsid w:val="00565FB7"/>
    <w:rsid w:val="00566EB1"/>
    <w:rsid w:val="00567630"/>
    <w:rsid w:val="00571BBB"/>
    <w:rsid w:val="00571BD7"/>
    <w:rsid w:val="00571E39"/>
    <w:rsid w:val="00573A6B"/>
    <w:rsid w:val="00575B4C"/>
    <w:rsid w:val="00576BE8"/>
    <w:rsid w:val="00576E32"/>
    <w:rsid w:val="00577961"/>
    <w:rsid w:val="00580658"/>
    <w:rsid w:val="00580A33"/>
    <w:rsid w:val="0058252A"/>
    <w:rsid w:val="005851DA"/>
    <w:rsid w:val="00585A73"/>
    <w:rsid w:val="00585E3C"/>
    <w:rsid w:val="00585E46"/>
    <w:rsid w:val="00586538"/>
    <w:rsid w:val="00586640"/>
    <w:rsid w:val="0059073F"/>
    <w:rsid w:val="00591700"/>
    <w:rsid w:val="0059206D"/>
    <w:rsid w:val="0059215B"/>
    <w:rsid w:val="0059216E"/>
    <w:rsid w:val="00592719"/>
    <w:rsid w:val="00592C7D"/>
    <w:rsid w:val="00593429"/>
    <w:rsid w:val="0059445C"/>
    <w:rsid w:val="005945C7"/>
    <w:rsid w:val="00594C03"/>
    <w:rsid w:val="005961E3"/>
    <w:rsid w:val="005A022E"/>
    <w:rsid w:val="005A15B1"/>
    <w:rsid w:val="005A175D"/>
    <w:rsid w:val="005A1B25"/>
    <w:rsid w:val="005A239A"/>
    <w:rsid w:val="005A248C"/>
    <w:rsid w:val="005A2CE7"/>
    <w:rsid w:val="005A345E"/>
    <w:rsid w:val="005A3DE3"/>
    <w:rsid w:val="005A3F61"/>
    <w:rsid w:val="005A4E1D"/>
    <w:rsid w:val="005A5BD0"/>
    <w:rsid w:val="005A5DE5"/>
    <w:rsid w:val="005A651D"/>
    <w:rsid w:val="005A6961"/>
    <w:rsid w:val="005A6E13"/>
    <w:rsid w:val="005A7856"/>
    <w:rsid w:val="005A798E"/>
    <w:rsid w:val="005B0E18"/>
    <w:rsid w:val="005B10CB"/>
    <w:rsid w:val="005B11C5"/>
    <w:rsid w:val="005B1666"/>
    <w:rsid w:val="005B1930"/>
    <w:rsid w:val="005B1CE0"/>
    <w:rsid w:val="005B23D6"/>
    <w:rsid w:val="005B263C"/>
    <w:rsid w:val="005B2687"/>
    <w:rsid w:val="005B2765"/>
    <w:rsid w:val="005B299E"/>
    <w:rsid w:val="005B312E"/>
    <w:rsid w:val="005B3452"/>
    <w:rsid w:val="005B4B2E"/>
    <w:rsid w:val="005B5A9D"/>
    <w:rsid w:val="005B5D2D"/>
    <w:rsid w:val="005B5FDA"/>
    <w:rsid w:val="005B6739"/>
    <w:rsid w:val="005B76D5"/>
    <w:rsid w:val="005C0719"/>
    <w:rsid w:val="005C1031"/>
    <w:rsid w:val="005C154E"/>
    <w:rsid w:val="005C2773"/>
    <w:rsid w:val="005C49DD"/>
    <w:rsid w:val="005C5836"/>
    <w:rsid w:val="005C6417"/>
    <w:rsid w:val="005C6910"/>
    <w:rsid w:val="005C6986"/>
    <w:rsid w:val="005C6ACA"/>
    <w:rsid w:val="005C732B"/>
    <w:rsid w:val="005D18F0"/>
    <w:rsid w:val="005D23B7"/>
    <w:rsid w:val="005D2C5F"/>
    <w:rsid w:val="005D3EBF"/>
    <w:rsid w:val="005D42E1"/>
    <w:rsid w:val="005D4528"/>
    <w:rsid w:val="005D6AED"/>
    <w:rsid w:val="005E0C0A"/>
    <w:rsid w:val="005E0C43"/>
    <w:rsid w:val="005E2CE2"/>
    <w:rsid w:val="005E2D5B"/>
    <w:rsid w:val="005E2E27"/>
    <w:rsid w:val="005E35CB"/>
    <w:rsid w:val="005E5A66"/>
    <w:rsid w:val="005E6058"/>
    <w:rsid w:val="005E64BF"/>
    <w:rsid w:val="005E7571"/>
    <w:rsid w:val="005E7C7B"/>
    <w:rsid w:val="005F0483"/>
    <w:rsid w:val="005F08A3"/>
    <w:rsid w:val="005F0B97"/>
    <w:rsid w:val="005F1CF6"/>
    <w:rsid w:val="005F316D"/>
    <w:rsid w:val="005F32DC"/>
    <w:rsid w:val="005F41F6"/>
    <w:rsid w:val="005F47E8"/>
    <w:rsid w:val="005F58B8"/>
    <w:rsid w:val="005F67F1"/>
    <w:rsid w:val="005F6B3D"/>
    <w:rsid w:val="006011AD"/>
    <w:rsid w:val="00601535"/>
    <w:rsid w:val="00601ED5"/>
    <w:rsid w:val="00603280"/>
    <w:rsid w:val="006038DF"/>
    <w:rsid w:val="0060780D"/>
    <w:rsid w:val="00611A0E"/>
    <w:rsid w:val="00611B62"/>
    <w:rsid w:val="0061209C"/>
    <w:rsid w:val="006135E5"/>
    <w:rsid w:val="00613D63"/>
    <w:rsid w:val="00613D8F"/>
    <w:rsid w:val="00613EEF"/>
    <w:rsid w:val="00615193"/>
    <w:rsid w:val="0061667D"/>
    <w:rsid w:val="006174D3"/>
    <w:rsid w:val="0061761A"/>
    <w:rsid w:val="00617BC6"/>
    <w:rsid w:val="00617E75"/>
    <w:rsid w:val="006211D3"/>
    <w:rsid w:val="00621B6D"/>
    <w:rsid w:val="00622C6F"/>
    <w:rsid w:val="006230F6"/>
    <w:rsid w:val="00623415"/>
    <w:rsid w:val="00624005"/>
    <w:rsid w:val="00625FE7"/>
    <w:rsid w:val="006260D1"/>
    <w:rsid w:val="00626AD0"/>
    <w:rsid w:val="006300D4"/>
    <w:rsid w:val="006307D1"/>
    <w:rsid w:val="00630BD3"/>
    <w:rsid w:val="00631224"/>
    <w:rsid w:val="006326DF"/>
    <w:rsid w:val="00632A88"/>
    <w:rsid w:val="00632AAA"/>
    <w:rsid w:val="00632B16"/>
    <w:rsid w:val="0063486B"/>
    <w:rsid w:val="00634E18"/>
    <w:rsid w:val="006350CA"/>
    <w:rsid w:val="006368CF"/>
    <w:rsid w:val="006370B2"/>
    <w:rsid w:val="00637554"/>
    <w:rsid w:val="006403BE"/>
    <w:rsid w:val="00640633"/>
    <w:rsid w:val="0064084D"/>
    <w:rsid w:val="006409AE"/>
    <w:rsid w:val="0064197C"/>
    <w:rsid w:val="00641BCF"/>
    <w:rsid w:val="00643D3E"/>
    <w:rsid w:val="006441D8"/>
    <w:rsid w:val="006442B9"/>
    <w:rsid w:val="006449B7"/>
    <w:rsid w:val="00644CF1"/>
    <w:rsid w:val="0064603E"/>
    <w:rsid w:val="006464B1"/>
    <w:rsid w:val="00646FE9"/>
    <w:rsid w:val="006470FE"/>
    <w:rsid w:val="00650574"/>
    <w:rsid w:val="006511BB"/>
    <w:rsid w:val="00651BAC"/>
    <w:rsid w:val="00651CD6"/>
    <w:rsid w:val="00652907"/>
    <w:rsid w:val="00652A03"/>
    <w:rsid w:val="00652D2F"/>
    <w:rsid w:val="00654758"/>
    <w:rsid w:val="00654D8C"/>
    <w:rsid w:val="00654E7D"/>
    <w:rsid w:val="00656B81"/>
    <w:rsid w:val="0065737F"/>
    <w:rsid w:val="0066132C"/>
    <w:rsid w:val="00661E1F"/>
    <w:rsid w:val="006623E9"/>
    <w:rsid w:val="0066271D"/>
    <w:rsid w:val="006630DB"/>
    <w:rsid w:val="0066482B"/>
    <w:rsid w:val="00665FB4"/>
    <w:rsid w:val="006713ED"/>
    <w:rsid w:val="006717A0"/>
    <w:rsid w:val="0067184A"/>
    <w:rsid w:val="0067190D"/>
    <w:rsid w:val="00672E2B"/>
    <w:rsid w:val="00674359"/>
    <w:rsid w:val="006758F2"/>
    <w:rsid w:val="0067725D"/>
    <w:rsid w:val="00677E08"/>
    <w:rsid w:val="0068155F"/>
    <w:rsid w:val="00681BD3"/>
    <w:rsid w:val="00681E55"/>
    <w:rsid w:val="006825FF"/>
    <w:rsid w:val="00682626"/>
    <w:rsid w:val="00682708"/>
    <w:rsid w:val="0068360E"/>
    <w:rsid w:val="00684615"/>
    <w:rsid w:val="0068572A"/>
    <w:rsid w:val="00685731"/>
    <w:rsid w:val="00687C17"/>
    <w:rsid w:val="00687C40"/>
    <w:rsid w:val="00687F44"/>
    <w:rsid w:val="006925A1"/>
    <w:rsid w:val="006925D2"/>
    <w:rsid w:val="0069275D"/>
    <w:rsid w:val="00693CF7"/>
    <w:rsid w:val="00694347"/>
    <w:rsid w:val="00694871"/>
    <w:rsid w:val="00696E9C"/>
    <w:rsid w:val="006A058E"/>
    <w:rsid w:val="006A0CEC"/>
    <w:rsid w:val="006A257D"/>
    <w:rsid w:val="006A3AED"/>
    <w:rsid w:val="006A42B4"/>
    <w:rsid w:val="006A45CE"/>
    <w:rsid w:val="006A4D53"/>
    <w:rsid w:val="006A5011"/>
    <w:rsid w:val="006A5DF6"/>
    <w:rsid w:val="006A5F28"/>
    <w:rsid w:val="006A6C04"/>
    <w:rsid w:val="006A7BB2"/>
    <w:rsid w:val="006B0781"/>
    <w:rsid w:val="006B0796"/>
    <w:rsid w:val="006B0F79"/>
    <w:rsid w:val="006B166B"/>
    <w:rsid w:val="006B1B6C"/>
    <w:rsid w:val="006B2142"/>
    <w:rsid w:val="006B21D9"/>
    <w:rsid w:val="006B5E14"/>
    <w:rsid w:val="006B639B"/>
    <w:rsid w:val="006B67DE"/>
    <w:rsid w:val="006B74DB"/>
    <w:rsid w:val="006C1187"/>
    <w:rsid w:val="006C163B"/>
    <w:rsid w:val="006C1A38"/>
    <w:rsid w:val="006C1B56"/>
    <w:rsid w:val="006C24EC"/>
    <w:rsid w:val="006C2BEB"/>
    <w:rsid w:val="006C2C5C"/>
    <w:rsid w:val="006C3C5C"/>
    <w:rsid w:val="006C4C01"/>
    <w:rsid w:val="006C4C73"/>
    <w:rsid w:val="006C59AF"/>
    <w:rsid w:val="006C5E4E"/>
    <w:rsid w:val="006C7E31"/>
    <w:rsid w:val="006D02BD"/>
    <w:rsid w:val="006D099A"/>
    <w:rsid w:val="006D21B6"/>
    <w:rsid w:val="006D4469"/>
    <w:rsid w:val="006D6E09"/>
    <w:rsid w:val="006D7023"/>
    <w:rsid w:val="006D78B9"/>
    <w:rsid w:val="006D7B0F"/>
    <w:rsid w:val="006E17E0"/>
    <w:rsid w:val="006E2F82"/>
    <w:rsid w:val="006E374F"/>
    <w:rsid w:val="006E5351"/>
    <w:rsid w:val="006E5733"/>
    <w:rsid w:val="006E5D7A"/>
    <w:rsid w:val="006E6D44"/>
    <w:rsid w:val="006E7D7D"/>
    <w:rsid w:val="006E7DF6"/>
    <w:rsid w:val="006F04A2"/>
    <w:rsid w:val="006F08A9"/>
    <w:rsid w:val="006F16F1"/>
    <w:rsid w:val="006F23F6"/>
    <w:rsid w:val="006F24AB"/>
    <w:rsid w:val="006F2E29"/>
    <w:rsid w:val="006F2ECB"/>
    <w:rsid w:val="006F414E"/>
    <w:rsid w:val="006F551A"/>
    <w:rsid w:val="006F58BE"/>
    <w:rsid w:val="006F6659"/>
    <w:rsid w:val="006F6665"/>
    <w:rsid w:val="006F76A3"/>
    <w:rsid w:val="006F79C2"/>
    <w:rsid w:val="007013D2"/>
    <w:rsid w:val="00702C3F"/>
    <w:rsid w:val="0070366B"/>
    <w:rsid w:val="007043A9"/>
    <w:rsid w:val="007048F9"/>
    <w:rsid w:val="0070649E"/>
    <w:rsid w:val="00707059"/>
    <w:rsid w:val="007102D7"/>
    <w:rsid w:val="0071057C"/>
    <w:rsid w:val="00710E79"/>
    <w:rsid w:val="00711D34"/>
    <w:rsid w:val="00711F28"/>
    <w:rsid w:val="0071220A"/>
    <w:rsid w:val="0071291D"/>
    <w:rsid w:val="00713543"/>
    <w:rsid w:val="00713FC5"/>
    <w:rsid w:val="00715324"/>
    <w:rsid w:val="00716051"/>
    <w:rsid w:val="00716464"/>
    <w:rsid w:val="0071655E"/>
    <w:rsid w:val="00717AFE"/>
    <w:rsid w:val="0072058E"/>
    <w:rsid w:val="00720734"/>
    <w:rsid w:val="0072149A"/>
    <w:rsid w:val="007215AF"/>
    <w:rsid w:val="00721A36"/>
    <w:rsid w:val="00721D87"/>
    <w:rsid w:val="00722136"/>
    <w:rsid w:val="00722980"/>
    <w:rsid w:val="00723554"/>
    <w:rsid w:val="0072413C"/>
    <w:rsid w:val="00724996"/>
    <w:rsid w:val="00724DEF"/>
    <w:rsid w:val="00724E3B"/>
    <w:rsid w:val="00726136"/>
    <w:rsid w:val="00730261"/>
    <w:rsid w:val="0073099F"/>
    <w:rsid w:val="00730AB1"/>
    <w:rsid w:val="00730C3F"/>
    <w:rsid w:val="00731176"/>
    <w:rsid w:val="00731865"/>
    <w:rsid w:val="007339DF"/>
    <w:rsid w:val="00734424"/>
    <w:rsid w:val="00734D38"/>
    <w:rsid w:val="00734F45"/>
    <w:rsid w:val="00735FE1"/>
    <w:rsid w:val="0073644F"/>
    <w:rsid w:val="00736A50"/>
    <w:rsid w:val="00737A2D"/>
    <w:rsid w:val="00740E21"/>
    <w:rsid w:val="007410E7"/>
    <w:rsid w:val="0074168C"/>
    <w:rsid w:val="007419C6"/>
    <w:rsid w:val="00741FDA"/>
    <w:rsid w:val="0074279B"/>
    <w:rsid w:val="00742824"/>
    <w:rsid w:val="00742DFC"/>
    <w:rsid w:val="007449BF"/>
    <w:rsid w:val="00744AC6"/>
    <w:rsid w:val="00745F16"/>
    <w:rsid w:val="0074644E"/>
    <w:rsid w:val="0074699E"/>
    <w:rsid w:val="00746F5C"/>
    <w:rsid w:val="007476EE"/>
    <w:rsid w:val="00747D39"/>
    <w:rsid w:val="007506B7"/>
    <w:rsid w:val="00751CFE"/>
    <w:rsid w:val="00752199"/>
    <w:rsid w:val="00752AAD"/>
    <w:rsid w:val="00752AB6"/>
    <w:rsid w:val="00753CDA"/>
    <w:rsid w:val="007540C2"/>
    <w:rsid w:val="007556D9"/>
    <w:rsid w:val="007564D3"/>
    <w:rsid w:val="00756A89"/>
    <w:rsid w:val="00756FE9"/>
    <w:rsid w:val="00757887"/>
    <w:rsid w:val="00757A42"/>
    <w:rsid w:val="00760FCA"/>
    <w:rsid w:val="0076261D"/>
    <w:rsid w:val="00762A37"/>
    <w:rsid w:val="00762B54"/>
    <w:rsid w:val="00762D3B"/>
    <w:rsid w:val="007639B0"/>
    <w:rsid w:val="0076445B"/>
    <w:rsid w:val="00764698"/>
    <w:rsid w:val="007651C1"/>
    <w:rsid w:val="0076633D"/>
    <w:rsid w:val="00766D73"/>
    <w:rsid w:val="00766DCE"/>
    <w:rsid w:val="007676BF"/>
    <w:rsid w:val="00767DDE"/>
    <w:rsid w:val="00770D25"/>
    <w:rsid w:val="007714B7"/>
    <w:rsid w:val="0077375D"/>
    <w:rsid w:val="007744EF"/>
    <w:rsid w:val="0077478D"/>
    <w:rsid w:val="00774C7D"/>
    <w:rsid w:val="00775233"/>
    <w:rsid w:val="007755F2"/>
    <w:rsid w:val="00775AE5"/>
    <w:rsid w:val="00776B0D"/>
    <w:rsid w:val="00776E86"/>
    <w:rsid w:val="00780CFF"/>
    <w:rsid w:val="00780E60"/>
    <w:rsid w:val="00781A6A"/>
    <w:rsid w:val="00781D44"/>
    <w:rsid w:val="00781E93"/>
    <w:rsid w:val="0078258B"/>
    <w:rsid w:val="00782C4F"/>
    <w:rsid w:val="00787635"/>
    <w:rsid w:val="0079052C"/>
    <w:rsid w:val="00790A74"/>
    <w:rsid w:val="00790B43"/>
    <w:rsid w:val="00791C01"/>
    <w:rsid w:val="00792DE3"/>
    <w:rsid w:val="00793734"/>
    <w:rsid w:val="007939FB"/>
    <w:rsid w:val="007945F9"/>
    <w:rsid w:val="007953B4"/>
    <w:rsid w:val="007960C0"/>
    <w:rsid w:val="00797EBC"/>
    <w:rsid w:val="007A0648"/>
    <w:rsid w:val="007A0E93"/>
    <w:rsid w:val="007A17CD"/>
    <w:rsid w:val="007A1C30"/>
    <w:rsid w:val="007A296C"/>
    <w:rsid w:val="007A2CF8"/>
    <w:rsid w:val="007A36BC"/>
    <w:rsid w:val="007A3CDE"/>
    <w:rsid w:val="007A7996"/>
    <w:rsid w:val="007A79DE"/>
    <w:rsid w:val="007B02F8"/>
    <w:rsid w:val="007B0664"/>
    <w:rsid w:val="007B06C3"/>
    <w:rsid w:val="007B2E3F"/>
    <w:rsid w:val="007B34AA"/>
    <w:rsid w:val="007B377F"/>
    <w:rsid w:val="007B3E85"/>
    <w:rsid w:val="007B46F0"/>
    <w:rsid w:val="007B52D7"/>
    <w:rsid w:val="007B580E"/>
    <w:rsid w:val="007B5B23"/>
    <w:rsid w:val="007B617B"/>
    <w:rsid w:val="007B6916"/>
    <w:rsid w:val="007B7873"/>
    <w:rsid w:val="007B7C70"/>
    <w:rsid w:val="007C1E78"/>
    <w:rsid w:val="007C2765"/>
    <w:rsid w:val="007C3C1A"/>
    <w:rsid w:val="007C4167"/>
    <w:rsid w:val="007C4C9A"/>
    <w:rsid w:val="007C4CA4"/>
    <w:rsid w:val="007C62F4"/>
    <w:rsid w:val="007D0475"/>
    <w:rsid w:val="007D21F4"/>
    <w:rsid w:val="007D22CB"/>
    <w:rsid w:val="007D2B32"/>
    <w:rsid w:val="007D3FEA"/>
    <w:rsid w:val="007D5EBE"/>
    <w:rsid w:val="007D5ECE"/>
    <w:rsid w:val="007D7522"/>
    <w:rsid w:val="007E00CD"/>
    <w:rsid w:val="007E0126"/>
    <w:rsid w:val="007E0F6C"/>
    <w:rsid w:val="007E1600"/>
    <w:rsid w:val="007E2BA6"/>
    <w:rsid w:val="007E4576"/>
    <w:rsid w:val="007E4F35"/>
    <w:rsid w:val="007E4F8B"/>
    <w:rsid w:val="007E5319"/>
    <w:rsid w:val="007E550D"/>
    <w:rsid w:val="007E5623"/>
    <w:rsid w:val="007E6F77"/>
    <w:rsid w:val="007E728C"/>
    <w:rsid w:val="007E747D"/>
    <w:rsid w:val="007E75CE"/>
    <w:rsid w:val="007F0F16"/>
    <w:rsid w:val="007F26B6"/>
    <w:rsid w:val="007F2D93"/>
    <w:rsid w:val="007F3032"/>
    <w:rsid w:val="007F341D"/>
    <w:rsid w:val="007F3589"/>
    <w:rsid w:val="007F4583"/>
    <w:rsid w:val="007F4971"/>
    <w:rsid w:val="007F4BA5"/>
    <w:rsid w:val="007F4E07"/>
    <w:rsid w:val="007F6D6F"/>
    <w:rsid w:val="007F6F61"/>
    <w:rsid w:val="007F6FC3"/>
    <w:rsid w:val="007F7449"/>
    <w:rsid w:val="007F7F9D"/>
    <w:rsid w:val="008001EE"/>
    <w:rsid w:val="0080034F"/>
    <w:rsid w:val="00801D21"/>
    <w:rsid w:val="00802503"/>
    <w:rsid w:val="00802AD7"/>
    <w:rsid w:val="00802C83"/>
    <w:rsid w:val="00802C9F"/>
    <w:rsid w:val="00802E9A"/>
    <w:rsid w:val="00802F02"/>
    <w:rsid w:val="008031AB"/>
    <w:rsid w:val="00803554"/>
    <w:rsid w:val="00803F60"/>
    <w:rsid w:val="008050B5"/>
    <w:rsid w:val="00805CE5"/>
    <w:rsid w:val="00805E27"/>
    <w:rsid w:val="00806336"/>
    <w:rsid w:val="00806D7A"/>
    <w:rsid w:val="0080788B"/>
    <w:rsid w:val="00810654"/>
    <w:rsid w:val="00810915"/>
    <w:rsid w:val="0081092C"/>
    <w:rsid w:val="00810CA2"/>
    <w:rsid w:val="00811F8D"/>
    <w:rsid w:val="0081255A"/>
    <w:rsid w:val="00812592"/>
    <w:rsid w:val="00812A66"/>
    <w:rsid w:val="00814772"/>
    <w:rsid w:val="008147E0"/>
    <w:rsid w:val="00814B9D"/>
    <w:rsid w:val="00814DB5"/>
    <w:rsid w:val="00814DB8"/>
    <w:rsid w:val="00815185"/>
    <w:rsid w:val="00815BE0"/>
    <w:rsid w:val="00816B32"/>
    <w:rsid w:val="00817615"/>
    <w:rsid w:val="008216E5"/>
    <w:rsid w:val="00822035"/>
    <w:rsid w:val="008220DB"/>
    <w:rsid w:val="00823405"/>
    <w:rsid w:val="00823874"/>
    <w:rsid w:val="00824DE3"/>
    <w:rsid w:val="00825663"/>
    <w:rsid w:val="00825FDB"/>
    <w:rsid w:val="00830BB5"/>
    <w:rsid w:val="008312F1"/>
    <w:rsid w:val="00831635"/>
    <w:rsid w:val="0083191F"/>
    <w:rsid w:val="0083254B"/>
    <w:rsid w:val="008326C5"/>
    <w:rsid w:val="0083293B"/>
    <w:rsid w:val="00832D87"/>
    <w:rsid w:val="008333C0"/>
    <w:rsid w:val="008333D8"/>
    <w:rsid w:val="008339F2"/>
    <w:rsid w:val="00833B6A"/>
    <w:rsid w:val="0083524E"/>
    <w:rsid w:val="00835815"/>
    <w:rsid w:val="008366FA"/>
    <w:rsid w:val="00836DDB"/>
    <w:rsid w:val="0083731A"/>
    <w:rsid w:val="008376B3"/>
    <w:rsid w:val="00837A74"/>
    <w:rsid w:val="00837B62"/>
    <w:rsid w:val="00837C91"/>
    <w:rsid w:val="008400DF"/>
    <w:rsid w:val="00840FBA"/>
    <w:rsid w:val="00841432"/>
    <w:rsid w:val="00842292"/>
    <w:rsid w:val="008430F8"/>
    <w:rsid w:val="00843653"/>
    <w:rsid w:val="00844BBE"/>
    <w:rsid w:val="0084625E"/>
    <w:rsid w:val="00850CE1"/>
    <w:rsid w:val="0085288C"/>
    <w:rsid w:val="0085296E"/>
    <w:rsid w:val="00852AF8"/>
    <w:rsid w:val="00853678"/>
    <w:rsid w:val="00853E85"/>
    <w:rsid w:val="00854679"/>
    <w:rsid w:val="008548DC"/>
    <w:rsid w:val="008552A3"/>
    <w:rsid w:val="00855938"/>
    <w:rsid w:val="00856CE5"/>
    <w:rsid w:val="0085799B"/>
    <w:rsid w:val="00857ACD"/>
    <w:rsid w:val="00857D9C"/>
    <w:rsid w:val="00860899"/>
    <w:rsid w:val="00860F0C"/>
    <w:rsid w:val="00861AB8"/>
    <w:rsid w:val="00861D1C"/>
    <w:rsid w:val="008622EB"/>
    <w:rsid w:val="00862EDC"/>
    <w:rsid w:val="00864620"/>
    <w:rsid w:val="008650F5"/>
    <w:rsid w:val="00866BBB"/>
    <w:rsid w:val="0086701A"/>
    <w:rsid w:val="00871B0D"/>
    <w:rsid w:val="00871DBC"/>
    <w:rsid w:val="0087243C"/>
    <w:rsid w:val="00872678"/>
    <w:rsid w:val="00872D78"/>
    <w:rsid w:val="0087464C"/>
    <w:rsid w:val="00875045"/>
    <w:rsid w:val="00875624"/>
    <w:rsid w:val="00876520"/>
    <w:rsid w:val="008814B4"/>
    <w:rsid w:val="00881A8A"/>
    <w:rsid w:val="00882026"/>
    <w:rsid w:val="00882910"/>
    <w:rsid w:val="00883AF1"/>
    <w:rsid w:val="00884E7F"/>
    <w:rsid w:val="00885890"/>
    <w:rsid w:val="008861CE"/>
    <w:rsid w:val="00887ABC"/>
    <w:rsid w:val="00887FA6"/>
    <w:rsid w:val="00890AF0"/>
    <w:rsid w:val="008911CF"/>
    <w:rsid w:val="00891F66"/>
    <w:rsid w:val="00892060"/>
    <w:rsid w:val="00892475"/>
    <w:rsid w:val="00892BF5"/>
    <w:rsid w:val="00893554"/>
    <w:rsid w:val="0089393F"/>
    <w:rsid w:val="00893DC9"/>
    <w:rsid w:val="008A012A"/>
    <w:rsid w:val="008A2E2B"/>
    <w:rsid w:val="008A2E83"/>
    <w:rsid w:val="008A3A20"/>
    <w:rsid w:val="008A3B20"/>
    <w:rsid w:val="008A44FE"/>
    <w:rsid w:val="008A4A93"/>
    <w:rsid w:val="008A4CA9"/>
    <w:rsid w:val="008A4F6F"/>
    <w:rsid w:val="008A5748"/>
    <w:rsid w:val="008A61B3"/>
    <w:rsid w:val="008A66C3"/>
    <w:rsid w:val="008A6E97"/>
    <w:rsid w:val="008A74C6"/>
    <w:rsid w:val="008A76F1"/>
    <w:rsid w:val="008A77BD"/>
    <w:rsid w:val="008B02D4"/>
    <w:rsid w:val="008B04A0"/>
    <w:rsid w:val="008B071F"/>
    <w:rsid w:val="008B17A6"/>
    <w:rsid w:val="008B2F4F"/>
    <w:rsid w:val="008B44DC"/>
    <w:rsid w:val="008B537F"/>
    <w:rsid w:val="008B538F"/>
    <w:rsid w:val="008B54F6"/>
    <w:rsid w:val="008B570F"/>
    <w:rsid w:val="008B679C"/>
    <w:rsid w:val="008B686A"/>
    <w:rsid w:val="008B7282"/>
    <w:rsid w:val="008C0043"/>
    <w:rsid w:val="008C0332"/>
    <w:rsid w:val="008C151B"/>
    <w:rsid w:val="008C191C"/>
    <w:rsid w:val="008C2E21"/>
    <w:rsid w:val="008C3462"/>
    <w:rsid w:val="008C3528"/>
    <w:rsid w:val="008C55E1"/>
    <w:rsid w:val="008C7A7C"/>
    <w:rsid w:val="008C7AAC"/>
    <w:rsid w:val="008D061B"/>
    <w:rsid w:val="008D0C18"/>
    <w:rsid w:val="008D100C"/>
    <w:rsid w:val="008D1910"/>
    <w:rsid w:val="008D21DF"/>
    <w:rsid w:val="008D31A3"/>
    <w:rsid w:val="008D39DA"/>
    <w:rsid w:val="008D4353"/>
    <w:rsid w:val="008D50D0"/>
    <w:rsid w:val="008D60C4"/>
    <w:rsid w:val="008D718D"/>
    <w:rsid w:val="008D770B"/>
    <w:rsid w:val="008D7AA5"/>
    <w:rsid w:val="008D7AE8"/>
    <w:rsid w:val="008D7EBB"/>
    <w:rsid w:val="008D7F9E"/>
    <w:rsid w:val="008E0451"/>
    <w:rsid w:val="008E1783"/>
    <w:rsid w:val="008E1B0E"/>
    <w:rsid w:val="008E355A"/>
    <w:rsid w:val="008E36C4"/>
    <w:rsid w:val="008E3DC0"/>
    <w:rsid w:val="008E4AD0"/>
    <w:rsid w:val="008E5198"/>
    <w:rsid w:val="008E5891"/>
    <w:rsid w:val="008E5942"/>
    <w:rsid w:val="008E7604"/>
    <w:rsid w:val="008F0DB7"/>
    <w:rsid w:val="008F0E5C"/>
    <w:rsid w:val="008F1026"/>
    <w:rsid w:val="008F1502"/>
    <w:rsid w:val="008F185D"/>
    <w:rsid w:val="008F202A"/>
    <w:rsid w:val="008F23BC"/>
    <w:rsid w:val="008F38EE"/>
    <w:rsid w:val="008F4464"/>
    <w:rsid w:val="008F4C99"/>
    <w:rsid w:val="008F4CBE"/>
    <w:rsid w:val="008F5355"/>
    <w:rsid w:val="008F5377"/>
    <w:rsid w:val="008F5658"/>
    <w:rsid w:val="008F7B30"/>
    <w:rsid w:val="0090076E"/>
    <w:rsid w:val="0090113C"/>
    <w:rsid w:val="00902500"/>
    <w:rsid w:val="00903DD4"/>
    <w:rsid w:val="009046C5"/>
    <w:rsid w:val="00904994"/>
    <w:rsid w:val="0090676D"/>
    <w:rsid w:val="00907076"/>
    <w:rsid w:val="0090747A"/>
    <w:rsid w:val="00907A10"/>
    <w:rsid w:val="00907F94"/>
    <w:rsid w:val="00910FA6"/>
    <w:rsid w:val="009118B7"/>
    <w:rsid w:val="00912186"/>
    <w:rsid w:val="009121C9"/>
    <w:rsid w:val="00912D87"/>
    <w:rsid w:val="00912DF0"/>
    <w:rsid w:val="009168B6"/>
    <w:rsid w:val="00917131"/>
    <w:rsid w:val="00920229"/>
    <w:rsid w:val="00920496"/>
    <w:rsid w:val="00920A64"/>
    <w:rsid w:val="00921F14"/>
    <w:rsid w:val="009222F3"/>
    <w:rsid w:val="00923B6E"/>
    <w:rsid w:val="00923DCA"/>
    <w:rsid w:val="009244B3"/>
    <w:rsid w:val="00925D5A"/>
    <w:rsid w:val="00926868"/>
    <w:rsid w:val="00926AEA"/>
    <w:rsid w:val="00926E8F"/>
    <w:rsid w:val="00930AA9"/>
    <w:rsid w:val="00931027"/>
    <w:rsid w:val="00931946"/>
    <w:rsid w:val="00931E87"/>
    <w:rsid w:val="00931FBA"/>
    <w:rsid w:val="00932C6F"/>
    <w:rsid w:val="009330D0"/>
    <w:rsid w:val="00933336"/>
    <w:rsid w:val="00934054"/>
    <w:rsid w:val="009340E5"/>
    <w:rsid w:val="00934FD4"/>
    <w:rsid w:val="009358BB"/>
    <w:rsid w:val="0093623B"/>
    <w:rsid w:val="0093643F"/>
    <w:rsid w:val="00936A16"/>
    <w:rsid w:val="009373DA"/>
    <w:rsid w:val="0094013C"/>
    <w:rsid w:val="0094098B"/>
    <w:rsid w:val="00941265"/>
    <w:rsid w:val="0094131A"/>
    <w:rsid w:val="0094236C"/>
    <w:rsid w:val="00944377"/>
    <w:rsid w:val="00944E08"/>
    <w:rsid w:val="00945740"/>
    <w:rsid w:val="00945AD7"/>
    <w:rsid w:val="00945D1D"/>
    <w:rsid w:val="009469C3"/>
    <w:rsid w:val="009469F0"/>
    <w:rsid w:val="00947A0C"/>
    <w:rsid w:val="009508C5"/>
    <w:rsid w:val="00951BA5"/>
    <w:rsid w:val="009520BD"/>
    <w:rsid w:val="009522BE"/>
    <w:rsid w:val="009545A3"/>
    <w:rsid w:val="009569A4"/>
    <w:rsid w:val="00957039"/>
    <w:rsid w:val="00960232"/>
    <w:rsid w:val="009604D6"/>
    <w:rsid w:val="00961576"/>
    <w:rsid w:val="0096303C"/>
    <w:rsid w:val="0096346D"/>
    <w:rsid w:val="009634D5"/>
    <w:rsid w:val="0096511B"/>
    <w:rsid w:val="00965538"/>
    <w:rsid w:val="00966CDA"/>
    <w:rsid w:val="0096708C"/>
    <w:rsid w:val="0096722F"/>
    <w:rsid w:val="009672D7"/>
    <w:rsid w:val="0096738F"/>
    <w:rsid w:val="00967739"/>
    <w:rsid w:val="009708EF"/>
    <w:rsid w:val="00970E52"/>
    <w:rsid w:val="00973BED"/>
    <w:rsid w:val="00974639"/>
    <w:rsid w:val="009751D2"/>
    <w:rsid w:val="00975366"/>
    <w:rsid w:val="0097607A"/>
    <w:rsid w:val="00976355"/>
    <w:rsid w:val="00976EA4"/>
    <w:rsid w:val="00977711"/>
    <w:rsid w:val="00977AE8"/>
    <w:rsid w:val="00977B25"/>
    <w:rsid w:val="009814DC"/>
    <w:rsid w:val="00981E8C"/>
    <w:rsid w:val="00982C76"/>
    <w:rsid w:val="00983E40"/>
    <w:rsid w:val="00984D66"/>
    <w:rsid w:val="00984D96"/>
    <w:rsid w:val="009854D0"/>
    <w:rsid w:val="00985758"/>
    <w:rsid w:val="00985E01"/>
    <w:rsid w:val="009864F8"/>
    <w:rsid w:val="0098656C"/>
    <w:rsid w:val="00986595"/>
    <w:rsid w:val="009867F0"/>
    <w:rsid w:val="009876CB"/>
    <w:rsid w:val="00987DFD"/>
    <w:rsid w:val="00987E9C"/>
    <w:rsid w:val="00990DB3"/>
    <w:rsid w:val="0099166D"/>
    <w:rsid w:val="009922F1"/>
    <w:rsid w:val="00995541"/>
    <w:rsid w:val="00996B3B"/>
    <w:rsid w:val="0099783B"/>
    <w:rsid w:val="009A1897"/>
    <w:rsid w:val="009A1FF5"/>
    <w:rsid w:val="009A2112"/>
    <w:rsid w:val="009A21B4"/>
    <w:rsid w:val="009A3D31"/>
    <w:rsid w:val="009A4374"/>
    <w:rsid w:val="009A468E"/>
    <w:rsid w:val="009A52EA"/>
    <w:rsid w:val="009A5310"/>
    <w:rsid w:val="009A5802"/>
    <w:rsid w:val="009A7280"/>
    <w:rsid w:val="009A7412"/>
    <w:rsid w:val="009A760A"/>
    <w:rsid w:val="009B20CF"/>
    <w:rsid w:val="009B2110"/>
    <w:rsid w:val="009B2471"/>
    <w:rsid w:val="009B2C76"/>
    <w:rsid w:val="009B3BC4"/>
    <w:rsid w:val="009B491E"/>
    <w:rsid w:val="009B4BE5"/>
    <w:rsid w:val="009B4D65"/>
    <w:rsid w:val="009B4D80"/>
    <w:rsid w:val="009B4EB6"/>
    <w:rsid w:val="009B5A7A"/>
    <w:rsid w:val="009B5B09"/>
    <w:rsid w:val="009B63F1"/>
    <w:rsid w:val="009B6808"/>
    <w:rsid w:val="009B72F6"/>
    <w:rsid w:val="009C1B67"/>
    <w:rsid w:val="009C2F86"/>
    <w:rsid w:val="009C3098"/>
    <w:rsid w:val="009C33D3"/>
    <w:rsid w:val="009C799C"/>
    <w:rsid w:val="009C7AD4"/>
    <w:rsid w:val="009D05FC"/>
    <w:rsid w:val="009D0703"/>
    <w:rsid w:val="009D1E63"/>
    <w:rsid w:val="009D279F"/>
    <w:rsid w:val="009D2BEA"/>
    <w:rsid w:val="009D2EB9"/>
    <w:rsid w:val="009D37E7"/>
    <w:rsid w:val="009D39DF"/>
    <w:rsid w:val="009D3F82"/>
    <w:rsid w:val="009D491E"/>
    <w:rsid w:val="009D62C8"/>
    <w:rsid w:val="009D68DA"/>
    <w:rsid w:val="009D7604"/>
    <w:rsid w:val="009D77E0"/>
    <w:rsid w:val="009D78AD"/>
    <w:rsid w:val="009E1049"/>
    <w:rsid w:val="009E4E61"/>
    <w:rsid w:val="009E67EF"/>
    <w:rsid w:val="009E7397"/>
    <w:rsid w:val="009E74C6"/>
    <w:rsid w:val="009F0A54"/>
    <w:rsid w:val="009F0AB0"/>
    <w:rsid w:val="009F0BB8"/>
    <w:rsid w:val="009F1CF1"/>
    <w:rsid w:val="009F209D"/>
    <w:rsid w:val="009F2710"/>
    <w:rsid w:val="009F4F8B"/>
    <w:rsid w:val="009F564A"/>
    <w:rsid w:val="009F5743"/>
    <w:rsid w:val="009F6E53"/>
    <w:rsid w:val="00A002A5"/>
    <w:rsid w:val="00A0083D"/>
    <w:rsid w:val="00A0091B"/>
    <w:rsid w:val="00A03359"/>
    <w:rsid w:val="00A034E4"/>
    <w:rsid w:val="00A03CB3"/>
    <w:rsid w:val="00A042F3"/>
    <w:rsid w:val="00A0512A"/>
    <w:rsid w:val="00A054A9"/>
    <w:rsid w:val="00A05616"/>
    <w:rsid w:val="00A05A19"/>
    <w:rsid w:val="00A05B04"/>
    <w:rsid w:val="00A07781"/>
    <w:rsid w:val="00A11352"/>
    <w:rsid w:val="00A1152D"/>
    <w:rsid w:val="00A15C9D"/>
    <w:rsid w:val="00A16380"/>
    <w:rsid w:val="00A1738B"/>
    <w:rsid w:val="00A17A0E"/>
    <w:rsid w:val="00A20D7F"/>
    <w:rsid w:val="00A217BC"/>
    <w:rsid w:val="00A228AC"/>
    <w:rsid w:val="00A239FB"/>
    <w:rsid w:val="00A25285"/>
    <w:rsid w:val="00A25467"/>
    <w:rsid w:val="00A25E5F"/>
    <w:rsid w:val="00A26F96"/>
    <w:rsid w:val="00A27554"/>
    <w:rsid w:val="00A27E2B"/>
    <w:rsid w:val="00A309B5"/>
    <w:rsid w:val="00A30AA7"/>
    <w:rsid w:val="00A30CAB"/>
    <w:rsid w:val="00A31F0D"/>
    <w:rsid w:val="00A32759"/>
    <w:rsid w:val="00A32771"/>
    <w:rsid w:val="00A32DD4"/>
    <w:rsid w:val="00A32E32"/>
    <w:rsid w:val="00A33000"/>
    <w:rsid w:val="00A33602"/>
    <w:rsid w:val="00A33907"/>
    <w:rsid w:val="00A35181"/>
    <w:rsid w:val="00A35227"/>
    <w:rsid w:val="00A353FB"/>
    <w:rsid w:val="00A35DB0"/>
    <w:rsid w:val="00A365E6"/>
    <w:rsid w:val="00A376D2"/>
    <w:rsid w:val="00A376EA"/>
    <w:rsid w:val="00A37E6B"/>
    <w:rsid w:val="00A40056"/>
    <w:rsid w:val="00A41AEA"/>
    <w:rsid w:val="00A41C4A"/>
    <w:rsid w:val="00A42279"/>
    <w:rsid w:val="00A42506"/>
    <w:rsid w:val="00A44F51"/>
    <w:rsid w:val="00A46DB9"/>
    <w:rsid w:val="00A46F3B"/>
    <w:rsid w:val="00A50CFB"/>
    <w:rsid w:val="00A513D0"/>
    <w:rsid w:val="00A51CE7"/>
    <w:rsid w:val="00A52290"/>
    <w:rsid w:val="00A532B5"/>
    <w:rsid w:val="00A5332D"/>
    <w:rsid w:val="00A53D22"/>
    <w:rsid w:val="00A53DC1"/>
    <w:rsid w:val="00A54F0C"/>
    <w:rsid w:val="00A55E5E"/>
    <w:rsid w:val="00A57D34"/>
    <w:rsid w:val="00A60424"/>
    <w:rsid w:val="00A60D15"/>
    <w:rsid w:val="00A62830"/>
    <w:rsid w:val="00A62847"/>
    <w:rsid w:val="00A62C82"/>
    <w:rsid w:val="00A6652D"/>
    <w:rsid w:val="00A676E2"/>
    <w:rsid w:val="00A67F6B"/>
    <w:rsid w:val="00A711F3"/>
    <w:rsid w:val="00A7186A"/>
    <w:rsid w:val="00A73120"/>
    <w:rsid w:val="00A73320"/>
    <w:rsid w:val="00A762D0"/>
    <w:rsid w:val="00A7787D"/>
    <w:rsid w:val="00A80BF4"/>
    <w:rsid w:val="00A81025"/>
    <w:rsid w:val="00A8261C"/>
    <w:rsid w:val="00A8278B"/>
    <w:rsid w:val="00A83509"/>
    <w:rsid w:val="00A836D7"/>
    <w:rsid w:val="00A84461"/>
    <w:rsid w:val="00A85E40"/>
    <w:rsid w:val="00A87C2A"/>
    <w:rsid w:val="00A90B9C"/>
    <w:rsid w:val="00A9437D"/>
    <w:rsid w:val="00A95322"/>
    <w:rsid w:val="00A97596"/>
    <w:rsid w:val="00A97AA8"/>
    <w:rsid w:val="00A97CCA"/>
    <w:rsid w:val="00AA0F08"/>
    <w:rsid w:val="00AA1115"/>
    <w:rsid w:val="00AA1398"/>
    <w:rsid w:val="00AA2017"/>
    <w:rsid w:val="00AA22F3"/>
    <w:rsid w:val="00AA2314"/>
    <w:rsid w:val="00AA241C"/>
    <w:rsid w:val="00AA264E"/>
    <w:rsid w:val="00AA37FA"/>
    <w:rsid w:val="00AA448C"/>
    <w:rsid w:val="00AA4C0A"/>
    <w:rsid w:val="00AA4C63"/>
    <w:rsid w:val="00AA4C8A"/>
    <w:rsid w:val="00AA568B"/>
    <w:rsid w:val="00AA6963"/>
    <w:rsid w:val="00AB00AD"/>
    <w:rsid w:val="00AB0359"/>
    <w:rsid w:val="00AB1A2B"/>
    <w:rsid w:val="00AB255C"/>
    <w:rsid w:val="00AB34E6"/>
    <w:rsid w:val="00AB4291"/>
    <w:rsid w:val="00AB506D"/>
    <w:rsid w:val="00AB5F14"/>
    <w:rsid w:val="00AB61A3"/>
    <w:rsid w:val="00AB6A8E"/>
    <w:rsid w:val="00AB6CD3"/>
    <w:rsid w:val="00AB7BB3"/>
    <w:rsid w:val="00AC0488"/>
    <w:rsid w:val="00AC06F1"/>
    <w:rsid w:val="00AC1FE3"/>
    <w:rsid w:val="00AC24DB"/>
    <w:rsid w:val="00AC303C"/>
    <w:rsid w:val="00AC30B4"/>
    <w:rsid w:val="00AC315C"/>
    <w:rsid w:val="00AC3A10"/>
    <w:rsid w:val="00AC4AFC"/>
    <w:rsid w:val="00AC5381"/>
    <w:rsid w:val="00AC598A"/>
    <w:rsid w:val="00AC7675"/>
    <w:rsid w:val="00AD0CCD"/>
    <w:rsid w:val="00AD23A2"/>
    <w:rsid w:val="00AD34AF"/>
    <w:rsid w:val="00AD352F"/>
    <w:rsid w:val="00AD3B3E"/>
    <w:rsid w:val="00AD3E2A"/>
    <w:rsid w:val="00AD471B"/>
    <w:rsid w:val="00AD5217"/>
    <w:rsid w:val="00AD57F4"/>
    <w:rsid w:val="00AD5D96"/>
    <w:rsid w:val="00AD5E81"/>
    <w:rsid w:val="00AD5FC2"/>
    <w:rsid w:val="00AD643C"/>
    <w:rsid w:val="00AD70F2"/>
    <w:rsid w:val="00AE09BF"/>
    <w:rsid w:val="00AE0E78"/>
    <w:rsid w:val="00AE13E0"/>
    <w:rsid w:val="00AE1CC1"/>
    <w:rsid w:val="00AE2041"/>
    <w:rsid w:val="00AE21B5"/>
    <w:rsid w:val="00AE3195"/>
    <w:rsid w:val="00AE5C71"/>
    <w:rsid w:val="00AE5F39"/>
    <w:rsid w:val="00AE65D3"/>
    <w:rsid w:val="00AE6901"/>
    <w:rsid w:val="00AE6B43"/>
    <w:rsid w:val="00AE6D5E"/>
    <w:rsid w:val="00AE6D82"/>
    <w:rsid w:val="00AE741F"/>
    <w:rsid w:val="00AE7855"/>
    <w:rsid w:val="00AE7C14"/>
    <w:rsid w:val="00AF12E8"/>
    <w:rsid w:val="00AF1ABD"/>
    <w:rsid w:val="00AF1AE5"/>
    <w:rsid w:val="00AF1B75"/>
    <w:rsid w:val="00AF2090"/>
    <w:rsid w:val="00AF25CC"/>
    <w:rsid w:val="00AF51ED"/>
    <w:rsid w:val="00AF550E"/>
    <w:rsid w:val="00AF6859"/>
    <w:rsid w:val="00AF7CF6"/>
    <w:rsid w:val="00AF7E60"/>
    <w:rsid w:val="00B00222"/>
    <w:rsid w:val="00B002CB"/>
    <w:rsid w:val="00B03538"/>
    <w:rsid w:val="00B035ED"/>
    <w:rsid w:val="00B042D0"/>
    <w:rsid w:val="00B04897"/>
    <w:rsid w:val="00B04D2F"/>
    <w:rsid w:val="00B04DCE"/>
    <w:rsid w:val="00B05B59"/>
    <w:rsid w:val="00B069F8"/>
    <w:rsid w:val="00B06BC0"/>
    <w:rsid w:val="00B070B2"/>
    <w:rsid w:val="00B10DC8"/>
    <w:rsid w:val="00B10F07"/>
    <w:rsid w:val="00B110B3"/>
    <w:rsid w:val="00B11698"/>
    <w:rsid w:val="00B122D8"/>
    <w:rsid w:val="00B12783"/>
    <w:rsid w:val="00B13454"/>
    <w:rsid w:val="00B14EAA"/>
    <w:rsid w:val="00B17D6A"/>
    <w:rsid w:val="00B20924"/>
    <w:rsid w:val="00B216EC"/>
    <w:rsid w:val="00B22A60"/>
    <w:rsid w:val="00B22F8A"/>
    <w:rsid w:val="00B23579"/>
    <w:rsid w:val="00B23DA0"/>
    <w:rsid w:val="00B24806"/>
    <w:rsid w:val="00B24A7B"/>
    <w:rsid w:val="00B25257"/>
    <w:rsid w:val="00B26569"/>
    <w:rsid w:val="00B26D85"/>
    <w:rsid w:val="00B26DF8"/>
    <w:rsid w:val="00B275FE"/>
    <w:rsid w:val="00B276E2"/>
    <w:rsid w:val="00B27927"/>
    <w:rsid w:val="00B27E75"/>
    <w:rsid w:val="00B3032B"/>
    <w:rsid w:val="00B3158F"/>
    <w:rsid w:val="00B317E1"/>
    <w:rsid w:val="00B32BAC"/>
    <w:rsid w:val="00B337AA"/>
    <w:rsid w:val="00B341FE"/>
    <w:rsid w:val="00B35973"/>
    <w:rsid w:val="00B35BAA"/>
    <w:rsid w:val="00B35D13"/>
    <w:rsid w:val="00B36123"/>
    <w:rsid w:val="00B3687D"/>
    <w:rsid w:val="00B375F4"/>
    <w:rsid w:val="00B401D2"/>
    <w:rsid w:val="00B40779"/>
    <w:rsid w:val="00B4119C"/>
    <w:rsid w:val="00B41F74"/>
    <w:rsid w:val="00B421AD"/>
    <w:rsid w:val="00B42479"/>
    <w:rsid w:val="00B42A57"/>
    <w:rsid w:val="00B42E1F"/>
    <w:rsid w:val="00B43459"/>
    <w:rsid w:val="00B44983"/>
    <w:rsid w:val="00B45420"/>
    <w:rsid w:val="00B45761"/>
    <w:rsid w:val="00B457D0"/>
    <w:rsid w:val="00B463C0"/>
    <w:rsid w:val="00B4661A"/>
    <w:rsid w:val="00B46E71"/>
    <w:rsid w:val="00B472A1"/>
    <w:rsid w:val="00B475B3"/>
    <w:rsid w:val="00B47710"/>
    <w:rsid w:val="00B5059D"/>
    <w:rsid w:val="00B50CC7"/>
    <w:rsid w:val="00B514DE"/>
    <w:rsid w:val="00B51C56"/>
    <w:rsid w:val="00B52204"/>
    <w:rsid w:val="00B52A36"/>
    <w:rsid w:val="00B53B26"/>
    <w:rsid w:val="00B54C8F"/>
    <w:rsid w:val="00B554F5"/>
    <w:rsid w:val="00B55643"/>
    <w:rsid w:val="00B5658A"/>
    <w:rsid w:val="00B57D05"/>
    <w:rsid w:val="00B60277"/>
    <w:rsid w:val="00B608FB"/>
    <w:rsid w:val="00B60B40"/>
    <w:rsid w:val="00B60F1D"/>
    <w:rsid w:val="00B611DB"/>
    <w:rsid w:val="00B614F7"/>
    <w:rsid w:val="00B616D9"/>
    <w:rsid w:val="00B61CC5"/>
    <w:rsid w:val="00B61E2D"/>
    <w:rsid w:val="00B623EC"/>
    <w:rsid w:val="00B62611"/>
    <w:rsid w:val="00B63797"/>
    <w:rsid w:val="00B65B84"/>
    <w:rsid w:val="00B65F24"/>
    <w:rsid w:val="00B66610"/>
    <w:rsid w:val="00B70195"/>
    <w:rsid w:val="00B702AD"/>
    <w:rsid w:val="00B7033E"/>
    <w:rsid w:val="00B713E4"/>
    <w:rsid w:val="00B71593"/>
    <w:rsid w:val="00B71C20"/>
    <w:rsid w:val="00B72215"/>
    <w:rsid w:val="00B726C0"/>
    <w:rsid w:val="00B72F62"/>
    <w:rsid w:val="00B73F0F"/>
    <w:rsid w:val="00B76241"/>
    <w:rsid w:val="00B76449"/>
    <w:rsid w:val="00B76C4B"/>
    <w:rsid w:val="00B77203"/>
    <w:rsid w:val="00B77DFB"/>
    <w:rsid w:val="00B80B42"/>
    <w:rsid w:val="00B80CD2"/>
    <w:rsid w:val="00B8276F"/>
    <w:rsid w:val="00B82A5B"/>
    <w:rsid w:val="00B82D4B"/>
    <w:rsid w:val="00B837CB"/>
    <w:rsid w:val="00B83EA6"/>
    <w:rsid w:val="00B842FE"/>
    <w:rsid w:val="00B84DD4"/>
    <w:rsid w:val="00B8561B"/>
    <w:rsid w:val="00B85D2D"/>
    <w:rsid w:val="00B85E25"/>
    <w:rsid w:val="00B86F6F"/>
    <w:rsid w:val="00B9076A"/>
    <w:rsid w:val="00B90FAF"/>
    <w:rsid w:val="00B90FFA"/>
    <w:rsid w:val="00B914AB"/>
    <w:rsid w:val="00B91A3D"/>
    <w:rsid w:val="00B9248D"/>
    <w:rsid w:val="00B92A79"/>
    <w:rsid w:val="00B93529"/>
    <w:rsid w:val="00B94296"/>
    <w:rsid w:val="00B949B3"/>
    <w:rsid w:val="00B953D9"/>
    <w:rsid w:val="00B95A6D"/>
    <w:rsid w:val="00B972D2"/>
    <w:rsid w:val="00BA001B"/>
    <w:rsid w:val="00BA1475"/>
    <w:rsid w:val="00BA1EF8"/>
    <w:rsid w:val="00BA2CE3"/>
    <w:rsid w:val="00BA2F9B"/>
    <w:rsid w:val="00BA2FD6"/>
    <w:rsid w:val="00BA338B"/>
    <w:rsid w:val="00BA3714"/>
    <w:rsid w:val="00BA48ED"/>
    <w:rsid w:val="00BA4BD8"/>
    <w:rsid w:val="00BA5053"/>
    <w:rsid w:val="00BA76A0"/>
    <w:rsid w:val="00BB03F7"/>
    <w:rsid w:val="00BB173E"/>
    <w:rsid w:val="00BB178A"/>
    <w:rsid w:val="00BB190F"/>
    <w:rsid w:val="00BB222A"/>
    <w:rsid w:val="00BB2376"/>
    <w:rsid w:val="00BB2493"/>
    <w:rsid w:val="00BB298A"/>
    <w:rsid w:val="00BB450A"/>
    <w:rsid w:val="00BB4F78"/>
    <w:rsid w:val="00BB6251"/>
    <w:rsid w:val="00BB6A27"/>
    <w:rsid w:val="00BB6E50"/>
    <w:rsid w:val="00BB6F1C"/>
    <w:rsid w:val="00BB71CD"/>
    <w:rsid w:val="00BB7B4A"/>
    <w:rsid w:val="00BB7FF2"/>
    <w:rsid w:val="00BC091E"/>
    <w:rsid w:val="00BC0F04"/>
    <w:rsid w:val="00BC1100"/>
    <w:rsid w:val="00BC1166"/>
    <w:rsid w:val="00BC1437"/>
    <w:rsid w:val="00BC1EF0"/>
    <w:rsid w:val="00BC227D"/>
    <w:rsid w:val="00BC2D8D"/>
    <w:rsid w:val="00BC319B"/>
    <w:rsid w:val="00BC3802"/>
    <w:rsid w:val="00BC386B"/>
    <w:rsid w:val="00BC386E"/>
    <w:rsid w:val="00BC471B"/>
    <w:rsid w:val="00BC483B"/>
    <w:rsid w:val="00BC526B"/>
    <w:rsid w:val="00BC5FDE"/>
    <w:rsid w:val="00BC605F"/>
    <w:rsid w:val="00BC64C7"/>
    <w:rsid w:val="00BD06BC"/>
    <w:rsid w:val="00BD1630"/>
    <w:rsid w:val="00BD22F6"/>
    <w:rsid w:val="00BD3CA3"/>
    <w:rsid w:val="00BD45CC"/>
    <w:rsid w:val="00BD4892"/>
    <w:rsid w:val="00BD4A8F"/>
    <w:rsid w:val="00BD6042"/>
    <w:rsid w:val="00BD6ACB"/>
    <w:rsid w:val="00BD7557"/>
    <w:rsid w:val="00BE060D"/>
    <w:rsid w:val="00BE06B8"/>
    <w:rsid w:val="00BE07D9"/>
    <w:rsid w:val="00BE0D0E"/>
    <w:rsid w:val="00BE1757"/>
    <w:rsid w:val="00BE1E5E"/>
    <w:rsid w:val="00BE2E55"/>
    <w:rsid w:val="00BE3226"/>
    <w:rsid w:val="00BE3F7E"/>
    <w:rsid w:val="00BE4389"/>
    <w:rsid w:val="00BE6473"/>
    <w:rsid w:val="00BE6B5A"/>
    <w:rsid w:val="00BE6BFA"/>
    <w:rsid w:val="00BE75B7"/>
    <w:rsid w:val="00BE7929"/>
    <w:rsid w:val="00BF076C"/>
    <w:rsid w:val="00BF104F"/>
    <w:rsid w:val="00BF1B4F"/>
    <w:rsid w:val="00BF3146"/>
    <w:rsid w:val="00BF39B1"/>
    <w:rsid w:val="00BF3CF8"/>
    <w:rsid w:val="00BF50C3"/>
    <w:rsid w:val="00BF5181"/>
    <w:rsid w:val="00BF5604"/>
    <w:rsid w:val="00BF64DF"/>
    <w:rsid w:val="00BF6A7F"/>
    <w:rsid w:val="00BF707A"/>
    <w:rsid w:val="00BF73A2"/>
    <w:rsid w:val="00C011DA"/>
    <w:rsid w:val="00C02DD2"/>
    <w:rsid w:val="00C03B8C"/>
    <w:rsid w:val="00C03E05"/>
    <w:rsid w:val="00C04002"/>
    <w:rsid w:val="00C04E96"/>
    <w:rsid w:val="00C10B72"/>
    <w:rsid w:val="00C11141"/>
    <w:rsid w:val="00C1145A"/>
    <w:rsid w:val="00C12556"/>
    <w:rsid w:val="00C12818"/>
    <w:rsid w:val="00C134A0"/>
    <w:rsid w:val="00C13869"/>
    <w:rsid w:val="00C13D29"/>
    <w:rsid w:val="00C14810"/>
    <w:rsid w:val="00C1562D"/>
    <w:rsid w:val="00C1578D"/>
    <w:rsid w:val="00C15AC0"/>
    <w:rsid w:val="00C16A9C"/>
    <w:rsid w:val="00C17E1E"/>
    <w:rsid w:val="00C20173"/>
    <w:rsid w:val="00C20D39"/>
    <w:rsid w:val="00C20EC9"/>
    <w:rsid w:val="00C21E7E"/>
    <w:rsid w:val="00C21EFE"/>
    <w:rsid w:val="00C2205B"/>
    <w:rsid w:val="00C23037"/>
    <w:rsid w:val="00C23A23"/>
    <w:rsid w:val="00C25096"/>
    <w:rsid w:val="00C25CA1"/>
    <w:rsid w:val="00C261D1"/>
    <w:rsid w:val="00C26513"/>
    <w:rsid w:val="00C26548"/>
    <w:rsid w:val="00C266CE"/>
    <w:rsid w:val="00C267FA"/>
    <w:rsid w:val="00C26AB3"/>
    <w:rsid w:val="00C27EB2"/>
    <w:rsid w:val="00C313CC"/>
    <w:rsid w:val="00C33278"/>
    <w:rsid w:val="00C33393"/>
    <w:rsid w:val="00C33407"/>
    <w:rsid w:val="00C35F7D"/>
    <w:rsid w:val="00C36BE6"/>
    <w:rsid w:val="00C40923"/>
    <w:rsid w:val="00C4093A"/>
    <w:rsid w:val="00C40B19"/>
    <w:rsid w:val="00C40B21"/>
    <w:rsid w:val="00C40F58"/>
    <w:rsid w:val="00C41622"/>
    <w:rsid w:val="00C4174B"/>
    <w:rsid w:val="00C41C9A"/>
    <w:rsid w:val="00C42423"/>
    <w:rsid w:val="00C43237"/>
    <w:rsid w:val="00C4470D"/>
    <w:rsid w:val="00C44790"/>
    <w:rsid w:val="00C450E6"/>
    <w:rsid w:val="00C454DD"/>
    <w:rsid w:val="00C4697F"/>
    <w:rsid w:val="00C477F1"/>
    <w:rsid w:val="00C47954"/>
    <w:rsid w:val="00C51AAD"/>
    <w:rsid w:val="00C51DB9"/>
    <w:rsid w:val="00C5248F"/>
    <w:rsid w:val="00C52BC8"/>
    <w:rsid w:val="00C52CE5"/>
    <w:rsid w:val="00C52D89"/>
    <w:rsid w:val="00C52DCC"/>
    <w:rsid w:val="00C535F0"/>
    <w:rsid w:val="00C54115"/>
    <w:rsid w:val="00C5516A"/>
    <w:rsid w:val="00C55DCA"/>
    <w:rsid w:val="00C55F3F"/>
    <w:rsid w:val="00C562C6"/>
    <w:rsid w:val="00C56D0C"/>
    <w:rsid w:val="00C575FD"/>
    <w:rsid w:val="00C60F15"/>
    <w:rsid w:val="00C60F48"/>
    <w:rsid w:val="00C62300"/>
    <w:rsid w:val="00C63D46"/>
    <w:rsid w:val="00C6445D"/>
    <w:rsid w:val="00C667C3"/>
    <w:rsid w:val="00C669B4"/>
    <w:rsid w:val="00C67175"/>
    <w:rsid w:val="00C6767A"/>
    <w:rsid w:val="00C67681"/>
    <w:rsid w:val="00C70039"/>
    <w:rsid w:val="00C70187"/>
    <w:rsid w:val="00C70728"/>
    <w:rsid w:val="00C71C80"/>
    <w:rsid w:val="00C72831"/>
    <w:rsid w:val="00C72F7C"/>
    <w:rsid w:val="00C7320F"/>
    <w:rsid w:val="00C73FA8"/>
    <w:rsid w:val="00C7486C"/>
    <w:rsid w:val="00C805BE"/>
    <w:rsid w:val="00C80730"/>
    <w:rsid w:val="00C80CF9"/>
    <w:rsid w:val="00C80DF2"/>
    <w:rsid w:val="00C80F44"/>
    <w:rsid w:val="00C81D4B"/>
    <w:rsid w:val="00C82024"/>
    <w:rsid w:val="00C82A73"/>
    <w:rsid w:val="00C82C17"/>
    <w:rsid w:val="00C82F3E"/>
    <w:rsid w:val="00C83821"/>
    <w:rsid w:val="00C83EBC"/>
    <w:rsid w:val="00C85678"/>
    <w:rsid w:val="00C912CB"/>
    <w:rsid w:val="00C9148D"/>
    <w:rsid w:val="00C91555"/>
    <w:rsid w:val="00C91A57"/>
    <w:rsid w:val="00C91A5B"/>
    <w:rsid w:val="00C928E3"/>
    <w:rsid w:val="00C930DC"/>
    <w:rsid w:val="00C968FB"/>
    <w:rsid w:val="00C979BD"/>
    <w:rsid w:val="00CA003D"/>
    <w:rsid w:val="00CA0EB2"/>
    <w:rsid w:val="00CA0F74"/>
    <w:rsid w:val="00CA1EB4"/>
    <w:rsid w:val="00CA2DBE"/>
    <w:rsid w:val="00CA38E1"/>
    <w:rsid w:val="00CA3BE5"/>
    <w:rsid w:val="00CA4776"/>
    <w:rsid w:val="00CA4CC8"/>
    <w:rsid w:val="00CA5732"/>
    <w:rsid w:val="00CA679D"/>
    <w:rsid w:val="00CA7A62"/>
    <w:rsid w:val="00CB001F"/>
    <w:rsid w:val="00CB0860"/>
    <w:rsid w:val="00CB089C"/>
    <w:rsid w:val="00CB0CF8"/>
    <w:rsid w:val="00CB1730"/>
    <w:rsid w:val="00CB1B83"/>
    <w:rsid w:val="00CB1DE5"/>
    <w:rsid w:val="00CB2F13"/>
    <w:rsid w:val="00CB35E4"/>
    <w:rsid w:val="00CB4153"/>
    <w:rsid w:val="00CB4EF6"/>
    <w:rsid w:val="00CB6139"/>
    <w:rsid w:val="00CB6196"/>
    <w:rsid w:val="00CB73DD"/>
    <w:rsid w:val="00CB7EFD"/>
    <w:rsid w:val="00CC0130"/>
    <w:rsid w:val="00CC158C"/>
    <w:rsid w:val="00CC2418"/>
    <w:rsid w:val="00CC3062"/>
    <w:rsid w:val="00CC3A0B"/>
    <w:rsid w:val="00CC4AA2"/>
    <w:rsid w:val="00CC4E44"/>
    <w:rsid w:val="00CC57A7"/>
    <w:rsid w:val="00CC5886"/>
    <w:rsid w:val="00CC63D9"/>
    <w:rsid w:val="00CC6DF4"/>
    <w:rsid w:val="00CC72A4"/>
    <w:rsid w:val="00CD0820"/>
    <w:rsid w:val="00CD0C1E"/>
    <w:rsid w:val="00CD11A9"/>
    <w:rsid w:val="00CD11B8"/>
    <w:rsid w:val="00CD14A7"/>
    <w:rsid w:val="00CD180C"/>
    <w:rsid w:val="00CD21C7"/>
    <w:rsid w:val="00CD2861"/>
    <w:rsid w:val="00CD2B76"/>
    <w:rsid w:val="00CD5058"/>
    <w:rsid w:val="00CD606E"/>
    <w:rsid w:val="00CD630A"/>
    <w:rsid w:val="00CD6BD6"/>
    <w:rsid w:val="00CD6E21"/>
    <w:rsid w:val="00CD7577"/>
    <w:rsid w:val="00CD767C"/>
    <w:rsid w:val="00CE1CA8"/>
    <w:rsid w:val="00CE1FE9"/>
    <w:rsid w:val="00CE2558"/>
    <w:rsid w:val="00CE424C"/>
    <w:rsid w:val="00CE5437"/>
    <w:rsid w:val="00CE54B1"/>
    <w:rsid w:val="00CE626D"/>
    <w:rsid w:val="00CE66F5"/>
    <w:rsid w:val="00CE6A88"/>
    <w:rsid w:val="00CE775B"/>
    <w:rsid w:val="00CE7F6C"/>
    <w:rsid w:val="00CF0571"/>
    <w:rsid w:val="00CF0CE4"/>
    <w:rsid w:val="00CF0DCF"/>
    <w:rsid w:val="00CF0E43"/>
    <w:rsid w:val="00CF3313"/>
    <w:rsid w:val="00CF4064"/>
    <w:rsid w:val="00CF408B"/>
    <w:rsid w:val="00CF571C"/>
    <w:rsid w:val="00CF6C74"/>
    <w:rsid w:val="00CF7097"/>
    <w:rsid w:val="00CF7B27"/>
    <w:rsid w:val="00CF7D94"/>
    <w:rsid w:val="00D03FDF"/>
    <w:rsid w:val="00D101C2"/>
    <w:rsid w:val="00D10535"/>
    <w:rsid w:val="00D106FF"/>
    <w:rsid w:val="00D108AC"/>
    <w:rsid w:val="00D10C41"/>
    <w:rsid w:val="00D11886"/>
    <w:rsid w:val="00D11C2E"/>
    <w:rsid w:val="00D1348B"/>
    <w:rsid w:val="00D1391A"/>
    <w:rsid w:val="00D15356"/>
    <w:rsid w:val="00D15ED5"/>
    <w:rsid w:val="00D162FC"/>
    <w:rsid w:val="00D16471"/>
    <w:rsid w:val="00D168D8"/>
    <w:rsid w:val="00D17369"/>
    <w:rsid w:val="00D21F5F"/>
    <w:rsid w:val="00D222BE"/>
    <w:rsid w:val="00D239CE"/>
    <w:rsid w:val="00D24466"/>
    <w:rsid w:val="00D25787"/>
    <w:rsid w:val="00D25853"/>
    <w:rsid w:val="00D25BA3"/>
    <w:rsid w:val="00D25EB3"/>
    <w:rsid w:val="00D269F7"/>
    <w:rsid w:val="00D26DED"/>
    <w:rsid w:val="00D306DF"/>
    <w:rsid w:val="00D31B79"/>
    <w:rsid w:val="00D32C06"/>
    <w:rsid w:val="00D33CAF"/>
    <w:rsid w:val="00D34145"/>
    <w:rsid w:val="00D34268"/>
    <w:rsid w:val="00D35E49"/>
    <w:rsid w:val="00D36131"/>
    <w:rsid w:val="00D3641B"/>
    <w:rsid w:val="00D3652A"/>
    <w:rsid w:val="00D36586"/>
    <w:rsid w:val="00D368AC"/>
    <w:rsid w:val="00D40309"/>
    <w:rsid w:val="00D411E6"/>
    <w:rsid w:val="00D42244"/>
    <w:rsid w:val="00D44A5A"/>
    <w:rsid w:val="00D45896"/>
    <w:rsid w:val="00D458CE"/>
    <w:rsid w:val="00D46646"/>
    <w:rsid w:val="00D46F61"/>
    <w:rsid w:val="00D47298"/>
    <w:rsid w:val="00D504BD"/>
    <w:rsid w:val="00D509A4"/>
    <w:rsid w:val="00D50D98"/>
    <w:rsid w:val="00D50DF8"/>
    <w:rsid w:val="00D51522"/>
    <w:rsid w:val="00D518EC"/>
    <w:rsid w:val="00D5204A"/>
    <w:rsid w:val="00D5247F"/>
    <w:rsid w:val="00D53489"/>
    <w:rsid w:val="00D534BE"/>
    <w:rsid w:val="00D535C0"/>
    <w:rsid w:val="00D54240"/>
    <w:rsid w:val="00D54BB9"/>
    <w:rsid w:val="00D5536D"/>
    <w:rsid w:val="00D55726"/>
    <w:rsid w:val="00D56254"/>
    <w:rsid w:val="00D56980"/>
    <w:rsid w:val="00D573AD"/>
    <w:rsid w:val="00D60F64"/>
    <w:rsid w:val="00D61022"/>
    <w:rsid w:val="00D6195C"/>
    <w:rsid w:val="00D61D0D"/>
    <w:rsid w:val="00D61F14"/>
    <w:rsid w:val="00D62F31"/>
    <w:rsid w:val="00D63230"/>
    <w:rsid w:val="00D638A6"/>
    <w:rsid w:val="00D63A31"/>
    <w:rsid w:val="00D64398"/>
    <w:rsid w:val="00D64F8E"/>
    <w:rsid w:val="00D65B92"/>
    <w:rsid w:val="00D6742C"/>
    <w:rsid w:val="00D70237"/>
    <w:rsid w:val="00D706D0"/>
    <w:rsid w:val="00D706E8"/>
    <w:rsid w:val="00D708D9"/>
    <w:rsid w:val="00D70C36"/>
    <w:rsid w:val="00D72413"/>
    <w:rsid w:val="00D72905"/>
    <w:rsid w:val="00D742A6"/>
    <w:rsid w:val="00D747D9"/>
    <w:rsid w:val="00D75137"/>
    <w:rsid w:val="00D75DFA"/>
    <w:rsid w:val="00D762C4"/>
    <w:rsid w:val="00D77643"/>
    <w:rsid w:val="00D80AB4"/>
    <w:rsid w:val="00D816BA"/>
    <w:rsid w:val="00D81A7F"/>
    <w:rsid w:val="00D820A8"/>
    <w:rsid w:val="00D82987"/>
    <w:rsid w:val="00D83B0A"/>
    <w:rsid w:val="00D83C26"/>
    <w:rsid w:val="00D84A95"/>
    <w:rsid w:val="00D853B3"/>
    <w:rsid w:val="00D85E13"/>
    <w:rsid w:val="00D86073"/>
    <w:rsid w:val="00D8674F"/>
    <w:rsid w:val="00D87ED5"/>
    <w:rsid w:val="00D9078C"/>
    <w:rsid w:val="00D919E3"/>
    <w:rsid w:val="00D92135"/>
    <w:rsid w:val="00D93411"/>
    <w:rsid w:val="00D93C3B"/>
    <w:rsid w:val="00D94E57"/>
    <w:rsid w:val="00D95729"/>
    <w:rsid w:val="00D95734"/>
    <w:rsid w:val="00D96F86"/>
    <w:rsid w:val="00D97437"/>
    <w:rsid w:val="00D97BBB"/>
    <w:rsid w:val="00D97E9E"/>
    <w:rsid w:val="00DA050C"/>
    <w:rsid w:val="00DA158E"/>
    <w:rsid w:val="00DA24EF"/>
    <w:rsid w:val="00DA613C"/>
    <w:rsid w:val="00DA6635"/>
    <w:rsid w:val="00DA6D5E"/>
    <w:rsid w:val="00DA736E"/>
    <w:rsid w:val="00DA74AE"/>
    <w:rsid w:val="00DA7F7F"/>
    <w:rsid w:val="00DB0768"/>
    <w:rsid w:val="00DB0B00"/>
    <w:rsid w:val="00DB16ED"/>
    <w:rsid w:val="00DB1763"/>
    <w:rsid w:val="00DB180B"/>
    <w:rsid w:val="00DB407C"/>
    <w:rsid w:val="00DB5B16"/>
    <w:rsid w:val="00DB5CC2"/>
    <w:rsid w:val="00DB5EBB"/>
    <w:rsid w:val="00DB7F35"/>
    <w:rsid w:val="00DC0827"/>
    <w:rsid w:val="00DC1196"/>
    <w:rsid w:val="00DC49AD"/>
    <w:rsid w:val="00DC4CAE"/>
    <w:rsid w:val="00DC6AE4"/>
    <w:rsid w:val="00DC7233"/>
    <w:rsid w:val="00DC74E9"/>
    <w:rsid w:val="00DD0028"/>
    <w:rsid w:val="00DD01B2"/>
    <w:rsid w:val="00DD2018"/>
    <w:rsid w:val="00DD2A71"/>
    <w:rsid w:val="00DD425C"/>
    <w:rsid w:val="00DD4ED0"/>
    <w:rsid w:val="00DD6F88"/>
    <w:rsid w:val="00DD7418"/>
    <w:rsid w:val="00DD7ECD"/>
    <w:rsid w:val="00DE1098"/>
    <w:rsid w:val="00DE1426"/>
    <w:rsid w:val="00DE1437"/>
    <w:rsid w:val="00DE15A8"/>
    <w:rsid w:val="00DE2229"/>
    <w:rsid w:val="00DE2990"/>
    <w:rsid w:val="00DE3226"/>
    <w:rsid w:val="00DE3AC6"/>
    <w:rsid w:val="00DE41CB"/>
    <w:rsid w:val="00DE4255"/>
    <w:rsid w:val="00DE46F4"/>
    <w:rsid w:val="00DE52F7"/>
    <w:rsid w:val="00DE6118"/>
    <w:rsid w:val="00DE75A3"/>
    <w:rsid w:val="00DF01C1"/>
    <w:rsid w:val="00DF081F"/>
    <w:rsid w:val="00DF24B5"/>
    <w:rsid w:val="00DF29EB"/>
    <w:rsid w:val="00DF2A91"/>
    <w:rsid w:val="00DF3BBB"/>
    <w:rsid w:val="00DF3DA9"/>
    <w:rsid w:val="00DF4769"/>
    <w:rsid w:val="00DF4B5D"/>
    <w:rsid w:val="00DF71A8"/>
    <w:rsid w:val="00DF7A66"/>
    <w:rsid w:val="00E0038C"/>
    <w:rsid w:val="00E02CF4"/>
    <w:rsid w:val="00E03494"/>
    <w:rsid w:val="00E0408C"/>
    <w:rsid w:val="00E040C9"/>
    <w:rsid w:val="00E0443C"/>
    <w:rsid w:val="00E046D2"/>
    <w:rsid w:val="00E04ED6"/>
    <w:rsid w:val="00E04F7F"/>
    <w:rsid w:val="00E06855"/>
    <w:rsid w:val="00E06908"/>
    <w:rsid w:val="00E0708D"/>
    <w:rsid w:val="00E07D2C"/>
    <w:rsid w:val="00E104F0"/>
    <w:rsid w:val="00E115B3"/>
    <w:rsid w:val="00E1181B"/>
    <w:rsid w:val="00E119F8"/>
    <w:rsid w:val="00E120F4"/>
    <w:rsid w:val="00E12D8C"/>
    <w:rsid w:val="00E12F00"/>
    <w:rsid w:val="00E13741"/>
    <w:rsid w:val="00E1375C"/>
    <w:rsid w:val="00E142FD"/>
    <w:rsid w:val="00E1435E"/>
    <w:rsid w:val="00E1451A"/>
    <w:rsid w:val="00E14585"/>
    <w:rsid w:val="00E14762"/>
    <w:rsid w:val="00E15AB0"/>
    <w:rsid w:val="00E16554"/>
    <w:rsid w:val="00E16CDC"/>
    <w:rsid w:val="00E17199"/>
    <w:rsid w:val="00E17E7F"/>
    <w:rsid w:val="00E2172E"/>
    <w:rsid w:val="00E22A53"/>
    <w:rsid w:val="00E23F3E"/>
    <w:rsid w:val="00E23F6E"/>
    <w:rsid w:val="00E24EA0"/>
    <w:rsid w:val="00E256DA"/>
    <w:rsid w:val="00E26144"/>
    <w:rsid w:val="00E261E6"/>
    <w:rsid w:val="00E26EA1"/>
    <w:rsid w:val="00E272AC"/>
    <w:rsid w:val="00E27C4D"/>
    <w:rsid w:val="00E27D08"/>
    <w:rsid w:val="00E300AB"/>
    <w:rsid w:val="00E3349C"/>
    <w:rsid w:val="00E3367D"/>
    <w:rsid w:val="00E33681"/>
    <w:rsid w:val="00E34C3C"/>
    <w:rsid w:val="00E35477"/>
    <w:rsid w:val="00E35582"/>
    <w:rsid w:val="00E36A87"/>
    <w:rsid w:val="00E4157E"/>
    <w:rsid w:val="00E41CE9"/>
    <w:rsid w:val="00E42A40"/>
    <w:rsid w:val="00E42A89"/>
    <w:rsid w:val="00E42CE3"/>
    <w:rsid w:val="00E42F2B"/>
    <w:rsid w:val="00E434C0"/>
    <w:rsid w:val="00E4362B"/>
    <w:rsid w:val="00E437BA"/>
    <w:rsid w:val="00E43860"/>
    <w:rsid w:val="00E43B80"/>
    <w:rsid w:val="00E4488E"/>
    <w:rsid w:val="00E44D9D"/>
    <w:rsid w:val="00E45858"/>
    <w:rsid w:val="00E45DEE"/>
    <w:rsid w:val="00E45F3B"/>
    <w:rsid w:val="00E46BB0"/>
    <w:rsid w:val="00E470BD"/>
    <w:rsid w:val="00E4712C"/>
    <w:rsid w:val="00E50E64"/>
    <w:rsid w:val="00E523CD"/>
    <w:rsid w:val="00E52847"/>
    <w:rsid w:val="00E52F04"/>
    <w:rsid w:val="00E54805"/>
    <w:rsid w:val="00E54D48"/>
    <w:rsid w:val="00E5517F"/>
    <w:rsid w:val="00E55BFF"/>
    <w:rsid w:val="00E60960"/>
    <w:rsid w:val="00E60CA5"/>
    <w:rsid w:val="00E60D3A"/>
    <w:rsid w:val="00E618F4"/>
    <w:rsid w:val="00E61B05"/>
    <w:rsid w:val="00E62C77"/>
    <w:rsid w:val="00E64EB3"/>
    <w:rsid w:val="00E64EEF"/>
    <w:rsid w:val="00E66D11"/>
    <w:rsid w:val="00E66D67"/>
    <w:rsid w:val="00E66E3F"/>
    <w:rsid w:val="00E71B56"/>
    <w:rsid w:val="00E722C1"/>
    <w:rsid w:val="00E7318B"/>
    <w:rsid w:val="00E7340E"/>
    <w:rsid w:val="00E735AD"/>
    <w:rsid w:val="00E758F8"/>
    <w:rsid w:val="00E75F66"/>
    <w:rsid w:val="00E7629A"/>
    <w:rsid w:val="00E77C76"/>
    <w:rsid w:val="00E815E3"/>
    <w:rsid w:val="00E81925"/>
    <w:rsid w:val="00E81C23"/>
    <w:rsid w:val="00E82651"/>
    <w:rsid w:val="00E82704"/>
    <w:rsid w:val="00E82D86"/>
    <w:rsid w:val="00E82F72"/>
    <w:rsid w:val="00E83093"/>
    <w:rsid w:val="00E832EA"/>
    <w:rsid w:val="00E8373E"/>
    <w:rsid w:val="00E837B4"/>
    <w:rsid w:val="00E841B4"/>
    <w:rsid w:val="00E842AA"/>
    <w:rsid w:val="00E85164"/>
    <w:rsid w:val="00E87DEE"/>
    <w:rsid w:val="00E900B9"/>
    <w:rsid w:val="00E906AD"/>
    <w:rsid w:val="00E90959"/>
    <w:rsid w:val="00E92374"/>
    <w:rsid w:val="00E931B5"/>
    <w:rsid w:val="00E935E9"/>
    <w:rsid w:val="00E94CCD"/>
    <w:rsid w:val="00E967EE"/>
    <w:rsid w:val="00E97C75"/>
    <w:rsid w:val="00EA0766"/>
    <w:rsid w:val="00EA1DB7"/>
    <w:rsid w:val="00EA2C83"/>
    <w:rsid w:val="00EA41D2"/>
    <w:rsid w:val="00EA4C10"/>
    <w:rsid w:val="00EA621D"/>
    <w:rsid w:val="00EA6A00"/>
    <w:rsid w:val="00EA6CBC"/>
    <w:rsid w:val="00EA75F9"/>
    <w:rsid w:val="00EA7FA0"/>
    <w:rsid w:val="00EB030A"/>
    <w:rsid w:val="00EB0744"/>
    <w:rsid w:val="00EB0858"/>
    <w:rsid w:val="00EB092B"/>
    <w:rsid w:val="00EB1891"/>
    <w:rsid w:val="00EB2530"/>
    <w:rsid w:val="00EB2CC5"/>
    <w:rsid w:val="00EB2FB5"/>
    <w:rsid w:val="00EB3A0D"/>
    <w:rsid w:val="00EB3F42"/>
    <w:rsid w:val="00EB442B"/>
    <w:rsid w:val="00EB4525"/>
    <w:rsid w:val="00EB474E"/>
    <w:rsid w:val="00EB5C14"/>
    <w:rsid w:val="00EB5D5A"/>
    <w:rsid w:val="00EB670D"/>
    <w:rsid w:val="00EC0CF0"/>
    <w:rsid w:val="00EC0DD2"/>
    <w:rsid w:val="00EC1B06"/>
    <w:rsid w:val="00EC3704"/>
    <w:rsid w:val="00EC3E72"/>
    <w:rsid w:val="00EC4686"/>
    <w:rsid w:val="00EC473D"/>
    <w:rsid w:val="00EC4F9B"/>
    <w:rsid w:val="00EC5A11"/>
    <w:rsid w:val="00EC5DE5"/>
    <w:rsid w:val="00EC673B"/>
    <w:rsid w:val="00ED15DC"/>
    <w:rsid w:val="00ED1770"/>
    <w:rsid w:val="00ED2287"/>
    <w:rsid w:val="00ED228D"/>
    <w:rsid w:val="00ED2B20"/>
    <w:rsid w:val="00ED31E3"/>
    <w:rsid w:val="00ED373E"/>
    <w:rsid w:val="00ED3838"/>
    <w:rsid w:val="00ED4FB7"/>
    <w:rsid w:val="00ED66E8"/>
    <w:rsid w:val="00ED6CD2"/>
    <w:rsid w:val="00ED709C"/>
    <w:rsid w:val="00ED7375"/>
    <w:rsid w:val="00EE1218"/>
    <w:rsid w:val="00EE1521"/>
    <w:rsid w:val="00EE30D0"/>
    <w:rsid w:val="00EE314A"/>
    <w:rsid w:val="00EE39B2"/>
    <w:rsid w:val="00EE4316"/>
    <w:rsid w:val="00EE4AFF"/>
    <w:rsid w:val="00EE57A0"/>
    <w:rsid w:val="00EE6056"/>
    <w:rsid w:val="00EE622D"/>
    <w:rsid w:val="00EE6E9B"/>
    <w:rsid w:val="00EE72D6"/>
    <w:rsid w:val="00EE7780"/>
    <w:rsid w:val="00EE7BF0"/>
    <w:rsid w:val="00EE7E9E"/>
    <w:rsid w:val="00EF06D0"/>
    <w:rsid w:val="00EF16E4"/>
    <w:rsid w:val="00EF2680"/>
    <w:rsid w:val="00EF2D36"/>
    <w:rsid w:val="00EF4D09"/>
    <w:rsid w:val="00EF4DAC"/>
    <w:rsid w:val="00EF4E1A"/>
    <w:rsid w:val="00EF4F87"/>
    <w:rsid w:val="00EF504A"/>
    <w:rsid w:val="00EF5B37"/>
    <w:rsid w:val="00EF5B3E"/>
    <w:rsid w:val="00EF60C7"/>
    <w:rsid w:val="00EF6187"/>
    <w:rsid w:val="00EF6CCB"/>
    <w:rsid w:val="00EF74FE"/>
    <w:rsid w:val="00EF7E43"/>
    <w:rsid w:val="00F00EE4"/>
    <w:rsid w:val="00F01732"/>
    <w:rsid w:val="00F01C2A"/>
    <w:rsid w:val="00F029F0"/>
    <w:rsid w:val="00F02C57"/>
    <w:rsid w:val="00F02E46"/>
    <w:rsid w:val="00F03D11"/>
    <w:rsid w:val="00F07CA9"/>
    <w:rsid w:val="00F07D75"/>
    <w:rsid w:val="00F10499"/>
    <w:rsid w:val="00F10784"/>
    <w:rsid w:val="00F10A5E"/>
    <w:rsid w:val="00F10F09"/>
    <w:rsid w:val="00F10FAB"/>
    <w:rsid w:val="00F1161F"/>
    <w:rsid w:val="00F11735"/>
    <w:rsid w:val="00F1190C"/>
    <w:rsid w:val="00F12830"/>
    <w:rsid w:val="00F13B48"/>
    <w:rsid w:val="00F13E23"/>
    <w:rsid w:val="00F1418D"/>
    <w:rsid w:val="00F14578"/>
    <w:rsid w:val="00F152BD"/>
    <w:rsid w:val="00F15D72"/>
    <w:rsid w:val="00F17C5F"/>
    <w:rsid w:val="00F17D22"/>
    <w:rsid w:val="00F2008C"/>
    <w:rsid w:val="00F2231D"/>
    <w:rsid w:val="00F22525"/>
    <w:rsid w:val="00F226D7"/>
    <w:rsid w:val="00F237E7"/>
    <w:rsid w:val="00F23E19"/>
    <w:rsid w:val="00F257E1"/>
    <w:rsid w:val="00F26A92"/>
    <w:rsid w:val="00F301AF"/>
    <w:rsid w:val="00F307BD"/>
    <w:rsid w:val="00F30D4F"/>
    <w:rsid w:val="00F33D3E"/>
    <w:rsid w:val="00F3428E"/>
    <w:rsid w:val="00F3434F"/>
    <w:rsid w:val="00F36AB0"/>
    <w:rsid w:val="00F37086"/>
    <w:rsid w:val="00F3733A"/>
    <w:rsid w:val="00F4041C"/>
    <w:rsid w:val="00F40C05"/>
    <w:rsid w:val="00F417CF"/>
    <w:rsid w:val="00F41EEB"/>
    <w:rsid w:val="00F4225F"/>
    <w:rsid w:val="00F42367"/>
    <w:rsid w:val="00F424CF"/>
    <w:rsid w:val="00F426C0"/>
    <w:rsid w:val="00F432F7"/>
    <w:rsid w:val="00F433CA"/>
    <w:rsid w:val="00F434CD"/>
    <w:rsid w:val="00F43B67"/>
    <w:rsid w:val="00F446B9"/>
    <w:rsid w:val="00F448AC"/>
    <w:rsid w:val="00F45238"/>
    <w:rsid w:val="00F453D6"/>
    <w:rsid w:val="00F4586D"/>
    <w:rsid w:val="00F46C9E"/>
    <w:rsid w:val="00F4724F"/>
    <w:rsid w:val="00F51881"/>
    <w:rsid w:val="00F51CA1"/>
    <w:rsid w:val="00F520A4"/>
    <w:rsid w:val="00F522E1"/>
    <w:rsid w:val="00F5329E"/>
    <w:rsid w:val="00F533B5"/>
    <w:rsid w:val="00F54114"/>
    <w:rsid w:val="00F54363"/>
    <w:rsid w:val="00F545C9"/>
    <w:rsid w:val="00F54713"/>
    <w:rsid w:val="00F54814"/>
    <w:rsid w:val="00F54F21"/>
    <w:rsid w:val="00F55526"/>
    <w:rsid w:val="00F56942"/>
    <w:rsid w:val="00F569CE"/>
    <w:rsid w:val="00F56FA2"/>
    <w:rsid w:val="00F578E5"/>
    <w:rsid w:val="00F57BBC"/>
    <w:rsid w:val="00F608D4"/>
    <w:rsid w:val="00F6246C"/>
    <w:rsid w:val="00F62D15"/>
    <w:rsid w:val="00F6348F"/>
    <w:rsid w:val="00F636C0"/>
    <w:rsid w:val="00F639EF"/>
    <w:rsid w:val="00F6535A"/>
    <w:rsid w:val="00F65CA7"/>
    <w:rsid w:val="00F661EE"/>
    <w:rsid w:val="00F6662B"/>
    <w:rsid w:val="00F6689E"/>
    <w:rsid w:val="00F66A1B"/>
    <w:rsid w:val="00F66C03"/>
    <w:rsid w:val="00F672BB"/>
    <w:rsid w:val="00F67B47"/>
    <w:rsid w:val="00F701BF"/>
    <w:rsid w:val="00F7091D"/>
    <w:rsid w:val="00F71165"/>
    <w:rsid w:val="00F713AD"/>
    <w:rsid w:val="00F714DE"/>
    <w:rsid w:val="00F71681"/>
    <w:rsid w:val="00F71693"/>
    <w:rsid w:val="00F71B60"/>
    <w:rsid w:val="00F71D91"/>
    <w:rsid w:val="00F71E76"/>
    <w:rsid w:val="00F7238B"/>
    <w:rsid w:val="00F728A4"/>
    <w:rsid w:val="00F72CD1"/>
    <w:rsid w:val="00F72F7A"/>
    <w:rsid w:val="00F73D2C"/>
    <w:rsid w:val="00F74AE8"/>
    <w:rsid w:val="00F74BB3"/>
    <w:rsid w:val="00F74F6A"/>
    <w:rsid w:val="00F75689"/>
    <w:rsid w:val="00F75C93"/>
    <w:rsid w:val="00F765B5"/>
    <w:rsid w:val="00F7747F"/>
    <w:rsid w:val="00F800BB"/>
    <w:rsid w:val="00F80690"/>
    <w:rsid w:val="00F80788"/>
    <w:rsid w:val="00F813B7"/>
    <w:rsid w:val="00F81681"/>
    <w:rsid w:val="00F827DF"/>
    <w:rsid w:val="00F834A9"/>
    <w:rsid w:val="00F846D2"/>
    <w:rsid w:val="00F84AC9"/>
    <w:rsid w:val="00F85C7E"/>
    <w:rsid w:val="00F863CF"/>
    <w:rsid w:val="00F866E5"/>
    <w:rsid w:val="00F8675E"/>
    <w:rsid w:val="00F86C5A"/>
    <w:rsid w:val="00F90417"/>
    <w:rsid w:val="00F91416"/>
    <w:rsid w:val="00F91483"/>
    <w:rsid w:val="00F91C96"/>
    <w:rsid w:val="00F95646"/>
    <w:rsid w:val="00F95823"/>
    <w:rsid w:val="00F958D8"/>
    <w:rsid w:val="00F958DF"/>
    <w:rsid w:val="00F9655B"/>
    <w:rsid w:val="00F96ADB"/>
    <w:rsid w:val="00FA004D"/>
    <w:rsid w:val="00FA1E56"/>
    <w:rsid w:val="00FA2B4E"/>
    <w:rsid w:val="00FA34FC"/>
    <w:rsid w:val="00FA385B"/>
    <w:rsid w:val="00FA4068"/>
    <w:rsid w:val="00FA4126"/>
    <w:rsid w:val="00FA431E"/>
    <w:rsid w:val="00FA4DFA"/>
    <w:rsid w:val="00FA61B6"/>
    <w:rsid w:val="00FA6D27"/>
    <w:rsid w:val="00FA6EE1"/>
    <w:rsid w:val="00FB03AC"/>
    <w:rsid w:val="00FB084D"/>
    <w:rsid w:val="00FB1462"/>
    <w:rsid w:val="00FB1A01"/>
    <w:rsid w:val="00FB2A5F"/>
    <w:rsid w:val="00FB2C43"/>
    <w:rsid w:val="00FB3FFA"/>
    <w:rsid w:val="00FB447D"/>
    <w:rsid w:val="00FB49D8"/>
    <w:rsid w:val="00FB58EC"/>
    <w:rsid w:val="00FB74F4"/>
    <w:rsid w:val="00FB7ED6"/>
    <w:rsid w:val="00FC0A88"/>
    <w:rsid w:val="00FC0E63"/>
    <w:rsid w:val="00FC12CA"/>
    <w:rsid w:val="00FC1691"/>
    <w:rsid w:val="00FC1D64"/>
    <w:rsid w:val="00FC1EB4"/>
    <w:rsid w:val="00FC20BD"/>
    <w:rsid w:val="00FC2121"/>
    <w:rsid w:val="00FC348E"/>
    <w:rsid w:val="00FC3B9E"/>
    <w:rsid w:val="00FC72C6"/>
    <w:rsid w:val="00FC7603"/>
    <w:rsid w:val="00FD0B61"/>
    <w:rsid w:val="00FD1450"/>
    <w:rsid w:val="00FD1EF1"/>
    <w:rsid w:val="00FD25B1"/>
    <w:rsid w:val="00FD2F1C"/>
    <w:rsid w:val="00FD2F8A"/>
    <w:rsid w:val="00FD309D"/>
    <w:rsid w:val="00FD31AD"/>
    <w:rsid w:val="00FD419A"/>
    <w:rsid w:val="00FD44A6"/>
    <w:rsid w:val="00FD4767"/>
    <w:rsid w:val="00FD4A9F"/>
    <w:rsid w:val="00FD4E71"/>
    <w:rsid w:val="00FD542F"/>
    <w:rsid w:val="00FD5C06"/>
    <w:rsid w:val="00FD62AA"/>
    <w:rsid w:val="00FD6E43"/>
    <w:rsid w:val="00FD7F74"/>
    <w:rsid w:val="00FE0510"/>
    <w:rsid w:val="00FE0AC7"/>
    <w:rsid w:val="00FE2C4D"/>
    <w:rsid w:val="00FE2F61"/>
    <w:rsid w:val="00FE3901"/>
    <w:rsid w:val="00FE48EE"/>
    <w:rsid w:val="00FE51F9"/>
    <w:rsid w:val="00FE5862"/>
    <w:rsid w:val="00FE633D"/>
    <w:rsid w:val="00FE638F"/>
    <w:rsid w:val="00FE63DC"/>
    <w:rsid w:val="00FE6B31"/>
    <w:rsid w:val="00FF081B"/>
    <w:rsid w:val="00FF13F3"/>
    <w:rsid w:val="00FF1B63"/>
    <w:rsid w:val="00FF1B66"/>
    <w:rsid w:val="00FF1CFE"/>
    <w:rsid w:val="00FF2420"/>
    <w:rsid w:val="00FF2E62"/>
    <w:rsid w:val="00FF3080"/>
    <w:rsid w:val="00FF350D"/>
    <w:rsid w:val="00FF4705"/>
    <w:rsid w:val="00FF51DF"/>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BB3B"/>
  <w15:chartTrackingRefBased/>
  <w15:docId w15:val="{4595B875-6355-6143-A9FE-7E6E0B98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45D"/>
    <w:rPr>
      <w:sz w:val="20"/>
      <w:szCs w:val="20"/>
    </w:rPr>
  </w:style>
  <w:style w:type="paragraph" w:styleId="Heading1">
    <w:name w:val="heading 1"/>
    <w:basedOn w:val="Normal"/>
    <w:next w:val="Normal"/>
    <w:link w:val="Heading1Char"/>
    <w:uiPriority w:val="9"/>
    <w:qFormat/>
    <w:rsid w:val="00C6445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6445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6445D"/>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C6445D"/>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C6445D"/>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C6445D"/>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C6445D"/>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C644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445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45D"/>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C6445D"/>
    <w:rPr>
      <w:caps/>
      <w:spacing w:val="15"/>
      <w:shd w:val="clear" w:color="auto" w:fill="D9E2F3" w:themeFill="accent1" w:themeFillTint="33"/>
    </w:rPr>
  </w:style>
  <w:style w:type="character" w:customStyle="1" w:styleId="Heading3Char">
    <w:name w:val="Heading 3 Char"/>
    <w:basedOn w:val="DefaultParagraphFont"/>
    <w:link w:val="Heading3"/>
    <w:uiPriority w:val="9"/>
    <w:rsid w:val="00C6445D"/>
    <w:rPr>
      <w:caps/>
      <w:color w:val="1F3763" w:themeColor="accent1" w:themeShade="7F"/>
      <w:spacing w:val="15"/>
    </w:rPr>
  </w:style>
  <w:style w:type="character" w:customStyle="1" w:styleId="Heading4Char">
    <w:name w:val="Heading 4 Char"/>
    <w:basedOn w:val="DefaultParagraphFont"/>
    <w:link w:val="Heading4"/>
    <w:uiPriority w:val="9"/>
    <w:semiHidden/>
    <w:rsid w:val="00C6445D"/>
    <w:rPr>
      <w:caps/>
      <w:color w:val="2F5496" w:themeColor="accent1" w:themeShade="BF"/>
      <w:spacing w:val="10"/>
    </w:rPr>
  </w:style>
  <w:style w:type="character" w:customStyle="1" w:styleId="Heading5Char">
    <w:name w:val="Heading 5 Char"/>
    <w:basedOn w:val="DefaultParagraphFont"/>
    <w:link w:val="Heading5"/>
    <w:uiPriority w:val="9"/>
    <w:semiHidden/>
    <w:rsid w:val="00C6445D"/>
    <w:rPr>
      <w:caps/>
      <w:color w:val="2F5496" w:themeColor="accent1" w:themeShade="BF"/>
      <w:spacing w:val="10"/>
    </w:rPr>
  </w:style>
  <w:style w:type="character" w:customStyle="1" w:styleId="Heading6Char">
    <w:name w:val="Heading 6 Char"/>
    <w:basedOn w:val="DefaultParagraphFont"/>
    <w:link w:val="Heading6"/>
    <w:uiPriority w:val="9"/>
    <w:semiHidden/>
    <w:rsid w:val="00C6445D"/>
    <w:rPr>
      <w:caps/>
      <w:color w:val="2F5496" w:themeColor="accent1" w:themeShade="BF"/>
      <w:spacing w:val="10"/>
    </w:rPr>
  </w:style>
  <w:style w:type="character" w:customStyle="1" w:styleId="Heading7Char">
    <w:name w:val="Heading 7 Char"/>
    <w:basedOn w:val="DefaultParagraphFont"/>
    <w:link w:val="Heading7"/>
    <w:uiPriority w:val="9"/>
    <w:semiHidden/>
    <w:rsid w:val="00C6445D"/>
    <w:rPr>
      <w:caps/>
      <w:color w:val="2F5496" w:themeColor="accent1" w:themeShade="BF"/>
      <w:spacing w:val="10"/>
    </w:rPr>
  </w:style>
  <w:style w:type="character" w:customStyle="1" w:styleId="Heading8Char">
    <w:name w:val="Heading 8 Char"/>
    <w:basedOn w:val="DefaultParagraphFont"/>
    <w:link w:val="Heading8"/>
    <w:uiPriority w:val="9"/>
    <w:semiHidden/>
    <w:rsid w:val="00C6445D"/>
    <w:rPr>
      <w:caps/>
      <w:spacing w:val="10"/>
      <w:sz w:val="18"/>
      <w:szCs w:val="18"/>
    </w:rPr>
  </w:style>
  <w:style w:type="character" w:customStyle="1" w:styleId="Heading9Char">
    <w:name w:val="Heading 9 Char"/>
    <w:basedOn w:val="DefaultParagraphFont"/>
    <w:link w:val="Heading9"/>
    <w:uiPriority w:val="9"/>
    <w:semiHidden/>
    <w:rsid w:val="00C6445D"/>
    <w:rPr>
      <w:i/>
      <w:caps/>
      <w:spacing w:val="10"/>
      <w:sz w:val="18"/>
      <w:szCs w:val="18"/>
    </w:rPr>
  </w:style>
  <w:style w:type="paragraph" w:styleId="Caption">
    <w:name w:val="caption"/>
    <w:basedOn w:val="Normal"/>
    <w:next w:val="Normal"/>
    <w:uiPriority w:val="35"/>
    <w:semiHidden/>
    <w:unhideWhenUsed/>
    <w:qFormat/>
    <w:rsid w:val="00C6445D"/>
    <w:rPr>
      <w:b/>
      <w:bCs/>
      <w:color w:val="2F5496" w:themeColor="accent1" w:themeShade="BF"/>
      <w:sz w:val="16"/>
      <w:szCs w:val="16"/>
    </w:rPr>
  </w:style>
  <w:style w:type="paragraph" w:styleId="Title">
    <w:name w:val="Title"/>
    <w:basedOn w:val="Normal"/>
    <w:next w:val="Normal"/>
    <w:link w:val="TitleChar"/>
    <w:uiPriority w:val="10"/>
    <w:qFormat/>
    <w:rsid w:val="00C6445D"/>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C6445D"/>
    <w:rPr>
      <w:caps/>
      <w:color w:val="4472C4" w:themeColor="accent1"/>
      <w:spacing w:val="10"/>
      <w:kern w:val="28"/>
      <w:sz w:val="52"/>
      <w:szCs w:val="52"/>
    </w:rPr>
  </w:style>
  <w:style w:type="paragraph" w:styleId="Subtitle">
    <w:name w:val="Subtitle"/>
    <w:basedOn w:val="Normal"/>
    <w:next w:val="Normal"/>
    <w:link w:val="SubtitleChar"/>
    <w:uiPriority w:val="11"/>
    <w:qFormat/>
    <w:rsid w:val="00C644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445D"/>
    <w:rPr>
      <w:caps/>
      <w:color w:val="595959" w:themeColor="text1" w:themeTint="A6"/>
      <w:spacing w:val="10"/>
      <w:sz w:val="24"/>
      <w:szCs w:val="24"/>
    </w:rPr>
  </w:style>
  <w:style w:type="character" w:styleId="Strong">
    <w:name w:val="Strong"/>
    <w:uiPriority w:val="22"/>
    <w:qFormat/>
    <w:rsid w:val="00C6445D"/>
    <w:rPr>
      <w:b/>
      <w:bCs/>
    </w:rPr>
  </w:style>
  <w:style w:type="character" w:styleId="Emphasis">
    <w:name w:val="Emphasis"/>
    <w:uiPriority w:val="20"/>
    <w:qFormat/>
    <w:rsid w:val="00C6445D"/>
    <w:rPr>
      <w:caps/>
      <w:color w:val="1F3763" w:themeColor="accent1" w:themeShade="7F"/>
      <w:spacing w:val="5"/>
    </w:rPr>
  </w:style>
  <w:style w:type="paragraph" w:styleId="NoSpacing">
    <w:name w:val="No Spacing"/>
    <w:basedOn w:val="Normal"/>
    <w:link w:val="NoSpacingChar"/>
    <w:uiPriority w:val="1"/>
    <w:qFormat/>
    <w:rsid w:val="00C6445D"/>
    <w:pPr>
      <w:spacing w:before="0" w:after="0" w:line="240" w:lineRule="auto"/>
    </w:pPr>
  </w:style>
  <w:style w:type="character" w:customStyle="1" w:styleId="NoSpacingChar">
    <w:name w:val="No Spacing Char"/>
    <w:basedOn w:val="DefaultParagraphFont"/>
    <w:link w:val="NoSpacing"/>
    <w:uiPriority w:val="1"/>
    <w:rsid w:val="00C6445D"/>
    <w:rPr>
      <w:sz w:val="20"/>
      <w:szCs w:val="20"/>
    </w:rPr>
  </w:style>
  <w:style w:type="paragraph" w:styleId="ListParagraph">
    <w:name w:val="List Paragraph"/>
    <w:basedOn w:val="Normal"/>
    <w:uiPriority w:val="34"/>
    <w:qFormat/>
    <w:rsid w:val="00C6445D"/>
    <w:pPr>
      <w:ind w:left="720"/>
      <w:contextualSpacing/>
    </w:pPr>
  </w:style>
  <w:style w:type="paragraph" w:styleId="Quote">
    <w:name w:val="Quote"/>
    <w:basedOn w:val="Normal"/>
    <w:next w:val="Normal"/>
    <w:link w:val="QuoteChar"/>
    <w:uiPriority w:val="29"/>
    <w:qFormat/>
    <w:rsid w:val="00C6445D"/>
    <w:rPr>
      <w:i/>
      <w:iCs/>
    </w:rPr>
  </w:style>
  <w:style w:type="character" w:customStyle="1" w:styleId="QuoteChar">
    <w:name w:val="Quote Char"/>
    <w:basedOn w:val="DefaultParagraphFont"/>
    <w:link w:val="Quote"/>
    <w:uiPriority w:val="29"/>
    <w:rsid w:val="00C6445D"/>
    <w:rPr>
      <w:i/>
      <w:iCs/>
      <w:sz w:val="20"/>
      <w:szCs w:val="20"/>
    </w:rPr>
  </w:style>
  <w:style w:type="paragraph" w:styleId="IntenseQuote">
    <w:name w:val="Intense Quote"/>
    <w:basedOn w:val="Normal"/>
    <w:next w:val="Normal"/>
    <w:link w:val="IntenseQuoteChar"/>
    <w:uiPriority w:val="30"/>
    <w:qFormat/>
    <w:rsid w:val="00C6445D"/>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C6445D"/>
    <w:rPr>
      <w:i/>
      <w:iCs/>
      <w:color w:val="4472C4" w:themeColor="accent1"/>
      <w:sz w:val="20"/>
      <w:szCs w:val="20"/>
    </w:rPr>
  </w:style>
  <w:style w:type="character" w:styleId="SubtleEmphasis">
    <w:name w:val="Subtle Emphasis"/>
    <w:uiPriority w:val="19"/>
    <w:qFormat/>
    <w:rsid w:val="00C6445D"/>
    <w:rPr>
      <w:i/>
      <w:iCs/>
      <w:color w:val="1F3763" w:themeColor="accent1" w:themeShade="7F"/>
    </w:rPr>
  </w:style>
  <w:style w:type="character" w:styleId="IntenseEmphasis">
    <w:name w:val="Intense Emphasis"/>
    <w:uiPriority w:val="21"/>
    <w:qFormat/>
    <w:rsid w:val="00C6445D"/>
    <w:rPr>
      <w:b/>
      <w:bCs/>
      <w:caps/>
      <w:color w:val="1F3763" w:themeColor="accent1" w:themeShade="7F"/>
      <w:spacing w:val="10"/>
    </w:rPr>
  </w:style>
  <w:style w:type="character" w:styleId="SubtleReference">
    <w:name w:val="Subtle Reference"/>
    <w:uiPriority w:val="31"/>
    <w:qFormat/>
    <w:rsid w:val="00C6445D"/>
    <w:rPr>
      <w:b/>
      <w:bCs/>
      <w:color w:val="4472C4" w:themeColor="accent1"/>
    </w:rPr>
  </w:style>
  <w:style w:type="character" w:styleId="IntenseReference">
    <w:name w:val="Intense Reference"/>
    <w:uiPriority w:val="32"/>
    <w:qFormat/>
    <w:rsid w:val="00C6445D"/>
    <w:rPr>
      <w:b/>
      <w:bCs/>
      <w:i/>
      <w:iCs/>
      <w:caps/>
      <w:color w:val="4472C4" w:themeColor="accent1"/>
    </w:rPr>
  </w:style>
  <w:style w:type="character" w:styleId="BookTitle">
    <w:name w:val="Book Title"/>
    <w:uiPriority w:val="33"/>
    <w:qFormat/>
    <w:rsid w:val="00C6445D"/>
    <w:rPr>
      <w:b/>
      <w:bCs/>
      <w:i/>
      <w:iCs/>
      <w:spacing w:val="9"/>
    </w:rPr>
  </w:style>
  <w:style w:type="paragraph" w:styleId="TOCHeading">
    <w:name w:val="TOC Heading"/>
    <w:basedOn w:val="Heading1"/>
    <w:next w:val="Normal"/>
    <w:uiPriority w:val="39"/>
    <w:semiHidden/>
    <w:unhideWhenUsed/>
    <w:qFormat/>
    <w:rsid w:val="00C6445D"/>
    <w:pPr>
      <w:outlineLvl w:val="9"/>
    </w:pPr>
  </w:style>
  <w:style w:type="paragraph" w:styleId="FootnoteText">
    <w:name w:val="footnote text"/>
    <w:basedOn w:val="Normal"/>
    <w:link w:val="FootnoteTextChar"/>
    <w:uiPriority w:val="99"/>
    <w:unhideWhenUsed/>
    <w:rsid w:val="00BD4A8F"/>
    <w:pPr>
      <w:spacing w:before="0" w:after="0" w:line="240" w:lineRule="auto"/>
    </w:pPr>
  </w:style>
  <w:style w:type="character" w:customStyle="1" w:styleId="FootnoteTextChar">
    <w:name w:val="Footnote Text Char"/>
    <w:basedOn w:val="DefaultParagraphFont"/>
    <w:link w:val="FootnoteText"/>
    <w:uiPriority w:val="99"/>
    <w:rsid w:val="00BD4A8F"/>
    <w:rPr>
      <w:rFonts w:ascii="Book Antiqua" w:hAnsi="Book Antiqua"/>
      <w:sz w:val="20"/>
      <w:szCs w:val="20"/>
    </w:rPr>
  </w:style>
  <w:style w:type="character" w:styleId="FootnoteReference">
    <w:name w:val="footnote reference"/>
    <w:basedOn w:val="DefaultParagraphFont"/>
    <w:uiPriority w:val="99"/>
    <w:unhideWhenUsed/>
    <w:rsid w:val="00BD4A8F"/>
    <w:rPr>
      <w:vertAlign w:val="superscript"/>
    </w:rPr>
  </w:style>
  <w:style w:type="paragraph" w:styleId="BalloonText">
    <w:name w:val="Balloon Text"/>
    <w:basedOn w:val="Normal"/>
    <w:link w:val="BalloonTextChar"/>
    <w:uiPriority w:val="99"/>
    <w:semiHidden/>
    <w:unhideWhenUsed/>
    <w:rsid w:val="00C21EF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EFE"/>
    <w:rPr>
      <w:rFonts w:ascii="Times New Roman" w:hAnsi="Times New Roman" w:cs="Times New Roman"/>
      <w:sz w:val="18"/>
      <w:szCs w:val="18"/>
    </w:rPr>
  </w:style>
  <w:style w:type="character" w:customStyle="1" w:styleId="outputecliaff">
    <w:name w:val="outputecliaff"/>
    <w:basedOn w:val="DefaultParagraphFont"/>
    <w:rsid w:val="00EE7780"/>
  </w:style>
  <w:style w:type="character" w:customStyle="1" w:styleId="affairetitle">
    <w:name w:val="affaire_title"/>
    <w:basedOn w:val="DefaultParagraphFont"/>
    <w:rsid w:val="00EE7780"/>
  </w:style>
  <w:style w:type="character" w:customStyle="1" w:styleId="apple-converted-space">
    <w:name w:val="apple-converted-space"/>
    <w:basedOn w:val="DefaultParagraphFont"/>
    <w:rsid w:val="00B17D6A"/>
  </w:style>
  <w:style w:type="paragraph" w:styleId="NormalWeb">
    <w:name w:val="Normal (Web)"/>
    <w:basedOn w:val="Normal"/>
    <w:uiPriority w:val="99"/>
    <w:unhideWhenUsed/>
    <w:rsid w:val="00B17D6A"/>
    <w:pPr>
      <w:spacing w:before="100" w:beforeAutospacing="1" w:after="100" w:afterAutospacing="1"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EE605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6056"/>
    <w:rPr>
      <w:rFonts w:ascii="Book Antiqua" w:hAnsi="Book Antiqua"/>
      <w:sz w:val="24"/>
      <w:szCs w:val="20"/>
    </w:rPr>
  </w:style>
  <w:style w:type="character" w:styleId="PageNumber">
    <w:name w:val="page number"/>
    <w:basedOn w:val="DefaultParagraphFont"/>
    <w:uiPriority w:val="99"/>
    <w:semiHidden/>
    <w:unhideWhenUsed/>
    <w:rsid w:val="00EE6056"/>
  </w:style>
  <w:style w:type="paragraph" w:styleId="Header">
    <w:name w:val="header"/>
    <w:basedOn w:val="Normal"/>
    <w:link w:val="HeaderChar"/>
    <w:uiPriority w:val="99"/>
    <w:unhideWhenUsed/>
    <w:rsid w:val="004873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73FD"/>
    <w:rPr>
      <w:rFonts w:ascii="Book Antiqua" w:hAnsi="Book Antiqua"/>
      <w:sz w:val="24"/>
      <w:szCs w:val="20"/>
    </w:rPr>
  </w:style>
  <w:style w:type="character" w:customStyle="1" w:styleId="highlight">
    <w:name w:val="highlight"/>
    <w:basedOn w:val="DefaultParagraphFont"/>
    <w:rsid w:val="00BE0D0E"/>
  </w:style>
  <w:style w:type="paragraph" w:styleId="Revision">
    <w:name w:val="Revision"/>
    <w:hidden/>
    <w:uiPriority w:val="99"/>
    <w:semiHidden/>
    <w:rsid w:val="00CA5732"/>
    <w:pPr>
      <w:spacing w:before="0" w:after="0" w:line="240" w:lineRule="auto"/>
    </w:pPr>
    <w:rPr>
      <w:rFonts w:ascii="Book Antiqua"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7399">
      <w:bodyDiv w:val="1"/>
      <w:marLeft w:val="0"/>
      <w:marRight w:val="0"/>
      <w:marTop w:val="0"/>
      <w:marBottom w:val="0"/>
      <w:divBdr>
        <w:top w:val="none" w:sz="0" w:space="0" w:color="auto"/>
        <w:left w:val="none" w:sz="0" w:space="0" w:color="auto"/>
        <w:bottom w:val="none" w:sz="0" w:space="0" w:color="auto"/>
        <w:right w:val="none" w:sz="0" w:space="0" w:color="auto"/>
      </w:divBdr>
    </w:div>
    <w:div w:id="180435075">
      <w:bodyDiv w:val="1"/>
      <w:marLeft w:val="0"/>
      <w:marRight w:val="0"/>
      <w:marTop w:val="0"/>
      <w:marBottom w:val="0"/>
      <w:divBdr>
        <w:top w:val="none" w:sz="0" w:space="0" w:color="auto"/>
        <w:left w:val="none" w:sz="0" w:space="0" w:color="auto"/>
        <w:bottom w:val="none" w:sz="0" w:space="0" w:color="auto"/>
        <w:right w:val="none" w:sz="0" w:space="0" w:color="auto"/>
      </w:divBdr>
      <w:divsChild>
        <w:div w:id="557326879">
          <w:marLeft w:val="0"/>
          <w:marRight w:val="0"/>
          <w:marTop w:val="0"/>
          <w:marBottom w:val="0"/>
          <w:divBdr>
            <w:top w:val="none" w:sz="0" w:space="0" w:color="auto"/>
            <w:left w:val="none" w:sz="0" w:space="0" w:color="auto"/>
            <w:bottom w:val="none" w:sz="0" w:space="0" w:color="auto"/>
            <w:right w:val="none" w:sz="0" w:space="0" w:color="auto"/>
          </w:divBdr>
          <w:divsChild>
            <w:div w:id="486438668">
              <w:marLeft w:val="0"/>
              <w:marRight w:val="0"/>
              <w:marTop w:val="0"/>
              <w:marBottom w:val="0"/>
              <w:divBdr>
                <w:top w:val="none" w:sz="0" w:space="0" w:color="auto"/>
                <w:left w:val="none" w:sz="0" w:space="0" w:color="auto"/>
                <w:bottom w:val="none" w:sz="0" w:space="0" w:color="auto"/>
                <w:right w:val="none" w:sz="0" w:space="0" w:color="auto"/>
              </w:divBdr>
              <w:divsChild>
                <w:div w:id="16542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4819">
      <w:bodyDiv w:val="1"/>
      <w:marLeft w:val="0"/>
      <w:marRight w:val="0"/>
      <w:marTop w:val="0"/>
      <w:marBottom w:val="0"/>
      <w:divBdr>
        <w:top w:val="none" w:sz="0" w:space="0" w:color="auto"/>
        <w:left w:val="none" w:sz="0" w:space="0" w:color="auto"/>
        <w:bottom w:val="none" w:sz="0" w:space="0" w:color="auto"/>
        <w:right w:val="none" w:sz="0" w:space="0" w:color="auto"/>
      </w:divBdr>
    </w:div>
    <w:div w:id="221524157">
      <w:bodyDiv w:val="1"/>
      <w:marLeft w:val="0"/>
      <w:marRight w:val="0"/>
      <w:marTop w:val="0"/>
      <w:marBottom w:val="0"/>
      <w:divBdr>
        <w:top w:val="none" w:sz="0" w:space="0" w:color="auto"/>
        <w:left w:val="none" w:sz="0" w:space="0" w:color="auto"/>
        <w:bottom w:val="none" w:sz="0" w:space="0" w:color="auto"/>
        <w:right w:val="none" w:sz="0" w:space="0" w:color="auto"/>
      </w:divBdr>
    </w:div>
    <w:div w:id="368997893">
      <w:bodyDiv w:val="1"/>
      <w:marLeft w:val="0"/>
      <w:marRight w:val="0"/>
      <w:marTop w:val="0"/>
      <w:marBottom w:val="0"/>
      <w:divBdr>
        <w:top w:val="none" w:sz="0" w:space="0" w:color="auto"/>
        <w:left w:val="none" w:sz="0" w:space="0" w:color="auto"/>
        <w:bottom w:val="none" w:sz="0" w:space="0" w:color="auto"/>
        <w:right w:val="none" w:sz="0" w:space="0" w:color="auto"/>
      </w:divBdr>
      <w:divsChild>
        <w:div w:id="1548834492">
          <w:marLeft w:val="0"/>
          <w:marRight w:val="0"/>
          <w:marTop w:val="0"/>
          <w:marBottom w:val="0"/>
          <w:divBdr>
            <w:top w:val="none" w:sz="0" w:space="0" w:color="auto"/>
            <w:left w:val="none" w:sz="0" w:space="0" w:color="auto"/>
            <w:bottom w:val="none" w:sz="0" w:space="0" w:color="auto"/>
            <w:right w:val="none" w:sz="0" w:space="0" w:color="auto"/>
          </w:divBdr>
          <w:divsChild>
            <w:div w:id="509833156">
              <w:marLeft w:val="0"/>
              <w:marRight w:val="0"/>
              <w:marTop w:val="0"/>
              <w:marBottom w:val="0"/>
              <w:divBdr>
                <w:top w:val="none" w:sz="0" w:space="0" w:color="auto"/>
                <w:left w:val="none" w:sz="0" w:space="0" w:color="auto"/>
                <w:bottom w:val="none" w:sz="0" w:space="0" w:color="auto"/>
                <w:right w:val="none" w:sz="0" w:space="0" w:color="auto"/>
              </w:divBdr>
              <w:divsChild>
                <w:div w:id="18897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926">
      <w:bodyDiv w:val="1"/>
      <w:marLeft w:val="0"/>
      <w:marRight w:val="0"/>
      <w:marTop w:val="0"/>
      <w:marBottom w:val="0"/>
      <w:divBdr>
        <w:top w:val="none" w:sz="0" w:space="0" w:color="auto"/>
        <w:left w:val="none" w:sz="0" w:space="0" w:color="auto"/>
        <w:bottom w:val="none" w:sz="0" w:space="0" w:color="auto"/>
        <w:right w:val="none" w:sz="0" w:space="0" w:color="auto"/>
      </w:divBdr>
      <w:divsChild>
        <w:div w:id="1458910459">
          <w:marLeft w:val="0"/>
          <w:marRight w:val="0"/>
          <w:marTop w:val="0"/>
          <w:marBottom w:val="0"/>
          <w:divBdr>
            <w:top w:val="none" w:sz="0" w:space="0" w:color="auto"/>
            <w:left w:val="none" w:sz="0" w:space="0" w:color="auto"/>
            <w:bottom w:val="none" w:sz="0" w:space="0" w:color="auto"/>
            <w:right w:val="none" w:sz="0" w:space="0" w:color="auto"/>
          </w:divBdr>
          <w:divsChild>
            <w:div w:id="1662659225">
              <w:marLeft w:val="0"/>
              <w:marRight w:val="0"/>
              <w:marTop w:val="0"/>
              <w:marBottom w:val="0"/>
              <w:divBdr>
                <w:top w:val="none" w:sz="0" w:space="0" w:color="auto"/>
                <w:left w:val="none" w:sz="0" w:space="0" w:color="auto"/>
                <w:bottom w:val="none" w:sz="0" w:space="0" w:color="auto"/>
                <w:right w:val="none" w:sz="0" w:space="0" w:color="auto"/>
              </w:divBdr>
              <w:divsChild>
                <w:div w:id="1407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7285">
      <w:bodyDiv w:val="1"/>
      <w:marLeft w:val="0"/>
      <w:marRight w:val="0"/>
      <w:marTop w:val="0"/>
      <w:marBottom w:val="0"/>
      <w:divBdr>
        <w:top w:val="none" w:sz="0" w:space="0" w:color="auto"/>
        <w:left w:val="none" w:sz="0" w:space="0" w:color="auto"/>
        <w:bottom w:val="none" w:sz="0" w:space="0" w:color="auto"/>
        <w:right w:val="none" w:sz="0" w:space="0" w:color="auto"/>
      </w:divBdr>
    </w:div>
    <w:div w:id="560168711">
      <w:bodyDiv w:val="1"/>
      <w:marLeft w:val="0"/>
      <w:marRight w:val="0"/>
      <w:marTop w:val="0"/>
      <w:marBottom w:val="0"/>
      <w:divBdr>
        <w:top w:val="none" w:sz="0" w:space="0" w:color="auto"/>
        <w:left w:val="none" w:sz="0" w:space="0" w:color="auto"/>
        <w:bottom w:val="none" w:sz="0" w:space="0" w:color="auto"/>
        <w:right w:val="none" w:sz="0" w:space="0" w:color="auto"/>
      </w:divBdr>
      <w:divsChild>
        <w:div w:id="1015040029">
          <w:marLeft w:val="0"/>
          <w:marRight w:val="0"/>
          <w:marTop w:val="0"/>
          <w:marBottom w:val="0"/>
          <w:divBdr>
            <w:top w:val="none" w:sz="0" w:space="0" w:color="auto"/>
            <w:left w:val="none" w:sz="0" w:space="0" w:color="auto"/>
            <w:bottom w:val="none" w:sz="0" w:space="0" w:color="auto"/>
            <w:right w:val="none" w:sz="0" w:space="0" w:color="auto"/>
          </w:divBdr>
          <w:divsChild>
            <w:div w:id="363751790">
              <w:marLeft w:val="0"/>
              <w:marRight w:val="0"/>
              <w:marTop w:val="0"/>
              <w:marBottom w:val="0"/>
              <w:divBdr>
                <w:top w:val="none" w:sz="0" w:space="0" w:color="auto"/>
                <w:left w:val="none" w:sz="0" w:space="0" w:color="auto"/>
                <w:bottom w:val="none" w:sz="0" w:space="0" w:color="auto"/>
                <w:right w:val="none" w:sz="0" w:space="0" w:color="auto"/>
              </w:divBdr>
              <w:divsChild>
                <w:div w:id="1980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3157">
      <w:bodyDiv w:val="1"/>
      <w:marLeft w:val="0"/>
      <w:marRight w:val="0"/>
      <w:marTop w:val="0"/>
      <w:marBottom w:val="0"/>
      <w:divBdr>
        <w:top w:val="none" w:sz="0" w:space="0" w:color="auto"/>
        <w:left w:val="none" w:sz="0" w:space="0" w:color="auto"/>
        <w:bottom w:val="none" w:sz="0" w:space="0" w:color="auto"/>
        <w:right w:val="none" w:sz="0" w:space="0" w:color="auto"/>
      </w:divBdr>
      <w:divsChild>
        <w:div w:id="1048719675">
          <w:marLeft w:val="0"/>
          <w:marRight w:val="0"/>
          <w:marTop w:val="0"/>
          <w:marBottom w:val="0"/>
          <w:divBdr>
            <w:top w:val="none" w:sz="0" w:space="0" w:color="auto"/>
            <w:left w:val="none" w:sz="0" w:space="0" w:color="auto"/>
            <w:bottom w:val="none" w:sz="0" w:space="0" w:color="auto"/>
            <w:right w:val="none" w:sz="0" w:space="0" w:color="auto"/>
          </w:divBdr>
          <w:divsChild>
            <w:div w:id="1999571196">
              <w:marLeft w:val="0"/>
              <w:marRight w:val="0"/>
              <w:marTop w:val="0"/>
              <w:marBottom w:val="0"/>
              <w:divBdr>
                <w:top w:val="none" w:sz="0" w:space="0" w:color="auto"/>
                <w:left w:val="none" w:sz="0" w:space="0" w:color="auto"/>
                <w:bottom w:val="none" w:sz="0" w:space="0" w:color="auto"/>
                <w:right w:val="none" w:sz="0" w:space="0" w:color="auto"/>
              </w:divBdr>
              <w:divsChild>
                <w:div w:id="1649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5156">
      <w:bodyDiv w:val="1"/>
      <w:marLeft w:val="0"/>
      <w:marRight w:val="0"/>
      <w:marTop w:val="0"/>
      <w:marBottom w:val="0"/>
      <w:divBdr>
        <w:top w:val="none" w:sz="0" w:space="0" w:color="auto"/>
        <w:left w:val="none" w:sz="0" w:space="0" w:color="auto"/>
        <w:bottom w:val="none" w:sz="0" w:space="0" w:color="auto"/>
        <w:right w:val="none" w:sz="0" w:space="0" w:color="auto"/>
      </w:divBdr>
      <w:divsChild>
        <w:div w:id="473570274">
          <w:marLeft w:val="0"/>
          <w:marRight w:val="0"/>
          <w:marTop w:val="0"/>
          <w:marBottom w:val="0"/>
          <w:divBdr>
            <w:top w:val="none" w:sz="0" w:space="0" w:color="auto"/>
            <w:left w:val="none" w:sz="0" w:space="0" w:color="auto"/>
            <w:bottom w:val="none" w:sz="0" w:space="0" w:color="auto"/>
            <w:right w:val="none" w:sz="0" w:space="0" w:color="auto"/>
          </w:divBdr>
          <w:divsChild>
            <w:div w:id="1064523236">
              <w:marLeft w:val="0"/>
              <w:marRight w:val="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1135">
      <w:bodyDiv w:val="1"/>
      <w:marLeft w:val="0"/>
      <w:marRight w:val="0"/>
      <w:marTop w:val="0"/>
      <w:marBottom w:val="0"/>
      <w:divBdr>
        <w:top w:val="none" w:sz="0" w:space="0" w:color="auto"/>
        <w:left w:val="none" w:sz="0" w:space="0" w:color="auto"/>
        <w:bottom w:val="none" w:sz="0" w:space="0" w:color="auto"/>
        <w:right w:val="none" w:sz="0" w:space="0" w:color="auto"/>
      </w:divBdr>
      <w:divsChild>
        <w:div w:id="511455731">
          <w:marLeft w:val="0"/>
          <w:marRight w:val="0"/>
          <w:marTop w:val="0"/>
          <w:marBottom w:val="0"/>
          <w:divBdr>
            <w:top w:val="none" w:sz="0" w:space="0" w:color="auto"/>
            <w:left w:val="none" w:sz="0" w:space="0" w:color="auto"/>
            <w:bottom w:val="none" w:sz="0" w:space="0" w:color="auto"/>
            <w:right w:val="none" w:sz="0" w:space="0" w:color="auto"/>
          </w:divBdr>
          <w:divsChild>
            <w:div w:id="553851786">
              <w:marLeft w:val="0"/>
              <w:marRight w:val="0"/>
              <w:marTop w:val="0"/>
              <w:marBottom w:val="0"/>
              <w:divBdr>
                <w:top w:val="none" w:sz="0" w:space="0" w:color="auto"/>
                <w:left w:val="none" w:sz="0" w:space="0" w:color="auto"/>
                <w:bottom w:val="none" w:sz="0" w:space="0" w:color="auto"/>
                <w:right w:val="none" w:sz="0" w:space="0" w:color="auto"/>
              </w:divBdr>
              <w:divsChild>
                <w:div w:id="18337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3230">
      <w:bodyDiv w:val="1"/>
      <w:marLeft w:val="0"/>
      <w:marRight w:val="0"/>
      <w:marTop w:val="0"/>
      <w:marBottom w:val="0"/>
      <w:divBdr>
        <w:top w:val="none" w:sz="0" w:space="0" w:color="auto"/>
        <w:left w:val="none" w:sz="0" w:space="0" w:color="auto"/>
        <w:bottom w:val="none" w:sz="0" w:space="0" w:color="auto"/>
        <w:right w:val="none" w:sz="0" w:space="0" w:color="auto"/>
      </w:divBdr>
      <w:divsChild>
        <w:div w:id="1820799725">
          <w:marLeft w:val="0"/>
          <w:marRight w:val="0"/>
          <w:marTop w:val="0"/>
          <w:marBottom w:val="0"/>
          <w:divBdr>
            <w:top w:val="none" w:sz="0" w:space="0" w:color="auto"/>
            <w:left w:val="none" w:sz="0" w:space="0" w:color="auto"/>
            <w:bottom w:val="none" w:sz="0" w:space="0" w:color="auto"/>
            <w:right w:val="none" w:sz="0" w:space="0" w:color="auto"/>
          </w:divBdr>
          <w:divsChild>
            <w:div w:id="1592738990">
              <w:marLeft w:val="0"/>
              <w:marRight w:val="0"/>
              <w:marTop w:val="0"/>
              <w:marBottom w:val="0"/>
              <w:divBdr>
                <w:top w:val="none" w:sz="0" w:space="0" w:color="auto"/>
                <w:left w:val="none" w:sz="0" w:space="0" w:color="auto"/>
                <w:bottom w:val="none" w:sz="0" w:space="0" w:color="auto"/>
                <w:right w:val="none" w:sz="0" w:space="0" w:color="auto"/>
              </w:divBdr>
              <w:divsChild>
                <w:div w:id="10107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5039">
      <w:bodyDiv w:val="1"/>
      <w:marLeft w:val="0"/>
      <w:marRight w:val="0"/>
      <w:marTop w:val="0"/>
      <w:marBottom w:val="0"/>
      <w:divBdr>
        <w:top w:val="none" w:sz="0" w:space="0" w:color="auto"/>
        <w:left w:val="none" w:sz="0" w:space="0" w:color="auto"/>
        <w:bottom w:val="none" w:sz="0" w:space="0" w:color="auto"/>
        <w:right w:val="none" w:sz="0" w:space="0" w:color="auto"/>
      </w:divBdr>
      <w:divsChild>
        <w:div w:id="2134706465">
          <w:marLeft w:val="0"/>
          <w:marRight w:val="0"/>
          <w:marTop w:val="0"/>
          <w:marBottom w:val="0"/>
          <w:divBdr>
            <w:top w:val="none" w:sz="0" w:space="0" w:color="auto"/>
            <w:left w:val="none" w:sz="0" w:space="0" w:color="auto"/>
            <w:bottom w:val="none" w:sz="0" w:space="0" w:color="auto"/>
            <w:right w:val="none" w:sz="0" w:space="0" w:color="auto"/>
          </w:divBdr>
          <w:divsChild>
            <w:div w:id="608395754">
              <w:marLeft w:val="0"/>
              <w:marRight w:val="0"/>
              <w:marTop w:val="0"/>
              <w:marBottom w:val="0"/>
              <w:divBdr>
                <w:top w:val="none" w:sz="0" w:space="0" w:color="auto"/>
                <w:left w:val="none" w:sz="0" w:space="0" w:color="auto"/>
                <w:bottom w:val="none" w:sz="0" w:space="0" w:color="auto"/>
                <w:right w:val="none" w:sz="0" w:space="0" w:color="auto"/>
              </w:divBdr>
              <w:divsChild>
                <w:div w:id="14370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9502">
      <w:bodyDiv w:val="1"/>
      <w:marLeft w:val="0"/>
      <w:marRight w:val="0"/>
      <w:marTop w:val="0"/>
      <w:marBottom w:val="0"/>
      <w:divBdr>
        <w:top w:val="none" w:sz="0" w:space="0" w:color="auto"/>
        <w:left w:val="none" w:sz="0" w:space="0" w:color="auto"/>
        <w:bottom w:val="none" w:sz="0" w:space="0" w:color="auto"/>
        <w:right w:val="none" w:sz="0" w:space="0" w:color="auto"/>
      </w:divBdr>
    </w:div>
    <w:div w:id="1294560365">
      <w:bodyDiv w:val="1"/>
      <w:marLeft w:val="0"/>
      <w:marRight w:val="0"/>
      <w:marTop w:val="0"/>
      <w:marBottom w:val="0"/>
      <w:divBdr>
        <w:top w:val="none" w:sz="0" w:space="0" w:color="auto"/>
        <w:left w:val="none" w:sz="0" w:space="0" w:color="auto"/>
        <w:bottom w:val="none" w:sz="0" w:space="0" w:color="auto"/>
        <w:right w:val="none" w:sz="0" w:space="0" w:color="auto"/>
      </w:divBdr>
    </w:div>
    <w:div w:id="1306814105">
      <w:bodyDiv w:val="1"/>
      <w:marLeft w:val="0"/>
      <w:marRight w:val="0"/>
      <w:marTop w:val="0"/>
      <w:marBottom w:val="0"/>
      <w:divBdr>
        <w:top w:val="none" w:sz="0" w:space="0" w:color="auto"/>
        <w:left w:val="none" w:sz="0" w:space="0" w:color="auto"/>
        <w:bottom w:val="none" w:sz="0" w:space="0" w:color="auto"/>
        <w:right w:val="none" w:sz="0" w:space="0" w:color="auto"/>
      </w:divBdr>
      <w:divsChild>
        <w:div w:id="1079331380">
          <w:marLeft w:val="0"/>
          <w:marRight w:val="0"/>
          <w:marTop w:val="0"/>
          <w:marBottom w:val="0"/>
          <w:divBdr>
            <w:top w:val="none" w:sz="0" w:space="0" w:color="auto"/>
            <w:left w:val="none" w:sz="0" w:space="0" w:color="auto"/>
            <w:bottom w:val="none" w:sz="0" w:space="0" w:color="auto"/>
            <w:right w:val="none" w:sz="0" w:space="0" w:color="auto"/>
          </w:divBdr>
          <w:divsChild>
            <w:div w:id="825241221">
              <w:marLeft w:val="0"/>
              <w:marRight w:val="0"/>
              <w:marTop w:val="0"/>
              <w:marBottom w:val="0"/>
              <w:divBdr>
                <w:top w:val="none" w:sz="0" w:space="0" w:color="auto"/>
                <w:left w:val="none" w:sz="0" w:space="0" w:color="auto"/>
                <w:bottom w:val="none" w:sz="0" w:space="0" w:color="auto"/>
                <w:right w:val="none" w:sz="0" w:space="0" w:color="auto"/>
              </w:divBdr>
              <w:divsChild>
                <w:div w:id="1839034564">
                  <w:marLeft w:val="0"/>
                  <w:marRight w:val="0"/>
                  <w:marTop w:val="0"/>
                  <w:marBottom w:val="0"/>
                  <w:divBdr>
                    <w:top w:val="none" w:sz="0" w:space="0" w:color="auto"/>
                    <w:left w:val="none" w:sz="0" w:space="0" w:color="auto"/>
                    <w:bottom w:val="none" w:sz="0" w:space="0" w:color="auto"/>
                    <w:right w:val="none" w:sz="0" w:space="0" w:color="auto"/>
                  </w:divBdr>
                  <w:divsChild>
                    <w:div w:id="2485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889">
      <w:bodyDiv w:val="1"/>
      <w:marLeft w:val="0"/>
      <w:marRight w:val="0"/>
      <w:marTop w:val="0"/>
      <w:marBottom w:val="0"/>
      <w:divBdr>
        <w:top w:val="none" w:sz="0" w:space="0" w:color="auto"/>
        <w:left w:val="none" w:sz="0" w:space="0" w:color="auto"/>
        <w:bottom w:val="none" w:sz="0" w:space="0" w:color="auto"/>
        <w:right w:val="none" w:sz="0" w:space="0" w:color="auto"/>
      </w:divBdr>
    </w:div>
    <w:div w:id="1409502757">
      <w:bodyDiv w:val="1"/>
      <w:marLeft w:val="0"/>
      <w:marRight w:val="0"/>
      <w:marTop w:val="0"/>
      <w:marBottom w:val="0"/>
      <w:divBdr>
        <w:top w:val="none" w:sz="0" w:space="0" w:color="auto"/>
        <w:left w:val="none" w:sz="0" w:space="0" w:color="auto"/>
        <w:bottom w:val="none" w:sz="0" w:space="0" w:color="auto"/>
        <w:right w:val="none" w:sz="0" w:space="0" w:color="auto"/>
      </w:divBdr>
      <w:divsChild>
        <w:div w:id="583761537">
          <w:marLeft w:val="0"/>
          <w:marRight w:val="0"/>
          <w:marTop w:val="0"/>
          <w:marBottom w:val="0"/>
          <w:divBdr>
            <w:top w:val="none" w:sz="0" w:space="0" w:color="auto"/>
            <w:left w:val="none" w:sz="0" w:space="0" w:color="auto"/>
            <w:bottom w:val="none" w:sz="0" w:space="0" w:color="auto"/>
            <w:right w:val="none" w:sz="0" w:space="0" w:color="auto"/>
          </w:divBdr>
          <w:divsChild>
            <w:div w:id="115178312">
              <w:marLeft w:val="0"/>
              <w:marRight w:val="0"/>
              <w:marTop w:val="0"/>
              <w:marBottom w:val="0"/>
              <w:divBdr>
                <w:top w:val="none" w:sz="0" w:space="0" w:color="auto"/>
                <w:left w:val="none" w:sz="0" w:space="0" w:color="auto"/>
                <w:bottom w:val="none" w:sz="0" w:space="0" w:color="auto"/>
                <w:right w:val="none" w:sz="0" w:space="0" w:color="auto"/>
              </w:divBdr>
              <w:divsChild>
                <w:div w:id="3859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39524">
      <w:bodyDiv w:val="1"/>
      <w:marLeft w:val="0"/>
      <w:marRight w:val="0"/>
      <w:marTop w:val="0"/>
      <w:marBottom w:val="0"/>
      <w:divBdr>
        <w:top w:val="none" w:sz="0" w:space="0" w:color="auto"/>
        <w:left w:val="none" w:sz="0" w:space="0" w:color="auto"/>
        <w:bottom w:val="none" w:sz="0" w:space="0" w:color="auto"/>
        <w:right w:val="none" w:sz="0" w:space="0" w:color="auto"/>
      </w:divBdr>
      <w:divsChild>
        <w:div w:id="2060156789">
          <w:marLeft w:val="0"/>
          <w:marRight w:val="0"/>
          <w:marTop w:val="0"/>
          <w:marBottom w:val="0"/>
          <w:divBdr>
            <w:top w:val="none" w:sz="0" w:space="0" w:color="auto"/>
            <w:left w:val="none" w:sz="0" w:space="0" w:color="auto"/>
            <w:bottom w:val="none" w:sz="0" w:space="0" w:color="auto"/>
            <w:right w:val="none" w:sz="0" w:space="0" w:color="auto"/>
          </w:divBdr>
          <w:divsChild>
            <w:div w:id="1710689798">
              <w:marLeft w:val="0"/>
              <w:marRight w:val="0"/>
              <w:marTop w:val="0"/>
              <w:marBottom w:val="0"/>
              <w:divBdr>
                <w:top w:val="none" w:sz="0" w:space="0" w:color="auto"/>
                <w:left w:val="none" w:sz="0" w:space="0" w:color="auto"/>
                <w:bottom w:val="none" w:sz="0" w:space="0" w:color="auto"/>
                <w:right w:val="none" w:sz="0" w:space="0" w:color="auto"/>
              </w:divBdr>
              <w:divsChild>
                <w:div w:id="662709620">
                  <w:marLeft w:val="0"/>
                  <w:marRight w:val="0"/>
                  <w:marTop w:val="0"/>
                  <w:marBottom w:val="0"/>
                  <w:divBdr>
                    <w:top w:val="none" w:sz="0" w:space="0" w:color="auto"/>
                    <w:left w:val="none" w:sz="0" w:space="0" w:color="auto"/>
                    <w:bottom w:val="none" w:sz="0" w:space="0" w:color="auto"/>
                    <w:right w:val="none" w:sz="0" w:space="0" w:color="auto"/>
                  </w:divBdr>
                  <w:divsChild>
                    <w:div w:id="6309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43422">
      <w:bodyDiv w:val="1"/>
      <w:marLeft w:val="0"/>
      <w:marRight w:val="0"/>
      <w:marTop w:val="0"/>
      <w:marBottom w:val="0"/>
      <w:divBdr>
        <w:top w:val="none" w:sz="0" w:space="0" w:color="auto"/>
        <w:left w:val="none" w:sz="0" w:space="0" w:color="auto"/>
        <w:bottom w:val="none" w:sz="0" w:space="0" w:color="auto"/>
        <w:right w:val="none" w:sz="0" w:space="0" w:color="auto"/>
      </w:divBdr>
    </w:div>
    <w:div w:id="1493109222">
      <w:bodyDiv w:val="1"/>
      <w:marLeft w:val="0"/>
      <w:marRight w:val="0"/>
      <w:marTop w:val="0"/>
      <w:marBottom w:val="0"/>
      <w:divBdr>
        <w:top w:val="none" w:sz="0" w:space="0" w:color="auto"/>
        <w:left w:val="none" w:sz="0" w:space="0" w:color="auto"/>
        <w:bottom w:val="none" w:sz="0" w:space="0" w:color="auto"/>
        <w:right w:val="none" w:sz="0" w:space="0" w:color="auto"/>
      </w:divBdr>
    </w:div>
    <w:div w:id="1496143379">
      <w:bodyDiv w:val="1"/>
      <w:marLeft w:val="0"/>
      <w:marRight w:val="0"/>
      <w:marTop w:val="0"/>
      <w:marBottom w:val="0"/>
      <w:divBdr>
        <w:top w:val="none" w:sz="0" w:space="0" w:color="auto"/>
        <w:left w:val="none" w:sz="0" w:space="0" w:color="auto"/>
        <w:bottom w:val="none" w:sz="0" w:space="0" w:color="auto"/>
        <w:right w:val="none" w:sz="0" w:space="0" w:color="auto"/>
      </w:divBdr>
      <w:divsChild>
        <w:div w:id="1083070646">
          <w:marLeft w:val="0"/>
          <w:marRight w:val="0"/>
          <w:marTop w:val="0"/>
          <w:marBottom w:val="0"/>
          <w:divBdr>
            <w:top w:val="none" w:sz="0" w:space="0" w:color="auto"/>
            <w:left w:val="none" w:sz="0" w:space="0" w:color="auto"/>
            <w:bottom w:val="none" w:sz="0" w:space="0" w:color="auto"/>
            <w:right w:val="none" w:sz="0" w:space="0" w:color="auto"/>
          </w:divBdr>
          <w:divsChild>
            <w:div w:id="1332030886">
              <w:marLeft w:val="0"/>
              <w:marRight w:val="0"/>
              <w:marTop w:val="0"/>
              <w:marBottom w:val="0"/>
              <w:divBdr>
                <w:top w:val="none" w:sz="0" w:space="0" w:color="auto"/>
                <w:left w:val="none" w:sz="0" w:space="0" w:color="auto"/>
                <w:bottom w:val="none" w:sz="0" w:space="0" w:color="auto"/>
                <w:right w:val="none" w:sz="0" w:space="0" w:color="auto"/>
              </w:divBdr>
              <w:divsChild>
                <w:div w:id="19691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650">
      <w:bodyDiv w:val="1"/>
      <w:marLeft w:val="0"/>
      <w:marRight w:val="0"/>
      <w:marTop w:val="0"/>
      <w:marBottom w:val="0"/>
      <w:divBdr>
        <w:top w:val="none" w:sz="0" w:space="0" w:color="auto"/>
        <w:left w:val="none" w:sz="0" w:space="0" w:color="auto"/>
        <w:bottom w:val="none" w:sz="0" w:space="0" w:color="auto"/>
        <w:right w:val="none" w:sz="0" w:space="0" w:color="auto"/>
      </w:divBdr>
    </w:div>
    <w:div w:id="1657567926">
      <w:bodyDiv w:val="1"/>
      <w:marLeft w:val="0"/>
      <w:marRight w:val="0"/>
      <w:marTop w:val="0"/>
      <w:marBottom w:val="0"/>
      <w:divBdr>
        <w:top w:val="none" w:sz="0" w:space="0" w:color="auto"/>
        <w:left w:val="none" w:sz="0" w:space="0" w:color="auto"/>
        <w:bottom w:val="none" w:sz="0" w:space="0" w:color="auto"/>
        <w:right w:val="none" w:sz="0" w:space="0" w:color="auto"/>
      </w:divBdr>
      <w:divsChild>
        <w:div w:id="1061101940">
          <w:marLeft w:val="0"/>
          <w:marRight w:val="0"/>
          <w:marTop w:val="0"/>
          <w:marBottom w:val="0"/>
          <w:divBdr>
            <w:top w:val="none" w:sz="0" w:space="0" w:color="auto"/>
            <w:left w:val="none" w:sz="0" w:space="0" w:color="auto"/>
            <w:bottom w:val="none" w:sz="0" w:space="0" w:color="auto"/>
            <w:right w:val="none" w:sz="0" w:space="0" w:color="auto"/>
          </w:divBdr>
          <w:divsChild>
            <w:div w:id="891505374">
              <w:marLeft w:val="0"/>
              <w:marRight w:val="0"/>
              <w:marTop w:val="0"/>
              <w:marBottom w:val="0"/>
              <w:divBdr>
                <w:top w:val="none" w:sz="0" w:space="0" w:color="auto"/>
                <w:left w:val="none" w:sz="0" w:space="0" w:color="auto"/>
                <w:bottom w:val="none" w:sz="0" w:space="0" w:color="auto"/>
                <w:right w:val="none" w:sz="0" w:space="0" w:color="auto"/>
              </w:divBdr>
              <w:divsChild>
                <w:div w:id="414666699">
                  <w:marLeft w:val="0"/>
                  <w:marRight w:val="0"/>
                  <w:marTop w:val="0"/>
                  <w:marBottom w:val="0"/>
                  <w:divBdr>
                    <w:top w:val="none" w:sz="0" w:space="0" w:color="auto"/>
                    <w:left w:val="none" w:sz="0" w:space="0" w:color="auto"/>
                    <w:bottom w:val="none" w:sz="0" w:space="0" w:color="auto"/>
                    <w:right w:val="none" w:sz="0" w:space="0" w:color="auto"/>
                  </w:divBdr>
                  <w:divsChild>
                    <w:div w:id="9842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6434">
      <w:bodyDiv w:val="1"/>
      <w:marLeft w:val="0"/>
      <w:marRight w:val="0"/>
      <w:marTop w:val="0"/>
      <w:marBottom w:val="0"/>
      <w:divBdr>
        <w:top w:val="none" w:sz="0" w:space="0" w:color="auto"/>
        <w:left w:val="none" w:sz="0" w:space="0" w:color="auto"/>
        <w:bottom w:val="none" w:sz="0" w:space="0" w:color="auto"/>
        <w:right w:val="none" w:sz="0" w:space="0" w:color="auto"/>
      </w:divBdr>
    </w:div>
    <w:div w:id="1667904653">
      <w:bodyDiv w:val="1"/>
      <w:marLeft w:val="0"/>
      <w:marRight w:val="0"/>
      <w:marTop w:val="0"/>
      <w:marBottom w:val="0"/>
      <w:divBdr>
        <w:top w:val="none" w:sz="0" w:space="0" w:color="auto"/>
        <w:left w:val="none" w:sz="0" w:space="0" w:color="auto"/>
        <w:bottom w:val="none" w:sz="0" w:space="0" w:color="auto"/>
        <w:right w:val="none" w:sz="0" w:space="0" w:color="auto"/>
      </w:divBdr>
      <w:divsChild>
        <w:div w:id="394667010">
          <w:marLeft w:val="0"/>
          <w:marRight w:val="0"/>
          <w:marTop w:val="0"/>
          <w:marBottom w:val="0"/>
          <w:divBdr>
            <w:top w:val="none" w:sz="0" w:space="0" w:color="auto"/>
            <w:left w:val="none" w:sz="0" w:space="0" w:color="auto"/>
            <w:bottom w:val="none" w:sz="0" w:space="0" w:color="auto"/>
            <w:right w:val="none" w:sz="0" w:space="0" w:color="auto"/>
          </w:divBdr>
          <w:divsChild>
            <w:div w:id="1028677766">
              <w:marLeft w:val="0"/>
              <w:marRight w:val="0"/>
              <w:marTop w:val="0"/>
              <w:marBottom w:val="0"/>
              <w:divBdr>
                <w:top w:val="none" w:sz="0" w:space="0" w:color="auto"/>
                <w:left w:val="none" w:sz="0" w:space="0" w:color="auto"/>
                <w:bottom w:val="none" w:sz="0" w:space="0" w:color="auto"/>
                <w:right w:val="none" w:sz="0" w:space="0" w:color="auto"/>
              </w:divBdr>
              <w:divsChild>
                <w:div w:id="2132018254">
                  <w:marLeft w:val="0"/>
                  <w:marRight w:val="0"/>
                  <w:marTop w:val="0"/>
                  <w:marBottom w:val="0"/>
                  <w:divBdr>
                    <w:top w:val="none" w:sz="0" w:space="0" w:color="auto"/>
                    <w:left w:val="none" w:sz="0" w:space="0" w:color="auto"/>
                    <w:bottom w:val="none" w:sz="0" w:space="0" w:color="auto"/>
                    <w:right w:val="none" w:sz="0" w:space="0" w:color="auto"/>
                  </w:divBdr>
                  <w:divsChild>
                    <w:div w:id="19654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9382">
      <w:bodyDiv w:val="1"/>
      <w:marLeft w:val="0"/>
      <w:marRight w:val="0"/>
      <w:marTop w:val="0"/>
      <w:marBottom w:val="0"/>
      <w:divBdr>
        <w:top w:val="none" w:sz="0" w:space="0" w:color="auto"/>
        <w:left w:val="none" w:sz="0" w:space="0" w:color="auto"/>
        <w:bottom w:val="none" w:sz="0" w:space="0" w:color="auto"/>
        <w:right w:val="none" w:sz="0" w:space="0" w:color="auto"/>
      </w:divBdr>
    </w:div>
    <w:div w:id="1773237794">
      <w:bodyDiv w:val="1"/>
      <w:marLeft w:val="0"/>
      <w:marRight w:val="0"/>
      <w:marTop w:val="0"/>
      <w:marBottom w:val="0"/>
      <w:divBdr>
        <w:top w:val="none" w:sz="0" w:space="0" w:color="auto"/>
        <w:left w:val="none" w:sz="0" w:space="0" w:color="auto"/>
        <w:bottom w:val="none" w:sz="0" w:space="0" w:color="auto"/>
        <w:right w:val="none" w:sz="0" w:space="0" w:color="auto"/>
      </w:divBdr>
    </w:div>
    <w:div w:id="1804076999">
      <w:bodyDiv w:val="1"/>
      <w:marLeft w:val="0"/>
      <w:marRight w:val="0"/>
      <w:marTop w:val="0"/>
      <w:marBottom w:val="0"/>
      <w:divBdr>
        <w:top w:val="none" w:sz="0" w:space="0" w:color="auto"/>
        <w:left w:val="none" w:sz="0" w:space="0" w:color="auto"/>
        <w:bottom w:val="none" w:sz="0" w:space="0" w:color="auto"/>
        <w:right w:val="none" w:sz="0" w:space="0" w:color="auto"/>
      </w:divBdr>
    </w:div>
    <w:div w:id="1873764369">
      <w:bodyDiv w:val="1"/>
      <w:marLeft w:val="0"/>
      <w:marRight w:val="0"/>
      <w:marTop w:val="0"/>
      <w:marBottom w:val="0"/>
      <w:divBdr>
        <w:top w:val="none" w:sz="0" w:space="0" w:color="auto"/>
        <w:left w:val="none" w:sz="0" w:space="0" w:color="auto"/>
        <w:bottom w:val="none" w:sz="0" w:space="0" w:color="auto"/>
        <w:right w:val="none" w:sz="0" w:space="0" w:color="auto"/>
      </w:divBdr>
    </w:div>
    <w:div w:id="1880319713">
      <w:bodyDiv w:val="1"/>
      <w:marLeft w:val="0"/>
      <w:marRight w:val="0"/>
      <w:marTop w:val="0"/>
      <w:marBottom w:val="0"/>
      <w:divBdr>
        <w:top w:val="none" w:sz="0" w:space="0" w:color="auto"/>
        <w:left w:val="none" w:sz="0" w:space="0" w:color="auto"/>
        <w:bottom w:val="none" w:sz="0" w:space="0" w:color="auto"/>
        <w:right w:val="none" w:sz="0" w:space="0" w:color="auto"/>
      </w:divBdr>
    </w:div>
    <w:div w:id="1885410506">
      <w:bodyDiv w:val="1"/>
      <w:marLeft w:val="0"/>
      <w:marRight w:val="0"/>
      <w:marTop w:val="0"/>
      <w:marBottom w:val="0"/>
      <w:divBdr>
        <w:top w:val="none" w:sz="0" w:space="0" w:color="auto"/>
        <w:left w:val="none" w:sz="0" w:space="0" w:color="auto"/>
        <w:bottom w:val="none" w:sz="0" w:space="0" w:color="auto"/>
        <w:right w:val="none" w:sz="0" w:space="0" w:color="auto"/>
      </w:divBdr>
      <w:divsChild>
        <w:div w:id="1325665047">
          <w:marLeft w:val="0"/>
          <w:marRight w:val="0"/>
          <w:marTop w:val="0"/>
          <w:marBottom w:val="0"/>
          <w:divBdr>
            <w:top w:val="none" w:sz="0" w:space="0" w:color="auto"/>
            <w:left w:val="none" w:sz="0" w:space="0" w:color="auto"/>
            <w:bottom w:val="none" w:sz="0" w:space="0" w:color="auto"/>
            <w:right w:val="none" w:sz="0" w:space="0" w:color="auto"/>
          </w:divBdr>
          <w:divsChild>
            <w:div w:id="1863008332">
              <w:marLeft w:val="0"/>
              <w:marRight w:val="0"/>
              <w:marTop w:val="0"/>
              <w:marBottom w:val="0"/>
              <w:divBdr>
                <w:top w:val="none" w:sz="0" w:space="0" w:color="auto"/>
                <w:left w:val="none" w:sz="0" w:space="0" w:color="auto"/>
                <w:bottom w:val="none" w:sz="0" w:space="0" w:color="auto"/>
                <w:right w:val="none" w:sz="0" w:space="0" w:color="auto"/>
              </w:divBdr>
              <w:divsChild>
                <w:div w:id="864639649">
                  <w:marLeft w:val="0"/>
                  <w:marRight w:val="0"/>
                  <w:marTop w:val="0"/>
                  <w:marBottom w:val="0"/>
                  <w:divBdr>
                    <w:top w:val="none" w:sz="0" w:space="0" w:color="auto"/>
                    <w:left w:val="none" w:sz="0" w:space="0" w:color="auto"/>
                    <w:bottom w:val="none" w:sz="0" w:space="0" w:color="auto"/>
                    <w:right w:val="none" w:sz="0" w:space="0" w:color="auto"/>
                  </w:divBdr>
                  <w:divsChild>
                    <w:div w:id="11318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5487">
      <w:bodyDiv w:val="1"/>
      <w:marLeft w:val="0"/>
      <w:marRight w:val="0"/>
      <w:marTop w:val="0"/>
      <w:marBottom w:val="0"/>
      <w:divBdr>
        <w:top w:val="none" w:sz="0" w:space="0" w:color="auto"/>
        <w:left w:val="none" w:sz="0" w:space="0" w:color="auto"/>
        <w:bottom w:val="none" w:sz="0" w:space="0" w:color="auto"/>
        <w:right w:val="none" w:sz="0" w:space="0" w:color="auto"/>
      </w:divBdr>
      <w:divsChild>
        <w:div w:id="2012442611">
          <w:marLeft w:val="0"/>
          <w:marRight w:val="0"/>
          <w:marTop w:val="0"/>
          <w:marBottom w:val="0"/>
          <w:divBdr>
            <w:top w:val="none" w:sz="0" w:space="0" w:color="auto"/>
            <w:left w:val="none" w:sz="0" w:space="0" w:color="auto"/>
            <w:bottom w:val="none" w:sz="0" w:space="0" w:color="auto"/>
            <w:right w:val="none" w:sz="0" w:space="0" w:color="auto"/>
          </w:divBdr>
          <w:divsChild>
            <w:div w:id="319357298">
              <w:marLeft w:val="0"/>
              <w:marRight w:val="0"/>
              <w:marTop w:val="0"/>
              <w:marBottom w:val="0"/>
              <w:divBdr>
                <w:top w:val="none" w:sz="0" w:space="0" w:color="auto"/>
                <w:left w:val="none" w:sz="0" w:space="0" w:color="auto"/>
                <w:bottom w:val="none" w:sz="0" w:space="0" w:color="auto"/>
                <w:right w:val="none" w:sz="0" w:space="0" w:color="auto"/>
              </w:divBdr>
              <w:divsChild>
                <w:div w:id="3400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8511">
      <w:bodyDiv w:val="1"/>
      <w:marLeft w:val="0"/>
      <w:marRight w:val="0"/>
      <w:marTop w:val="0"/>
      <w:marBottom w:val="0"/>
      <w:divBdr>
        <w:top w:val="none" w:sz="0" w:space="0" w:color="auto"/>
        <w:left w:val="none" w:sz="0" w:space="0" w:color="auto"/>
        <w:bottom w:val="none" w:sz="0" w:space="0" w:color="auto"/>
        <w:right w:val="none" w:sz="0" w:space="0" w:color="auto"/>
      </w:divBdr>
      <w:divsChild>
        <w:div w:id="891229952">
          <w:marLeft w:val="0"/>
          <w:marRight w:val="0"/>
          <w:marTop w:val="0"/>
          <w:marBottom w:val="0"/>
          <w:divBdr>
            <w:top w:val="none" w:sz="0" w:space="0" w:color="auto"/>
            <w:left w:val="none" w:sz="0" w:space="0" w:color="auto"/>
            <w:bottom w:val="none" w:sz="0" w:space="0" w:color="auto"/>
            <w:right w:val="none" w:sz="0" w:space="0" w:color="auto"/>
          </w:divBdr>
          <w:divsChild>
            <w:div w:id="586765733">
              <w:marLeft w:val="0"/>
              <w:marRight w:val="0"/>
              <w:marTop w:val="0"/>
              <w:marBottom w:val="0"/>
              <w:divBdr>
                <w:top w:val="none" w:sz="0" w:space="0" w:color="auto"/>
                <w:left w:val="none" w:sz="0" w:space="0" w:color="auto"/>
                <w:bottom w:val="none" w:sz="0" w:space="0" w:color="auto"/>
                <w:right w:val="none" w:sz="0" w:space="0" w:color="auto"/>
              </w:divBdr>
              <w:divsChild>
                <w:div w:id="7141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8976">
      <w:bodyDiv w:val="1"/>
      <w:marLeft w:val="0"/>
      <w:marRight w:val="0"/>
      <w:marTop w:val="0"/>
      <w:marBottom w:val="0"/>
      <w:divBdr>
        <w:top w:val="none" w:sz="0" w:space="0" w:color="auto"/>
        <w:left w:val="none" w:sz="0" w:space="0" w:color="auto"/>
        <w:bottom w:val="none" w:sz="0" w:space="0" w:color="auto"/>
        <w:right w:val="none" w:sz="0" w:space="0" w:color="auto"/>
      </w:divBdr>
      <w:divsChild>
        <w:div w:id="625737821">
          <w:marLeft w:val="0"/>
          <w:marRight w:val="0"/>
          <w:marTop w:val="0"/>
          <w:marBottom w:val="0"/>
          <w:divBdr>
            <w:top w:val="none" w:sz="0" w:space="0" w:color="auto"/>
            <w:left w:val="none" w:sz="0" w:space="0" w:color="auto"/>
            <w:bottom w:val="none" w:sz="0" w:space="0" w:color="auto"/>
            <w:right w:val="none" w:sz="0" w:space="0" w:color="auto"/>
          </w:divBdr>
          <w:divsChild>
            <w:div w:id="1781298182">
              <w:marLeft w:val="0"/>
              <w:marRight w:val="0"/>
              <w:marTop w:val="0"/>
              <w:marBottom w:val="0"/>
              <w:divBdr>
                <w:top w:val="none" w:sz="0" w:space="0" w:color="auto"/>
                <w:left w:val="none" w:sz="0" w:space="0" w:color="auto"/>
                <w:bottom w:val="none" w:sz="0" w:space="0" w:color="auto"/>
                <w:right w:val="none" w:sz="0" w:space="0" w:color="auto"/>
              </w:divBdr>
              <w:divsChild>
                <w:div w:id="4960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4260">
      <w:bodyDiv w:val="1"/>
      <w:marLeft w:val="0"/>
      <w:marRight w:val="0"/>
      <w:marTop w:val="0"/>
      <w:marBottom w:val="0"/>
      <w:divBdr>
        <w:top w:val="none" w:sz="0" w:space="0" w:color="auto"/>
        <w:left w:val="none" w:sz="0" w:space="0" w:color="auto"/>
        <w:bottom w:val="none" w:sz="0" w:space="0" w:color="auto"/>
        <w:right w:val="none" w:sz="0" w:space="0" w:color="auto"/>
      </w:divBdr>
      <w:divsChild>
        <w:div w:id="516045554">
          <w:marLeft w:val="0"/>
          <w:marRight w:val="0"/>
          <w:marTop w:val="0"/>
          <w:marBottom w:val="0"/>
          <w:divBdr>
            <w:top w:val="none" w:sz="0" w:space="0" w:color="auto"/>
            <w:left w:val="none" w:sz="0" w:space="0" w:color="auto"/>
            <w:bottom w:val="none" w:sz="0" w:space="0" w:color="auto"/>
            <w:right w:val="none" w:sz="0" w:space="0" w:color="auto"/>
          </w:divBdr>
          <w:divsChild>
            <w:div w:id="1621230616">
              <w:marLeft w:val="0"/>
              <w:marRight w:val="0"/>
              <w:marTop w:val="0"/>
              <w:marBottom w:val="0"/>
              <w:divBdr>
                <w:top w:val="none" w:sz="0" w:space="0" w:color="auto"/>
                <w:left w:val="none" w:sz="0" w:space="0" w:color="auto"/>
                <w:bottom w:val="none" w:sz="0" w:space="0" w:color="auto"/>
                <w:right w:val="none" w:sz="0" w:space="0" w:color="auto"/>
              </w:divBdr>
              <w:divsChild>
                <w:div w:id="1415935060">
                  <w:marLeft w:val="0"/>
                  <w:marRight w:val="0"/>
                  <w:marTop w:val="0"/>
                  <w:marBottom w:val="0"/>
                  <w:divBdr>
                    <w:top w:val="none" w:sz="0" w:space="0" w:color="auto"/>
                    <w:left w:val="none" w:sz="0" w:space="0" w:color="auto"/>
                    <w:bottom w:val="none" w:sz="0" w:space="0" w:color="auto"/>
                    <w:right w:val="none" w:sz="0" w:space="0" w:color="auto"/>
                  </w:divBdr>
                  <w:divsChild>
                    <w:div w:id="2873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39C3-E454-4143-9C6E-29B7C478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30</Pages>
  <Words>9061</Words>
  <Characters>51654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Woodhouse, Andrew</dc:creator>
  <cp:keywords/>
  <dc:description/>
  <cp:lastModifiedBy>Woodhouse, Andrew</cp:lastModifiedBy>
  <cp:revision>228</cp:revision>
  <cp:lastPrinted>2019-10-10T13:47:00Z</cp:lastPrinted>
  <dcterms:created xsi:type="dcterms:W3CDTF">2019-10-08T12:32:00Z</dcterms:created>
  <dcterms:modified xsi:type="dcterms:W3CDTF">2019-10-10T17:26:00Z</dcterms:modified>
</cp:coreProperties>
</file>