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BFE2466" w14:textId="77777777" w:rsidR="000E7D62" w:rsidRPr="004D6881" w:rsidRDefault="000E7D62">
      <w:pPr>
        <w:rPr>
          <w:b/>
          <w:sz w:val="28"/>
        </w:rPr>
      </w:pPr>
    </w:p>
    <w:p w14:paraId="7ADC80FA" w14:textId="01E83C79" w:rsidR="00504046" w:rsidRPr="004D6881" w:rsidRDefault="00504046" w:rsidP="00AC223B">
      <w:pPr>
        <w:rPr>
          <w:b/>
          <w:sz w:val="28"/>
        </w:rPr>
      </w:pPr>
      <w:r w:rsidRPr="004D6881">
        <w:rPr>
          <w:b/>
          <w:sz w:val="28"/>
        </w:rPr>
        <w:t xml:space="preserve">The importance of chain context in assessing small nucleotide variants in titin: </w:t>
      </w:r>
      <w:r w:rsidRPr="0023404A">
        <w:rPr>
          <w:b/>
          <w:i/>
          <w:sz w:val="28"/>
        </w:rPr>
        <w:t>in silico</w:t>
      </w:r>
      <w:r w:rsidRPr="004D6881">
        <w:rPr>
          <w:b/>
          <w:sz w:val="28"/>
        </w:rPr>
        <w:t xml:space="preserve"> case study of the I10-I11 tandem and </w:t>
      </w:r>
      <w:r w:rsidR="008457AB" w:rsidRPr="004D6881">
        <w:rPr>
          <w:b/>
          <w:sz w:val="28"/>
        </w:rPr>
        <w:t xml:space="preserve">its </w:t>
      </w:r>
      <w:r w:rsidRPr="004D6881">
        <w:rPr>
          <w:b/>
          <w:sz w:val="28"/>
        </w:rPr>
        <w:t>arrhythmic right ventricular cardiomyopathy linked position T2580.</w:t>
      </w:r>
    </w:p>
    <w:p w14:paraId="66A53314" w14:textId="662978B7" w:rsidR="002E2457" w:rsidRPr="004D6881" w:rsidRDefault="002E2457" w:rsidP="00BA3788">
      <w:pPr>
        <w:pBdr>
          <w:top w:val="nil"/>
          <w:left w:val="nil"/>
          <w:bottom w:val="nil"/>
          <w:right w:val="nil"/>
          <w:between w:val="nil"/>
        </w:pBdr>
        <w:spacing w:line="360" w:lineRule="auto"/>
        <w:jc w:val="both"/>
        <w:rPr>
          <w:vertAlign w:val="superscript"/>
        </w:rPr>
      </w:pPr>
      <w:r w:rsidRPr="004D6881">
        <w:br/>
        <w:t>Fleming JR</w:t>
      </w:r>
      <w:r w:rsidRPr="004D6881">
        <w:rPr>
          <w:vertAlign w:val="superscript"/>
        </w:rPr>
        <w:t>1</w:t>
      </w:r>
      <w:r w:rsidR="00396879" w:rsidRPr="004D6881">
        <w:rPr>
          <w:vertAlign w:val="superscript"/>
        </w:rPr>
        <w:t>*</w:t>
      </w:r>
      <w:r w:rsidRPr="004D6881">
        <w:t xml:space="preserve">, </w:t>
      </w:r>
      <w:proofErr w:type="spellStart"/>
      <w:r w:rsidRPr="004D6881">
        <w:t>Rigden</w:t>
      </w:r>
      <w:proofErr w:type="spellEnd"/>
      <w:r w:rsidRPr="004D6881">
        <w:t xml:space="preserve"> D</w:t>
      </w:r>
      <w:r w:rsidR="008607C1">
        <w:t>J</w:t>
      </w:r>
      <w:r w:rsidRPr="004D6881">
        <w:rPr>
          <w:vertAlign w:val="superscript"/>
        </w:rPr>
        <w:t>2</w:t>
      </w:r>
      <w:r w:rsidRPr="004D6881">
        <w:t>, and Mayans O</w:t>
      </w:r>
      <w:r w:rsidRPr="004D6881">
        <w:rPr>
          <w:vertAlign w:val="superscript"/>
        </w:rPr>
        <w:t>1</w:t>
      </w:r>
    </w:p>
    <w:p w14:paraId="4D961537" w14:textId="0E6F94F3" w:rsidR="00C65E84" w:rsidRPr="004D6881" w:rsidRDefault="00C65E84" w:rsidP="00BA3788">
      <w:pPr>
        <w:pBdr>
          <w:top w:val="nil"/>
          <w:left w:val="nil"/>
          <w:bottom w:val="nil"/>
          <w:right w:val="nil"/>
          <w:between w:val="nil"/>
        </w:pBdr>
        <w:spacing w:line="360" w:lineRule="auto"/>
        <w:jc w:val="both"/>
      </w:pPr>
      <w:r w:rsidRPr="004D6881">
        <w:t>*corresponding author Jennifer.fleming@uni.kn</w:t>
      </w:r>
    </w:p>
    <w:p w14:paraId="46BF5E4E" w14:textId="77777777" w:rsidR="002E2457" w:rsidRPr="004D6881" w:rsidRDefault="002E2457" w:rsidP="00BA3788">
      <w:pPr>
        <w:pBdr>
          <w:top w:val="nil"/>
          <w:left w:val="nil"/>
          <w:bottom w:val="nil"/>
          <w:right w:val="nil"/>
          <w:between w:val="nil"/>
        </w:pBdr>
        <w:spacing w:line="360" w:lineRule="auto"/>
        <w:jc w:val="both"/>
      </w:pPr>
      <w:r w:rsidRPr="004D6881">
        <w:rPr>
          <w:vertAlign w:val="superscript"/>
        </w:rPr>
        <w:t>1</w:t>
      </w:r>
      <w:r w:rsidRPr="004D6881">
        <w:t>Department of Biology, University of Konstanz, 78457 Konstanz, Germany.</w:t>
      </w:r>
    </w:p>
    <w:p w14:paraId="66DD482A" w14:textId="73D1840C" w:rsidR="002E2457" w:rsidRPr="004D6881" w:rsidRDefault="002E2457" w:rsidP="00844547">
      <w:pPr>
        <w:spacing w:line="360" w:lineRule="auto"/>
      </w:pPr>
      <w:r w:rsidRPr="004D6881">
        <w:rPr>
          <w:vertAlign w:val="superscript"/>
        </w:rPr>
        <w:t>2</w:t>
      </w:r>
      <w:r w:rsidRPr="004D6881">
        <w:t>Institute of Integrative Biology, University of Liverpool, Crown Street, Liverpool, L69 7ZB, UK</w:t>
      </w:r>
      <w:r w:rsidRPr="004D6881">
        <w:br/>
      </w:r>
    </w:p>
    <w:p w14:paraId="3E38EC8B" w14:textId="455EBD39" w:rsidR="00504046" w:rsidRPr="004D6881" w:rsidRDefault="002E2457" w:rsidP="00BA3788">
      <w:pPr>
        <w:pBdr>
          <w:top w:val="nil"/>
          <w:left w:val="nil"/>
          <w:bottom w:val="nil"/>
          <w:right w:val="nil"/>
          <w:between w:val="nil"/>
        </w:pBdr>
        <w:spacing w:line="360" w:lineRule="auto"/>
        <w:jc w:val="both"/>
        <w:rPr>
          <w:color w:val="333333"/>
        </w:rPr>
      </w:pPr>
      <w:r w:rsidRPr="004D6881">
        <w:rPr>
          <w:b/>
          <w:color w:val="333333"/>
        </w:rPr>
        <w:t>keywords</w:t>
      </w:r>
      <w:r w:rsidR="0095434F" w:rsidRPr="004D6881">
        <w:rPr>
          <w:b/>
          <w:color w:val="333333"/>
        </w:rPr>
        <w:t>:</w:t>
      </w:r>
      <w:r w:rsidR="0095434F" w:rsidRPr="004D6881">
        <w:rPr>
          <w:color w:val="333333"/>
        </w:rPr>
        <w:t xml:space="preserve"> titin, molecular dynamics</w:t>
      </w:r>
      <w:r w:rsidR="008457AB" w:rsidRPr="004D6881">
        <w:rPr>
          <w:color w:val="333333"/>
        </w:rPr>
        <w:t xml:space="preserve"> simulations</w:t>
      </w:r>
      <w:r w:rsidR="0095434F" w:rsidRPr="004D6881">
        <w:rPr>
          <w:color w:val="333333"/>
        </w:rPr>
        <w:t>, SNV,</w:t>
      </w:r>
      <w:r w:rsidR="00504046" w:rsidRPr="004D6881">
        <w:rPr>
          <w:color w:val="333333"/>
        </w:rPr>
        <w:t xml:space="preserve"> </w:t>
      </w:r>
      <w:r w:rsidR="008457AB" w:rsidRPr="004D6881">
        <w:rPr>
          <w:color w:val="333333"/>
        </w:rPr>
        <w:t xml:space="preserve">protein </w:t>
      </w:r>
      <w:r w:rsidR="0095434F" w:rsidRPr="004D6881">
        <w:rPr>
          <w:color w:val="333333"/>
        </w:rPr>
        <w:t xml:space="preserve">stability, </w:t>
      </w:r>
      <w:r w:rsidR="008457AB" w:rsidRPr="004D6881">
        <w:t>a</w:t>
      </w:r>
      <w:r w:rsidR="00504046" w:rsidRPr="004D6881">
        <w:t>rrhythmogenic right ventricular cardiomyopathy</w:t>
      </w:r>
    </w:p>
    <w:p w14:paraId="251F351E" w14:textId="77777777" w:rsidR="00114206" w:rsidRPr="004D6881" w:rsidRDefault="00114206" w:rsidP="00BA3788">
      <w:pPr>
        <w:pBdr>
          <w:top w:val="nil"/>
          <w:left w:val="nil"/>
          <w:bottom w:val="nil"/>
          <w:right w:val="nil"/>
          <w:between w:val="nil"/>
        </w:pBdr>
        <w:spacing w:line="360" w:lineRule="auto"/>
        <w:jc w:val="both"/>
        <w:rPr>
          <w:color w:val="333333"/>
        </w:rPr>
      </w:pPr>
    </w:p>
    <w:p w14:paraId="310D1759" w14:textId="777DD500" w:rsidR="002E2457" w:rsidRPr="004D6881" w:rsidRDefault="002E2457" w:rsidP="00BA3788">
      <w:pPr>
        <w:spacing w:line="360" w:lineRule="auto"/>
        <w:rPr>
          <w:color w:val="333333"/>
        </w:rPr>
      </w:pPr>
      <w:r w:rsidRPr="004D6881">
        <w:rPr>
          <w:b/>
          <w:color w:val="333333"/>
        </w:rPr>
        <w:t xml:space="preserve">list of </w:t>
      </w:r>
      <w:r w:rsidRPr="00AC223B">
        <w:rPr>
          <w:b/>
          <w:color w:val="333333"/>
        </w:rPr>
        <w:t>abbreviations</w:t>
      </w:r>
      <w:r w:rsidR="007A762D" w:rsidRPr="00AC223B">
        <w:rPr>
          <w:color w:val="333333"/>
        </w:rPr>
        <w:t xml:space="preserve">: </w:t>
      </w:r>
      <w:r w:rsidR="00013C1A" w:rsidRPr="00AC223B">
        <w:rPr>
          <w:color w:val="333333"/>
        </w:rPr>
        <w:t xml:space="preserve">ARVC, </w:t>
      </w:r>
      <w:r w:rsidR="00013C1A" w:rsidRPr="00AC223B">
        <w:t xml:space="preserve">arrhythmogenic right ventricular cardiomyopathy; </w:t>
      </w:r>
      <w:r w:rsidR="003A5C4D" w:rsidRPr="00AC223B">
        <w:t xml:space="preserve">DIS, Domain Interface Score; </w:t>
      </w:r>
      <w:r w:rsidR="00013C1A" w:rsidRPr="00AC223B">
        <w:t xml:space="preserve">GROMACS, </w:t>
      </w:r>
      <w:proofErr w:type="spellStart"/>
      <w:r w:rsidR="00013C1A" w:rsidRPr="00AC223B">
        <w:t>GROningen</w:t>
      </w:r>
      <w:proofErr w:type="spellEnd"/>
      <w:r w:rsidR="00013C1A" w:rsidRPr="00AC223B">
        <w:t xml:space="preserve"> </w:t>
      </w:r>
      <w:proofErr w:type="spellStart"/>
      <w:r w:rsidR="00013C1A" w:rsidRPr="00AC223B">
        <w:t>MAchine</w:t>
      </w:r>
      <w:proofErr w:type="spellEnd"/>
      <w:r w:rsidR="00013C1A" w:rsidRPr="00AC223B">
        <w:t xml:space="preserve"> for Chemical Simulations; Ig, immunoglobulin;</w:t>
      </w:r>
      <w:r w:rsidR="00013C1A" w:rsidRPr="00AC223B">
        <w:rPr>
          <w:color w:val="333333"/>
        </w:rPr>
        <w:t xml:space="preserve"> </w:t>
      </w:r>
      <w:proofErr w:type="spellStart"/>
      <w:r w:rsidR="007A762D" w:rsidRPr="00AC223B">
        <w:rPr>
          <w:color w:val="333333"/>
        </w:rPr>
        <w:t>nsSNV</w:t>
      </w:r>
      <w:proofErr w:type="spellEnd"/>
      <w:r w:rsidR="007A762D" w:rsidRPr="00AC223B">
        <w:rPr>
          <w:color w:val="333333"/>
        </w:rPr>
        <w:t>, non-</w:t>
      </w:r>
      <w:r w:rsidR="00013C1A" w:rsidRPr="00AC223B">
        <w:rPr>
          <w:color w:val="333333"/>
        </w:rPr>
        <w:t>synonymous</w:t>
      </w:r>
      <w:r w:rsidR="007A762D" w:rsidRPr="00AC223B">
        <w:rPr>
          <w:color w:val="333333"/>
        </w:rPr>
        <w:t xml:space="preserve"> small nucleotide variant; </w:t>
      </w:r>
      <w:r w:rsidR="00013C1A" w:rsidRPr="00AC223B">
        <w:rPr>
          <w:rFonts w:eastAsiaTheme="minorHAnsi"/>
          <w:lang w:val="en-US"/>
        </w:rPr>
        <w:t xml:space="preserve">LOESS, locally weighted scatterplot smoothing; MDS, molecular dynamics simulation; PME, </w:t>
      </w:r>
      <w:r w:rsidR="00BA3788" w:rsidRPr="00AC223B">
        <w:t>Particle Mesh Ewald</w:t>
      </w:r>
      <w:r w:rsidR="00E44E48" w:rsidRPr="00AC223B">
        <w:t xml:space="preserve">; </w:t>
      </w:r>
      <w:r w:rsidR="00E44E48" w:rsidRPr="00AC223B">
        <w:rPr>
          <w:rFonts w:eastAsiaTheme="minorHAnsi"/>
          <w:lang w:val="en-US"/>
        </w:rPr>
        <w:t>PC, principal component.</w:t>
      </w:r>
    </w:p>
    <w:p w14:paraId="3A071CEC" w14:textId="69DD8384" w:rsidR="0095434F" w:rsidRPr="004D6881" w:rsidRDefault="0095434F" w:rsidP="00BA3788">
      <w:pPr>
        <w:spacing w:line="360" w:lineRule="auto"/>
      </w:pPr>
    </w:p>
    <w:p w14:paraId="5320A3B3" w14:textId="77777777" w:rsidR="00BA3788" w:rsidRPr="004D6881" w:rsidRDefault="00BA3788" w:rsidP="00BA3788">
      <w:pPr>
        <w:spacing w:line="360" w:lineRule="auto"/>
        <w:jc w:val="both"/>
        <w:rPr>
          <w:color w:val="000000" w:themeColor="text1"/>
        </w:rPr>
      </w:pPr>
    </w:p>
    <w:p w14:paraId="58301523" w14:textId="77777777" w:rsidR="00BA3788" w:rsidRPr="004D6881" w:rsidRDefault="00BA3788" w:rsidP="00BA3788">
      <w:pPr>
        <w:spacing w:line="360" w:lineRule="auto"/>
        <w:jc w:val="both"/>
        <w:rPr>
          <w:color w:val="000000" w:themeColor="text1"/>
        </w:rPr>
      </w:pPr>
    </w:p>
    <w:p w14:paraId="07F3B4DB" w14:textId="77777777" w:rsidR="00BA3788" w:rsidRPr="004D6881" w:rsidRDefault="00BA3788" w:rsidP="00BA3788">
      <w:pPr>
        <w:spacing w:line="360" w:lineRule="auto"/>
        <w:jc w:val="both"/>
        <w:rPr>
          <w:color w:val="000000" w:themeColor="text1"/>
        </w:rPr>
      </w:pPr>
    </w:p>
    <w:p w14:paraId="3540D109" w14:textId="77777777" w:rsidR="00BA3788" w:rsidRPr="004D6881" w:rsidRDefault="00BA3788" w:rsidP="00BA3788">
      <w:pPr>
        <w:spacing w:line="360" w:lineRule="auto"/>
        <w:jc w:val="both"/>
        <w:rPr>
          <w:color w:val="000000" w:themeColor="text1"/>
        </w:rPr>
      </w:pPr>
    </w:p>
    <w:p w14:paraId="1731DE94" w14:textId="77777777" w:rsidR="00E44E48" w:rsidRPr="004D6881" w:rsidRDefault="00E44E48">
      <w:pPr>
        <w:rPr>
          <w:b/>
          <w:color w:val="000000" w:themeColor="text1"/>
          <w:sz w:val="28"/>
        </w:rPr>
      </w:pPr>
      <w:r w:rsidRPr="004D6881">
        <w:rPr>
          <w:b/>
          <w:color w:val="000000" w:themeColor="text1"/>
          <w:sz w:val="28"/>
        </w:rPr>
        <w:br w:type="page"/>
      </w:r>
    </w:p>
    <w:p w14:paraId="3FB3AB42" w14:textId="1727405B" w:rsidR="00BA3788" w:rsidRPr="00927556" w:rsidRDefault="00BA3788" w:rsidP="00927556">
      <w:pPr>
        <w:spacing w:line="360" w:lineRule="auto"/>
        <w:jc w:val="both"/>
        <w:rPr>
          <w:b/>
          <w:color w:val="000000" w:themeColor="text1"/>
          <w:sz w:val="28"/>
        </w:rPr>
      </w:pPr>
      <w:r w:rsidRPr="00927556">
        <w:rPr>
          <w:b/>
          <w:color w:val="000000" w:themeColor="text1"/>
          <w:sz w:val="28"/>
        </w:rPr>
        <w:lastRenderedPageBreak/>
        <w:t>Abstract</w:t>
      </w:r>
    </w:p>
    <w:p w14:paraId="476D7613" w14:textId="0AE6FAA7" w:rsidR="00927556" w:rsidRPr="000E52EB" w:rsidRDefault="00927556" w:rsidP="00927556">
      <w:pPr>
        <w:spacing w:line="360" w:lineRule="auto"/>
        <w:jc w:val="both"/>
      </w:pPr>
      <w:r w:rsidRPr="009A44B7">
        <w:t xml:space="preserve">Non-synonymous </w:t>
      </w:r>
      <w:r>
        <w:t>small nucleotide variations (</w:t>
      </w:r>
      <w:proofErr w:type="spellStart"/>
      <w:r w:rsidRPr="004D6881">
        <w:t>nsSNVs</w:t>
      </w:r>
      <w:proofErr w:type="spellEnd"/>
      <w:r>
        <w:t>)</w:t>
      </w:r>
      <w:r w:rsidRPr="004D6881">
        <w:t xml:space="preserve"> </w:t>
      </w:r>
      <w:r>
        <w:t>in the giant muscle protein, titin, have</w:t>
      </w:r>
      <w:r w:rsidRPr="004D6881">
        <w:t xml:space="preserve"> key roles in the development of </w:t>
      </w:r>
      <w:r>
        <w:t xml:space="preserve">several </w:t>
      </w:r>
      <w:proofErr w:type="spellStart"/>
      <w:r w:rsidRPr="004D6881">
        <w:t>myopathologies</w:t>
      </w:r>
      <w:proofErr w:type="spellEnd"/>
      <w:r>
        <w:t>.</w:t>
      </w:r>
      <w:r w:rsidRPr="009A44B7">
        <w:t xml:space="preserve"> </w:t>
      </w:r>
      <w:r>
        <w:t>Although</w:t>
      </w:r>
      <w:r w:rsidRPr="004D6881">
        <w:t xml:space="preserve"> there is considerable motive </w:t>
      </w:r>
      <w:r>
        <w:t>to</w:t>
      </w:r>
      <w:r w:rsidRPr="004D6881">
        <w:t xml:space="preserve"> screen at-risk individuals</w:t>
      </w:r>
      <w:r>
        <w:t xml:space="preserve"> for </w:t>
      </w:r>
      <w:proofErr w:type="spellStart"/>
      <w:r>
        <w:t>nsSNVs</w:t>
      </w:r>
      <w:proofErr w:type="spellEnd"/>
      <w:r w:rsidR="0050142B">
        <w:t>,</w:t>
      </w:r>
      <w:r>
        <w:t xml:space="preserve"> </w:t>
      </w:r>
      <w:r w:rsidRPr="004D6881">
        <w:t xml:space="preserve">to identify patients </w:t>
      </w:r>
      <w:r>
        <w:t>in</w:t>
      </w:r>
      <w:r w:rsidRPr="004D6881">
        <w:t xml:space="preserve"> early disease stage</w:t>
      </w:r>
      <w:r>
        <w:t>s</w:t>
      </w:r>
      <w:r w:rsidRPr="004D6881">
        <w:t xml:space="preserve"> </w:t>
      </w:r>
      <w:r>
        <w:t>while</w:t>
      </w:r>
      <w:r w:rsidRPr="004D6881">
        <w:t xml:space="preserve"> therapeutic intervention is still possible</w:t>
      </w:r>
      <w:r>
        <w:t>,</w:t>
      </w:r>
      <w:r w:rsidRPr="004D6881">
        <w:t xml:space="preserve"> </w:t>
      </w:r>
      <w:r w:rsidRPr="00723E81">
        <w:rPr>
          <w:color w:val="000000" w:themeColor="text1"/>
        </w:rPr>
        <w:t>the clinical significance of</w:t>
      </w:r>
      <w:r>
        <w:rPr>
          <w:color w:val="000000" w:themeColor="text1"/>
        </w:rPr>
        <w:t xml:space="preserve"> most</w:t>
      </w:r>
      <w:r w:rsidRPr="00723E81">
        <w:rPr>
          <w:color w:val="000000" w:themeColor="text1"/>
        </w:rPr>
        <w:t xml:space="preserve"> titin variations remains unclear</w:t>
      </w:r>
      <w:r>
        <w:rPr>
          <w:color w:val="000000" w:themeColor="text1"/>
        </w:rPr>
        <w:t>.</w:t>
      </w:r>
      <w:r>
        <w:t xml:space="preserve"> </w:t>
      </w:r>
      <w:r w:rsidR="0050142B">
        <w:t>Therefore</w:t>
      </w:r>
      <w:r>
        <w:t>, there is a growing need to establish m</w:t>
      </w:r>
      <w:r w:rsidRPr="004D6881">
        <w:t xml:space="preserve">ethods </w:t>
      </w:r>
      <w:r>
        <w:t>to</w:t>
      </w:r>
      <w:r w:rsidRPr="004D6881">
        <w:t xml:space="preserve"> classif</w:t>
      </w:r>
      <w:r>
        <w:t xml:space="preserve">y </w:t>
      </w:r>
      <w:proofErr w:type="spellStart"/>
      <w:r w:rsidRPr="004D6881">
        <w:t>nsSNVs</w:t>
      </w:r>
      <w:proofErr w:type="spellEnd"/>
      <w:r w:rsidRPr="004D6881">
        <w:t xml:space="preserve"> in a simple, economic and rapid manner</w:t>
      </w:r>
      <w:r w:rsidRPr="00723E81">
        <w:rPr>
          <w:color w:val="000000" w:themeColor="text1"/>
        </w:rPr>
        <w:t>.</w:t>
      </w:r>
      <w:r>
        <w:rPr>
          <w:color w:val="000000" w:themeColor="text1"/>
        </w:rPr>
        <w:t xml:space="preserve"> </w:t>
      </w:r>
      <w:r w:rsidRPr="004D6881">
        <w:t xml:space="preserve">Due to its strong correlation </w:t>
      </w:r>
      <w:r>
        <w:t xml:space="preserve">to </w:t>
      </w:r>
      <w:r w:rsidRPr="004D6881">
        <w:t xml:space="preserve">arrhythmogenic right ventricular cardiomyopathy </w:t>
      </w:r>
      <w:r>
        <w:t>(</w:t>
      </w:r>
      <w:r w:rsidRPr="004D6881">
        <w:t>ARVC</w:t>
      </w:r>
      <w:r>
        <w:t>)</w:t>
      </w:r>
      <w:r w:rsidRPr="004D6881">
        <w:t xml:space="preserve">, </w:t>
      </w:r>
      <w:r>
        <w:t>one</w:t>
      </w:r>
      <w:r w:rsidRPr="004D6881">
        <w:t xml:space="preserve"> </w:t>
      </w:r>
      <w:proofErr w:type="gramStart"/>
      <w:r w:rsidRPr="004D6881">
        <w:t>particular mutation</w:t>
      </w:r>
      <w:proofErr w:type="gramEnd"/>
      <w:r w:rsidRPr="004D6881">
        <w:t xml:space="preserve"> in titin – T2580I, located in the I10 immunoglobulin domain</w:t>
      </w:r>
      <w:r w:rsidR="00465B66">
        <w:t xml:space="preserve"> </w:t>
      </w:r>
      <w:r w:rsidRPr="004D6881">
        <w:t>– has received considerable attention.</w:t>
      </w:r>
      <w:r>
        <w:t xml:space="preserve"> Here</w:t>
      </w:r>
      <w:r w:rsidR="00465B66">
        <w:t>,</w:t>
      </w:r>
      <w:r>
        <w:t xml:space="preserve"> we use the I10-I11 tandem as a case study to</w:t>
      </w:r>
      <w:r w:rsidRPr="004D6881">
        <w:t xml:space="preserve"> explore the possible benefit</w:t>
      </w:r>
      <w:r>
        <w:t>s</w:t>
      </w:r>
      <w:r w:rsidRPr="004D6881">
        <w:t xml:space="preserve"> of considering the titin chain context – i.e. domain interfaces – in the assessment of titin </w:t>
      </w:r>
      <w:proofErr w:type="spellStart"/>
      <w:r w:rsidRPr="004D6881">
        <w:t>nsSNV</w:t>
      </w:r>
      <w:r>
        <w:t>s</w:t>
      </w:r>
      <w:proofErr w:type="spellEnd"/>
      <w:r w:rsidRPr="004D6881">
        <w:t>.</w:t>
      </w:r>
      <w:r>
        <w:t xml:space="preserve"> </w:t>
      </w:r>
      <w:r w:rsidR="00465B66">
        <w:rPr>
          <w:highlight w:val="yellow"/>
        </w:rPr>
        <w:t>Specifically</w:t>
      </w:r>
      <w:r w:rsidR="000E52EB" w:rsidRPr="000E52EB">
        <w:rPr>
          <w:highlight w:val="yellow"/>
        </w:rPr>
        <w:t>, we investigate which exchanges mimic the conformational molecular phenotype of the T2580I mutation at the I10-I11 domain interface. Then</w:t>
      </w:r>
      <w:r w:rsidR="00465B66">
        <w:rPr>
          <w:highlight w:val="yellow"/>
        </w:rPr>
        <w:t>,</w:t>
      </w:r>
      <w:r w:rsidR="000E52EB" w:rsidRPr="000E52EB">
        <w:rPr>
          <w:highlight w:val="yellow"/>
        </w:rPr>
        <w:t xml:space="preserve"> </w:t>
      </w:r>
      <w:r w:rsidRPr="000E52EB">
        <w:rPr>
          <w:highlight w:val="yellow"/>
        </w:rPr>
        <w:t>we compute</w:t>
      </w:r>
      <w:r w:rsidR="00551659">
        <w:rPr>
          <w:highlight w:val="yellow"/>
        </w:rPr>
        <w:t>d</w:t>
      </w:r>
      <w:r w:rsidRPr="000E52EB">
        <w:rPr>
          <w:highlight w:val="yellow"/>
        </w:rPr>
        <w:t xml:space="preserve"> a residue stability landscape for domains alone and in tandem to define </w:t>
      </w:r>
      <w:r w:rsidRPr="000E52EB">
        <w:rPr>
          <w:color w:val="000000" w:themeColor="text1"/>
          <w:highlight w:val="yellow"/>
        </w:rPr>
        <w:t>a Domain Interface Score (DIS) which identifie</w:t>
      </w:r>
      <w:r w:rsidR="00465B66">
        <w:rPr>
          <w:color w:val="000000" w:themeColor="text1"/>
          <w:highlight w:val="yellow"/>
        </w:rPr>
        <w:t>s</w:t>
      </w:r>
      <w:r w:rsidRPr="000E52EB">
        <w:rPr>
          <w:color w:val="000000" w:themeColor="text1"/>
          <w:highlight w:val="yellow"/>
        </w:rPr>
        <w:t xml:space="preserve"> several </w:t>
      </w:r>
      <w:r w:rsidRPr="000E52EB">
        <w:rPr>
          <w:highlight w:val="yellow"/>
        </w:rPr>
        <w:t xml:space="preserve">hotspot </w:t>
      </w:r>
      <w:r w:rsidRPr="000E52EB">
        <w:rPr>
          <w:color w:val="000000" w:themeColor="text1"/>
          <w:highlight w:val="yellow"/>
        </w:rPr>
        <w:t>residues.</w:t>
      </w:r>
      <w:r>
        <w:rPr>
          <w:color w:val="000000" w:themeColor="text1"/>
        </w:rPr>
        <w:t xml:space="preserve"> </w:t>
      </w:r>
      <w:r w:rsidR="003F140C">
        <w:t xml:space="preserve">Our findings suggest </w:t>
      </w:r>
      <w:r w:rsidRPr="004D6881">
        <w:t>that the T2580 position is highly sensitive to exchange and that any variant found in this position should be considered with care</w:t>
      </w:r>
      <w:r>
        <w:t>. Furthermore, we conclude that</w:t>
      </w:r>
      <w:r w:rsidRPr="004D6881">
        <w:t xml:space="preserve"> the consideration of the higher order structure of the titin chain is important to gain accurate insights into the vulnerability of positions in linker regions</w:t>
      </w:r>
      <w:r>
        <w:t xml:space="preserve"> and </w:t>
      </w:r>
      <w:r w:rsidRPr="004D6881">
        <w:rPr>
          <w:color w:val="000000" w:themeColor="text1"/>
        </w:rPr>
        <w:t xml:space="preserve">that </w:t>
      </w:r>
      <w:r>
        <w:rPr>
          <w:color w:val="000000" w:themeColor="text1"/>
        </w:rPr>
        <w:t xml:space="preserve">titin </w:t>
      </w:r>
      <w:proofErr w:type="spellStart"/>
      <w:r>
        <w:rPr>
          <w:color w:val="000000" w:themeColor="text1"/>
        </w:rPr>
        <w:t>ns</w:t>
      </w:r>
      <w:r w:rsidRPr="004D6881">
        <w:rPr>
          <w:color w:val="000000" w:themeColor="text1"/>
        </w:rPr>
        <w:t>SNV</w:t>
      </w:r>
      <w:proofErr w:type="spellEnd"/>
      <w:r w:rsidRPr="004D6881">
        <w:rPr>
          <w:color w:val="000000" w:themeColor="text1"/>
        </w:rPr>
        <w:t xml:space="preserve"> prediction benefit</w:t>
      </w:r>
      <w:r w:rsidR="003F140C">
        <w:rPr>
          <w:color w:val="000000" w:themeColor="text1"/>
        </w:rPr>
        <w:t>s</w:t>
      </w:r>
      <w:r w:rsidRPr="004D6881">
        <w:rPr>
          <w:color w:val="000000" w:themeColor="text1"/>
        </w:rPr>
        <w:t xml:space="preserve"> from a contextual analysis</w:t>
      </w:r>
      <w:r>
        <w:rPr>
          <w:color w:val="000000" w:themeColor="text1"/>
        </w:rPr>
        <w:t xml:space="preserve">. </w:t>
      </w:r>
    </w:p>
    <w:p w14:paraId="4D579B3B" w14:textId="77777777" w:rsidR="00927556" w:rsidRDefault="00927556" w:rsidP="00927556">
      <w:pPr>
        <w:spacing w:line="360" w:lineRule="auto"/>
        <w:rPr>
          <w:color w:val="000000" w:themeColor="text1"/>
        </w:rPr>
      </w:pPr>
    </w:p>
    <w:p w14:paraId="34EB0897" w14:textId="77777777" w:rsidR="00927556" w:rsidRDefault="00927556" w:rsidP="00927556">
      <w:pPr>
        <w:spacing w:line="360" w:lineRule="auto"/>
      </w:pPr>
      <w:r>
        <w:rPr>
          <w:color w:val="000000" w:themeColor="text1"/>
        </w:rPr>
        <w:t>249/250</w:t>
      </w:r>
    </w:p>
    <w:p w14:paraId="57DCA9DD" w14:textId="77777777" w:rsidR="00927556" w:rsidRPr="004D6881" w:rsidRDefault="00927556" w:rsidP="00BA3788">
      <w:pPr>
        <w:spacing w:line="360" w:lineRule="auto"/>
        <w:jc w:val="both"/>
        <w:rPr>
          <w:b/>
          <w:color w:val="000000" w:themeColor="text1"/>
          <w:sz w:val="28"/>
        </w:rPr>
      </w:pPr>
    </w:p>
    <w:p w14:paraId="619B5490" w14:textId="77777777" w:rsidR="00630401" w:rsidRPr="004D6881" w:rsidRDefault="00630401" w:rsidP="00BA3788">
      <w:pPr>
        <w:spacing w:line="360" w:lineRule="auto"/>
        <w:jc w:val="both"/>
        <w:rPr>
          <w:b/>
          <w:color w:val="000000" w:themeColor="text1"/>
          <w:sz w:val="28"/>
        </w:rPr>
      </w:pPr>
    </w:p>
    <w:p w14:paraId="28BA12D9" w14:textId="77777777" w:rsidR="00BA3788" w:rsidRPr="004D6881" w:rsidRDefault="00BA3788" w:rsidP="00BA3788">
      <w:pPr>
        <w:spacing w:line="360" w:lineRule="auto"/>
        <w:jc w:val="both"/>
        <w:rPr>
          <w:color w:val="000000" w:themeColor="text1"/>
        </w:rPr>
      </w:pPr>
    </w:p>
    <w:p w14:paraId="1FF05870" w14:textId="77777777" w:rsidR="00F13177" w:rsidRPr="004D6881" w:rsidRDefault="00F13177" w:rsidP="00BA3788">
      <w:pPr>
        <w:spacing w:line="360" w:lineRule="auto"/>
      </w:pPr>
    </w:p>
    <w:p w14:paraId="69E6C635" w14:textId="77777777" w:rsidR="00111F88" w:rsidRPr="004D6881" w:rsidRDefault="002E2457" w:rsidP="00BA3788">
      <w:pPr>
        <w:pBdr>
          <w:top w:val="nil"/>
          <w:left w:val="nil"/>
          <w:bottom w:val="nil"/>
          <w:right w:val="nil"/>
          <w:between w:val="nil"/>
        </w:pBdr>
        <w:spacing w:line="360" w:lineRule="auto"/>
        <w:jc w:val="both"/>
      </w:pPr>
      <w:r w:rsidRPr="004D6881">
        <w:br/>
      </w:r>
    </w:p>
    <w:p w14:paraId="4AC32100" w14:textId="77777777" w:rsidR="00111F88" w:rsidRPr="004D6881" w:rsidRDefault="00111F88" w:rsidP="00BA3788">
      <w:pPr>
        <w:spacing w:line="360" w:lineRule="auto"/>
      </w:pPr>
      <w:r w:rsidRPr="004D6881">
        <w:br w:type="page"/>
      </w:r>
    </w:p>
    <w:p w14:paraId="6AD75953" w14:textId="364FD2EE" w:rsidR="00F13177" w:rsidRPr="004D6881" w:rsidRDefault="00111F88" w:rsidP="00BA3788">
      <w:pPr>
        <w:pBdr>
          <w:top w:val="nil"/>
          <w:left w:val="nil"/>
          <w:bottom w:val="nil"/>
          <w:right w:val="nil"/>
          <w:between w:val="nil"/>
        </w:pBdr>
        <w:spacing w:line="360" w:lineRule="auto"/>
        <w:jc w:val="both"/>
        <w:rPr>
          <w:lang w:val="en"/>
        </w:rPr>
      </w:pPr>
      <w:r w:rsidRPr="004D6881">
        <w:rPr>
          <w:b/>
          <w:sz w:val="28"/>
        </w:rPr>
        <w:lastRenderedPageBreak/>
        <w:t>Introduction</w:t>
      </w:r>
      <w:r w:rsidR="002E2457" w:rsidRPr="004D6881">
        <w:br/>
      </w:r>
      <w:r w:rsidR="002E2457" w:rsidRPr="004D6881">
        <w:br/>
        <w:t xml:space="preserve">It has been almost </w:t>
      </w:r>
      <w:r w:rsidRPr="004D6881">
        <w:t>two decades</w:t>
      </w:r>
      <w:r w:rsidR="002E2457" w:rsidRPr="004D6881">
        <w:t xml:space="preserve"> since the first human genome was sequenced and</w:t>
      </w:r>
      <w:r w:rsidR="00805CF7" w:rsidRPr="004D6881">
        <w:t>,</w:t>
      </w:r>
      <w:r w:rsidR="002E2457" w:rsidRPr="004D6881">
        <w:t xml:space="preserve"> in that time</w:t>
      </w:r>
      <w:r w:rsidR="00805CF7" w:rsidRPr="004D6881">
        <w:t>,</w:t>
      </w:r>
      <w:r w:rsidR="002E2457" w:rsidRPr="004D6881">
        <w:t xml:space="preserve"> the cost </w:t>
      </w:r>
      <w:r w:rsidR="008457AB" w:rsidRPr="004D6881">
        <w:t xml:space="preserve">of DNA sequencing </w:t>
      </w:r>
      <w:r w:rsidR="002E2457" w:rsidRPr="004D6881">
        <w:t>per person has fallen from $2.7bn to around $1,000</w:t>
      </w:r>
      <w:r w:rsidR="002C15D8" w:rsidRPr="004D6881">
        <w:t xml:space="preserve"> </w:t>
      </w:r>
      <w:r w:rsidR="002C15D8" w:rsidRPr="004D6881">
        <w:fldChar w:fldCharType="begin" w:fldLock="1"/>
      </w:r>
      <w:r w:rsidR="00C2687E">
        <w:instrText>ADDIN CSL_CITATION {"citationItems":[{"id":"ITEM-1","itemData":{"DOI":"10.3390/ijms21030768","ISSN":"14220067","abstract":"Since the completion of the Human Genome Project in 2003, genomic sequencing has become a prominent tool used by diverse disciplines in modern science. In the past 20 years, the cost of genomic sequencing has decreased exponentially, making it affordable and accessible. Bioinformatic and biological studies have produced significant scientific breakthroughs using the wealth of genomic information now available. Alongside the scientific benefit of genomics, companies offer direct-to-consumer genetic testing which provide health, trait, and ancestry information to the public. A key area that must be addressed is education about what conclusions can be made from this genomic information and integrating genomic education with foundational genetic principles already taught in academic settings. The promise of personal genomics providing disease treatment is exciting, but many challenges remain to validate genomic predictions and diagnostic correlations. Ethical and societal concerns must also be addressed regarding how personal genomic information is used. This genomics revolution provides a powerful opportunity to educate students, clinicians, and the public on scientific and ethical issues in a personal way to increase learning. In this review, we discuss the influence of personal genomics in society and focus on the importance and benefits of genomics education in the classroom, clinics, and the public and explore the potential consequences of personal genomic education.","author":[{"dropping-particle":"V.","family":"Whitley","given":"Kiara","non-dropping-particle":"","parse-names":false,"suffix":""},{"dropping-particle":"","family":"Tueller","given":"Josie A.","non-dropping-particle":"","parse-names":false,"suffix":""},{"dropping-particle":"","family":"Weber","given":"K. Scott","non-dropping-particle":"","parse-names":false,"suffix":""}],"container-title":"International journal of molecular sciences","id":"ITEM-1","issue":"3","issued":{"date-parts":[["2020","2","1"]]},"page":"768","publisher":"NLM (Medline)","title":"Genomics Education in the Era of Personal Genomics: Academic, Professional, and Public Considerations","type":"article-journal","volume":"21"},"uris":["http://www.mendeley.com/documents/?uuid=e497dd3f-fd92-3836-80da-72a73c560f4c"]}],"mendeley":{"formattedCitation":"(Whitley et al., 2020)","plainTextFormattedCitation":"(Whitley et al., 2020)","previouslyFormattedCitation":"(Whitley, Tueller, &amp; Weber, 2020)"},"properties":{"noteIndex":0},"schema":"https://github.com/citation-style-language/schema/raw/master/csl-citation.json"}</w:instrText>
      </w:r>
      <w:r w:rsidR="002C15D8" w:rsidRPr="004D6881">
        <w:fldChar w:fldCharType="separate"/>
      </w:r>
      <w:r w:rsidR="00C2687E" w:rsidRPr="00C2687E">
        <w:rPr>
          <w:noProof/>
          <w:color w:val="0432FF"/>
        </w:rPr>
        <w:t>(Whitley et al., 2020)</w:t>
      </w:r>
      <w:r w:rsidR="002C15D8" w:rsidRPr="004D6881">
        <w:fldChar w:fldCharType="end"/>
      </w:r>
      <w:r w:rsidR="002E2457" w:rsidRPr="004D6881">
        <w:t>. It is now highly likely that DNA sequencing will become routine in a medical setting</w:t>
      </w:r>
      <w:r w:rsidR="00FF6D67" w:rsidRPr="004D6881">
        <w:t>,</w:t>
      </w:r>
      <w:r w:rsidR="002E2457" w:rsidRPr="004D6881">
        <w:t xml:space="preserve"> opening up new avenues into personali</w:t>
      </w:r>
      <w:r w:rsidR="00F13177" w:rsidRPr="004D6881">
        <w:t>s</w:t>
      </w:r>
      <w:r w:rsidR="002E2457" w:rsidRPr="004D6881">
        <w:t xml:space="preserve">ed medicine. One area of interest is the </w:t>
      </w:r>
      <w:r w:rsidR="008457AB" w:rsidRPr="004D6881">
        <w:t>identification and characteri</w:t>
      </w:r>
      <w:r w:rsidR="0078194B" w:rsidRPr="004D6881">
        <w:t>s</w:t>
      </w:r>
      <w:r w:rsidR="008457AB" w:rsidRPr="004D6881">
        <w:t xml:space="preserve">ation </w:t>
      </w:r>
      <w:r w:rsidR="002E2457" w:rsidRPr="004D6881">
        <w:t>of potentially pathogenic</w:t>
      </w:r>
      <w:r w:rsidR="002C15D8" w:rsidRPr="004D6881">
        <w:t xml:space="preserve"> </w:t>
      </w:r>
      <w:r w:rsidRPr="004D6881">
        <w:t xml:space="preserve">non-synonymous </w:t>
      </w:r>
      <w:r w:rsidR="002C15D8" w:rsidRPr="004D6881">
        <w:t>small nucleotide variants</w:t>
      </w:r>
      <w:r w:rsidR="002E2457" w:rsidRPr="004D6881">
        <w:t xml:space="preserve"> </w:t>
      </w:r>
      <w:r w:rsidRPr="004D6881">
        <w:t>(</w:t>
      </w:r>
      <w:proofErr w:type="spellStart"/>
      <w:r w:rsidRPr="004D6881">
        <w:t>ns</w:t>
      </w:r>
      <w:r w:rsidR="002E2457" w:rsidRPr="004D6881">
        <w:t>SN</w:t>
      </w:r>
      <w:r w:rsidR="002C15D8" w:rsidRPr="004D6881">
        <w:t>V</w:t>
      </w:r>
      <w:r w:rsidR="002E2457" w:rsidRPr="004D6881">
        <w:t>s</w:t>
      </w:r>
      <w:proofErr w:type="spellEnd"/>
      <w:r w:rsidR="002C15D8" w:rsidRPr="004D6881">
        <w:t>)</w:t>
      </w:r>
      <w:r w:rsidR="002E2457" w:rsidRPr="004D6881">
        <w:t xml:space="preserve"> to </w:t>
      </w:r>
      <w:r w:rsidR="008457AB" w:rsidRPr="004D6881">
        <w:t xml:space="preserve">assist </w:t>
      </w:r>
      <w:r w:rsidR="002E2457" w:rsidRPr="004D6881">
        <w:t xml:space="preserve">preventive medicine. However, </w:t>
      </w:r>
      <w:r w:rsidR="008457AB" w:rsidRPr="004D6881">
        <w:t xml:space="preserve">alone a single person carries </w:t>
      </w:r>
      <w:r w:rsidR="002E2457" w:rsidRPr="004D6881">
        <w:t xml:space="preserve">between 24 and 40 thousand </w:t>
      </w:r>
      <w:proofErr w:type="spellStart"/>
      <w:r w:rsidRPr="004D6881">
        <w:t>ns</w:t>
      </w:r>
      <w:r w:rsidR="002E2457" w:rsidRPr="004D6881">
        <w:t>SN</w:t>
      </w:r>
      <w:r w:rsidR="002C15D8" w:rsidRPr="004D6881">
        <w:t>V</w:t>
      </w:r>
      <w:r w:rsidR="002E2457" w:rsidRPr="004D6881">
        <w:t>s</w:t>
      </w:r>
      <w:proofErr w:type="spellEnd"/>
      <w:r w:rsidR="002E2457" w:rsidRPr="004D6881">
        <w:t xml:space="preserve"> </w:t>
      </w:r>
      <w:r w:rsidR="00C64DFC" w:rsidRPr="004D6881">
        <w:fldChar w:fldCharType="begin" w:fldLock="1"/>
      </w:r>
      <w:r w:rsidR="00E718DB">
        <w:instrText xml:space="preserve">ADDIN CSL_CITATION {"citationItems":[{"id":"ITEM-1","itemData":{"DOI":"10.1371/journal.pgen.1000160","ISSN":"15537390","PMID":"18704161","abstract":"There is much interest in characterizing the variation in a human individual, because this may elucidate what contributes significantly to a person's phenotype, thereby enabling personalized genomics. We focus here on the variants in a person's 'exome,' which is the set of exons in a genome, because the exome is believed to harbor much of the functional variation. We provide an analysis of the </w:instrText>
      </w:r>
      <w:r w:rsidR="00E718DB">
        <w:rPr>
          <w:rFonts w:ascii="Cambria Math" w:hAnsi="Cambria Math" w:cs="Cambria Math"/>
        </w:rPr>
        <w:instrText>∼</w:instrText>
      </w:r>
      <w:r w:rsidR="00E718DB">
        <w:instrText xml:space="preserve">12,500 variants that affect the protein coding portion of an individual's genome. We identified </w:instrText>
      </w:r>
      <w:r w:rsidR="00E718DB">
        <w:rPr>
          <w:rFonts w:ascii="Cambria Math" w:hAnsi="Cambria Math" w:cs="Cambria Math"/>
        </w:rPr>
        <w:instrText>∼</w:instrText>
      </w:r>
      <w:r w:rsidR="00E718DB">
        <w:instrText xml:space="preserve">10,400 nonsynonymous single nucleotide polymorphisms (nsSNPs) in this individual, of which </w:instrText>
      </w:r>
      <w:r w:rsidR="00E718DB">
        <w:rPr>
          <w:rFonts w:ascii="Cambria Math" w:hAnsi="Cambria Math" w:cs="Cambria Math"/>
        </w:rPr>
        <w:instrText>∼</w:instrText>
      </w:r>
      <w:r w:rsidR="00E718DB">
        <w:instrText xml:space="preserve">15-20% are rare in the human population. We predict </w:instrText>
      </w:r>
      <w:r w:rsidR="00E718DB">
        <w:rPr>
          <w:rFonts w:ascii="Cambria Math" w:hAnsi="Cambria Math" w:cs="Cambria Math"/>
        </w:rPr>
        <w:instrText>∼</w:instrText>
      </w:r>
      <w:r w:rsidR="00E718DB">
        <w:instrText xml:space="preserve">1,500 nsSNPs affect protein function and these tend be heterozygous, rare, or novel. Of the </w:instrText>
      </w:r>
      <w:r w:rsidR="00E718DB">
        <w:rPr>
          <w:rFonts w:ascii="Cambria Math" w:hAnsi="Cambria Math" w:cs="Cambria Math"/>
        </w:rPr>
        <w:instrText>∼</w:instrText>
      </w:r>
      <w:r w:rsidR="00E718DB">
        <w:instrText xml:space="preserve">700 coding indels, approximately half tend to have lengths that are a multiple of three, which causes insertions/deletions of amino acids in the corresponding protein, rather than introducing frameshifts. Coding indels also occur frequently at the termini of genes, so even if an indel causes a frameshift, an alternative start or stop site in the gene can still be used to make a functional protein. In summary, we reduced the set of </w:instrText>
      </w:r>
      <w:r w:rsidR="00E718DB">
        <w:rPr>
          <w:rFonts w:ascii="Cambria Math" w:hAnsi="Cambria Math" w:cs="Cambria Math"/>
        </w:rPr>
        <w:instrText>∼</w:instrText>
      </w:r>
      <w:r w:rsidR="00E718DB">
        <w:instrText xml:space="preserve">12,500 nonsilent coding variants by </w:instrText>
      </w:r>
      <w:r w:rsidR="00E718DB">
        <w:rPr>
          <w:rFonts w:ascii="Cambria Math" w:hAnsi="Cambria Math" w:cs="Cambria Math"/>
        </w:rPr>
        <w:instrText>∼</w:instrText>
      </w:r>
      <w:r w:rsidR="00E718DB">
        <w:instrText>8-fold to a set of variants that are most likely to have major effects on their proteins' functions. This is our first glimpse of an individual's exome and a snapshot of the current state of personalized genomics. The majority of coding variants in this individual are common and appear to be functionally neutral. Our results also indicate that some variants can be used to improve the current NCBI human reference genome. As more genomes are sequenced, many rare variants and non-SNP variants will be discovered. We present an approach to analyze the coding variation in humans by proposing multiple bioinformatic methods to hone in on possible functional variation. © 2008 Ng et al.","author":[{"dropping-particle":"","family":"Ng","given":"Pauline C.","non-dropping-particle":"","parse-names":false,"suffix":""},{"dropping-particle":"","family":"Levy","given":"Samuel","non-dropping-particle":"","parse-names":false,"suffix":""},{"dropping-particle":"","family":"Huang","given":"Jiaqi","non-dropping-particle":"","parse-names":false,"suffix":""},{"dropping-particle":"","family":"Stockwell","given":"Timothy B.","non-dropping-particle":"","parse-names":false,"suffix":""},{"dropping-particle":"","family":"Walenz","given":"Brian P.","non-dropping-particle":"","parse-names":false,"suffix":""},{"dropping-particle":"","family":"Li","given":"Kelvin","non-dropping-particle":"","parse-names":false,"suffix":""},{"dropping-particle":"","family":"Axelrod","given":"Nelson","non-dropping-particle":"","parse-names":false,"suffix":""},{"dropping-particle":"","family":"Busam","given":"Dana A.","non-dropping-particle":"","parse-names":false,"suffix":""},{"dropping-particle":"","family":"Strausberg","given":"Robert L.","non-dropping-particle":"","parse-names":false,"suffix":""},{"dropping-particle":"","family":"Venter","given":"J. Craig","non-dropping-particle":"","parse-names":false,"suffix":""}],"container-title":"PLoS Genetics","id":"ITEM-1","issue":"8","issued":{"date-parts":[["2008","8"]]},"title":"Genetic variation in an individual human exome","type":"article-journal","volume":"4"},"uris":["http://www.mendeley.com/documents/?uuid=c454af0a-e82a-3963-b7ff-5f074100d855"]}],"mendeley":{"formattedCitation":"(Ng et al., 2008)","plainTextFormattedCitation":"(Ng et al., 2008)","previouslyFormattedCitation":"(Ng et al., 2008)"},"properties":{"noteIndex":0},"schema":"https://github.com/citation-style-language/schema/raw/master/csl-citation.json"}</w:instrText>
      </w:r>
      <w:r w:rsidR="00C64DFC" w:rsidRPr="004D6881">
        <w:fldChar w:fldCharType="separate"/>
      </w:r>
      <w:r w:rsidR="00E718DB" w:rsidRPr="00E718DB">
        <w:rPr>
          <w:noProof/>
        </w:rPr>
        <w:t>(</w:t>
      </w:r>
      <w:r w:rsidR="00E718DB" w:rsidRPr="00AC223B">
        <w:rPr>
          <w:noProof/>
          <w:color w:val="0432FF"/>
        </w:rPr>
        <w:t>Ng et al., 2008</w:t>
      </w:r>
      <w:r w:rsidR="00E718DB" w:rsidRPr="00E718DB">
        <w:rPr>
          <w:noProof/>
        </w:rPr>
        <w:t>)</w:t>
      </w:r>
      <w:r w:rsidR="00C64DFC" w:rsidRPr="004D6881">
        <w:fldChar w:fldCharType="end"/>
      </w:r>
      <w:r w:rsidR="00107126" w:rsidRPr="004D6881">
        <w:t>. Thus,</w:t>
      </w:r>
      <w:r w:rsidR="002E2457" w:rsidRPr="004D6881">
        <w:t xml:space="preserve"> </w:t>
      </w:r>
      <w:r w:rsidR="008457AB" w:rsidRPr="004D6881">
        <w:t>t</w:t>
      </w:r>
      <w:r w:rsidR="002E2457" w:rsidRPr="004D6881">
        <w:t xml:space="preserve">he scale </w:t>
      </w:r>
      <w:r w:rsidR="0075188D" w:rsidRPr="004D6881">
        <w:t xml:space="preserve">and growth </w:t>
      </w:r>
      <w:r w:rsidR="0078194B" w:rsidRPr="004D6881">
        <w:t>of sequencing</w:t>
      </w:r>
      <w:r w:rsidR="008457AB" w:rsidRPr="004D6881">
        <w:t xml:space="preserve"> </w:t>
      </w:r>
      <w:r w:rsidR="002E2457" w:rsidRPr="004D6881">
        <w:t>data outpaces traditional experimental techniques to deliver SN</w:t>
      </w:r>
      <w:r w:rsidR="002C15D8" w:rsidRPr="004D6881">
        <w:t>V</w:t>
      </w:r>
      <w:r w:rsidR="002E2457" w:rsidRPr="004D6881">
        <w:t xml:space="preserve"> characteri</w:t>
      </w:r>
      <w:r w:rsidR="004226F6" w:rsidRPr="004D6881">
        <w:t>s</w:t>
      </w:r>
      <w:r w:rsidR="002E2457" w:rsidRPr="004D6881">
        <w:t xml:space="preserve">ation, creating a translational bottleneck. Methods need to be established that allow for the identification and classification </w:t>
      </w:r>
      <w:r w:rsidR="00107126" w:rsidRPr="004D6881">
        <w:t xml:space="preserve">of </w:t>
      </w:r>
      <w:proofErr w:type="spellStart"/>
      <w:r w:rsidR="00114206" w:rsidRPr="004D6881">
        <w:t>ns</w:t>
      </w:r>
      <w:r w:rsidR="002E2457" w:rsidRPr="004D6881">
        <w:t>SN</w:t>
      </w:r>
      <w:r w:rsidR="002C15D8" w:rsidRPr="004D6881">
        <w:t>V</w:t>
      </w:r>
      <w:r w:rsidR="002E2457" w:rsidRPr="004D6881">
        <w:t>s</w:t>
      </w:r>
      <w:proofErr w:type="spellEnd"/>
      <w:r w:rsidR="002E2457" w:rsidRPr="004D6881">
        <w:t xml:space="preserve"> in a simple, </w:t>
      </w:r>
      <w:r w:rsidR="00107126" w:rsidRPr="004D6881">
        <w:t xml:space="preserve">economic </w:t>
      </w:r>
      <w:r w:rsidR="002E2457" w:rsidRPr="004D6881">
        <w:t xml:space="preserve">and </w:t>
      </w:r>
      <w:r w:rsidR="00107126" w:rsidRPr="004D6881">
        <w:t xml:space="preserve">rapid </w:t>
      </w:r>
      <w:r w:rsidR="002E2457" w:rsidRPr="004D6881">
        <w:t>manner.</w:t>
      </w:r>
      <w:r w:rsidR="00F13177" w:rsidRPr="004D6881">
        <w:t xml:space="preserve"> </w:t>
      </w:r>
      <w:r w:rsidR="002E2457" w:rsidRPr="004D6881">
        <w:t xml:space="preserve">One molecule in which there is a clear clinical need for the accurate and quick assessment of </w:t>
      </w:r>
      <w:proofErr w:type="spellStart"/>
      <w:r w:rsidR="002E2457" w:rsidRPr="004D6881">
        <w:t>nsSN</w:t>
      </w:r>
      <w:r w:rsidR="002C15D8" w:rsidRPr="004D6881">
        <w:t>V</w:t>
      </w:r>
      <w:r w:rsidR="002E2457" w:rsidRPr="004D6881">
        <w:t>s</w:t>
      </w:r>
      <w:proofErr w:type="spellEnd"/>
      <w:r w:rsidR="002E2457" w:rsidRPr="004D6881">
        <w:t xml:space="preserve"> is titin</w:t>
      </w:r>
      <w:r w:rsidR="00C64DFC" w:rsidRPr="004D6881">
        <w:t xml:space="preserve"> </w:t>
      </w:r>
      <w:r w:rsidR="00C64DFC" w:rsidRPr="004D6881">
        <w:fldChar w:fldCharType="begin" w:fldLock="1"/>
      </w:r>
      <w:r w:rsidR="00B5196A">
        <w:instrText>ADDIN CSL_CITATION {"citationItems":[{"id":"ITEM-1","itemData":{"DOI":"10.3389/fcvm.2016.00021","ISSN":"2297055X","abstract":"Titin (TTN) is known as the largest sarcomeric protein that resides within the heart muscle. Due to alternative splicing of TTN, the heart expresses two major isoforms (N2B and N2BA) that incorporate four distinct regions termed the Z-line, I-band, A-band, and M-line. Next-generation sequencing allows a large number of genes to be sequenced simultaneously and provides the opportunity to easily analyze giant genes such as TTN. Mutations in the TTN gene can cause cardiomyopathies, in particular dilated cardiomyopathy (DCM). DCM is the most common form of cardiomyopathy, and it is characterized by systolic dysfunction and dilation of the left ventricle. TTN truncating variants have been described as the most common cause of DCM, while the real impact of TTN missense variants in the pathogenesis of DCM is still unclear. In a recent population screening study, rare missense variants potentially pathogenic based on bioinformatic filtering represented only 12.6% of the several hundred rare TTN missense variants found, suggesting that missense variants are very common in TTN and are frequently benign. The aim of this review is to understand the clinical role of TTN mutations in DCM and in other cardiomyopathies. Whereas TTN truncations are common in DCM, there is evidence that TTN truncations are rare in the hypertrophic cardiomyopathy (HCM) phenotype. Furthermore, TTN mutations can also cause arrhythmogenic right ventricular cardiomyopathy (ARVC) with distinct clinical features and outcomes. Finally, the identification of a rare TTN missense variant cosegregating with the restrictive cardiomyopathy (RCM) phenotype suggests that TTN is a novel disease-causing gene in this disease. Clinical diagnostic testing is currently able to analyze over 100 cardiomyopathy genes, including TTN; however, the size and presence of extensive genetic variation in TTN presents clinical challenges in determining significant disease-causing mutations. This review discusses the current knowledge of TTN genetic variations in cardiomyopathies and the impact of the diagnosis of TTN pathogenic mutations in the clinical setting.","author":[{"dropping-particle":"","family":"Gigli","given":"Marta","non-dropping-particle":"","parse-names":false,"suffix":""},{"dropping-particle":"","family":"Begay","given":"Rene L.","non-dropping-particle":"","parse-names":false,"suffix":""},{"dropping-particle":"","family":"Morea","given":"Gaetano","non-dropping-particle":"","parse-names":false,"suffix":""},{"dropping-particle":"","family":"Graw","given":"Sharon L.","non-dropping-particle":"","parse-names":false,"suffix":""},{"dropping-particle":"","family":"Sinagra","given":"Gianfranco","non-dropping-particle":"","parse-names":false,"suffix":""},{"dropping-particle":"","family":"Taylor","given":"Matthew R.G.","non-dropping-particle":"","parse-names":false,"suffix":""},{"dropping-particle":"","family":"Granzier","given":"Henk","non-dropping-particle":"","parse-names":false,"suffix":""},{"dropping-particle":"","family":"Mestroni","given":"Luisa","non-dropping-particle":"","parse-names":false,"suffix":""}],"container-title":"Frontiers in Cardiovascular Medicine","id":"ITEM-1","issued":{"date-parts":[["2016","7","21"]]},"page":"21","publisher":"Frontiers","title":"A Review of the Giant Protein Titin in Clinical Molecular Diagnostics of Cardiomyopathies","type":"article-journal","volume":"3"},"uris":["http://www.mendeley.com/documents/?uuid=59268bf1-14ed-3d97-97f2-2ca5d8e2041a"]}],"mendeley":{"formattedCitation":"(Gigli et al., 2016)","plainTextFormattedCitation":"(Gigli et al., 2016)","previouslyFormattedCitation":"(Gigli et al., 2016)"},"properties":{"noteIndex":0},"schema":"https://github.com/citation-style-language/schema/raw/master/csl-citation.json"}</w:instrText>
      </w:r>
      <w:r w:rsidR="00C64DFC" w:rsidRPr="004D6881">
        <w:fldChar w:fldCharType="separate"/>
      </w:r>
      <w:r w:rsidR="00E718DB" w:rsidRPr="00E718DB">
        <w:rPr>
          <w:noProof/>
        </w:rPr>
        <w:t>(</w:t>
      </w:r>
      <w:r w:rsidR="00E718DB" w:rsidRPr="00AC223B">
        <w:rPr>
          <w:noProof/>
          <w:color w:val="0432FF"/>
        </w:rPr>
        <w:t>Gigli et al., 2016</w:t>
      </w:r>
      <w:r w:rsidR="00E718DB" w:rsidRPr="00E718DB">
        <w:rPr>
          <w:noProof/>
        </w:rPr>
        <w:t>)</w:t>
      </w:r>
      <w:r w:rsidR="00C64DFC" w:rsidRPr="004D6881">
        <w:fldChar w:fldCharType="end"/>
      </w:r>
      <w:r w:rsidR="002E2457" w:rsidRPr="004D6881">
        <w:t xml:space="preserve">. This giant </w:t>
      </w:r>
      <w:proofErr w:type="spellStart"/>
      <w:r w:rsidR="002E2457" w:rsidRPr="004D6881">
        <w:t>sarcomeric</w:t>
      </w:r>
      <w:proofErr w:type="spellEnd"/>
      <w:r w:rsidR="002E2457" w:rsidRPr="004D6881">
        <w:t xml:space="preserve"> protein (&gt;3MDa) spans </w:t>
      </w:r>
      <w:r w:rsidR="00114206" w:rsidRPr="004D6881">
        <w:t>half a</w:t>
      </w:r>
      <w:r w:rsidR="002E2457" w:rsidRPr="004D6881">
        <w:t xml:space="preserve"> sarcomere and has a pivotal role in sarcomer</w:t>
      </w:r>
      <w:r w:rsidR="00114206" w:rsidRPr="004D6881">
        <w:t>e</w:t>
      </w:r>
      <w:r w:rsidR="002E2457" w:rsidRPr="004D6881">
        <w:t xml:space="preserve"> assembly, stretch-dependent trophic signal</w:t>
      </w:r>
      <w:r w:rsidR="00504046" w:rsidRPr="004D6881">
        <w:t>l</w:t>
      </w:r>
      <w:r w:rsidR="002E2457" w:rsidRPr="004D6881">
        <w:t xml:space="preserve">ing pathways, regulation of protein metabolism, and in ventricular mechanics as a molecular spring that develops force during the filling phase (diastole) of the heart </w:t>
      </w:r>
      <w:r w:rsidR="00C64DFC" w:rsidRPr="004D6881">
        <w:fldChar w:fldCharType="begin" w:fldLock="1"/>
      </w:r>
      <w:r w:rsidR="005819E9">
        <w:instrText>ADDIN CSL_CITATION {"citationItems":[{"id":"ITEM-1","itemData":{"abstract":"In striated muscle sarcomeres, the contractile actin and myosin filaments are organised by a subset of specialised cytoskeletal proteins, the sarcomeric cytoskeleton. They include α-actinin, myomesin, and the giant proteins titin, obscurin and nebulin, which combine architectural, mechanical and signalling functions. Mechanics and signalling in the sarcomere appear tightly interdependent, but the exact contributions of the various sarcomeric cytoskeleton proteins to strain handling or signalling are only just emerging. General mechanisms of cytoskeletal mechanics and signalling may be gleaned from the sarcomere as a specialised actomyosin system. Recent work has led to insight into the interactions, structure, and mechanical stability of sarcomeric protein complexes that fulfil both structural and signalling roles.","author":[{"dropping-particle":"","family":"Gautel","given":"Mathias","non-dropping-particle":"","parse-names":false,"suffix":""}],"container-title":"Current Opinion in Cell Biology","id":"ITEM-1","issue":"1","issued":{"date-parts":[["2011","2","1"]]},"page":"39-46","publisher":"Elsevier Current Trends","title":"The sarcomeric cytoskeleton: who picks up the strain?","type":"article-journal","volume":"23"},"uris":["http://www.mendeley.com/documents/?uuid=855254ba-77e9-4c04-ad98-538def0dabf9"]},{"id":"ITEM-2","itemData":{"DOI":"10.1016/j.pbiomolbio.2012.08.003","ISSN":"1873-1732","PMID":"22910434","abstract":"The passive stiffness of cardiac muscle plays a critical role in ventricular filling during diastole and is determined by the extracellular matrix and the sarcomeric protein titin. Titin spans from the Z-disk to the M-band of the sarcomere and also contains a large extensible region that acts as a molecular spring and develops passive force during sarcomere stretch. This extensible segment is titin's I-band region, and its force-generating mechanical properties determine titin-based passive tension. The properties of titin's I-band region can be modulated by isoform splicing and post-translational modification and are intimately linked to diastolic function. This review discusses the physical origin of titin-based passive tension, the mechanisms that alter titin stiffness, and titin's role in stress-sensing signaling pathways.","author":[{"dropping-particle":"","family":"Anderson","given":"Brian R","non-dropping-particle":"","parse-names":false,"suffix":""},{"dropping-particle":"","family":"Granzier","given":"Henk L","non-dropping-particle":"","parse-names":false,"suffix":""}],"container-title":"Progress in biophysics and molecular biology","id":"ITEM-2","issue":"2-3","issued":{"date-parts":[["2012"]]},"page":"204-17","title":"Titin-based tension in the cardiac sarcomere: molecular origin and physiological adaptations.","type":"article-journal","volume":"110"},"uris":["http://www.mendeley.com/documents/?uuid=448fe0a1-4011-49bf-9f73-1964da5af734"]},{"id":"ITEM-3","itemData":{"DOI":"10.3389/fcvm.2016.00021","ISSN":"2297055X","abstract":"Titin (TTN) is known as the largest sarcomeric protein that resides within the heart muscle. Due to alternative splicing of TTN, the heart expresses two major isoforms (N2B and N2BA) that incorporate four distinct regions termed the Z-line, I-band, A-band, and M-line. Next-generation sequencing allows a large number of genes to be sequenced simultaneously and provides the opportunity to easily analyze giant genes such as TTN. Mutations in the TTN gene can cause cardiomyopathies, in particular dilated cardiomyopathy (DCM). DCM is the most common form of cardiomyopathy, and it is characterized by systolic dysfunction and dilation of the left ventricle. TTN truncating variants have been described as the most common cause of DCM, while the real impact of TTN missense variants in the pathogenesis of DCM is still unclear. In a recent population screening study, rare missense variants potentially pathogenic based on bioinformatic filtering represented only 12.6% of the several hundred rare TTN missense variants found, suggesting that missense variants are very common in TTN and are frequently benign. The aim of this review is to understand the clinical role of TTN mutations in DCM and in other cardiomyopathies. Whereas TTN truncations are common in DCM, there is evidence that TTN truncations are rare in the hypertrophic cardiomyopathy (HCM) phenotype. Furthermore, TTN mutations can also cause arrhythmogenic right ventricular cardiomyopathy (ARVC) with distinct clinical features and outcomes. Finally, the identification of a rare TTN missense variant cosegregating with the restrictive cardiomyopathy (RCM) phenotype suggests that TTN is a novel disease-causing gene in this disease. Clinical diagnostic testing is currently able to analyze over 100 cardiomyopathy genes, including TTN; however, the size and presence of extensive genetic variation in TTN presents clinical challenges in determining significant disease-causing mutations. This review discusses the current knowledge of TTN genetic variations in cardiomyopathies and the impact of the diagnosis of TTN pathogenic mutations in the clinical setting.","author":[{"dropping-particle":"","family":"Gigli","given":"Marta","non-dropping-particle":"","parse-names":false,"suffix":""},{"dropping-particle":"","family":"Begay","given":"Rene L.","non-dropping-particle":"","parse-names":false,"suffix":""},{"dropping-particle":"","family":"Morea","given":"Gaetano","non-dropping-particle":"","parse-names":false,"suffix":""},{"dropping-particle":"","family":"Graw","given":"Sharon L.","non-dropping-particle":"","parse-names":false,"suffix":""},{"dropping-particle":"","family":"Sinagra","given":"Gianfranco","non-dropping-particle":"","parse-names":false,"suffix":""},{"dropping-particle":"","family":"Taylor","given":"Matthew R.G.","non-dropping-particle":"","parse-names":false,"suffix":""},{"dropping-particle":"","family":"Granzier","given":"Henk","non-dropping-particle":"","parse-names":false,"suffix":""},{"dropping-particle":"","family":"Mestroni","given":"Luisa","non-dropping-particle":"","parse-names":false,"suffix":""}],"container-title":"Frontiers in Cardiovascular Medicine","id":"ITEM-3","issued":{"date-parts":[["2016","7","21"]]},"page":"21","publisher":"Frontiers","title":"A Review of the Giant Protein Titin in Clinical Molecular Diagnostics of Cardiomyopathies","type":"article-journal","volume":"3"},"uris":["http://www.mendeley.com/documents/?uuid=59268bf1-14ed-3d97-97f2-2ca5d8e2041a"]}],"mendeley":{"formattedCitation":"(Anderson &amp; Granzier, 2012; Gautel, 2011; Gigli et al., 2016)","plainTextFormattedCitation":"(Anderson &amp; Granzier, 2012; Gautel, 2011; Gigli et al., 2016)","previouslyFormattedCitation":"(Anderson &amp; Granzier, 2012; Gautel, 2011; Gigli et al., 2016)"},"properties":{"noteIndex":0},"schema":"https://github.com/citation-style-language/schema/raw/master/csl-citation.json"}</w:instrText>
      </w:r>
      <w:r w:rsidR="00C64DFC" w:rsidRPr="004D6881">
        <w:fldChar w:fldCharType="separate"/>
      </w:r>
      <w:r w:rsidR="00E718DB" w:rsidRPr="00E718DB">
        <w:rPr>
          <w:noProof/>
          <w:color w:val="0432FF"/>
        </w:rPr>
        <w:t>(Anderson &amp; Granzier, 2012; Gautel, 2011; Gigli et al., 2016)</w:t>
      </w:r>
      <w:r w:rsidR="00C64DFC" w:rsidRPr="004D6881">
        <w:fldChar w:fldCharType="end"/>
      </w:r>
      <w:r w:rsidR="002E2457" w:rsidRPr="004D6881">
        <w:t xml:space="preserve">. </w:t>
      </w:r>
      <w:proofErr w:type="spellStart"/>
      <w:r w:rsidR="00114206" w:rsidRPr="004D6881">
        <w:t>ns</w:t>
      </w:r>
      <w:r w:rsidR="002E2457" w:rsidRPr="004D6881">
        <w:t>SN</w:t>
      </w:r>
      <w:r w:rsidR="002C15D8" w:rsidRPr="004D6881">
        <w:t>V</w:t>
      </w:r>
      <w:r w:rsidR="002E2457" w:rsidRPr="004D6881">
        <w:t>s</w:t>
      </w:r>
      <w:proofErr w:type="spellEnd"/>
      <w:r w:rsidR="002E2457" w:rsidRPr="004D6881">
        <w:t xml:space="preserve"> in titin have been identified as having key roles in the development of </w:t>
      </w:r>
      <w:proofErr w:type="spellStart"/>
      <w:r w:rsidR="002E2457" w:rsidRPr="004D6881">
        <w:t>myopathologies</w:t>
      </w:r>
      <w:proofErr w:type="spellEnd"/>
      <w:r w:rsidR="002E2457" w:rsidRPr="004D6881">
        <w:t xml:space="preserve"> </w:t>
      </w:r>
      <w:r w:rsidR="00C64DFC" w:rsidRPr="004D6881">
        <w:rPr>
          <w:color w:val="0432FF"/>
        </w:rPr>
        <w:fldChar w:fldCharType="begin" w:fldLock="1"/>
      </w:r>
      <w:r w:rsidR="00C2687E">
        <w:rPr>
          <w:color w:val="0432FF"/>
        </w:rPr>
        <w:instrText>ADDIN CSL_CITATION {"citationItems":[{"id":"ITEM-1","itemData":{"DOI":"10.1002/humu.22611","ISSN":"10597794","author":[{"dropping-particle":"","family":"Chauveau","given":"Claire","non-dropping-particle":"","parse-names":false,"suffix":""},{"dropping-particle":"","family":"Rowell","given":"John","non-dropping-particle":"","parse-names":false,"suffix":""},{"dropping-particle":"","family":"Ferreiro","given":"Ana","non-dropping-particle":"","parse-names":false,"suffix":""}],"container-title":"Human Mutation","id":"ITEM-1","issue":"9","issued":{"date-parts":[["2014","9","1"]]},"page":"1046-1059","publisher":"John Wiley &amp; Sons, Ltd","title":"A Rising Titan: &lt;i&gt;TTN&lt;/i&gt; Review and Mutation Update","type":"article-journal","volume":"35"},"uris":["http://www.mendeley.com/documents/?uuid=81593851-b021-3151-b158-c91ff1c1e1bf"]}],"mendeley":{"formattedCitation":"(Chauveau et al., 2014)","manualFormatting":"(Chauveau et al  2014)","plainTextFormattedCitation":"(Chauveau et al., 2014)","previouslyFormattedCitation":"(Chauveau, Rowell, &amp; Ferreiro, 2014)"},"properties":{"noteIndex":0},"schema":"https://github.com/citation-style-language/schema/raw/master/csl-citation.json"}</w:instrText>
      </w:r>
      <w:r w:rsidR="00C64DFC" w:rsidRPr="004D6881">
        <w:rPr>
          <w:color w:val="0432FF"/>
        </w:rPr>
        <w:fldChar w:fldCharType="separate"/>
      </w:r>
      <w:r w:rsidR="00C95664" w:rsidRPr="004D6881">
        <w:rPr>
          <w:noProof/>
          <w:color w:val="0432FF"/>
        </w:rPr>
        <w:t>(Chauveau</w:t>
      </w:r>
      <w:r w:rsidR="0069378C" w:rsidRPr="004D6881">
        <w:rPr>
          <w:noProof/>
          <w:color w:val="0432FF"/>
        </w:rPr>
        <w:t xml:space="preserve"> et al</w:t>
      </w:r>
      <w:r w:rsidR="00C95664" w:rsidRPr="004D6881">
        <w:rPr>
          <w:noProof/>
          <w:color w:val="0432FF"/>
        </w:rPr>
        <w:t xml:space="preserve">  2014)</w:t>
      </w:r>
      <w:r w:rsidR="00C64DFC" w:rsidRPr="004D6881">
        <w:rPr>
          <w:color w:val="0432FF"/>
        </w:rPr>
        <w:fldChar w:fldCharType="end"/>
      </w:r>
      <w:r w:rsidR="002E2457" w:rsidRPr="004D6881">
        <w:t xml:space="preserve">. </w:t>
      </w:r>
      <w:r w:rsidR="00F13177" w:rsidRPr="004D6881">
        <w:t>O</w:t>
      </w:r>
      <w:r w:rsidR="002E2457" w:rsidRPr="004D6881">
        <w:t xml:space="preserve">ne such disease linked to </w:t>
      </w:r>
      <w:proofErr w:type="spellStart"/>
      <w:r w:rsidR="002E2457" w:rsidRPr="004D6881">
        <w:t>nsSN</w:t>
      </w:r>
      <w:r w:rsidR="002C15D8" w:rsidRPr="004D6881">
        <w:t>V</w:t>
      </w:r>
      <w:r w:rsidR="002E2457" w:rsidRPr="004D6881">
        <w:t>s</w:t>
      </w:r>
      <w:proofErr w:type="spellEnd"/>
      <w:r w:rsidR="002E2457" w:rsidRPr="004D6881">
        <w:t xml:space="preserve"> in titin</w:t>
      </w:r>
      <w:r w:rsidR="00F13177" w:rsidRPr="004D6881">
        <w:t xml:space="preserve"> is </w:t>
      </w:r>
      <w:r w:rsidR="00AD5A41" w:rsidRPr="004D6881">
        <w:t>a</w:t>
      </w:r>
      <w:r w:rsidR="00F13177" w:rsidRPr="004D6881">
        <w:t>rrhythmogenic right ventricular cardiomyopathy (ARVC)</w:t>
      </w:r>
      <w:r w:rsidR="002E2457" w:rsidRPr="004D6881">
        <w:t xml:space="preserve">. It manifests itself in progressive fibro-fatty build up in the right ventricle </w:t>
      </w:r>
      <w:r w:rsidR="00C64DFC" w:rsidRPr="004D6881">
        <w:fldChar w:fldCharType="begin" w:fldLock="1"/>
      </w:r>
      <w:r w:rsidR="005819E9">
        <w:instrText>ADDIN CSL_CITATION {"citationItems":[{"id":"ITEM-1","itemData":{"DOI":"10.1161/CIRCULATIONAHA.110.005405","ISSN":"00097322","abstract":"Background-: Arrhythmogenic right ventricular cardiomyopathy (ARVC) is an inherited genetic myocardial disease characterized by fibrofatty replacement of the myocardium and a predisposition to cardiac arrhythmias and sudden death. We evaluated the cardiomyopathy gene titin (TTN) as a candidate ARVC gene because of its proximity to an ARVC locus at position 2q32 and the connection of the titin protein to the transitional junction at intercalated disks. Methods and results-: All 312 titin exons known to be expressed in human cardiac titin and the complete 3′ untranslated region were sequenced in 38 ARVC families. Eight unique TTN variants were detected in 7 families, including a prominent Thr2896Ile mutation that showed complete segregation with the ARVC phenotype in 1 large family. The Thr2896IIe mutation maps within a highly conserved immunoglobulin-like fold (Ig10 domain) located in the spring region of titin. Native gel electrophoresis, nuclear magnetic resonance, intrinsic fluorescence, and proteolysis assays of wild-type and mutant Ig10 domains revealed that the Thr2896IIe exchange reduces the structural stability and increases the propensity for degradation of the Ig10 domain. The phenotype of TTN variant carriers was characterized by a history of sudden death (5 of 7 families), progressive myocardial dysfunction causing death or heart transplantation (8 of 14 cases), frequent conduction disease (11 of 14), and incomplete penetrance (86%). Conclusions-: Our data provide evidence that titin mutations can cause ARVC, a finding that further expands the origin of the disease beyond desmosomal proteins. Structural impairment of the titin spring is a likely cause of ARVC and constitutes a novel mechanism underlying myocardial remodeling and sudden cardiac death. © 2011 American Heart Association, Inc.","author":[{"dropping-particle":"","family":"Taylor","given":"Matthew","non-dropping-particle":"","parse-names":false,"suffix":""},{"dropping-particle":"","family":"Graw","given":"Sharon","non-dropping-particle":"","parse-names":false,"suffix":""},{"dropping-particle":"","family":"Sinagra","given":"Gianfranco","non-dropping-particle":"","parse-names":false,"suffix":""},{"dropping-particle":"","family":"Barnes","given":"Carl","non-dropping-particle":"","parse-names":false,"suffix":""},{"dropping-particle":"","family":"Slavov","given":"Dobromir","non-dropping-particle":"","parse-names":false,"suffix":""},{"dropping-particle":"","family":"Brun","given":"Francesca","non-dropping-particle":"","parse-names":false,"suffix":""},{"dropping-particle":"","family":"Pinamonti","given":"Bruno","non-dropping-particle":"","parse-names":false,"suffix":""},{"dropping-particle":"","family":"Salcedo","given":"Ernesto E.","non-dropping-particle":"","parse-names":false,"suffix":""},{"dropping-particle":"","family":"Sauer","given":"William","non-dropping-particle":"","parse-names":false,"suffix":""},{"dropping-particle":"","family":"Pyxaras","given":"Stylianos","non-dropping-particle":"","parse-names":false,"suffix":""},{"dropping-particle":"","family":"Anderson","given":"Brian","non-dropping-particle":"","parse-names":false,"suffix":""},{"dropping-particle":"","family":"Simon","given":"Bernd","non-dropping-particle":"","parse-names":false,"suffix":""},{"dropping-particle":"","family":"Bogomolovas","given":"Julius","non-dropping-particle":"","parse-names":false,"suffix":""},{"dropping-particle":"","family":"Labeit","given":"Siegfried","non-dropping-particle":"","parse-names":false,"suffix":""},{"dropping-particle":"","family":"Granzier","given":"Henk","non-dropping-particle":"","parse-names":false,"suffix":""},{"dropping-particle":"","family":"Mestroni","given":"Luisa","non-dropping-particle":"","parse-names":false,"suffix":""}],"container-title":"Circulation","id":"ITEM-1","issue":"8","issued":{"date-parts":[["2011","8","23"]]},"page":"876-885","title":"Genetic variation in titin in arrhythmogenic right ventricular cardiomyopathy-overlap syndromes","type":"article-journal","volume":"124"},"uris":["http://www.mendeley.com/documents/?uuid=c8f5c3b3-4db6-47c0-8a77-578c34b4d799"]}],"mendeley":{"formattedCitation":"(Taylor, Graw, Sinagra, Barnes, Slavov, Brun, Pinamonti, Salcedo, Sauer, Pyxaras, Anderson, Simon, Bogomolovas, Labeit, Granzier, &amp; Mestroni, 2011)","manualFormatting":"(Taylor et al, 2011)","plainTextFormattedCitation":"(Taylor, Graw, Sinagra, Barnes, Slavov, Brun, Pinamonti, Salcedo, Sauer, Pyxaras, Anderson, Simon, Bogomolovas, Labeit, Granzier, &amp; Mestroni, 2011)","previouslyFormattedCitation":"(Taylor, Graw, Sinagra, Barnes, Slavov, Brun, Pinamonti, Salcedo, Sauer, Pyxaras, Anderson, Simon, Bogomolovas, Labeit, Granzier, &amp; Mestroni, 2011)"},"properties":{"noteIndex":0},"schema":"https://github.com/citation-style-language/schema/raw/master/csl-citation.json"}</w:instrText>
      </w:r>
      <w:r w:rsidR="00C64DFC" w:rsidRPr="004D6881">
        <w:fldChar w:fldCharType="separate"/>
      </w:r>
      <w:r w:rsidR="00C95664" w:rsidRPr="004D6881">
        <w:rPr>
          <w:noProof/>
        </w:rPr>
        <w:t>(</w:t>
      </w:r>
      <w:r w:rsidR="00C95664" w:rsidRPr="00AC223B">
        <w:rPr>
          <w:noProof/>
          <w:color w:val="0432FF"/>
        </w:rPr>
        <w:t>Taylor</w:t>
      </w:r>
      <w:r w:rsidR="00B24E35" w:rsidRPr="00AC223B">
        <w:rPr>
          <w:noProof/>
          <w:color w:val="0432FF"/>
        </w:rPr>
        <w:t xml:space="preserve"> et al,</w:t>
      </w:r>
      <w:r w:rsidR="00C95664" w:rsidRPr="00AC223B">
        <w:rPr>
          <w:noProof/>
          <w:color w:val="0432FF"/>
        </w:rPr>
        <w:t xml:space="preserve"> 2011</w:t>
      </w:r>
      <w:r w:rsidR="00C95664" w:rsidRPr="004D6881">
        <w:rPr>
          <w:noProof/>
        </w:rPr>
        <w:t>)</w:t>
      </w:r>
      <w:r w:rsidR="00C64DFC" w:rsidRPr="004D6881">
        <w:fldChar w:fldCharType="end"/>
      </w:r>
      <w:r w:rsidR="002E2457" w:rsidRPr="004D6881">
        <w:t>. This causes progressive ventricular arrhythmias and eventually heart dysfunction. Due to the subtlety of the disease phenotype during its initial stages</w:t>
      </w:r>
      <w:r w:rsidR="0069378C" w:rsidRPr="004D6881">
        <w:t>,</w:t>
      </w:r>
      <w:r w:rsidR="002E2457" w:rsidRPr="004D6881">
        <w:t xml:space="preserve"> it can be left undiagnosed until sudden cardiac death</w:t>
      </w:r>
      <w:r w:rsidR="00504046" w:rsidRPr="004D6881">
        <w:t xml:space="preserve"> </w:t>
      </w:r>
      <w:r w:rsidR="00504046" w:rsidRPr="004D6881">
        <w:fldChar w:fldCharType="begin" w:fldLock="1"/>
      </w:r>
      <w:r w:rsidR="00C2687E">
        <w:instrText>ADDIN CSL_CITATION {"citationItems":[{"id":"ITEM-1","itemData":{"DOI":"10.7759/cureus.5381","ISSN":"2168-8184","author":[{"dropping-particle":"","family":"Sattar","given":"Yasar","non-dropping-particle":"","parse-names":false,"suffix":""},{"dropping-particle":"","family":"Abdullah","given":"Hafez Mohammad","non-dropping-particle":"","parse-names":false,"suffix":""},{"dropping-particle":"","family":"Neisani Samani","given":"Elham","non-dropping-particle":"","parse-names":false,"suffix":""},{"dropping-particle":"","family":"Myla","given":"Madhura","non-dropping-particle":"","parse-names":false,"suffix":""},{"dropping-particle":"","family":"Ullah","given":"Waqas","non-dropping-particle":"","parse-names":false,"suffix":""}],"container-title":"Cureus","id":"ITEM-1","issue":"8","issued":{"date-parts":[["2019","8","13"]]},"page":"e5381","publisher":"Cureus, Inc.","title":"Arrhythmogenic Right Ventricular Cardiomyopathy/Dysplasia: An Updated Review of Diagnosis and Management","type":"article-journal","volume":"11"},"uris":["http://www.mendeley.com/documents/?uuid=d791ec5e-4c9d-4c40-b399-c706ff7d6a97"]}],"mendeley":{"formattedCitation":"(Sattar et al., 2019)","plainTextFormattedCitation":"(Sattar et al., 2019)","previouslyFormattedCitation":"(Sattar, Abdullah, Neisani Samani, Myla, &amp; Ullah, 2019)"},"properties":{"noteIndex":0},"schema":"https://github.com/citation-style-language/schema/raw/master/csl-citation.json"}</w:instrText>
      </w:r>
      <w:r w:rsidR="00504046" w:rsidRPr="004D6881">
        <w:fldChar w:fldCharType="separate"/>
      </w:r>
      <w:r w:rsidR="00C2687E" w:rsidRPr="00C2687E">
        <w:rPr>
          <w:noProof/>
          <w:color w:val="0432FF"/>
        </w:rPr>
        <w:t>(Sattar et al., 2019)</w:t>
      </w:r>
      <w:r w:rsidR="00504046" w:rsidRPr="004D6881">
        <w:fldChar w:fldCharType="end"/>
      </w:r>
      <w:r w:rsidR="002E2457" w:rsidRPr="004D6881">
        <w:t xml:space="preserve">. Therefore, there is a considerable motive </w:t>
      </w:r>
      <w:r w:rsidR="00AD5A41" w:rsidRPr="004D6881">
        <w:t xml:space="preserve">in the genetic screening of at-risk individuals, as </w:t>
      </w:r>
      <w:r w:rsidR="002E2457" w:rsidRPr="004D6881">
        <w:t xml:space="preserve">to identify patients </w:t>
      </w:r>
      <w:r w:rsidR="00AD5A41" w:rsidRPr="004D6881">
        <w:t>at an early disease stage when a therapeutic intervention is still possible</w:t>
      </w:r>
      <w:r w:rsidR="002E2457" w:rsidRPr="004D6881">
        <w:t xml:space="preserve"> </w:t>
      </w:r>
      <w:r w:rsidR="00504046" w:rsidRPr="004D6881">
        <w:fldChar w:fldCharType="begin" w:fldLock="1"/>
      </w:r>
      <w:r w:rsidR="005819E9">
        <w:instrText>ADDIN CSL_CITATION {"citationItems":[{"id":"ITEM-1","itemData":{"DOI":"10.1016/j.joa.2016.01.006","ISSN":"18832148","abstract":"Arrhythmogenic right ventricular cardiomyopathy (ARVC) is characterized by degeneration of the right ventricle and ventricular tachycardia originating from the right ventricle. Additionally, the disease is an inherited cardiomyopathy that mainly follows the autosomal dominant pattern. More than 10 genes have been reported as causative genes for ARVC, and more than half of ARVC patients carry mutations in desmosome related genes. The desmosome is one of the structures involved in cell adhesion and its disruption leads to various diseases, including a skin disease called pemphigus. Among desmosome genes, mutations in PKP2 are most frequently identified in ARVC patients. Although the genotype–phenotype correlations remain to be fully studied, many studies have reported clinical manifestations of, prognosis for, and appropriate therapies for ARVC from the perspective of gene mutations. A collective review of these reports would enhance the understanding of ARVC pathogenesis and clinical manifestation. This review discusses the clinical issues of ARVC from the genetic background.","author":[{"dropping-particle":"","family":"Ohno","given":"Seiko","non-dropping-particle":"","parse-names":false,"suffix":""}],"container-title":"Journal of Arrhythmia","id":"ITEM-1","issue":"5","issued":{"date-parts":[["2016"]]},"page":"398-403","title":"The genetic background of arrhythmogenic right ventricular cardiomyopathy","type":"article-journal","volume":"32"},"uris":["http://www.mendeley.com/documents/?uuid=9eb74477-102c-4ded-aee0-0f26a5432c6e"]}],"mendeley":{"formattedCitation":"(Ohno, 2016)","plainTextFormattedCitation":"(Ohno, 2016)","previouslyFormattedCitation":"(Ohno, 2016)"},"properties":{"noteIndex":0},"schema":"https://github.com/citation-style-language/schema/raw/master/csl-citation.json"}</w:instrText>
      </w:r>
      <w:r w:rsidR="00504046" w:rsidRPr="004D6881">
        <w:fldChar w:fldCharType="separate"/>
      </w:r>
      <w:r w:rsidR="005819E9" w:rsidRPr="005819E9">
        <w:rPr>
          <w:noProof/>
        </w:rPr>
        <w:t>(</w:t>
      </w:r>
      <w:r w:rsidR="005819E9" w:rsidRPr="00AC223B">
        <w:rPr>
          <w:noProof/>
          <w:color w:val="0432FF"/>
        </w:rPr>
        <w:t>Ohno, 2016</w:t>
      </w:r>
      <w:r w:rsidR="005819E9" w:rsidRPr="005819E9">
        <w:rPr>
          <w:noProof/>
        </w:rPr>
        <w:t>)</w:t>
      </w:r>
      <w:r w:rsidR="00504046" w:rsidRPr="004D6881">
        <w:fldChar w:fldCharType="end"/>
      </w:r>
      <w:r w:rsidR="00504046" w:rsidRPr="004D6881">
        <w:t xml:space="preserve">. </w:t>
      </w:r>
      <w:r w:rsidR="00F13177" w:rsidRPr="004D6881">
        <w:t xml:space="preserve">ARVC can be caused by mutations in several muscle genes, including </w:t>
      </w:r>
      <w:r w:rsidR="00F13177" w:rsidRPr="00A5048F">
        <w:rPr>
          <w:i/>
          <w:highlight w:val="yellow"/>
        </w:rPr>
        <w:t>DSP, PKP2, DSG2, DSC2, JUP</w:t>
      </w:r>
      <w:r w:rsidR="00F13177" w:rsidRPr="004D6881">
        <w:t xml:space="preserve"> and </w:t>
      </w:r>
      <w:r w:rsidR="00F13177" w:rsidRPr="00A5048F">
        <w:rPr>
          <w:i/>
          <w:highlight w:val="yellow"/>
        </w:rPr>
        <w:t>TTN</w:t>
      </w:r>
      <w:r w:rsidR="00504046" w:rsidRPr="004D6881">
        <w:t xml:space="preserve"> </w:t>
      </w:r>
      <w:r w:rsidR="006E64B6">
        <w:t xml:space="preserve"> encoding for proteins (</w:t>
      </w:r>
      <w:proofErr w:type="spellStart"/>
      <w:r w:rsidR="006E64B6" w:rsidRPr="004B0EE7">
        <w:rPr>
          <w:highlight w:val="yellow"/>
        </w:rPr>
        <w:t>desmoplakin</w:t>
      </w:r>
      <w:proofErr w:type="spellEnd"/>
      <w:r w:rsidR="006E64B6" w:rsidRPr="004B0EE7">
        <w:rPr>
          <w:highlight w:val="yellow"/>
        </w:rPr>
        <w:t>, plakophilin-2, desmoglein-2, desmocollin-2, junctional plakoglobin and titin, respectively</w:t>
      </w:r>
      <w:r w:rsidR="006E64B6">
        <w:t xml:space="preserve">) </w:t>
      </w:r>
      <w:r w:rsidR="00504046" w:rsidRPr="004D6881">
        <w:fldChar w:fldCharType="begin" w:fldLock="1"/>
      </w:r>
      <w:r w:rsidR="005819E9">
        <w:instrText>ADDIN CSL_CITATION {"citationItems":[{"id":"ITEM-1","itemData":{"DOI":"10.1016/j.joa.2016.01.006","ISSN":"18832148","abstract":"Arrhythmogenic right ventricular cardiomyopathy (ARVC) is characterized by degeneration of the right ventricle and ventricular tachycardia originating from the right ventricle. Additionally, the disease is an inherited cardiomyopathy that mainly follows the autosomal dominant pattern. More than 10 genes have been reported as causative genes for ARVC, and more than half of ARVC patients carry mutations in desmosome related genes. The desmosome is one of the structures involved in cell adhesion and its disruption leads to various diseases, including a skin disease called pemphigus. Among desmosome genes, mutations in PKP2 are most frequently identified in ARVC patients. Although the genotype–phenotype correlations remain to be fully studied, many studies have reported clinical manifestations of, prognosis for, and appropriate therapies for ARVC from the perspective of gene mutations. A collective review of these reports would enhance the understanding of ARVC pathogenesis and clinical manifestation. This review discusses the clinical issues of ARVC from the genetic background.","author":[{"dropping-particle":"","family":"Ohno","given":"Seiko","non-dropping-particle":"","parse-names":false,"suffix":""}],"container-title":"Journal of Arrhythmia","id":"ITEM-1","issue":"5","issued":{"date-parts":[["2016"]]},"page":"398-403","title":"The genetic background of arrhythmogenic right ventricular cardiomyopathy","type":"article-journal","volume":"32"},"uris":["http://www.mendeley.com/documents/?uuid=9eb74477-102c-4ded-aee0-0f26a5432c6e"]}],"mendeley":{"formattedCitation":"(Ohno, 2016)","plainTextFormattedCitation":"(Ohno, 2016)","previouslyFormattedCitation":"(Ohno, 2016)"},"properties":{"noteIndex":0},"schema":"https://github.com/citation-style-language/schema/raw/master/csl-citation.json"}</w:instrText>
      </w:r>
      <w:r w:rsidR="00504046" w:rsidRPr="004D6881">
        <w:fldChar w:fldCharType="separate"/>
      </w:r>
      <w:r w:rsidR="005819E9" w:rsidRPr="005819E9">
        <w:rPr>
          <w:noProof/>
        </w:rPr>
        <w:t>(</w:t>
      </w:r>
      <w:r w:rsidR="005819E9" w:rsidRPr="00AC223B">
        <w:rPr>
          <w:noProof/>
          <w:color w:val="0432FF"/>
        </w:rPr>
        <w:t>Ohno, 2016</w:t>
      </w:r>
      <w:r w:rsidR="005819E9" w:rsidRPr="005819E9">
        <w:rPr>
          <w:noProof/>
        </w:rPr>
        <w:t>)</w:t>
      </w:r>
      <w:r w:rsidR="00504046" w:rsidRPr="004D6881">
        <w:fldChar w:fldCharType="end"/>
      </w:r>
      <w:r w:rsidR="00F13177" w:rsidRPr="004D6881">
        <w:t>.</w:t>
      </w:r>
      <w:r w:rsidR="006E64B6">
        <w:t xml:space="preserve"> </w:t>
      </w:r>
      <w:r w:rsidR="00B24E35" w:rsidRPr="004D6881">
        <w:t>T</w:t>
      </w:r>
      <w:r w:rsidR="00F13177" w:rsidRPr="004D6881">
        <w:t>his genetic heterogeneity</w:t>
      </w:r>
      <w:r w:rsidRPr="004D6881">
        <w:t xml:space="preserve"> combined</w:t>
      </w:r>
      <w:r w:rsidR="00F13177" w:rsidRPr="004D6881">
        <w:t xml:space="preserve"> with </w:t>
      </w:r>
      <w:r w:rsidR="00127966" w:rsidRPr="004D6881">
        <w:t xml:space="preserve">the </w:t>
      </w:r>
      <w:r w:rsidR="00F13177" w:rsidRPr="004D6881">
        <w:t xml:space="preserve">low penetrance </w:t>
      </w:r>
      <w:r w:rsidR="00127966" w:rsidRPr="004D6881">
        <w:t xml:space="preserve">of the disorder </w:t>
      </w:r>
      <w:r w:rsidR="00F13177" w:rsidRPr="004D6881">
        <w:t>has resulted in a very poor genotype</w:t>
      </w:r>
      <w:r w:rsidR="00174EB5" w:rsidRPr="004D6881">
        <w:t>-</w:t>
      </w:r>
      <w:r w:rsidR="00F13177" w:rsidRPr="004D6881">
        <w:t>to</w:t>
      </w:r>
      <w:r w:rsidR="00174EB5" w:rsidRPr="004D6881">
        <w:t>-</w:t>
      </w:r>
      <w:r w:rsidR="00F13177" w:rsidRPr="004D6881">
        <w:t xml:space="preserve">phenotype characterisation. Therefore, investigations into the effects of specific mutations </w:t>
      </w:r>
      <w:r w:rsidR="00114206" w:rsidRPr="004D6881">
        <w:t>at</w:t>
      </w:r>
      <w:r w:rsidR="00F13177" w:rsidRPr="004D6881">
        <w:t xml:space="preserve"> the </w:t>
      </w:r>
      <w:r w:rsidR="00127966" w:rsidRPr="004D6881">
        <w:t>molecular</w:t>
      </w:r>
      <w:r w:rsidR="00F13177" w:rsidRPr="004D6881">
        <w:t>, cellular and ultimately pathophysiological level are required in order to move towards a clearer predictive model of th</w:t>
      </w:r>
      <w:r w:rsidR="00B24E35" w:rsidRPr="004D6881">
        <w:t>e</w:t>
      </w:r>
      <w:r w:rsidR="00F13177" w:rsidRPr="004D6881">
        <w:t xml:space="preserve"> disease.</w:t>
      </w:r>
    </w:p>
    <w:p w14:paraId="675CD416" w14:textId="77777777" w:rsidR="004A66CD" w:rsidRDefault="002E2457" w:rsidP="003B4456">
      <w:pPr>
        <w:pBdr>
          <w:top w:val="nil"/>
          <w:left w:val="nil"/>
          <w:bottom w:val="nil"/>
          <w:right w:val="nil"/>
          <w:between w:val="nil"/>
        </w:pBdr>
        <w:spacing w:line="360" w:lineRule="auto"/>
        <w:jc w:val="both"/>
      </w:pPr>
      <w:r w:rsidRPr="004D6881">
        <w:lastRenderedPageBreak/>
        <w:br/>
      </w:r>
    </w:p>
    <w:p w14:paraId="550A6AF8" w14:textId="7E6D61F7" w:rsidR="00313ED3" w:rsidRPr="00551659" w:rsidRDefault="004A66CD" w:rsidP="004A66CD">
      <w:pPr>
        <w:spacing w:line="360" w:lineRule="auto"/>
        <w:jc w:val="both"/>
        <w:rPr>
          <w:color w:val="000000"/>
          <w:shd w:val="clear" w:color="auto" w:fill="FFFFFF"/>
        </w:rPr>
      </w:pPr>
      <w:r w:rsidRPr="004A66CD">
        <w:rPr>
          <w:highlight w:val="yellow"/>
        </w:rPr>
        <w:t xml:space="preserve">One particular mutation - </w:t>
      </w:r>
      <w:r w:rsidRPr="000A7745">
        <w:rPr>
          <w:highlight w:val="yellow"/>
        </w:rPr>
        <w:t xml:space="preserve">T2580I located in the I10 immunoglobulin (Ig) domain in the </w:t>
      </w:r>
      <w:proofErr w:type="spellStart"/>
      <w:r w:rsidRPr="000A7745">
        <w:rPr>
          <w:highlight w:val="yellow"/>
        </w:rPr>
        <w:t>sarcomeric</w:t>
      </w:r>
      <w:proofErr w:type="spellEnd"/>
      <w:r w:rsidRPr="000A7745">
        <w:rPr>
          <w:highlight w:val="yellow"/>
        </w:rPr>
        <w:t xml:space="preserve"> I-band – has received considerable attention. </w:t>
      </w:r>
      <w:r w:rsidR="00F06ACA" w:rsidRPr="000A7745">
        <w:rPr>
          <w:highlight w:val="yellow"/>
        </w:rPr>
        <w:t>The mutation was di</w:t>
      </w:r>
      <w:r w:rsidR="000A7745" w:rsidRPr="000A7745">
        <w:rPr>
          <w:highlight w:val="yellow"/>
        </w:rPr>
        <w:t>s</w:t>
      </w:r>
      <w:r w:rsidR="00F06ACA" w:rsidRPr="000A7745">
        <w:rPr>
          <w:highlight w:val="yellow"/>
        </w:rPr>
        <w:t>covered and validated</w:t>
      </w:r>
      <w:r w:rsidRPr="000A7745">
        <w:rPr>
          <w:highlight w:val="yellow"/>
        </w:rPr>
        <w:t xml:space="preserve"> </w:t>
      </w:r>
      <w:r w:rsidRPr="000A7745">
        <w:rPr>
          <w:color w:val="000000"/>
          <w:highlight w:val="yellow"/>
          <w:shd w:val="clear" w:color="auto" w:fill="FFFFFF"/>
        </w:rPr>
        <w:t>in nine confirmed patients</w:t>
      </w:r>
      <w:r w:rsidR="000A7745">
        <w:rPr>
          <w:color w:val="000000"/>
          <w:highlight w:val="yellow"/>
          <w:shd w:val="clear" w:color="auto" w:fill="FFFFFF"/>
        </w:rPr>
        <w:t xml:space="preserve"> from a large family</w:t>
      </w:r>
      <w:r w:rsidRPr="000A7745">
        <w:rPr>
          <w:color w:val="000000"/>
          <w:highlight w:val="yellow"/>
          <w:shd w:val="clear" w:color="auto" w:fill="FFFFFF"/>
        </w:rPr>
        <w:t xml:space="preserve">, including fifth-degree relatives, </w:t>
      </w:r>
      <w:r w:rsidR="00F06ACA" w:rsidRPr="000A7745">
        <w:rPr>
          <w:color w:val="000000"/>
          <w:highlight w:val="yellow"/>
          <w:shd w:val="clear" w:color="auto" w:fill="FFFFFF"/>
        </w:rPr>
        <w:t xml:space="preserve">where </w:t>
      </w:r>
      <w:r w:rsidR="00F06ACA" w:rsidRPr="000A7745">
        <w:rPr>
          <w:highlight w:val="yellow"/>
        </w:rPr>
        <w:t xml:space="preserve">it showed a </w:t>
      </w:r>
      <w:r w:rsidR="00F06ACA" w:rsidRPr="000A7745">
        <w:rPr>
          <w:color w:val="000000"/>
          <w:highlight w:val="yellow"/>
          <w:shd w:val="clear" w:color="auto" w:fill="FFFFFF"/>
        </w:rPr>
        <w:t xml:space="preserve">strong segregation with ARVC, </w:t>
      </w:r>
      <w:r w:rsidRPr="000A7745">
        <w:rPr>
          <w:color w:val="000000"/>
          <w:highlight w:val="yellow"/>
          <w:shd w:val="clear" w:color="auto" w:fill="FFFFFF"/>
        </w:rPr>
        <w:t xml:space="preserve">whilst being absent from controls </w:t>
      </w:r>
      <w:r w:rsidRPr="000A7745">
        <w:rPr>
          <w:noProof/>
          <w:color w:val="0432FF"/>
          <w:highlight w:val="yellow"/>
          <w:shd w:val="clear" w:color="auto" w:fill="FFFFFF"/>
        </w:rPr>
        <w:t>(Taylor et al. 2011)</w:t>
      </w:r>
      <w:r w:rsidRPr="000A7745">
        <w:rPr>
          <w:color w:val="000000"/>
          <w:highlight w:val="yellow"/>
          <w:shd w:val="clear" w:color="auto" w:fill="FFFFFF"/>
        </w:rPr>
        <w:t>.</w:t>
      </w:r>
      <w:r w:rsidRPr="00551659">
        <w:rPr>
          <w:color w:val="000000"/>
          <w:highlight w:val="yellow"/>
          <w:shd w:val="clear" w:color="auto" w:fill="FFFFFF"/>
        </w:rPr>
        <w:t xml:space="preserve"> </w:t>
      </w:r>
      <w:r w:rsidR="00F06ACA" w:rsidRPr="00551659">
        <w:rPr>
          <w:color w:val="000000"/>
          <w:highlight w:val="yellow"/>
          <w:shd w:val="clear" w:color="auto" w:fill="FFFFFF"/>
        </w:rPr>
        <w:t xml:space="preserve">The phenotype of </w:t>
      </w:r>
      <w:r w:rsidR="00F06ACA" w:rsidRPr="000A7745">
        <w:rPr>
          <w:highlight w:val="yellow"/>
        </w:rPr>
        <w:t>T2580I</w:t>
      </w:r>
      <w:r w:rsidR="00F06ACA" w:rsidRPr="00551659">
        <w:rPr>
          <w:color w:val="000000"/>
          <w:highlight w:val="yellow"/>
          <w:shd w:val="clear" w:color="auto" w:fill="FFFFFF"/>
        </w:rPr>
        <w:t xml:space="preserve"> carriers was characterized by sudden death, progressive myocardial dysfunction causing death or heart transplantation and frequent conduction disease. </w:t>
      </w:r>
      <w:r w:rsidR="00CE493F" w:rsidRPr="00551659">
        <w:rPr>
          <w:color w:val="000000"/>
          <w:highlight w:val="yellow"/>
          <w:shd w:val="clear" w:color="auto" w:fill="FFFFFF"/>
        </w:rPr>
        <w:t>Subsequent</w:t>
      </w:r>
      <w:r w:rsidR="006E7411" w:rsidRPr="00551659">
        <w:rPr>
          <w:color w:val="000000"/>
          <w:highlight w:val="yellow"/>
          <w:shd w:val="clear" w:color="auto" w:fill="FFFFFF"/>
        </w:rPr>
        <w:t xml:space="preserve"> </w:t>
      </w:r>
      <w:r w:rsidR="006E7411" w:rsidRPr="00551659">
        <w:rPr>
          <w:highlight w:val="yellow"/>
        </w:rPr>
        <w:t>s</w:t>
      </w:r>
      <w:r w:rsidR="00B24E35" w:rsidRPr="00551659">
        <w:rPr>
          <w:highlight w:val="yellow"/>
        </w:rPr>
        <w:t>tudies</w:t>
      </w:r>
      <w:r w:rsidR="00B24E35" w:rsidRPr="004D6881">
        <w:t xml:space="preserve"> have been directed</w:t>
      </w:r>
      <w:r w:rsidR="003B4456" w:rsidRPr="004D6881">
        <w:t xml:space="preserve"> to determine </w:t>
      </w:r>
      <w:r w:rsidR="00B70FA9" w:rsidRPr="004D6881">
        <w:t xml:space="preserve">whether and </w:t>
      </w:r>
      <w:r w:rsidR="003B4456" w:rsidRPr="004D6881">
        <w:t xml:space="preserve">how such a seemingly small change </w:t>
      </w:r>
      <w:r w:rsidR="00B70FA9" w:rsidRPr="004D6881">
        <w:t>in a domain of titin</w:t>
      </w:r>
      <w:r w:rsidR="00127966" w:rsidRPr="004D6881">
        <w:t xml:space="preserve"> with no special function</w:t>
      </w:r>
      <w:r w:rsidR="00B70FA9" w:rsidRPr="004D6881">
        <w:t xml:space="preserve"> </w:t>
      </w:r>
      <w:r w:rsidR="003B4456" w:rsidRPr="004D6881">
        <w:t xml:space="preserve">could cause </w:t>
      </w:r>
      <w:r w:rsidR="00BC4ADD" w:rsidRPr="004D6881">
        <w:t xml:space="preserve">a </w:t>
      </w:r>
      <w:r w:rsidR="003B4456" w:rsidRPr="004D6881">
        <w:t>pathological phenotype</w:t>
      </w:r>
      <w:r w:rsidR="00B70FA9" w:rsidRPr="004D6881">
        <w:t xml:space="preserve"> at the organ level</w:t>
      </w:r>
      <w:r w:rsidR="003B4456" w:rsidRPr="004D6881">
        <w:t xml:space="preserve">. </w:t>
      </w:r>
      <w:r w:rsidR="00BC4ADD" w:rsidRPr="004D6881">
        <w:t xml:space="preserve">The </w:t>
      </w:r>
      <w:r w:rsidR="003B4456" w:rsidRPr="004D6881">
        <w:t xml:space="preserve">T2580I exchange has been shown </w:t>
      </w:r>
      <w:r w:rsidR="00624E71" w:rsidRPr="004D6881">
        <w:t xml:space="preserve">experimentally and computationally </w:t>
      </w:r>
      <w:r w:rsidR="003B4456" w:rsidRPr="004D6881">
        <w:t xml:space="preserve">to reduce </w:t>
      </w:r>
      <w:r w:rsidR="009C130D" w:rsidRPr="004D6881">
        <w:t xml:space="preserve">the </w:t>
      </w:r>
      <w:r w:rsidR="00D422AF" w:rsidRPr="004D6881">
        <w:t xml:space="preserve">structural </w:t>
      </w:r>
      <w:r w:rsidR="009C130D" w:rsidRPr="004D6881">
        <w:t>stability</w:t>
      </w:r>
      <w:r w:rsidR="00624E71" w:rsidRPr="004D6881">
        <w:t xml:space="preserve"> of the I10 domain and its </w:t>
      </w:r>
      <w:r w:rsidR="009C130D" w:rsidRPr="004D6881">
        <w:t>resistance</w:t>
      </w:r>
      <w:r w:rsidR="003B4456" w:rsidRPr="004D6881">
        <w:t xml:space="preserve"> </w:t>
      </w:r>
      <w:r w:rsidR="00624E71" w:rsidRPr="004D6881">
        <w:t>to</w:t>
      </w:r>
      <w:r w:rsidR="003B4456" w:rsidRPr="004D6881">
        <w:t xml:space="preserve"> stretch </w:t>
      </w:r>
      <w:r w:rsidR="003B4456" w:rsidRPr="004D6881">
        <w:fldChar w:fldCharType="begin" w:fldLock="1"/>
      </w:r>
      <w:r w:rsidR="00C2687E">
        <w:instrText>ADDIN CSL_CITATION {"citationItems":[{"id":"ITEM-1","itemData":{"DOI":"10.1074/jbc.M112.401372","ISSN":"00219258","abstract":"Titin plays crucial roles in sarcomere organization and cardiac elasticity by acting as an intrasarcomeric molecular spring. A mutation in the tenth Ig-like domain of titin's spring region is associated with arrhythmogenic cardiomyopathy, a disease characterized by ventricular arrhythmias leading to cardiac arrest and sudden death. Titin is the first sarcomeric protein linked to arrhythmogenic cardiomyopathy. To characterize the disease mechanism, we have used atomic force microscopy to directly measure the effects that the disease-linked point mutation (T16I) has on the mechanical and kinetic stability of Ig10 at the single molecule level. The mutation decreases the force needed to unfold Ig10 and increases its rate of unfolding 4-fold. We also found that T16I Ig10 is more prone to degradation, presumably due to compromised local protein structure. Overall, the disease-linked mutation weakens the structural integrity of titin's Ig10 domain and suggests an Ig domain disease mechanism","author":[{"dropping-particle":"","family":"Anderson","given":"Brian R.","non-dropping-particle":"","parse-names":false,"suffix":""},{"dropping-particle":"","family":"Bogomolovas","given":"Julius","non-dropping-particle":"","parse-names":false,"suffix":""},{"dropping-particle":"","family":"Labeit","given":"Siegfried","non-dropping-particle":"","parse-names":false,"suffix":""},{"dropping-particle":"","family":"Granzier","given":"Henk","non-dropping-particle":"","parse-names":false,"suffix":""}],"container-title":"Journal of Biological Chemistry","id":"ITEM-1","issue":"8","issued":{"date-parts":[["2013"]]},"page":"5303-15","title":"Single molecule force spectroscopy on titin implicates immunoglobulin domain stability as a cardiac disease mechanism","type":"article-journal","volume":"288"},"uris":["http://www.mendeley.com/documents/?uuid=1dc209bc-79c0-4fe5-a389-a8e87c76b89e"]}],"mendeley":{"formattedCitation":"(Anderson et al., 2013)","manualFormatting":"(Anderson et al. 2013; Abidi and Soheilifard 2020)","plainTextFormattedCitation":"(Anderson et al., 2013)","previouslyFormattedCitation":"(Anderson, Bogomolovas, Labeit, &amp; Granzier, 2013)"},"properties":{"noteIndex":0},"schema":"https://github.com/citation-style-language/schema/raw/master/csl-citation.json"}</w:instrText>
      </w:r>
      <w:r w:rsidR="003B4456" w:rsidRPr="004D6881">
        <w:fldChar w:fldCharType="separate"/>
      </w:r>
      <w:r w:rsidR="00C95664" w:rsidRPr="004D6881">
        <w:rPr>
          <w:noProof/>
          <w:color w:val="0432FF"/>
        </w:rPr>
        <w:t>(Anderson et al. 2013</w:t>
      </w:r>
      <w:r w:rsidR="00624E71" w:rsidRPr="004D6881">
        <w:rPr>
          <w:noProof/>
          <w:color w:val="0432FF"/>
        </w:rPr>
        <w:t>; Abidi and Soheilifard 2020</w:t>
      </w:r>
      <w:r w:rsidR="00C95664" w:rsidRPr="004D6881">
        <w:rPr>
          <w:noProof/>
        </w:rPr>
        <w:t>)</w:t>
      </w:r>
      <w:r w:rsidR="003B4456" w:rsidRPr="004D6881">
        <w:fldChar w:fldCharType="end"/>
      </w:r>
      <w:r w:rsidR="009C130D" w:rsidRPr="004D6881">
        <w:t>.</w:t>
      </w:r>
      <w:r w:rsidR="003B4456" w:rsidRPr="004D6881">
        <w:t xml:space="preserve"> </w:t>
      </w:r>
      <w:r w:rsidR="00D422AF" w:rsidRPr="004D6881">
        <w:t>Additional data</w:t>
      </w:r>
      <w:r w:rsidR="009C130D" w:rsidRPr="004D6881">
        <w:t xml:space="preserve"> </w:t>
      </w:r>
      <w:r w:rsidR="00A55F4D" w:rsidRPr="004D6881">
        <w:t>showed</w:t>
      </w:r>
      <w:r w:rsidR="009C130D" w:rsidRPr="004D6881">
        <w:t xml:space="preserve"> that the </w:t>
      </w:r>
      <w:r w:rsidR="00D422AF" w:rsidRPr="004D6881">
        <w:t>reduced structural stability of the mutated I10</w:t>
      </w:r>
      <w:r w:rsidR="003B4456" w:rsidRPr="004D6881">
        <w:t xml:space="preserve"> </w:t>
      </w:r>
      <w:r w:rsidR="00D422AF" w:rsidRPr="004D6881">
        <w:t xml:space="preserve">increased its </w:t>
      </w:r>
      <w:r w:rsidR="003B4456" w:rsidRPr="004D6881">
        <w:t>susceptibility to proteolytic degradation</w:t>
      </w:r>
      <w:r w:rsidR="00A55F4D" w:rsidRPr="004D6881">
        <w:t xml:space="preserve"> </w:t>
      </w:r>
      <w:r w:rsidR="00A55F4D" w:rsidRPr="00551659">
        <w:rPr>
          <w:i/>
          <w:highlight w:val="yellow"/>
        </w:rPr>
        <w:t>in vitro</w:t>
      </w:r>
      <w:r w:rsidR="003B4456" w:rsidRPr="004D6881">
        <w:t xml:space="preserve"> </w:t>
      </w:r>
      <w:r w:rsidR="003B4456" w:rsidRPr="004D6881">
        <w:rPr>
          <w:color w:val="000000"/>
          <w:shd w:val="clear" w:color="auto" w:fill="FFFFFF"/>
        </w:rPr>
        <w:fldChar w:fldCharType="begin" w:fldLock="1"/>
      </w:r>
      <w:r w:rsidR="00B5196A">
        <w:rPr>
          <w:color w:val="000000"/>
          <w:shd w:val="clear" w:color="auto" w:fill="FFFFFF"/>
        </w:rPr>
        <w:instrText>ADDIN CSL_CITATION {"citationItems":[{"id":"ITEM-1","itemData":{"DOI":"10.1161/CIRCULATIONAHA.110.005405.Genetic","ISSN":"1524-4539","PMID":"21810661","abstract":"Arrhythmogenic right ventricular cardiomyopathy (ARVC) is an inherited genetic myocardial disease characterized by fibrofatty replacement of the myocardium and a predisposition to cardiac arrhythmias and sudden death. We evaluated the cardiomyopathy gene titin (TTN) as a candidate ARVC gene because of its proximity to an ARVC locus at position 2q32 and the connection of the titin protein to the transitional junction at intercalated disks.","author":[{"dropping-particle":"","family":"Taylor","given":"Matthew","non-dropping-particle":"","parse-names":false,"suffix":""},{"dropping-particle":"","family":"Graw","given":"Sharon","non-dropping-particle":"","parse-names":false,"suffix":""},{"dropping-particle":"","family":"Sinagra","given":"Gianfranco","non-dropping-particle":"","parse-names":false,"suffix":""},{"dropping-particle":"","family":"Barnes","given":"Carl","non-dropping-particle":"","parse-names":false,"suffix":""},{"dropping-particle":"","family":"Slavov","given":"Dobromir","non-dropping-particle":"","parse-names":false,"suffix":""},{"dropping-particle":"","family":"Brun","given":"Francesca","non-dropping-particle":"","parse-names":false,"suffix":""},{"dropping-particle":"","family":"Pinamonti","given":"Bruno","non-dropping-particle":"","parse-names":false,"suffix":""},{"dropping-particle":"","family":"Salcedo","given":"Ernesto E","non-dropping-particle":"","parse-names":false,"suffix":""},{"dropping-particle":"","family":"Sauer","given":"William","non-dropping-particle":"","parse-names":false,"suffix":""},{"dropping-particle":"","family":"Pyxaras","given":"Stylianos","non-dropping-particle":"","parse-names":false,"suffix":""},{"dropping-particle":"","family":"Anderson","given":"Brian","non-dropping-particle":"","parse-names":false,"suffix":""},{"dropping-particle":"","family":"Simon","given":"Bernd","non-dropping-particle":"","parse-names":false,"suffix":""},{"dropping-particle":"","family":"Bogomolovas","given":"Julius","non-dropping-particle":"","parse-names":false,"suffix":""},{"dropping-particle":"","family":"Labeit","given":"Siegfried","non-dropping-particle":"","parse-names":false,"suffix":""},{"dropping-particle":"","family":"Granzier","given":"Henk","non-dropping-particle":"","parse-names":false,"suffix":""},{"dropping-particle":"","family":"Mestroni","given":"Luisa","non-dropping-particle":"","parse-names":false,"suffix":""},{"dropping-particle":"","family":"Ernesto","given":"E","non-dropping-particle":"","parse-names":false,"suffix":""}],"container-title":"Circulation","id":"ITEM-1","issue":"8","issued":{"date-parts":[["2011"]]},"page":"876-885","title":"Genetic Variation in Titin in ARVC-Overlap Syndromes","type":"article-journal","volume":"124"},"uris":["http://www.mendeley.com/documents/?uuid=a6272e41-9938-3adf-9b61-19acf2e2ead8"]},{"id":"ITEM-2","itemData":{"DOI":"10.1074/jbc.M112.401372","ISSN":"00219258","abstract":"Titin plays crucial roles in sarcomere organization and cardiac elasticity by acting as an intrasarcomeric molecular spring. A mutation in the tenth Ig-like domain of titin's spring region is associated with arrhythmogenic cardiomyopathy, a disease characterized by ventricular arrhythmias leading to cardiac arrest and sudden death. Titin is the first sarcomeric protein linked to arrhythmogenic cardiomyopathy. To characterize the disease mechanism, we have used atomic force microscopy to directly measure the effects that the disease-linked point mutation (T16I) has on the mechanical and kinetic stability of Ig10 at the single molecule level. The mutation decreases the force needed to unfold Ig10 and increases its rate of unfolding 4-fold. We also found that T16I Ig10 is more prone to degradation, presumably due to compromised local protein structure. Overall, the disease-linked mutation weakens the structural integrity of titin's Ig10 domain and suggests an Ig domain disease mechanism","author":[{"dropping-particle":"","family":"Anderson","given":"Brian R.","non-dropping-particle":"","parse-names":false,"suffix":""},{"dropping-particle":"","family":"Bogomolovas","given":"Julius","non-dropping-particle":"","parse-names":false,"suffix":""},{"dropping-particle":"","family":"Labeit","given":"Siegfried","non-dropping-particle":"","parse-names":false,"suffix":""},{"dropping-particle":"","family":"Granzier","given":"Henk","non-dropping-particle":"","parse-names":false,"suffix":""}],"container-title":"Journal of Biological Chemistry","id":"ITEM-2","issue":"8","issued":{"date-parts":[["2013"]]},"page":"5303-15","title":"Single molecule force spectroscopy on titin implicates immunoglobulin domain stability as a cardiac disease mechanism","type":"article-journal","volume":"288"},"uris":["http://www.mendeley.com/documents/?uuid=1dc209bc-79c0-4fe5-a389-a8e87c76b89e"]}],"mendeley":{"formattedCitation":"(Anderson et al., 2013; Taylor, Graw, Sinagra, Barnes, Slavov, Brun, Pinamonti, Salcedo, Sauer, Pyxaras, Anderson, Simon, Bogomolovas, Labeit, Granzier, Mestroni, et al., 2011)","manualFormatting":"(Taylor et al. 2011; Anderson et al. 2013)","plainTextFormattedCitation":"(Anderson et al., 2013; Taylor, Graw, Sinagra, Barnes, Slavov, Brun, Pinamonti, Salcedo, Sauer, Pyxaras, Anderson, Simon, Bogomolovas, Labeit, Granzier, Mestroni, et al., 2011)","previouslyFormattedCitation":"(Anderson et al., 2013; Taylor, Graw, Sinagra, Barnes, Slavov, Brun, Pinamonti, Salcedo, Sauer, Pyxaras, Anderson, Simon, Bogomolovas, Labeit, Granzier, Mestroni, et al., 2011)"},"properties":{"noteIndex":0},"schema":"https://github.com/citation-style-language/schema/raw/master/csl-citation.json"}</w:instrText>
      </w:r>
      <w:r w:rsidR="003B4456" w:rsidRPr="004D6881">
        <w:rPr>
          <w:color w:val="000000"/>
          <w:shd w:val="clear" w:color="auto" w:fill="FFFFFF"/>
        </w:rPr>
        <w:fldChar w:fldCharType="separate"/>
      </w:r>
      <w:r w:rsidR="00C95664" w:rsidRPr="004D6881">
        <w:rPr>
          <w:noProof/>
          <w:color w:val="0432FF"/>
          <w:shd w:val="clear" w:color="auto" w:fill="FFFFFF"/>
        </w:rPr>
        <w:t>(Taylor et al. 2011</w:t>
      </w:r>
      <w:r w:rsidR="000B789A" w:rsidRPr="004D6881">
        <w:rPr>
          <w:noProof/>
          <w:color w:val="0432FF"/>
          <w:shd w:val="clear" w:color="auto" w:fill="FFFFFF"/>
        </w:rPr>
        <w:t>; Anderson et al. 2013</w:t>
      </w:r>
      <w:r w:rsidR="00C95664" w:rsidRPr="004D6881">
        <w:rPr>
          <w:noProof/>
          <w:color w:val="0432FF"/>
          <w:shd w:val="clear" w:color="auto" w:fill="FFFFFF"/>
        </w:rPr>
        <w:t>)</w:t>
      </w:r>
      <w:r w:rsidR="003B4456" w:rsidRPr="004D6881">
        <w:rPr>
          <w:color w:val="000000"/>
          <w:shd w:val="clear" w:color="auto" w:fill="FFFFFF"/>
        </w:rPr>
        <w:fldChar w:fldCharType="end"/>
      </w:r>
      <w:r w:rsidR="003B4456" w:rsidRPr="004D6881">
        <w:rPr>
          <w:color w:val="000000"/>
          <w:shd w:val="clear" w:color="auto" w:fill="FFFFFF"/>
        </w:rPr>
        <w:t>.</w:t>
      </w:r>
      <w:r w:rsidR="003B4456" w:rsidRPr="004D6881">
        <w:t xml:space="preserve"> </w:t>
      </w:r>
      <w:r w:rsidR="00A55F4D" w:rsidRPr="004D6881">
        <w:t>T</w:t>
      </w:r>
      <w:r w:rsidR="004B19A1" w:rsidRPr="004D6881">
        <w:t>ogether, the data</w:t>
      </w:r>
      <w:r w:rsidR="00A55F4D" w:rsidRPr="004D6881">
        <w:t xml:space="preserve"> </w:t>
      </w:r>
      <w:r w:rsidR="00D50088" w:rsidRPr="004D6881">
        <w:t>indicated</w:t>
      </w:r>
      <w:r w:rsidR="00A55F4D" w:rsidRPr="004D6881">
        <w:t xml:space="preserve"> that the mutated I10 might compromise the mechanical performance and life time of titin </w:t>
      </w:r>
      <w:r w:rsidR="00A55F4D" w:rsidRPr="00551659">
        <w:rPr>
          <w:i/>
          <w:highlight w:val="yellow"/>
        </w:rPr>
        <w:t>in vivo</w:t>
      </w:r>
      <w:r w:rsidR="00A55F4D" w:rsidRPr="004D6881">
        <w:t xml:space="preserve">. </w:t>
      </w:r>
      <w:r w:rsidR="004B19A1" w:rsidRPr="004D6881">
        <w:t xml:space="preserve">A </w:t>
      </w:r>
      <w:r w:rsidR="002815B1" w:rsidRPr="004D6881">
        <w:t>further</w:t>
      </w:r>
      <w:r w:rsidR="004B19A1" w:rsidRPr="004D6881">
        <w:t xml:space="preserve"> study </w:t>
      </w:r>
      <w:r w:rsidR="001B0F8F" w:rsidRPr="004D6881">
        <w:fldChar w:fldCharType="begin" w:fldLock="1"/>
      </w:r>
      <w:r w:rsidR="00E718DB">
        <w:instrText>ADDIN CSL_CITATION {"citationItems":[{"id":"ITEM-1","itemData":{"DOI":"10.1098/rsob.160114","ISSN":"20462441","abstract":"Missense single-nucleotide polymorphisms (mSNPs) in titin are emerging as a main causative factor of heart failure. However, distinguishing between benign and disease-causing mSNPs is a substantial challenge. Here, we research the question of whether a single mSNP in a generic domain of titin can affect heart function as a whole and, if so, how. For this, we studied the mSNP T2850I, seemingly linked to arrhythmogenic right ventricular cardiomyopathy (ARVC). We used structural biology, computational simulations and transgenic muscle in vivo methods to track the effect of the mutation from the molecular to the organismal level. The data show that the T2850I exchange is compatible with the domain three-dimensional fold, but that it strongly destabilizes it. Further, it induces a change in the conformational dynamics of the titin chain that alters its reactivity, causing the formation of aberrant interactions in the sarcomere. Echocardiography of knock-in mice indicated a mild diastolic dysfunction arising from increased myocardial stiffness. In conclusion, our data provide evidence that single mSNPs in titin's I-band can alter overall muscle behaviour. Our suggested mechanisms of disease are the development of non-native sarcomeric interactions and titin instability leading to a reduced I-band compliance. However, understanding the T2850I-induced ARVC pathology mechanistically remains a complex problem and will require a deeper understanding of the sarcomeric context of the titin region affected.","author":[{"dropping-particle":"","family":"Bogomolovas","given":"Julius","non-dropping-particle":"","parse-names":false,"suffix":""},{"dropping-particle":"","family":"Fleming","given":"Jennifer R.","non-dropping-particle":"","parse-names":false,"suffix":""},{"dropping-particle":"","family":"Anderson","given":"Brian R.","non-dropping-particle":"","parse-names":false,"suffix":""},{"dropping-particle":"","family":"Williams","given":"Rhys","non-dropping-particle":"","parse-names":false,"suffix":""},{"dropping-particle":"","family":"Lange","given":"Stephan","non-dropping-particle":"","parse-names":false,"suffix":""},{"dropping-particle":"","family":"Simon","given":"Bernd","non-dropping-particle":"","parse-names":false,"suffix":""},{"dropping-particle":"","family":"Khan","given":"Muzamil M.","non-dropping-particle":"","parse-names":false,"suffix":""},{"dropping-particle":"","family":"Rudolf","given":"Rüdiger","non-dropping-particle":"","parse-names":false,"suffix":""},{"dropping-particle":"","family":"Franke","given":"Barbara","non-dropping-particle":"","parse-names":false,"suffix":""},{"dropping-particle":"","family":"Bullard","given":"Belinda","non-dropping-particle":"","parse-names":false,"suffix":""},{"dropping-particle":"","family":"Rigden","given":"Daniel J.","non-dropping-particle":"","parse-names":false,"suffix":""},{"dropping-particle":"","family":"Granzier","given":"Henk","non-dropping-particle":"","parse-names":false,"suffix":""},{"dropping-particle":"","family":"Labeit","given":"Siegfried","non-dropping-particle":"","parse-names":false,"suffix":""},{"dropping-particle":"","family":"Mayans","given":"Olga","non-dropping-particle":"","parse-names":false,"suffix":""}],"container-title":"Open Biology","id":"ITEM-1","issue":"9","issued":{"date-parts":[["2016"]]},"page":"pii: 160114","title":"Exploration of pathomechanisms triggered by a single-nucleotide polymorphism in titin's I-band: The cardiomyopathy-linked mutation T2580I","type":"article-journal","volume":"6"},"uris":["http://www.mendeley.com/documents/?uuid=a40e115f-ccdf-39d2-b373-72a5ceeeb72b"]}],"mendeley":{"formattedCitation":"(Bogomolovas et al., 2016)","plainTextFormattedCitation":"(Bogomolovas et al., 2016)","previouslyFormattedCitation":"(Bogomolovas et al., 2016)"},"properties":{"noteIndex":0},"schema":"https://github.com/citation-style-language/schema/raw/master/csl-citation.json"}</w:instrText>
      </w:r>
      <w:r w:rsidR="001B0F8F" w:rsidRPr="004D6881">
        <w:fldChar w:fldCharType="separate"/>
      </w:r>
      <w:r w:rsidR="00E718DB" w:rsidRPr="00E718DB">
        <w:rPr>
          <w:noProof/>
        </w:rPr>
        <w:t>(</w:t>
      </w:r>
      <w:r w:rsidR="00E718DB" w:rsidRPr="00D54765">
        <w:rPr>
          <w:noProof/>
          <w:color w:val="0432FF"/>
        </w:rPr>
        <w:t>Bogomolovas et al., 2016</w:t>
      </w:r>
      <w:r w:rsidR="00E718DB" w:rsidRPr="00E718DB">
        <w:rPr>
          <w:noProof/>
        </w:rPr>
        <w:t>)</w:t>
      </w:r>
      <w:r w:rsidR="001B0F8F" w:rsidRPr="004D6881">
        <w:fldChar w:fldCharType="end"/>
      </w:r>
      <w:r w:rsidR="001B0F8F" w:rsidRPr="004D6881">
        <w:t xml:space="preserve"> reported a comprehensive experimental and computational study of the wildtype and T2580I </w:t>
      </w:r>
      <w:r w:rsidR="00E84FB7" w:rsidRPr="004D6881">
        <w:t>mutat</w:t>
      </w:r>
      <w:r w:rsidR="002A0CF8" w:rsidRPr="00551659">
        <w:rPr>
          <w:highlight w:val="yellow"/>
        </w:rPr>
        <w:t>ed I10</w:t>
      </w:r>
      <w:r w:rsidR="00E84FB7" w:rsidRPr="004D6881">
        <w:t xml:space="preserve"> </w:t>
      </w:r>
      <w:r w:rsidR="001B0F8F" w:rsidRPr="004D6881">
        <w:t xml:space="preserve">in the context of the poly-Ig titin chain. The study used knowledge of the atomic structure of I9-I11 to investigate the conformational dynamics of the titin chain using molecular dynamic simulations (MDS), with the findings being </w:t>
      </w:r>
      <w:r w:rsidR="00403F93" w:rsidRPr="004D6881">
        <w:t xml:space="preserve">then </w:t>
      </w:r>
      <w:r w:rsidR="001B0F8F" w:rsidRPr="004D6881">
        <w:t xml:space="preserve">used to interpret results from transgenic muscle as well as a knock-in mouse model. </w:t>
      </w:r>
      <w:r w:rsidR="00403F93" w:rsidRPr="004D6881">
        <w:t xml:space="preserve">Although the mouse model did not reproduce the disorder in humans, the results showed </w:t>
      </w:r>
      <w:r w:rsidR="001B0F8F" w:rsidRPr="004D6881">
        <w:t xml:space="preserve">that the </w:t>
      </w:r>
      <w:r w:rsidR="00403F93" w:rsidRPr="004D6881">
        <w:t xml:space="preserve">single </w:t>
      </w:r>
      <w:r w:rsidR="001B0F8F" w:rsidRPr="004D6881">
        <w:t>point mutation was sufficient to alter th</w:t>
      </w:r>
      <w:r w:rsidR="00403F93" w:rsidRPr="004D6881">
        <w:t>e cardiac phenotype</w:t>
      </w:r>
      <w:r w:rsidR="001B0F8F" w:rsidRPr="004D6881">
        <w:t xml:space="preserve">. </w:t>
      </w:r>
      <w:r w:rsidR="00E52F89" w:rsidRPr="00551659">
        <w:rPr>
          <w:highlight w:val="yellow"/>
        </w:rPr>
        <w:t>Importantly, these data were the first experimental evidence that a single point mutation in the elastic I-band of titin can alter heart mechanics.</w:t>
      </w:r>
      <w:r w:rsidR="00E52F89">
        <w:t xml:space="preserve"> </w:t>
      </w:r>
      <w:r w:rsidR="001B0F8F" w:rsidRPr="004D6881">
        <w:t>At the mo</w:t>
      </w:r>
      <w:r w:rsidR="000B0922" w:rsidRPr="004D6881">
        <w:t xml:space="preserve">lecular level, the </w:t>
      </w:r>
      <w:r w:rsidR="00AF2A1A" w:rsidRPr="004D6881">
        <w:t>T2580I</w:t>
      </w:r>
      <w:r w:rsidR="00403F93" w:rsidRPr="004D6881">
        <w:t xml:space="preserve"> exchange</w:t>
      </w:r>
      <w:r w:rsidR="000B0922" w:rsidRPr="004D6881">
        <w:t xml:space="preserve"> appeared to </w:t>
      </w:r>
      <w:r w:rsidR="00403F93" w:rsidRPr="004D6881">
        <w:t xml:space="preserve">lead to </w:t>
      </w:r>
      <w:r w:rsidR="000B0922" w:rsidRPr="004D6881">
        <w:t xml:space="preserve">a </w:t>
      </w:r>
      <w:proofErr w:type="gramStart"/>
      <w:r w:rsidR="000B0922" w:rsidRPr="004D6881">
        <w:t xml:space="preserve">differential </w:t>
      </w:r>
      <w:r w:rsidR="001B0F8F" w:rsidRPr="004D6881">
        <w:t>conformational dynamics of the poly-Ig chain</w:t>
      </w:r>
      <w:proofErr w:type="gramEnd"/>
      <w:r w:rsidR="001B0F8F" w:rsidRPr="004D6881">
        <w:t xml:space="preserve"> at the mutated locus, with domains I10-I11 showing a propensity </w:t>
      </w:r>
      <w:r w:rsidR="000B0922" w:rsidRPr="004D6881">
        <w:t>towards</w:t>
      </w:r>
      <w:r w:rsidR="003B4456" w:rsidRPr="004D6881">
        <w:t xml:space="preserve"> more bent and twisted conformations</w:t>
      </w:r>
      <w:r w:rsidR="000B0922" w:rsidRPr="004D6881">
        <w:t>.</w:t>
      </w:r>
      <w:r w:rsidR="003B4456" w:rsidRPr="004D6881">
        <w:t xml:space="preserve"> </w:t>
      </w:r>
      <w:r w:rsidR="000B0922" w:rsidRPr="004D6881">
        <w:t>This</w:t>
      </w:r>
      <w:r w:rsidR="003B4456" w:rsidRPr="004D6881">
        <w:t xml:space="preserve"> conformational molecular phenotype </w:t>
      </w:r>
      <w:r w:rsidR="000B0922" w:rsidRPr="004D6881">
        <w:t xml:space="preserve">correlated with </w:t>
      </w:r>
      <w:r w:rsidR="00AF2A1A" w:rsidRPr="004D6881">
        <w:t>observed</w:t>
      </w:r>
      <w:r w:rsidR="003B4456" w:rsidRPr="004D6881">
        <w:t xml:space="preserve"> unspecific interactions </w:t>
      </w:r>
      <w:r w:rsidR="00AF2A1A" w:rsidRPr="004D6881">
        <w:t xml:space="preserve">of </w:t>
      </w:r>
      <w:r w:rsidR="000B0922" w:rsidRPr="004D6881">
        <w:t xml:space="preserve">mutated titin </w:t>
      </w:r>
      <w:r w:rsidR="00AF2A1A" w:rsidRPr="004D6881">
        <w:t xml:space="preserve">fragments tested </w:t>
      </w:r>
      <w:r w:rsidR="000B0922" w:rsidRPr="004D6881">
        <w:t>in transgenic muscle</w:t>
      </w:r>
      <w:r w:rsidR="00AF2A1A" w:rsidRPr="004D6881">
        <w:t xml:space="preserve">. This </w:t>
      </w:r>
      <w:r w:rsidR="003B4456" w:rsidRPr="004D6881">
        <w:t>indicat</w:t>
      </w:r>
      <w:r w:rsidR="00AF2A1A" w:rsidRPr="004D6881">
        <w:t>ed</w:t>
      </w:r>
      <w:r w:rsidR="003B4456" w:rsidRPr="004D6881">
        <w:t xml:space="preserve"> that </w:t>
      </w:r>
      <w:r w:rsidR="000B0922" w:rsidRPr="004D6881">
        <w:t xml:space="preserve">the cardiac phenotype </w:t>
      </w:r>
      <w:r w:rsidR="00AF2A1A" w:rsidRPr="004D6881">
        <w:t xml:space="preserve">in the T2580I-mice </w:t>
      </w:r>
      <w:r w:rsidR="000B0922" w:rsidRPr="004D6881">
        <w:t xml:space="preserve">might </w:t>
      </w:r>
      <w:r w:rsidR="00AF2A1A" w:rsidRPr="004D6881">
        <w:t xml:space="preserve">have </w:t>
      </w:r>
      <w:r w:rsidR="000B0922" w:rsidRPr="004D6881">
        <w:t>arise</w:t>
      </w:r>
      <w:r w:rsidR="00AF2A1A" w:rsidRPr="004D6881">
        <w:t>n</w:t>
      </w:r>
      <w:r w:rsidR="000B0922" w:rsidRPr="004D6881">
        <w:t xml:space="preserve"> </w:t>
      </w:r>
      <w:r w:rsidR="00AF2A1A" w:rsidRPr="004D6881">
        <w:t xml:space="preserve">from </w:t>
      </w:r>
      <w:r w:rsidR="000B0922" w:rsidRPr="004D6881">
        <w:t>an increased</w:t>
      </w:r>
      <w:r w:rsidR="003B4456" w:rsidRPr="004D6881">
        <w:t xml:space="preserve"> viscoelasticity </w:t>
      </w:r>
      <w:r w:rsidR="000B0922" w:rsidRPr="004D6881">
        <w:t>in</w:t>
      </w:r>
      <w:r w:rsidR="003B4456" w:rsidRPr="004D6881">
        <w:t xml:space="preserve"> the sarcomere. This work suggested that the inclusion of MDS calculations into the assessment of titin </w:t>
      </w:r>
      <w:proofErr w:type="spellStart"/>
      <w:r w:rsidR="003B4456" w:rsidRPr="004D6881">
        <w:t>nsSNVs</w:t>
      </w:r>
      <w:proofErr w:type="spellEnd"/>
      <w:r w:rsidR="003B4456" w:rsidRPr="004D6881">
        <w:t xml:space="preserve"> could be valuable in generating molecular models to understand pathology. </w:t>
      </w:r>
    </w:p>
    <w:p w14:paraId="738D9B62" w14:textId="77777777" w:rsidR="00313ED3" w:rsidRPr="004D6881" w:rsidRDefault="00313ED3" w:rsidP="003B4456">
      <w:pPr>
        <w:pBdr>
          <w:top w:val="nil"/>
          <w:left w:val="nil"/>
          <w:bottom w:val="nil"/>
          <w:right w:val="nil"/>
          <w:between w:val="nil"/>
        </w:pBdr>
        <w:spacing w:line="360" w:lineRule="auto"/>
        <w:jc w:val="both"/>
      </w:pPr>
    </w:p>
    <w:p w14:paraId="228300DF" w14:textId="130C4E74" w:rsidR="003B4456" w:rsidRPr="004D6881" w:rsidRDefault="00AF2A1A" w:rsidP="003B4456">
      <w:pPr>
        <w:pBdr>
          <w:top w:val="nil"/>
          <w:left w:val="nil"/>
          <w:bottom w:val="nil"/>
          <w:right w:val="nil"/>
          <w:between w:val="nil"/>
        </w:pBdr>
        <w:spacing w:line="360" w:lineRule="auto"/>
        <w:jc w:val="both"/>
      </w:pPr>
      <w:r w:rsidRPr="004D6881">
        <w:lastRenderedPageBreak/>
        <w:t xml:space="preserve">In contrast to the existent need for </w:t>
      </w:r>
      <w:r w:rsidR="00B74170" w:rsidRPr="004D6881">
        <w:t xml:space="preserve">titin </w:t>
      </w:r>
      <w:proofErr w:type="spellStart"/>
      <w:r w:rsidRPr="004D6881">
        <w:t>nsSNV</w:t>
      </w:r>
      <w:proofErr w:type="spellEnd"/>
      <w:r w:rsidRPr="004D6881">
        <w:t xml:space="preserve"> evaluation, current predictive methods are not well suited to the assessment of residue variations in this unique molecule. This has been confirmed by</w:t>
      </w:r>
      <w:r w:rsidR="00127966" w:rsidRPr="004D6881">
        <w:t xml:space="preserve"> a comprehensive study </w:t>
      </w:r>
      <w:r w:rsidR="00127966" w:rsidRPr="004D6881">
        <w:fldChar w:fldCharType="begin" w:fldLock="1"/>
      </w:r>
      <w:r w:rsidR="00B5196A">
        <w:instrText>ADDIN CSL_CITATION {"citationItems":[{"id":"ITEM-1","itemData":{"DOI":"10.3390/ijms161025773","ISSN":"14220067","abstract":"A leading cause of death in western countries is sudden cardiac death, and can be associated with genetic disease. Next-generation sequencing has allowed thorough analysis of genes associated with this entity, including, most recently, titin. We aimed to identify potentially pathogenic genetic variants in titin. A total of 1126 samples were analyzed using a custom sequencing panel including major genes related to sudden cardiac death. Our cohort was divided into three groups: 432 cases from patients with cardiomyopathies, 130 cases from patients with channelopathies, and 564 post-mortem samples from individuals showing anatomical healthy hearts and non-conclusive causes of death after comprehensive autopsy. None of the patients included had definite pathogenic variants in the genes analyzed by our custom cardio-panel. Retrospective analysis comparing the in-house database and available public databases also was performed. We identified 554 rare variants in titin, 282 of which were novel. Seven were previously reported as pathogenic. Of these 554 variants, 493 were missense variants, 233 of which were novel. Of all variants identified, 399 were unique and 155 were identified at least twice. No definite pathogenic variants were identified in any of genes analyzed. We identified rare, mostly novel, titin variants that seem to play a potentially pathogenic role in sudden cardiac death. Additional studies should be performed to clarify the role of these variants in sudden cardiac death.","author":[{"dropping-particle":"","family":"Campuzano","given":"Oscar","non-dropping-particle":"","parse-names":false,"suffix":""},{"dropping-particle":"","family":"Sanchez-Molero","given":"Olallo","non-dropping-particle":"","parse-names":false,"suffix":""},{"dropping-particle":"","family":"Mademont-Soler","given":"Irene","non-dropping-particle":"","parse-names":false,"suffix":""},{"dropping-particle":"","family":"Riuró","given":"Helena","non-dropping-particle":"","parse-names":false,"suffix":""},{"dropping-particle":"","family":"Allegue","given":"Catarina","non-dropping-particle":"","parse-names":false,"suffix":""},{"dropping-particle":"","family":"Coll","given":"Monica","non-dropping-particle":"","parse-names":false,"suffix":""},{"dropping-particle":"","family":"Pérez-Serra","given":"Alexandra","non-dropping-particle":"","parse-names":false,"suffix":""},{"dropping-particle":"","family":"Mates","given":"Jesus","non-dropping-particle":"","parse-names":false,"suffix":""},{"dropping-particle":"","family":"Picó","given":"Ferran","non-dropping-particle":"","parse-names":false,"suffix":""},{"dropping-particle":"","family":"Iglesias","given":"Anna","non-dropping-particle":"","parse-names":false,"suffix":""},{"dropping-particle":"","family":"Brugada","given":"Ramon","non-dropping-particle":"","parse-names":false,"suffix":""}],"container-title":"International Journal of Molecular Sciences","id":"ITEM-1","issue":"10","issued":{"date-parts":[["2015"]]},"page":"25773-87","title":"Rare titin (TTN) variants in diseases associated with sudden cardiac death","type":"article-journal","volume":"16"},"uris":["http://www.mendeley.com/documents/?uuid=9cb66e42-d9a6-4731-9ab9-b82b3aec08ee"]}],"mendeley":{"formattedCitation":"(Campuzano et al., 2015)","plainTextFormattedCitation":"(Campuzano et al., 2015)","previouslyFormattedCitation":"(Campuzano et al., 2015)"},"properties":{"noteIndex":0},"schema":"https://github.com/citation-style-language/schema/raw/master/csl-citation.json"}</w:instrText>
      </w:r>
      <w:r w:rsidR="00127966" w:rsidRPr="004D6881">
        <w:fldChar w:fldCharType="separate"/>
      </w:r>
      <w:r w:rsidR="00E718DB" w:rsidRPr="00E718DB">
        <w:rPr>
          <w:noProof/>
          <w:color w:val="0432FF"/>
        </w:rPr>
        <w:t>(Campuzano et al., 2015)</w:t>
      </w:r>
      <w:r w:rsidR="00127966" w:rsidRPr="004D6881">
        <w:fldChar w:fldCharType="end"/>
      </w:r>
      <w:r w:rsidR="00127966" w:rsidRPr="004D6881">
        <w:t xml:space="preserve"> </w:t>
      </w:r>
      <w:r w:rsidRPr="004D6881">
        <w:t xml:space="preserve">that </w:t>
      </w:r>
      <w:r w:rsidR="00127966" w:rsidRPr="004D6881">
        <w:t xml:space="preserve">reported several missense mutations in titin linked to ARVC. When these confirmed deleterious variants were analysed using conventional </w:t>
      </w:r>
      <w:r w:rsidR="00127966" w:rsidRPr="005A1492">
        <w:rPr>
          <w:i/>
          <w:highlight w:val="yellow"/>
        </w:rPr>
        <w:t>in silico</w:t>
      </w:r>
      <w:r w:rsidR="00127966" w:rsidRPr="004D6881">
        <w:t xml:space="preserve"> predictors they were predicted to be benign or neutral. </w:t>
      </w:r>
      <w:r w:rsidR="00DA1E15" w:rsidRPr="004D6881">
        <w:t xml:space="preserve">Building on the results by </w:t>
      </w:r>
      <w:proofErr w:type="spellStart"/>
      <w:r w:rsidR="00DA1E15" w:rsidRPr="004D6881">
        <w:t>Bogomolovas</w:t>
      </w:r>
      <w:proofErr w:type="spellEnd"/>
      <w:r w:rsidR="00DA1E15" w:rsidRPr="004D6881">
        <w:t xml:space="preserve"> and co-workers on T2580I and the availability of the molecular structure of I9-I11 </w:t>
      </w:r>
      <w:r w:rsidR="00DA1E15" w:rsidRPr="004D6881">
        <w:fldChar w:fldCharType="begin" w:fldLock="1"/>
      </w:r>
      <w:r w:rsidR="00E718DB">
        <w:instrText>ADDIN CSL_CITATION {"citationItems":[{"id":"ITEM-1","itemData":{"DOI":"10.1098/rsob.160114","ISSN":"20462441","abstract":"Missense single-nucleotide polymorphisms (mSNPs) in titin are emerging as a main causative factor of heart failure. However, distinguishing between benign and disease-causing mSNPs is a substantial challenge. Here, we research the question of whether a single mSNP in a generic domain of titin can affect heart function as a whole and, if so, how. For this, we studied the mSNP T2850I, seemingly linked to arrhythmogenic right ventricular cardiomyopathy (ARVC). We used structural biology, computational simulations and transgenic muscle in vivo methods to track the effect of the mutation from the molecular to the organismal level. The data show that the T2850I exchange is compatible with the domain three-dimensional fold, but that it strongly destabilizes it. Further, it induces a change in the conformational dynamics of the titin chain that alters its reactivity, causing the formation of aberrant interactions in the sarcomere. Echocardiography of knock-in mice indicated a mild diastolic dysfunction arising from increased myocardial stiffness. In conclusion, our data provide evidence that single mSNPs in titin's I-band can alter overall muscle behaviour. Our suggested mechanisms of disease are the development of non-native sarcomeric interactions and titin instability leading to a reduced I-band compliance. However, understanding the T2850I-induced ARVC pathology mechanistically remains a complex problem and will require a deeper understanding of the sarcomeric context of the titin region affected.","author":[{"dropping-particle":"","family":"Bogomolovas","given":"Julius","non-dropping-particle":"","parse-names":false,"suffix":""},{"dropping-particle":"","family":"Fleming","given":"Jennifer R.","non-dropping-particle":"","parse-names":false,"suffix":""},{"dropping-particle":"","family":"Anderson","given":"Brian R.","non-dropping-particle":"","parse-names":false,"suffix":""},{"dropping-particle":"","family":"Williams","given":"Rhys","non-dropping-particle":"","parse-names":false,"suffix":""},{"dropping-particle":"","family":"Lange","given":"Stephan","non-dropping-particle":"","parse-names":false,"suffix":""},{"dropping-particle":"","family":"Simon","given":"Bernd","non-dropping-particle":"","parse-names":false,"suffix":""},{"dropping-particle":"","family":"Khan","given":"Muzamil M.","non-dropping-particle":"","parse-names":false,"suffix":""},{"dropping-particle":"","family":"Rudolf","given":"Rüdiger","non-dropping-particle":"","parse-names":false,"suffix":""},{"dropping-particle":"","family":"Franke","given":"Barbara","non-dropping-particle":"","parse-names":false,"suffix":""},{"dropping-particle":"","family":"Bullard","given":"Belinda","non-dropping-particle":"","parse-names":false,"suffix":""},{"dropping-particle":"","family":"Rigden","given":"Daniel J.","non-dropping-particle":"","parse-names":false,"suffix":""},{"dropping-particle":"","family":"Granzier","given":"Henk","non-dropping-particle":"","parse-names":false,"suffix":""},{"dropping-particle":"","family":"Labeit","given":"Siegfried","non-dropping-particle":"","parse-names":false,"suffix":""},{"dropping-particle":"","family":"Mayans","given":"Olga","non-dropping-particle":"","parse-names":false,"suffix":""}],"container-title":"Open Biology","id":"ITEM-1","issue":"9","issued":{"date-parts":[["2016"]]},"page":"pii: 160114","title":"Exploration of pathomechanisms triggered by a single-nucleotide polymorphism in titin's I-band: The cardiomyopathy-linked mutation T2580I","type":"article-journal","volume":"6"},"uris":["http://www.mendeley.com/documents/?uuid=a40e115f-ccdf-39d2-b373-72a5ceeeb72b"]}],"mendeley":{"formattedCitation":"(Bogomolovas et al., 2016)","plainTextFormattedCitation":"(Bogomolovas et al., 2016)","previouslyFormattedCitation":"(Bogomolovas et al., 2016)"},"properties":{"noteIndex":0},"schema":"https://github.com/citation-style-language/schema/raw/master/csl-citation.json"}</w:instrText>
      </w:r>
      <w:r w:rsidR="00DA1E15" w:rsidRPr="004D6881">
        <w:fldChar w:fldCharType="separate"/>
      </w:r>
      <w:r w:rsidR="00E718DB" w:rsidRPr="00E718DB">
        <w:rPr>
          <w:noProof/>
        </w:rPr>
        <w:t>(</w:t>
      </w:r>
      <w:r w:rsidR="00E718DB" w:rsidRPr="00AC223B">
        <w:rPr>
          <w:noProof/>
          <w:color w:val="0432FF"/>
        </w:rPr>
        <w:t>Bogomolovas et al., 2016</w:t>
      </w:r>
      <w:r w:rsidR="00E718DB" w:rsidRPr="00E718DB">
        <w:rPr>
          <w:noProof/>
        </w:rPr>
        <w:t>)</w:t>
      </w:r>
      <w:r w:rsidR="00DA1E15" w:rsidRPr="004D6881">
        <w:fldChar w:fldCharType="end"/>
      </w:r>
      <w:r w:rsidR="00DA1E15" w:rsidRPr="004D6881">
        <w:t xml:space="preserve">, </w:t>
      </w:r>
      <w:r w:rsidR="00616D30" w:rsidRPr="004D6881">
        <w:t xml:space="preserve">we explore </w:t>
      </w:r>
      <w:r w:rsidR="00DA1E15" w:rsidRPr="004D6881">
        <w:t xml:space="preserve">here </w:t>
      </w:r>
      <w:r w:rsidR="00616D30" w:rsidRPr="004D6881">
        <w:t xml:space="preserve">the possible benefit of considering </w:t>
      </w:r>
      <w:r w:rsidR="00DA1E15" w:rsidRPr="004D6881">
        <w:t xml:space="preserve">the titin chain context – i.e. </w:t>
      </w:r>
      <w:r w:rsidR="00616D30" w:rsidRPr="004D6881">
        <w:t xml:space="preserve">domain interfaces </w:t>
      </w:r>
      <w:r w:rsidR="00DA1E15" w:rsidRPr="004D6881">
        <w:t xml:space="preserve">– in the assessment of titin </w:t>
      </w:r>
      <w:proofErr w:type="spellStart"/>
      <w:r w:rsidR="00DA1E15" w:rsidRPr="004D6881">
        <w:t>nsSNV</w:t>
      </w:r>
      <w:proofErr w:type="spellEnd"/>
      <w:r w:rsidR="00DA1E15" w:rsidRPr="004D6881">
        <w:t xml:space="preserve">. </w:t>
      </w:r>
      <w:r w:rsidR="0022116B" w:rsidRPr="004D6881">
        <w:t xml:space="preserve">This could be expected to improve the analysis of parts of the sequence with lower conservation and higher structural variability (such as loops and interdomain hinges), which are poorly accessible to conventional predictors. </w:t>
      </w:r>
      <w:r w:rsidR="0022116B" w:rsidRPr="004E5AC1">
        <w:rPr>
          <w:highlight w:val="yellow"/>
        </w:rPr>
        <w:t>In this study</w:t>
      </w:r>
      <w:r w:rsidR="00DA1E15" w:rsidRPr="004E5AC1">
        <w:rPr>
          <w:highlight w:val="yellow"/>
        </w:rPr>
        <w:t xml:space="preserve">, we first </w:t>
      </w:r>
      <w:r w:rsidR="004E5AC1" w:rsidRPr="004E5AC1">
        <w:rPr>
          <w:highlight w:val="yellow"/>
        </w:rPr>
        <w:t xml:space="preserve">tested whether </w:t>
      </w:r>
      <w:r w:rsidR="004E5AC1" w:rsidRPr="004E5AC1">
        <w:rPr>
          <w:i/>
          <w:highlight w:val="yellow"/>
        </w:rPr>
        <w:t>in silico</w:t>
      </w:r>
      <w:r w:rsidR="004E5AC1" w:rsidRPr="004E5AC1">
        <w:rPr>
          <w:highlight w:val="yellow"/>
        </w:rPr>
        <w:t xml:space="preserve"> MDS calculations can help detecting residue exchanges at domain interfaces that lead to conformational abnormalities in the chain. If the T2580I-induced conformational change of I10-I11 suggested by MDS does relate to the molecular mechanisms of ARVC, then it is possible that similar conformational changes caused by other amino acid substitutions at that domain interface would be equally pathogenic. Then, we </w:t>
      </w:r>
      <w:r w:rsidR="00DA1E15" w:rsidRPr="004E5AC1">
        <w:rPr>
          <w:highlight w:val="yellow"/>
        </w:rPr>
        <w:t>compute</w:t>
      </w:r>
      <w:r w:rsidR="00FB74EA" w:rsidRPr="004E5AC1">
        <w:rPr>
          <w:highlight w:val="yellow"/>
        </w:rPr>
        <w:t>d</w:t>
      </w:r>
      <w:r w:rsidR="00DA1E15" w:rsidRPr="004E5AC1">
        <w:rPr>
          <w:highlight w:val="yellow"/>
        </w:rPr>
        <w:t xml:space="preserve"> </w:t>
      </w:r>
      <w:r w:rsidR="00616D30" w:rsidRPr="004E5AC1">
        <w:rPr>
          <w:highlight w:val="yellow"/>
        </w:rPr>
        <w:t xml:space="preserve">a </w:t>
      </w:r>
      <w:r w:rsidR="00DA1E15" w:rsidRPr="004E5AC1">
        <w:rPr>
          <w:highlight w:val="yellow"/>
        </w:rPr>
        <w:t xml:space="preserve">residue </w:t>
      </w:r>
      <w:r w:rsidR="00616D30" w:rsidRPr="004E5AC1">
        <w:rPr>
          <w:highlight w:val="yellow"/>
        </w:rPr>
        <w:t xml:space="preserve">stability landscape </w:t>
      </w:r>
      <w:r w:rsidR="00DA1E15" w:rsidRPr="004E5AC1">
        <w:rPr>
          <w:highlight w:val="yellow"/>
        </w:rPr>
        <w:t>for</w:t>
      </w:r>
      <w:r w:rsidR="00616D30" w:rsidRPr="004E5AC1">
        <w:rPr>
          <w:highlight w:val="yellow"/>
        </w:rPr>
        <w:t xml:space="preserve"> domains alone </w:t>
      </w:r>
      <w:r w:rsidR="00DA1E15" w:rsidRPr="004E5AC1">
        <w:rPr>
          <w:highlight w:val="yellow"/>
        </w:rPr>
        <w:t xml:space="preserve">and in tandem </w:t>
      </w:r>
      <w:r w:rsidR="00616D30" w:rsidRPr="004E5AC1">
        <w:rPr>
          <w:highlight w:val="yellow"/>
        </w:rPr>
        <w:t xml:space="preserve">to identify hotspot </w:t>
      </w:r>
      <w:r w:rsidR="00616D30" w:rsidRPr="004E5AC1">
        <w:rPr>
          <w:color w:val="000000" w:themeColor="text1"/>
          <w:highlight w:val="yellow"/>
        </w:rPr>
        <w:t>residues at the domain interface.</w:t>
      </w:r>
      <w:r w:rsidR="00616D30" w:rsidRPr="004D6881">
        <w:rPr>
          <w:color w:val="000000" w:themeColor="text1"/>
        </w:rPr>
        <w:t xml:space="preserve"> </w:t>
      </w:r>
      <w:r w:rsidR="003B4456" w:rsidRPr="004D6881">
        <w:rPr>
          <w:color w:val="000000" w:themeColor="text1"/>
        </w:rPr>
        <w:t xml:space="preserve">Overall, </w:t>
      </w:r>
      <w:r w:rsidR="003B4456" w:rsidRPr="004D6881">
        <w:t xml:space="preserve">the I10-I11 interface </w:t>
      </w:r>
      <w:r w:rsidR="00A87765" w:rsidRPr="004D6881">
        <w:t>is</w:t>
      </w:r>
      <w:r w:rsidR="003B4456" w:rsidRPr="004D6881">
        <w:t xml:space="preserve"> used here as a case study to understand the potential effects of </w:t>
      </w:r>
      <w:r w:rsidR="009D5345" w:rsidRPr="004D6881">
        <w:t xml:space="preserve">mutations at </w:t>
      </w:r>
      <w:r w:rsidR="003B4456" w:rsidRPr="004D6881">
        <w:t>domain interface</w:t>
      </w:r>
      <w:r w:rsidR="009D5345" w:rsidRPr="004D6881">
        <w:t>s</w:t>
      </w:r>
      <w:r w:rsidR="003B4456" w:rsidRPr="004D6881">
        <w:t xml:space="preserve"> </w:t>
      </w:r>
      <w:r w:rsidR="000A7745" w:rsidRPr="00551659">
        <w:rPr>
          <w:highlight w:val="yellow"/>
        </w:rPr>
        <w:t>o</w:t>
      </w:r>
      <w:r w:rsidR="003B4456" w:rsidRPr="00551659">
        <w:rPr>
          <w:highlight w:val="yellow"/>
        </w:rPr>
        <w:t xml:space="preserve">n </w:t>
      </w:r>
      <w:r w:rsidR="000A7745" w:rsidRPr="00551659">
        <w:rPr>
          <w:highlight w:val="yellow"/>
        </w:rPr>
        <w:t>the dynamics and conformation of the poly-domain</w:t>
      </w:r>
      <w:r w:rsidR="000A7745">
        <w:t xml:space="preserve"> </w:t>
      </w:r>
      <w:r w:rsidR="003B4456" w:rsidRPr="004D6881">
        <w:t>titin</w:t>
      </w:r>
      <w:r w:rsidR="000A7745">
        <w:t xml:space="preserve"> chain</w:t>
      </w:r>
      <w:r w:rsidR="003B4456" w:rsidRPr="004D6881">
        <w:t>.</w:t>
      </w:r>
    </w:p>
    <w:p w14:paraId="1700E07E" w14:textId="253578D6" w:rsidR="003C116C" w:rsidRDefault="003C116C" w:rsidP="00BA3788">
      <w:pPr>
        <w:pBdr>
          <w:top w:val="nil"/>
          <w:left w:val="nil"/>
          <w:bottom w:val="nil"/>
          <w:right w:val="nil"/>
          <w:between w:val="nil"/>
        </w:pBdr>
        <w:spacing w:line="360" w:lineRule="auto"/>
        <w:jc w:val="both"/>
      </w:pPr>
    </w:p>
    <w:p w14:paraId="0F69689C" w14:textId="77777777" w:rsidR="000A7745" w:rsidRPr="004D6881" w:rsidRDefault="000A7745" w:rsidP="00BA3788">
      <w:pPr>
        <w:pBdr>
          <w:top w:val="nil"/>
          <w:left w:val="nil"/>
          <w:bottom w:val="nil"/>
          <w:right w:val="nil"/>
          <w:between w:val="nil"/>
        </w:pBdr>
        <w:spacing w:line="360" w:lineRule="auto"/>
        <w:jc w:val="both"/>
      </w:pPr>
    </w:p>
    <w:p w14:paraId="474592B2" w14:textId="150906F4" w:rsidR="00F13177" w:rsidRPr="004D6881" w:rsidRDefault="002E2457" w:rsidP="00BA3788">
      <w:pPr>
        <w:pBdr>
          <w:top w:val="nil"/>
          <w:left w:val="nil"/>
          <w:bottom w:val="nil"/>
          <w:right w:val="nil"/>
          <w:between w:val="nil"/>
        </w:pBdr>
        <w:spacing w:line="360" w:lineRule="auto"/>
        <w:jc w:val="both"/>
        <w:rPr>
          <w:b/>
          <w:color w:val="333333"/>
          <w:sz w:val="28"/>
        </w:rPr>
      </w:pPr>
      <w:r w:rsidRPr="004D6881">
        <w:rPr>
          <w:b/>
          <w:color w:val="333333"/>
          <w:sz w:val="28"/>
        </w:rPr>
        <w:t>Methods</w:t>
      </w:r>
    </w:p>
    <w:p w14:paraId="5800CFAF" w14:textId="77777777" w:rsidR="00CA3C87" w:rsidRPr="004D6881" w:rsidRDefault="00CA3C87" w:rsidP="00BA3788">
      <w:pPr>
        <w:pBdr>
          <w:top w:val="nil"/>
          <w:left w:val="nil"/>
          <w:bottom w:val="nil"/>
          <w:right w:val="nil"/>
          <w:between w:val="nil"/>
        </w:pBdr>
        <w:spacing w:line="360" w:lineRule="auto"/>
        <w:jc w:val="both"/>
        <w:rPr>
          <w:b/>
          <w:color w:val="333333"/>
        </w:rPr>
      </w:pPr>
    </w:p>
    <w:p w14:paraId="5C8B60C3" w14:textId="04CB80DC" w:rsidR="00CA3C87" w:rsidRPr="004D6881" w:rsidRDefault="00B93C25" w:rsidP="00BA3788">
      <w:pPr>
        <w:pBdr>
          <w:top w:val="nil"/>
          <w:left w:val="nil"/>
          <w:bottom w:val="nil"/>
          <w:right w:val="nil"/>
          <w:between w:val="nil"/>
        </w:pBdr>
        <w:spacing w:line="360" w:lineRule="auto"/>
        <w:jc w:val="both"/>
        <w:rPr>
          <w:b/>
          <w:color w:val="333333"/>
        </w:rPr>
      </w:pPr>
      <w:r w:rsidRPr="004D6881">
        <w:rPr>
          <w:b/>
          <w:color w:val="333333"/>
        </w:rPr>
        <w:t>Structural 3D-</w:t>
      </w:r>
      <w:r w:rsidR="00CA3C87" w:rsidRPr="004D6881">
        <w:rPr>
          <w:b/>
          <w:color w:val="333333"/>
        </w:rPr>
        <w:t>model</w:t>
      </w:r>
      <w:r w:rsidRPr="004D6881">
        <w:rPr>
          <w:b/>
          <w:color w:val="333333"/>
        </w:rPr>
        <w:t xml:space="preserve"> of I10-I11</w:t>
      </w:r>
    </w:p>
    <w:p w14:paraId="5D1B639B" w14:textId="27C9A8D5" w:rsidR="00776249" w:rsidRPr="004D6881" w:rsidRDefault="00CA3C87" w:rsidP="00BA3788">
      <w:pPr>
        <w:pBdr>
          <w:top w:val="nil"/>
          <w:left w:val="nil"/>
          <w:bottom w:val="nil"/>
          <w:right w:val="nil"/>
          <w:between w:val="nil"/>
        </w:pBdr>
        <w:spacing w:line="360" w:lineRule="auto"/>
        <w:jc w:val="both"/>
      </w:pPr>
      <w:r w:rsidRPr="004D6881">
        <w:rPr>
          <w:color w:val="000000" w:themeColor="text1"/>
        </w:rPr>
        <w:t xml:space="preserve">The </w:t>
      </w:r>
      <w:r w:rsidR="00A6672B" w:rsidRPr="004D6881">
        <w:rPr>
          <w:color w:val="000000" w:themeColor="text1"/>
        </w:rPr>
        <w:t xml:space="preserve">atomic coordinates of the </w:t>
      </w:r>
      <w:r w:rsidRPr="004D6881">
        <w:rPr>
          <w:color w:val="000000" w:themeColor="text1"/>
        </w:rPr>
        <w:t xml:space="preserve">starting </w:t>
      </w:r>
      <w:r w:rsidR="00B93C25" w:rsidRPr="004D6881">
        <w:rPr>
          <w:color w:val="000000" w:themeColor="text1"/>
        </w:rPr>
        <w:t>3D-</w:t>
      </w:r>
      <w:r w:rsidRPr="004D6881">
        <w:rPr>
          <w:color w:val="000000" w:themeColor="text1"/>
        </w:rPr>
        <w:t xml:space="preserve">model </w:t>
      </w:r>
      <w:r w:rsidR="00A6672B" w:rsidRPr="004D6881">
        <w:rPr>
          <w:color w:val="000000" w:themeColor="text1"/>
        </w:rPr>
        <w:t>for</w:t>
      </w:r>
      <w:r w:rsidR="00B93C25" w:rsidRPr="004D6881">
        <w:rPr>
          <w:color w:val="000000" w:themeColor="text1"/>
        </w:rPr>
        <w:t xml:space="preserve"> I10-I11 </w:t>
      </w:r>
      <w:r w:rsidRPr="004D6881">
        <w:rPr>
          <w:color w:val="000000" w:themeColor="text1"/>
        </w:rPr>
        <w:t>w</w:t>
      </w:r>
      <w:r w:rsidR="00A6672B" w:rsidRPr="004D6881">
        <w:rPr>
          <w:color w:val="000000" w:themeColor="text1"/>
        </w:rPr>
        <w:t>ere</w:t>
      </w:r>
      <w:r w:rsidRPr="004D6881">
        <w:rPr>
          <w:color w:val="000000" w:themeColor="text1"/>
        </w:rPr>
        <w:t xml:space="preserve"> </w:t>
      </w:r>
      <w:r w:rsidR="00B013E5" w:rsidRPr="004D6881">
        <w:rPr>
          <w:color w:val="000000" w:themeColor="text1"/>
        </w:rPr>
        <w:t>extracted</w:t>
      </w:r>
      <w:r w:rsidRPr="004D6881">
        <w:rPr>
          <w:color w:val="000000" w:themeColor="text1"/>
        </w:rPr>
        <w:t xml:space="preserve"> from </w:t>
      </w:r>
      <w:r w:rsidR="00A6672B" w:rsidRPr="004D6881">
        <w:rPr>
          <w:color w:val="000000" w:themeColor="text1"/>
        </w:rPr>
        <w:t xml:space="preserve">the crystal structure of I9-I11 </w:t>
      </w:r>
      <w:r w:rsidR="00937F53" w:rsidRPr="004D6881">
        <w:rPr>
          <w:color w:val="000000" w:themeColor="text1"/>
        </w:rPr>
        <w:t>available</w:t>
      </w:r>
      <w:r w:rsidR="00A6672B" w:rsidRPr="004D6881">
        <w:rPr>
          <w:color w:val="000000" w:themeColor="text1"/>
        </w:rPr>
        <w:t xml:space="preserve"> as </w:t>
      </w:r>
      <w:r w:rsidR="002F4B3B" w:rsidRPr="004D6881">
        <w:rPr>
          <w:color w:val="000000" w:themeColor="text1"/>
        </w:rPr>
        <w:t xml:space="preserve">a single chain in </w:t>
      </w:r>
      <w:r w:rsidR="00B013E5" w:rsidRPr="004D6881">
        <w:rPr>
          <w:color w:val="000000" w:themeColor="text1"/>
        </w:rPr>
        <w:t>PDB entry</w:t>
      </w:r>
      <w:r w:rsidRPr="004D6881">
        <w:rPr>
          <w:color w:val="000000" w:themeColor="text1"/>
        </w:rPr>
        <w:t xml:space="preserve"> 5JDD</w:t>
      </w:r>
      <w:r w:rsidR="005E04FA" w:rsidRPr="004D6881">
        <w:rPr>
          <w:color w:val="000000" w:themeColor="text1"/>
        </w:rPr>
        <w:t xml:space="preserve"> at resolution 1.53</w:t>
      </w:r>
      <w:r w:rsidR="005E04FA" w:rsidRPr="004D6881">
        <w:t xml:space="preserve"> Å</w:t>
      </w:r>
      <w:r w:rsidR="005E04FA" w:rsidRPr="004D6881">
        <w:rPr>
          <w:color w:val="000000" w:themeColor="text1"/>
        </w:rPr>
        <w:t xml:space="preserve"> </w:t>
      </w:r>
      <w:r w:rsidRPr="004D6881">
        <w:t xml:space="preserve">(residues 91 to 262 </w:t>
      </w:r>
      <w:r w:rsidR="00937F53" w:rsidRPr="004D6881">
        <w:t>in the crystal structure</w:t>
      </w:r>
      <w:r w:rsidR="00CF7047" w:rsidRPr="004D6881">
        <w:t>,</w:t>
      </w:r>
      <w:r w:rsidR="00937F53" w:rsidRPr="004D6881">
        <w:t xml:space="preserve"> </w:t>
      </w:r>
      <w:r w:rsidRPr="004D6881">
        <w:t>correspond</w:t>
      </w:r>
      <w:r w:rsidR="00CF7047" w:rsidRPr="004D6881">
        <w:t>ing</w:t>
      </w:r>
      <w:r w:rsidRPr="004D6881">
        <w:t xml:space="preserve"> to </w:t>
      </w:r>
      <w:r w:rsidR="00937F53" w:rsidRPr="004D6881">
        <w:t xml:space="preserve">titin sequence </w:t>
      </w:r>
      <w:r w:rsidRPr="004D6881">
        <w:t>residues 2881 to 3053</w:t>
      </w:r>
      <w:r w:rsidR="00937F53" w:rsidRPr="004D6881">
        <w:t xml:space="preserve">; </w:t>
      </w:r>
      <w:proofErr w:type="spellStart"/>
      <w:r w:rsidR="00937F53" w:rsidRPr="004D6881">
        <w:t>UniprotKB</w:t>
      </w:r>
      <w:proofErr w:type="spellEnd"/>
      <w:r w:rsidR="00937F53" w:rsidRPr="004D6881">
        <w:t xml:space="preserve"> </w:t>
      </w:r>
      <w:r w:rsidR="00937F53" w:rsidRPr="004D6881">
        <w:rPr>
          <w:color w:val="333333"/>
          <w:shd w:val="clear" w:color="auto" w:fill="FFFFFF"/>
        </w:rPr>
        <w:t>Q8WZ42</w:t>
      </w:r>
      <w:r w:rsidRPr="004D6881">
        <w:t>).</w:t>
      </w:r>
      <w:r w:rsidR="002F4B3B" w:rsidRPr="004D6881">
        <w:t xml:space="preserve"> Th</w:t>
      </w:r>
      <w:r w:rsidR="00CF7047" w:rsidRPr="004D6881">
        <w:t>e I9-I10</w:t>
      </w:r>
      <w:r w:rsidR="002F4B3B" w:rsidRPr="004D6881">
        <w:t xml:space="preserve"> tandem is also present in </w:t>
      </w:r>
      <w:r w:rsidR="00105D93" w:rsidRPr="004D6881">
        <w:t>PDB</w:t>
      </w:r>
      <w:r w:rsidR="002F4B3B" w:rsidRPr="004D6881">
        <w:t xml:space="preserve"> entry 5JDE</w:t>
      </w:r>
      <w:r w:rsidR="005E04FA" w:rsidRPr="004D6881">
        <w:t xml:space="preserve"> at resolution 1.9 Å</w:t>
      </w:r>
      <w:r w:rsidR="002F4B3B" w:rsidRPr="004D6881">
        <w:t>, which has two copies</w:t>
      </w:r>
      <w:r w:rsidR="005E04FA" w:rsidRPr="004D6881">
        <w:t>. As</w:t>
      </w:r>
      <w:r w:rsidR="002F4B3B" w:rsidRPr="004D6881">
        <w:t xml:space="preserve"> all I10-I1</w:t>
      </w:r>
      <w:r w:rsidR="00CF7047" w:rsidRPr="004D6881">
        <w:t>1</w:t>
      </w:r>
      <w:r w:rsidR="002F4B3B" w:rsidRPr="004D6881">
        <w:t xml:space="preserve"> tandems </w:t>
      </w:r>
      <w:r w:rsidR="005E04FA" w:rsidRPr="004D6881">
        <w:t>are highly similar</w:t>
      </w:r>
      <w:r w:rsidR="00CF7047" w:rsidRPr="004D6881">
        <w:t xml:space="preserve"> (</w:t>
      </w:r>
      <w:r w:rsidR="002F4B3B" w:rsidRPr="004D6881">
        <w:t>RMSD</w:t>
      </w:r>
      <w:r w:rsidR="007E5D31" w:rsidRPr="004D6881">
        <w:rPr>
          <w:vertAlign w:val="subscript"/>
        </w:rPr>
        <w:t>C</w:t>
      </w:r>
      <w:r w:rsidR="007E5D31" w:rsidRPr="004D6881">
        <w:rPr>
          <w:rFonts w:ascii="Symbol" w:hAnsi="Symbol"/>
          <w:vertAlign w:val="subscript"/>
        </w:rPr>
        <w:t></w:t>
      </w:r>
      <w:r w:rsidR="002F4B3B" w:rsidRPr="004D6881">
        <w:t xml:space="preserve"> </w:t>
      </w:r>
      <w:r w:rsidR="00CF7047" w:rsidRPr="004D6881">
        <w:t>=</w:t>
      </w:r>
      <w:r w:rsidR="002F4B3B" w:rsidRPr="004D6881">
        <w:t xml:space="preserve"> 0.876 Å</w:t>
      </w:r>
      <w:r w:rsidR="00CF7047" w:rsidRPr="004D6881">
        <w:t>),</w:t>
      </w:r>
      <w:r w:rsidR="005E04FA" w:rsidRPr="004D6881">
        <w:t xml:space="preserve"> the highest resolution model was chosen</w:t>
      </w:r>
      <w:r w:rsidR="002F4B3B" w:rsidRPr="004D6881">
        <w:t xml:space="preserve">. </w:t>
      </w:r>
      <w:r w:rsidR="002E3DAA" w:rsidRPr="004D6881">
        <w:t xml:space="preserve">The </w:t>
      </w:r>
      <w:r w:rsidR="00937F53" w:rsidRPr="004D6881">
        <w:t xml:space="preserve">model </w:t>
      </w:r>
      <w:r w:rsidR="002E3DAA" w:rsidRPr="004D6881">
        <w:t xml:space="preserve">coordinates </w:t>
      </w:r>
      <w:r w:rsidR="00937F53" w:rsidRPr="004D6881">
        <w:t xml:space="preserve">used in this study included only </w:t>
      </w:r>
      <w:r w:rsidR="00BC3DB5" w:rsidRPr="004D6881">
        <w:t>protein atoms -</w:t>
      </w:r>
      <w:r w:rsidR="002E3DAA" w:rsidRPr="004D6881">
        <w:t xml:space="preserve"> ions, solvent molecules and alternative side-chain </w:t>
      </w:r>
      <w:proofErr w:type="spellStart"/>
      <w:r w:rsidR="002E3DAA" w:rsidRPr="004D6881">
        <w:t>rotamers</w:t>
      </w:r>
      <w:proofErr w:type="spellEnd"/>
      <w:r w:rsidR="00BC3DB5" w:rsidRPr="004D6881">
        <w:t xml:space="preserve"> </w:t>
      </w:r>
      <w:r w:rsidR="00937F53" w:rsidRPr="004D6881">
        <w:t xml:space="preserve">present in the crystal structure </w:t>
      </w:r>
      <w:r w:rsidR="00BC3DB5" w:rsidRPr="004D6881">
        <w:t>were excluded from the model</w:t>
      </w:r>
      <w:r w:rsidR="002E3DAA" w:rsidRPr="004D6881">
        <w:t>.</w:t>
      </w:r>
    </w:p>
    <w:p w14:paraId="7DCA8348" w14:textId="77777777" w:rsidR="00776249" w:rsidRPr="004D6881" w:rsidRDefault="00776249" w:rsidP="00BA3788">
      <w:pPr>
        <w:pBdr>
          <w:top w:val="nil"/>
          <w:left w:val="nil"/>
          <w:bottom w:val="nil"/>
          <w:right w:val="nil"/>
          <w:between w:val="nil"/>
        </w:pBdr>
        <w:spacing w:line="360" w:lineRule="auto"/>
        <w:jc w:val="both"/>
        <w:rPr>
          <w:b/>
          <w:color w:val="000000" w:themeColor="text1"/>
        </w:rPr>
      </w:pPr>
    </w:p>
    <w:p w14:paraId="38168DE9" w14:textId="362807E0" w:rsidR="00F13177" w:rsidRPr="004D6881" w:rsidRDefault="00F13177" w:rsidP="00BA3788">
      <w:pPr>
        <w:pBdr>
          <w:top w:val="nil"/>
          <w:left w:val="nil"/>
          <w:bottom w:val="nil"/>
          <w:right w:val="nil"/>
          <w:between w:val="nil"/>
        </w:pBdr>
        <w:spacing w:line="360" w:lineRule="auto"/>
        <w:jc w:val="both"/>
        <w:rPr>
          <w:b/>
          <w:color w:val="000000" w:themeColor="text1"/>
        </w:rPr>
      </w:pPr>
      <w:r w:rsidRPr="004D6881">
        <w:rPr>
          <w:b/>
          <w:color w:val="000000" w:themeColor="text1"/>
        </w:rPr>
        <w:t>Stability calculations</w:t>
      </w:r>
    </w:p>
    <w:p w14:paraId="7B2A2E99" w14:textId="4E8D0B78" w:rsidR="00B158D3" w:rsidRPr="004D6881" w:rsidRDefault="00F13177" w:rsidP="00BA3788">
      <w:pPr>
        <w:pBdr>
          <w:top w:val="nil"/>
          <w:left w:val="nil"/>
          <w:bottom w:val="nil"/>
          <w:right w:val="nil"/>
          <w:between w:val="nil"/>
        </w:pBdr>
        <w:spacing w:line="360" w:lineRule="auto"/>
        <w:jc w:val="both"/>
        <w:rPr>
          <w:color w:val="000000" w:themeColor="text1"/>
        </w:rPr>
      </w:pPr>
      <w:proofErr w:type="spellStart"/>
      <w:r w:rsidRPr="004D6881">
        <w:rPr>
          <w:color w:val="000000" w:themeColor="text1"/>
        </w:rPr>
        <w:t>FoldX</w:t>
      </w:r>
      <w:proofErr w:type="spellEnd"/>
      <w:r w:rsidRPr="004D6881">
        <w:rPr>
          <w:color w:val="000000" w:themeColor="text1"/>
        </w:rPr>
        <w:t xml:space="preserve"> </w:t>
      </w:r>
      <w:r w:rsidR="002C15D8" w:rsidRPr="004D6881">
        <w:rPr>
          <w:color w:val="000000" w:themeColor="text1"/>
        </w:rPr>
        <w:fldChar w:fldCharType="begin" w:fldLock="1"/>
      </w:r>
      <w:r w:rsidR="00E718DB">
        <w:rPr>
          <w:color w:val="000000" w:themeColor="text1"/>
        </w:rPr>
        <w:instrText>ADDIN CSL_CITATION {"citationItems":[{"id":"ITEM-1","itemData":{"DOI":"10.1093/nar/gki387","ISSN":"03051048","PMID":"15980494","abstract":"FoldX is an empirical force field that was developed for the rapid evaluation of the effect of mutations on the stability, folding and dynamics of proteins and nucleic acids. The core functionality of FoldX, namely the calculation of the free energy of a macromolecule based on its high-resolution 3D structure, is now publicly available through a web server at http://foldx.embl.de/. The current release allows the calculation of the stability of a protein, calculation of the positions of the protons and the prediction of water bridges, prediction of metal binding sites and the analysis of the free energy of complex formation. Alanine scanning, the systematic truncation of side chains to alanine, is also included. In addition, some reporting functions have been added, and it is now possible to print both the atomic interaction networks that constitute the protein, print the structural and energetic details of the interactions per atom or per residue, as well as generate a general quality report of the pdb structure. This core functionality will be further extended as more FoldX applications are developed. © 2005 Oxford University Press.","author":[{"dropping-particle":"","family":"Schymkowitz","given":"Joost","non-dropping-particle":"","parse-names":false,"suffix":""},{"dropping-particle":"","family":"Borg","given":"Jesper","non-dropping-particle":"","parse-names":false,"suffix":""},{"dropping-particle":"","family":"Stricher","given":"Francois","non-dropping-particle":"","parse-names":false,"suffix":""},{"dropping-particle":"","family":"Nys","given":"Robby","non-dropping-particle":"","parse-names":false,"suffix":""},{"dropping-particle":"","family":"Rousseau","given":"Frederic","non-dropping-particle":"","parse-names":false,"suffix":""},{"dropping-particle":"","family":"Serrano","given":"Luis","non-dropping-particle":"","parse-names":false,"suffix":""}],"container-title":"Nucleic Acids Research","id":"ITEM-1","issue":"SUPPL. 2","issued":{"date-parts":[["2005","7","1"]]},"page":"W382","publisher":"Oxford University Press","title":"The FoldX web server: An online force field","type":"article-journal","volume":"33"},"uris":["http://www.mendeley.com/documents/?uuid=e7ef0566-2c27-39b6-937b-410310092aa2"]}],"mendeley":{"formattedCitation":"(Schymkowitz et al., 2005)","plainTextFormattedCitation":"(Schymkowitz et al., 2005)","previouslyFormattedCitation":"(Schymkowitz et al., 2005)"},"properties":{"noteIndex":0},"schema":"https://github.com/citation-style-language/schema/raw/master/csl-citation.json"}</w:instrText>
      </w:r>
      <w:r w:rsidR="002C15D8" w:rsidRPr="004D6881">
        <w:rPr>
          <w:color w:val="000000" w:themeColor="text1"/>
        </w:rPr>
        <w:fldChar w:fldCharType="separate"/>
      </w:r>
      <w:r w:rsidR="00E718DB" w:rsidRPr="00E718DB">
        <w:rPr>
          <w:noProof/>
          <w:color w:val="000000" w:themeColor="text1"/>
        </w:rPr>
        <w:t>(</w:t>
      </w:r>
      <w:r w:rsidR="00E718DB" w:rsidRPr="00AC223B">
        <w:rPr>
          <w:noProof/>
          <w:color w:val="0432FF"/>
        </w:rPr>
        <w:t>Schymkowitz et al., 2005</w:t>
      </w:r>
      <w:r w:rsidR="00E718DB" w:rsidRPr="00E718DB">
        <w:rPr>
          <w:noProof/>
          <w:color w:val="000000" w:themeColor="text1"/>
        </w:rPr>
        <w:t>)</w:t>
      </w:r>
      <w:r w:rsidR="002C15D8" w:rsidRPr="004D6881">
        <w:rPr>
          <w:color w:val="000000" w:themeColor="text1"/>
        </w:rPr>
        <w:fldChar w:fldCharType="end"/>
      </w:r>
      <w:r w:rsidRPr="004D6881">
        <w:rPr>
          <w:color w:val="000000" w:themeColor="text1"/>
        </w:rPr>
        <w:t xml:space="preserve"> and Rosetta </w:t>
      </w:r>
      <w:proofErr w:type="spellStart"/>
      <w:r w:rsidRPr="004D6881">
        <w:rPr>
          <w:color w:val="000000" w:themeColor="text1"/>
        </w:rPr>
        <w:t>ddg_monomer</w:t>
      </w:r>
      <w:proofErr w:type="spellEnd"/>
      <w:r w:rsidR="002C15D8" w:rsidRPr="004D6881">
        <w:rPr>
          <w:color w:val="000000" w:themeColor="text1"/>
        </w:rPr>
        <w:t xml:space="preserve"> </w:t>
      </w:r>
      <w:r w:rsidR="002C15D8" w:rsidRPr="004D6881">
        <w:rPr>
          <w:color w:val="000000" w:themeColor="text1"/>
        </w:rPr>
        <w:fldChar w:fldCharType="begin" w:fldLock="1"/>
      </w:r>
      <w:r w:rsidR="00C2687E">
        <w:rPr>
          <w:color w:val="000000" w:themeColor="text1"/>
        </w:rPr>
        <w:instrText>ADDIN CSL_CITATION {"citationItems":[{"id":"ITEM-1","itemData":{"DOI":"10.1002/prot.22921","ISSN":"08873585","abstract":"The prediction of changes in protein stability and structure resulting from single amino acid substitutions is both a fundamental test of macromolecular modeling methodology and an important current problem as high throughput sequencing reveals sequence polymorphisms at an increasing rate. In principle, given the structure of a wild-type protein and a point mutation whose effects are to be predicted, an accurate method should recapitulate both the structural changes and the change in the folding-free energy. Here, we explore the performance of protocols which sample an increasing diversity of conformations. We find that surprisingly similar performances in predicting changes in stability are achieved using protocols that involve very different amounts of conformational sampling, provided that the resolution of the force field is matched to the resolution of the sampling method. Methods involving backbone sampling can in some cases closely recapitulate the structural changes accompanying mutations but not surprisingly tend to do more harm than good in cases where structural changes are negligible. Analysis of the outliers in the stability change calculations suggests areas needing particular improvement; these include the balance between desolvation and the formation of favorable buried polar interactions, and unfolded state modeling. © 2010 Wiley-Liss, Inc.","author":[{"dropping-particle":"","family":"Kellogg","given":"Elizabeth H.","non-dropping-particle":"","parse-names":false,"suffix":""},{"dropping-particle":"","family":"Leaver-Fay","given":"Andrew","non-dropping-particle":"","parse-names":false,"suffix":""},{"dropping-particle":"","family":"Baker","given":"David","non-dropping-particle":"","parse-names":false,"suffix":""}],"container-title":"Proteins: Structure, Function and Bioinformatics","id":"ITEM-1","issue":"3","issued":{"date-parts":[["2011"]]},"page":"830-838","title":"Role of conformational sampling in computing mutation-induced changes in protein structure and stability","type":"article-journal","volume":"79"},"uris":["http://www.mendeley.com/documents/?uuid=7ec31ffd-6d46-4a44-9e9d-e2c2158e4860"]}],"mendeley":{"formattedCitation":"(Kellogg et al., 2011)","plainTextFormattedCitation":"(Kellogg et al., 2011)","previouslyFormattedCitation":"(Kellogg, Leaver-Fay, &amp; Baker, 2011)"},"properties":{"noteIndex":0},"schema":"https://github.com/citation-style-language/schema/raw/master/csl-citation.json"}</w:instrText>
      </w:r>
      <w:r w:rsidR="002C15D8" w:rsidRPr="004D6881">
        <w:rPr>
          <w:color w:val="000000" w:themeColor="text1"/>
        </w:rPr>
        <w:fldChar w:fldCharType="separate"/>
      </w:r>
      <w:r w:rsidR="00C2687E" w:rsidRPr="00C2687E">
        <w:rPr>
          <w:noProof/>
          <w:color w:val="0432FF"/>
        </w:rPr>
        <w:t>(Kellogg et al., 2011)</w:t>
      </w:r>
      <w:r w:rsidR="002C15D8" w:rsidRPr="004D6881">
        <w:rPr>
          <w:color w:val="000000" w:themeColor="text1"/>
        </w:rPr>
        <w:fldChar w:fldCharType="end"/>
      </w:r>
      <w:r w:rsidRPr="004D6881">
        <w:rPr>
          <w:color w:val="000000" w:themeColor="text1"/>
        </w:rPr>
        <w:t xml:space="preserve"> were used to calculate positional destabilisation effects </w:t>
      </w:r>
      <w:r w:rsidR="00A6672B" w:rsidRPr="004D6881">
        <w:rPr>
          <w:color w:val="000000" w:themeColor="text1"/>
        </w:rPr>
        <w:t xml:space="preserve">in </w:t>
      </w:r>
      <w:r w:rsidR="00475657" w:rsidRPr="004D6881">
        <w:rPr>
          <w:color w:val="000000" w:themeColor="text1"/>
        </w:rPr>
        <w:t xml:space="preserve">mutational screens, where </w:t>
      </w:r>
      <w:r w:rsidRPr="004D6881">
        <w:rPr>
          <w:color w:val="000000" w:themeColor="text1"/>
        </w:rPr>
        <w:t xml:space="preserve">each residue </w:t>
      </w:r>
      <w:r w:rsidR="002702C8" w:rsidRPr="004D6881">
        <w:rPr>
          <w:color w:val="000000" w:themeColor="text1"/>
        </w:rPr>
        <w:t xml:space="preserve">was mutated </w:t>
      </w:r>
      <w:r w:rsidRPr="004D6881">
        <w:rPr>
          <w:color w:val="000000" w:themeColor="text1"/>
        </w:rPr>
        <w:t xml:space="preserve">in turn </w:t>
      </w:r>
      <w:r w:rsidR="00DD2DBC" w:rsidRPr="004D6881">
        <w:rPr>
          <w:color w:val="000000" w:themeColor="text1"/>
        </w:rPr>
        <w:t>in</w:t>
      </w:r>
      <w:r w:rsidRPr="004D6881">
        <w:rPr>
          <w:color w:val="000000" w:themeColor="text1"/>
        </w:rPr>
        <w:t xml:space="preserve">to all other </w:t>
      </w:r>
      <w:r w:rsidR="001671B0" w:rsidRPr="004D6881">
        <w:rPr>
          <w:color w:val="000000" w:themeColor="text1"/>
        </w:rPr>
        <w:t>amino acid type</w:t>
      </w:r>
      <w:r w:rsidR="00DD2DBC" w:rsidRPr="004D6881">
        <w:rPr>
          <w:color w:val="000000" w:themeColor="text1"/>
        </w:rPr>
        <w:t>s</w:t>
      </w:r>
      <w:r w:rsidRPr="004D6881">
        <w:rPr>
          <w:color w:val="000000" w:themeColor="text1"/>
        </w:rPr>
        <w:t xml:space="preserve">. </w:t>
      </w:r>
      <w:r w:rsidR="00DD2DBC" w:rsidRPr="004D6881">
        <w:rPr>
          <w:color w:val="000000" w:themeColor="text1"/>
        </w:rPr>
        <w:t>P</w:t>
      </w:r>
      <w:r w:rsidR="006F0206" w:rsidRPr="004D6881">
        <w:rPr>
          <w:color w:val="000000" w:themeColor="text1"/>
        </w:rPr>
        <w:t>ositional stabilities</w:t>
      </w:r>
      <w:r w:rsidR="00220F5F" w:rsidRPr="004D6881">
        <w:rPr>
          <w:color w:val="000000" w:themeColor="text1"/>
        </w:rPr>
        <w:t xml:space="preserve"> for residue exchanges</w:t>
      </w:r>
      <w:r w:rsidR="006F0206" w:rsidRPr="004D6881">
        <w:rPr>
          <w:color w:val="000000" w:themeColor="text1"/>
        </w:rPr>
        <w:t xml:space="preserve"> </w:t>
      </w:r>
      <w:r w:rsidR="00DD2DBC" w:rsidRPr="004D6881">
        <w:rPr>
          <w:color w:val="000000" w:themeColor="text1"/>
        </w:rPr>
        <w:t xml:space="preserve">were calculated </w:t>
      </w:r>
      <w:r w:rsidR="00220F5F" w:rsidRPr="004D6881">
        <w:rPr>
          <w:color w:val="000000" w:themeColor="text1"/>
        </w:rPr>
        <w:t>for both the I10-I11 tandem and</w:t>
      </w:r>
      <w:r w:rsidR="00DD2DBC" w:rsidRPr="004D6881">
        <w:rPr>
          <w:color w:val="000000" w:themeColor="text1"/>
        </w:rPr>
        <w:t xml:space="preserve"> </w:t>
      </w:r>
      <w:r w:rsidR="006F0206" w:rsidRPr="004D6881">
        <w:rPr>
          <w:color w:val="000000" w:themeColor="text1"/>
        </w:rPr>
        <w:t>the</w:t>
      </w:r>
      <w:r w:rsidRPr="004D6881">
        <w:rPr>
          <w:color w:val="000000" w:themeColor="text1"/>
        </w:rPr>
        <w:t xml:space="preserve"> two separate domains I10 (</w:t>
      </w:r>
      <w:r w:rsidR="00CA3C87" w:rsidRPr="004D6881">
        <w:rPr>
          <w:color w:val="000000" w:themeColor="text1"/>
        </w:rPr>
        <w:t xml:space="preserve">model residues </w:t>
      </w:r>
      <w:r w:rsidRPr="004D6881">
        <w:rPr>
          <w:color w:val="000000" w:themeColor="text1"/>
        </w:rPr>
        <w:t>91 to 178) and I11 (</w:t>
      </w:r>
      <w:r w:rsidR="00CA3C87" w:rsidRPr="004D6881">
        <w:rPr>
          <w:color w:val="000000" w:themeColor="text1"/>
        </w:rPr>
        <w:t xml:space="preserve">model residues </w:t>
      </w:r>
      <w:r w:rsidRPr="004D6881">
        <w:rPr>
          <w:color w:val="000000" w:themeColor="text1"/>
        </w:rPr>
        <w:t>178 to 262).</w:t>
      </w:r>
      <w:r w:rsidR="007A762D" w:rsidRPr="004D6881">
        <w:rPr>
          <w:color w:val="000000" w:themeColor="text1"/>
        </w:rPr>
        <w:t xml:space="preserve"> </w:t>
      </w:r>
      <w:r w:rsidR="00220F5F" w:rsidRPr="004D6881">
        <w:rPr>
          <w:color w:val="000000" w:themeColor="text1"/>
        </w:rPr>
        <w:t xml:space="preserve">In </w:t>
      </w:r>
      <w:r w:rsidR="000C0487" w:rsidRPr="004D6881">
        <w:rPr>
          <w:color w:val="000000" w:themeColor="text1"/>
        </w:rPr>
        <w:t>Rosetta</w:t>
      </w:r>
      <w:r w:rsidR="00220F5F" w:rsidRPr="004D6881">
        <w:rPr>
          <w:color w:val="000000" w:themeColor="text1"/>
        </w:rPr>
        <w:t>, the</w:t>
      </w:r>
      <w:r w:rsidR="000C0487" w:rsidRPr="004D6881">
        <w:rPr>
          <w:color w:val="000000" w:themeColor="text1"/>
        </w:rPr>
        <w:t xml:space="preserve"> </w:t>
      </w:r>
      <w:proofErr w:type="spellStart"/>
      <w:r w:rsidR="000C0487" w:rsidRPr="004D6881">
        <w:rPr>
          <w:color w:val="000000" w:themeColor="text1"/>
        </w:rPr>
        <w:t>ddg_monomer</w:t>
      </w:r>
      <w:proofErr w:type="spellEnd"/>
      <w:r w:rsidR="000C0487" w:rsidRPr="004D6881">
        <w:rPr>
          <w:color w:val="000000" w:themeColor="text1"/>
        </w:rPr>
        <w:t xml:space="preserve"> ‘high-resolution’ </w:t>
      </w:r>
      <w:r w:rsidR="000C0487" w:rsidRPr="004D6881">
        <w:t>protocol 16 was selected which allows for backbone adjustments (with distance restraints to prevent extreme backbone movements).</w:t>
      </w:r>
      <w:r w:rsidR="000C0487" w:rsidRPr="004D6881">
        <w:rPr>
          <w:color w:val="000000" w:themeColor="text1"/>
        </w:rPr>
        <w:t xml:space="preserve"> </w:t>
      </w:r>
      <w:r w:rsidR="00A25F1C" w:rsidRPr="004D6881">
        <w:t xml:space="preserve">In this case, the structure </w:t>
      </w:r>
      <w:r w:rsidR="00220F5F" w:rsidRPr="004D6881">
        <w:t xml:space="preserve">was </w:t>
      </w:r>
      <w:r w:rsidR="00A25F1C" w:rsidRPr="004D6881">
        <w:t>pre-minimised</w:t>
      </w:r>
      <w:r w:rsidR="00220F5F" w:rsidRPr="004D6881">
        <w:t>,</w:t>
      </w:r>
      <w:r w:rsidR="00A25F1C" w:rsidRPr="004D6881">
        <w:t xml:space="preserve"> then each residue mutated in turn. </w:t>
      </w:r>
      <w:r w:rsidR="0017708B" w:rsidRPr="004D6881">
        <w:t>The mutated models generated in</w:t>
      </w:r>
      <w:r w:rsidR="00145E9E" w:rsidRPr="004D6881">
        <w:t xml:space="preserve"> Rosetta </w:t>
      </w:r>
      <w:proofErr w:type="spellStart"/>
      <w:r w:rsidR="00145E9E" w:rsidRPr="004D6881">
        <w:rPr>
          <w:color w:val="000000" w:themeColor="text1"/>
        </w:rPr>
        <w:t>ddg_monomer</w:t>
      </w:r>
      <w:proofErr w:type="spellEnd"/>
      <w:r w:rsidR="00A25F1C" w:rsidRPr="004D6881">
        <w:t xml:space="preserve"> </w:t>
      </w:r>
      <w:r w:rsidR="00145E9E" w:rsidRPr="004D6881">
        <w:t>corresponded to energy minimized states in which</w:t>
      </w:r>
      <w:r w:rsidR="00A25F1C" w:rsidRPr="004D6881">
        <w:t xml:space="preserve"> residues local to the mutation </w:t>
      </w:r>
      <w:r w:rsidR="00145E9E" w:rsidRPr="004D6881">
        <w:t xml:space="preserve">had been </w:t>
      </w:r>
      <w:r w:rsidR="00A25F1C" w:rsidRPr="004D6881">
        <w:t xml:space="preserve">subjected to soft-repulsive potential to allow for </w:t>
      </w:r>
      <w:r w:rsidR="00145E9E" w:rsidRPr="004D6881">
        <w:t xml:space="preserve">the </w:t>
      </w:r>
      <w:r w:rsidR="00A25F1C" w:rsidRPr="004D6881">
        <w:t xml:space="preserve">conformational sampling of side-chains. </w:t>
      </w:r>
      <w:r w:rsidR="007A762D" w:rsidRPr="004D6881">
        <w:rPr>
          <w:color w:val="000000" w:themeColor="text1"/>
        </w:rPr>
        <w:t xml:space="preserve">Default settings were used for both programs. </w:t>
      </w:r>
    </w:p>
    <w:p w14:paraId="32BF5FF0" w14:textId="4164B870" w:rsidR="00F27CC5" w:rsidRPr="004D6881" w:rsidRDefault="004F68E2" w:rsidP="00BA3788">
      <w:pPr>
        <w:pBdr>
          <w:top w:val="nil"/>
          <w:left w:val="nil"/>
          <w:bottom w:val="nil"/>
          <w:right w:val="nil"/>
          <w:between w:val="nil"/>
        </w:pBdr>
        <w:spacing w:line="360" w:lineRule="auto"/>
        <w:jc w:val="both"/>
      </w:pPr>
      <w:r w:rsidRPr="004D6881">
        <w:t xml:space="preserve">For each individual residue exchange, </w:t>
      </w:r>
      <w:proofErr w:type="spellStart"/>
      <w:r w:rsidRPr="004D6881">
        <w:t>FoldX</w:t>
      </w:r>
      <w:proofErr w:type="spellEnd"/>
      <w:r w:rsidRPr="004D6881">
        <w:t xml:space="preserve"> and Rosetta </w:t>
      </w:r>
      <w:proofErr w:type="spellStart"/>
      <w:r w:rsidRPr="004D6881">
        <w:rPr>
          <w:color w:val="000000" w:themeColor="text1"/>
        </w:rPr>
        <w:t>ddg_monomer</w:t>
      </w:r>
      <w:proofErr w:type="spellEnd"/>
      <w:r w:rsidRPr="004D6881">
        <w:t xml:space="preserve"> calculated a resulting molecular stability</w:t>
      </w:r>
      <w:r w:rsidR="00145E9E" w:rsidRPr="004D6881">
        <w:t xml:space="preserve"> </w:t>
      </w:r>
      <w:r w:rsidR="00145E9E" w:rsidRPr="004D6881">
        <w:rPr>
          <w:color w:val="000000" w:themeColor="text1"/>
        </w:rPr>
        <w:t xml:space="preserve">expressed as </w:t>
      </w:r>
      <w:r w:rsidR="00FA7FC7" w:rsidRPr="004D6881">
        <w:rPr>
          <w:color w:val="000000" w:themeColor="text1"/>
        </w:rPr>
        <w:t>the comparative</w:t>
      </w:r>
      <w:r w:rsidR="00145E9E" w:rsidRPr="004D6881">
        <w:rPr>
          <w:color w:val="000000" w:themeColor="text1"/>
        </w:rPr>
        <w:t xml:space="preserve"> protein unfolding energy, </w:t>
      </w:r>
      <w:r w:rsidR="00145E9E" w:rsidRPr="004D6881">
        <w:t>ΔΔG, where</w:t>
      </w:r>
      <w:r w:rsidR="00F27CC5" w:rsidRPr="004D6881">
        <w:t xml:space="preserve"> </w:t>
      </w:r>
    </w:p>
    <w:p w14:paraId="2982DA52" w14:textId="77777777" w:rsidR="004E5AC1" w:rsidRDefault="004E5AC1" w:rsidP="00F27CC5">
      <w:pPr>
        <w:pBdr>
          <w:top w:val="nil"/>
          <w:left w:val="nil"/>
          <w:bottom w:val="nil"/>
          <w:right w:val="nil"/>
          <w:between w:val="nil"/>
        </w:pBdr>
        <w:spacing w:line="360" w:lineRule="auto"/>
        <w:ind w:left="2160"/>
      </w:pPr>
    </w:p>
    <w:p w14:paraId="1F5A7ADB" w14:textId="7FEC5B98" w:rsidR="00B158D3" w:rsidRPr="004D6881" w:rsidRDefault="00F27CC5" w:rsidP="00F27CC5">
      <w:pPr>
        <w:pBdr>
          <w:top w:val="nil"/>
          <w:left w:val="nil"/>
          <w:bottom w:val="nil"/>
          <w:right w:val="nil"/>
          <w:between w:val="nil"/>
        </w:pBdr>
        <w:spacing w:line="360" w:lineRule="auto"/>
        <w:ind w:left="2160"/>
      </w:pPr>
      <w:r w:rsidRPr="004D6881">
        <w:t>ΔΔ</w:t>
      </w:r>
      <w:proofErr w:type="gramStart"/>
      <w:r w:rsidRPr="004D6881">
        <w:t xml:space="preserve">G  </w:t>
      </w:r>
      <w:r w:rsidR="00145E9E" w:rsidRPr="004D6881">
        <w:t>=</w:t>
      </w:r>
      <w:proofErr w:type="gramEnd"/>
      <w:r w:rsidR="00145E9E" w:rsidRPr="004D6881">
        <w:t xml:space="preserve"> </w:t>
      </w:r>
      <w:proofErr w:type="spellStart"/>
      <w:r w:rsidR="00145E9E" w:rsidRPr="004D6881">
        <w:t>ΔG</w:t>
      </w:r>
      <w:r w:rsidR="00145E9E" w:rsidRPr="004D6881">
        <w:rPr>
          <w:vertAlign w:val="subscript"/>
        </w:rPr>
        <w:t>mutant</w:t>
      </w:r>
      <w:proofErr w:type="spellEnd"/>
      <w:r w:rsidR="00145E9E" w:rsidRPr="004D6881">
        <w:t xml:space="preserve"> – </w:t>
      </w:r>
      <w:proofErr w:type="spellStart"/>
      <w:r w:rsidR="00145E9E" w:rsidRPr="004D6881">
        <w:t>ΔG</w:t>
      </w:r>
      <w:r w:rsidR="00145E9E" w:rsidRPr="004D6881">
        <w:rPr>
          <w:vertAlign w:val="subscript"/>
        </w:rPr>
        <w:t>wt</w:t>
      </w:r>
      <w:proofErr w:type="spellEnd"/>
      <w:r w:rsidR="00145E9E" w:rsidRPr="004D6881">
        <w:rPr>
          <w:vertAlign w:val="subscript"/>
        </w:rPr>
        <w:t xml:space="preserve"> </w:t>
      </w:r>
    </w:p>
    <w:p w14:paraId="7026A23D" w14:textId="77777777" w:rsidR="00BC4ADD" w:rsidRPr="004D6881" w:rsidRDefault="00BC4ADD" w:rsidP="00BC4ADD">
      <w:pPr>
        <w:pBdr>
          <w:top w:val="nil"/>
          <w:left w:val="nil"/>
          <w:bottom w:val="nil"/>
          <w:right w:val="nil"/>
          <w:between w:val="nil"/>
        </w:pBdr>
        <w:spacing w:line="360" w:lineRule="auto"/>
        <w:ind w:left="2160"/>
      </w:pPr>
    </w:p>
    <w:p w14:paraId="61FF34BE" w14:textId="61199261" w:rsidR="00A83F9D" w:rsidRPr="004D6881" w:rsidRDefault="00B158D3" w:rsidP="0069378C">
      <w:pPr>
        <w:rPr>
          <w:rFonts w:ascii="Arial" w:hAnsi="Arial" w:cs="Arial"/>
          <w:color w:val="222222"/>
          <w:sz w:val="21"/>
          <w:szCs w:val="21"/>
          <w:shd w:val="clear" w:color="auto" w:fill="FFFFFF"/>
        </w:rPr>
      </w:pPr>
      <w:r w:rsidRPr="004D6881">
        <w:rPr>
          <w:b/>
        </w:rPr>
        <w:t xml:space="preserve">Creation </w:t>
      </w:r>
      <w:r w:rsidR="00A83F9D" w:rsidRPr="004D6881">
        <w:rPr>
          <w:b/>
        </w:rPr>
        <w:t xml:space="preserve">of </w:t>
      </w:r>
      <w:r w:rsidR="005C4101" w:rsidRPr="004D6881">
        <w:rPr>
          <w:b/>
        </w:rPr>
        <w:t xml:space="preserve">an </w:t>
      </w:r>
      <w:r w:rsidR="00A83F9D" w:rsidRPr="004D6881">
        <w:rPr>
          <w:b/>
        </w:rPr>
        <w:t>average</w:t>
      </w:r>
      <w:r w:rsidRPr="004D6881">
        <w:rPr>
          <w:b/>
        </w:rPr>
        <w:t xml:space="preserve"> instability score</w:t>
      </w:r>
      <w:r w:rsidR="00B62D9F" w:rsidRPr="004D6881">
        <w:rPr>
          <w:b/>
        </w:rPr>
        <w:t xml:space="preserve"> for</w:t>
      </w:r>
      <w:r w:rsidR="00F27CC5" w:rsidRPr="004D6881">
        <w:rPr>
          <w:b/>
        </w:rPr>
        <w:t xml:space="preserve"> </w:t>
      </w:r>
      <w:r w:rsidR="00B62D9F" w:rsidRPr="004D6881">
        <w:rPr>
          <w:b/>
        </w:rPr>
        <w:t xml:space="preserve">each </w:t>
      </w:r>
      <w:r w:rsidR="005C4101" w:rsidRPr="004D6881">
        <w:rPr>
          <w:b/>
        </w:rPr>
        <w:t xml:space="preserve">residue </w:t>
      </w:r>
      <w:r w:rsidR="00B62D9F" w:rsidRPr="004D6881">
        <w:rPr>
          <w:b/>
        </w:rPr>
        <w:t>position</w:t>
      </w:r>
      <w:r w:rsidRPr="004D6881">
        <w:rPr>
          <w:b/>
        </w:rPr>
        <w:t xml:space="preserve"> </w:t>
      </w:r>
      <w:r w:rsidR="00A83F9D" w:rsidRPr="004D6881">
        <w:rPr>
          <w:b/>
        </w:rPr>
        <w:t>(</w:t>
      </w:r>
      <w:proofErr w:type="spellStart"/>
      <w:r w:rsidR="0069378C" w:rsidRPr="004D6881">
        <w:rPr>
          <w:color w:val="222222"/>
          <w:sz w:val="21"/>
          <w:szCs w:val="21"/>
          <w:shd w:val="clear" w:color="auto" w:fill="FFFFFF"/>
        </w:rPr>
        <w:t>x̃</w:t>
      </w:r>
      <w:r w:rsidR="00A83F9D" w:rsidRPr="004D6881">
        <w:rPr>
          <w:b/>
        </w:rPr>
        <w:t>ΔΔG</w:t>
      </w:r>
      <w:r w:rsidR="00A83F9D" w:rsidRPr="004D6881">
        <w:rPr>
          <w:b/>
          <w:vertAlign w:val="subscript"/>
        </w:rPr>
        <w:t>position</w:t>
      </w:r>
      <w:proofErr w:type="spellEnd"/>
      <w:r w:rsidR="00A83F9D" w:rsidRPr="004D6881">
        <w:rPr>
          <w:b/>
        </w:rPr>
        <w:t>)</w:t>
      </w:r>
      <w:r w:rsidR="0069378C" w:rsidRPr="004D6881">
        <w:rPr>
          <w:b/>
        </w:rPr>
        <w:t xml:space="preserve"> </w:t>
      </w:r>
    </w:p>
    <w:p w14:paraId="4E840197" w14:textId="77777777" w:rsidR="00B31AEB" w:rsidRPr="004D6881" w:rsidRDefault="00B31AEB" w:rsidP="00B31AEB"/>
    <w:p w14:paraId="5C3F364F" w14:textId="15216941" w:rsidR="00B333A7" w:rsidRPr="004D6881" w:rsidRDefault="00F758FE" w:rsidP="00070B80">
      <w:pPr>
        <w:pBdr>
          <w:top w:val="nil"/>
          <w:left w:val="nil"/>
          <w:bottom w:val="nil"/>
          <w:right w:val="nil"/>
          <w:between w:val="nil"/>
        </w:pBdr>
        <w:spacing w:line="360" w:lineRule="auto"/>
        <w:jc w:val="both"/>
        <w:rPr>
          <w:color w:val="000000" w:themeColor="text1"/>
        </w:rPr>
      </w:pPr>
      <w:r w:rsidRPr="004D6881">
        <w:t>For all residue exchanges at each given position of the titin sequence, the</w:t>
      </w:r>
      <w:r w:rsidR="004F3B81" w:rsidRPr="004D6881">
        <w:t xml:space="preserve"> median of </w:t>
      </w:r>
      <w:r w:rsidRPr="004D6881">
        <w:t xml:space="preserve">the </w:t>
      </w:r>
      <w:r w:rsidR="001A6520" w:rsidRPr="004D6881">
        <w:t>stability</w:t>
      </w:r>
      <w:r w:rsidR="00F27CC5" w:rsidRPr="004D6881">
        <w:t xml:space="preserve"> ΔΔG</w:t>
      </w:r>
      <w:r w:rsidR="00A83F9D" w:rsidRPr="004D6881">
        <w:t xml:space="preserve"> scores </w:t>
      </w:r>
      <w:r w:rsidR="004F3B81" w:rsidRPr="004D6881">
        <w:t xml:space="preserve">was calculated to produce </w:t>
      </w:r>
      <w:proofErr w:type="spellStart"/>
      <w:r w:rsidR="003A5C4D" w:rsidRPr="004D6881">
        <w:rPr>
          <w:iCs/>
          <w:color w:val="222222"/>
        </w:rPr>
        <w:t>x̃ΔΔG</w:t>
      </w:r>
      <w:r w:rsidR="00B62D9F" w:rsidRPr="004D6881">
        <w:rPr>
          <w:vertAlign w:val="subscript"/>
        </w:rPr>
        <w:t>position</w:t>
      </w:r>
      <w:proofErr w:type="spellEnd"/>
      <w:r w:rsidRPr="004D6881">
        <w:rPr>
          <w:color w:val="000000" w:themeColor="text1"/>
        </w:rPr>
        <w:t>. T</w:t>
      </w:r>
      <w:r w:rsidR="00A64B2A" w:rsidRPr="004D6881">
        <w:rPr>
          <w:color w:val="000000" w:themeColor="text1"/>
        </w:rPr>
        <w:t>his was applied to residue positions in single domains (</w:t>
      </w:r>
      <w:proofErr w:type="spellStart"/>
      <w:r w:rsidR="003A5C4D" w:rsidRPr="004D6881">
        <w:rPr>
          <w:iCs/>
          <w:color w:val="222222"/>
        </w:rPr>
        <w:t>x̃ΔΔG</w:t>
      </w:r>
      <w:r w:rsidR="00A64B2A" w:rsidRPr="004D6881">
        <w:rPr>
          <w:vertAlign w:val="subscript"/>
        </w:rPr>
        <w:t>solo</w:t>
      </w:r>
      <w:proofErr w:type="spellEnd"/>
      <w:r w:rsidR="00A64B2A" w:rsidRPr="004D6881">
        <w:t>) and residues in the I10-I11 tandem (</w:t>
      </w:r>
      <w:proofErr w:type="spellStart"/>
      <w:r w:rsidR="003A5C4D" w:rsidRPr="004D6881">
        <w:rPr>
          <w:iCs/>
          <w:color w:val="222222"/>
        </w:rPr>
        <w:t>x̃ΔΔG</w:t>
      </w:r>
      <w:r w:rsidR="00A64B2A" w:rsidRPr="004D6881">
        <w:rPr>
          <w:vertAlign w:val="subscript"/>
        </w:rPr>
        <w:t>tandem</w:t>
      </w:r>
      <w:proofErr w:type="spellEnd"/>
      <w:r w:rsidR="00A64B2A" w:rsidRPr="004D6881">
        <w:t xml:space="preserve">). </w:t>
      </w:r>
      <w:proofErr w:type="spellStart"/>
      <w:r w:rsidR="003A5C4D" w:rsidRPr="004D6881">
        <w:rPr>
          <w:iCs/>
          <w:color w:val="222222"/>
        </w:rPr>
        <w:t>x̃ΔΔG</w:t>
      </w:r>
      <w:r w:rsidR="004F68E2" w:rsidRPr="004D6881">
        <w:rPr>
          <w:vertAlign w:val="subscript"/>
        </w:rPr>
        <w:t>position</w:t>
      </w:r>
      <w:proofErr w:type="spellEnd"/>
      <w:r w:rsidR="004F68E2" w:rsidRPr="004D6881">
        <w:t xml:space="preserve"> values were first calculated independently from </w:t>
      </w:r>
      <w:proofErr w:type="spellStart"/>
      <w:r w:rsidR="004F68E2" w:rsidRPr="004D6881">
        <w:t>FoldX</w:t>
      </w:r>
      <w:proofErr w:type="spellEnd"/>
      <w:r w:rsidR="004F68E2" w:rsidRPr="004D6881">
        <w:t xml:space="preserve"> and Rosetta </w:t>
      </w:r>
      <w:proofErr w:type="spellStart"/>
      <w:r w:rsidR="004F68E2" w:rsidRPr="004D6881">
        <w:rPr>
          <w:color w:val="000000" w:themeColor="text1"/>
        </w:rPr>
        <w:t>ddg_monomer</w:t>
      </w:r>
      <w:proofErr w:type="spellEnd"/>
      <w:r w:rsidR="004F68E2" w:rsidRPr="004D6881">
        <w:rPr>
          <w:color w:val="000000" w:themeColor="text1"/>
        </w:rPr>
        <w:t xml:space="preserve"> results. </w:t>
      </w:r>
      <w:r w:rsidRPr="004D6881">
        <w:t xml:space="preserve">As </w:t>
      </w:r>
      <w:r w:rsidR="00F16593" w:rsidRPr="004D6881">
        <w:t xml:space="preserve">the ΔΔG values calculated by each program are not directly comparable and as </w:t>
      </w:r>
      <w:r w:rsidRPr="004D6881">
        <w:t xml:space="preserve">there is no </w:t>
      </w:r>
      <w:r w:rsidR="007E758E" w:rsidRPr="004D6881">
        <w:t>established</w:t>
      </w:r>
      <w:r w:rsidRPr="004D6881">
        <w:t xml:space="preserve"> threshold that</w:t>
      </w:r>
      <w:r w:rsidRPr="00E718DB">
        <w:t xml:space="preserve"> determines </w:t>
      </w:r>
      <w:r w:rsidR="007E758E" w:rsidRPr="00E718DB">
        <w:t>a residue</w:t>
      </w:r>
      <w:r w:rsidRPr="00E718DB">
        <w:t xml:space="preserve"> exchange as structurally damaging </w:t>
      </w:r>
      <w:r w:rsidR="007E758E" w:rsidRPr="00E718DB">
        <w:t>in</w:t>
      </w:r>
      <w:r w:rsidRPr="00E718DB">
        <w:t xml:space="preserve"> either program,</w:t>
      </w:r>
      <w:r w:rsidRPr="00E718DB">
        <w:rPr>
          <w:color w:val="000000" w:themeColor="text1"/>
        </w:rPr>
        <w:t xml:space="preserve"> </w:t>
      </w:r>
      <w:proofErr w:type="spellStart"/>
      <w:r w:rsidR="003A5C4D" w:rsidRPr="004D6881">
        <w:rPr>
          <w:iCs/>
          <w:color w:val="222222"/>
        </w:rPr>
        <w:t>x̃ΔΔG</w:t>
      </w:r>
      <w:r w:rsidRPr="004D6881">
        <w:rPr>
          <w:vertAlign w:val="subscript"/>
        </w:rPr>
        <w:t>position</w:t>
      </w:r>
      <w:proofErr w:type="spellEnd"/>
      <w:r w:rsidR="004F68E2" w:rsidRPr="004D6881">
        <w:rPr>
          <w:color w:val="000000" w:themeColor="text1"/>
        </w:rPr>
        <w:t xml:space="preserve"> </w:t>
      </w:r>
      <w:r w:rsidR="007E758E" w:rsidRPr="004D6881">
        <w:rPr>
          <w:color w:val="000000" w:themeColor="text1"/>
        </w:rPr>
        <w:t xml:space="preserve">threshold </w:t>
      </w:r>
      <w:r w:rsidRPr="004D6881">
        <w:rPr>
          <w:color w:val="000000" w:themeColor="text1"/>
        </w:rPr>
        <w:t xml:space="preserve">values </w:t>
      </w:r>
      <w:r w:rsidR="007E758E" w:rsidRPr="004D6881">
        <w:rPr>
          <w:color w:val="000000" w:themeColor="text1"/>
        </w:rPr>
        <w:t>were identified here e</w:t>
      </w:r>
      <w:r w:rsidR="004F68E2" w:rsidRPr="004D6881">
        <w:t>mpirical</w:t>
      </w:r>
      <w:r w:rsidR="007E758E" w:rsidRPr="004D6881">
        <w:t>ly</w:t>
      </w:r>
      <w:r w:rsidR="00EF695B" w:rsidRPr="004D6881">
        <w:t xml:space="preserve"> </w:t>
      </w:r>
      <w:r w:rsidR="007E758E" w:rsidRPr="004D6881">
        <w:t>as those that</w:t>
      </w:r>
      <w:r w:rsidR="004F68E2" w:rsidRPr="004D6881">
        <w:t xml:space="preserve"> produced the best agreement between programs.</w:t>
      </w:r>
      <w:r w:rsidR="009D3168" w:rsidRPr="004D6881">
        <w:rPr>
          <w:color w:val="000000" w:themeColor="text1"/>
        </w:rPr>
        <w:t xml:space="preserve"> </w:t>
      </w:r>
      <w:r w:rsidR="00B8675B" w:rsidRPr="004D6881">
        <w:t>This</w:t>
      </w:r>
      <w:r w:rsidR="0078194B" w:rsidRPr="004D6881">
        <w:t xml:space="preserve"> </w:t>
      </w:r>
      <w:r w:rsidR="004F3B81" w:rsidRPr="004D6881">
        <w:t>result</w:t>
      </w:r>
      <w:r w:rsidR="00B8675B" w:rsidRPr="004D6881">
        <w:t>ed</w:t>
      </w:r>
      <w:r w:rsidR="004F3B81" w:rsidRPr="004D6881">
        <w:t xml:space="preserve"> in </w:t>
      </w:r>
      <w:r w:rsidR="00A83F9D" w:rsidRPr="004D6881">
        <w:t xml:space="preserve">the following </w:t>
      </w:r>
      <w:proofErr w:type="spellStart"/>
      <w:r w:rsidR="00A83F9D" w:rsidRPr="004D6881">
        <w:t>cutoffs</w:t>
      </w:r>
      <w:proofErr w:type="spellEnd"/>
      <w:r w:rsidR="004F3B81" w:rsidRPr="004D6881">
        <w:t xml:space="preserve"> for assigning destabilising changes</w:t>
      </w:r>
      <w:r w:rsidR="007E758E" w:rsidRPr="004D6881">
        <w:t xml:space="preserve"> in each case</w:t>
      </w:r>
      <w:r w:rsidR="00A83F9D" w:rsidRPr="004D6881">
        <w:t xml:space="preserve">: </w:t>
      </w:r>
      <w:proofErr w:type="spellStart"/>
      <w:r w:rsidR="003A5C4D" w:rsidRPr="004D6881">
        <w:rPr>
          <w:iCs/>
          <w:color w:val="222222"/>
        </w:rPr>
        <w:t>x̃ΔΔG</w:t>
      </w:r>
      <w:r w:rsidR="007E758E" w:rsidRPr="004D6881">
        <w:rPr>
          <w:vertAlign w:val="subscript"/>
        </w:rPr>
        <w:t>position</w:t>
      </w:r>
      <w:proofErr w:type="spellEnd"/>
      <w:r w:rsidR="007E758E" w:rsidRPr="004D6881">
        <w:t xml:space="preserve"> </w:t>
      </w:r>
      <w:r w:rsidR="00CF7746" w:rsidRPr="004D6881">
        <w:t>&gt;</w:t>
      </w:r>
      <w:r w:rsidR="00B158D3" w:rsidRPr="004D6881">
        <w:t>2kcal/</w:t>
      </w:r>
      <w:proofErr w:type="spellStart"/>
      <w:r w:rsidR="00B158D3" w:rsidRPr="004D6881">
        <w:t>mol</w:t>
      </w:r>
      <w:proofErr w:type="spellEnd"/>
      <w:r w:rsidR="00A83F9D" w:rsidRPr="004D6881">
        <w:t xml:space="preserve"> for </w:t>
      </w:r>
      <w:proofErr w:type="spellStart"/>
      <w:r w:rsidR="00A83F9D" w:rsidRPr="004D6881">
        <w:t>FoldX</w:t>
      </w:r>
      <w:proofErr w:type="spellEnd"/>
      <w:r w:rsidR="00A83F9D" w:rsidRPr="004D6881">
        <w:t xml:space="preserve"> and &gt;5kcal/</w:t>
      </w:r>
      <w:proofErr w:type="spellStart"/>
      <w:r w:rsidR="00A83F9D" w:rsidRPr="004D6881">
        <w:t>mol</w:t>
      </w:r>
      <w:proofErr w:type="spellEnd"/>
      <w:r w:rsidR="00A83F9D" w:rsidRPr="004D6881">
        <w:t xml:space="preserve"> for Rosetta </w:t>
      </w:r>
      <w:proofErr w:type="spellStart"/>
      <w:r w:rsidR="00A83F9D" w:rsidRPr="004D6881">
        <w:t>ddg_monomer</w:t>
      </w:r>
      <w:proofErr w:type="spellEnd"/>
      <w:r w:rsidR="00F27CC5" w:rsidRPr="004D6881">
        <w:t xml:space="preserve">. </w:t>
      </w:r>
    </w:p>
    <w:p w14:paraId="296AB2CD" w14:textId="2DCAC074" w:rsidR="00B158D3" w:rsidRPr="004D6881" w:rsidRDefault="00B158D3" w:rsidP="00BA3788">
      <w:pPr>
        <w:pBdr>
          <w:top w:val="nil"/>
          <w:left w:val="nil"/>
          <w:bottom w:val="nil"/>
          <w:right w:val="nil"/>
          <w:between w:val="nil"/>
        </w:pBdr>
        <w:spacing w:line="360" w:lineRule="auto"/>
        <w:jc w:val="both"/>
      </w:pPr>
    </w:p>
    <w:p w14:paraId="49593BEB" w14:textId="3231B492" w:rsidR="00F97949" w:rsidRPr="004D6881" w:rsidRDefault="00F97949" w:rsidP="00BA3788">
      <w:pPr>
        <w:pBdr>
          <w:top w:val="nil"/>
          <w:left w:val="nil"/>
          <w:bottom w:val="nil"/>
          <w:right w:val="nil"/>
          <w:between w:val="nil"/>
        </w:pBdr>
        <w:spacing w:line="360" w:lineRule="auto"/>
        <w:jc w:val="both"/>
      </w:pPr>
      <w:r w:rsidRPr="004D6881">
        <w:t xml:space="preserve">To compare differences in </w:t>
      </w:r>
      <w:proofErr w:type="spellStart"/>
      <w:r w:rsidR="003A5C4D" w:rsidRPr="004D6881">
        <w:rPr>
          <w:iCs/>
          <w:color w:val="222222"/>
        </w:rPr>
        <w:t>x̃ΔΔG</w:t>
      </w:r>
      <w:r w:rsidRPr="004D6881">
        <w:rPr>
          <w:vertAlign w:val="subscript"/>
        </w:rPr>
        <w:t>position</w:t>
      </w:r>
      <w:proofErr w:type="spellEnd"/>
      <w:r w:rsidRPr="004D6881">
        <w:t xml:space="preserve"> values for a same residue considered within the domain tandem and in the isolated domains, the difference between the respective </w:t>
      </w:r>
      <w:proofErr w:type="spellStart"/>
      <w:r w:rsidR="003A5C4D" w:rsidRPr="004D6881">
        <w:rPr>
          <w:iCs/>
          <w:color w:val="222222"/>
        </w:rPr>
        <w:t>x̃ΔΔG</w:t>
      </w:r>
      <w:r w:rsidRPr="004D6881">
        <w:rPr>
          <w:vertAlign w:val="subscript"/>
        </w:rPr>
        <w:t>position</w:t>
      </w:r>
      <w:proofErr w:type="spellEnd"/>
      <w:r w:rsidRPr="004D6881">
        <w:t xml:space="preserve"> values was calculated and termed here </w:t>
      </w:r>
      <w:r w:rsidR="003A5C4D" w:rsidRPr="004D6881">
        <w:t>Domain Interface Score (DIS)</w:t>
      </w:r>
      <w:r w:rsidRPr="004D6881">
        <w:t xml:space="preserve">, defined as follows: </w:t>
      </w:r>
    </w:p>
    <w:p w14:paraId="27479293" w14:textId="77777777" w:rsidR="00F97949" w:rsidRPr="004D6881" w:rsidRDefault="00F97949" w:rsidP="00F27CC5">
      <w:pPr>
        <w:pBdr>
          <w:top w:val="nil"/>
          <w:left w:val="nil"/>
          <w:bottom w:val="nil"/>
          <w:right w:val="nil"/>
          <w:between w:val="nil"/>
        </w:pBdr>
        <w:spacing w:line="360" w:lineRule="auto"/>
        <w:jc w:val="center"/>
        <w:rPr>
          <w:b/>
        </w:rPr>
      </w:pPr>
    </w:p>
    <w:p w14:paraId="1AD8507D" w14:textId="4743972D" w:rsidR="00A83F9D" w:rsidRPr="004D6881" w:rsidRDefault="003A5C4D" w:rsidP="00F27CC5">
      <w:pPr>
        <w:pBdr>
          <w:top w:val="nil"/>
          <w:left w:val="nil"/>
          <w:bottom w:val="nil"/>
          <w:right w:val="nil"/>
          <w:between w:val="nil"/>
        </w:pBdr>
        <w:spacing w:line="360" w:lineRule="auto"/>
        <w:jc w:val="center"/>
      </w:pPr>
      <w:r w:rsidRPr="004D6881">
        <w:t>DIS</w:t>
      </w:r>
      <w:r w:rsidR="00F97949" w:rsidRPr="004D6881" w:rsidDel="00F97949">
        <w:rPr>
          <w:b/>
        </w:rPr>
        <w:t xml:space="preserve"> </w:t>
      </w:r>
      <w:r w:rsidR="00F97949" w:rsidRPr="004D6881">
        <w:rPr>
          <w:b/>
        </w:rPr>
        <w:t xml:space="preserve">= </w:t>
      </w:r>
      <w:proofErr w:type="spellStart"/>
      <w:r w:rsidRPr="004D6881">
        <w:rPr>
          <w:iCs/>
          <w:color w:val="222222"/>
        </w:rPr>
        <w:t>x̃ΔΔG</w:t>
      </w:r>
      <w:r w:rsidR="00F27CC5" w:rsidRPr="004D6881">
        <w:rPr>
          <w:vertAlign w:val="subscript"/>
        </w:rPr>
        <w:t>tandem</w:t>
      </w:r>
      <w:proofErr w:type="spellEnd"/>
      <w:r w:rsidR="00A83F9D" w:rsidRPr="004D6881">
        <w:rPr>
          <w:vertAlign w:val="subscript"/>
        </w:rPr>
        <w:t xml:space="preserve"> </w:t>
      </w:r>
      <w:r w:rsidR="00A83F9D" w:rsidRPr="004D6881">
        <w:t xml:space="preserve">- </w:t>
      </w:r>
      <w:proofErr w:type="spellStart"/>
      <w:r w:rsidRPr="004D6881">
        <w:rPr>
          <w:iCs/>
          <w:color w:val="222222"/>
        </w:rPr>
        <w:t>x̃ΔΔG</w:t>
      </w:r>
      <w:r w:rsidR="00070B80" w:rsidRPr="004D6881">
        <w:rPr>
          <w:vertAlign w:val="subscript"/>
        </w:rPr>
        <w:t>solo</w:t>
      </w:r>
      <w:proofErr w:type="spellEnd"/>
      <w:r w:rsidR="00A83F9D" w:rsidRPr="004D6881">
        <w:t xml:space="preserve"> </w:t>
      </w:r>
      <w:r w:rsidR="00F27CC5" w:rsidRPr="004D6881">
        <w:rPr>
          <w:vertAlign w:val="subscript"/>
        </w:rPr>
        <w:tab/>
      </w:r>
      <w:r w:rsidR="00F27CC5" w:rsidRPr="004D6881">
        <w:rPr>
          <w:vertAlign w:val="subscript"/>
        </w:rPr>
        <w:tab/>
      </w:r>
    </w:p>
    <w:p w14:paraId="398C8CE0" w14:textId="49C6721C" w:rsidR="002E2457" w:rsidRPr="004D6881" w:rsidRDefault="002E2457" w:rsidP="00BA3788">
      <w:pPr>
        <w:pBdr>
          <w:top w:val="nil"/>
          <w:left w:val="nil"/>
          <w:bottom w:val="nil"/>
          <w:right w:val="nil"/>
          <w:between w:val="nil"/>
        </w:pBdr>
        <w:spacing w:line="360" w:lineRule="auto"/>
        <w:jc w:val="both"/>
        <w:rPr>
          <w:b/>
        </w:rPr>
      </w:pPr>
      <w:r w:rsidRPr="004D6881">
        <w:rPr>
          <w:b/>
        </w:rPr>
        <w:br/>
      </w:r>
      <w:r w:rsidR="00C275EE" w:rsidRPr="004D6881">
        <w:rPr>
          <w:b/>
        </w:rPr>
        <w:t>Generation</w:t>
      </w:r>
      <w:r w:rsidR="00375208" w:rsidRPr="004D6881">
        <w:rPr>
          <w:b/>
        </w:rPr>
        <w:t xml:space="preserve"> of </w:t>
      </w:r>
      <w:r w:rsidR="002E3DAA" w:rsidRPr="004D6881">
        <w:rPr>
          <w:b/>
        </w:rPr>
        <w:t xml:space="preserve">mutated </w:t>
      </w:r>
      <w:r w:rsidR="00375208" w:rsidRPr="004D6881">
        <w:rPr>
          <w:b/>
        </w:rPr>
        <w:t>3D-models</w:t>
      </w:r>
      <w:r w:rsidR="00C275EE" w:rsidRPr="004D6881">
        <w:rPr>
          <w:b/>
        </w:rPr>
        <w:t xml:space="preserve"> </w:t>
      </w:r>
      <w:r w:rsidR="00BF615C" w:rsidRPr="004D6881">
        <w:rPr>
          <w:b/>
        </w:rPr>
        <w:t>for MD simulations</w:t>
      </w:r>
    </w:p>
    <w:p w14:paraId="5B7C0766" w14:textId="73FFE693" w:rsidR="00C64DFC" w:rsidRPr="004D6881" w:rsidRDefault="002E3DAA" w:rsidP="004601EC">
      <w:pPr>
        <w:spacing w:line="360" w:lineRule="auto"/>
        <w:jc w:val="both"/>
      </w:pPr>
      <w:r w:rsidRPr="004D6881">
        <w:t>3D-model c</w:t>
      </w:r>
      <w:r w:rsidR="002E2457" w:rsidRPr="004D6881">
        <w:t xml:space="preserve">oordinates of </w:t>
      </w:r>
      <w:r w:rsidRPr="004D6881">
        <w:t>mutated versions of I10-I11</w:t>
      </w:r>
      <w:r w:rsidR="00E420F8" w:rsidRPr="004D6881">
        <w:t xml:space="preserve"> </w:t>
      </w:r>
      <w:r w:rsidR="002E2457" w:rsidRPr="004D6881">
        <w:t xml:space="preserve">were </w:t>
      </w:r>
      <w:r w:rsidRPr="004D6881">
        <w:t>generated by exchanging</w:t>
      </w:r>
      <w:r w:rsidR="00CA3C87" w:rsidRPr="004D6881">
        <w:t xml:space="preserve"> </w:t>
      </w:r>
      <w:r w:rsidR="002E2457" w:rsidRPr="004D6881">
        <w:t xml:space="preserve">residue </w:t>
      </w:r>
      <w:r w:rsidR="00EE3110" w:rsidRPr="004D6881">
        <w:t>T</w:t>
      </w:r>
      <w:r w:rsidR="002E2457" w:rsidRPr="004D6881">
        <w:t xml:space="preserve">105 </w:t>
      </w:r>
      <w:r w:rsidRPr="004D6881">
        <w:t xml:space="preserve">(residue </w:t>
      </w:r>
      <w:r w:rsidR="00EE3110" w:rsidRPr="004D6881">
        <w:t>T</w:t>
      </w:r>
      <w:r w:rsidR="005900DF" w:rsidRPr="004D6881">
        <w:t xml:space="preserve">2580 </w:t>
      </w:r>
      <w:r w:rsidRPr="004D6881">
        <w:t xml:space="preserve">in </w:t>
      </w:r>
      <w:proofErr w:type="spellStart"/>
      <w:r w:rsidRPr="004D6881">
        <w:t>UniprotKB</w:t>
      </w:r>
      <w:proofErr w:type="spellEnd"/>
      <w:r w:rsidRPr="004D6881">
        <w:t xml:space="preserve"> </w:t>
      </w:r>
      <w:r w:rsidRPr="004D6881">
        <w:rPr>
          <w:color w:val="333333"/>
          <w:shd w:val="clear" w:color="auto" w:fill="FFFFFF"/>
        </w:rPr>
        <w:t>Q8WZ42</w:t>
      </w:r>
      <w:r w:rsidRPr="004D6881">
        <w:t>) using the</w:t>
      </w:r>
      <w:r w:rsidR="002E2457" w:rsidRPr="004D6881">
        <w:t xml:space="preserve"> </w:t>
      </w:r>
      <w:r w:rsidRPr="004D6881">
        <w:t>“</w:t>
      </w:r>
      <w:r w:rsidR="002E2457" w:rsidRPr="004D6881">
        <w:t>substitution</w:t>
      </w:r>
      <w:r w:rsidRPr="004D6881">
        <w:t>” function</w:t>
      </w:r>
      <w:r w:rsidR="002E2457" w:rsidRPr="004D6881">
        <w:t xml:space="preserve"> in COOT</w:t>
      </w:r>
      <w:r w:rsidR="00C64DFC" w:rsidRPr="004D6881">
        <w:t xml:space="preserve"> </w:t>
      </w:r>
      <w:r w:rsidR="00C64DFC" w:rsidRPr="004D6881">
        <w:fldChar w:fldCharType="begin" w:fldLock="1"/>
      </w:r>
      <w:r w:rsidR="00C2687E">
        <w:instrText>ADDIN CSL_CITATION {"citationItems":[{"id":"ITEM-1","itemData":{"DOI":"10.1107/S0907444910007493","ISSN":"09074449","abstract":"Coot is a molecular-graphics application for model building and validation of biological macromolecules. The program displays electron-density maps and atomic models and allows model manipulations such as idealization, real-space refinement, manual rotation/translation, rigid-body fitting, ligand search, solvation, mutations, rotamers and Ramachandran idealization. Furthermore, tools are provided for model validation as well as interfaces to external programs for refinement, validation and graphics. The software is designed to be easy to learn for novice users, which is achieved by ensuring that tools for common tasks are discoverable through familiar user-interface elements (menus and toolbars) or by intuitive behaviour (mouse controls). Recent developments have focused on providing tools for expert users, with customisable key bindings, extensions and an extensive scripting interface. The software is under rapid development, but has already achieved very widespread use within the crystallographic community. The current state of the software is presented, with a description of the facilities available and of some of the underlying methods employed.","author":[{"dropping-particle":"","family":"Emsley","given":"P.","non-dropping-particle":"","parse-names":false,"suffix":""},{"dropping-particle":"","family":"Lohkamp","given":"B.","non-dropping-particle":"","parse-names":false,"suffix":""},{"dropping-particle":"","family":"Scott","given":"W. G.","non-dropping-particle":"","parse-names":false,"suffix":""},{"dropping-particle":"","family":"Cowtan","given":"K.","non-dropping-particle":"","parse-names":false,"suffix":""}],"container-title":"Acta Crystallographica Section D: Biological Crystallography","id":"ITEM-1","issue":"Pt 4","issued":{"date-parts":[["2010"]]},"page":"486-501","title":"Features and development of Coot","type":"article-journal","volume":"66"},"uris":["http://www.mendeley.com/documents/?uuid=b86d12f4-27e9-44c3-95ab-208605902a2f"]}],"mendeley":{"formattedCitation":"(Emsley et al., 2010)","plainTextFormattedCitation":"(Emsley et al., 2010)","previouslyFormattedCitation":"(Emsley, Lohkamp, Scott, &amp; Cowtan, 2010)"},"properties":{"noteIndex":0},"schema":"https://github.com/citation-style-language/schema/raw/master/csl-citation.json"}</w:instrText>
      </w:r>
      <w:r w:rsidR="00C64DFC" w:rsidRPr="004D6881">
        <w:fldChar w:fldCharType="separate"/>
      </w:r>
      <w:r w:rsidR="00C2687E" w:rsidRPr="00C2687E">
        <w:rPr>
          <w:noProof/>
        </w:rPr>
        <w:t>(</w:t>
      </w:r>
      <w:r w:rsidR="00C2687E" w:rsidRPr="00551659">
        <w:rPr>
          <w:noProof/>
          <w:color w:val="003CFF"/>
        </w:rPr>
        <w:t>Emsley et al., 2010</w:t>
      </w:r>
      <w:r w:rsidR="00C2687E" w:rsidRPr="00C2687E">
        <w:rPr>
          <w:noProof/>
        </w:rPr>
        <w:t>)</w:t>
      </w:r>
      <w:r w:rsidR="00C64DFC" w:rsidRPr="004D6881">
        <w:fldChar w:fldCharType="end"/>
      </w:r>
      <w:r w:rsidRPr="004D6881">
        <w:t>. In this way, the native</w:t>
      </w:r>
      <w:r w:rsidR="002E2457" w:rsidRPr="004D6881">
        <w:t xml:space="preserve"> threonine </w:t>
      </w:r>
      <w:r w:rsidRPr="004D6881">
        <w:t>residue was exchanged in</w:t>
      </w:r>
      <w:r w:rsidR="002E2457" w:rsidRPr="004D6881">
        <w:t>to all other amino acids</w:t>
      </w:r>
      <w:r w:rsidRPr="004D6881">
        <w:t>,</w:t>
      </w:r>
      <w:r w:rsidR="002E2457" w:rsidRPr="004D6881">
        <w:t xml:space="preserve"> except proline. </w:t>
      </w:r>
      <w:r w:rsidR="005E04FA" w:rsidRPr="004D6881">
        <w:t xml:space="preserve">This is due to proline only existing in the </w:t>
      </w:r>
      <w:r w:rsidR="005E04FA" w:rsidRPr="00551659">
        <w:rPr>
          <w:i/>
        </w:rPr>
        <w:t>i</w:t>
      </w:r>
      <w:r w:rsidR="005E04FA" w:rsidRPr="004D6881">
        <w:t xml:space="preserve">+2 position of a type II β-turn when contorted into the position </w:t>
      </w:r>
      <w:r w:rsidR="0017708B" w:rsidRPr="004D6881">
        <w:t>by</w:t>
      </w:r>
      <w:r w:rsidR="005E04FA" w:rsidRPr="004D6881">
        <w:t xml:space="preserve"> stacking between hydrophobic residues (PDB 1RLM, C266-269) </w:t>
      </w:r>
      <w:r w:rsidR="005E04FA" w:rsidRPr="004D6881">
        <w:fldChar w:fldCharType="begin" w:fldLock="1"/>
      </w:r>
      <w:r w:rsidR="00E718DB">
        <w:instrText>ADDIN CSL_CITATION {"citationItems":[{"id":"ITEM-1","itemData":{"DOI":"10.1098/rsob.160114","ISSN":"20462441","abstract":"Missense single-nucleotide polymorphisms (mSNPs) in titin are emerging as a main causative factor of heart failure. However, distinguishing between benign and disease-causing mSNPs is a substantial challenge. Here, we research the question of whether a single mSNP in a generic domain of titin can affect heart function as a whole and, if so, how. For this, we studied the mSNP T2850I, seemingly linked to arrhythmogenic right ventricular cardiomyopathy (ARVC). We used structural biology, computational simulations and transgenic muscle in vivo methods to track the effect of the mutation from the molecular to the organismal level. The data show that the T2850I exchange is compatible with the domain three-dimensional fold, but that it strongly destabilizes it. Further, it induces a change in the conformational dynamics of the titin chain that alters its reactivity, causing the formation of aberrant interactions in the sarcomere. Echocardiography of knock-in mice indicated a mild diastolic dysfunction arising from increased myocardial stiffness. In conclusion, our data provide evidence that single mSNPs in titin's I-band can alter overall muscle behaviour. Our suggested mechanisms of disease are the development of non-native sarcomeric interactions and titin instability leading to a reduced I-band compliance. However, understanding the T2850I-induced ARVC pathology mechanistically remains a complex problem and will require a deeper understanding of the sarcomeric context of the titin region affected.","author":[{"dropping-particle":"","family":"Bogomolovas","given":"Julius","non-dropping-particle":"","parse-names":false,"suffix":""},{"dropping-particle":"","family":"Fleming","given":"Jennifer R.","non-dropping-particle":"","parse-names":false,"suffix":""},{"dropping-particle":"","family":"Anderson","given":"Brian R.","non-dropping-particle":"","parse-names":false,"suffix":""},{"dropping-particle":"","family":"Williams","given":"Rhys","non-dropping-particle":"","parse-names":false,"suffix":""},{"dropping-particle":"","family":"Lange","given":"Stephan","non-dropping-particle":"","parse-names":false,"suffix":""},{"dropping-particle":"","family":"Simon","given":"Bernd","non-dropping-particle":"","parse-names":false,"suffix":""},{"dropping-particle":"","family":"Khan","given":"Muzamil M.","non-dropping-particle":"","parse-names":false,"suffix":""},{"dropping-particle":"","family":"Rudolf","given":"Rüdiger","non-dropping-particle":"","parse-names":false,"suffix":""},{"dropping-particle":"","family":"Franke","given":"Barbara","non-dropping-particle":"","parse-names":false,"suffix":""},{"dropping-particle":"","family":"Bullard","given":"Belinda","non-dropping-particle":"","parse-names":false,"suffix":""},{"dropping-particle":"","family":"Rigden","given":"Daniel J.","non-dropping-particle":"","parse-names":false,"suffix":""},{"dropping-particle":"","family":"Granzier","given":"Henk","non-dropping-particle":"","parse-names":false,"suffix":""},{"dropping-particle":"","family":"Labeit","given":"Siegfried","non-dropping-particle":"","parse-names":false,"suffix":""},{"dropping-particle":"","family":"Mayans","given":"Olga","non-dropping-particle":"","parse-names":false,"suffix":""}],"container-title":"Open Biology","id":"ITEM-1","issue":"9","issued":{"date-parts":[["2016"]]},"page":"pii: 160114","title":"Exploration of pathomechanisms triggered by a single-nucleotide polymorphism in titin's I-band: The cardiomyopathy-linked mutation T2580I","type":"article-journal","volume":"6"},"uris":["http://www.mendeley.com/documents/?uuid=a40e115f-ccdf-39d2-b373-72a5ceeeb72b"]}],"mendeley":{"formattedCitation":"(Bogomolovas et al., 2016)","plainTextFormattedCitation":"(Bogomolovas et al., 2016)","previouslyFormattedCitation":"(Bogomolovas et al., 2016)"},"properties":{"noteIndex":0},"schema":"https://github.com/citation-style-language/schema/raw/master/csl-citation.json"}</w:instrText>
      </w:r>
      <w:r w:rsidR="005E04FA" w:rsidRPr="004D6881">
        <w:fldChar w:fldCharType="separate"/>
      </w:r>
      <w:r w:rsidR="00E718DB" w:rsidRPr="00E718DB">
        <w:rPr>
          <w:noProof/>
        </w:rPr>
        <w:t>(</w:t>
      </w:r>
      <w:r w:rsidR="00E718DB" w:rsidRPr="006737B5">
        <w:rPr>
          <w:noProof/>
          <w:color w:val="0432FF"/>
        </w:rPr>
        <w:t>Bogomolovas et al., 2016</w:t>
      </w:r>
      <w:r w:rsidR="00E718DB" w:rsidRPr="00E718DB">
        <w:rPr>
          <w:noProof/>
        </w:rPr>
        <w:t>)</w:t>
      </w:r>
      <w:r w:rsidR="005E04FA" w:rsidRPr="004D6881">
        <w:fldChar w:fldCharType="end"/>
      </w:r>
      <w:r w:rsidR="005E04FA" w:rsidRPr="004D6881">
        <w:t xml:space="preserve">. As this is not the case in the I10-I11 tandem,  </w:t>
      </w:r>
      <w:r w:rsidR="00E44E48" w:rsidRPr="004D6881">
        <w:t>p</w:t>
      </w:r>
      <w:r w:rsidR="002E2457" w:rsidRPr="004D6881">
        <w:t>roline was modelled as a type I β</w:t>
      </w:r>
      <w:r w:rsidRPr="004D6881">
        <w:t>-</w:t>
      </w:r>
      <w:r w:rsidR="002E2457" w:rsidRPr="004D6881">
        <w:t xml:space="preserve">turn using MODELLER </w:t>
      </w:r>
      <w:r w:rsidR="006737B5">
        <w:fldChar w:fldCharType="begin" w:fldLock="1"/>
      </w:r>
      <w:r w:rsidR="00AC223B">
        <w:instrText>ADDIN CSL_CITATION {"citationItems":[{"id":"ITEM-1","itemData":{"DOI":"10.1002/cpbi.3","ISSN":"1934340X","PMID":"27322406","abstract":"Comparative protein structure modeling predicts the three-dimensional structure of a given protein sequence (target) based primarily on its alignment to one or more proteins of known structure (templates). The prediction process consists of fold assignment, target-template alignment, model building, and model evaluation. This unit describes how to calculate comparative models using the program MODELLER and how to use the ModBase database of such models, and discusses all four steps of comparative modeling, frequently observed errors, and some applications. Modeling lactate dehydrogenase from Trichomonas vaginalis (TvLDH) is described as an example. The download and installation of the MODELLER software is also described.","author":[{"dropping-particle":"","family":"Webb","given":"Benjamin","non-dropping-particle":"","parse-names":false,"suffix":""},{"dropping-particle":"","family":"Sali","given":"Andrej","non-dropping-particle":"","parse-names":false,"suffix":""}],"container-title":"Current Protocols in Bioinformatics","id":"ITEM-1","issue":"1","issued":{"date-parts":[["2016"]]},"page":"2.9.1-2.9.37","title":"Comparative protein structure modeling using MODELLER","type":"article-journal","volume":"86"},"uris":["http://www.mendeley.com/documents/?uuid=84ba55eb-fd5d-4eab-85e9-db50f896d730"]}],"mendeley":{"formattedCitation":"(Webb &amp; Sali, 2016)","plainTextFormattedCitation":"(Webb &amp; Sali, 2016)","previouslyFormattedCitation":"(Webb &amp; Sali, 2016)"},"properties":{"noteIndex":0},"schema":"https://github.com/citation-style-language/schema/raw/master/csl-citation.json"}</w:instrText>
      </w:r>
      <w:r w:rsidR="006737B5">
        <w:fldChar w:fldCharType="separate"/>
      </w:r>
      <w:r w:rsidR="006737B5" w:rsidRPr="006737B5">
        <w:rPr>
          <w:noProof/>
        </w:rPr>
        <w:t>(</w:t>
      </w:r>
      <w:r w:rsidR="006737B5" w:rsidRPr="006737B5">
        <w:rPr>
          <w:noProof/>
          <w:color w:val="0432FF"/>
        </w:rPr>
        <w:t>Webb &amp; Sali, 2016</w:t>
      </w:r>
      <w:r w:rsidR="006737B5" w:rsidRPr="006737B5">
        <w:rPr>
          <w:noProof/>
        </w:rPr>
        <w:t>)</w:t>
      </w:r>
      <w:r w:rsidR="006737B5">
        <w:fldChar w:fldCharType="end"/>
      </w:r>
      <w:r w:rsidR="002E2457" w:rsidRPr="004D6881">
        <w:t xml:space="preserve"> to sample new </w:t>
      </w:r>
      <w:r w:rsidR="00A01AD2" w:rsidRPr="004D6881">
        <w:t>β-turn</w:t>
      </w:r>
      <w:r w:rsidR="002E2457" w:rsidRPr="004D6881">
        <w:t xml:space="preserve"> conformations before splicing these back into the structure</w:t>
      </w:r>
      <w:r w:rsidR="005E04FA" w:rsidRPr="004D6881">
        <w:t xml:space="preserve">. </w:t>
      </w:r>
      <w:r w:rsidR="00A01AD2" w:rsidRPr="004D6881">
        <w:t xml:space="preserve">Mutated 3D-models so generated were subjected to refinement of their geometry in </w:t>
      </w:r>
      <w:r w:rsidR="002E2457" w:rsidRPr="004D6881">
        <w:t>ROSETTA</w:t>
      </w:r>
      <w:r w:rsidR="00C64DFC" w:rsidRPr="004D6881">
        <w:t xml:space="preserve"> </w:t>
      </w:r>
      <w:r w:rsidR="00C64DFC" w:rsidRPr="004D6881">
        <w:fldChar w:fldCharType="begin" w:fldLock="1"/>
      </w:r>
      <w:r w:rsidR="00B5196A">
        <w:instrText>ADDIN CSL_CITATION {"citationItems":[{"id":"ITEM-1","itemData":{"DOI":"10.1146/annurev.biochem.77.062906.171838","ISSN":"0066-4154","abstract":"Advances over the past few years have begun to enable prediction and design of macromolecular structures at near-atomic accuracy. Progress has stemmed from the development of reasonably accurate and efficiently computed all-atom potential functions as well as effective conformational sampling strategies appropriate for searching a highly rugged energy landscape, both driven by feedback from structure prediction and design tests. A unified energetic and kinematic framework in the Rosetta program allows a wide range of molecular modeling problems, from fibril structure prediction to RNA folding to the design of new protein interfaces, to be readily investigated and highlights areas for improvement. The methodology enables the creation of novel molecules with useful functions and holds promise for accelerating experimental structural inference. Emerging connections to crystallographic phasing, NMR modeling, and lower-resolution approaches are described and critically assessed. Copyright © 2008 by Annual Reviews. All rights reserved.","author":[{"dropping-particle":"","family":"Das","given":"Rhiju","non-dropping-particle":"","parse-names":false,"suffix":""},{"dropping-particle":"","family":"Baker","given":"David","non-dropping-particle":"","parse-names":false,"suffix":""}],"container-title":"Annual Review of Biochemistry","id":"ITEM-1","issued":{"date-parts":[["2008"]]},"page":"363-82","title":"Macromolecular Modeling with Rosetta","type":"article-journal","volume":"77"},"uris":["http://www.mendeley.com/documents/?uuid=9c83dc5d-904c-48cf-a700-16b2d90aadef"]}],"mendeley":{"formattedCitation":"(Das &amp; Baker, 2008)","plainTextFormattedCitation":"(Das &amp; Baker, 2008)","previouslyFormattedCitation":"(Das &amp; Baker, 2008)"},"properties":{"noteIndex":0},"schema":"https://github.com/citation-style-language/schema/raw/master/csl-citation.json"}</w:instrText>
      </w:r>
      <w:r w:rsidR="00C64DFC" w:rsidRPr="004D6881">
        <w:fldChar w:fldCharType="separate"/>
      </w:r>
      <w:r w:rsidR="00E718DB" w:rsidRPr="00E718DB">
        <w:rPr>
          <w:noProof/>
        </w:rPr>
        <w:t>(</w:t>
      </w:r>
      <w:r w:rsidR="00E718DB" w:rsidRPr="006737B5">
        <w:rPr>
          <w:noProof/>
          <w:color w:val="0432FF"/>
        </w:rPr>
        <w:t>Das &amp; Baker, 2008</w:t>
      </w:r>
      <w:r w:rsidR="00E718DB" w:rsidRPr="00E718DB">
        <w:rPr>
          <w:noProof/>
        </w:rPr>
        <w:t>)</w:t>
      </w:r>
      <w:r w:rsidR="00C64DFC" w:rsidRPr="004D6881">
        <w:fldChar w:fldCharType="end"/>
      </w:r>
      <w:r w:rsidR="00A01AD2" w:rsidRPr="004D6881">
        <w:t xml:space="preserve"> appl</w:t>
      </w:r>
      <w:r w:rsidR="00B333A7" w:rsidRPr="004D6881">
        <w:t>ying</w:t>
      </w:r>
      <w:r w:rsidR="002E2457" w:rsidRPr="004D6881">
        <w:t xml:space="preserve"> dihedral restraints</w:t>
      </w:r>
      <w:r w:rsidR="00FF463C" w:rsidRPr="004D6881">
        <w:t xml:space="preserve"> </w:t>
      </w:r>
      <w:r w:rsidR="003B4456" w:rsidRPr="004D6881">
        <w:t>to the four residues of the β-turn</w:t>
      </w:r>
      <w:r w:rsidR="00C275EE" w:rsidRPr="004D6881">
        <w:t>, t</w:t>
      </w:r>
      <w:r w:rsidR="002E2457" w:rsidRPr="004D6881">
        <w:t>he model with the closest to ideal dihedral angles was selected (residue 104, φ=-58.5</w:t>
      </w:r>
      <w:r w:rsidR="006F7CD8" w:rsidRPr="004D6881">
        <w:rPr>
          <w:vertAlign w:val="superscript"/>
        </w:rPr>
        <w:t>o</w:t>
      </w:r>
      <w:r w:rsidR="002E2457" w:rsidRPr="004D6881">
        <w:t>, ψ=-44.6</w:t>
      </w:r>
      <w:r w:rsidR="006F7CD8" w:rsidRPr="004D6881">
        <w:rPr>
          <w:vertAlign w:val="superscript"/>
        </w:rPr>
        <w:t xml:space="preserve"> o</w:t>
      </w:r>
      <w:r w:rsidR="002E2457" w:rsidRPr="004D6881">
        <w:t>; proline 105, φ=-53.8</w:t>
      </w:r>
      <w:r w:rsidR="006F7CD8" w:rsidRPr="004D6881">
        <w:rPr>
          <w:vertAlign w:val="superscript"/>
        </w:rPr>
        <w:t xml:space="preserve"> o</w:t>
      </w:r>
      <w:r w:rsidR="002E2457" w:rsidRPr="004D6881">
        <w:t>, ψ=-30</w:t>
      </w:r>
      <w:r w:rsidR="006F7CD8" w:rsidRPr="004D6881">
        <w:rPr>
          <w:vertAlign w:val="superscript"/>
        </w:rPr>
        <w:t>o</w:t>
      </w:r>
      <w:r w:rsidR="002E2457" w:rsidRPr="004D6881">
        <w:t>)</w:t>
      </w:r>
      <w:r w:rsidR="006F7CD8" w:rsidRPr="004D6881">
        <w:t>.</w:t>
      </w:r>
    </w:p>
    <w:p w14:paraId="57701DFC" w14:textId="77777777" w:rsidR="00C11CBB" w:rsidRPr="004D6881" w:rsidRDefault="00C11CBB" w:rsidP="00BA3788">
      <w:pPr>
        <w:pBdr>
          <w:top w:val="nil"/>
          <w:left w:val="nil"/>
          <w:bottom w:val="nil"/>
          <w:right w:val="nil"/>
          <w:between w:val="nil"/>
        </w:pBdr>
        <w:spacing w:line="360" w:lineRule="auto"/>
        <w:jc w:val="both"/>
      </w:pPr>
    </w:p>
    <w:p w14:paraId="7CBAE4AC" w14:textId="29D54B88" w:rsidR="00111F88" w:rsidRPr="004D6881" w:rsidRDefault="00301703" w:rsidP="00BA3788">
      <w:pPr>
        <w:pBdr>
          <w:top w:val="nil"/>
          <w:left w:val="nil"/>
          <w:bottom w:val="nil"/>
          <w:right w:val="nil"/>
          <w:between w:val="nil"/>
        </w:pBdr>
        <w:spacing w:line="360" w:lineRule="auto"/>
        <w:jc w:val="both"/>
        <w:rPr>
          <w:b/>
        </w:rPr>
      </w:pPr>
      <w:r w:rsidRPr="004D6881">
        <w:rPr>
          <w:b/>
        </w:rPr>
        <w:t>MDS</w:t>
      </w:r>
    </w:p>
    <w:p w14:paraId="6A8D7A08" w14:textId="1FF1E410" w:rsidR="007A762D" w:rsidRPr="004D6881" w:rsidRDefault="00C275EE" w:rsidP="005900DF">
      <w:pPr>
        <w:spacing w:line="360" w:lineRule="auto"/>
        <w:jc w:val="both"/>
      </w:pPr>
      <w:r w:rsidRPr="004D6881">
        <w:t xml:space="preserve">For MDS calculations, wild-type and mutated models were individually placed in the centre of a rhombic dodecahedral water box, 1.0 nm from the box edge and </w:t>
      </w:r>
      <w:r w:rsidR="005900DF" w:rsidRPr="004D6881">
        <w:t>Na</w:t>
      </w:r>
      <w:r w:rsidR="005900DF" w:rsidRPr="004D6881">
        <w:rPr>
          <w:vertAlign w:val="superscript"/>
        </w:rPr>
        <w:t>+</w:t>
      </w:r>
      <w:r w:rsidR="005900DF" w:rsidRPr="004D6881">
        <w:t xml:space="preserve"> </w:t>
      </w:r>
      <w:r w:rsidRPr="004D6881">
        <w:t xml:space="preserve">counter ions added to neutralise the system. </w:t>
      </w:r>
      <w:r w:rsidR="002E2457" w:rsidRPr="004D6881">
        <w:t xml:space="preserve">Simulations were </w:t>
      </w:r>
      <w:r w:rsidRPr="004D6881">
        <w:t xml:space="preserve">then </w:t>
      </w:r>
      <w:r w:rsidR="002E2457" w:rsidRPr="004D6881">
        <w:t xml:space="preserve">performed </w:t>
      </w:r>
      <w:r w:rsidRPr="004D6881">
        <w:t xml:space="preserve">on these hydrated systems </w:t>
      </w:r>
      <w:r w:rsidR="002E2457" w:rsidRPr="004D6881">
        <w:t>using GROMACS (</w:t>
      </w:r>
      <w:proofErr w:type="spellStart"/>
      <w:r w:rsidR="002E2457" w:rsidRPr="004D6881">
        <w:t>GROningen</w:t>
      </w:r>
      <w:proofErr w:type="spellEnd"/>
      <w:r w:rsidR="002E2457" w:rsidRPr="004D6881">
        <w:t xml:space="preserve"> </w:t>
      </w:r>
      <w:proofErr w:type="spellStart"/>
      <w:r w:rsidR="002E2457" w:rsidRPr="004D6881">
        <w:t>MAchine</w:t>
      </w:r>
      <w:proofErr w:type="spellEnd"/>
      <w:r w:rsidR="002E2457" w:rsidRPr="004D6881">
        <w:t xml:space="preserve"> for Chemical Simulations) package 5.0 </w:t>
      </w:r>
      <w:r w:rsidR="00C64DFC" w:rsidRPr="004D6881">
        <w:fldChar w:fldCharType="begin" w:fldLock="1"/>
      </w:r>
      <w:r w:rsidR="00B5196A">
        <w:instrText>ADDIN CSL_CITATION {"citationItems":[{"id":"ITEM-1","itemData":{"DOI":"10.1016/j.softx.2015.06.001","ISSN":"23527110","abstract":"GROMACS is one of the most widely used open-source and free software codes in chemistry, used primarily for dynamical simulations of biomolecules. It provides a rich set of calculation types, preparation and analysis tools. Several advanced techniques for free-energy calculations are supported. In version 5, it reaches new performance heights, through several new and enhanced parallelization algorithms. These work on every level; SIMD registers inside cores, multithreading, heterogeneous CPU-GPU acceleration, state-of-the-art 3D domain decomposition, and ensemble-level parallelization through built-in replica exchange and the separate Copernicus framework. The latest best-in-class compressed trajectory storage format is supported.","author":[{"dropping-particle":"","family":"Abraham","given":"Mark James","non-dropping-particle":"","parse-names":false,"suffix":""},{"dropping-particle":"","family":"Murtola","given":"Teemu","non-dropping-particle":"","parse-names":false,"suffix":""},{"dropping-particle":"","family":"Schulz","given":"Roland","non-dropping-particle":"","parse-names":false,"suffix":""},{"dropping-particle":"","family":"Páll","given":"Szilárd","non-dropping-particle":"","parse-names":false,"suffix":""},{"dropping-particle":"","family":"Smith","given":"Jeremy C.","non-dropping-particle":"","parse-names":false,"suffix":""},{"dropping-particle":"","family":"Hess","given":"Berk","non-dropping-particle":"","parse-names":false,"suffix":""},{"dropping-particle":"","family":"Lindah","given":"Erik","non-dropping-particle":"","parse-names":false,"suffix":""}],"container-title":"SoftwareX","id":"ITEM-1","issued":{"date-parts":[["2015"]]},"page":"19-25","title":"Gromacs: High performance molecular simulations through multi-level parallelism from laptops to supercomputers","type":"article-journal","volume":"1-2"},"uris":["http://www.mendeley.com/documents/?uuid=9742c42a-832b-42ed-9adb-098cf06429d3"]}],"mendeley":{"formattedCitation":"(Abraham et al., 2015)","plainTextFormattedCitation":"(Abraham et al., 2015)","previouslyFormattedCitation":"(Abraham et al., 2015)"},"properties":{"noteIndex":0},"schema":"https://github.com/citation-style-language/schema/raw/master/csl-citation.json"}</w:instrText>
      </w:r>
      <w:r w:rsidR="00C64DFC" w:rsidRPr="004D6881">
        <w:fldChar w:fldCharType="separate"/>
      </w:r>
      <w:r w:rsidR="00E718DB" w:rsidRPr="00E718DB">
        <w:rPr>
          <w:noProof/>
          <w:color w:val="0432FF"/>
        </w:rPr>
        <w:t>(Abraham et al., 2015)</w:t>
      </w:r>
      <w:r w:rsidR="00C64DFC" w:rsidRPr="004D6881">
        <w:fldChar w:fldCharType="end"/>
      </w:r>
      <w:r w:rsidR="002E2457" w:rsidRPr="004D6881">
        <w:t xml:space="preserve"> </w:t>
      </w:r>
      <w:r w:rsidR="006A3373" w:rsidRPr="004D6881">
        <w:t>applying the</w:t>
      </w:r>
      <w:r w:rsidR="002E2457" w:rsidRPr="004D6881">
        <w:t xml:space="preserve"> AMBER99SB-ILDN forcefield </w:t>
      </w:r>
      <w:r w:rsidR="00C64DFC" w:rsidRPr="004D6881">
        <w:fldChar w:fldCharType="begin" w:fldLock="1"/>
      </w:r>
      <w:r w:rsidR="005819E9">
        <w:instrText>ADDIN CSL_CITATION {"citationItems":[{"id":"ITEM-1","itemData":{"DOI":"10.1002/prot.22711","ISSN":"08873585","PMID":"20408171","abstract":"Recent advances in hardware and software have enabled increasingly long molecular dynamics (MD) simulations of biomolecules, exposing certain limitations in the accuracy of the force fields used for such simulations and spurring efforts to refine these force fields. Recent modifications to the Amber and CHARMM protein force fields, for example, have improved the backbone torsion potentials, remedying deficiencies in earlier versions. Here, we further advance simulation accuracy by improving the amino acid side-chain torsion potentials of the Amber ff99SB force field. First, we used simulations of model alpha-helical systems to identify the four residue types whose rotamer distribution differed the most from expectations based on Protein Data Bank statistics. Second, we optimized the side-chain torsion potentials of these residues to match new, highlevel quantum-mechanical calculations. Finally, we used microsecond-timescale MD simulations in explicit solvent to validate the resulting force field against a large set of experimental NMR measurements that directly probe side-chain conformations. The new force field, which we have termed Amber ff99SBILDN, exhibits considerably better agreement with the NMR data. © 2010 Wiley-Liss, Inc.","author":[{"dropping-particle":"","family":"Lindorff-Larsen","given":"Kresten","non-dropping-particle":"","parse-names":false,"suffix":""},{"dropping-particle":"","family":"Piana","given":"Stefano","non-dropping-particle":"","parse-names":false,"suffix":""},{"dropping-particle":"","family":"Palmo","given":"Kim","non-dropping-particle":"","parse-names":false,"suffix":""},{"dropping-particle":"","family":"Maragakis","given":"Paul","non-dropping-particle":"","parse-names":false,"suffix":""},{"dropping-particle":"","family":"Klepeis","given":"John L.","non-dropping-particle":"","parse-names":false,"suffix":""},{"dropping-particle":"","family":"Dror","given":"Ron O.","non-dropping-particle":"","parse-names":false,"suffix":""},{"dropping-particle":"","family":"Shaw","given":"David E.","non-dropping-particle":"","parse-names":false,"suffix":""}],"container-title":"Proteins: Structure, Function and Bioinformatics","id":"ITEM-1","issue":"8","issued":{"date-parts":[["2010"]]},"page":"1950-8","title":"Improved side-chain torsion potentials for the Amber ff99SB protein force field","type":"article-journal","volume":"78"},"uris":["http://www.mendeley.com/documents/?uuid=505b0040-bb0a-427e-b7af-295c1287e039"]}],"mendeley":{"formattedCitation":"(Lindorff-Larsen et al., 2010)","plainTextFormattedCitation":"(Lindorff-Larsen et al., 2010)","previouslyFormattedCitation":"(Lindorff-Larsen et al., 2010)"},"properties":{"noteIndex":0},"schema":"https://github.com/citation-style-language/schema/raw/master/csl-citation.json"}</w:instrText>
      </w:r>
      <w:r w:rsidR="00C64DFC" w:rsidRPr="004D6881">
        <w:fldChar w:fldCharType="separate"/>
      </w:r>
      <w:r w:rsidR="00E718DB" w:rsidRPr="00E718DB">
        <w:rPr>
          <w:noProof/>
        </w:rPr>
        <w:t>(</w:t>
      </w:r>
      <w:r w:rsidR="00E718DB" w:rsidRPr="006737B5">
        <w:rPr>
          <w:noProof/>
          <w:color w:val="0432FF"/>
        </w:rPr>
        <w:t>Lindorff-Larsen et al., 2010</w:t>
      </w:r>
      <w:r w:rsidR="00E718DB" w:rsidRPr="00E718DB">
        <w:rPr>
          <w:noProof/>
        </w:rPr>
        <w:t>)</w:t>
      </w:r>
      <w:r w:rsidR="00C64DFC" w:rsidRPr="004D6881">
        <w:fldChar w:fldCharType="end"/>
      </w:r>
      <w:r w:rsidR="002E2457" w:rsidRPr="004D6881">
        <w:t xml:space="preserve">. Energy </w:t>
      </w:r>
      <w:r w:rsidR="003A5C4D" w:rsidRPr="004D6881">
        <w:t xml:space="preserve">minimisation </w:t>
      </w:r>
      <w:r w:rsidR="002E2457" w:rsidRPr="004D6881">
        <w:t>of all systems was performed using steepest descents algorithm. Particle Mesh Ewald (PME) algorithm</w:t>
      </w:r>
      <w:r w:rsidR="00C64DFC" w:rsidRPr="004D6881">
        <w:t xml:space="preserve"> </w:t>
      </w:r>
      <w:r w:rsidR="00C64DFC" w:rsidRPr="004D6881">
        <w:fldChar w:fldCharType="begin" w:fldLock="1"/>
      </w:r>
      <w:r w:rsidR="00C2687E">
        <w:instrText>ADDIN CSL_CITATION {"citationItems":[{"id":"ITEM-1","itemData":{"DOI":"10.1016/S0969-2126(99)80033-1","ISSN":"09692126","author":[{"dropping-particle":"","family":"Darden","given":"Tom","non-dropping-particle":"","parse-names":false,"suffix":""},{"dropping-particle":"","family":"Perera","given":"Lalith","non-dropping-particle":"","parse-names":false,"suffix":""},{"dropping-particle":"","family":"Li","given":"Leping","non-dropping-particle":"","parse-names":false,"suffix":""},{"dropping-particle":"","family":"Lee","given":"Pedersen","non-dropping-particle":"","parse-names":false,"suffix":""}],"container-title":"Structure","id":"ITEM-1","issue":"3","issued":{"date-parts":[["1999"]]},"page":"R55-60","title":"New tricks for modelers from the crystallography toolkit: The particle mesh Ewald algorithm and its use in nucleic acid simulations","type":"article-journal","volume":"7"},"uris":["http://www.mendeley.com/documents/?uuid=b67fe9d8-98fa-4f95-b65e-b911ccb7af3a"]}],"mendeley":{"formattedCitation":"(Darden et al., 1999)","plainTextFormattedCitation":"(Darden et al., 1999)","previouslyFormattedCitation":"(Darden, Perera, Li, &amp; Lee, 1999)"},"properties":{"noteIndex":0},"schema":"https://github.com/citation-style-language/schema/raw/master/csl-citation.json"}</w:instrText>
      </w:r>
      <w:r w:rsidR="00C64DFC" w:rsidRPr="004D6881">
        <w:fldChar w:fldCharType="separate"/>
      </w:r>
      <w:r w:rsidR="00C2687E" w:rsidRPr="00C2687E">
        <w:rPr>
          <w:noProof/>
          <w:color w:val="0432FF"/>
        </w:rPr>
        <w:t>(Darden et al., 1999)</w:t>
      </w:r>
      <w:r w:rsidR="00C64DFC" w:rsidRPr="004D6881">
        <w:fldChar w:fldCharType="end"/>
      </w:r>
      <w:r w:rsidR="002E2457" w:rsidRPr="004D6881">
        <w:t xml:space="preserve"> was used for long-range electrostatic</w:t>
      </w:r>
      <w:r w:rsidR="006A3373" w:rsidRPr="004D6881">
        <w:t xml:space="preserve"> energies</w:t>
      </w:r>
      <w:r w:rsidR="002E2457" w:rsidRPr="004D6881">
        <w:t xml:space="preserve"> with non-bonded and van der </w:t>
      </w:r>
      <w:r w:rsidRPr="004D6881">
        <w:t>W</w:t>
      </w:r>
      <w:r w:rsidR="002E2457" w:rsidRPr="004D6881">
        <w:t>aals cut</w:t>
      </w:r>
      <w:r w:rsidRPr="004D6881">
        <w:t>-</w:t>
      </w:r>
      <w:r w:rsidR="002E2457" w:rsidRPr="004D6881">
        <w:t>off</w:t>
      </w:r>
      <w:r w:rsidRPr="004D6881">
        <w:t xml:space="preserve"> values</w:t>
      </w:r>
      <w:r w:rsidR="002E2457" w:rsidRPr="004D6881">
        <w:t xml:space="preserve"> of 1nm. All bond lengths were constrained using the LINCS algorithm</w:t>
      </w:r>
      <w:r w:rsidR="00C64DFC" w:rsidRPr="004D6881">
        <w:t xml:space="preserve"> </w:t>
      </w:r>
      <w:r w:rsidR="00C64DFC" w:rsidRPr="004D6881">
        <w:fldChar w:fldCharType="begin" w:fldLock="1"/>
      </w:r>
      <w:r w:rsidR="00C2687E">
        <w:instrText>ADDIN CSL_CITATION {"citationItems":[{"id":"ITEM-1","itemData":{"DOI":"10.1002/(SICI)1096-987X(199709)18:12&lt;1463::AID-JCC4&gt;3.0.CO;2-H","ISSN":"01928651","abstract":"In this article, we present a new LINear Constraint Solver (LINCS) for molecular simulations with bond constraints. The algorithm is inherently stable, as the constraints themselves are reset instead of derivatives of the constraints, thereby eliminating drift. Although the derivation of the algorithm is presented in terms of matrices, no matrix matrix multiplications are needed and only the nonzero matrix elements have to be stored, making the method useful for very large molecules. At the same accuracy, the LINCS algorithm is three to four times faster than the SHAKE algorithm. Parallelization of the algorithm is straightforward. © 1997 John Wiley &amp; Sons, Inc.","author":[{"dropping-particle":"","family":"Hess","given":"Berk","non-dropping-particle":"","parse-names":false,"suffix":""},{"dropping-particle":"","family":"Bekker","given":"Henk","non-dropping-particle":"","parse-names":false,"suffix":""},{"dropping-particle":"","family":"Berendsen","given":"Herman J.C.","non-dropping-particle":"","parse-names":false,"suffix":""},{"dropping-particle":"","family":"Fraaije","given":"Johannes G.E.M.","non-dropping-particle":"","parse-names":false,"suffix":""}],"container-title":"Journal of Computational Chemistry","id":"ITEM-1","issued":{"date-parts":[["1997"]]},"page":"1463–1472","title":"LINCS: A Linear Constraint Solver for molecular simulations","type":"article-journal","volume":"18"},"uris":["http://www.mendeley.com/documents/?uuid=e866ef07-b213-434a-a27f-637ebca5a3f6"]}],"mendeley":{"formattedCitation":"(Hess et al., 1997)","plainTextFormattedCitation":"(Hess et al., 1997)","previouslyFormattedCitation":"(Hess, Bekker, Berendsen, &amp; Fraaije, 1997)"},"properties":{"noteIndex":0},"schema":"https://github.com/citation-style-language/schema/raw/master/csl-citation.json"}</w:instrText>
      </w:r>
      <w:r w:rsidR="00C64DFC" w:rsidRPr="004D6881">
        <w:fldChar w:fldCharType="separate"/>
      </w:r>
      <w:r w:rsidR="00C2687E" w:rsidRPr="00C2687E">
        <w:rPr>
          <w:noProof/>
        </w:rPr>
        <w:t>(</w:t>
      </w:r>
      <w:r w:rsidR="00C2687E" w:rsidRPr="00551659">
        <w:rPr>
          <w:noProof/>
          <w:color w:val="003CFF"/>
        </w:rPr>
        <w:t>Hess et al., 1997</w:t>
      </w:r>
      <w:r w:rsidR="00C2687E" w:rsidRPr="00C2687E">
        <w:rPr>
          <w:noProof/>
        </w:rPr>
        <w:t>)</w:t>
      </w:r>
      <w:r w:rsidR="00C64DFC" w:rsidRPr="004D6881">
        <w:fldChar w:fldCharType="end"/>
      </w:r>
      <w:r w:rsidR="002E2457" w:rsidRPr="004D6881">
        <w:t xml:space="preserve">. </w:t>
      </w:r>
      <w:r w:rsidR="006F0206" w:rsidRPr="004D6881">
        <w:t>A</w:t>
      </w:r>
      <w:r w:rsidR="002E2457" w:rsidRPr="004D6881">
        <w:t xml:space="preserve"> constant temperature of 300K was controlled with a modified Berendsen thermostat</w:t>
      </w:r>
      <w:r w:rsidR="005900DF" w:rsidRPr="004D6881">
        <w:t xml:space="preserve"> </w:t>
      </w:r>
      <w:r w:rsidR="005900DF" w:rsidRPr="004D6881">
        <w:fldChar w:fldCharType="begin" w:fldLock="1"/>
      </w:r>
      <w:r w:rsidR="00C2687E">
        <w:instrText>ADDIN CSL_CITATION {"citationItems":[{"id":"ITEM-1","itemData":{"DOI":"10.1063/1.448118","ISSN":"00219606","abstract":"In molecular dynamics (MD) simulations the need often arises to maintain such parameters as temperature or pressure rather than energy and volume, or to impose gradients for studying transport properties in nonequilibrium MD. A method is described to realize coupling to an external bath with constant temperature or pressure with adjustable time constants for the coupling. The method is easily extendable to other variables and to gradients, and can be applied also to polyatomic molecules involving internal constraints. The influence of coupling time constants on dynamical variables is evaluated. A leap-frog algorithm is presented for the general case involving constraints with coupling to both a constant temperature and a constant pressure bath. © 1984 American Institute of Physics.","author":[{"dropping-particle":"","family":"Berendsen","given":"H. J.C.","non-dropping-particle":"","parse-names":false,"suffix":""},{"dropping-particle":"","family":"Postma","given":"J. P.M.","non-dropping-particle":"","parse-names":false,"suffix":""},{"dropping-particle":"","family":"Gunsteren","given":"W. F.","non-dropping-particle":"Van","parse-names":false,"suffix":""},{"dropping-particle":"","family":"Dinola","given":"A.","non-dropping-particle":"","parse-names":false,"suffix":""},{"dropping-particle":"","family":"Haak","given":"J. R.","non-dropping-particle":"","parse-names":false,"suffix":""}],"container-title":"The Journal of Chemical Physics","id":"ITEM-1","issued":{"date-parts":[["1984"]]},"page":"3684","title":"Molecular dynamics with coupling to an external bath","type":"article-journal","volume":"81"},"uris":["http://www.mendeley.com/documents/?uuid=4d887bac-9c33-49e8-8ec3-375894bebd2a"]}],"mendeley":{"formattedCitation":"(Berendsen et al., 1984)","plainTextFormattedCitation":"(Berendsen et al., 1984)","previouslyFormattedCitation":"(Berendsen, Postma, Van Gunsteren, Dinola, &amp; Haak, 1984)"},"properties":{"noteIndex":0},"schema":"https://github.com/citation-style-language/schema/raw/master/csl-citation.json"}</w:instrText>
      </w:r>
      <w:r w:rsidR="005900DF" w:rsidRPr="004D6881">
        <w:fldChar w:fldCharType="separate"/>
      </w:r>
      <w:r w:rsidR="00C2687E" w:rsidRPr="00C2687E">
        <w:rPr>
          <w:noProof/>
        </w:rPr>
        <w:t>(</w:t>
      </w:r>
      <w:r w:rsidR="00C2687E" w:rsidRPr="00551659">
        <w:rPr>
          <w:noProof/>
          <w:color w:val="003CFF"/>
        </w:rPr>
        <w:t>Berendsen et al., 1984</w:t>
      </w:r>
      <w:r w:rsidR="00C2687E" w:rsidRPr="00C2687E">
        <w:rPr>
          <w:noProof/>
        </w:rPr>
        <w:t>)</w:t>
      </w:r>
      <w:r w:rsidR="005900DF" w:rsidRPr="004D6881">
        <w:fldChar w:fldCharType="end"/>
      </w:r>
      <w:r w:rsidR="002E2457" w:rsidRPr="004D6881">
        <w:t xml:space="preserve">. A reference pressure of 1 bar was maintained using </w:t>
      </w:r>
      <w:proofErr w:type="spellStart"/>
      <w:r w:rsidR="002E2457" w:rsidRPr="004D6881">
        <w:t>Parrinello</w:t>
      </w:r>
      <w:proofErr w:type="spellEnd"/>
      <w:r w:rsidR="002E2457" w:rsidRPr="004D6881">
        <w:t>-Rahman coupling</w:t>
      </w:r>
      <w:r w:rsidR="005900DF" w:rsidRPr="004D6881">
        <w:rPr>
          <w:noProof/>
        </w:rPr>
        <w:t xml:space="preserve"> </w:t>
      </w:r>
      <w:r w:rsidR="005900DF" w:rsidRPr="004D6881">
        <w:rPr>
          <w:noProof/>
        </w:rPr>
        <w:fldChar w:fldCharType="begin" w:fldLock="1"/>
      </w:r>
      <w:r w:rsidR="005819E9">
        <w:rPr>
          <w:noProof/>
        </w:rPr>
        <w:instrText>ADDIN CSL_CITATION {"citationItems":[{"id":"ITEM-1","itemData":{"DOI":"10.1063/1.328693","ISSN":"00218979","abstract":"A new Lagrangian formulation is introduced. It can be used to make molecular dynamics (MD) calculations on systems under the most general, externally applied, conditions of stress. In this formulation the MD cell shape and size can change according to dynamical equations given by this Lagrangian. This new MD technique is well suited to the study of structural transformations in solids under external stress and at finite temperature. As an example of the use of this technique we show how a single crystal of Ni behaves under uniform uniaxial compressive and tensile loads. This work confirms some of the results of static (i.e., zero temperature) calculations reported in the literature. We also show that some results regarding the stress-strain relation obtained by static calculations are invalid at finite temperature. We find that, under compressive loading, our model of Ni shows a bifurcation in its stress-strain relation; this bifurcation provides a link in configuration space between cubic and hexagonal close packing. It is suggested that such a transformation could perhaps be observed experimentally under extreme conditions of shock.","author":[{"dropping-particle":"","family":"Parrinello","given":"M.","non-dropping-particle":"","parse-names":false,"suffix":""},{"dropping-particle":"","family":"Rahman","given":"A.","non-dropping-particle":"","parse-names":false,"suffix":""}],"container-title":"Journal of Applied Physics","id":"ITEM-1","issued":{"date-parts":[["1981"]]},"page":"7182","title":"Polymorphic transitions in single crystals: A new molecular dynamics method","type":"article-journal","volume":"52"},"uris":["http://www.mendeley.com/documents/?uuid=d096a139-5dfd-4891-b90b-38a224dd68a9"]}],"mendeley":{"formattedCitation":"(Parrinello &amp; Rahman, 1981)","plainTextFormattedCitation":"(Parrinello &amp; Rahman, 1981)","previouslyFormattedCitation":"(Parrinello &amp; Rahman, 1981)"},"properties":{"noteIndex":0},"schema":"https://github.com/citation-style-language/schema/raw/master/csl-citation.json"}</w:instrText>
      </w:r>
      <w:r w:rsidR="005900DF" w:rsidRPr="004D6881">
        <w:rPr>
          <w:noProof/>
        </w:rPr>
        <w:fldChar w:fldCharType="separate"/>
      </w:r>
      <w:r w:rsidR="00E718DB" w:rsidRPr="00E718DB">
        <w:rPr>
          <w:noProof/>
        </w:rPr>
        <w:t>(</w:t>
      </w:r>
      <w:r w:rsidR="00E718DB" w:rsidRPr="006737B5">
        <w:rPr>
          <w:noProof/>
          <w:color w:val="0432FF"/>
        </w:rPr>
        <w:t>Parrinello &amp; Rahman, 1981</w:t>
      </w:r>
      <w:r w:rsidR="00E718DB" w:rsidRPr="00E718DB">
        <w:rPr>
          <w:noProof/>
        </w:rPr>
        <w:t>)</w:t>
      </w:r>
      <w:r w:rsidR="005900DF" w:rsidRPr="004D6881">
        <w:rPr>
          <w:noProof/>
        </w:rPr>
        <w:fldChar w:fldCharType="end"/>
      </w:r>
      <w:r w:rsidR="002E2457" w:rsidRPr="004D6881">
        <w:t xml:space="preserve">. An integration time step of 2 fs was used and periodic boundary conditions were employed. </w:t>
      </w:r>
      <w:r w:rsidR="00757F7E" w:rsidRPr="004D6881">
        <w:t>The simulations were performed initially for 50</w:t>
      </w:r>
      <w:r w:rsidR="002E2457" w:rsidRPr="004D6881">
        <w:t xml:space="preserve"> ns </w:t>
      </w:r>
      <w:r w:rsidR="00757F7E" w:rsidRPr="004D6881">
        <w:t>for</w:t>
      </w:r>
      <w:r w:rsidR="002E2457" w:rsidRPr="004D6881">
        <w:t xml:space="preserve"> all systems. To allow for a conformational equilibrium to be reached</w:t>
      </w:r>
      <w:r w:rsidR="00355DA4" w:rsidRPr="004D6881">
        <w:t>,</w:t>
      </w:r>
      <w:r w:rsidR="002E2457" w:rsidRPr="004D6881">
        <w:t xml:space="preserve"> the systems </w:t>
      </w:r>
      <w:r w:rsidRPr="004D6881">
        <w:t>containing the exchange of</w:t>
      </w:r>
      <w:r w:rsidR="00757F7E" w:rsidRPr="004D6881">
        <w:t xml:space="preserve"> </w:t>
      </w:r>
      <w:r w:rsidRPr="004D6881">
        <w:t xml:space="preserve">T into </w:t>
      </w:r>
      <w:r w:rsidR="00371B5A" w:rsidRPr="004D6881">
        <w:t>D, E, G, H, K, L, M, Q, S and V</w:t>
      </w:r>
      <w:r w:rsidRPr="004D6881">
        <w:t xml:space="preserve"> </w:t>
      </w:r>
      <w:r w:rsidR="002E2457" w:rsidRPr="004D6881">
        <w:t xml:space="preserve">were extended to 100 ns. </w:t>
      </w:r>
      <w:r w:rsidR="0035077F" w:rsidRPr="004D6881">
        <w:t xml:space="preserve">Control </w:t>
      </w:r>
      <w:r w:rsidR="003766DD" w:rsidRPr="004D6881">
        <w:t xml:space="preserve">simulations for comparison were taken from </w:t>
      </w:r>
      <w:r w:rsidR="003766DD" w:rsidRPr="004D6881">
        <w:fldChar w:fldCharType="begin" w:fldLock="1"/>
      </w:r>
      <w:r w:rsidR="00E718DB">
        <w:instrText>ADDIN CSL_CITATION {"citationItems":[{"id":"ITEM-1","itemData":{"DOI":"10.1098/rsob.160114","ISSN":"20462441","abstract":"Missense single-nucleotide polymorphisms (mSNPs) in titin are emerging as a main causative factor of heart failure. However, distinguishing between benign and disease-causing mSNPs is a substantial challenge. Here, we research the question of whether a single mSNP in a generic domain of titin can affect heart function as a whole and, if so, how. For this, we studied the mSNP T2850I, seemingly linked to arrhythmogenic right ventricular cardiomyopathy (ARVC). We used structural biology, computational simulations and transgenic muscle in vivo methods to track the effect of the mutation from the molecular to the organismal level. The data show that the T2850I exchange is compatible with the domain three-dimensional fold, but that it strongly destabilizes it. Further, it induces a change in the conformational dynamics of the titin chain that alters its reactivity, causing the formation of aberrant interactions in the sarcomere. Echocardiography of knock-in mice indicated a mild diastolic dysfunction arising from increased myocardial stiffness. In conclusion, our data provide evidence that single mSNPs in titin's I-band can alter overall muscle behaviour. Our suggested mechanisms of disease are the development of non-native sarcomeric interactions and titin instability leading to a reduced I-band compliance. However, understanding the T2850I-induced ARVC pathology mechanistically remains a complex problem and will require a deeper understanding of the sarcomeric context of the titin region affected.","author":[{"dropping-particle":"","family":"Bogomolovas","given":"Julius","non-dropping-particle":"","parse-names":false,"suffix":""},{"dropping-particle":"","family":"Fleming","given":"Jennifer R.","non-dropping-particle":"","parse-names":false,"suffix":""},{"dropping-particle":"","family":"Anderson","given":"Brian R.","non-dropping-particle":"","parse-names":false,"suffix":""},{"dropping-particle":"","family":"Williams","given":"Rhys","non-dropping-particle":"","parse-names":false,"suffix":""},{"dropping-particle":"","family":"Lange","given":"Stephan","non-dropping-particle":"","parse-names":false,"suffix":""},{"dropping-particle":"","family":"Simon","given":"Bernd","non-dropping-particle":"","parse-names":false,"suffix":""},{"dropping-particle":"","family":"Khan","given":"Muzamil M.","non-dropping-particle":"","parse-names":false,"suffix":""},{"dropping-particle":"","family":"Rudolf","given":"Rüdiger","non-dropping-particle":"","parse-names":false,"suffix":""},{"dropping-particle":"","family":"Franke","given":"Barbara","non-dropping-particle":"","parse-names":false,"suffix":""},{"dropping-particle":"","family":"Bullard","given":"Belinda","non-dropping-particle":"","parse-names":false,"suffix":""},{"dropping-particle":"","family":"Rigden","given":"Daniel J.","non-dropping-particle":"","parse-names":false,"suffix":""},{"dropping-particle":"","family":"Granzier","given":"Henk","non-dropping-particle":"","parse-names":false,"suffix":""},{"dropping-particle":"","family":"Labeit","given":"Siegfried","non-dropping-particle":"","parse-names":false,"suffix":""},{"dropping-particle":"","family":"Mayans","given":"Olga","non-dropping-particle":"","parse-names":false,"suffix":""}],"container-title":"Open Biology","id":"ITEM-1","issue":"9","issued":{"date-parts":[["2016"]]},"page":"pii: 160114","title":"Exploration of pathomechanisms triggered by a single-nucleotide polymorphism in titin's I-band: The cardiomyopathy-linked mutation T2580I","type":"article-journal","volume":"6"},"uris":["http://www.mendeley.com/documents/?uuid=a40e115f-ccdf-39d2-b373-72a5ceeeb72b"]}],"mendeley":{"formattedCitation":"(Bogomolovas et al., 2016)","plainTextFormattedCitation":"(Bogomolovas et al., 2016)","previouslyFormattedCitation":"(Bogomolovas et al., 2016)"},"properties":{"noteIndex":0},"schema":"https://github.com/citation-style-language/schema/raw/master/csl-citation.json"}</w:instrText>
      </w:r>
      <w:r w:rsidR="003766DD" w:rsidRPr="004D6881">
        <w:fldChar w:fldCharType="separate"/>
      </w:r>
      <w:r w:rsidR="00E718DB" w:rsidRPr="00E718DB">
        <w:rPr>
          <w:noProof/>
        </w:rPr>
        <w:t>(</w:t>
      </w:r>
      <w:r w:rsidR="00E718DB" w:rsidRPr="006737B5">
        <w:rPr>
          <w:noProof/>
          <w:color w:val="0432FF"/>
        </w:rPr>
        <w:t>Bogomolovas et al., 2016</w:t>
      </w:r>
      <w:r w:rsidR="00E718DB" w:rsidRPr="00E718DB">
        <w:rPr>
          <w:noProof/>
        </w:rPr>
        <w:t>)</w:t>
      </w:r>
      <w:r w:rsidR="003766DD" w:rsidRPr="004D6881">
        <w:fldChar w:fldCharType="end"/>
      </w:r>
      <w:r w:rsidR="003766DD" w:rsidRPr="004D6881">
        <w:t xml:space="preserve"> where two 50</w:t>
      </w:r>
      <w:r w:rsidR="00A26289" w:rsidRPr="004D6881">
        <w:t xml:space="preserve"> </w:t>
      </w:r>
      <w:r w:rsidR="003766DD" w:rsidRPr="004D6881">
        <w:t>ns simulations were performed on the wild-type</w:t>
      </w:r>
      <w:r w:rsidR="00A26289" w:rsidRPr="004D6881">
        <w:t xml:space="preserve"> structure </w:t>
      </w:r>
      <w:r w:rsidR="003766DD" w:rsidRPr="004D6881">
        <w:t xml:space="preserve">and three </w:t>
      </w:r>
      <w:r w:rsidR="006F0206" w:rsidRPr="004D6881">
        <w:t>50</w:t>
      </w:r>
      <w:r w:rsidR="00A26289" w:rsidRPr="004D6881">
        <w:t xml:space="preserve"> </w:t>
      </w:r>
      <w:r w:rsidR="006F0206" w:rsidRPr="004D6881">
        <w:t xml:space="preserve">ns simulations </w:t>
      </w:r>
      <w:r w:rsidR="003766DD" w:rsidRPr="004D6881">
        <w:t xml:space="preserve">on </w:t>
      </w:r>
      <w:bookmarkStart w:id="0" w:name="OLE_LINK7"/>
      <w:bookmarkStart w:id="1" w:name="OLE_LINK9"/>
      <w:bookmarkStart w:id="2" w:name="OLE_LINK6"/>
      <w:r w:rsidR="006F0206" w:rsidRPr="004D6881">
        <w:t xml:space="preserve">the </w:t>
      </w:r>
      <w:r w:rsidR="003766DD" w:rsidRPr="004D6881">
        <w:t>T2850I</w:t>
      </w:r>
      <w:bookmarkEnd w:id="0"/>
      <w:r w:rsidR="003766DD" w:rsidRPr="004D6881">
        <w:t xml:space="preserve"> </w:t>
      </w:r>
      <w:bookmarkEnd w:id="1"/>
      <w:r w:rsidR="003766DD" w:rsidRPr="004D6881">
        <w:t>model</w:t>
      </w:r>
      <w:bookmarkEnd w:id="2"/>
      <w:r w:rsidR="003766DD" w:rsidRPr="004D6881">
        <w:t xml:space="preserve">. </w:t>
      </w:r>
      <w:r w:rsidR="006F0206" w:rsidRPr="004D6881">
        <w:t>O</w:t>
      </w:r>
      <w:r w:rsidR="003766DD" w:rsidRPr="004D6881">
        <w:t xml:space="preserve">ne </w:t>
      </w:r>
      <w:r w:rsidR="005C5919" w:rsidRPr="004D6881">
        <w:t xml:space="preserve">simulation on the </w:t>
      </w:r>
      <w:r w:rsidR="003766DD" w:rsidRPr="004D6881">
        <w:t xml:space="preserve">wildtype </w:t>
      </w:r>
      <w:r w:rsidR="005C5919" w:rsidRPr="004D6881">
        <w:lastRenderedPageBreak/>
        <w:t xml:space="preserve">structure </w:t>
      </w:r>
      <w:r w:rsidR="003766DD" w:rsidRPr="004D6881">
        <w:t xml:space="preserve">and one </w:t>
      </w:r>
      <w:r w:rsidR="005C5919" w:rsidRPr="004D6881">
        <w:t xml:space="preserve">on the </w:t>
      </w:r>
      <w:r w:rsidR="003766DD" w:rsidRPr="004D6881">
        <w:t xml:space="preserve">T2850I </w:t>
      </w:r>
      <w:r w:rsidR="005C5919" w:rsidRPr="004D6881">
        <w:t xml:space="preserve">model </w:t>
      </w:r>
      <w:r w:rsidR="003766DD" w:rsidRPr="004D6881">
        <w:t>were repeated with a different water model</w:t>
      </w:r>
      <w:r w:rsidR="006F0206" w:rsidRPr="004D6881">
        <w:t xml:space="preserve"> (SPC/E)</w:t>
      </w:r>
      <w:r w:rsidR="00371B5A" w:rsidRPr="004D6881">
        <w:t xml:space="preserve"> </w:t>
      </w:r>
      <w:r w:rsidR="0075188D" w:rsidRPr="004D6881">
        <w:fldChar w:fldCharType="begin" w:fldLock="1"/>
      </w:r>
      <w:r w:rsidR="00C2687E">
        <w:instrText>ADDIN CSL_CITATION {"citationItems":[{"id":"ITEM-1","itemData":{"DOI":"10.1021/j100308a038","ISSN":"00223654","abstract":"Effective pair potentials used for simulations of polar liquids include the average effects of polarization. Such potentials are generally adjusted to produce the experimental heat of vaporization. It has not been recognized before that the self-energy term inherent in any polarizable model should be included in effective pair potentials as well. Inclusion of the self-energy correction with a consequent reparametrization of the SPC (simple point charge) model of water yields an improvement of the effective pair potential for water, as exemplified by density, radial distribution functions, and diffusion constant. © 1987 American Chemical Society.","author":[{"dropping-particle":"","family":"Berendsen","given":"H. J.C.","non-dropping-particle":"","parse-names":false,"suffix":""},{"dropping-particle":"","family":"Grigera","given":"J. R.","non-dropping-particle":"","parse-names":false,"suffix":""},{"dropping-particle":"","family":"Straatsma","given":"T. P.","non-dropping-particle":"","parse-names":false,"suffix":""}],"container-title":"Journal of Physical Chemistry","id":"ITEM-1","issue":"10","issued":{"date-parts":[["1987"]]},"page":"3153-3161","title":"The missing term in effective pair potentials","type":"article-journal","volume":"6"},"uris":["http://www.mendeley.com/documents/?uuid=3fa16835-ecd9-4e42-863b-669232140a99"]}],"mendeley":{"formattedCitation":"(Berendsen et al., 1987)","plainTextFormattedCitation":"(Berendsen et al., 1987)","previouslyFormattedCitation":"(Berendsen, Grigera, &amp; Straatsma, 1987)"},"properties":{"noteIndex":0},"schema":"https://github.com/citation-style-language/schema/raw/master/csl-citation.json"}</w:instrText>
      </w:r>
      <w:r w:rsidR="0075188D" w:rsidRPr="004D6881">
        <w:fldChar w:fldCharType="separate"/>
      </w:r>
      <w:r w:rsidR="00C2687E" w:rsidRPr="00C2687E">
        <w:rPr>
          <w:noProof/>
        </w:rPr>
        <w:t>(</w:t>
      </w:r>
      <w:r w:rsidR="00C2687E" w:rsidRPr="00551659">
        <w:rPr>
          <w:noProof/>
          <w:color w:val="003CFF"/>
        </w:rPr>
        <w:t>Berendsen et al., 1987</w:t>
      </w:r>
      <w:r w:rsidR="00C2687E" w:rsidRPr="00C2687E">
        <w:rPr>
          <w:noProof/>
        </w:rPr>
        <w:t>)</w:t>
      </w:r>
      <w:r w:rsidR="0075188D" w:rsidRPr="004D6881">
        <w:fldChar w:fldCharType="end"/>
      </w:r>
      <w:r w:rsidR="0075188D" w:rsidRPr="004D6881">
        <w:t xml:space="preserve">. The only difference was a slight decrease in conformational sampling range </w:t>
      </w:r>
      <w:r w:rsidR="0075188D" w:rsidRPr="008000E1">
        <w:rPr>
          <w:color w:val="000000" w:themeColor="text1"/>
        </w:rPr>
        <w:t>(Fig 3B</w:t>
      </w:r>
      <w:r w:rsidR="008000E1" w:rsidRPr="008000E1">
        <w:rPr>
          <w:color w:val="000000" w:themeColor="text1"/>
        </w:rPr>
        <w:t xml:space="preserve">) </w:t>
      </w:r>
      <w:r w:rsidR="0075188D" w:rsidRPr="004D6881">
        <w:t xml:space="preserve">and </w:t>
      </w:r>
      <w:r w:rsidR="0075188D" w:rsidRPr="004D6881">
        <w:fldChar w:fldCharType="begin" w:fldLock="1"/>
      </w:r>
      <w:r w:rsidR="00E718DB">
        <w:instrText>ADDIN CSL_CITATION {"citationItems":[{"id":"ITEM-1","itemData":{"DOI":"10.1098/rsob.160114","ISSN":"20462441","abstract":"Missense single-nucleotide polymorphisms (mSNPs) in titin are emerging as a main causative factor of heart failure. However, distinguishing between benign and disease-causing mSNPs is a substantial challenge. Here, we research the question of whether a single mSNP in a generic domain of titin can affect heart function as a whole and, if so, how. For this, we studied the mSNP T2850I, seemingly linked to arrhythmogenic right ventricular cardiomyopathy (ARVC). We used structural biology, computational simulations and transgenic muscle in vivo methods to track the effect of the mutation from the molecular to the organismal level. The data show that the T2850I exchange is compatible with the domain three-dimensional fold, but that it strongly destabilizes it. Further, it induces a change in the conformational dynamics of the titin chain that alters its reactivity, causing the formation of aberrant interactions in the sarcomere. Echocardiography of knock-in mice indicated a mild diastolic dysfunction arising from increased myocardial stiffness. In conclusion, our data provide evidence that single mSNPs in titin's I-band can alter overall muscle behaviour. Our suggested mechanisms of disease are the development of non-native sarcomeric interactions and titin instability leading to a reduced I-band compliance. However, understanding the T2850I-induced ARVC pathology mechanistically remains a complex problem and will require a deeper understanding of the sarcomeric context of the titin region affected.","author":[{"dropping-particle":"","family":"Bogomolovas","given":"Julius","non-dropping-particle":"","parse-names":false,"suffix":""},{"dropping-particle":"","family":"Fleming","given":"Jennifer R.","non-dropping-particle":"","parse-names":false,"suffix":""},{"dropping-particle":"","family":"Anderson","given":"Brian R.","non-dropping-particle":"","parse-names":false,"suffix":""},{"dropping-particle":"","family":"Williams","given":"Rhys","non-dropping-particle":"","parse-names":false,"suffix":""},{"dropping-particle":"","family":"Lange","given":"Stephan","non-dropping-particle":"","parse-names":false,"suffix":""},{"dropping-particle":"","family":"Simon","given":"Bernd","non-dropping-particle":"","parse-names":false,"suffix":""},{"dropping-particle":"","family":"Khan","given":"Muzamil M.","non-dropping-particle":"","parse-names":false,"suffix":""},{"dropping-particle":"","family":"Rudolf","given":"Rüdiger","non-dropping-particle":"","parse-names":false,"suffix":""},{"dropping-particle":"","family":"Franke","given":"Barbara","non-dropping-particle":"","parse-names":false,"suffix":""},{"dropping-particle":"","family":"Bullard","given":"Belinda","non-dropping-particle":"","parse-names":false,"suffix":""},{"dropping-particle":"","family":"Rigden","given":"Daniel J.","non-dropping-particle":"","parse-names":false,"suffix":""},{"dropping-particle":"","family":"Granzier","given":"Henk","non-dropping-particle":"","parse-names":false,"suffix":""},{"dropping-particle":"","family":"Labeit","given":"Siegfried","non-dropping-particle":"","parse-names":false,"suffix":""},{"dropping-particle":"","family":"Mayans","given":"Olga","non-dropping-particle":"","parse-names":false,"suffix":""}],"container-title":"Open Biology","id":"ITEM-1","issue":"9","issued":{"date-parts":[["2016"]]},"page":"pii: 160114","title":"Exploration of pathomechanisms triggered by a single-nucleotide polymorphism in titin's I-band: The cardiomyopathy-linked mutation T2580I","type":"article-journal","volume":"6"},"uris":["http://www.mendeley.com/documents/?uuid=a40e115f-ccdf-39d2-b373-72a5ceeeb72b"]}],"mendeley":{"formattedCitation":"(Bogomolovas et al., 2016)","plainTextFormattedCitation":"(Bogomolovas et al., 2016)","previouslyFormattedCitation":"(Bogomolovas et al., 2016)"},"properties":{"noteIndex":0},"schema":"https://github.com/citation-style-language/schema/raw/master/csl-citation.json"}</w:instrText>
      </w:r>
      <w:r w:rsidR="0075188D" w:rsidRPr="004D6881">
        <w:fldChar w:fldCharType="separate"/>
      </w:r>
      <w:r w:rsidR="00E718DB" w:rsidRPr="00E718DB">
        <w:rPr>
          <w:noProof/>
          <w:color w:val="0432FF"/>
        </w:rPr>
        <w:t>(Bogomolovas et al., 2016)</w:t>
      </w:r>
      <w:r w:rsidR="0075188D" w:rsidRPr="004D6881">
        <w:fldChar w:fldCharType="end"/>
      </w:r>
      <w:r w:rsidR="0075188D" w:rsidRPr="004D6881">
        <w:t xml:space="preserve">), all new simulations were performed only with the recommended water model for this forcefield, TIP3P </w:t>
      </w:r>
      <w:r w:rsidR="0075188D" w:rsidRPr="004D6881">
        <w:fldChar w:fldCharType="begin" w:fldLock="1"/>
      </w:r>
      <w:r w:rsidR="00C2687E">
        <w:instrText>ADDIN CSL_CITATION {"citationItems":[{"id":"ITEM-1","itemData":{"DOI":"10.1063/1.445869","ISSN":"00219606","abstract":"Classical Monte Carlo simulations have been carried out for liquid water in the NPT ensemble at 25 °C and 1 atm using six of the simpler intermolecular potential functions for the water dimer: Bernal-Fowler (BF), SPC, ST2, TIPS2, TIP3P, and TIP4P. Comparisons are made with experimental thermodynamic and structural data including the recent neutron diffraction results of Thiessen and Narten. The computed densities and potential energies are in reasonable accord with experiment except for the original BF model, which yields an 18% overestimate of the density and poor structural results. The TIPS2 and TIP4P potentials yield oxygen-oxygen partial structure functions in good agreement with the neutron diffraction results. The accord with the experimental OH and HH partial structure functions is poorer; however, the computed results for these functions are similar for all the potential functions. Consequently, the discrepancy may be due to the correction terms needed in processing the neutron data or to an effect uniformly neglected in the computations. Comparisons are also made for self-diffusion coefficients obtained from molecular dynamics simulations. Overall, the SPC, ST2, TIPS2, and TIP4P models give reasonable structural and thermodynamic descriptions of liquid water and they should be useful in simulations of aqueous solutions. The simplicity of the SPC, TIPS2, and TIP4P functions is also attractive from a computational standpoint. © 1983 American Institute of Physics.","author":[{"dropping-particle":"","family":"Jorgensen","given":"William L.","non-dropping-particle":"","parse-names":false,"suffix":""},{"dropping-particle":"","family":"Chandrasekhar","given":"Jayaraman","non-dropping-particle":"","parse-names":false,"suffix":""},{"dropping-particle":"","family":"Madura","given":"Jeffry D.","non-dropping-particle":"","parse-names":false,"suffix":""},{"dropping-particle":"","family":"Impey","given":"Roger W.","non-dropping-particle":"","parse-names":false,"suffix":""},{"dropping-particle":"","family":"Klein","given":"Michael L.","non-dropping-particle":"","parse-names":false,"suffix":""}],"container-title":"The Journal of Chemical Physics","id":"ITEM-1","issued":{"date-parts":[["1983"]]},"page":"926","title":"Comparison of simple potential functions for simulating liquid water","type":"article-journal","volume":"79"},"uris":["http://www.mendeley.com/documents/?uuid=032b71cf-e514-4479-99dc-9d95b09e8434"]}],"mendeley":{"formattedCitation":"(Jorgensen et al., 1983)","plainTextFormattedCitation":"(Jorgensen et al., 1983)","previouslyFormattedCitation":"(Jorgensen, Chandrasekhar, Madura, Impey, &amp; Klein, 1983)"},"properties":{"noteIndex":0},"schema":"https://github.com/citation-style-language/schema/raw/master/csl-citation.json"}</w:instrText>
      </w:r>
      <w:r w:rsidR="0075188D" w:rsidRPr="004D6881">
        <w:fldChar w:fldCharType="separate"/>
      </w:r>
      <w:r w:rsidR="00C2687E" w:rsidRPr="00C2687E">
        <w:rPr>
          <w:noProof/>
          <w:color w:val="0432FF"/>
        </w:rPr>
        <w:t>(Jorgensen et al., 1983)</w:t>
      </w:r>
      <w:r w:rsidR="0075188D" w:rsidRPr="004D6881">
        <w:fldChar w:fldCharType="end"/>
      </w:r>
      <w:r w:rsidR="0075188D" w:rsidRPr="004D6881">
        <w:t>.</w:t>
      </w:r>
    </w:p>
    <w:p w14:paraId="5E0A1B66" w14:textId="77777777" w:rsidR="006F0206" w:rsidRPr="004D6881" w:rsidRDefault="006F0206" w:rsidP="00BA3788">
      <w:pPr>
        <w:pBdr>
          <w:top w:val="nil"/>
          <w:left w:val="nil"/>
          <w:bottom w:val="nil"/>
          <w:right w:val="nil"/>
          <w:between w:val="nil"/>
        </w:pBdr>
        <w:spacing w:line="360" w:lineRule="auto"/>
        <w:jc w:val="both"/>
        <w:rPr>
          <w:b/>
        </w:rPr>
      </w:pPr>
    </w:p>
    <w:p w14:paraId="397D1E90" w14:textId="037841A5" w:rsidR="006B4502" w:rsidRPr="004D6881" w:rsidRDefault="002E2457" w:rsidP="00BA3788">
      <w:pPr>
        <w:pBdr>
          <w:top w:val="nil"/>
          <w:left w:val="nil"/>
          <w:bottom w:val="nil"/>
          <w:right w:val="nil"/>
          <w:between w:val="nil"/>
        </w:pBdr>
        <w:spacing w:line="360" w:lineRule="auto"/>
        <w:jc w:val="both"/>
        <w:rPr>
          <w:b/>
        </w:rPr>
      </w:pPr>
      <w:r w:rsidRPr="004D6881">
        <w:rPr>
          <w:b/>
        </w:rPr>
        <w:t>Analysis</w:t>
      </w:r>
      <w:r w:rsidR="006B4502" w:rsidRPr="004D6881">
        <w:rPr>
          <w:b/>
        </w:rPr>
        <w:t xml:space="preserve"> of molecular dynamics trajectories</w:t>
      </w:r>
    </w:p>
    <w:p w14:paraId="54FADE37" w14:textId="6E984F72" w:rsidR="004F3B81" w:rsidRPr="004D6881" w:rsidRDefault="00CE73CC" w:rsidP="00BA3788">
      <w:pPr>
        <w:pBdr>
          <w:top w:val="nil"/>
          <w:left w:val="nil"/>
          <w:bottom w:val="nil"/>
          <w:right w:val="nil"/>
          <w:between w:val="nil"/>
        </w:pBdr>
        <w:spacing w:line="360" w:lineRule="auto"/>
        <w:jc w:val="both"/>
      </w:pPr>
      <w:r w:rsidRPr="004D6881">
        <w:t xml:space="preserve">Calculated trajectories for all I10-I11 models, including the control trajectories calculated </w:t>
      </w:r>
      <w:r w:rsidR="00D164E3" w:rsidRPr="00551659">
        <w:rPr>
          <w:highlight w:val="yellow"/>
        </w:rPr>
        <w:t>from</w:t>
      </w:r>
      <w:r w:rsidR="00D164E3">
        <w:t xml:space="preserve"> </w:t>
      </w:r>
      <w:r w:rsidRPr="004D6881">
        <w:fldChar w:fldCharType="begin" w:fldLock="1"/>
      </w:r>
      <w:r w:rsidR="00E718DB">
        <w:instrText>ADDIN CSL_CITATION {"citationItems":[{"id":"ITEM-1","itemData":{"DOI":"10.1098/rsob.160114","ISSN":"20462441","abstract":"Missense single-nucleotide polymorphisms (mSNPs) in titin are emerging as a main causative factor of heart failure. However, distinguishing between benign and disease-causing mSNPs is a substantial challenge. Here, we research the question of whether a single mSNP in a generic domain of titin can affect heart function as a whole and, if so, how. For this, we studied the mSNP T2850I, seemingly linked to arrhythmogenic right ventricular cardiomyopathy (ARVC). We used structural biology, computational simulations and transgenic muscle in vivo methods to track the effect of the mutation from the molecular to the organismal level. The data show that the T2850I exchange is compatible with the domain three-dimensional fold, but that it strongly destabilizes it. Further, it induces a change in the conformational dynamics of the titin chain that alters its reactivity, causing the formation of aberrant interactions in the sarcomere. Echocardiography of knock-in mice indicated a mild diastolic dysfunction arising from increased myocardial stiffness. In conclusion, our data provide evidence that single mSNPs in titin's I-band can alter overall muscle behaviour. Our suggested mechanisms of disease are the development of non-native sarcomeric interactions and titin instability leading to a reduced I-band compliance. However, understanding the T2850I-induced ARVC pathology mechanistically remains a complex problem and will require a deeper understanding of the sarcomeric context of the titin region affected.","author":[{"dropping-particle":"","family":"Bogomolovas","given":"Julius","non-dropping-particle":"","parse-names":false,"suffix":""},{"dropping-particle":"","family":"Fleming","given":"Jennifer R.","non-dropping-particle":"","parse-names":false,"suffix":""},{"dropping-particle":"","family":"Anderson","given":"Brian R.","non-dropping-particle":"","parse-names":false,"suffix":""},{"dropping-particle":"","family":"Williams","given":"Rhys","non-dropping-particle":"","parse-names":false,"suffix":""},{"dropping-particle":"","family":"Lange","given":"Stephan","non-dropping-particle":"","parse-names":false,"suffix":""},{"dropping-particle":"","family":"Simon","given":"Bernd","non-dropping-particle":"","parse-names":false,"suffix":""},{"dropping-particle":"","family":"Khan","given":"Muzamil M.","non-dropping-particle":"","parse-names":false,"suffix":""},{"dropping-particle":"","family":"Rudolf","given":"Rüdiger","non-dropping-particle":"","parse-names":false,"suffix":""},{"dropping-particle":"","family":"Franke","given":"Barbara","non-dropping-particle":"","parse-names":false,"suffix":""},{"dropping-particle":"","family":"Bullard","given":"Belinda","non-dropping-particle":"","parse-names":false,"suffix":""},{"dropping-particle":"","family":"Rigden","given":"Daniel J.","non-dropping-particle":"","parse-names":false,"suffix":""},{"dropping-particle":"","family":"Granzier","given":"Henk","non-dropping-particle":"","parse-names":false,"suffix":""},{"dropping-particle":"","family":"Labeit","given":"Siegfried","non-dropping-particle":"","parse-names":false,"suffix":""},{"dropping-particle":"","family":"Mayans","given":"Olga","non-dropping-particle":"","parse-names":false,"suffix":""}],"container-title":"Open Biology","id":"ITEM-1","issue":"9","issued":{"date-parts":[["2016"]]},"page":"pii: 160114","title":"Exploration of pathomechanisms triggered by a single-nucleotide polymorphism in titin's I-band: The cardiomyopathy-linked mutation T2580I","type":"article-journal","volume":"6"},"uris":["http://www.mendeley.com/documents/?uuid=a40e115f-ccdf-39d2-b373-72a5ceeeb72b"]}],"mendeley":{"formattedCitation":"(Bogomolovas et al., 2016)","plainTextFormattedCitation":"(Bogomolovas et al., 2016)","previouslyFormattedCitation":"(Bogomolovas et al., 2016)"},"properties":{"noteIndex":0},"schema":"https://github.com/citation-style-language/schema/raw/master/csl-citation.json"}</w:instrText>
      </w:r>
      <w:r w:rsidRPr="004D6881">
        <w:fldChar w:fldCharType="separate"/>
      </w:r>
      <w:r w:rsidR="00E718DB" w:rsidRPr="00E718DB">
        <w:rPr>
          <w:noProof/>
        </w:rPr>
        <w:t>(</w:t>
      </w:r>
      <w:r w:rsidR="00E718DB" w:rsidRPr="006737B5">
        <w:rPr>
          <w:noProof/>
          <w:color w:val="0432FF"/>
        </w:rPr>
        <w:t>Bogomolovas et al., 2016</w:t>
      </w:r>
      <w:r w:rsidR="00E718DB" w:rsidRPr="00E718DB">
        <w:rPr>
          <w:noProof/>
        </w:rPr>
        <w:t>)</w:t>
      </w:r>
      <w:r w:rsidRPr="004D6881">
        <w:fldChar w:fldCharType="end"/>
      </w:r>
      <w:r w:rsidRPr="004D6881">
        <w:t xml:space="preserve"> were converted to backbone models and concatenated, then subjected to covariance analysis using the GROMACS modules </w:t>
      </w:r>
      <w:proofErr w:type="spellStart"/>
      <w:r w:rsidRPr="004D6881">
        <w:t>g_convar</w:t>
      </w:r>
      <w:proofErr w:type="spellEnd"/>
      <w:r w:rsidRPr="004D6881">
        <w:t xml:space="preserve"> and </w:t>
      </w:r>
      <w:proofErr w:type="spellStart"/>
      <w:r w:rsidRPr="004D6881">
        <w:t>g_anaieg</w:t>
      </w:r>
      <w:proofErr w:type="spellEnd"/>
      <w:r w:rsidRPr="004D6881">
        <w:t xml:space="preserve">. This allows for the analysis of the Principal </w:t>
      </w:r>
      <w:r w:rsidR="007E5D31" w:rsidRPr="004D6881">
        <w:t>C</w:t>
      </w:r>
      <w:r w:rsidRPr="004D6881">
        <w:t xml:space="preserve">omponent </w:t>
      </w:r>
      <w:r w:rsidR="007E5D31" w:rsidRPr="004D6881">
        <w:t xml:space="preserve">(PC) </w:t>
      </w:r>
      <w:r w:rsidRPr="004D6881">
        <w:t xml:space="preserve">analysis to the protein movement by simplifying the data and permitting the extraction of concerted, correlated motions within the molecule. </w:t>
      </w:r>
    </w:p>
    <w:p w14:paraId="26965683" w14:textId="77777777" w:rsidR="004F3B81" w:rsidRPr="004D6881" w:rsidRDefault="004F3B81" w:rsidP="00BA3788">
      <w:pPr>
        <w:pBdr>
          <w:top w:val="nil"/>
          <w:left w:val="nil"/>
          <w:bottom w:val="nil"/>
          <w:right w:val="nil"/>
          <w:between w:val="nil"/>
        </w:pBdr>
        <w:spacing w:line="360" w:lineRule="auto"/>
        <w:jc w:val="both"/>
      </w:pPr>
    </w:p>
    <w:p w14:paraId="2615F01B" w14:textId="5507D124" w:rsidR="002E2457" w:rsidRPr="004D6881" w:rsidRDefault="002E2457" w:rsidP="00BA3788">
      <w:pPr>
        <w:pBdr>
          <w:top w:val="nil"/>
          <w:left w:val="nil"/>
          <w:bottom w:val="nil"/>
          <w:right w:val="nil"/>
          <w:between w:val="nil"/>
        </w:pBdr>
        <w:spacing w:line="360" w:lineRule="auto"/>
        <w:jc w:val="both"/>
        <w:rPr>
          <w:b/>
        </w:rPr>
      </w:pPr>
      <w:r w:rsidRPr="004D6881">
        <w:t xml:space="preserve">Figures were produced </w:t>
      </w:r>
      <w:r w:rsidR="00BA3788" w:rsidRPr="004D6881">
        <w:t>with</w:t>
      </w:r>
      <w:r w:rsidR="00B8429B" w:rsidRPr="004D6881">
        <w:t xml:space="preserve"> </w:t>
      </w:r>
      <w:proofErr w:type="spellStart"/>
      <w:r w:rsidR="00B8429B" w:rsidRPr="004D6881">
        <w:t>PyMOL</w:t>
      </w:r>
      <w:proofErr w:type="spellEnd"/>
      <w:r w:rsidR="00B8429B" w:rsidRPr="004D6881">
        <w:t xml:space="preserve"> </w:t>
      </w:r>
      <w:r w:rsidR="00B8429B" w:rsidRPr="004D6881">
        <w:fldChar w:fldCharType="begin" w:fldLock="1"/>
      </w:r>
      <w:r w:rsidR="00B5196A">
        <w:instrText>ADDIN CSL_CITATION {"citationItems":[{"id":"ITEM-1","itemData":{"DOI":"10.1038/hr.2014.17","ISBN":"00657727","ISSN":"1348-4214","PMID":"24705435","abstract":"PyMOL is a molecular viewer, render tool, and 3D molecular editor developed in the spirit of RasMol and OpenRasMol and intended for visualization of 3D chemical structures including atomic resolution X-ray crystal structures of: proteins, nucleic acids (DNA, RNA, {&amp;} tRNA), and carbohydrates, as well as small molecule structures of drug leads, inhibitors, metabolites, sugars, nucleoside phosphates, and other ligands including inorganic salts and solvent molecules. PyMOL serves academic research and education in chemistry and biology, and the biotechnology and pharmaceutical industries by rendering publication-quality journal illustrations of macromolecules including drug targets such as GPCRs, kinases (Abl, Raf, Aurora, EGFR), proteases (HIV, BACE, Factor Xa), phosophorylases (PTP1B), and other enzyme targets, as well as therapeutic biomolecules such as humanized antibodies, cytokines, hormones, and serpins. Available molecular representations for nanotechnology pictures include space-filling \"CPK\" atoms, chemical bonds, cartoon ribbons, molecular surfaces, and solvent accessible surface meshes. As a stereochemistry viewer, PyMOL can illustrate the 3D stereochemical relationships of organic chemistry. As a crystallographic protein structure viewer, PyMOL can display millions of atoms inside a crystal lattice. Molecular interactions can be represented using interatomic distances, van der Waals clashes, property-based, potential-based, {&amp;} proximity-based coloring schemes, solid and mesh isosurface potentials, slice planes, and gradient field lines. PyMOL also supports input of electron density maps, electrostatic potential maps, and other volumetric data sets as well as arbitrary 3D geometries comprised of triangles, spheres, cylinders, cones, ellipsoids, and text. Output options include copy {&amp;} paste, PNG images, QuickTime Movies (on Mac), VRML, Maya OBJ, and POVRay POV input files. Molecular animations can be created through simple object {&amp;} camera motions or through input of trajectories from molecular dynamics simulations and other dynamic conformational ensembles such as 3D NMR structures, allosteric states, and Monte Carlo configurations. PyMOL can be scripted using Python and is available as both an ActiveX Control and a Java/JNI Component. PyMOL supports OpenGL hardware from nVidia (3D Vision), ATI/AMD, and Intel, with stereoscopic 3D graphics display on devices such as the Planar3D, Samsung SyncMaster 2233RZ, Viewsonic Fuhzion VX2265wm {&amp;} PJD…","author":[{"dropping-particle":"","family":"DeLano","given":"W L","non-dropping-particle":"","parse-names":false,"suffix":""}],"container-title":"Schrödinger LLC","id":"ITEM-1","issue":"Pt 4","issued":{"date-parts":[["2002"]]},"page":"486-501","title":"The PyMOL Molecular Graphics System, Version 1.1","type":"article-journal","volume":"66"},"uris":["http://www.mendeley.com/documents/?uuid=f87cce10-fe03-4813-ab0a-50552c5e4ccb"]}],"mendeley":{"formattedCitation":"(DeLano, 2002)","plainTextFormattedCitation":"(DeLano, 2002)","previouslyFormattedCitation":"(DeLano, 2002)"},"properties":{"noteIndex":0},"schema":"https://github.com/citation-style-language/schema/raw/master/csl-citation.json"}</w:instrText>
      </w:r>
      <w:r w:rsidR="00B8429B" w:rsidRPr="004D6881">
        <w:fldChar w:fldCharType="separate"/>
      </w:r>
      <w:r w:rsidR="00E718DB" w:rsidRPr="00E718DB">
        <w:rPr>
          <w:noProof/>
        </w:rPr>
        <w:t>(</w:t>
      </w:r>
      <w:r w:rsidR="00E718DB" w:rsidRPr="00AC223B">
        <w:rPr>
          <w:noProof/>
          <w:color w:val="0432FF"/>
        </w:rPr>
        <w:t>DeLano, 2002</w:t>
      </w:r>
      <w:r w:rsidR="00E718DB" w:rsidRPr="00E718DB">
        <w:rPr>
          <w:noProof/>
        </w:rPr>
        <w:t>)</w:t>
      </w:r>
      <w:r w:rsidR="00B8429B" w:rsidRPr="004D6881">
        <w:fldChar w:fldCharType="end"/>
      </w:r>
      <w:r w:rsidR="00B8429B" w:rsidRPr="004D6881">
        <w:t>,</w:t>
      </w:r>
      <w:r w:rsidR="00BA3788" w:rsidRPr="004D6881">
        <w:t xml:space="preserve"> </w:t>
      </w:r>
      <w:r w:rsidRPr="004D6881">
        <w:t xml:space="preserve">UCSF Chimera </w:t>
      </w:r>
      <w:r w:rsidR="00F13177" w:rsidRPr="004D6881">
        <w:fldChar w:fldCharType="begin" w:fldLock="1"/>
      </w:r>
      <w:r w:rsidR="006737B5">
        <w:instrText>ADDIN CSL_CITATION {"citationItems":[{"id":"ITEM-1","itemData":{"DOI":"10.1002/jcc.20084","ISSN":"01928651","PMID":"15264254","abstract":"The design, implementation, and capabilities of an extensible visualization system, UCSF Chimera, are discussed. Chimera is segmented into a core that provides basic services and visualization, and extensions that provide most higher level functionality. This architecture ensures that the extension mechanism satisfies the demands of outside developers who wish to incorporate new features, Two unusual extensions are presented: Multiscale, which adds the ability to visualize large-scale molecular assemblies such as viral coats, and Collaboratory, which allows researchers to share a Chimera session interactively despite being at separate locales. Other extensions include Multalign Viewer, for showing multiple sequence alignments and associated structures; ViewDock, for screening docked ligand orientations; Movie, for replaying molecular dynamics trajectories; and Volume Viewer, for display and analysis of volumetric data. A discussion of the usage of Chimera in real-world situations is given, along with anticipated future directions. Chimera includes full user documentation, is free to academic and nonprofit users, and is available for Microsoft Windows, Linux, Apple Mac OS X, SGI IRIX, and HP Tru64 Unix from http://www.cgl.ucsf.edu/chimera/. © 2004 Wiley Periodicals, Inc.","author":[{"dropping-particle":"","family":"Pettersen","given":"Eric F.","non-dropping-particle":"","parse-names":false,"suffix":""},{"dropping-particle":"","family":"Goddard","given":"Thomas D.","non-dropping-particle":"","parse-names":false,"suffix":""},{"dropping-particle":"","family":"Huang","given":"Conrad C.","non-dropping-particle":"","parse-names":false,"suffix":""},{"dropping-particle":"","family":"Couch","given":"Gregory S.","non-dropping-particle":"","parse-names":false,"suffix":""},{"dropping-particle":"","family":"Greenblatt","given":"Daniel M.","non-dropping-particle":"","parse-names":false,"suffix":""},{"dropping-particle":"","family":"Meng","given":"Elaine C.","non-dropping-particle":"","parse-names":false,"suffix":""},{"dropping-particle":"","family":"Ferrin","given":"Thomas E.","non-dropping-particle":"","parse-names":false,"suffix":""}],"container-title":"Journal of Computational Chemistry","id":"ITEM-1","issue":"13","issued":{"date-parts":[["2004"]]},"page":"1605-12","title":"UCSF Chimera - A visualization system for exploratory research and analysis","type":"article-journal","volume":"25"},"uris":["http://www.mendeley.com/documents/?uuid=b844e424-87fc-48a5-8577-e8561a22f5fb"]}],"mendeley":{"formattedCitation":"(Pettersen et al., 2004)","plainTextFormattedCitation":"(Pettersen et al., 2004)","previouslyFormattedCitation":"(Pettersen et al., 2004)"},"properties":{"noteIndex":0},"schema":"https://github.com/citation-style-language/schema/raw/master/csl-citation.json"}</w:instrText>
      </w:r>
      <w:r w:rsidR="00F13177" w:rsidRPr="004D6881">
        <w:fldChar w:fldCharType="separate"/>
      </w:r>
      <w:r w:rsidR="00E718DB" w:rsidRPr="00E718DB">
        <w:rPr>
          <w:noProof/>
        </w:rPr>
        <w:t>(</w:t>
      </w:r>
      <w:r w:rsidR="00E718DB" w:rsidRPr="00AC223B">
        <w:rPr>
          <w:noProof/>
          <w:color w:val="0432FF"/>
        </w:rPr>
        <w:t>Pettersen et al., 2004</w:t>
      </w:r>
      <w:r w:rsidR="00E718DB" w:rsidRPr="00E718DB">
        <w:rPr>
          <w:noProof/>
        </w:rPr>
        <w:t>)</w:t>
      </w:r>
      <w:r w:rsidR="00F13177" w:rsidRPr="004D6881">
        <w:fldChar w:fldCharType="end"/>
      </w:r>
      <w:r w:rsidRPr="004D6881">
        <w:t xml:space="preserve">, R </w:t>
      </w:r>
      <w:r w:rsidR="00F13177" w:rsidRPr="004D6881">
        <w:fldChar w:fldCharType="begin" w:fldLock="1"/>
      </w:r>
      <w:r w:rsidR="00E718DB">
        <w:instrText>ADDIN CSL_CITATION {"citationItems":[{"id":"ITEM-1","itemData":{"ISBN":"3900051003","abstract":"When running an experiment, precision is essential to ensure results are as exact as possible. Thus, computers, which offer endless accuracy, have become an inevitable tool to design experiments. To avoid programming from scratch for each new situation, a program, E-Prime, has been created to ease the conception of experiments. E-Prime, developed by PSTNet, offers a user-friendly interface that makes typical experiments easy to create. This paper shows how to effortlessly create an experiment with E-Prime, followed by a simple example.","author":[{"dropping-particle":"","family":"Team","given":"R Core","non-dropping-particle":"","parse-names":false,"suffix":""}],"container-title":"Vienna, Austria","id":"ITEM-1","issued":{"date-parts":[["2019"]]},"title":"R: A Language and Environment for Statistical Computing","type":"article-journal"},"uris":["http://www.mendeley.com/documents/?uuid=a18f3bb2-7be8-4d13-a55a-11a23a8d70f5"]}],"mendeley":{"formattedCitation":"(Team, 2019)","plainTextFormattedCitation":"(Team, 2019)","previouslyFormattedCitation":"(Team, 2019)"},"properties":{"noteIndex":0},"schema":"https://github.com/citation-style-language/schema/raw/master/csl-citation.json"}</w:instrText>
      </w:r>
      <w:r w:rsidR="00F13177" w:rsidRPr="004D6881">
        <w:fldChar w:fldCharType="separate"/>
      </w:r>
      <w:r w:rsidR="00E718DB" w:rsidRPr="00E718DB">
        <w:rPr>
          <w:noProof/>
        </w:rPr>
        <w:t>(</w:t>
      </w:r>
      <w:r w:rsidR="00E718DB" w:rsidRPr="00AC223B">
        <w:rPr>
          <w:noProof/>
          <w:color w:val="0432FF"/>
        </w:rPr>
        <w:t>Team, 2019</w:t>
      </w:r>
      <w:r w:rsidR="00E718DB" w:rsidRPr="00E718DB">
        <w:rPr>
          <w:noProof/>
        </w:rPr>
        <w:t>)</w:t>
      </w:r>
      <w:r w:rsidR="00F13177" w:rsidRPr="004D6881">
        <w:fldChar w:fldCharType="end"/>
      </w:r>
      <w:r w:rsidR="004F3B81" w:rsidRPr="004D6881">
        <w:t xml:space="preserve"> and </w:t>
      </w:r>
      <w:proofErr w:type="spellStart"/>
      <w:r w:rsidR="004F3B81" w:rsidRPr="004D6881">
        <w:t>Ligplot</w:t>
      </w:r>
      <w:proofErr w:type="spellEnd"/>
      <w:r w:rsidR="004F3B81" w:rsidRPr="004D6881">
        <w:t>+</w:t>
      </w:r>
      <w:r w:rsidR="001A6520" w:rsidRPr="004D6881">
        <w:t>’s DIMPLOT function</w:t>
      </w:r>
      <w:r w:rsidR="004F3B81" w:rsidRPr="004D6881">
        <w:t xml:space="preserve"> </w:t>
      </w:r>
      <w:r w:rsidR="004F3B81" w:rsidRPr="004D6881">
        <w:fldChar w:fldCharType="begin" w:fldLock="1"/>
      </w:r>
      <w:r w:rsidR="00C2687E">
        <w:instrText>ADDIN CSL_CITATION {"citationItems":[{"id":"ITEM-1","itemData":{"DOI":"10.1021/ci200227u","ISSN":"15499596","abstract":"We describe a graphical system for automatically generating multiple 2D diagrams of ligand-protein interactions from 3D coordinates. The diagrams portray the hydrogen-bond interaction patterns and hydrophobic contacts between the ligand(s) and the main-chain or side-chain elements of the protein. The system is able to plot, in the same orientation, related sets of ligand-protein interactions. This facilitates popular research tasks, such as analyzing a series of small molecules binding to the same protein target, a single ligand binding to homologous proteins, or the completely general case where both protein and ligand change. © 2011 American Chemical Society.","author":[{"dropping-particle":"","family":"Laskowski","given":"Roman A.","non-dropping-particle":"","parse-names":false,"suffix":""},{"dropping-particle":"","family":"Swindells","given":"Mark B.","non-dropping-particle":"","parse-names":false,"suffix":""}],"container-title":"Journal of Chemical Information and Modeling","id":"ITEM-1","issue":"10","issued":{"date-parts":[["2011"]]},"page":"2778-2786","title":"LigPlot+: Multiple ligand-protein interaction diagrams for drug discovery","type":"article-journal","volume":"51"},"uris":["http://www.mendeley.com/documents/?uuid=80f4a094-1822-4a82-8146-08184fc73279","http://www.mendeley.com/documents/?uuid=41d9d288-9a6c-4a3a-99a4-ff1d4d9fc698"]}],"mendeley":{"formattedCitation":"(Laskowski &amp; Swindells, 2011)","plainTextFormattedCitation":"(Laskowski &amp; Swindells, 2011)","previouslyFormattedCitation":"(Laskowski &amp; Swindells, 2011)"},"properties":{"noteIndex":0},"schema":"https://github.com/citation-style-language/schema/raw/master/csl-citation.json"}</w:instrText>
      </w:r>
      <w:r w:rsidR="004F3B81" w:rsidRPr="004D6881">
        <w:fldChar w:fldCharType="separate"/>
      </w:r>
      <w:r w:rsidR="00E718DB" w:rsidRPr="00E718DB">
        <w:rPr>
          <w:noProof/>
        </w:rPr>
        <w:t>(</w:t>
      </w:r>
      <w:r w:rsidR="00E718DB" w:rsidRPr="00AC223B">
        <w:rPr>
          <w:noProof/>
          <w:color w:val="0432FF"/>
        </w:rPr>
        <w:t>Laskowski &amp; Swindells, 2011</w:t>
      </w:r>
      <w:r w:rsidR="00E718DB" w:rsidRPr="00E718DB">
        <w:rPr>
          <w:noProof/>
        </w:rPr>
        <w:t>)</w:t>
      </w:r>
      <w:r w:rsidR="004F3B81" w:rsidRPr="004D6881">
        <w:fldChar w:fldCharType="end"/>
      </w:r>
      <w:r w:rsidRPr="004D6881">
        <w:t>.</w:t>
      </w:r>
      <w:r w:rsidR="00F13177" w:rsidRPr="004D6881">
        <w:t xml:space="preserve"> L</w:t>
      </w:r>
      <w:r w:rsidRPr="004D6881">
        <w:t>ocally weighted scatterplot smoothing</w:t>
      </w:r>
      <w:r w:rsidR="00F13177" w:rsidRPr="004D6881">
        <w:t xml:space="preserve"> (LOESS) </w:t>
      </w:r>
      <w:r w:rsidRPr="004D6881">
        <w:t>averaging was used on trajectories to plot mean lines.</w:t>
      </w:r>
    </w:p>
    <w:p w14:paraId="29719A9A" w14:textId="77777777" w:rsidR="007E5D31" w:rsidRPr="004D6881" w:rsidRDefault="007E5D31" w:rsidP="00BA3788">
      <w:pPr>
        <w:pBdr>
          <w:top w:val="nil"/>
          <w:left w:val="nil"/>
          <w:bottom w:val="nil"/>
          <w:right w:val="nil"/>
          <w:between w:val="nil"/>
        </w:pBdr>
        <w:spacing w:line="360" w:lineRule="auto"/>
        <w:jc w:val="both"/>
      </w:pPr>
    </w:p>
    <w:p w14:paraId="371E88C4" w14:textId="7E2D3319" w:rsidR="007E5D31" w:rsidRDefault="00111F88" w:rsidP="00BA3788">
      <w:pPr>
        <w:pBdr>
          <w:top w:val="nil"/>
          <w:left w:val="nil"/>
          <w:bottom w:val="nil"/>
          <w:right w:val="nil"/>
          <w:between w:val="nil"/>
        </w:pBdr>
        <w:spacing w:line="360" w:lineRule="auto"/>
        <w:jc w:val="both"/>
        <w:rPr>
          <w:b/>
          <w:sz w:val="32"/>
        </w:rPr>
      </w:pPr>
      <w:r w:rsidRPr="004D6881">
        <w:rPr>
          <w:b/>
          <w:sz w:val="32"/>
        </w:rPr>
        <w:t>Results</w:t>
      </w:r>
      <w:bookmarkStart w:id="3" w:name="_GoBack"/>
    </w:p>
    <w:bookmarkEnd w:id="3"/>
    <w:p w14:paraId="270E4337" w14:textId="77777777" w:rsidR="00D164E3" w:rsidRPr="004D6881" w:rsidRDefault="00D164E3" w:rsidP="00BA3788">
      <w:pPr>
        <w:pBdr>
          <w:top w:val="nil"/>
          <w:left w:val="nil"/>
          <w:bottom w:val="nil"/>
          <w:right w:val="nil"/>
          <w:between w:val="nil"/>
        </w:pBdr>
        <w:spacing w:line="360" w:lineRule="auto"/>
        <w:jc w:val="both"/>
        <w:rPr>
          <w:b/>
          <w:sz w:val="32"/>
        </w:rPr>
      </w:pPr>
    </w:p>
    <w:p w14:paraId="4B720155" w14:textId="77777777" w:rsidR="00B31AEB" w:rsidRPr="004D6881" w:rsidRDefault="00C64DFC" w:rsidP="00BA3788">
      <w:pPr>
        <w:pBdr>
          <w:top w:val="nil"/>
          <w:left w:val="nil"/>
          <w:bottom w:val="nil"/>
          <w:right w:val="nil"/>
          <w:between w:val="nil"/>
        </w:pBdr>
        <w:spacing w:line="360" w:lineRule="auto"/>
        <w:jc w:val="both"/>
        <w:rPr>
          <w:b/>
        </w:rPr>
      </w:pPr>
      <w:r w:rsidRPr="004D6881">
        <w:rPr>
          <w:b/>
        </w:rPr>
        <w:t>Analysis of T</w:t>
      </w:r>
      <w:r w:rsidR="00E44E48" w:rsidRPr="004D6881">
        <w:rPr>
          <w:b/>
        </w:rPr>
        <w:t>2580</w:t>
      </w:r>
      <w:r w:rsidRPr="004D6881">
        <w:rPr>
          <w:b/>
        </w:rPr>
        <w:t xml:space="preserve"> </w:t>
      </w:r>
      <w:r w:rsidR="005C5919" w:rsidRPr="004D6881">
        <w:rPr>
          <w:b/>
        </w:rPr>
        <w:t xml:space="preserve">molecular </w:t>
      </w:r>
      <w:r w:rsidRPr="004D6881">
        <w:rPr>
          <w:b/>
        </w:rPr>
        <w:t>environment reveals a</w:t>
      </w:r>
      <w:r w:rsidR="00F13177" w:rsidRPr="004D6881">
        <w:rPr>
          <w:b/>
        </w:rPr>
        <w:t xml:space="preserve"> tight</w:t>
      </w:r>
      <w:r w:rsidRPr="004D6881">
        <w:rPr>
          <w:b/>
        </w:rPr>
        <w:t xml:space="preserve"> </w:t>
      </w:r>
      <w:r w:rsidR="005C5919" w:rsidRPr="004D6881">
        <w:rPr>
          <w:b/>
        </w:rPr>
        <w:t xml:space="preserve">domain </w:t>
      </w:r>
      <w:r w:rsidRPr="004D6881">
        <w:rPr>
          <w:b/>
        </w:rPr>
        <w:t xml:space="preserve">interface </w:t>
      </w:r>
    </w:p>
    <w:p w14:paraId="23186294" w14:textId="22618672" w:rsidR="002E2457" w:rsidRPr="004D6881" w:rsidRDefault="002E2457" w:rsidP="00BA3788">
      <w:pPr>
        <w:pBdr>
          <w:top w:val="nil"/>
          <w:left w:val="nil"/>
          <w:bottom w:val="nil"/>
          <w:right w:val="nil"/>
          <w:between w:val="nil"/>
        </w:pBdr>
        <w:spacing w:line="360" w:lineRule="auto"/>
        <w:jc w:val="both"/>
        <w:rPr>
          <w:b/>
        </w:rPr>
      </w:pPr>
      <w:r w:rsidRPr="004D6881">
        <w:t>Titin</w:t>
      </w:r>
      <w:r w:rsidR="00AB5874" w:rsidRPr="004D6881">
        <w:t xml:space="preserve"> is composed </w:t>
      </w:r>
      <w:r w:rsidR="00033156" w:rsidRPr="004D6881">
        <w:t>of</w:t>
      </w:r>
      <w:r w:rsidR="00AB5874" w:rsidRPr="004D6881">
        <w:t xml:space="preserve"> homologous </w:t>
      </w:r>
      <w:r w:rsidRPr="004D6881">
        <w:t xml:space="preserve">domains </w:t>
      </w:r>
      <w:r w:rsidR="00D63C84" w:rsidRPr="004D6881">
        <w:t>linked in series by short linkers</w:t>
      </w:r>
      <w:r w:rsidR="00192D23" w:rsidRPr="004D6881">
        <w:t>,</w:t>
      </w:r>
      <w:r w:rsidR="00D63C84" w:rsidRPr="004D6881">
        <w:t xml:space="preserve"> </w:t>
      </w:r>
      <w:r w:rsidR="00033156" w:rsidRPr="004D6881">
        <w:t>forming</w:t>
      </w:r>
      <w:r w:rsidRPr="004D6881">
        <w:t xml:space="preserve"> a beads</w:t>
      </w:r>
      <w:r w:rsidR="00C64DFC" w:rsidRPr="004D6881">
        <w:t>-</w:t>
      </w:r>
      <w:r w:rsidRPr="004D6881">
        <w:t>on</w:t>
      </w:r>
      <w:r w:rsidR="00C64DFC" w:rsidRPr="004D6881">
        <w:t>-</w:t>
      </w:r>
      <w:r w:rsidRPr="004D6881">
        <w:t>a</w:t>
      </w:r>
      <w:r w:rsidR="00C64DFC" w:rsidRPr="004D6881">
        <w:t>-</w:t>
      </w:r>
      <w:r w:rsidRPr="004D6881">
        <w:t>string arrangement</w:t>
      </w:r>
      <w:r w:rsidR="00033156" w:rsidRPr="004D6881">
        <w:t>.</w:t>
      </w:r>
      <w:r w:rsidRPr="004D6881">
        <w:t xml:space="preserve"> </w:t>
      </w:r>
      <w:r w:rsidR="00192D23" w:rsidRPr="004D6881">
        <w:t xml:space="preserve">Domain I10 </w:t>
      </w:r>
      <w:r w:rsidRPr="004D6881">
        <w:t>is situated in</w:t>
      </w:r>
      <w:r w:rsidR="00C64DFC" w:rsidRPr="004D6881">
        <w:t xml:space="preserve"> the elastic I-band region </w:t>
      </w:r>
      <w:r w:rsidR="00AB5874" w:rsidRPr="004D6881">
        <w:t>of titin</w:t>
      </w:r>
      <w:r w:rsidR="00192D23" w:rsidRPr="004D6881">
        <w:t xml:space="preserve"> and its residue T2580</w:t>
      </w:r>
      <w:r w:rsidRPr="004D6881">
        <w:t xml:space="preserve"> fac</w:t>
      </w:r>
      <w:r w:rsidR="00192D23" w:rsidRPr="004D6881">
        <w:t>es</w:t>
      </w:r>
      <w:r w:rsidRPr="004D6881">
        <w:t xml:space="preserve"> </w:t>
      </w:r>
      <w:r w:rsidR="00C64DFC" w:rsidRPr="004D6881">
        <w:t xml:space="preserve">from this domain </w:t>
      </w:r>
      <w:r w:rsidRPr="004D6881">
        <w:t>into the interface with I11</w:t>
      </w:r>
      <w:r w:rsidR="000042C2" w:rsidRPr="004D6881">
        <w:t xml:space="preserve"> (</w:t>
      </w:r>
      <w:r w:rsidR="000042C2" w:rsidRPr="008000E1">
        <w:rPr>
          <w:color w:val="000000" w:themeColor="text1"/>
        </w:rPr>
        <w:t>Fig 1</w:t>
      </w:r>
      <w:r w:rsidR="000042C2" w:rsidRPr="004D6881">
        <w:t>)</w:t>
      </w:r>
      <w:r w:rsidRPr="004D6881">
        <w:t>. The crystal structure of I9</w:t>
      </w:r>
      <w:r w:rsidR="00AB5874" w:rsidRPr="004D6881">
        <w:t>-</w:t>
      </w:r>
      <w:r w:rsidRPr="004D6881">
        <w:t xml:space="preserve">I11 was solved and deposited </w:t>
      </w:r>
      <w:r w:rsidR="00AB5874" w:rsidRPr="004D6881">
        <w:t xml:space="preserve">with the PDB </w:t>
      </w:r>
      <w:r w:rsidRPr="004D6881">
        <w:t xml:space="preserve">as </w:t>
      </w:r>
      <w:r w:rsidR="00AB5874" w:rsidRPr="004D6881">
        <w:t xml:space="preserve">entries </w:t>
      </w:r>
      <w:r w:rsidR="0095434F" w:rsidRPr="004D6881">
        <w:t>5JDE</w:t>
      </w:r>
      <w:r w:rsidRPr="004D6881">
        <w:t xml:space="preserve"> and </w:t>
      </w:r>
      <w:r w:rsidR="0095434F" w:rsidRPr="004D6881">
        <w:t>5JDD</w:t>
      </w:r>
      <w:r w:rsidRPr="004D6881">
        <w:t xml:space="preserve"> </w:t>
      </w:r>
      <w:r w:rsidR="00C64DFC" w:rsidRPr="004D6881">
        <w:fldChar w:fldCharType="begin" w:fldLock="1"/>
      </w:r>
      <w:r w:rsidR="00E718DB">
        <w:instrText>ADDIN CSL_CITATION {"citationItems":[{"id":"ITEM-1","itemData":{"DOI":"10.1098/rsob.160114","ISSN":"20462441","abstract":"Missense single-nucleotide polymorphisms (mSNPs) in titin are emerging as a main causative factor of heart failure. However, distinguishing between benign and disease-causing mSNPs is a substantial challenge. Here, we research the question of whether a single mSNP in a generic domain of titin can affect heart function as a whole and, if so, how. For this, we studied the mSNP T2850I, seemingly linked to arrhythmogenic right ventricular cardiomyopathy (ARVC). We used structural biology, computational simulations and transgenic muscle in vivo methods to track the effect of the mutation from the molecular to the organismal level. The data show that the T2850I exchange is compatible with the domain three-dimensional fold, but that it strongly destabilizes it. Further, it induces a change in the conformational dynamics of the titin chain that alters its reactivity, causing the formation of aberrant interactions in the sarcomere. Echocardiography of knock-in mice indicated a mild diastolic dysfunction arising from increased myocardial stiffness. In conclusion, our data provide evidence that single mSNPs in titin's I-band can alter overall muscle behaviour. Our suggested mechanisms of disease are the development of non-native sarcomeric interactions and titin instability leading to a reduced I-band compliance. However, understanding the T2850I-induced ARVC pathology mechanistically remains a complex problem and will require a deeper understanding of the sarcomeric context of the titin region affected.","author":[{"dropping-particle":"","family":"Bogomolovas","given":"Julius","non-dropping-particle":"","parse-names":false,"suffix":""},{"dropping-particle":"","family":"Fleming","given":"Jennifer R.","non-dropping-particle":"","parse-names":false,"suffix":""},{"dropping-particle":"","family":"Anderson","given":"Brian R.","non-dropping-particle":"","parse-names":false,"suffix":""},{"dropping-particle":"","family":"Williams","given":"Rhys","non-dropping-particle":"","parse-names":false,"suffix":""},{"dropping-particle":"","family":"Lange","given":"Stephan","non-dropping-particle":"","parse-names":false,"suffix":""},{"dropping-particle":"","family":"Simon","given":"Bernd","non-dropping-particle":"","parse-names":false,"suffix":""},{"dropping-particle":"","family":"Khan","given":"Muzamil M.","non-dropping-particle":"","parse-names":false,"suffix":""},{"dropping-particle":"","family":"Rudolf","given":"Rüdiger","non-dropping-particle":"","parse-names":false,"suffix":""},{"dropping-particle":"","family":"Franke","given":"Barbara","non-dropping-particle":"","parse-names":false,"suffix":""},{"dropping-particle":"","family":"Bullard","given":"Belinda","non-dropping-particle":"","parse-names":false,"suffix":""},{"dropping-particle":"","family":"Rigden","given":"Daniel J.","non-dropping-particle":"","parse-names":false,"suffix":""},{"dropping-particle":"","family":"Granzier","given":"Henk","non-dropping-particle":"","parse-names":false,"suffix":""},{"dropping-particle":"","family":"Labeit","given":"Siegfried","non-dropping-particle":"","parse-names":false,"suffix":""},{"dropping-particle":"","family":"Mayans","given":"Olga","non-dropping-particle":"","parse-names":false,"suffix":""}],"container-title":"Open Biology","id":"ITEM-1","issue":"9","issued":{"date-parts":[["2016"]]},"page":"pii: 160114","title":"Exploration of pathomechanisms triggered by a single-nucleotide polymorphism in titin's I-band: The cardiomyopathy-linked mutation T2580I","type":"article-journal","volume":"6"},"uris":["http://www.mendeley.com/documents/?uuid=a40e115f-ccdf-39d2-b373-72a5ceeeb72b"]}],"mendeley":{"formattedCitation":"(Bogomolovas et al., 2016)","plainTextFormattedCitation":"(Bogomolovas et al., 2016)","previouslyFormattedCitation":"(Bogomolovas et al., 2016)"},"properties":{"noteIndex":0},"schema":"https://github.com/citation-style-language/schema/raw/master/csl-citation.json"}</w:instrText>
      </w:r>
      <w:r w:rsidR="00C64DFC" w:rsidRPr="004D6881">
        <w:fldChar w:fldCharType="separate"/>
      </w:r>
      <w:r w:rsidR="00E718DB" w:rsidRPr="00E718DB">
        <w:rPr>
          <w:noProof/>
          <w:color w:val="0432FF"/>
        </w:rPr>
        <w:t>(Bogomolovas et al., 2016)</w:t>
      </w:r>
      <w:r w:rsidR="00C64DFC" w:rsidRPr="004D6881">
        <w:fldChar w:fldCharType="end"/>
      </w:r>
      <w:r w:rsidRPr="004D6881">
        <w:t>.</w:t>
      </w:r>
      <w:r w:rsidR="00C64DFC" w:rsidRPr="004D6881">
        <w:t xml:space="preserve"> </w:t>
      </w:r>
      <w:r w:rsidR="001B032F" w:rsidRPr="004D6881">
        <w:t>T</w:t>
      </w:r>
      <w:r w:rsidRPr="004D6881">
        <w:t xml:space="preserve">he crystal structure of I9-I11 reveals that the </w:t>
      </w:r>
      <w:r w:rsidR="007E5D31" w:rsidRPr="004D6881">
        <w:t xml:space="preserve">linked </w:t>
      </w:r>
      <w:r w:rsidRPr="004D6881">
        <w:t xml:space="preserve">domains </w:t>
      </w:r>
      <w:r w:rsidR="00046F5B" w:rsidRPr="004D6881">
        <w:t>are</w:t>
      </w:r>
      <w:r w:rsidRPr="004D6881">
        <w:t xml:space="preserve"> 45° rotat</w:t>
      </w:r>
      <w:r w:rsidR="00046F5B" w:rsidRPr="004D6881">
        <w:t>ed</w:t>
      </w:r>
      <w:r w:rsidRPr="004D6881">
        <w:t xml:space="preserve"> </w:t>
      </w:r>
      <w:r w:rsidR="007E5D31" w:rsidRPr="004D6881">
        <w:t>respect</w:t>
      </w:r>
      <w:r w:rsidRPr="004D6881">
        <w:t xml:space="preserve"> to </w:t>
      </w:r>
      <w:r w:rsidR="007E5D31" w:rsidRPr="004D6881">
        <w:t>each</w:t>
      </w:r>
      <w:r w:rsidRPr="004D6881">
        <w:t xml:space="preserve"> other </w:t>
      </w:r>
      <w:r w:rsidRPr="008000E1">
        <w:rPr>
          <w:color w:val="000000" w:themeColor="text1"/>
        </w:rPr>
        <w:t>(</w:t>
      </w:r>
      <w:r w:rsidR="00BA3788" w:rsidRPr="008000E1">
        <w:rPr>
          <w:color w:val="000000" w:themeColor="text1"/>
        </w:rPr>
        <w:t>Fig 1B</w:t>
      </w:r>
      <w:r w:rsidR="00C64DFC" w:rsidRPr="004D6881">
        <w:t>)</w:t>
      </w:r>
      <w:r w:rsidR="007E5D31" w:rsidRPr="004D6881">
        <w:t xml:space="preserve"> </w:t>
      </w:r>
      <w:r w:rsidR="000270FD" w:rsidRPr="004D6881">
        <w:t>and</w:t>
      </w:r>
      <w:r w:rsidR="007E5D31" w:rsidRPr="004D6881">
        <w:t xml:space="preserve"> </w:t>
      </w:r>
      <w:r w:rsidR="008D3A01" w:rsidRPr="00551659">
        <w:rPr>
          <w:highlight w:val="yellow"/>
        </w:rPr>
        <w:t>that the</w:t>
      </w:r>
      <w:r w:rsidR="008D3A01">
        <w:t xml:space="preserve"> </w:t>
      </w:r>
      <w:r w:rsidRPr="004D6881">
        <w:t>possibility for large bending motions</w:t>
      </w:r>
      <w:r w:rsidR="008D3A01">
        <w:t xml:space="preserve"> </w:t>
      </w:r>
      <w:r w:rsidR="008D3A01" w:rsidRPr="00551659">
        <w:rPr>
          <w:highlight w:val="yellow"/>
        </w:rPr>
        <w:t>is limited</w:t>
      </w:r>
      <w:r w:rsidR="00504046" w:rsidRPr="004D6881">
        <w:t xml:space="preserve"> </w:t>
      </w:r>
      <w:r w:rsidR="00F13177" w:rsidRPr="004D6881">
        <w:fldChar w:fldCharType="begin" w:fldLock="1"/>
      </w:r>
      <w:r w:rsidR="00E718DB">
        <w:instrText>ADDIN CSL_CITATION {"citationItems":[{"id":"ITEM-1","itemData":{"DOI":"10.1098/rsob.160114","ISSN":"20462441","abstract":"Missense single-nucleotide polymorphisms (mSNPs) in titin are emerging as a main causative factor of heart failure. However, distinguishing between benign and disease-causing mSNPs is a substantial challenge. Here, we research the question of whether a single mSNP in a generic domain of titin can affect heart function as a whole and, if so, how. For this, we studied the mSNP T2850I, seemingly linked to arrhythmogenic right ventricular cardiomyopathy (ARVC). We used structural biology, computational simulations and transgenic muscle in vivo methods to track the effect of the mutation from the molecular to the organismal level. The data show that the T2850I exchange is compatible with the domain three-dimensional fold, but that it strongly destabilizes it. Further, it induces a change in the conformational dynamics of the titin chain that alters its reactivity, causing the formation of aberrant interactions in the sarcomere. Echocardiography of knock-in mice indicated a mild diastolic dysfunction arising from increased myocardial stiffness. In conclusion, our data provide evidence that single mSNPs in titin's I-band can alter overall muscle behaviour. Our suggested mechanisms of disease are the development of non-native sarcomeric interactions and titin instability leading to a reduced I-band compliance. However, understanding the T2850I-induced ARVC pathology mechanistically remains a complex problem and will require a deeper understanding of the sarcomeric context of the titin region affected.","author":[{"dropping-particle":"","family":"Bogomolovas","given":"Julius","non-dropping-particle":"","parse-names":false,"suffix":""},{"dropping-particle":"","family":"Fleming","given":"Jennifer R.","non-dropping-particle":"","parse-names":false,"suffix":""},{"dropping-particle":"","family":"Anderson","given":"Brian R.","non-dropping-particle":"","parse-names":false,"suffix":""},{"dropping-particle":"","family":"Williams","given":"Rhys","non-dropping-particle":"","parse-names":false,"suffix":""},{"dropping-particle":"","family":"Lange","given":"Stephan","non-dropping-particle":"","parse-names":false,"suffix":""},{"dropping-particle":"","family":"Simon","given":"Bernd","non-dropping-particle":"","parse-names":false,"suffix":""},{"dropping-particle":"","family":"Khan","given":"Muzamil M.","non-dropping-particle":"","parse-names":false,"suffix":""},{"dropping-particle":"","family":"Rudolf","given":"Rüdiger","non-dropping-particle":"","parse-names":false,"suffix":""},{"dropping-particle":"","family":"Franke","given":"Barbara","non-dropping-particle":"","parse-names":false,"suffix":""},{"dropping-particle":"","family":"Bullard","given":"Belinda","non-dropping-particle":"","parse-names":false,"suffix":""},{"dropping-particle":"","family":"Rigden","given":"Daniel J.","non-dropping-particle":"","parse-names":false,"suffix":""},{"dropping-particle":"","family":"Granzier","given":"Henk","non-dropping-particle":"","parse-names":false,"suffix":""},{"dropping-particle":"","family":"Labeit","given":"Siegfried","non-dropping-particle":"","parse-names":false,"suffix":""},{"dropping-particle":"","family":"Mayans","given":"Olga","non-dropping-particle":"","parse-names":false,"suffix":""}],"container-title":"Open Biology","id":"ITEM-1","issue":"9","issued":{"date-parts":[["2016"]]},"page":"pii: 160114","title":"Exploration of pathomechanisms triggered by a single-nucleotide polymorphism in titin's I-band: The cardiomyopathy-linked mutation T2580I","type":"article-journal","volume":"6"},"uris":["http://www.mendeley.com/documents/?uuid=a40e115f-ccdf-39d2-b373-72a5ceeeb72b"]}],"mendeley":{"formattedCitation":"(Bogomolovas et al., 2016)","plainTextFormattedCitation":"(Bogomolovas et al., 2016)","previouslyFormattedCitation":"(Bogomolovas et al., 2016)"},"properties":{"noteIndex":0},"schema":"https://github.com/citation-style-language/schema/raw/master/csl-citation.json"}</w:instrText>
      </w:r>
      <w:r w:rsidR="00F13177" w:rsidRPr="004D6881">
        <w:fldChar w:fldCharType="separate"/>
      </w:r>
      <w:r w:rsidR="00E718DB" w:rsidRPr="00E718DB">
        <w:rPr>
          <w:noProof/>
          <w:color w:val="0432FF"/>
        </w:rPr>
        <w:t>(Bogomolovas et al., 2016)</w:t>
      </w:r>
      <w:r w:rsidR="00F13177" w:rsidRPr="004D6881">
        <w:fldChar w:fldCharType="end"/>
      </w:r>
      <w:r w:rsidRPr="004D6881">
        <w:t>.</w:t>
      </w:r>
    </w:p>
    <w:p w14:paraId="16A8D110" w14:textId="721C7039" w:rsidR="00BA3788" w:rsidRPr="004D6881" w:rsidRDefault="004A3DDF" w:rsidP="00B31AEB">
      <w:pPr>
        <w:pBdr>
          <w:top w:val="nil"/>
          <w:left w:val="nil"/>
          <w:bottom w:val="nil"/>
          <w:right w:val="nil"/>
          <w:between w:val="nil"/>
        </w:pBdr>
        <w:spacing w:line="360" w:lineRule="auto"/>
        <w:jc w:val="center"/>
      </w:pPr>
      <w:r w:rsidRPr="004D6881">
        <w:rPr>
          <w:noProof/>
          <w:lang w:eastAsia="en-GB"/>
        </w:rPr>
        <w:lastRenderedPageBreak/>
        <w:drawing>
          <wp:inline distT="0" distB="0" distL="0" distR="0" wp14:anchorId="0D6BDB0B" wp14:editId="02D0DBD5">
            <wp:extent cx="4343400" cy="386508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b="20354"/>
                    <a:stretch/>
                  </pic:blipFill>
                  <pic:spPr bwMode="auto">
                    <a:xfrm>
                      <a:off x="0" y="0"/>
                      <a:ext cx="4355253" cy="3875627"/>
                    </a:xfrm>
                    <a:prstGeom prst="rect">
                      <a:avLst/>
                    </a:prstGeom>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2820083E" w14:textId="68119D33" w:rsidR="00F935B2" w:rsidRPr="00551659" w:rsidRDefault="00F13177" w:rsidP="00DA07BA">
      <w:pPr>
        <w:jc w:val="both"/>
        <w:rPr>
          <w:sz w:val="22"/>
          <w:szCs w:val="22"/>
        </w:rPr>
      </w:pPr>
      <w:r w:rsidRPr="004D6881">
        <w:rPr>
          <w:b/>
          <w:sz w:val="22"/>
          <w:szCs w:val="22"/>
        </w:rPr>
        <w:t>Fig</w:t>
      </w:r>
      <w:r w:rsidR="00BA3788" w:rsidRPr="004D6881">
        <w:rPr>
          <w:b/>
          <w:sz w:val="22"/>
          <w:szCs w:val="22"/>
        </w:rPr>
        <w:t xml:space="preserve"> </w:t>
      </w:r>
      <w:r w:rsidRPr="004D6881">
        <w:rPr>
          <w:b/>
          <w:sz w:val="22"/>
          <w:szCs w:val="22"/>
        </w:rPr>
        <w:t>1.</w:t>
      </w:r>
      <w:r w:rsidRPr="004D6881">
        <w:rPr>
          <w:sz w:val="22"/>
          <w:szCs w:val="22"/>
        </w:rPr>
        <w:t xml:space="preserve"> </w:t>
      </w:r>
      <w:r w:rsidR="00BA3788" w:rsidRPr="004D6881">
        <w:rPr>
          <w:b/>
          <w:sz w:val="22"/>
          <w:szCs w:val="22"/>
        </w:rPr>
        <w:t>Localisation and environment of the T2850 residue.</w:t>
      </w:r>
      <w:r w:rsidR="00BA3788" w:rsidRPr="004D6881">
        <w:rPr>
          <w:sz w:val="22"/>
          <w:szCs w:val="22"/>
        </w:rPr>
        <w:t xml:space="preserve"> </w:t>
      </w:r>
      <w:r w:rsidR="00BA3788" w:rsidRPr="004D6881">
        <w:rPr>
          <w:b/>
          <w:sz w:val="22"/>
          <w:szCs w:val="22"/>
        </w:rPr>
        <w:t>A</w:t>
      </w:r>
      <w:r w:rsidRPr="004D6881">
        <w:rPr>
          <w:b/>
          <w:sz w:val="22"/>
          <w:szCs w:val="22"/>
        </w:rPr>
        <w:t>.</w:t>
      </w:r>
      <w:r w:rsidRPr="004D6881">
        <w:rPr>
          <w:sz w:val="22"/>
          <w:szCs w:val="22"/>
        </w:rPr>
        <w:t xml:space="preserve"> Cartoon representation of </w:t>
      </w:r>
      <w:r w:rsidR="00BA3788" w:rsidRPr="004D6881">
        <w:rPr>
          <w:sz w:val="22"/>
          <w:szCs w:val="22"/>
        </w:rPr>
        <w:t>I9-I11 tandem</w:t>
      </w:r>
      <w:r w:rsidRPr="004D6881">
        <w:rPr>
          <w:sz w:val="22"/>
          <w:szCs w:val="22"/>
        </w:rPr>
        <w:t xml:space="preserve"> </w:t>
      </w:r>
      <w:r w:rsidR="00BA3788" w:rsidRPr="004D6881">
        <w:rPr>
          <w:sz w:val="22"/>
          <w:szCs w:val="22"/>
        </w:rPr>
        <w:t>(</w:t>
      </w:r>
      <w:r w:rsidR="002C15D8" w:rsidRPr="004D6881">
        <w:rPr>
          <w:sz w:val="22"/>
          <w:szCs w:val="22"/>
        </w:rPr>
        <w:t>5JDD</w:t>
      </w:r>
      <w:r w:rsidR="00BA3788" w:rsidRPr="004D6881">
        <w:rPr>
          <w:sz w:val="22"/>
          <w:szCs w:val="22"/>
        </w:rPr>
        <w:t>)</w:t>
      </w:r>
      <w:r w:rsidRPr="004D6881">
        <w:rPr>
          <w:sz w:val="22"/>
          <w:szCs w:val="22"/>
        </w:rPr>
        <w:t xml:space="preserve"> with </w:t>
      </w:r>
      <w:r w:rsidR="00BA3788" w:rsidRPr="004D6881">
        <w:rPr>
          <w:sz w:val="22"/>
          <w:szCs w:val="22"/>
        </w:rPr>
        <w:t xml:space="preserve">a </w:t>
      </w:r>
      <w:r w:rsidRPr="004D6881">
        <w:rPr>
          <w:sz w:val="22"/>
          <w:szCs w:val="22"/>
        </w:rPr>
        <w:t xml:space="preserve">molecular surface representation. T2850 </w:t>
      </w:r>
      <w:r w:rsidR="006B335A" w:rsidRPr="004D6881">
        <w:rPr>
          <w:sz w:val="22"/>
          <w:szCs w:val="22"/>
        </w:rPr>
        <w:t xml:space="preserve">is </w:t>
      </w:r>
      <w:r w:rsidRPr="004D6881">
        <w:rPr>
          <w:sz w:val="22"/>
          <w:szCs w:val="22"/>
        </w:rPr>
        <w:t xml:space="preserve">shown as </w:t>
      </w:r>
      <w:r w:rsidR="004A3DDF" w:rsidRPr="004D6881">
        <w:rPr>
          <w:sz w:val="22"/>
          <w:szCs w:val="22"/>
        </w:rPr>
        <w:t>red</w:t>
      </w:r>
      <w:r w:rsidRPr="004D6881">
        <w:rPr>
          <w:sz w:val="22"/>
          <w:szCs w:val="22"/>
        </w:rPr>
        <w:t xml:space="preserve"> sphere.</w:t>
      </w:r>
      <w:r w:rsidR="002C15D8" w:rsidRPr="004D6881">
        <w:rPr>
          <w:sz w:val="22"/>
          <w:szCs w:val="22"/>
        </w:rPr>
        <w:t xml:space="preserve"> </w:t>
      </w:r>
      <w:r w:rsidRPr="004D6881">
        <w:rPr>
          <w:b/>
          <w:sz w:val="22"/>
          <w:szCs w:val="22"/>
        </w:rPr>
        <w:t>B.</w:t>
      </w:r>
      <w:r w:rsidRPr="004D6881">
        <w:rPr>
          <w:sz w:val="22"/>
          <w:szCs w:val="22"/>
        </w:rPr>
        <w:t xml:space="preserve"> </w:t>
      </w:r>
      <w:r w:rsidR="00BA3788" w:rsidRPr="004D6881">
        <w:rPr>
          <w:sz w:val="22"/>
          <w:szCs w:val="22"/>
        </w:rPr>
        <w:t>S</w:t>
      </w:r>
      <w:r w:rsidRPr="004D6881">
        <w:rPr>
          <w:sz w:val="22"/>
          <w:szCs w:val="22"/>
        </w:rPr>
        <w:t>chematic of chain</w:t>
      </w:r>
      <w:r w:rsidR="00BA3788" w:rsidRPr="004D6881">
        <w:rPr>
          <w:sz w:val="22"/>
          <w:szCs w:val="22"/>
        </w:rPr>
        <w:t>s shown in the same orientation as A.</w:t>
      </w:r>
      <w:r w:rsidR="003C54E4">
        <w:rPr>
          <w:sz w:val="22"/>
          <w:szCs w:val="22"/>
        </w:rPr>
        <w:t>, where</w:t>
      </w:r>
      <w:r w:rsidRPr="004D6881">
        <w:rPr>
          <w:sz w:val="22"/>
          <w:szCs w:val="22"/>
        </w:rPr>
        <w:t xml:space="preserve"> </w:t>
      </w:r>
      <w:proofErr w:type="spellStart"/>
      <w:r w:rsidRPr="004D6881">
        <w:rPr>
          <w:sz w:val="22"/>
          <w:szCs w:val="22"/>
        </w:rPr>
        <w:t>Igs</w:t>
      </w:r>
      <w:proofErr w:type="spellEnd"/>
      <w:r w:rsidRPr="004D6881">
        <w:rPr>
          <w:sz w:val="22"/>
          <w:szCs w:val="22"/>
        </w:rPr>
        <w:t xml:space="preserve"> </w:t>
      </w:r>
      <w:r w:rsidR="003C54E4">
        <w:rPr>
          <w:sz w:val="22"/>
          <w:szCs w:val="22"/>
        </w:rPr>
        <w:t xml:space="preserve">are </w:t>
      </w:r>
      <w:r w:rsidRPr="004D6881">
        <w:rPr>
          <w:sz w:val="22"/>
          <w:szCs w:val="22"/>
        </w:rPr>
        <w:t>shown as cylinders</w:t>
      </w:r>
      <w:r w:rsidR="003C54E4">
        <w:rPr>
          <w:sz w:val="22"/>
          <w:szCs w:val="22"/>
        </w:rPr>
        <w:t xml:space="preserve"> and the</w:t>
      </w:r>
      <w:r w:rsidRPr="004D6881">
        <w:rPr>
          <w:sz w:val="22"/>
          <w:szCs w:val="22"/>
        </w:rPr>
        <w:t xml:space="preserve"> CD loop </w:t>
      </w:r>
      <w:r w:rsidR="003C54E4">
        <w:rPr>
          <w:sz w:val="22"/>
          <w:szCs w:val="22"/>
        </w:rPr>
        <w:t xml:space="preserve">is </w:t>
      </w:r>
      <w:r w:rsidRPr="004D6881">
        <w:rPr>
          <w:sz w:val="22"/>
          <w:szCs w:val="22"/>
        </w:rPr>
        <w:t>indicated by disks.</w:t>
      </w:r>
      <w:r w:rsidR="00BA3788" w:rsidRPr="004D6881">
        <w:rPr>
          <w:sz w:val="22"/>
          <w:szCs w:val="22"/>
        </w:rPr>
        <w:t xml:space="preserve"> </w:t>
      </w:r>
      <w:r w:rsidR="003C54E4" w:rsidRPr="00551659">
        <w:rPr>
          <w:sz w:val="22"/>
          <w:szCs w:val="22"/>
          <w:highlight w:val="yellow"/>
        </w:rPr>
        <w:t xml:space="preserve">This representation offers a simple visualization </w:t>
      </w:r>
      <w:r w:rsidR="003C54E4" w:rsidRPr="00136206">
        <w:rPr>
          <w:sz w:val="22"/>
          <w:szCs w:val="22"/>
          <w:highlight w:val="yellow"/>
        </w:rPr>
        <w:t>of the mutual rotation of Ig domains in the tandem.</w:t>
      </w:r>
      <w:r w:rsidR="003C54E4">
        <w:rPr>
          <w:sz w:val="22"/>
          <w:szCs w:val="22"/>
        </w:rPr>
        <w:t xml:space="preserve"> </w:t>
      </w:r>
      <w:r w:rsidR="00BA3788" w:rsidRPr="004D6881">
        <w:rPr>
          <w:b/>
          <w:sz w:val="22"/>
          <w:szCs w:val="22"/>
        </w:rPr>
        <w:t>C</w:t>
      </w:r>
      <w:r w:rsidR="00BA3788" w:rsidRPr="004D6881">
        <w:rPr>
          <w:sz w:val="22"/>
          <w:szCs w:val="22"/>
        </w:rPr>
        <w:t>. Residues involved in the I10</w:t>
      </w:r>
      <w:r w:rsidR="000166A0" w:rsidRPr="004D6881">
        <w:rPr>
          <w:sz w:val="22"/>
          <w:szCs w:val="22"/>
        </w:rPr>
        <w:t>-</w:t>
      </w:r>
      <w:r w:rsidR="00BA3788" w:rsidRPr="004D6881">
        <w:rPr>
          <w:sz w:val="22"/>
          <w:szCs w:val="22"/>
        </w:rPr>
        <w:t>I11 interface shown as sticks on a transparent cartoon representation of I10 and I11. Hydrogen bonds as black dotted lines. Atoms coloured by type: O, red; N, blue; C</w:t>
      </w:r>
      <w:r w:rsidR="00F935B2" w:rsidRPr="004D6881">
        <w:rPr>
          <w:sz w:val="22"/>
          <w:szCs w:val="22"/>
        </w:rPr>
        <w:t>,</w:t>
      </w:r>
      <w:r w:rsidR="00BA3788" w:rsidRPr="004D6881">
        <w:rPr>
          <w:sz w:val="22"/>
          <w:szCs w:val="22"/>
        </w:rPr>
        <w:t xml:space="preserve"> grey except for T2850 C</w:t>
      </w:r>
      <w:r w:rsidR="00F935B2" w:rsidRPr="004D6881">
        <w:rPr>
          <w:sz w:val="22"/>
          <w:szCs w:val="22"/>
        </w:rPr>
        <w:t>,</w:t>
      </w:r>
      <w:r w:rsidR="00BA3788" w:rsidRPr="004D6881">
        <w:rPr>
          <w:sz w:val="22"/>
          <w:szCs w:val="22"/>
        </w:rPr>
        <w:t xml:space="preserve"> which are shown in yellow. </w:t>
      </w:r>
      <w:r w:rsidR="004A3DDF" w:rsidRPr="004D6881">
        <w:rPr>
          <w:b/>
          <w:sz w:val="22"/>
          <w:szCs w:val="22"/>
        </w:rPr>
        <w:t>D.</w:t>
      </w:r>
      <w:r w:rsidR="004F3B81" w:rsidRPr="004D6881">
        <w:rPr>
          <w:b/>
          <w:sz w:val="22"/>
          <w:szCs w:val="22"/>
        </w:rPr>
        <w:t xml:space="preserve"> </w:t>
      </w:r>
      <w:r w:rsidR="00F935B2" w:rsidRPr="004D6881">
        <w:rPr>
          <w:sz w:val="22"/>
          <w:szCs w:val="22"/>
        </w:rPr>
        <w:t>DIMPLOT</w:t>
      </w:r>
      <w:r w:rsidR="004F3B81" w:rsidRPr="004D6881">
        <w:rPr>
          <w:sz w:val="22"/>
          <w:szCs w:val="22"/>
        </w:rPr>
        <w:t xml:space="preserve"> diagram of the I10-I11 interface. Atoms coloured by type</w:t>
      </w:r>
      <w:r w:rsidR="003C54E4">
        <w:rPr>
          <w:sz w:val="22"/>
          <w:szCs w:val="22"/>
        </w:rPr>
        <w:t xml:space="preserve"> </w:t>
      </w:r>
      <w:r w:rsidR="003C54E4" w:rsidRPr="00551659">
        <w:rPr>
          <w:sz w:val="22"/>
          <w:szCs w:val="22"/>
          <w:highlight w:val="yellow"/>
        </w:rPr>
        <w:t>as before, but</w:t>
      </w:r>
      <w:r w:rsidR="004F3B81" w:rsidRPr="00551659">
        <w:rPr>
          <w:sz w:val="22"/>
          <w:szCs w:val="22"/>
          <w:highlight w:val="yellow"/>
        </w:rPr>
        <w:t xml:space="preserve"> where </w:t>
      </w:r>
      <w:r w:rsidR="003C54E4" w:rsidRPr="00551659">
        <w:rPr>
          <w:sz w:val="22"/>
          <w:szCs w:val="22"/>
          <w:highlight w:val="yellow"/>
        </w:rPr>
        <w:t>carbon atoms of residues in</w:t>
      </w:r>
      <w:r w:rsidR="003C54E4">
        <w:rPr>
          <w:sz w:val="22"/>
          <w:szCs w:val="22"/>
        </w:rPr>
        <w:t xml:space="preserve"> </w:t>
      </w:r>
      <w:r w:rsidR="004F3B81" w:rsidRPr="004D6881">
        <w:rPr>
          <w:sz w:val="22"/>
          <w:szCs w:val="22"/>
        </w:rPr>
        <w:t>I10 are brown and I11 pink. Hydrogen bonds as green dotted lines. Hydrophobic interactions shown as</w:t>
      </w:r>
      <w:r w:rsidR="00F935B2" w:rsidRPr="004D6881">
        <w:rPr>
          <w:sz w:val="22"/>
          <w:szCs w:val="22"/>
        </w:rPr>
        <w:t xml:space="preserve"> </w:t>
      </w:r>
      <w:r w:rsidR="00F935B2" w:rsidRPr="004D6881">
        <w:rPr>
          <w:szCs w:val="22"/>
        </w:rPr>
        <w:t>r</w:t>
      </w:r>
      <w:r w:rsidR="00F935B2" w:rsidRPr="004D6881">
        <w:rPr>
          <w:color w:val="333333"/>
          <w:sz w:val="22"/>
          <w:szCs w:val="21"/>
          <w:shd w:val="clear" w:color="auto" w:fill="FFFFFF"/>
        </w:rPr>
        <w:t xml:space="preserve">ed (I10) and pink (I11) semicircles with radiating spokes. </w:t>
      </w:r>
      <w:r w:rsidR="009A2C8A" w:rsidRPr="004D6881">
        <w:rPr>
          <w:color w:val="333333"/>
          <w:sz w:val="22"/>
          <w:szCs w:val="21"/>
          <w:shd w:val="clear" w:color="auto" w:fill="FFFFFF"/>
        </w:rPr>
        <w:t>Bold</w:t>
      </w:r>
      <w:r w:rsidR="00F935B2" w:rsidRPr="004D6881">
        <w:rPr>
          <w:color w:val="333333"/>
          <w:sz w:val="22"/>
          <w:szCs w:val="21"/>
          <w:shd w:val="clear" w:color="auto" w:fill="FFFFFF"/>
        </w:rPr>
        <w:t xml:space="preserve"> residues correspond to those mention</w:t>
      </w:r>
      <w:r w:rsidR="0033437B" w:rsidRPr="004D6881">
        <w:rPr>
          <w:color w:val="333333"/>
          <w:sz w:val="22"/>
          <w:szCs w:val="21"/>
          <w:shd w:val="clear" w:color="auto" w:fill="FFFFFF"/>
        </w:rPr>
        <w:t>ed</w:t>
      </w:r>
      <w:r w:rsidR="00F935B2" w:rsidRPr="004D6881">
        <w:rPr>
          <w:color w:val="333333"/>
          <w:sz w:val="22"/>
          <w:szCs w:val="21"/>
          <w:shd w:val="clear" w:color="auto" w:fill="FFFFFF"/>
        </w:rPr>
        <w:t xml:space="preserve"> in </w:t>
      </w:r>
      <w:r w:rsidR="00F935B2" w:rsidRPr="008000E1">
        <w:rPr>
          <w:color w:val="000000" w:themeColor="text1"/>
          <w:sz w:val="22"/>
          <w:szCs w:val="21"/>
          <w:shd w:val="clear" w:color="auto" w:fill="FFFFFF"/>
        </w:rPr>
        <w:t xml:space="preserve">Fig 1C </w:t>
      </w:r>
      <w:r w:rsidR="00F935B2" w:rsidRPr="004D6881">
        <w:rPr>
          <w:color w:val="333333"/>
          <w:sz w:val="22"/>
          <w:szCs w:val="21"/>
          <w:shd w:val="clear" w:color="auto" w:fill="FFFFFF"/>
        </w:rPr>
        <w:t xml:space="preserve">and </w:t>
      </w:r>
      <w:r w:rsidR="009A2C8A" w:rsidRPr="004D6881">
        <w:rPr>
          <w:color w:val="333333"/>
          <w:sz w:val="22"/>
          <w:szCs w:val="21"/>
          <w:shd w:val="clear" w:color="auto" w:fill="FFFFFF"/>
        </w:rPr>
        <w:t>underlined</w:t>
      </w:r>
      <w:r w:rsidR="00F935B2" w:rsidRPr="004D6881">
        <w:rPr>
          <w:color w:val="333333"/>
          <w:sz w:val="22"/>
          <w:szCs w:val="21"/>
          <w:shd w:val="clear" w:color="auto" w:fill="FFFFFF"/>
        </w:rPr>
        <w:t xml:space="preserve"> residues correspond to those also found in </w:t>
      </w:r>
      <w:r w:rsidR="00F935B2" w:rsidRPr="008000E1">
        <w:rPr>
          <w:color w:val="000000" w:themeColor="text1"/>
          <w:sz w:val="22"/>
          <w:szCs w:val="21"/>
          <w:shd w:val="clear" w:color="auto" w:fill="FFFFFF"/>
        </w:rPr>
        <w:t>Fig 3C</w:t>
      </w:r>
      <w:r w:rsidR="00F935B2" w:rsidRPr="004D6881">
        <w:rPr>
          <w:color w:val="333333"/>
          <w:sz w:val="22"/>
          <w:szCs w:val="21"/>
          <w:shd w:val="clear" w:color="auto" w:fill="FFFFFF"/>
        </w:rPr>
        <w:t>.</w:t>
      </w:r>
    </w:p>
    <w:p w14:paraId="03F5F64C" w14:textId="0759F3F3" w:rsidR="004A3DDF" w:rsidRPr="004D6881" w:rsidRDefault="004F3B81" w:rsidP="004A3DDF">
      <w:pPr>
        <w:pBdr>
          <w:top w:val="nil"/>
          <w:left w:val="nil"/>
          <w:bottom w:val="nil"/>
          <w:right w:val="nil"/>
          <w:between w:val="nil"/>
        </w:pBdr>
        <w:jc w:val="both"/>
      </w:pPr>
      <w:r w:rsidRPr="004D6881">
        <w:rPr>
          <w:sz w:val="22"/>
          <w:szCs w:val="22"/>
        </w:rPr>
        <w:t xml:space="preserve"> </w:t>
      </w:r>
    </w:p>
    <w:p w14:paraId="465153DE" w14:textId="3131E36F" w:rsidR="008F6A31" w:rsidRPr="004D6881" w:rsidRDefault="00B31AEB" w:rsidP="00BA3788">
      <w:pPr>
        <w:pBdr>
          <w:top w:val="nil"/>
          <w:left w:val="nil"/>
          <w:bottom w:val="nil"/>
          <w:right w:val="nil"/>
          <w:between w:val="nil"/>
        </w:pBdr>
        <w:spacing w:line="360" w:lineRule="auto"/>
        <w:jc w:val="both"/>
      </w:pPr>
      <w:r w:rsidRPr="004D6881">
        <w:t xml:space="preserve">The </w:t>
      </w:r>
      <w:r w:rsidR="0033437B" w:rsidRPr="004D6881">
        <w:t xml:space="preserve">linked I10 and I11 </w:t>
      </w:r>
      <w:r w:rsidRPr="004D6881">
        <w:t xml:space="preserve">domains make multiple contacts, with </w:t>
      </w:r>
      <w:r w:rsidR="0033437B" w:rsidRPr="004D6881">
        <w:t xml:space="preserve">six residues from I10 and </w:t>
      </w:r>
      <w:r w:rsidRPr="004D6881">
        <w:t xml:space="preserve">nine </w:t>
      </w:r>
      <w:r w:rsidR="0033437B" w:rsidRPr="004D6881">
        <w:t xml:space="preserve">from I11 </w:t>
      </w:r>
      <w:r w:rsidR="00947388" w:rsidRPr="004D6881">
        <w:t>forming</w:t>
      </w:r>
      <w:r w:rsidR="0033437B" w:rsidRPr="004D6881">
        <w:t xml:space="preserve"> the contact interface</w:t>
      </w:r>
      <w:r w:rsidR="00947388" w:rsidRPr="004D6881">
        <w:t xml:space="preserve"> (</w:t>
      </w:r>
      <w:r w:rsidR="00947388" w:rsidRPr="008000E1">
        <w:rPr>
          <w:color w:val="000000" w:themeColor="text1"/>
        </w:rPr>
        <w:t>Fig1D</w:t>
      </w:r>
      <w:r w:rsidR="00947388" w:rsidRPr="004D6881">
        <w:t>)</w:t>
      </w:r>
      <w:r w:rsidRPr="004D6881">
        <w:t xml:space="preserve">. </w:t>
      </w:r>
      <w:r w:rsidR="0079074D" w:rsidRPr="004D6881">
        <w:t xml:space="preserve">Four hydrogen bonds between the two domains stabilise the interface: T2850’s hydroxyl to the backbone of S2952, K2851 lateral amino group to E2949’s backbone carbonyl and E2849 sidechain </w:t>
      </w:r>
      <w:proofErr w:type="spellStart"/>
      <w:r w:rsidR="0079074D" w:rsidRPr="004D6881">
        <w:t>Oε</w:t>
      </w:r>
      <w:proofErr w:type="spellEnd"/>
      <w:r w:rsidR="0079074D" w:rsidRPr="004D6881">
        <w:t xml:space="preserve"> with K2998 and I2923’s backbone amino groups. </w:t>
      </w:r>
      <w:r w:rsidR="003440C9" w:rsidRPr="004D6881">
        <w:t xml:space="preserve">The stacking of Y2948 upon P2849 is the major hydrophobic interaction contributing to the interface formation. </w:t>
      </w:r>
      <w:r w:rsidR="002E2457" w:rsidRPr="004D6881">
        <w:t xml:space="preserve">Within this tight interface, T2850 is positioned in the </w:t>
      </w:r>
      <w:r w:rsidR="002E2457" w:rsidRPr="00551659">
        <w:rPr>
          <w:i/>
        </w:rPr>
        <w:t>i</w:t>
      </w:r>
      <w:r w:rsidR="002E2457" w:rsidRPr="004D6881">
        <w:t xml:space="preserve">+2 location in a type </w:t>
      </w:r>
      <w:r w:rsidR="00672454" w:rsidRPr="004D6881">
        <w:t>II β-</w:t>
      </w:r>
      <w:r w:rsidR="002E2457" w:rsidRPr="004D6881">
        <w:t xml:space="preserve">turn between </w:t>
      </w:r>
      <w:r w:rsidR="00672454" w:rsidRPr="004D6881">
        <w:t xml:space="preserve">β-stands </w:t>
      </w:r>
      <w:r w:rsidR="002E2457" w:rsidRPr="004D6881">
        <w:t>A’ and B of I10. It</w:t>
      </w:r>
      <w:r w:rsidR="00672454" w:rsidRPr="004D6881">
        <w:t>s lateral hydroxyl group form</w:t>
      </w:r>
      <w:r w:rsidR="004A779F" w:rsidRPr="004D6881">
        <w:t>s</w:t>
      </w:r>
      <w:r w:rsidR="002E2457" w:rsidRPr="004D6881">
        <w:t xml:space="preserve"> hydrogen bonds </w:t>
      </w:r>
      <w:r w:rsidR="00672454" w:rsidRPr="004D6881">
        <w:t>with</w:t>
      </w:r>
      <w:r w:rsidR="002E2457" w:rsidRPr="004D6881">
        <w:t xml:space="preserve"> </w:t>
      </w:r>
      <w:r w:rsidR="00592E56" w:rsidRPr="004D6881">
        <w:t>(</w:t>
      </w:r>
      <w:proofErr w:type="spellStart"/>
      <w:r w:rsidR="00592E56" w:rsidRPr="00551659">
        <w:rPr>
          <w:i/>
        </w:rPr>
        <w:t>i</w:t>
      </w:r>
      <w:proofErr w:type="spellEnd"/>
      <w:r w:rsidR="00592E56" w:rsidRPr="004D6881">
        <w:t xml:space="preserve">) </w:t>
      </w:r>
      <w:r w:rsidR="00672454" w:rsidRPr="004D6881">
        <w:t xml:space="preserve">the </w:t>
      </w:r>
      <w:r w:rsidR="002E2457" w:rsidRPr="004D6881">
        <w:t xml:space="preserve">E2849 </w:t>
      </w:r>
      <w:r w:rsidR="00672454" w:rsidRPr="004D6881">
        <w:t xml:space="preserve">main chain </w:t>
      </w:r>
      <w:r w:rsidR="002E2457" w:rsidRPr="004D6881">
        <w:t xml:space="preserve">carbonyl </w:t>
      </w:r>
      <w:r w:rsidR="004A779F" w:rsidRPr="004D6881">
        <w:t>group</w:t>
      </w:r>
      <w:r w:rsidR="00592E56" w:rsidRPr="004D6881">
        <w:t>, thereby</w:t>
      </w:r>
      <w:r w:rsidR="002E2457" w:rsidRPr="004D6881">
        <w:t xml:space="preserve"> stabilising the turn</w:t>
      </w:r>
      <w:r w:rsidR="00592E56" w:rsidRPr="004D6881">
        <w:t>; and (</w:t>
      </w:r>
      <w:r w:rsidR="00592E56" w:rsidRPr="00551659">
        <w:rPr>
          <w:i/>
        </w:rPr>
        <w:t>ii</w:t>
      </w:r>
      <w:r w:rsidR="00592E56" w:rsidRPr="004D6881">
        <w:t>)</w:t>
      </w:r>
      <w:r w:rsidR="002E2457" w:rsidRPr="004D6881">
        <w:t xml:space="preserve"> </w:t>
      </w:r>
      <w:r w:rsidR="00672454" w:rsidRPr="004D6881">
        <w:t xml:space="preserve">the main chain amino group of </w:t>
      </w:r>
      <w:r w:rsidR="002E2457" w:rsidRPr="004D6881">
        <w:t>S2952 from the I11 domain</w:t>
      </w:r>
      <w:r w:rsidR="00592E56" w:rsidRPr="004D6881">
        <w:t>, thus</w:t>
      </w:r>
      <w:r w:rsidR="00672454" w:rsidRPr="004D6881">
        <w:t xml:space="preserve"> </w:t>
      </w:r>
      <w:r w:rsidR="00851353" w:rsidRPr="004D6881">
        <w:t>co</w:t>
      </w:r>
      <w:r w:rsidR="00F935B2" w:rsidRPr="004D6881">
        <w:t>-</w:t>
      </w:r>
      <w:r w:rsidR="00851353" w:rsidRPr="004D6881">
        <w:t>defining</w:t>
      </w:r>
      <w:r w:rsidR="00672454" w:rsidRPr="004D6881">
        <w:t xml:space="preserve"> the domain interface</w:t>
      </w:r>
      <w:r w:rsidR="00BA3788" w:rsidRPr="004D6881">
        <w:t xml:space="preserve"> (</w:t>
      </w:r>
      <w:r w:rsidR="00BA3788" w:rsidRPr="008000E1">
        <w:rPr>
          <w:color w:val="000000" w:themeColor="text1"/>
        </w:rPr>
        <w:t>F</w:t>
      </w:r>
      <w:r w:rsidR="000042C2" w:rsidRPr="008000E1">
        <w:rPr>
          <w:color w:val="000000" w:themeColor="text1"/>
        </w:rPr>
        <w:t>ig</w:t>
      </w:r>
      <w:r w:rsidR="00BA3788" w:rsidRPr="008000E1">
        <w:rPr>
          <w:color w:val="000000" w:themeColor="text1"/>
        </w:rPr>
        <w:t xml:space="preserve"> 1</w:t>
      </w:r>
      <w:r w:rsidR="004F3B81" w:rsidRPr="008000E1">
        <w:rPr>
          <w:color w:val="000000" w:themeColor="text1"/>
        </w:rPr>
        <w:t xml:space="preserve"> C and </w:t>
      </w:r>
      <w:r w:rsidR="00BA3788" w:rsidRPr="008000E1">
        <w:rPr>
          <w:color w:val="000000" w:themeColor="text1"/>
        </w:rPr>
        <w:t>D</w:t>
      </w:r>
      <w:r w:rsidR="00BA3788" w:rsidRPr="004D6881">
        <w:t>).</w:t>
      </w:r>
      <w:r w:rsidR="002E2457" w:rsidRPr="004D6881">
        <w:t xml:space="preserve"> Due to th</w:t>
      </w:r>
      <w:r w:rsidR="00592E56" w:rsidRPr="004D6881">
        <w:t>ese interactions,</w:t>
      </w:r>
      <w:r w:rsidR="002E2457" w:rsidRPr="004D6881">
        <w:t xml:space="preserve"> the φ and ψ angles of T2850 are slightly strained, sitting within the allowed but unfavourable region of the </w:t>
      </w:r>
      <w:r w:rsidR="00504046" w:rsidRPr="004D6881">
        <w:t>R</w:t>
      </w:r>
      <w:r w:rsidR="002E2457" w:rsidRPr="004D6881">
        <w:t>amachandran plot</w:t>
      </w:r>
      <w:r w:rsidR="00BA3788" w:rsidRPr="004D6881">
        <w:t xml:space="preserve"> </w:t>
      </w:r>
      <w:r w:rsidR="00BA3788" w:rsidRPr="004D6881">
        <w:lastRenderedPageBreak/>
        <w:fldChar w:fldCharType="begin" w:fldLock="1"/>
      </w:r>
      <w:r w:rsidR="00E718DB">
        <w:instrText>ADDIN CSL_CITATION {"citationItems":[{"id":"ITEM-1","itemData":{"DOI":"10.1098/rsob.160114","ISSN":"20462441","abstract":"Missense single-nucleotide polymorphisms (mSNPs) in titin are emerging as a main causative factor of heart failure. However, distinguishing between benign and disease-causing mSNPs is a substantial challenge. Here, we research the question of whether a single mSNP in a generic domain of titin can affect heart function as a whole and, if so, how. For this, we studied the mSNP T2850I, seemingly linked to arrhythmogenic right ventricular cardiomyopathy (ARVC). We used structural biology, computational simulations and transgenic muscle in vivo methods to track the effect of the mutation from the molecular to the organismal level. The data show that the T2850I exchange is compatible with the domain three-dimensional fold, but that it strongly destabilizes it. Further, it induces a change in the conformational dynamics of the titin chain that alters its reactivity, causing the formation of aberrant interactions in the sarcomere. Echocardiography of knock-in mice indicated a mild diastolic dysfunction arising from increased myocardial stiffness. In conclusion, our data provide evidence that single mSNPs in titin's I-band can alter overall muscle behaviour. Our suggested mechanisms of disease are the development of non-native sarcomeric interactions and titin instability leading to a reduced I-band compliance. However, understanding the T2850I-induced ARVC pathology mechanistically remains a complex problem and will require a deeper understanding of the sarcomeric context of the titin region affected.","author":[{"dropping-particle":"","family":"Bogomolovas","given":"Julius","non-dropping-particle":"","parse-names":false,"suffix":""},{"dropping-particle":"","family":"Fleming","given":"Jennifer R.","non-dropping-particle":"","parse-names":false,"suffix":""},{"dropping-particle":"","family":"Anderson","given":"Brian R.","non-dropping-particle":"","parse-names":false,"suffix":""},{"dropping-particle":"","family":"Williams","given":"Rhys","non-dropping-particle":"","parse-names":false,"suffix":""},{"dropping-particle":"","family":"Lange","given":"Stephan","non-dropping-particle":"","parse-names":false,"suffix":""},{"dropping-particle":"","family":"Simon","given":"Bernd","non-dropping-particle":"","parse-names":false,"suffix":""},{"dropping-particle":"","family":"Khan","given":"Muzamil M.","non-dropping-particle":"","parse-names":false,"suffix":""},{"dropping-particle":"","family":"Rudolf","given":"Rüdiger","non-dropping-particle":"","parse-names":false,"suffix":""},{"dropping-particle":"","family":"Franke","given":"Barbara","non-dropping-particle":"","parse-names":false,"suffix":""},{"dropping-particle":"","family":"Bullard","given":"Belinda","non-dropping-particle":"","parse-names":false,"suffix":""},{"dropping-particle":"","family":"Rigden","given":"Daniel J.","non-dropping-particle":"","parse-names":false,"suffix":""},{"dropping-particle":"","family":"Granzier","given":"Henk","non-dropping-particle":"","parse-names":false,"suffix":""},{"dropping-particle":"","family":"Labeit","given":"Siegfried","non-dropping-particle":"","parse-names":false,"suffix":""},{"dropping-particle":"","family":"Mayans","given":"Olga","non-dropping-particle":"","parse-names":false,"suffix":""}],"container-title":"Open Biology","id":"ITEM-1","issue":"9","issued":{"date-parts":[["2016"]]},"page":"pii: 160114","title":"Exploration of pathomechanisms triggered by a single-nucleotide polymorphism in titin's I-band: The cardiomyopathy-linked mutation T2580I","type":"article-journal","volume":"6"},"uris":["http://www.mendeley.com/documents/?uuid=a40e115f-ccdf-39d2-b373-72a5ceeeb72b"]}],"mendeley":{"formattedCitation":"(Bogomolovas et al., 2016)","plainTextFormattedCitation":"(Bogomolovas et al., 2016)","previouslyFormattedCitation":"(Bogomolovas et al., 2016)"},"properties":{"noteIndex":0},"schema":"https://github.com/citation-style-language/schema/raw/master/csl-citation.json"}</w:instrText>
      </w:r>
      <w:r w:rsidR="00BA3788" w:rsidRPr="004D6881">
        <w:fldChar w:fldCharType="separate"/>
      </w:r>
      <w:r w:rsidR="00E718DB" w:rsidRPr="00E718DB">
        <w:rPr>
          <w:noProof/>
          <w:color w:val="0432FF"/>
        </w:rPr>
        <w:t>(Bogomolovas et al., 2016)</w:t>
      </w:r>
      <w:r w:rsidR="00BA3788" w:rsidRPr="004D6881">
        <w:fldChar w:fldCharType="end"/>
      </w:r>
      <w:r w:rsidR="002E2457" w:rsidRPr="004D6881">
        <w:t xml:space="preserve">. In addition to I10, domains </w:t>
      </w:r>
      <w:r w:rsidR="00C64DFC" w:rsidRPr="004D6881">
        <w:t>I</w:t>
      </w:r>
      <w:r w:rsidR="002E2457" w:rsidRPr="004D6881">
        <w:t xml:space="preserve">6, </w:t>
      </w:r>
      <w:r w:rsidR="00C64DFC" w:rsidRPr="004D6881">
        <w:t>I</w:t>
      </w:r>
      <w:r w:rsidR="002E2457" w:rsidRPr="004D6881">
        <w:t xml:space="preserve">8, I95 and I99 from the </w:t>
      </w:r>
      <w:r w:rsidR="005F53BB" w:rsidRPr="004D6881">
        <w:t xml:space="preserve">proximal and distal </w:t>
      </w:r>
      <w:r w:rsidR="002E2457" w:rsidRPr="004D6881">
        <w:t xml:space="preserve">constitutive I-band tandems of titin also contain threonine in position </w:t>
      </w:r>
      <w:r w:rsidR="002E2457" w:rsidRPr="00551659">
        <w:rPr>
          <w:i/>
        </w:rPr>
        <w:t>i</w:t>
      </w:r>
      <w:r w:rsidR="002E2457" w:rsidRPr="004D6881">
        <w:t>+2 of the</w:t>
      </w:r>
      <w:r w:rsidR="00947388" w:rsidRPr="004D6881">
        <w:t>ir</w:t>
      </w:r>
      <w:r w:rsidR="002E2457" w:rsidRPr="004D6881">
        <w:t xml:space="preserve"> β-turn A’B.</w:t>
      </w:r>
      <w:r w:rsidR="00947388" w:rsidRPr="004D6881">
        <w:t xml:space="preserve"> </w:t>
      </w:r>
    </w:p>
    <w:p w14:paraId="7EF1E323" w14:textId="0C9579F0" w:rsidR="002E2457" w:rsidRPr="004D6881" w:rsidRDefault="002E2457" w:rsidP="00BA3788">
      <w:pPr>
        <w:pBdr>
          <w:top w:val="nil"/>
          <w:left w:val="nil"/>
          <w:bottom w:val="nil"/>
          <w:right w:val="nil"/>
          <w:between w:val="nil"/>
        </w:pBdr>
        <w:spacing w:line="360" w:lineRule="auto"/>
        <w:jc w:val="both"/>
      </w:pPr>
      <w:r w:rsidRPr="004D6881">
        <w:br/>
      </w:r>
      <w:r w:rsidR="00CF7746" w:rsidRPr="004D6881">
        <w:rPr>
          <w:b/>
        </w:rPr>
        <w:t>Classifying</w:t>
      </w:r>
      <w:r w:rsidRPr="004D6881">
        <w:rPr>
          <w:b/>
        </w:rPr>
        <w:t xml:space="preserve"> inter-domain movement</w:t>
      </w:r>
      <w:r w:rsidR="00CF7746" w:rsidRPr="004D6881">
        <w:rPr>
          <w:b/>
        </w:rPr>
        <w:t>s</w:t>
      </w:r>
      <w:r w:rsidRPr="004D6881">
        <w:rPr>
          <w:b/>
        </w:rPr>
        <w:t xml:space="preserve"> between wildtype and T</w:t>
      </w:r>
      <w:r w:rsidR="009248C1" w:rsidRPr="004D6881">
        <w:rPr>
          <w:b/>
        </w:rPr>
        <w:t>2850</w:t>
      </w:r>
      <w:r w:rsidRPr="004D6881">
        <w:rPr>
          <w:b/>
        </w:rPr>
        <w:t>-to-X trajectories.</w:t>
      </w:r>
    </w:p>
    <w:p w14:paraId="481D3DA8" w14:textId="77777777" w:rsidR="000B001C" w:rsidRPr="004D6881" w:rsidRDefault="000B001C" w:rsidP="00BA3788">
      <w:pPr>
        <w:pBdr>
          <w:top w:val="nil"/>
          <w:left w:val="nil"/>
          <w:bottom w:val="nil"/>
          <w:right w:val="nil"/>
          <w:between w:val="nil"/>
        </w:pBdr>
        <w:spacing w:line="360" w:lineRule="auto"/>
        <w:jc w:val="both"/>
        <w:rPr>
          <w:color w:val="808080" w:themeColor="background1" w:themeShade="80"/>
        </w:rPr>
      </w:pPr>
    </w:p>
    <w:p w14:paraId="14214DDC" w14:textId="03C67BD9" w:rsidR="00F13177" w:rsidRPr="004D6881" w:rsidRDefault="000B001C" w:rsidP="00C924F4">
      <w:pPr>
        <w:pBdr>
          <w:top w:val="nil"/>
          <w:left w:val="nil"/>
          <w:bottom w:val="nil"/>
          <w:right w:val="nil"/>
          <w:between w:val="nil"/>
        </w:pBdr>
        <w:spacing w:line="360" w:lineRule="auto"/>
        <w:jc w:val="both"/>
        <w:rPr>
          <w:color w:val="000000" w:themeColor="text1"/>
        </w:rPr>
      </w:pPr>
      <w:r w:rsidRPr="004E5AC1">
        <w:rPr>
          <w:color w:val="000000" w:themeColor="text1"/>
          <w:highlight w:val="yellow"/>
        </w:rPr>
        <w:t xml:space="preserve">To </w:t>
      </w:r>
      <w:r w:rsidR="00D53F17">
        <w:rPr>
          <w:color w:val="000000" w:themeColor="text1"/>
          <w:highlight w:val="yellow"/>
        </w:rPr>
        <w:t>test</w:t>
      </w:r>
      <w:r w:rsidR="00D53F17" w:rsidRPr="004E5AC1">
        <w:rPr>
          <w:color w:val="000000" w:themeColor="text1"/>
          <w:highlight w:val="yellow"/>
        </w:rPr>
        <w:t xml:space="preserve"> </w:t>
      </w:r>
      <w:r w:rsidRPr="004E5AC1">
        <w:rPr>
          <w:color w:val="000000" w:themeColor="text1"/>
          <w:highlight w:val="yellow"/>
        </w:rPr>
        <w:t>if other mutations</w:t>
      </w:r>
      <w:r w:rsidR="00D13AD9" w:rsidRPr="004E5AC1">
        <w:rPr>
          <w:color w:val="000000" w:themeColor="text1"/>
          <w:highlight w:val="yellow"/>
        </w:rPr>
        <w:t xml:space="preserve"> in </w:t>
      </w:r>
      <w:r w:rsidR="00D53F17">
        <w:rPr>
          <w:color w:val="000000" w:themeColor="text1"/>
          <w:highlight w:val="yellow"/>
        </w:rPr>
        <w:t xml:space="preserve">position </w:t>
      </w:r>
      <w:r w:rsidR="00D13AD9" w:rsidRPr="004E5AC1">
        <w:rPr>
          <w:color w:val="000000" w:themeColor="text1"/>
          <w:highlight w:val="yellow"/>
        </w:rPr>
        <w:t xml:space="preserve">2580 </w:t>
      </w:r>
      <w:r w:rsidR="00D53F17">
        <w:rPr>
          <w:color w:val="000000" w:themeColor="text1"/>
          <w:highlight w:val="yellow"/>
        </w:rPr>
        <w:t>c</w:t>
      </w:r>
      <w:r w:rsidR="009248C1" w:rsidRPr="004E5AC1">
        <w:rPr>
          <w:color w:val="000000" w:themeColor="text1"/>
          <w:highlight w:val="yellow"/>
        </w:rPr>
        <w:t xml:space="preserve">ould also </w:t>
      </w:r>
      <w:r w:rsidR="00D53F17">
        <w:rPr>
          <w:color w:val="000000" w:themeColor="text1"/>
          <w:highlight w:val="yellow"/>
        </w:rPr>
        <w:t>have patho</w:t>
      </w:r>
      <w:r w:rsidR="009F5230">
        <w:rPr>
          <w:color w:val="000000" w:themeColor="text1"/>
          <w:highlight w:val="yellow"/>
        </w:rPr>
        <w:t>genic</w:t>
      </w:r>
      <w:r w:rsidR="00D53F17">
        <w:rPr>
          <w:color w:val="000000" w:themeColor="text1"/>
          <w:highlight w:val="yellow"/>
        </w:rPr>
        <w:t xml:space="preserve"> potential</w:t>
      </w:r>
      <w:r w:rsidR="00D13AD9" w:rsidRPr="004E5AC1">
        <w:rPr>
          <w:color w:val="000000" w:themeColor="text1"/>
          <w:highlight w:val="yellow"/>
        </w:rPr>
        <w:t xml:space="preserve">, </w:t>
      </w:r>
      <w:r w:rsidRPr="004E5AC1">
        <w:rPr>
          <w:color w:val="000000" w:themeColor="text1"/>
          <w:highlight w:val="yellow"/>
        </w:rPr>
        <w:t xml:space="preserve">we expanded on work done in </w:t>
      </w:r>
      <w:r w:rsidR="00D13AD9" w:rsidRPr="004E5AC1">
        <w:rPr>
          <w:color w:val="000000" w:themeColor="text1"/>
          <w:highlight w:val="yellow"/>
        </w:rPr>
        <w:fldChar w:fldCharType="begin" w:fldLock="1"/>
      </w:r>
      <w:r w:rsidR="00E718DB" w:rsidRPr="004E5AC1">
        <w:rPr>
          <w:color w:val="000000" w:themeColor="text1"/>
          <w:highlight w:val="yellow"/>
        </w:rPr>
        <w:instrText>ADDIN CSL_CITATION {"citationItems":[{"id":"ITEM-1","itemData":{"DOI":"10.1098/rsob.160114","ISSN":"20462441","abstract":"Missense single-nucleotide polymorphisms (mSNPs) in titin are emerging as a main causative factor of heart failure. However, distinguishing between benign and disease-causing mSNPs is a substantial challenge. Here, we research the question of whether a single mSNP in a generic domain of titin can affect heart function as a whole and, if so, how. For this, we studied the mSNP T2850I, seemingly linked to arrhythmogenic right ventricular cardiomyopathy (ARVC). We used structural biology, computational simulations and transgenic muscle in vivo methods to track the effect of the mutation from the molecular to the organismal level. The data show that the T2850I exchange is compatible with the domain three-dimensional fold, but that it strongly destabilizes it. Further, it induces a change in the conformational dynamics of the titin chain that alters its reactivity, causing the formation of aberrant interactions in the sarcomere. Echocardiography of knock-in mice indicated a mild diastolic dysfunction arising from increased myocardial stiffness. In conclusion, our data provide evidence that single mSNPs in titin's I-band can alter overall muscle behaviour. Our suggested mechanisms of disease are the development of non-native sarcomeric interactions and titin instability leading to a reduced I-band compliance. However, understanding the T2850I-induced ARVC pathology mechanistically remains a complex problem and will require a deeper understanding of the sarcomeric context of the titin region affected.","author":[{"dropping-particle":"","family":"Bogomolovas","given":"Julius","non-dropping-particle":"","parse-names":false,"suffix":""},{"dropping-particle":"","family":"Fleming","given":"Jennifer R.","non-dropping-particle":"","parse-names":false,"suffix":""},{"dropping-particle":"","family":"Anderson","given":"Brian R.","non-dropping-particle":"","parse-names":false,"suffix":""},{"dropping-particle":"","family":"Williams","given":"Rhys","non-dropping-particle":"","parse-names":false,"suffix":""},{"dropping-particle":"","family":"Lange","given":"Stephan","non-dropping-particle":"","parse-names":false,"suffix":""},{"dropping-particle":"","family":"Simon","given":"Bernd","non-dropping-particle":"","parse-names":false,"suffix":""},{"dropping-particle":"","family":"Khan","given":"Muzamil M.","non-dropping-particle":"","parse-names":false,"suffix":""},{"dropping-particle":"","family":"Rudolf","given":"Rüdiger","non-dropping-particle":"","parse-names":false,"suffix":""},{"dropping-particle":"","family":"Franke","given":"Barbara","non-dropping-particle":"","parse-names":false,"suffix":""},{"dropping-particle":"","family":"Bullard","given":"Belinda","non-dropping-particle":"","parse-names":false,"suffix":""},{"dropping-particle":"","family":"Rigden","given":"Daniel J.","non-dropping-particle":"","parse-names":false,"suffix":""},{"dropping-particle":"","family":"Granzier","given":"Henk","non-dropping-particle":"","parse-names":false,"suffix":""},{"dropping-particle":"","family":"Labeit","given":"Siegfried","non-dropping-particle":"","parse-names":false,"suffix":""},{"dropping-particle":"","family":"Mayans","given":"Olga","non-dropping-particle":"","parse-names":false,"suffix":""}],"container-title":"Open Biology","id":"ITEM-1","issue":"9","issued":{"date-parts":[["2016"]]},"page":"pii: 160114","title":"Exploration of pathomechanisms triggered by a single-nucleotide polymorphism in titin's I-band: The cardiomyopathy-linked mutation T2580I","type":"article-journal","volume":"6"},"uris":["http://www.mendeley.com/documents/?uuid=a40e115f-ccdf-39d2-b373-72a5ceeeb72b"]}],"mendeley":{"formattedCitation":"(Bogomolovas et al., 2016)","plainTextFormattedCitation":"(Bogomolovas et al., 2016)","previouslyFormattedCitation":"(Bogomolovas et al., 2016)"},"properties":{"noteIndex":0},"schema":"https://github.com/citation-style-language/schema/raw/master/csl-citation.json"}</w:instrText>
      </w:r>
      <w:r w:rsidR="00D13AD9" w:rsidRPr="004E5AC1">
        <w:rPr>
          <w:color w:val="000000" w:themeColor="text1"/>
          <w:highlight w:val="yellow"/>
        </w:rPr>
        <w:fldChar w:fldCharType="separate"/>
      </w:r>
      <w:r w:rsidR="00E718DB" w:rsidRPr="004E5AC1">
        <w:rPr>
          <w:noProof/>
          <w:color w:val="000000" w:themeColor="text1"/>
          <w:highlight w:val="yellow"/>
        </w:rPr>
        <w:t>(</w:t>
      </w:r>
      <w:r w:rsidR="00E718DB" w:rsidRPr="004E5AC1">
        <w:rPr>
          <w:noProof/>
          <w:color w:val="0432FF"/>
          <w:highlight w:val="yellow"/>
        </w:rPr>
        <w:t>Bogomolovas et al., 2016</w:t>
      </w:r>
      <w:r w:rsidR="00E718DB" w:rsidRPr="004E5AC1">
        <w:rPr>
          <w:noProof/>
          <w:color w:val="000000" w:themeColor="text1"/>
          <w:highlight w:val="yellow"/>
        </w:rPr>
        <w:t>)</w:t>
      </w:r>
      <w:r w:rsidR="00D13AD9" w:rsidRPr="004E5AC1">
        <w:rPr>
          <w:color w:val="000000" w:themeColor="text1"/>
          <w:highlight w:val="yellow"/>
        </w:rPr>
        <w:fldChar w:fldCharType="end"/>
      </w:r>
      <w:r w:rsidR="009248C1" w:rsidRPr="004E5AC1">
        <w:rPr>
          <w:color w:val="000000" w:themeColor="text1"/>
          <w:highlight w:val="yellow"/>
        </w:rPr>
        <w:t>.</w:t>
      </w:r>
      <w:r w:rsidR="009248C1" w:rsidRPr="004D6881">
        <w:rPr>
          <w:color w:val="000000" w:themeColor="text1"/>
        </w:rPr>
        <w:t xml:space="preserve"> Therefore, </w:t>
      </w:r>
      <w:r w:rsidR="009248C1" w:rsidRPr="004D6881">
        <w:t>a</w:t>
      </w:r>
      <w:r w:rsidRPr="004D6881">
        <w:t>ll amino</w:t>
      </w:r>
      <w:r w:rsidR="00465B1A" w:rsidRPr="004D6881">
        <w:t xml:space="preserve"> </w:t>
      </w:r>
      <w:r w:rsidRPr="004D6881">
        <w:t>acids</w:t>
      </w:r>
      <w:r w:rsidR="00465B1A" w:rsidRPr="004D6881">
        <w:t xml:space="preserve"> exchanges</w:t>
      </w:r>
      <w:r w:rsidRPr="004D6881">
        <w:t xml:space="preserve"> </w:t>
      </w:r>
      <w:r w:rsidR="00465B1A" w:rsidRPr="004D6881">
        <w:t>for</w:t>
      </w:r>
      <w:r w:rsidRPr="004D6881">
        <w:t xml:space="preserve"> the ARVC threonine position </w:t>
      </w:r>
      <w:r w:rsidR="00465B1A" w:rsidRPr="004D6881">
        <w:t>were</w:t>
      </w:r>
      <w:r w:rsidRPr="004D6881">
        <w:t xml:space="preserve"> subjected to MD</w:t>
      </w:r>
      <w:r w:rsidR="00D01B5A" w:rsidRPr="004D6881">
        <w:t>S</w:t>
      </w:r>
      <w:r w:rsidRPr="004D6881">
        <w:t xml:space="preserve"> to </w:t>
      </w:r>
      <w:r w:rsidR="00D53F17">
        <w:t>reveal</w:t>
      </w:r>
      <w:r w:rsidRPr="004D6881">
        <w:t xml:space="preserve"> putative conformational effects. </w:t>
      </w:r>
      <w:r w:rsidR="003766DD" w:rsidRPr="004D6881">
        <w:t xml:space="preserve">To compare the new T-to-X trajectories with the wildtype and T-to-I trajectories </w:t>
      </w:r>
      <w:r w:rsidR="00D01B5A" w:rsidRPr="004D6881">
        <w:t xml:space="preserve">previously reported </w:t>
      </w:r>
      <w:r w:rsidR="00D01B5A" w:rsidRPr="004D6881">
        <w:rPr>
          <w:color w:val="000000" w:themeColor="text1"/>
        </w:rPr>
        <w:fldChar w:fldCharType="begin" w:fldLock="1"/>
      </w:r>
      <w:r w:rsidR="00E718DB">
        <w:rPr>
          <w:color w:val="000000" w:themeColor="text1"/>
        </w:rPr>
        <w:instrText>ADDIN CSL_CITATION {"citationItems":[{"id":"ITEM-1","itemData":{"DOI":"10.1098/rsob.160114","ISSN":"20462441","abstract":"Missense single-nucleotide polymorphisms (mSNPs) in titin are emerging as a main causative factor of heart failure. However, distinguishing between benign and disease-causing mSNPs is a substantial challenge. Here, we research the question of whether a single mSNP in a generic domain of titin can affect heart function as a whole and, if so, how. For this, we studied the mSNP T2850I, seemingly linked to arrhythmogenic right ventricular cardiomyopathy (ARVC). We used structural biology, computational simulations and transgenic muscle in vivo methods to track the effect of the mutation from the molecular to the organismal level. The data show that the T2850I exchange is compatible with the domain three-dimensional fold, but that it strongly destabilizes it. Further, it induces a change in the conformational dynamics of the titin chain that alters its reactivity, causing the formation of aberrant interactions in the sarcomere. Echocardiography of knock-in mice indicated a mild diastolic dysfunction arising from increased myocardial stiffness. In conclusion, our data provide evidence that single mSNPs in titin's I-band can alter overall muscle behaviour. Our suggested mechanisms of disease are the development of non-native sarcomeric interactions and titin instability leading to a reduced I-band compliance. However, understanding the T2850I-induced ARVC pathology mechanistically remains a complex problem and will require a deeper understanding of the sarcomeric context of the titin region affected.","author":[{"dropping-particle":"","family":"Bogomolovas","given":"Julius","non-dropping-particle":"","parse-names":false,"suffix":""},{"dropping-particle":"","family":"Fleming","given":"Jennifer R.","non-dropping-particle":"","parse-names":false,"suffix":""},{"dropping-particle":"","family":"Anderson","given":"Brian R.","non-dropping-particle":"","parse-names":false,"suffix":""},{"dropping-particle":"","family":"Williams","given":"Rhys","non-dropping-particle":"","parse-names":false,"suffix":""},{"dropping-particle":"","family":"Lange","given":"Stephan","non-dropping-particle":"","parse-names":false,"suffix":""},{"dropping-particle":"","family":"Simon","given":"Bernd","non-dropping-particle":"","parse-names":false,"suffix":""},{"dropping-particle":"","family":"Khan","given":"Muzamil M.","non-dropping-particle":"","parse-names":false,"suffix":""},{"dropping-particle":"","family":"Rudolf","given":"Rüdiger","non-dropping-particle":"","parse-names":false,"suffix":""},{"dropping-particle":"","family":"Franke","given":"Barbara","non-dropping-particle":"","parse-names":false,"suffix":""},{"dropping-particle":"","family":"Bullard","given":"Belinda","non-dropping-particle":"","parse-names":false,"suffix":""},{"dropping-particle":"","family":"Rigden","given":"Daniel J.","non-dropping-particle":"","parse-names":false,"suffix":""},{"dropping-particle":"","family":"Granzier","given":"Henk","non-dropping-particle":"","parse-names":false,"suffix":""},{"dropping-particle":"","family":"Labeit","given":"Siegfried","non-dropping-particle":"","parse-names":false,"suffix":""},{"dropping-particle":"","family":"Mayans","given":"Olga","non-dropping-particle":"","parse-names":false,"suffix":""}],"container-title":"Open Biology","id":"ITEM-1","issue":"9","issued":{"date-parts":[["2016"]]},"page":"pii: 160114","title":"Exploration of pathomechanisms triggered by a single-nucleotide polymorphism in titin's I-band: The cardiomyopathy-linked mutation T2580I","type":"article-journal","volume":"6"},"uris":["http://www.mendeley.com/documents/?uuid=a40e115f-ccdf-39d2-b373-72a5ceeeb72b"]}],"mendeley":{"formattedCitation":"(Bogomolovas et al., 2016)","plainTextFormattedCitation":"(Bogomolovas et al., 2016)","previouslyFormattedCitation":"(Bogomolovas et al., 2016)"},"properties":{"noteIndex":0},"schema":"https://github.com/citation-style-language/schema/raw/master/csl-citation.json"}</w:instrText>
      </w:r>
      <w:r w:rsidR="00D01B5A" w:rsidRPr="004D6881">
        <w:rPr>
          <w:color w:val="000000" w:themeColor="text1"/>
        </w:rPr>
        <w:fldChar w:fldCharType="separate"/>
      </w:r>
      <w:r w:rsidR="00E718DB" w:rsidRPr="00E718DB">
        <w:rPr>
          <w:noProof/>
          <w:color w:val="000000" w:themeColor="text1"/>
        </w:rPr>
        <w:t>(</w:t>
      </w:r>
      <w:r w:rsidR="00E718DB" w:rsidRPr="00EE0694">
        <w:rPr>
          <w:noProof/>
          <w:color w:val="0432FF"/>
        </w:rPr>
        <w:t>Bogomolovas et al., 2016</w:t>
      </w:r>
      <w:r w:rsidR="00E718DB" w:rsidRPr="00E718DB">
        <w:rPr>
          <w:noProof/>
          <w:color w:val="000000" w:themeColor="text1"/>
        </w:rPr>
        <w:t>)</w:t>
      </w:r>
      <w:r w:rsidR="00D01B5A" w:rsidRPr="004D6881">
        <w:rPr>
          <w:color w:val="000000" w:themeColor="text1"/>
        </w:rPr>
        <w:fldChar w:fldCharType="end"/>
      </w:r>
      <w:r w:rsidR="00D53F17">
        <w:rPr>
          <w:color w:val="000000" w:themeColor="text1"/>
        </w:rPr>
        <w:t>,</w:t>
      </w:r>
      <w:r w:rsidR="00D01B5A" w:rsidRPr="004D6881">
        <w:rPr>
          <w:color w:val="000000" w:themeColor="text1"/>
        </w:rPr>
        <w:t xml:space="preserve"> </w:t>
      </w:r>
      <w:r w:rsidR="003766DD" w:rsidRPr="004D6881">
        <w:t xml:space="preserve">principal component </w:t>
      </w:r>
      <w:r w:rsidR="00D01B5A" w:rsidRPr="004D6881">
        <w:t xml:space="preserve">(PC) </w:t>
      </w:r>
      <w:r w:rsidR="003766DD" w:rsidRPr="004D6881">
        <w:t xml:space="preserve">analysis was performed. </w:t>
      </w:r>
      <w:r w:rsidR="00D53F17" w:rsidRPr="0072459A">
        <w:rPr>
          <w:highlight w:val="yellow"/>
        </w:rPr>
        <w:t>We found that most</w:t>
      </w:r>
      <w:r w:rsidR="00D53F17" w:rsidRPr="004D6881">
        <w:t xml:space="preserve"> </w:t>
      </w:r>
      <w:r w:rsidR="003766DD" w:rsidRPr="004D6881">
        <w:t xml:space="preserve">of the protein movement </w:t>
      </w:r>
      <w:r w:rsidR="00D53F17">
        <w:t>was</w:t>
      </w:r>
      <w:r w:rsidR="003766DD" w:rsidRPr="004D6881">
        <w:t xml:space="preserve"> described by the first three eigenvectors (PC1, PC2 and PC3), with PC1 and PC2 describing the largest movements.</w:t>
      </w:r>
      <w:r w:rsidR="002E2457" w:rsidRPr="004D6881">
        <w:t xml:space="preserve"> Out of these three dominant motions</w:t>
      </w:r>
      <w:r w:rsidR="00D53F17">
        <w:t>,</w:t>
      </w:r>
      <w:r w:rsidR="002E2457" w:rsidRPr="004D6881">
        <w:t xml:space="preserve"> it is PC2</w:t>
      </w:r>
      <w:r w:rsidR="00D53F17">
        <w:t xml:space="preserve"> that</w:t>
      </w:r>
      <w:r w:rsidR="002E2457" w:rsidRPr="004D6881">
        <w:t xml:space="preserve"> </w:t>
      </w:r>
      <w:r w:rsidR="00A81BEE" w:rsidRPr="004D6881">
        <w:t xml:space="preserve">best captures </w:t>
      </w:r>
      <w:r w:rsidR="002E2457" w:rsidRPr="004D6881">
        <w:t>the difference between the wildtype and T-to-I trajectories (</w:t>
      </w:r>
      <w:r w:rsidR="002E2457" w:rsidRPr="008000E1">
        <w:rPr>
          <w:color w:val="000000" w:themeColor="text1"/>
          <w:highlight w:val="yellow"/>
        </w:rPr>
        <w:t xml:space="preserve">Fig </w:t>
      </w:r>
      <w:r w:rsidR="00A30444" w:rsidRPr="008000E1">
        <w:rPr>
          <w:color w:val="000000" w:themeColor="text1"/>
          <w:highlight w:val="yellow"/>
        </w:rPr>
        <w:t>1</w:t>
      </w:r>
      <w:r w:rsidR="00BA3788" w:rsidRPr="008000E1">
        <w:rPr>
          <w:color w:val="000000" w:themeColor="text1"/>
          <w:highlight w:val="yellow"/>
        </w:rPr>
        <w:t>A</w:t>
      </w:r>
      <w:r w:rsidR="002E2457" w:rsidRPr="004D6881">
        <w:t xml:space="preserve">). </w:t>
      </w:r>
      <w:r w:rsidR="003766DD" w:rsidRPr="004D6881">
        <w:t>PC1 describes a hinge movement of I11 respect to I10</w:t>
      </w:r>
      <w:r w:rsidR="00FA4841" w:rsidRPr="004D6881">
        <w:t xml:space="preserve"> with the two domains closing towards one another in a wide V</w:t>
      </w:r>
      <w:r w:rsidR="005C53FD" w:rsidRPr="004D6881">
        <w:t>-</w:t>
      </w:r>
      <w:r w:rsidR="00FA4841" w:rsidRPr="004D6881">
        <w:t>shape</w:t>
      </w:r>
      <w:r w:rsidR="003766DD" w:rsidRPr="004D6881">
        <w:t>. PC2 describes mostly the twisting of I11 relative to I10 along an axis approximately perpendicular to the hinge axis</w:t>
      </w:r>
      <w:r w:rsidR="000042C2" w:rsidRPr="004D6881">
        <w:t xml:space="preserve"> (</w:t>
      </w:r>
      <w:r w:rsidR="000042C2" w:rsidRPr="008000E1">
        <w:rPr>
          <w:color w:val="000000" w:themeColor="text1"/>
          <w:highlight w:val="yellow"/>
        </w:rPr>
        <w:t xml:space="preserve">Fig </w:t>
      </w:r>
      <w:r w:rsidR="00A30444" w:rsidRPr="008000E1">
        <w:rPr>
          <w:color w:val="000000" w:themeColor="text1"/>
          <w:highlight w:val="yellow"/>
        </w:rPr>
        <w:t>1</w:t>
      </w:r>
      <w:r w:rsidR="000042C2" w:rsidRPr="008000E1">
        <w:rPr>
          <w:color w:val="000000" w:themeColor="text1"/>
          <w:highlight w:val="yellow"/>
        </w:rPr>
        <w:t>C</w:t>
      </w:r>
      <w:r w:rsidR="000042C2" w:rsidRPr="004D6881">
        <w:t>)</w:t>
      </w:r>
      <w:r w:rsidR="003766DD" w:rsidRPr="004D6881">
        <w:t xml:space="preserve">. PC3 describes </w:t>
      </w:r>
      <w:r w:rsidR="00DA4C7F" w:rsidRPr="004D6881">
        <w:t>a</w:t>
      </w:r>
      <w:r w:rsidR="00FA4841" w:rsidRPr="004D6881">
        <w:t>n</w:t>
      </w:r>
      <w:r w:rsidR="00DA4C7F" w:rsidRPr="004D6881">
        <w:t xml:space="preserve"> </w:t>
      </w:r>
      <w:r w:rsidR="009A5966" w:rsidRPr="004D6881">
        <w:t>8</w:t>
      </w:r>
      <w:r w:rsidR="00DA4C7F" w:rsidRPr="004D6881">
        <w:t>0</w:t>
      </w:r>
      <w:r w:rsidR="00FA4841" w:rsidRPr="004D6881">
        <w:rPr>
          <w:rStyle w:val="Strong"/>
          <w:color w:val="333333"/>
        </w:rPr>
        <w:t>°</w:t>
      </w:r>
      <w:r w:rsidR="00FA4841" w:rsidRPr="004D6881">
        <w:t xml:space="preserve"> </w:t>
      </w:r>
      <w:r w:rsidR="00DA4C7F" w:rsidRPr="004D6881">
        <w:t>rotational movement of I11 respect to I10</w:t>
      </w:r>
      <w:r w:rsidR="00273315" w:rsidRPr="004D6881">
        <w:t xml:space="preserve">, </w:t>
      </w:r>
      <w:r w:rsidR="00F5720F" w:rsidRPr="004D6881">
        <w:t xml:space="preserve">with </w:t>
      </w:r>
      <w:r w:rsidR="00273315" w:rsidRPr="004D6881">
        <w:t>the domains remain</w:t>
      </w:r>
      <w:r w:rsidR="00F5720F" w:rsidRPr="004D6881">
        <w:t>ing</w:t>
      </w:r>
      <w:r w:rsidR="00273315" w:rsidRPr="004D6881">
        <w:t xml:space="preserve"> relatively aligned</w:t>
      </w:r>
      <w:r w:rsidR="003766DD" w:rsidRPr="004D6881">
        <w:t xml:space="preserve">. </w:t>
      </w:r>
      <w:r w:rsidR="00A81BEE" w:rsidRPr="004D6881">
        <w:t>A</w:t>
      </w:r>
      <w:r w:rsidR="003766DD" w:rsidRPr="004D6881">
        <w:t xml:space="preserve">lthough describing the same movements as those reported in </w:t>
      </w:r>
      <w:r w:rsidR="003766DD" w:rsidRPr="004D6881">
        <w:fldChar w:fldCharType="begin" w:fldLock="1"/>
      </w:r>
      <w:r w:rsidR="00E718DB">
        <w:instrText>ADDIN CSL_CITATION {"citationItems":[{"id":"ITEM-1","itemData":{"DOI":"10.1098/rsob.160114","ISSN":"20462441","abstract":"Missense single-nucleotide polymorphisms (mSNPs) in titin are emerging as a main causative factor of heart failure. However, distinguishing between benign and disease-causing mSNPs is a substantial challenge. Here, we research the question of whether a single mSNP in a generic domain of titin can affect heart function as a whole and, if so, how. For this, we studied the mSNP T2850I, seemingly linked to arrhythmogenic right ventricular cardiomyopathy (ARVC). We used structural biology, computational simulations and transgenic muscle in vivo methods to track the effect of the mutation from the molecular to the organismal level. The data show that the T2850I exchange is compatible with the domain three-dimensional fold, but that it strongly destabilizes it. Further, it induces a change in the conformational dynamics of the titin chain that alters its reactivity, causing the formation of aberrant interactions in the sarcomere. Echocardiography of knock-in mice indicated a mild diastolic dysfunction arising from increased myocardial stiffness. In conclusion, our data provide evidence that single mSNPs in titin's I-band can alter overall muscle behaviour. Our suggested mechanisms of disease are the development of non-native sarcomeric interactions and titin instability leading to a reduced I-band compliance. However, understanding the T2850I-induced ARVC pathology mechanistically remains a complex problem and will require a deeper understanding of the sarcomeric context of the titin region affected.","author":[{"dropping-particle":"","family":"Bogomolovas","given":"Julius","non-dropping-particle":"","parse-names":false,"suffix":""},{"dropping-particle":"","family":"Fleming","given":"Jennifer R.","non-dropping-particle":"","parse-names":false,"suffix":""},{"dropping-particle":"","family":"Anderson","given":"Brian R.","non-dropping-particle":"","parse-names":false,"suffix":""},{"dropping-particle":"","family":"Williams","given":"Rhys","non-dropping-particle":"","parse-names":false,"suffix":""},{"dropping-particle":"","family":"Lange","given":"Stephan","non-dropping-particle":"","parse-names":false,"suffix":""},{"dropping-particle":"","family":"Simon","given":"Bernd","non-dropping-particle":"","parse-names":false,"suffix":""},{"dropping-particle":"","family":"Khan","given":"Muzamil M.","non-dropping-particle":"","parse-names":false,"suffix":""},{"dropping-particle":"","family":"Rudolf","given":"Rüdiger","non-dropping-particle":"","parse-names":false,"suffix":""},{"dropping-particle":"","family":"Franke","given":"Barbara","non-dropping-particle":"","parse-names":false,"suffix":""},{"dropping-particle":"","family":"Bullard","given":"Belinda","non-dropping-particle":"","parse-names":false,"suffix":""},{"dropping-particle":"","family":"Rigden","given":"Daniel J.","non-dropping-particle":"","parse-names":false,"suffix":""},{"dropping-particle":"","family":"Granzier","given":"Henk","non-dropping-particle":"","parse-names":false,"suffix":""},{"dropping-particle":"","family":"Labeit","given":"Siegfried","non-dropping-particle":"","parse-names":false,"suffix":""},{"dropping-particle":"","family":"Mayans","given":"Olga","non-dropping-particle":"","parse-names":false,"suffix":""}],"container-title":"Open Biology","id":"ITEM-1","issue":"9","issued":{"date-parts":[["2016"]]},"page":"pii: 160114","title":"Exploration of pathomechanisms triggered by a single-nucleotide polymorphism in titin's I-band: The cardiomyopathy-linked mutation T2580I","type":"article-journal","volume":"6"},"uris":["http://www.mendeley.com/documents/?uuid=a40e115f-ccdf-39d2-b373-72a5ceeeb72b"]}],"mendeley":{"formattedCitation":"(Bogomolovas et al., 2016)","plainTextFormattedCitation":"(Bogomolovas et al., 2016)","previouslyFormattedCitation":"(Bogomolovas et al., 2016)"},"properties":{"noteIndex":0},"schema":"https://github.com/citation-style-language/schema/raw/master/csl-citation.json"}</w:instrText>
      </w:r>
      <w:r w:rsidR="003766DD" w:rsidRPr="004D6881">
        <w:fldChar w:fldCharType="separate"/>
      </w:r>
      <w:r w:rsidR="00E718DB" w:rsidRPr="00E718DB">
        <w:rPr>
          <w:noProof/>
          <w:color w:val="0432FF"/>
        </w:rPr>
        <w:t>(Bogomolovas et al., 2016)</w:t>
      </w:r>
      <w:r w:rsidR="003766DD" w:rsidRPr="004D6881">
        <w:fldChar w:fldCharType="end"/>
      </w:r>
      <w:r w:rsidR="00A81BEE" w:rsidRPr="004D6881">
        <w:t>,</w:t>
      </w:r>
      <w:r w:rsidR="003766DD" w:rsidRPr="004D6881">
        <w:t xml:space="preserve"> these are different eigenvectors as the hinge movement is the dominant motion in many of the amino acid substitution trajectories.</w:t>
      </w:r>
    </w:p>
    <w:p w14:paraId="22D65BFF" w14:textId="149401CF" w:rsidR="007A762D" w:rsidRPr="004D6881" w:rsidRDefault="007A762D" w:rsidP="00BA3788">
      <w:pPr>
        <w:pBdr>
          <w:top w:val="nil"/>
          <w:left w:val="nil"/>
          <w:bottom w:val="nil"/>
          <w:right w:val="nil"/>
          <w:between w:val="nil"/>
        </w:pBdr>
        <w:spacing w:line="360" w:lineRule="auto"/>
        <w:jc w:val="both"/>
      </w:pPr>
    </w:p>
    <w:p w14:paraId="0D161035" w14:textId="5B1B1ADA" w:rsidR="007A762D" w:rsidRPr="004D6881" w:rsidRDefault="007A762D" w:rsidP="001F435D">
      <w:pPr>
        <w:pBdr>
          <w:top w:val="nil"/>
          <w:left w:val="nil"/>
          <w:bottom w:val="nil"/>
          <w:right w:val="nil"/>
          <w:between w:val="nil"/>
        </w:pBdr>
        <w:spacing w:line="360" w:lineRule="auto"/>
      </w:pPr>
      <w:r w:rsidRPr="004D6881">
        <w:rPr>
          <w:noProof/>
          <w:lang w:eastAsia="en-GB"/>
        </w:rPr>
        <w:lastRenderedPageBreak/>
        <w:drawing>
          <wp:inline distT="0" distB="0" distL="0" distR="0" wp14:anchorId="17D8B735" wp14:editId="25227B6F">
            <wp:extent cx="5727700" cy="388493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27700" cy="3884930"/>
                    </a:xfrm>
                    <a:prstGeom prst="rect">
                      <a:avLst/>
                    </a:prstGeom>
                  </pic:spPr>
                </pic:pic>
              </a:graphicData>
            </a:graphic>
          </wp:inline>
        </w:drawing>
      </w:r>
      <w:r w:rsidR="001F435D" w:rsidRPr="001F435D">
        <w:rPr>
          <w:noProof/>
        </w:rPr>
        <w:t xml:space="preserve"> </w:t>
      </w:r>
      <w:r w:rsidR="005A1492" w:rsidRPr="005A1492">
        <w:rPr>
          <w:noProof/>
        </w:rPr>
        <w:drawing>
          <wp:inline distT="0" distB="0" distL="0" distR="0" wp14:anchorId="39E1FAC8" wp14:editId="2DF52A96">
            <wp:extent cx="5469249" cy="294767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279" r="6873"/>
                    <a:stretch/>
                  </pic:blipFill>
                  <pic:spPr bwMode="auto">
                    <a:xfrm>
                      <a:off x="0" y="0"/>
                      <a:ext cx="5479933" cy="2953428"/>
                    </a:xfrm>
                    <a:prstGeom prst="rect">
                      <a:avLst/>
                    </a:prstGeom>
                    <a:ln>
                      <a:noFill/>
                    </a:ln>
                    <a:extLst>
                      <a:ext uri="{53640926-AAD7-44D8-BBD7-CCE9431645EC}">
                        <a14:shadowObscured xmlns:a14="http://schemas.microsoft.com/office/drawing/2010/main"/>
                      </a:ext>
                    </a:extLst>
                  </pic:spPr>
                </pic:pic>
              </a:graphicData>
            </a:graphic>
          </wp:inline>
        </w:drawing>
      </w:r>
    </w:p>
    <w:p w14:paraId="4D6F6314" w14:textId="31D58ED2" w:rsidR="00A81BEE" w:rsidRDefault="00BA3788" w:rsidP="00C95664">
      <w:pPr>
        <w:pStyle w:val="NormalWeb"/>
        <w:spacing w:before="0" w:beforeAutospacing="0" w:after="0" w:afterAutospacing="0"/>
        <w:jc w:val="both"/>
        <w:rPr>
          <w:color w:val="000000"/>
          <w:highlight w:val="yellow"/>
        </w:rPr>
      </w:pPr>
      <w:r w:rsidRPr="00A30444">
        <w:rPr>
          <w:b/>
          <w:highlight w:val="yellow"/>
        </w:rPr>
        <w:t xml:space="preserve">Fig </w:t>
      </w:r>
      <w:r w:rsidR="00A30444" w:rsidRPr="00A30444">
        <w:rPr>
          <w:b/>
          <w:highlight w:val="yellow"/>
        </w:rPr>
        <w:t>1</w:t>
      </w:r>
      <w:r w:rsidRPr="004D6881">
        <w:rPr>
          <w:b/>
        </w:rPr>
        <w:t xml:space="preserve">. Difference in inter-domain movement between wildtype and T-to-X trajectories. A. </w:t>
      </w:r>
      <w:r w:rsidRPr="004D6881">
        <w:t>Eigenvalues of the 3 main</w:t>
      </w:r>
      <w:r w:rsidRPr="004D6881">
        <w:rPr>
          <w:b/>
        </w:rPr>
        <w:t xml:space="preserve"> </w:t>
      </w:r>
      <w:r w:rsidRPr="004D6881">
        <w:t xml:space="preserve">principal components over time (ns) </w:t>
      </w:r>
      <w:r w:rsidRPr="004D6881">
        <w:rPr>
          <w:color w:val="000000"/>
        </w:rPr>
        <w:t>with LOESS smoothed lines</w:t>
      </w:r>
      <w:r w:rsidR="00CE73CC" w:rsidRPr="004D6881">
        <w:rPr>
          <w:color w:val="000000"/>
        </w:rPr>
        <w:t xml:space="preserve"> of each trajectory</w:t>
      </w:r>
      <w:r w:rsidRPr="004D6881">
        <w:rPr>
          <w:color w:val="000000"/>
        </w:rPr>
        <w:t>; wildtype, blue; T-to-I mutant, red</w:t>
      </w:r>
      <w:r w:rsidR="00CE73CC" w:rsidRPr="004D6881">
        <w:rPr>
          <w:color w:val="000000"/>
        </w:rPr>
        <w:t xml:space="preserve">. </w:t>
      </w:r>
      <w:r w:rsidRPr="00A30444">
        <w:rPr>
          <w:b/>
          <w:color w:val="000000"/>
        </w:rPr>
        <w:t>B</w:t>
      </w:r>
      <w:r w:rsidRPr="004D6881">
        <w:rPr>
          <w:color w:val="000000"/>
        </w:rPr>
        <w:t>. Symmetrical density distribution plots of each trajectory along PC2.</w:t>
      </w:r>
      <w:r w:rsidRPr="004D6881">
        <w:t xml:space="preserve"> White dot median value</w:t>
      </w:r>
      <w:r w:rsidR="00504046" w:rsidRPr="004D6881">
        <w:rPr>
          <w:color w:val="000000"/>
        </w:rPr>
        <w:t xml:space="preserve">; </w:t>
      </w:r>
      <w:r w:rsidRPr="004D6881">
        <w:rPr>
          <w:color w:val="000000"/>
        </w:rPr>
        <w:t>blue and red dotted lines show WT and T-to-I medians for reference.</w:t>
      </w:r>
      <w:r w:rsidR="00643376">
        <w:rPr>
          <w:color w:val="000000"/>
        </w:rPr>
        <w:t xml:space="preserve"> Full PC2 values over time can be seen </w:t>
      </w:r>
      <w:r w:rsidR="00643376" w:rsidRPr="0072459A">
        <w:rPr>
          <w:color w:val="000000" w:themeColor="text1"/>
        </w:rPr>
        <w:t xml:space="preserve">in </w:t>
      </w:r>
      <w:r w:rsidR="00643376" w:rsidRPr="0072459A">
        <w:rPr>
          <w:color w:val="000000" w:themeColor="text1"/>
          <w:highlight w:val="yellow"/>
        </w:rPr>
        <w:t xml:space="preserve">supplementary figure </w:t>
      </w:r>
      <w:r w:rsidR="009F5230" w:rsidRPr="0072459A">
        <w:rPr>
          <w:color w:val="000000" w:themeColor="text1"/>
          <w:highlight w:val="yellow"/>
        </w:rPr>
        <w:t>S</w:t>
      </w:r>
      <w:r w:rsidR="00643376" w:rsidRPr="0072459A">
        <w:rPr>
          <w:color w:val="000000" w:themeColor="text1"/>
          <w:highlight w:val="yellow"/>
        </w:rPr>
        <w:t>1.</w:t>
      </w:r>
      <w:r w:rsidRPr="0072459A">
        <w:rPr>
          <w:color w:val="000000" w:themeColor="text1"/>
        </w:rPr>
        <w:t xml:space="preserve"> </w:t>
      </w:r>
      <w:r w:rsidRPr="00A30444">
        <w:rPr>
          <w:b/>
          <w:color w:val="000000"/>
        </w:rPr>
        <w:t>C.</w:t>
      </w:r>
      <w:r w:rsidRPr="004D6881">
        <w:rPr>
          <w:color w:val="000000"/>
        </w:rPr>
        <w:t xml:space="preserve"> </w:t>
      </w:r>
      <w:proofErr w:type="spellStart"/>
      <w:r w:rsidRPr="004D6881">
        <w:rPr>
          <w:color w:val="000000"/>
        </w:rPr>
        <w:t>Igs</w:t>
      </w:r>
      <w:proofErr w:type="spellEnd"/>
      <w:r w:rsidRPr="004D6881">
        <w:rPr>
          <w:color w:val="000000"/>
        </w:rPr>
        <w:t xml:space="preserve"> represented as cylinders with CD loops highlighted with a circular plane for orientation showing the most extreme PC2 eigenvalue projections.</w:t>
      </w:r>
      <w:r w:rsidR="00A30444">
        <w:rPr>
          <w:color w:val="000000"/>
        </w:rPr>
        <w:t xml:space="preserve"> </w:t>
      </w:r>
      <w:r w:rsidR="00A30444" w:rsidRPr="001F435D">
        <w:rPr>
          <w:b/>
          <w:color w:val="000000"/>
          <w:highlight w:val="yellow"/>
        </w:rPr>
        <w:t xml:space="preserve">D. </w:t>
      </w:r>
      <w:r w:rsidR="00A30444" w:rsidRPr="001F435D">
        <w:rPr>
          <w:color w:val="000000"/>
          <w:highlight w:val="yellow"/>
        </w:rPr>
        <w:t xml:space="preserve">Cloud representations of </w:t>
      </w:r>
      <w:r w:rsidR="001F435D" w:rsidRPr="001F435D">
        <w:rPr>
          <w:color w:val="000000"/>
          <w:highlight w:val="yellow"/>
        </w:rPr>
        <w:t xml:space="preserve">the </w:t>
      </w:r>
      <w:r w:rsidR="001F435D" w:rsidRPr="00280958">
        <w:rPr>
          <w:color w:val="000000"/>
          <w:highlight w:val="yellow"/>
        </w:rPr>
        <w:t>different trajectories</w:t>
      </w:r>
      <w:r w:rsidR="00643376" w:rsidRPr="00280958">
        <w:rPr>
          <w:color w:val="000000"/>
          <w:highlight w:val="yellow"/>
        </w:rPr>
        <w:t>. Ribbon structure shown for every 0.5 ns. Structures aligned to the I10 domain so that relative distribution of I11 can be seen.</w:t>
      </w:r>
      <w:r w:rsidR="00280958" w:rsidRPr="00280958">
        <w:rPr>
          <w:color w:val="000000"/>
          <w:highlight w:val="yellow"/>
        </w:rPr>
        <w:t xml:space="preserve"> </w:t>
      </w:r>
      <w:r w:rsidR="00280958" w:rsidRPr="00280958">
        <w:rPr>
          <w:color w:val="000000"/>
          <w:highlight w:val="yellow"/>
        </w:rPr>
        <w:t xml:space="preserve">The upper domain is differently rotated in the individual cases so that more than just the PC2 hinge opening movement shown in panel </w:t>
      </w:r>
      <w:r w:rsidR="00280958" w:rsidRPr="00280958">
        <w:rPr>
          <w:color w:val="000000"/>
          <w:highlight w:val="yellow"/>
        </w:rPr>
        <w:lastRenderedPageBreak/>
        <w:t xml:space="preserve">C can be seen. </w:t>
      </w:r>
      <w:r w:rsidR="001F435D" w:rsidRPr="00280958">
        <w:rPr>
          <w:color w:val="000000"/>
          <w:highlight w:val="yellow"/>
        </w:rPr>
        <w:t xml:space="preserve">Mutated residues shown as sticks coloured red, </w:t>
      </w:r>
      <w:proofErr w:type="spellStart"/>
      <w:r w:rsidR="001F435D" w:rsidRPr="00280958">
        <w:rPr>
          <w:color w:val="000000"/>
          <w:highlight w:val="yellow"/>
        </w:rPr>
        <w:t>nitrogens</w:t>
      </w:r>
      <w:proofErr w:type="spellEnd"/>
      <w:r w:rsidR="001F435D" w:rsidRPr="00280958">
        <w:rPr>
          <w:color w:val="000000"/>
          <w:highlight w:val="yellow"/>
        </w:rPr>
        <w:t xml:space="preserve"> shown in blue. Blue and white bars for reference of WT cloud </w:t>
      </w:r>
      <w:r w:rsidR="00643376" w:rsidRPr="00280958">
        <w:rPr>
          <w:color w:val="000000"/>
          <w:highlight w:val="yellow"/>
        </w:rPr>
        <w:t xml:space="preserve">width, black dashed line for reference of ‘straight’ domain orientation. </w:t>
      </w:r>
    </w:p>
    <w:p w14:paraId="5EC1DE4D" w14:textId="31F3A3C6" w:rsidR="00F13177" w:rsidRPr="004D6881" w:rsidRDefault="00F13177" w:rsidP="00BA3788">
      <w:pPr>
        <w:pBdr>
          <w:top w:val="nil"/>
          <w:left w:val="nil"/>
          <w:bottom w:val="nil"/>
          <w:right w:val="nil"/>
          <w:between w:val="nil"/>
        </w:pBdr>
        <w:spacing w:line="360" w:lineRule="auto"/>
        <w:jc w:val="both"/>
      </w:pPr>
    </w:p>
    <w:p w14:paraId="0123161C" w14:textId="2BD3419F" w:rsidR="002E2457" w:rsidRPr="004D6881" w:rsidRDefault="002E2457" w:rsidP="00BA3788">
      <w:pPr>
        <w:pBdr>
          <w:top w:val="nil"/>
          <w:left w:val="nil"/>
          <w:bottom w:val="nil"/>
          <w:right w:val="nil"/>
          <w:between w:val="nil"/>
        </w:pBdr>
        <w:spacing w:line="360" w:lineRule="auto"/>
        <w:jc w:val="both"/>
      </w:pPr>
      <w:r w:rsidRPr="004D6881">
        <w:t xml:space="preserve">The wildtype trajectory shows the average inter-domain positions aligned straight along an </w:t>
      </w:r>
      <w:r w:rsidR="0075188D" w:rsidRPr="004D6881">
        <w:t>imaginary axis connecting the centres of mass of the two domains</w:t>
      </w:r>
      <w:r w:rsidRPr="004D6881">
        <w:t>, with little hinge bend</w:t>
      </w:r>
      <w:r w:rsidR="009F5230">
        <w:t>ing</w:t>
      </w:r>
      <w:r w:rsidRPr="004D6881">
        <w:t xml:space="preserve"> </w:t>
      </w:r>
      <w:r w:rsidRPr="004D6881">
        <w:t xml:space="preserve">and in a less twisted conformation than the T-to-I mutant trajectory. This is described by negative eigenvalues in the PC2 axis. </w:t>
      </w:r>
      <w:r w:rsidR="00A30444" w:rsidRPr="00A30444">
        <w:rPr>
          <w:color w:val="FF0000"/>
          <w:highlight w:val="yellow"/>
        </w:rPr>
        <w:t xml:space="preserve">Figure </w:t>
      </w:r>
      <w:r w:rsidR="00551659">
        <w:rPr>
          <w:color w:val="FF0000"/>
          <w:highlight w:val="cyan"/>
        </w:rPr>
        <w:t>1</w:t>
      </w:r>
      <w:r w:rsidR="00A30444" w:rsidRPr="00551659">
        <w:rPr>
          <w:color w:val="FF0000"/>
          <w:highlight w:val="cyan"/>
        </w:rPr>
        <w:t>B</w:t>
      </w:r>
      <w:r w:rsidR="00A30444" w:rsidRPr="00A30444">
        <w:rPr>
          <w:color w:val="FF0000"/>
          <w:highlight w:val="yellow"/>
        </w:rPr>
        <w:t xml:space="preserve"> </w:t>
      </w:r>
      <w:r w:rsidR="00A30444" w:rsidRPr="00A30444">
        <w:rPr>
          <w:highlight w:val="yellow"/>
        </w:rPr>
        <w:t xml:space="preserve">shows a summary of PC2 distributions as a </w:t>
      </w:r>
      <w:proofErr w:type="spellStart"/>
      <w:r w:rsidR="00A30444" w:rsidRPr="00A30444">
        <w:rPr>
          <w:highlight w:val="yellow"/>
        </w:rPr>
        <w:t>vioplot</w:t>
      </w:r>
      <w:proofErr w:type="spellEnd"/>
      <w:r w:rsidR="00A30444" w:rsidRPr="00A30444">
        <w:rPr>
          <w:highlight w:val="yellow"/>
        </w:rPr>
        <w:t xml:space="preserve">, full time vs PC2 traces are </w:t>
      </w:r>
      <w:r w:rsidR="00A30444" w:rsidRPr="0072459A">
        <w:rPr>
          <w:color w:val="000000" w:themeColor="text1"/>
          <w:highlight w:val="yellow"/>
        </w:rPr>
        <w:t xml:space="preserve">in supplementary Figure </w:t>
      </w:r>
      <w:r w:rsidR="009F5230" w:rsidRPr="0072459A">
        <w:rPr>
          <w:color w:val="000000" w:themeColor="text1"/>
          <w:highlight w:val="yellow"/>
        </w:rPr>
        <w:t>S</w:t>
      </w:r>
      <w:r w:rsidR="00A30444" w:rsidRPr="0072459A">
        <w:rPr>
          <w:color w:val="000000" w:themeColor="text1"/>
          <w:highlight w:val="yellow"/>
        </w:rPr>
        <w:t>2.</w:t>
      </w:r>
      <w:r w:rsidR="00A30444" w:rsidRPr="0072459A">
        <w:rPr>
          <w:color w:val="000000" w:themeColor="text1"/>
        </w:rPr>
        <w:t xml:space="preserve"> </w:t>
      </w:r>
      <w:r w:rsidRPr="004D6881">
        <w:t xml:space="preserve">Positive eigenvalues relate to an acute bend in the inter-domain loop, folding the domains towards each other. </w:t>
      </w:r>
      <w:r w:rsidR="00F67399" w:rsidRPr="004D6881">
        <w:t>The crystal structure shows no be</w:t>
      </w:r>
      <w:r w:rsidR="00217229" w:rsidRPr="004D6881">
        <w:t>n</w:t>
      </w:r>
      <w:r w:rsidR="00F67399" w:rsidRPr="004D6881">
        <w:t xml:space="preserve">d between domains but instead each domain aligned along the longest axis as if one were stacked on top of the other. </w:t>
      </w:r>
      <w:r w:rsidRPr="004D6881">
        <w:t>Movement along the eigenvector of PC2 into the positive direction shows a twist of the domain so that the CD loop of I11 points around 100 degrees away from the CD loop of I10 (</w:t>
      </w:r>
      <w:r w:rsidRPr="00551659">
        <w:rPr>
          <w:color w:val="000000" w:themeColor="text1"/>
          <w:highlight w:val="yellow"/>
        </w:rPr>
        <w:t xml:space="preserve">Fig </w:t>
      </w:r>
      <w:r w:rsidR="00A30444" w:rsidRPr="00551659">
        <w:rPr>
          <w:color w:val="000000" w:themeColor="text1"/>
          <w:highlight w:val="yellow"/>
        </w:rPr>
        <w:t>1</w:t>
      </w:r>
      <w:r w:rsidR="00BA3788" w:rsidRPr="00551659">
        <w:rPr>
          <w:color w:val="000000" w:themeColor="text1"/>
          <w:highlight w:val="yellow"/>
        </w:rPr>
        <w:t>C</w:t>
      </w:r>
      <w:r w:rsidRPr="004D6881">
        <w:t>). Amino acids that have similar conformational distributions to the T-to-I simulations are cysteine, glutamate and asparagine. It is interesting to note</w:t>
      </w:r>
      <w:r w:rsidR="00387E3D" w:rsidRPr="004D6881">
        <w:t>,</w:t>
      </w:r>
      <w:r w:rsidR="00BA3788" w:rsidRPr="004D6881">
        <w:t xml:space="preserve"> and an indication of the severity of the T-to-I molecular phenotype,</w:t>
      </w:r>
      <w:r w:rsidRPr="004D6881">
        <w:t xml:space="preserve"> that the T-to-I mutation causes the greatest conformational deviation from the wildtype, with the exception of cysteine, which matches the T-to-I.</w:t>
      </w:r>
    </w:p>
    <w:p w14:paraId="28BE53E3" w14:textId="6D0C1C5E" w:rsidR="00026132" w:rsidRPr="004D6881" w:rsidRDefault="002E2457" w:rsidP="00026132">
      <w:pPr>
        <w:pBdr>
          <w:top w:val="nil"/>
          <w:left w:val="nil"/>
          <w:bottom w:val="nil"/>
          <w:right w:val="nil"/>
          <w:between w:val="nil"/>
        </w:pBdr>
        <w:spacing w:line="360" w:lineRule="auto"/>
        <w:jc w:val="both"/>
      </w:pPr>
      <w:r w:rsidRPr="004D6881">
        <w:br/>
      </w:r>
      <w:r w:rsidR="00252921" w:rsidRPr="004D6881">
        <w:t>In this analysis, we paid special attention to T-to-G and T-to-P exchanges due to the unusual characteristics of these residues. We observed that g</w:t>
      </w:r>
      <w:r w:rsidR="0081625B" w:rsidRPr="004D6881">
        <w:t xml:space="preserve">lycine is particularly permissive of many conformations </w:t>
      </w:r>
      <w:r w:rsidR="0081625B" w:rsidRPr="00551659">
        <w:rPr>
          <w:color w:val="000000" w:themeColor="text1"/>
        </w:rPr>
        <w:t>(</w:t>
      </w:r>
      <w:r w:rsidR="0081625B" w:rsidRPr="00551659">
        <w:rPr>
          <w:color w:val="000000" w:themeColor="text1"/>
          <w:highlight w:val="yellow"/>
        </w:rPr>
        <w:t xml:space="preserve">Fig </w:t>
      </w:r>
      <w:r w:rsidR="00A30444" w:rsidRPr="00551659">
        <w:rPr>
          <w:color w:val="000000" w:themeColor="text1"/>
          <w:highlight w:val="yellow"/>
        </w:rPr>
        <w:t>1</w:t>
      </w:r>
      <w:r w:rsidR="0081625B" w:rsidRPr="00551659">
        <w:rPr>
          <w:color w:val="000000" w:themeColor="text1"/>
          <w:highlight w:val="yellow"/>
        </w:rPr>
        <w:t>B</w:t>
      </w:r>
      <w:r w:rsidR="00A30444" w:rsidRPr="00551659">
        <w:rPr>
          <w:color w:val="000000" w:themeColor="text1"/>
        </w:rPr>
        <w:t xml:space="preserve">, </w:t>
      </w:r>
      <w:r w:rsidR="00A30444" w:rsidRPr="00551659">
        <w:rPr>
          <w:color w:val="000000" w:themeColor="text1"/>
          <w:highlight w:val="yellow"/>
        </w:rPr>
        <w:t xml:space="preserve">supplementary figure </w:t>
      </w:r>
      <w:r w:rsidR="005C1917" w:rsidRPr="00551659">
        <w:rPr>
          <w:color w:val="000000" w:themeColor="text1"/>
          <w:highlight w:val="yellow"/>
        </w:rPr>
        <w:t>S</w:t>
      </w:r>
      <w:r w:rsidR="00A30444" w:rsidRPr="00551659">
        <w:rPr>
          <w:color w:val="000000" w:themeColor="text1"/>
          <w:highlight w:val="yellow"/>
        </w:rPr>
        <w:t>2</w:t>
      </w:r>
      <w:r w:rsidR="00551659" w:rsidRPr="00551659">
        <w:rPr>
          <w:color w:val="000000" w:themeColor="text1"/>
          <w:highlight w:val="yellow"/>
        </w:rPr>
        <w:t xml:space="preserve">). </w:t>
      </w:r>
      <w:r w:rsidR="0081625B" w:rsidRPr="004D6881">
        <w:t xml:space="preserve">This small amino acid does not act to stabilise the interface, but also does not cause any steric interference, allowing for a wide range of motions. Most trajectories settle into a conformational state for a length of time before switching to another, glycine quickly changes from one to another. Alanine, shows a similar but less extreme behaviour than glycine. </w:t>
      </w:r>
      <w:r w:rsidR="00252921" w:rsidRPr="004D6881">
        <w:t xml:space="preserve">We concluded that small hydrophobic residues such as alanine and glycine do not restrict the interface and have a wide distribution in conformational space. </w:t>
      </w:r>
      <w:r w:rsidR="0081625B" w:rsidRPr="004D6881">
        <w:t xml:space="preserve">Proline occupies a polynomial distribution with a high spread of possible interdomain rotation conformations. </w:t>
      </w:r>
      <w:r w:rsidR="00010D8F" w:rsidRPr="004D6881">
        <w:t>We also paid special attention to large, hydrophobic amino acids as these were expected to</w:t>
      </w:r>
      <w:r w:rsidRPr="004D6881">
        <w:t xml:space="preserve"> cause large perturbations in the domain interface, and decrease the time spent in the wildtype conformational space. Inspection of the </w:t>
      </w:r>
      <w:proofErr w:type="spellStart"/>
      <w:r w:rsidRPr="004D6881">
        <w:t>rotamers</w:t>
      </w:r>
      <w:proofErr w:type="spellEnd"/>
      <w:r w:rsidRPr="004D6881">
        <w:t xml:space="preserve"> show</w:t>
      </w:r>
      <w:r w:rsidR="00010D8F" w:rsidRPr="004D6881">
        <w:t>s</w:t>
      </w:r>
      <w:r w:rsidRPr="004D6881">
        <w:t xml:space="preserve"> that</w:t>
      </w:r>
      <w:r w:rsidR="00010D8F" w:rsidRPr="004D6881">
        <w:t>,</w:t>
      </w:r>
      <w:r w:rsidRPr="004D6881">
        <w:t xml:space="preserve"> due to their size</w:t>
      </w:r>
      <w:r w:rsidR="00010D8F" w:rsidRPr="004D6881">
        <w:t>,</w:t>
      </w:r>
      <w:r w:rsidRPr="004D6881">
        <w:t xml:space="preserve"> amino acids such as phenylalanine can fold </w:t>
      </w:r>
      <w:r w:rsidR="00737E33" w:rsidRPr="004D6881">
        <w:t>away from</w:t>
      </w:r>
      <w:r w:rsidRPr="004D6881">
        <w:t xml:space="preserve"> </w:t>
      </w:r>
      <w:r w:rsidR="00010D8F" w:rsidRPr="004D6881">
        <w:t xml:space="preserve">the </w:t>
      </w:r>
      <w:r w:rsidRPr="004D6881">
        <w:t xml:space="preserve">interface at the </w:t>
      </w:r>
      <w:r w:rsidR="00010D8F" w:rsidRPr="004D6881">
        <w:t>C</w:t>
      </w:r>
      <w:r w:rsidRPr="004D6881">
        <w:rPr>
          <w:vertAlign w:val="subscript"/>
        </w:rPr>
        <w:t>β</w:t>
      </w:r>
      <w:r w:rsidR="00010D8F" w:rsidRPr="004D6881">
        <w:t>-</w:t>
      </w:r>
      <w:r w:rsidRPr="004D6881">
        <w:t xml:space="preserve">atom, </w:t>
      </w:r>
      <w:r w:rsidR="00F13177" w:rsidRPr="004D6881">
        <w:t>removing the influence of the sidechain form the interdomain dynamics and allowing</w:t>
      </w:r>
      <w:r w:rsidRPr="004D6881">
        <w:t xml:space="preserve"> the residue to</w:t>
      </w:r>
      <w:r w:rsidR="00F13177" w:rsidRPr="004D6881">
        <w:t xml:space="preserve"> </w:t>
      </w:r>
      <w:r w:rsidRPr="004D6881">
        <w:t>be</w:t>
      </w:r>
      <w:r w:rsidR="00010D8F" w:rsidRPr="004D6881">
        <w:t xml:space="preserve"> accommodated at the interface</w:t>
      </w:r>
      <w:r w:rsidRPr="004D6881">
        <w:t>.</w:t>
      </w:r>
      <w:r w:rsidR="00F13177" w:rsidRPr="004D6881">
        <w:t xml:space="preserve"> </w:t>
      </w:r>
      <w:r w:rsidR="000F752C" w:rsidRPr="004D6881">
        <w:t>Interestingly, t</w:t>
      </w:r>
      <w:r w:rsidRPr="004D6881">
        <w:t xml:space="preserve">ryptophan </w:t>
      </w:r>
      <w:r w:rsidR="000F752C" w:rsidRPr="004D6881">
        <w:t>was</w:t>
      </w:r>
      <w:r w:rsidRPr="004D6881">
        <w:t xml:space="preserve"> the only residue other than valine to mimic the wildtype PC2 conformational space. This large </w:t>
      </w:r>
      <w:r w:rsidRPr="004D6881">
        <w:lastRenderedPageBreak/>
        <w:t xml:space="preserve">hydrophobic residue </w:t>
      </w:r>
      <w:r w:rsidR="00F13177" w:rsidRPr="004D6881">
        <w:t>turns</w:t>
      </w:r>
      <w:r w:rsidRPr="004D6881">
        <w:t xml:space="preserve"> upward into a gap between β-sheets C and F of I11, acting as a splint to hold the domains into an upright and untwisted conformation</w:t>
      </w:r>
      <w:r w:rsidR="00026132" w:rsidRPr="004D6881">
        <w:t>, thereby not leading to significant changes</w:t>
      </w:r>
      <w:r w:rsidRPr="004D6881">
        <w:t xml:space="preserve">. Interesting, </w:t>
      </w:r>
      <w:proofErr w:type="spellStart"/>
      <w:r w:rsidRPr="004D6881">
        <w:t>FoldX</w:t>
      </w:r>
      <w:proofErr w:type="spellEnd"/>
      <w:r w:rsidRPr="004D6881">
        <w:t xml:space="preserve"> which performs a small minimisation step, also calculates a similar accommodation of this residue, </w:t>
      </w:r>
      <w:r w:rsidR="00026132" w:rsidRPr="004D6881">
        <w:t>so that W</w:t>
      </w:r>
      <w:r w:rsidRPr="004D6881">
        <w:t xml:space="preserve"> is only mildly destabilising</w:t>
      </w:r>
      <w:r w:rsidR="00E44E48" w:rsidRPr="004D6881">
        <w:t xml:space="preserve"> (</w:t>
      </w:r>
      <w:r w:rsidR="00844547" w:rsidRPr="004D6881">
        <w:t>2.</w:t>
      </w:r>
      <w:r w:rsidR="00A54B46" w:rsidRPr="004D6881">
        <w:t>70</w:t>
      </w:r>
      <w:r w:rsidR="00E44E48" w:rsidRPr="004D6881">
        <w:t xml:space="preserve"> kcal/</w:t>
      </w:r>
      <w:proofErr w:type="spellStart"/>
      <w:r w:rsidR="00E44E48" w:rsidRPr="004D6881">
        <w:t>mol</w:t>
      </w:r>
      <w:proofErr w:type="spellEnd"/>
      <w:r w:rsidR="00E44E48" w:rsidRPr="004D6881">
        <w:t>)</w:t>
      </w:r>
      <w:r w:rsidRPr="004D6881">
        <w:t xml:space="preserve"> with a similar </w:t>
      </w:r>
      <w:proofErr w:type="spellStart"/>
      <w:r w:rsidR="00E44E48" w:rsidRPr="004D6881">
        <w:t>ΔΔG</w:t>
      </w:r>
      <w:r w:rsidR="00A54B46" w:rsidRPr="004D6881">
        <w:rPr>
          <w:vertAlign w:val="subscript"/>
        </w:rPr>
        <w:t>tandem</w:t>
      </w:r>
      <w:proofErr w:type="spellEnd"/>
      <w:r w:rsidR="00A54B46" w:rsidRPr="004D6881">
        <w:rPr>
          <w:vertAlign w:val="subscript"/>
        </w:rPr>
        <w:t xml:space="preserve"> </w:t>
      </w:r>
      <w:r w:rsidRPr="004D6881">
        <w:t>to alanine</w:t>
      </w:r>
      <w:r w:rsidR="00E44E48" w:rsidRPr="004D6881">
        <w:t xml:space="preserve"> (</w:t>
      </w:r>
      <w:r w:rsidR="00844547" w:rsidRPr="004D6881">
        <w:t>2.6</w:t>
      </w:r>
      <w:r w:rsidR="00A54B46" w:rsidRPr="004D6881">
        <w:t>7</w:t>
      </w:r>
      <w:r w:rsidR="00E44E48" w:rsidRPr="004D6881">
        <w:t xml:space="preserve"> kcal/</w:t>
      </w:r>
      <w:proofErr w:type="spellStart"/>
      <w:r w:rsidR="00E44E48" w:rsidRPr="004D6881">
        <w:t>mol</w:t>
      </w:r>
      <w:proofErr w:type="spellEnd"/>
      <w:r w:rsidR="00E44E48" w:rsidRPr="004D6881">
        <w:t>)</w:t>
      </w:r>
      <w:r w:rsidRPr="004D6881">
        <w:t>.</w:t>
      </w:r>
      <w:r w:rsidR="00AA0706" w:rsidRPr="004D6881">
        <w:t xml:space="preserve"> </w:t>
      </w:r>
    </w:p>
    <w:p w14:paraId="59B8C1D3" w14:textId="77777777" w:rsidR="00026132" w:rsidRPr="004D6881" w:rsidRDefault="00026132" w:rsidP="00026132">
      <w:pPr>
        <w:pBdr>
          <w:top w:val="nil"/>
          <w:left w:val="nil"/>
          <w:bottom w:val="nil"/>
          <w:right w:val="nil"/>
          <w:between w:val="nil"/>
        </w:pBdr>
        <w:spacing w:line="360" w:lineRule="auto"/>
        <w:jc w:val="both"/>
      </w:pPr>
    </w:p>
    <w:p w14:paraId="7B7B6274" w14:textId="77777777" w:rsidR="004E5AC1" w:rsidRPr="004D6881" w:rsidRDefault="004E5AC1" w:rsidP="004E5AC1">
      <w:pPr>
        <w:pBdr>
          <w:top w:val="nil"/>
          <w:left w:val="nil"/>
          <w:bottom w:val="nil"/>
          <w:right w:val="nil"/>
          <w:between w:val="nil"/>
        </w:pBdr>
        <w:spacing w:line="360" w:lineRule="auto"/>
        <w:jc w:val="both"/>
        <w:rPr>
          <w:b/>
        </w:rPr>
      </w:pPr>
      <w:r w:rsidRPr="004D6881">
        <w:rPr>
          <w:b/>
        </w:rPr>
        <w:t>Creation of a positional stability landscape to determine which positions are most vulnerable to residue exchange</w:t>
      </w:r>
    </w:p>
    <w:p w14:paraId="477CEAA9" w14:textId="77777777" w:rsidR="004E5AC1" w:rsidRPr="004D6881" w:rsidRDefault="004E5AC1" w:rsidP="004E5AC1">
      <w:pPr>
        <w:pBdr>
          <w:top w:val="nil"/>
          <w:left w:val="nil"/>
          <w:bottom w:val="nil"/>
          <w:right w:val="nil"/>
          <w:between w:val="nil"/>
        </w:pBdr>
        <w:spacing w:line="360" w:lineRule="auto"/>
        <w:jc w:val="both"/>
      </w:pPr>
    </w:p>
    <w:p w14:paraId="1E432C3D" w14:textId="69F66460" w:rsidR="004E5AC1" w:rsidRPr="00B85DA9" w:rsidRDefault="004E5AC1" w:rsidP="004E5AC1">
      <w:pPr>
        <w:pBdr>
          <w:top w:val="nil"/>
          <w:left w:val="nil"/>
          <w:bottom w:val="nil"/>
          <w:right w:val="nil"/>
          <w:between w:val="nil"/>
        </w:pBdr>
        <w:spacing w:line="360" w:lineRule="auto"/>
        <w:jc w:val="both"/>
        <w:rPr>
          <w:noProof/>
          <w:color w:val="0432FF"/>
        </w:rPr>
      </w:pPr>
      <w:r w:rsidRPr="004D6881">
        <w:t xml:space="preserve">For titin domains of known 3D-structure, the change in stability caused by a residue exchange can be estimated computationally by calculating the difference in Gibbs energy of folding between the wild-type and </w:t>
      </w:r>
      <w:r w:rsidRPr="00551659">
        <w:rPr>
          <w:i/>
        </w:rPr>
        <w:t>in silico</w:t>
      </w:r>
      <w:r w:rsidRPr="004D6881">
        <w:t xml:space="preserve"> mutated structures (</w:t>
      </w:r>
      <w:r w:rsidRPr="004D6881">
        <w:sym w:font="Symbol" w:char="F044"/>
      </w:r>
      <w:r w:rsidRPr="004D6881">
        <w:sym w:font="Symbol" w:char="F044"/>
      </w:r>
      <w:r w:rsidRPr="004D6881">
        <w:t xml:space="preserve">G). Here, we used the consensus of </w:t>
      </w:r>
      <w:proofErr w:type="spellStart"/>
      <w:r w:rsidRPr="004D6881">
        <w:t>FoldX</w:t>
      </w:r>
      <w:proofErr w:type="spellEnd"/>
      <w:r w:rsidRPr="004D6881">
        <w:t xml:space="preserve"> (</w:t>
      </w:r>
      <w:proofErr w:type="spellStart"/>
      <w:r w:rsidRPr="004D6881">
        <w:rPr>
          <w:color w:val="0000FF"/>
        </w:rPr>
        <w:t>Schymkowitz</w:t>
      </w:r>
      <w:proofErr w:type="spellEnd"/>
      <w:r w:rsidRPr="004D6881">
        <w:rPr>
          <w:color w:val="0000FF"/>
        </w:rPr>
        <w:t xml:space="preserve"> et al, 2005</w:t>
      </w:r>
      <w:r w:rsidRPr="004D6881">
        <w:t>) and Rosetta (</w:t>
      </w:r>
      <w:r w:rsidRPr="004D6881">
        <w:rPr>
          <w:color w:val="0000FF"/>
        </w:rPr>
        <w:t>Kellogg and Fay, 2011</w:t>
      </w:r>
      <w:r w:rsidRPr="004D6881">
        <w:t xml:space="preserve">) -two popular programs in this field- to </w:t>
      </w:r>
      <w:r w:rsidRPr="004D6881">
        <w:rPr>
          <w:color w:val="000000" w:themeColor="text1"/>
        </w:rPr>
        <w:t xml:space="preserve">identify residue positions vulnerable to exchanges. For this, we performed a positional </w:t>
      </w:r>
      <w:r w:rsidRPr="004D6881">
        <w:t xml:space="preserve">substitution scan of all residues in the I10-I11 tandem. The ΔΔG </w:t>
      </w:r>
      <w:r w:rsidR="00755DA4">
        <w:t>for</w:t>
      </w:r>
      <w:r w:rsidR="00755DA4" w:rsidRPr="004D6881">
        <w:t xml:space="preserve"> </w:t>
      </w:r>
      <w:r w:rsidRPr="004D6881">
        <w:t>each position</w:t>
      </w:r>
      <w:r w:rsidR="00755DA4">
        <w:t xml:space="preserve"> (</w:t>
      </w:r>
      <w:proofErr w:type="spellStart"/>
      <w:r w:rsidR="00755DA4" w:rsidRPr="004D6881">
        <w:t>ΔΔG</w:t>
      </w:r>
      <w:r w:rsidR="00755DA4" w:rsidRPr="004D6881">
        <w:rPr>
          <w:vertAlign w:val="subscript"/>
        </w:rPr>
        <w:t>position</w:t>
      </w:r>
      <w:proofErr w:type="spellEnd"/>
      <w:r w:rsidR="00755DA4">
        <w:t xml:space="preserve">) </w:t>
      </w:r>
      <w:r w:rsidRPr="004D6881">
        <w:t xml:space="preserve">when mutated to every other possible amino acid was calculated using </w:t>
      </w:r>
      <w:proofErr w:type="spellStart"/>
      <w:r w:rsidRPr="004D6881">
        <w:t>FoldX</w:t>
      </w:r>
      <w:proofErr w:type="spellEnd"/>
      <w:r w:rsidRPr="004D6881">
        <w:t xml:space="preserve"> and Rosetta </w:t>
      </w:r>
      <w:proofErr w:type="spellStart"/>
      <w:r w:rsidRPr="004D6881">
        <w:t>ddg_monomer</w:t>
      </w:r>
      <w:proofErr w:type="spellEnd"/>
      <w:r w:rsidRPr="004D6881">
        <w:t xml:space="preserve"> using its high-resolution protocol</w:t>
      </w:r>
      <w:r>
        <w:t xml:space="preserve"> </w:t>
      </w:r>
      <w:r w:rsidRPr="008D6AD7">
        <w:t>(</w:t>
      </w:r>
      <w:r w:rsidRPr="00551659">
        <w:rPr>
          <w:color w:val="000000" w:themeColor="text1"/>
        </w:rPr>
        <w:t xml:space="preserve">supplementary figure </w:t>
      </w:r>
      <w:r w:rsidR="00755DA4" w:rsidRPr="00551659">
        <w:rPr>
          <w:color w:val="000000" w:themeColor="text1"/>
        </w:rPr>
        <w:t>S</w:t>
      </w:r>
      <w:r w:rsidR="00A30444" w:rsidRPr="00551659">
        <w:rPr>
          <w:color w:val="000000" w:themeColor="text1"/>
          <w:highlight w:val="yellow"/>
        </w:rPr>
        <w:t>2</w:t>
      </w:r>
      <w:r w:rsidRPr="008D6AD7">
        <w:t>)</w:t>
      </w:r>
      <w:r w:rsidRPr="004D6881">
        <w:t xml:space="preserve">. </w:t>
      </w:r>
      <w:proofErr w:type="spellStart"/>
      <w:r w:rsidRPr="004D6881">
        <w:t>FoldX</w:t>
      </w:r>
      <w:proofErr w:type="spellEnd"/>
      <w:r w:rsidRPr="004D6881">
        <w:t xml:space="preserve"> calculates the energy of the mutated structure after a small adjustment of the residue </w:t>
      </w:r>
      <w:proofErr w:type="spellStart"/>
      <w:r w:rsidRPr="004D6881">
        <w:t>rotamers</w:t>
      </w:r>
      <w:proofErr w:type="spellEnd"/>
      <w:r w:rsidRPr="004D6881">
        <w:t xml:space="preserve"> around the mutation point and does not perform energy minimization of the novel mutated structures. To investigate if the residue exchange could be accommodated if there were local structural rearrangements, the Rosetta routine </w:t>
      </w:r>
      <w:proofErr w:type="spellStart"/>
      <w:r w:rsidRPr="004D6881">
        <w:t>ddg_monomer</w:t>
      </w:r>
      <w:proofErr w:type="spellEnd"/>
      <w:r w:rsidRPr="004D6881">
        <w:t xml:space="preserve"> was also employed. To create a protein stability landscape for each residue position along the protein chain, stability scores per position were averaged for each program separately to create an instability score. As Rosetta proline substitutions often cause abnormally high ΔΔG scores (&gt;100 kcal/</w:t>
      </w:r>
      <w:proofErr w:type="spellStart"/>
      <w:r w:rsidRPr="004D6881">
        <w:t>mol</w:t>
      </w:r>
      <w:proofErr w:type="spellEnd"/>
      <w:r w:rsidRPr="004D6881">
        <w:t xml:space="preserve">), when the mean was calculated these values caused a distortion of the average </w:t>
      </w:r>
      <w:proofErr w:type="spellStart"/>
      <w:r w:rsidRPr="004D6881">
        <w:t>ΔΔG</w:t>
      </w:r>
      <w:r w:rsidRPr="004D6881">
        <w:rPr>
          <w:vertAlign w:val="subscript"/>
        </w:rPr>
        <w:t>position</w:t>
      </w:r>
      <w:proofErr w:type="spellEnd"/>
      <w:r w:rsidRPr="004D6881">
        <w:t xml:space="preserve">. Therefore, a median value, </w:t>
      </w:r>
      <w:proofErr w:type="spellStart"/>
      <w:r w:rsidRPr="004D6881">
        <w:rPr>
          <w:iCs/>
          <w:color w:val="222222"/>
        </w:rPr>
        <w:t>x̃ΔΔG</w:t>
      </w:r>
      <w:r w:rsidRPr="004D6881">
        <w:rPr>
          <w:vertAlign w:val="subscript"/>
        </w:rPr>
        <w:t>position</w:t>
      </w:r>
      <w:proofErr w:type="spellEnd"/>
      <w:r w:rsidRPr="004D6881">
        <w:t xml:space="preserve">, was calculated instead for position for each program. By convention, an increase in </w:t>
      </w:r>
      <w:r w:rsidRPr="004D6881">
        <w:sym w:font="Symbol" w:char="F044"/>
      </w:r>
      <w:r w:rsidRPr="004D6881">
        <w:sym w:font="Symbol" w:char="F044"/>
      </w:r>
      <w:r w:rsidRPr="004D6881">
        <w:t xml:space="preserve">G indicates a decrease in fold stability indicating a structurally damaging change and vice versa </w:t>
      </w:r>
      <w:r w:rsidRPr="004D6881">
        <w:fldChar w:fldCharType="begin" w:fldLock="1"/>
      </w:r>
      <w:r>
        <w:instrText>ADDIN CSL_CITATION {"citationItems":[{"id":"ITEM-1","itemData":{"DOI":"10.1093/nar/gki387","ISSN":"03051048","PMID":"15980494","abstract":"FoldX is an empirical force field that was developed for the rapid evaluation of the effect of mutations on the stability, folding and dynamics of proteins and nucleic acids. The core functionality of FoldX, namely the calculation of the free energy of a macromolecule based on its high-resolution 3D structure, is now publicly available through a web server at http://foldx.embl.de/. The current release allows the calculation of the stability of a protein, calculation of the positions of the protons and the prediction of water bridges, prediction of metal binding sites and the analysis of the free energy of complex formation. Alanine scanning, the systematic truncation of side chains to alanine, is also included. In addition, some reporting functions have been added, and it is now possible to print both the atomic interaction networks that constitute the protein, print the structural and energetic details of the interactions per atom or per residue, as well as generate a general quality report of the pdb structure. This core functionality will be further extended as more FoldX applications are developed. © 2005 Oxford University Press.","author":[{"dropping-particle":"","family":"Schymkowitz","given":"Joost","non-dropping-particle":"","parse-names":false,"suffix":""},{"dropping-particle":"","family":"Borg","given":"Jesper","non-dropping-particle":"","parse-names":false,"suffix":""},{"dropping-particle":"","family":"Stricher","given":"Francois","non-dropping-particle":"","parse-names":false,"suffix":""},{"dropping-particle":"","family":"Nys","given":"Robby","non-dropping-particle":"","parse-names":false,"suffix":""},{"dropping-particle":"","family":"Rousseau","given":"Frederic","non-dropping-particle":"","parse-names":false,"suffix":""},{"dropping-particle":"","family":"Serrano","given":"Luis","non-dropping-particle":"","parse-names":false,"suffix":""}],"container-title":"Nucleic Acids Research","id":"ITEM-1","issue":"SUPPL. 2","issued":{"date-parts":[["2005","7","1"]]},"page":"W382","publisher":"Oxford University Press","title":"The FoldX web server: An online force field","type":"article-journal","volume":"33"},"uris":["http://www.mendeley.com/documents/?uuid=e7ef0566-2c27-39b6-937b-410310092aa2"]}],"mendeley":{"formattedCitation":"(Schymkowitz et al., 2005)","plainTextFormattedCitation":"(Schymkowitz et al., 2005)","previouslyFormattedCitation":"(Schymkowitz et al., 2005)"},"properties":{"noteIndex":0},"schema":"https://github.com/citation-style-language/schema/raw/master/csl-citation.json"}</w:instrText>
      </w:r>
      <w:r w:rsidRPr="004D6881">
        <w:fldChar w:fldCharType="separate"/>
      </w:r>
      <w:r w:rsidRPr="00E718DB">
        <w:rPr>
          <w:noProof/>
        </w:rPr>
        <w:t>(</w:t>
      </w:r>
      <w:r w:rsidRPr="00B85DA9">
        <w:rPr>
          <w:noProof/>
          <w:color w:val="0432FF"/>
        </w:rPr>
        <w:t>Schymkowitz et al., 2005</w:t>
      </w:r>
      <w:r w:rsidRPr="00E718DB">
        <w:rPr>
          <w:noProof/>
        </w:rPr>
        <w:t>)</w:t>
      </w:r>
      <w:r w:rsidRPr="004D6881">
        <w:fldChar w:fldCharType="end"/>
      </w:r>
      <w:r w:rsidRPr="004D6881">
        <w:t>. Positions particularly vulnerable to change would therefore have a high instability score (</w:t>
      </w:r>
      <w:proofErr w:type="spellStart"/>
      <w:r w:rsidRPr="004D6881">
        <w:rPr>
          <w:iCs/>
          <w:color w:val="222222"/>
        </w:rPr>
        <w:t>x̃ΔΔG</w:t>
      </w:r>
      <w:r w:rsidRPr="004D6881">
        <w:rPr>
          <w:vertAlign w:val="subscript"/>
        </w:rPr>
        <w:t>position</w:t>
      </w:r>
      <w:proofErr w:type="spellEnd"/>
      <w:r w:rsidRPr="004D6881">
        <w:t xml:space="preserve">). This value is representative of the susceptibility for destabilisation of a given position, as positions with of a global destabilising median have on average 15 damaging individual exchanges </w:t>
      </w:r>
      <w:r w:rsidRPr="008D6AD7">
        <w:t>(</w:t>
      </w:r>
      <w:r w:rsidRPr="00551659">
        <w:rPr>
          <w:color w:val="000000" w:themeColor="text1"/>
          <w:highlight w:val="yellow"/>
        </w:rPr>
        <w:t xml:space="preserve">supplementary figure </w:t>
      </w:r>
      <w:r w:rsidR="00755DA4" w:rsidRPr="00551659">
        <w:rPr>
          <w:color w:val="000000" w:themeColor="text1"/>
          <w:highlight w:val="yellow"/>
        </w:rPr>
        <w:t>S</w:t>
      </w:r>
      <w:r w:rsidR="00A30444" w:rsidRPr="00551659">
        <w:rPr>
          <w:color w:val="000000" w:themeColor="text1"/>
          <w:highlight w:val="yellow"/>
        </w:rPr>
        <w:t>3</w:t>
      </w:r>
      <w:r w:rsidRPr="008D6AD7">
        <w:t>).</w:t>
      </w:r>
      <w:r w:rsidRPr="004D6881">
        <w:t xml:space="preserve"> </w:t>
      </w:r>
    </w:p>
    <w:p w14:paraId="1204E7A5" w14:textId="77777777" w:rsidR="004E5AC1" w:rsidRPr="004D6881" w:rsidRDefault="004E5AC1" w:rsidP="004E5AC1">
      <w:pPr>
        <w:pBdr>
          <w:top w:val="nil"/>
          <w:left w:val="nil"/>
          <w:bottom w:val="nil"/>
          <w:right w:val="nil"/>
          <w:between w:val="nil"/>
        </w:pBdr>
        <w:spacing w:line="360" w:lineRule="auto"/>
        <w:jc w:val="both"/>
      </w:pPr>
    </w:p>
    <w:p w14:paraId="6137635B" w14:textId="5C0C48AC" w:rsidR="004E5AC1" w:rsidRPr="00551659" w:rsidRDefault="004E5AC1" w:rsidP="004E5AC1">
      <w:pPr>
        <w:pBdr>
          <w:top w:val="nil"/>
          <w:left w:val="nil"/>
          <w:bottom w:val="nil"/>
          <w:right w:val="nil"/>
          <w:between w:val="nil"/>
        </w:pBdr>
        <w:spacing w:line="360" w:lineRule="auto"/>
        <w:jc w:val="both"/>
        <w:rPr>
          <w:noProof/>
          <w:color w:val="0432FF"/>
        </w:rPr>
      </w:pPr>
      <w:r w:rsidRPr="004D6881">
        <w:lastRenderedPageBreak/>
        <w:t xml:space="preserve">The positional stability landscapes calculated using </w:t>
      </w:r>
      <w:proofErr w:type="spellStart"/>
      <w:r w:rsidRPr="004D6881">
        <w:t>FoldX</w:t>
      </w:r>
      <w:proofErr w:type="spellEnd"/>
      <w:r w:rsidRPr="004D6881">
        <w:t xml:space="preserve"> and Rosetta methods were remarkably and reassuringly similar</w:t>
      </w:r>
      <w:r w:rsidR="00A30444">
        <w:t xml:space="preserve"> (</w:t>
      </w:r>
      <w:r w:rsidR="00A30444" w:rsidRPr="00A30444">
        <w:rPr>
          <w:highlight w:val="yellow"/>
        </w:rPr>
        <w:t>Fig3 B</w:t>
      </w:r>
      <w:r w:rsidR="00A30444">
        <w:t>)</w:t>
      </w:r>
      <w:r w:rsidRPr="004D6881">
        <w:t xml:space="preserve">, with a consistent profile of high or low </w:t>
      </w:r>
      <w:proofErr w:type="spellStart"/>
      <w:r w:rsidRPr="004D6881">
        <w:rPr>
          <w:iCs/>
          <w:color w:val="222222"/>
        </w:rPr>
        <w:t>x̃ΔΔG</w:t>
      </w:r>
      <w:r w:rsidRPr="004D6881">
        <w:rPr>
          <w:vertAlign w:val="subscript"/>
        </w:rPr>
        <w:t>position</w:t>
      </w:r>
      <w:proofErr w:type="spellEnd"/>
      <w:r w:rsidRPr="004D6881">
        <w:t xml:space="preserve"> scores across residue exchanges (</w:t>
      </w:r>
      <w:r w:rsidRPr="0072459A">
        <w:rPr>
          <w:color w:val="000000" w:themeColor="text1"/>
          <w:highlight w:val="yellow"/>
        </w:rPr>
        <w:t xml:space="preserve">supplementary figure </w:t>
      </w:r>
      <w:r w:rsidR="00755DA4" w:rsidRPr="0072459A">
        <w:rPr>
          <w:color w:val="000000" w:themeColor="text1"/>
          <w:highlight w:val="yellow"/>
        </w:rPr>
        <w:t>S</w:t>
      </w:r>
      <w:r w:rsidR="00A30444" w:rsidRPr="0072459A">
        <w:rPr>
          <w:color w:val="000000" w:themeColor="text1"/>
          <w:highlight w:val="yellow"/>
        </w:rPr>
        <w:t>4</w:t>
      </w:r>
      <w:r w:rsidRPr="0072459A">
        <w:rPr>
          <w:color w:val="000000" w:themeColor="text1"/>
        </w:rPr>
        <w:t xml:space="preserve">). </w:t>
      </w:r>
      <w:r w:rsidRPr="004D6881">
        <w:t xml:space="preserve">However, it is not possible to compare directly the </w:t>
      </w:r>
      <w:proofErr w:type="spellStart"/>
      <w:r w:rsidRPr="004D6881">
        <w:rPr>
          <w:iCs/>
          <w:color w:val="222222"/>
        </w:rPr>
        <w:t>x̃ΔΔG</w:t>
      </w:r>
      <w:r w:rsidRPr="004D6881">
        <w:rPr>
          <w:vertAlign w:val="subscript"/>
        </w:rPr>
        <w:t>position</w:t>
      </w:r>
      <w:proofErr w:type="spellEnd"/>
      <w:r w:rsidRPr="004D6881">
        <w:t xml:space="preserve"> </w:t>
      </w:r>
      <w:r w:rsidR="00755DA4" w:rsidRPr="004D6881">
        <w:t>instability score</w:t>
      </w:r>
      <w:r w:rsidRPr="004D6881">
        <w:t xml:space="preserve">s obtained from these programs, as these are not true energy terms but a summation of different intermolecular interactions at non-equivalent scales </w:t>
      </w:r>
      <w:r w:rsidRPr="004D6881">
        <w:fldChar w:fldCharType="begin" w:fldLock="1"/>
      </w:r>
      <w:r w:rsidR="00C2687E">
        <w:instrText>ADDIN CSL_CITATION {"citationItems":[{"id":"ITEM-1","itemData":{"DOI":"10.1371/journal.pone.0138022","ISSN":"19326203","abstract":"Thermostability issue of protein point mutations is a common occurrence in protein engineering. An application which predicts the thermostability of mutants can be helpful for guiding decision making process in protein design via mutagenesis. An in silico point mutation scanning method is frequently used to find \"hot spots\" in proteins for focused mutagenesis. ProTherm (http://gibk26.bio.kyutech.ac.jp/jouhou/Protherm/protherm.html) is a public database that consists of thousands of protein mutants' experimentally measured thermostability. Two data sets based on two differently measured thermostability properties of protein single point mutations, namely the unfolding free energy change (ddG) and melting temperature change (dTm) were obtained from this database. Folding free energy change calculation from Rosetta, structural information of the point mutations as well as amino acid physical properties were obtained for building thermostability prediction models with informatics modeling tools. Five supervised machine learning methods (support vector machine, random forests, artificial neural network, naïve Bayes classifier, K nearest neighbor) and partial least squares regression are used for building the prediction models. Binary and ternary classifications as well as regression models were built and evaluated. Data set redundancy and balancing, the reverse mutations technique, feature selection, and comparison to other published methods were discussed. Rosetta calculated folding free energy change ranked as the most influential features in all prediction models. Other descriptors also made significant contributions to increasing the accuracy of the prediction models.","author":[{"dropping-particle":"","family":"Jia","given":"Lei","non-dropping-particle":"","parse-names":false,"suffix":""},{"dropping-particle":"","family":"Yarlagadda","given":"Ramya","non-dropping-particle":"","parse-names":false,"suffix":""},{"dropping-particle":"","family":"Reed","given":"Charles C.","non-dropping-particle":"","parse-names":false,"suffix":""}],"container-title":"PLoS ONE","id":"ITEM-1","issue":"9","issued":{"date-parts":[["2015"]]},"page":"e0138022","title":"Structure based thermostability prediction models for protein single point mutations with machine learning tools","type":"article-journal","volume":"10"},"uris":["http://www.mendeley.com/documents/?uuid=0cc0aa8c-9ef0-4f05-906a-913e0b0175d8"]},{"id":"ITEM-2","itemData":{"DOI":"10.1093/nar/gki387","ISSN":"03051048","PMID":"15980494","abstract":"FoldX is an empirical force field that was developed for the rapid evaluation of the effect of mutations on the stability, folding and dynamics of proteins and nucleic acids. The core functionality of FoldX, namely the calculation of the free energy of a macromolecule based on its high-resolution 3D structure, is now publicly available through a web server at http://foldx.embl.de/. The current release allows the calculation of the stability of a protein, calculation of the positions of the protons and the prediction of water bridges, prediction of metal binding sites and the analysis of the free energy of complex formation. Alanine scanning, the systematic truncation of side chains to alanine, is also included. In addition, some reporting functions have been added, and it is now possible to print both the atomic interaction networks that constitute the protein, print the structural and energetic details of the interactions per atom or per residue, as well as generate a general quality report of the pdb structure. This core functionality will be further extended as more FoldX applications are developed. © 2005 Oxford University Press.","author":[{"dropping-particle":"","family":"Schymkowitz","given":"Joost","non-dropping-particle":"","parse-names":false,"suffix":""},{"dropping-particle":"","family":"Borg","given":"Jesper","non-dropping-particle":"","parse-names":false,"suffix":""},{"dropping-particle":"","family":"Stricher","given":"Francois","non-dropping-particle":"","parse-names":false,"suffix":""},{"dropping-particle":"","family":"Nys","given":"Robby","non-dropping-particle":"","parse-names":false,"suffix":""},{"dropping-particle":"","family":"Rousseau","given":"Frederic","non-dropping-particle":"","parse-names":false,"suffix":""},{"dropping-particle":"","family":"Serrano","given":"Luis","non-dropping-particle":"","parse-names":false,"suffix":""}],"container-title":"Nucleic Acids Research","id":"ITEM-2","issue":"SUPPL. 2","issued":{"date-parts":[["2005","7","1"]]},"page":"W382","publisher":"Oxford University Press","title":"The FoldX web server: An online force field","type":"article-journal","volume":"33"},"uris":["http://www.mendeley.com/documents/?uuid=e7ef0566-2c27-39b6-937b-410310092aa2"]},{"id":"ITEM-3","itemData":{"DOI":"10.1002/prot.22921","ISSN":"08873585","abstract":"The prediction of changes in protein stability and structure resulting from single amino acid substitutions is both a fundamental test of macromolecular modeling methodology and an important current problem as high throughput sequencing reveals sequence polymorphisms at an increasing rate. In principle, given the structure of a wild-type protein and a point mutation whose effects are to be predicted, an accurate method should recapitulate both the structural changes and the change in the folding-free energy. Here, we explore the performance of protocols which sample an increasing diversity of conformations. We find that surprisingly similar performances in predicting changes in stability are achieved using protocols that involve very different amounts of conformational sampling, provided that the resolution of the force field is matched to the resolution of the sampling method. Methods involving backbone sampling can in some cases closely recapitulate the structural changes accompanying mutations but not surprisingly tend to do more harm than good in cases where structural changes are negligible. Analysis of the outliers in the stability change calculations suggests areas needing particular improvement; these include the balance between desolvation and the formation of favorable buried polar interactions, and unfolded state modeling. © 2010 Wiley-Liss, Inc.","author":[{"dropping-particle":"","family":"Kellogg","given":"Elizabeth H.","non-dropping-particle":"","parse-names":false,"suffix":""},{"dropping-particle":"","family":"Leaver-Fay","given":"Andrew","non-dropping-particle":"","parse-names":false,"suffix":""},{"dropping-particle":"","family":"Baker","given":"David","non-dropping-particle":"","parse-names":false,"suffix":""}],"container-title":"Proteins: Structure, Function and Bioinformatics","id":"ITEM-3","issue":"3","issued":{"date-parts":[["2011"]]},"page":"830-838","title":"Role of conformational sampling in computing mutation-induced changes in protein structure and stability","type":"article-journal","volume":"79"},"uris":["http://www.mendeley.com/documents/?uuid=7ec31ffd-6d46-4a44-9e9d-e2c2158e4860"]}],"mendeley":{"formattedCitation":"(Jia et al., 2015; Kellogg et al., 2011; Schymkowitz et al., 2005)","plainTextFormattedCitation":"(Jia et al., 2015; Kellogg et al., 2011; Schymkowitz et al., 2005)","previouslyFormattedCitation":"(Jia, Yarlagadda, &amp; Reed, 2015; Kellogg et al., 2011; Schymkowitz et al., 2005)"},"properties":{"noteIndex":0},"schema":"https://github.com/citation-style-language/schema/raw/master/csl-citation.json"}</w:instrText>
      </w:r>
      <w:r w:rsidRPr="004D6881">
        <w:fldChar w:fldCharType="separate"/>
      </w:r>
      <w:r w:rsidR="00C2687E" w:rsidRPr="00C2687E">
        <w:rPr>
          <w:noProof/>
          <w:color w:val="0432FF"/>
        </w:rPr>
        <w:t>(</w:t>
      </w:r>
      <w:r w:rsidR="00755DA4" w:rsidRPr="00C2687E">
        <w:rPr>
          <w:noProof/>
          <w:color w:val="0432FF"/>
        </w:rPr>
        <w:t>Schymkowitz et al., 2005</w:t>
      </w:r>
      <w:r w:rsidR="00755DA4">
        <w:rPr>
          <w:noProof/>
          <w:color w:val="0432FF"/>
        </w:rPr>
        <w:t xml:space="preserve">; </w:t>
      </w:r>
      <w:r w:rsidR="00C2687E" w:rsidRPr="00C2687E">
        <w:rPr>
          <w:noProof/>
          <w:color w:val="0432FF"/>
        </w:rPr>
        <w:t>Kellogg et al., 2011;</w:t>
      </w:r>
      <w:r w:rsidR="00755DA4">
        <w:rPr>
          <w:noProof/>
          <w:color w:val="0432FF"/>
        </w:rPr>
        <w:t xml:space="preserve"> </w:t>
      </w:r>
      <w:r w:rsidR="00755DA4" w:rsidRPr="00C2687E">
        <w:rPr>
          <w:noProof/>
          <w:color w:val="0432FF"/>
        </w:rPr>
        <w:t>Jia et al., 2015</w:t>
      </w:r>
      <w:r w:rsidR="00C2687E" w:rsidRPr="00C2687E">
        <w:rPr>
          <w:noProof/>
          <w:color w:val="0432FF"/>
        </w:rPr>
        <w:t>)</w:t>
      </w:r>
      <w:r w:rsidRPr="004D6881">
        <w:fldChar w:fldCharType="end"/>
      </w:r>
      <w:r w:rsidRPr="004D6881">
        <w:t xml:space="preserve">. For example, Rosetta (but not </w:t>
      </w:r>
      <w:proofErr w:type="spellStart"/>
      <w:r w:rsidRPr="004D6881">
        <w:t>FoldX</w:t>
      </w:r>
      <w:proofErr w:type="spellEnd"/>
      <w:r w:rsidRPr="004D6881">
        <w:t xml:space="preserve">) includes steric effects and hydrogen bonds into its ΔΔG term and, in general, resulted in much higher </w:t>
      </w:r>
      <w:proofErr w:type="spellStart"/>
      <w:r w:rsidRPr="004D6881">
        <w:rPr>
          <w:iCs/>
          <w:color w:val="222222"/>
        </w:rPr>
        <w:t>x̃ΔΔG</w:t>
      </w:r>
      <w:r w:rsidRPr="004D6881">
        <w:rPr>
          <w:vertAlign w:val="subscript"/>
        </w:rPr>
        <w:t>position</w:t>
      </w:r>
      <w:proofErr w:type="spellEnd"/>
      <w:r w:rsidRPr="004D6881" w:rsidDel="00E13738">
        <w:t xml:space="preserve"> </w:t>
      </w:r>
      <w:r w:rsidRPr="004D6881">
        <w:t xml:space="preserve">values in this study, in particularly for proline substitutions. Additionally, there is no established ΔΔG threshold value to classify instability in either of the programs. In fact, the ΔΔG value to be considered as destabilising is relative to the initial structure of the molecule and can be different for different proteins </w:t>
      </w:r>
      <w:r w:rsidRPr="004D6881">
        <w:fldChar w:fldCharType="begin" w:fldLock="1"/>
      </w:r>
      <w:r>
        <w:instrText>ADDIN CSL_CITATION {"citationItems":[{"id":"ITEM-1","itemData":{"DOI":"10.1186/1471-2105-10-S8-S8","ISSN":"14712105","abstract":"Background: Mutations resulting in the disruption of protein function are the underlying causes of many genetic diseases. Some mutations affect the number of expressed proteins while others alter the activity on a per-molecule basis. Single amino acid substitutions as caused by non-synonymous Single Nucleotide Polymorphisms (nsSNPs) often disrupt function by altering protein structure and/or stability, but can also wreak havoc by directly impacting functional binding sites. Given the experimental three-dimensional (3D) structure of a protein, we can try to differentiate between the \"effect on structure/stability\" and the \"effect on binding\". However, experimental 3D structures are available for only 1% of all known proteins; the magnitude of stability change caused by a given mutation is more widely available. Results: Here, we analyze to which extent the functional effect of a mutation can be predicted from the effect on protein stability. We find that simple sequence-based methods succeed in predicting functional effects of nsSNPs. In fact, such methods consistently outperform approaches that predict functional change through the application of binary thresholds to stability change. We also observed that if stability is affected, functional change is easier to predict than when stability is not affected. Conclusion: Our results confirmed that stability change is somehow related to function change. However, we also show that the knowledge of stability changes in no way suffices to predict functional changes and that many function changing mutations have no effect on stability. © 2009 Bromberg and Rost; licensee BioMed Central Ltd.","author":[{"dropping-particle":"","family":"Bromberg","given":"Yana","non-dropping-particle":"","parse-names":false,"suffix":""},{"dropping-particle":"","family":"Rost","given":"Burkhard","non-dropping-particle":"","parse-names":false,"suffix":""}],"container-title":"BMC Bioinformatics","id":"ITEM-1","issued":{"date-parts":[["2009"]]},"page":"S8","title":"Correlating protein function and stability through the analysis of single amino acid substitutions","type":"article-journal","volume":"10"},"uris":["http://www.mendeley.com/documents/?uuid=de339961-6d37-48cc-be1d-5c4b97017e03"]}],"mendeley":{"formattedCitation":"(Bromberg &amp; Rost, 2009)","plainTextFormattedCitation":"(Bromberg &amp; Rost, 2009)","previouslyFormattedCitation":"(Bromberg &amp; Rost, 2009)"},"properties":{"noteIndex":0},"schema":"https://github.com/citation-style-language/schema/raw/master/csl-citation.json"}</w:instrText>
      </w:r>
      <w:r w:rsidRPr="004D6881">
        <w:fldChar w:fldCharType="separate"/>
      </w:r>
      <w:r w:rsidRPr="00E718DB">
        <w:rPr>
          <w:noProof/>
        </w:rPr>
        <w:t>(</w:t>
      </w:r>
      <w:r w:rsidRPr="00AC223B">
        <w:rPr>
          <w:noProof/>
          <w:color w:val="0432FF"/>
        </w:rPr>
        <w:t>Bromberg &amp; Rost, 2009)</w:t>
      </w:r>
      <w:r w:rsidRPr="004D6881">
        <w:fldChar w:fldCharType="end"/>
      </w:r>
      <w:r w:rsidRPr="004D6881">
        <w:t>. Therefore, to decide which stabilities should be assigned as destabilising in this study, a ΔΔG threshold was chosen for each program as to empirically yield the highest consensus between the calculated stability landscapes. This was &gt;2 kcal/</w:t>
      </w:r>
      <w:proofErr w:type="spellStart"/>
      <w:r w:rsidRPr="004D6881">
        <w:t>mol</w:t>
      </w:r>
      <w:proofErr w:type="spellEnd"/>
      <w:r w:rsidRPr="004D6881">
        <w:t xml:space="preserve"> for </w:t>
      </w:r>
      <w:proofErr w:type="spellStart"/>
      <w:r w:rsidRPr="004D6881">
        <w:t>FoldX</w:t>
      </w:r>
      <w:proofErr w:type="spellEnd"/>
      <w:r w:rsidRPr="004D6881">
        <w:t xml:space="preserve"> and 5 kcal/</w:t>
      </w:r>
      <w:proofErr w:type="spellStart"/>
      <w:r w:rsidRPr="004D6881">
        <w:t>mol</w:t>
      </w:r>
      <w:proofErr w:type="spellEnd"/>
      <w:r w:rsidRPr="004D6881">
        <w:t xml:space="preserve"> for Rosetta (</w:t>
      </w:r>
      <w:r w:rsidRPr="00A30444">
        <w:rPr>
          <w:color w:val="FF0000"/>
          <w:highlight w:val="yellow"/>
        </w:rPr>
        <w:t xml:space="preserve">Fig </w:t>
      </w:r>
      <w:r w:rsidR="00A30444" w:rsidRPr="00A30444">
        <w:rPr>
          <w:color w:val="FF0000"/>
          <w:highlight w:val="yellow"/>
        </w:rPr>
        <w:t>3</w:t>
      </w:r>
      <w:r w:rsidRPr="00A30444">
        <w:rPr>
          <w:color w:val="FF0000"/>
          <w:highlight w:val="yellow"/>
        </w:rPr>
        <w:t>A</w:t>
      </w:r>
      <w:r w:rsidRPr="004D6881">
        <w:t xml:space="preserve">) which gave an overall consensus of 93%. Not unexpectedly, the residue exchange which caused the greatest disagreement between the programs was proline (79% agreement). </w:t>
      </w:r>
    </w:p>
    <w:p w14:paraId="24EB7FAA" w14:textId="77777777" w:rsidR="004E5AC1" w:rsidRPr="004D6881" w:rsidRDefault="004E5AC1" w:rsidP="004E5AC1">
      <w:pPr>
        <w:pBdr>
          <w:top w:val="nil"/>
          <w:left w:val="nil"/>
          <w:bottom w:val="nil"/>
          <w:right w:val="nil"/>
          <w:between w:val="nil"/>
        </w:pBdr>
        <w:spacing w:line="360" w:lineRule="auto"/>
        <w:jc w:val="both"/>
      </w:pPr>
    </w:p>
    <w:p w14:paraId="798D5BEB" w14:textId="77777777" w:rsidR="004E5AC1" w:rsidRPr="004D6881" w:rsidRDefault="004E5AC1" w:rsidP="004E5AC1">
      <w:pPr>
        <w:pBdr>
          <w:top w:val="nil"/>
          <w:left w:val="nil"/>
          <w:bottom w:val="nil"/>
          <w:right w:val="nil"/>
          <w:between w:val="nil"/>
        </w:pBdr>
        <w:spacing w:line="360" w:lineRule="auto"/>
        <w:jc w:val="center"/>
      </w:pPr>
      <w:r w:rsidRPr="004D6881">
        <w:rPr>
          <w:noProof/>
        </w:rPr>
        <w:lastRenderedPageBreak/>
        <w:drawing>
          <wp:inline distT="0" distB="0" distL="0" distR="0" wp14:anchorId="76690FDE" wp14:editId="3792B05C">
            <wp:extent cx="5727700" cy="64357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27700" cy="6435725"/>
                    </a:xfrm>
                    <a:prstGeom prst="rect">
                      <a:avLst/>
                    </a:prstGeom>
                  </pic:spPr>
                </pic:pic>
              </a:graphicData>
            </a:graphic>
          </wp:inline>
        </w:drawing>
      </w:r>
    </w:p>
    <w:p w14:paraId="3F0C4B4B" w14:textId="4E2E251D" w:rsidR="004E5AC1" w:rsidRPr="004D6881" w:rsidRDefault="004E5AC1" w:rsidP="004E5AC1">
      <w:pPr>
        <w:jc w:val="both"/>
      </w:pPr>
      <w:r w:rsidRPr="00A30444">
        <w:rPr>
          <w:b/>
          <w:sz w:val="22"/>
          <w:highlight w:val="yellow"/>
        </w:rPr>
        <w:t xml:space="preserve">Fig </w:t>
      </w:r>
      <w:r w:rsidR="00A30444" w:rsidRPr="00A30444">
        <w:rPr>
          <w:b/>
          <w:sz w:val="22"/>
          <w:highlight w:val="yellow"/>
        </w:rPr>
        <w:t>3</w:t>
      </w:r>
      <w:r w:rsidRPr="00A30444">
        <w:rPr>
          <w:b/>
          <w:sz w:val="22"/>
          <w:highlight w:val="yellow"/>
        </w:rPr>
        <w:t>.</w:t>
      </w:r>
      <w:r w:rsidRPr="004D6881">
        <w:rPr>
          <w:b/>
          <w:sz w:val="22"/>
        </w:rPr>
        <w:t xml:space="preserve"> Agreement in I10-I11 tandem stability landscapes between </w:t>
      </w:r>
      <w:proofErr w:type="spellStart"/>
      <w:r w:rsidRPr="004D6881">
        <w:rPr>
          <w:b/>
          <w:sz w:val="22"/>
        </w:rPr>
        <w:t>FoldX</w:t>
      </w:r>
      <w:proofErr w:type="spellEnd"/>
      <w:r w:rsidRPr="004D6881">
        <w:rPr>
          <w:b/>
          <w:sz w:val="22"/>
        </w:rPr>
        <w:t xml:space="preserve"> and Rosetta. A.</w:t>
      </w:r>
      <w:r w:rsidRPr="004D6881">
        <w:rPr>
          <w:sz w:val="22"/>
        </w:rPr>
        <w:t xml:space="preserve"> Table comparing the consensus between </w:t>
      </w:r>
      <w:proofErr w:type="spellStart"/>
      <w:r w:rsidRPr="004D6881">
        <w:rPr>
          <w:sz w:val="22"/>
        </w:rPr>
        <w:t>FoldX</w:t>
      </w:r>
      <w:proofErr w:type="spellEnd"/>
      <w:r w:rsidRPr="004D6881">
        <w:rPr>
          <w:sz w:val="22"/>
        </w:rPr>
        <w:t xml:space="preserve"> and Rosetta when positions are assigned as damaging based on different </w:t>
      </w:r>
      <w:r w:rsidRPr="004D6881">
        <w:rPr>
          <w:rFonts w:ascii="Symbol" w:hAnsi="Symbol"/>
          <w:sz w:val="22"/>
        </w:rPr>
        <w:t></w:t>
      </w:r>
      <w:r w:rsidRPr="004D6881">
        <w:rPr>
          <w:rFonts w:ascii="Symbol" w:hAnsi="Symbol"/>
          <w:sz w:val="22"/>
        </w:rPr>
        <w:t></w:t>
      </w:r>
      <w:r w:rsidRPr="004D6881">
        <w:rPr>
          <w:sz w:val="22"/>
        </w:rPr>
        <w:t xml:space="preserve">G </w:t>
      </w:r>
      <w:proofErr w:type="spellStart"/>
      <w:r w:rsidRPr="004D6881">
        <w:rPr>
          <w:sz w:val="22"/>
        </w:rPr>
        <w:t>cutoffs</w:t>
      </w:r>
      <w:proofErr w:type="spellEnd"/>
      <w:r w:rsidRPr="004D6881">
        <w:rPr>
          <w:sz w:val="22"/>
        </w:rPr>
        <w:t xml:space="preserve">. Agreement percentages separated into categories based on amino acid characteristics: positively charged (RHK), negatively charged (ED), polar uncharged (STNQ), proline (P), small hydrophobic (GAVIL) and large hydrophobic and cysteine (CMFYW). </w:t>
      </w:r>
      <w:r w:rsidRPr="004D6881">
        <w:rPr>
          <w:rStyle w:val="apple-converted-space"/>
          <w:rFonts w:ascii="Arial" w:hAnsi="Arial" w:cs="Arial"/>
          <w:color w:val="222222"/>
          <w:sz w:val="21"/>
          <w:szCs w:val="21"/>
          <w:shd w:val="clear" w:color="auto" w:fill="FFFFFF"/>
        </w:rPr>
        <w:t> </w:t>
      </w:r>
      <w:r w:rsidRPr="004D6881">
        <w:rPr>
          <w:sz w:val="22"/>
        </w:rPr>
        <w:t xml:space="preserve"> </w:t>
      </w:r>
      <w:r w:rsidRPr="004D6881">
        <w:rPr>
          <w:b/>
          <w:sz w:val="22"/>
        </w:rPr>
        <w:t>B.</w:t>
      </w:r>
      <w:r w:rsidRPr="004D6881">
        <w:rPr>
          <w:sz w:val="22"/>
        </w:rPr>
        <w:t xml:space="preserve"> Median change in </w:t>
      </w:r>
      <w:r w:rsidRPr="004D6881">
        <w:t>ΔΔG</w:t>
      </w:r>
      <w:r w:rsidRPr="004D6881">
        <w:rPr>
          <w:sz w:val="22"/>
        </w:rPr>
        <w:t xml:space="preserve"> per positions coloured by agreement between programs using </w:t>
      </w:r>
      <w:proofErr w:type="spellStart"/>
      <w:r w:rsidRPr="004D6881">
        <w:rPr>
          <w:sz w:val="22"/>
        </w:rPr>
        <w:t>cutoffs</w:t>
      </w:r>
      <w:proofErr w:type="spellEnd"/>
      <w:r w:rsidRPr="004D6881">
        <w:rPr>
          <w:sz w:val="22"/>
        </w:rPr>
        <w:t xml:space="preserve"> of 2 kcal/</w:t>
      </w:r>
      <w:proofErr w:type="spellStart"/>
      <w:r w:rsidRPr="004D6881">
        <w:rPr>
          <w:sz w:val="22"/>
        </w:rPr>
        <w:t>mol</w:t>
      </w:r>
      <w:proofErr w:type="spellEnd"/>
      <w:r w:rsidRPr="004D6881">
        <w:rPr>
          <w:sz w:val="22"/>
        </w:rPr>
        <w:t xml:space="preserve"> for </w:t>
      </w:r>
      <w:proofErr w:type="spellStart"/>
      <w:r w:rsidRPr="004D6881">
        <w:rPr>
          <w:sz w:val="22"/>
        </w:rPr>
        <w:t>FoldX</w:t>
      </w:r>
      <w:proofErr w:type="spellEnd"/>
      <w:r w:rsidRPr="004D6881">
        <w:rPr>
          <w:sz w:val="22"/>
        </w:rPr>
        <w:t xml:space="preserve"> and 5 kcal/</w:t>
      </w:r>
      <w:proofErr w:type="spellStart"/>
      <w:r w:rsidRPr="004D6881">
        <w:rPr>
          <w:sz w:val="22"/>
        </w:rPr>
        <w:t>mol</w:t>
      </w:r>
      <w:proofErr w:type="spellEnd"/>
      <w:r w:rsidRPr="004D6881">
        <w:rPr>
          <w:sz w:val="22"/>
        </w:rPr>
        <w:t xml:space="preserve"> for Rosetta: red, average change is destabilising; blue, stable; white, the programs disagree. </w:t>
      </w:r>
      <w:r w:rsidRPr="004D6881">
        <w:t>β</w:t>
      </w:r>
      <w:r w:rsidRPr="004D6881">
        <w:rPr>
          <w:sz w:val="22"/>
        </w:rPr>
        <w:t>-sheets are boxed and labelled. The Dotted black line shows the boundary between domains.</w:t>
      </w:r>
      <w:r w:rsidRPr="004D6881">
        <w:t xml:space="preserve"> </w:t>
      </w:r>
      <w:proofErr w:type="spellStart"/>
      <w:r w:rsidRPr="004D6881">
        <w:rPr>
          <w:iCs/>
          <w:color w:val="222222"/>
        </w:rPr>
        <w:t>x̃ΔΔG</w:t>
      </w:r>
      <w:r w:rsidRPr="004D6881">
        <w:rPr>
          <w:vertAlign w:val="subscript"/>
        </w:rPr>
        <w:t>position</w:t>
      </w:r>
      <w:proofErr w:type="spellEnd"/>
      <w:r w:rsidRPr="004D6881">
        <w:rPr>
          <w:vertAlign w:val="subscript"/>
        </w:rPr>
        <w:t xml:space="preserve"> </w:t>
      </w:r>
      <w:r w:rsidRPr="004D6881">
        <w:t xml:space="preserve">was not influenced by whether the positions </w:t>
      </w:r>
      <w:proofErr w:type="gramStart"/>
      <w:r w:rsidRPr="004D6881">
        <w:t>was</w:t>
      </w:r>
      <w:proofErr w:type="gramEnd"/>
      <w:r w:rsidRPr="004D6881">
        <w:t xml:space="preserve"> in a secondary structure element or not, with program agreement in secondary structure elements at 92% compared to 93% in loop areas. Overall, β</w:t>
      </w:r>
      <w:r w:rsidRPr="004D6881">
        <w:rPr>
          <w:sz w:val="22"/>
        </w:rPr>
        <w:t>-sheets</w:t>
      </w:r>
      <w:r w:rsidRPr="004D6881">
        <w:t xml:space="preserve"> contained a slightly higher percentage of consensus destabilising </w:t>
      </w:r>
      <w:proofErr w:type="spellStart"/>
      <w:r w:rsidRPr="004D6881">
        <w:rPr>
          <w:iCs/>
          <w:color w:val="222222"/>
        </w:rPr>
        <w:t>x̃ΔΔG</w:t>
      </w:r>
      <w:r w:rsidRPr="004D6881">
        <w:rPr>
          <w:vertAlign w:val="subscript"/>
        </w:rPr>
        <w:t>position</w:t>
      </w:r>
      <w:proofErr w:type="spellEnd"/>
      <w:r w:rsidRPr="004D6881">
        <w:t xml:space="preserve"> scores, 37%, compared to loop regions which contained 22% of consensus destabilising</w:t>
      </w:r>
      <w:r w:rsidRPr="004D6881">
        <w:rPr>
          <w:iCs/>
          <w:color w:val="222222"/>
        </w:rPr>
        <w:t xml:space="preserve"> </w:t>
      </w:r>
      <w:proofErr w:type="spellStart"/>
      <w:r w:rsidRPr="004D6881">
        <w:rPr>
          <w:iCs/>
          <w:color w:val="222222"/>
        </w:rPr>
        <w:t>x̃ΔΔG</w:t>
      </w:r>
      <w:r w:rsidRPr="004D6881">
        <w:rPr>
          <w:vertAlign w:val="subscript"/>
        </w:rPr>
        <w:t>position</w:t>
      </w:r>
      <w:proofErr w:type="spellEnd"/>
      <w:r w:rsidRPr="004D6881">
        <w:t xml:space="preserve"> scores. </w:t>
      </w:r>
    </w:p>
    <w:p w14:paraId="55B15F13" w14:textId="77777777" w:rsidR="004E5AC1" w:rsidRPr="004D6881" w:rsidRDefault="004E5AC1" w:rsidP="004E5AC1">
      <w:pPr>
        <w:pBdr>
          <w:top w:val="nil"/>
          <w:left w:val="nil"/>
          <w:bottom w:val="nil"/>
          <w:right w:val="nil"/>
          <w:between w:val="nil"/>
        </w:pBdr>
        <w:spacing w:line="360" w:lineRule="auto"/>
        <w:jc w:val="both"/>
      </w:pPr>
    </w:p>
    <w:p w14:paraId="10994C26" w14:textId="5850BCBF" w:rsidR="004E5AC1" w:rsidRDefault="004E5AC1" w:rsidP="004E5AC1">
      <w:pPr>
        <w:pBdr>
          <w:top w:val="nil"/>
          <w:left w:val="nil"/>
          <w:bottom w:val="nil"/>
          <w:right w:val="nil"/>
          <w:between w:val="nil"/>
        </w:pBdr>
        <w:spacing w:line="360" w:lineRule="auto"/>
        <w:jc w:val="both"/>
        <w:rPr>
          <w:color w:val="000000" w:themeColor="text1"/>
        </w:rPr>
      </w:pPr>
      <w:r w:rsidRPr="004D6881">
        <w:t xml:space="preserve">The results from these calculations showed that </w:t>
      </w:r>
      <w:proofErr w:type="spellStart"/>
      <w:r w:rsidRPr="004D6881">
        <w:t>x̃ΔΔG</w:t>
      </w:r>
      <w:r w:rsidRPr="004D6881">
        <w:rPr>
          <w:vertAlign w:val="subscript"/>
        </w:rPr>
        <w:t>position</w:t>
      </w:r>
      <w:proofErr w:type="spellEnd"/>
      <w:r w:rsidRPr="004D6881">
        <w:rPr>
          <w:vertAlign w:val="subscript"/>
        </w:rPr>
        <w:t xml:space="preserve"> </w:t>
      </w:r>
      <w:r w:rsidRPr="004D6881">
        <w:t xml:space="preserve">values are particularly sensitive to exchanges into large amino acids, such as RHK and MFYW, that often cause instability possibly through steric packing effects. These exchanges, when deleterious, dominate the </w:t>
      </w:r>
      <w:proofErr w:type="spellStart"/>
      <w:r w:rsidRPr="004D6881">
        <w:rPr>
          <w:iCs/>
          <w:color w:val="222222"/>
        </w:rPr>
        <w:t>x̃ΔΔG</w:t>
      </w:r>
      <w:r w:rsidRPr="004D6881">
        <w:rPr>
          <w:vertAlign w:val="subscript"/>
        </w:rPr>
        <w:t>position</w:t>
      </w:r>
      <w:proofErr w:type="spellEnd"/>
      <w:r w:rsidRPr="004D6881">
        <w:rPr>
          <w:vertAlign w:val="subscript"/>
        </w:rPr>
        <w:t xml:space="preserve"> </w:t>
      </w:r>
      <w:r w:rsidRPr="004D6881">
        <w:t>score</w:t>
      </w:r>
      <w:r w:rsidRPr="004D6881">
        <w:rPr>
          <w:vertAlign w:val="subscript"/>
        </w:rPr>
        <w:t xml:space="preserve">.  </w:t>
      </w:r>
      <w:r w:rsidRPr="004D6881">
        <w:t xml:space="preserve">The positions most affected tend to be those pointing into the protein core, particularly those in </w:t>
      </w:r>
      <w:r w:rsidRPr="004D6881">
        <w:rPr>
          <w:rFonts w:ascii="Symbol" w:hAnsi="Symbol"/>
        </w:rPr>
        <w:t></w:t>
      </w:r>
      <w:r w:rsidRPr="004D6881">
        <w:t xml:space="preserve">-strand G of both domains. Overall, we observed that the </w:t>
      </w:r>
      <w:proofErr w:type="spellStart"/>
      <w:r w:rsidRPr="004D6881">
        <w:t>x̃ΔΔG</w:t>
      </w:r>
      <w:r w:rsidRPr="004D6881">
        <w:rPr>
          <w:vertAlign w:val="subscript"/>
        </w:rPr>
        <w:t>position</w:t>
      </w:r>
      <w:proofErr w:type="spellEnd"/>
      <w:r w:rsidRPr="004D6881">
        <w:rPr>
          <w:vertAlign w:val="subscript"/>
        </w:rPr>
        <w:t xml:space="preserve"> </w:t>
      </w:r>
      <w:r w:rsidRPr="004D6881">
        <w:t xml:space="preserve">value calculated form a complete panel of exchanges was a better identifier of structural disturbance and, hence, of hot-spot residues than conventional alanine mutational scanning. The latter is a common technique to identify hot-spots vulnerable to change in proteins, where each residue is mutated into alanine, in turn, and a </w:t>
      </w:r>
      <w:r w:rsidRPr="004D6881">
        <w:rPr>
          <w:rFonts w:ascii="Symbol" w:hAnsi="Symbol"/>
        </w:rPr>
        <w:t></w:t>
      </w:r>
      <w:r w:rsidRPr="004D6881">
        <w:rPr>
          <w:rFonts w:ascii="Symbol" w:hAnsi="Symbol"/>
        </w:rPr>
        <w:t></w:t>
      </w:r>
      <w:r w:rsidRPr="004D6881">
        <w:t xml:space="preserve">G calculated for the exchange. </w:t>
      </w:r>
      <w:proofErr w:type="gramStart"/>
      <w:r w:rsidRPr="004D6881">
        <w:t>In particular, comparison</w:t>
      </w:r>
      <w:proofErr w:type="gramEnd"/>
      <w:r w:rsidRPr="004D6881">
        <w:t xml:space="preserve"> of alanine ΔΔGs to those of </w:t>
      </w:r>
      <w:proofErr w:type="spellStart"/>
      <w:r w:rsidRPr="004D6881">
        <w:rPr>
          <w:iCs/>
          <w:color w:val="222222"/>
        </w:rPr>
        <w:t>x̃ΔΔG</w:t>
      </w:r>
      <w:r w:rsidRPr="004D6881">
        <w:rPr>
          <w:vertAlign w:val="subscript"/>
        </w:rPr>
        <w:t>position</w:t>
      </w:r>
      <w:proofErr w:type="spellEnd"/>
      <w:r w:rsidRPr="004D6881">
        <w:rPr>
          <w:vertAlign w:val="subscript"/>
        </w:rPr>
        <w:t xml:space="preserve"> </w:t>
      </w:r>
      <w:r w:rsidRPr="004D6881">
        <w:t>reveals that</w:t>
      </w:r>
      <w:r w:rsidRPr="004D6881">
        <w:rPr>
          <w:vertAlign w:val="subscript"/>
        </w:rPr>
        <w:t xml:space="preserve"> </w:t>
      </w:r>
      <w:r w:rsidRPr="004D6881">
        <w:t xml:space="preserve">alanine </w:t>
      </w:r>
      <w:r w:rsidRPr="004D6881">
        <w:t>ΔΔG</w:t>
      </w:r>
      <w:r w:rsidR="00FC63F1">
        <w:t xml:space="preserve"> value</w:t>
      </w:r>
      <w:r w:rsidRPr="004D6881">
        <w:t xml:space="preserve">s </w:t>
      </w:r>
      <w:r w:rsidR="00FC63F1">
        <w:rPr>
          <w:highlight w:val="yellow"/>
        </w:rPr>
        <w:t>f</w:t>
      </w:r>
      <w:r w:rsidR="00FC63F1" w:rsidRPr="00832734">
        <w:rPr>
          <w:highlight w:val="yellow"/>
        </w:rPr>
        <w:t xml:space="preserve">ail to capture the </w:t>
      </w:r>
      <w:r w:rsidR="00FC63F1">
        <w:rPr>
          <w:highlight w:val="yellow"/>
        </w:rPr>
        <w:t xml:space="preserve">chemical </w:t>
      </w:r>
      <w:r w:rsidR="00FC63F1" w:rsidRPr="00832734">
        <w:rPr>
          <w:highlight w:val="yellow"/>
        </w:rPr>
        <w:t>r</w:t>
      </w:r>
      <w:r w:rsidR="00FC63F1">
        <w:rPr>
          <w:highlight w:val="yellow"/>
        </w:rPr>
        <w:t>i</w:t>
      </w:r>
      <w:r w:rsidR="00FC63F1" w:rsidRPr="00832734">
        <w:rPr>
          <w:highlight w:val="yellow"/>
        </w:rPr>
        <w:t xml:space="preserve">chness of </w:t>
      </w:r>
      <w:r w:rsidR="00FC63F1">
        <w:rPr>
          <w:highlight w:val="yellow"/>
        </w:rPr>
        <w:t>SNV exchanges</w:t>
      </w:r>
      <w:r w:rsidR="00FC63F1" w:rsidRPr="00832734">
        <w:rPr>
          <w:highlight w:val="yellow"/>
        </w:rPr>
        <w:t xml:space="preserve"> and</w:t>
      </w:r>
      <w:r w:rsidR="00FC63F1">
        <w:rPr>
          <w:highlight w:val="yellow"/>
        </w:rPr>
        <w:t>,</w:t>
      </w:r>
      <w:r w:rsidR="00FC63F1" w:rsidRPr="002917AB">
        <w:rPr>
          <w:highlight w:val="yellow"/>
        </w:rPr>
        <w:t xml:space="preserve"> as </w:t>
      </w:r>
      <w:proofErr w:type="spellStart"/>
      <w:r w:rsidR="00FC63F1" w:rsidRPr="002917AB">
        <w:rPr>
          <w:highlight w:val="yellow"/>
        </w:rPr>
        <w:t>alanines</w:t>
      </w:r>
      <w:proofErr w:type="spellEnd"/>
      <w:r w:rsidR="00FC63F1" w:rsidRPr="002917AB">
        <w:rPr>
          <w:highlight w:val="yellow"/>
        </w:rPr>
        <w:t xml:space="preserve"> are relatively well tolerated </w:t>
      </w:r>
      <w:r w:rsidR="00FC63F1">
        <w:rPr>
          <w:highlight w:val="yellow"/>
        </w:rPr>
        <w:t>(Fig3a</w:t>
      </w:r>
      <w:r w:rsidR="002917AB">
        <w:rPr>
          <w:highlight w:val="yellow"/>
        </w:rPr>
        <w:t>),</w:t>
      </w:r>
      <w:r w:rsidR="00FC63F1" w:rsidRPr="00832734">
        <w:rPr>
          <w:highlight w:val="yellow"/>
        </w:rPr>
        <w:t xml:space="preserve"> underestimate the vulnerability of the position to real exchanges.</w:t>
      </w:r>
      <w:r w:rsidR="00FC63F1">
        <w:t xml:space="preserve"> </w:t>
      </w:r>
      <w:r w:rsidRPr="004D6881">
        <w:t>(</w:t>
      </w:r>
      <w:r w:rsidRPr="0072459A">
        <w:rPr>
          <w:color w:val="000000" w:themeColor="text1"/>
        </w:rPr>
        <w:t xml:space="preserve">supplementary </w:t>
      </w:r>
      <w:r w:rsidRPr="0072459A">
        <w:rPr>
          <w:color w:val="000000" w:themeColor="text1"/>
          <w:highlight w:val="yellow"/>
        </w:rPr>
        <w:t xml:space="preserve">figure </w:t>
      </w:r>
      <w:r w:rsidR="00755DA4" w:rsidRPr="0072459A">
        <w:rPr>
          <w:color w:val="000000" w:themeColor="text1"/>
          <w:highlight w:val="yellow"/>
        </w:rPr>
        <w:t>S</w:t>
      </w:r>
      <w:r w:rsidR="00A30444" w:rsidRPr="0072459A">
        <w:rPr>
          <w:color w:val="000000" w:themeColor="text1"/>
          <w:highlight w:val="yellow"/>
        </w:rPr>
        <w:t>3</w:t>
      </w:r>
      <w:r w:rsidRPr="0072459A">
        <w:rPr>
          <w:color w:val="000000" w:themeColor="text1"/>
        </w:rPr>
        <w:t>).</w:t>
      </w:r>
      <w:r w:rsidR="00FC63F1" w:rsidRPr="0072459A">
        <w:rPr>
          <w:color w:val="000000" w:themeColor="text1"/>
        </w:rPr>
        <w:t xml:space="preserve"> </w:t>
      </w:r>
    </w:p>
    <w:p w14:paraId="72F34F05" w14:textId="11600D11" w:rsidR="003F6D32" w:rsidRPr="004D6881" w:rsidRDefault="003F6D32" w:rsidP="004E5AC1">
      <w:pPr>
        <w:pBdr>
          <w:top w:val="nil"/>
          <w:left w:val="nil"/>
          <w:bottom w:val="nil"/>
          <w:right w:val="nil"/>
          <w:between w:val="nil"/>
        </w:pBdr>
        <w:spacing w:line="360" w:lineRule="auto"/>
        <w:jc w:val="both"/>
      </w:pPr>
    </w:p>
    <w:p w14:paraId="640B0506" w14:textId="77777777" w:rsidR="004E5AC1" w:rsidRPr="004D6881" w:rsidRDefault="004E5AC1" w:rsidP="004E5AC1">
      <w:pPr>
        <w:pBdr>
          <w:top w:val="nil"/>
          <w:left w:val="nil"/>
          <w:bottom w:val="nil"/>
          <w:right w:val="nil"/>
          <w:between w:val="nil"/>
        </w:pBdr>
        <w:spacing w:line="360" w:lineRule="auto"/>
        <w:jc w:val="both"/>
      </w:pPr>
    </w:p>
    <w:p w14:paraId="15CCB25D" w14:textId="77777777" w:rsidR="004E5AC1" w:rsidRPr="004D6881" w:rsidRDefault="004E5AC1" w:rsidP="004E5AC1">
      <w:pPr>
        <w:pBdr>
          <w:top w:val="nil"/>
          <w:left w:val="nil"/>
          <w:bottom w:val="nil"/>
          <w:right w:val="nil"/>
          <w:between w:val="nil"/>
        </w:pBdr>
        <w:spacing w:line="360" w:lineRule="auto"/>
        <w:jc w:val="both"/>
        <w:rPr>
          <w:b/>
        </w:rPr>
      </w:pPr>
      <w:r w:rsidRPr="004D6881">
        <w:rPr>
          <w:b/>
        </w:rPr>
        <w:t xml:space="preserve">Comparison of </w:t>
      </w:r>
      <w:proofErr w:type="spellStart"/>
      <w:r w:rsidRPr="004D6881">
        <w:rPr>
          <w:b/>
          <w:iCs/>
          <w:color w:val="222222"/>
        </w:rPr>
        <w:t>x̃ΔΔG</w:t>
      </w:r>
      <w:r w:rsidRPr="004D6881">
        <w:rPr>
          <w:b/>
          <w:vertAlign w:val="subscript"/>
        </w:rPr>
        <w:t>position</w:t>
      </w:r>
      <w:proofErr w:type="spellEnd"/>
      <w:r w:rsidRPr="004D6881">
        <w:rPr>
          <w:b/>
          <w:vertAlign w:val="subscript"/>
        </w:rPr>
        <w:t xml:space="preserve"> </w:t>
      </w:r>
      <w:r w:rsidRPr="004D6881">
        <w:rPr>
          <w:b/>
        </w:rPr>
        <w:t>values from single Ig and tandem domains reveals interface positions vulnerable to change</w:t>
      </w:r>
    </w:p>
    <w:p w14:paraId="68E364F0" w14:textId="77777777" w:rsidR="004E5AC1" w:rsidRPr="004D6881" w:rsidRDefault="004E5AC1" w:rsidP="004E5AC1">
      <w:pPr>
        <w:pBdr>
          <w:top w:val="nil"/>
          <w:left w:val="nil"/>
          <w:bottom w:val="nil"/>
          <w:right w:val="nil"/>
          <w:between w:val="nil"/>
        </w:pBdr>
        <w:spacing w:line="360" w:lineRule="auto"/>
        <w:jc w:val="both"/>
        <w:rPr>
          <w:b/>
        </w:rPr>
      </w:pPr>
    </w:p>
    <w:p w14:paraId="76A42C24" w14:textId="58CE612C" w:rsidR="004E5AC1" w:rsidRPr="004D6881" w:rsidRDefault="00DB02CF" w:rsidP="004E5AC1">
      <w:pPr>
        <w:tabs>
          <w:tab w:val="left" w:pos="5812"/>
        </w:tabs>
        <w:spacing w:line="360" w:lineRule="auto"/>
        <w:jc w:val="both"/>
      </w:pPr>
      <w:r w:rsidRPr="00251B32">
        <w:rPr>
          <w:highlight w:val="yellow"/>
        </w:rPr>
        <w:t>Finally</w:t>
      </w:r>
      <w:r w:rsidR="004E5AC1" w:rsidRPr="00251B32">
        <w:rPr>
          <w:highlight w:val="yellow"/>
        </w:rPr>
        <w:t>,</w:t>
      </w:r>
      <w:r w:rsidR="004E5AC1" w:rsidRPr="004D6881">
        <w:t xml:space="preserve"> we aimed to identify vulnerable positions within the context of the titin poly-domain chain that represent this molecule more naturalistically. For this, the energies of residue exchanges in the I10-I11 tandem were compared to those in single domains using </w:t>
      </w:r>
      <w:proofErr w:type="spellStart"/>
      <w:r w:rsidR="004E5AC1" w:rsidRPr="004D6881">
        <w:t>FoldX</w:t>
      </w:r>
      <w:proofErr w:type="spellEnd"/>
      <w:r w:rsidR="004E5AC1" w:rsidRPr="004D6881">
        <w:t xml:space="preserve">, as unlike Rosetta its proline exchange calculations did not produce extreme ΔΔG scores. Subtracting the </w:t>
      </w:r>
      <w:proofErr w:type="spellStart"/>
      <w:r w:rsidR="004E5AC1" w:rsidRPr="004D6881">
        <w:rPr>
          <w:iCs/>
          <w:color w:val="222222"/>
        </w:rPr>
        <w:t>x̃ΔΔG</w:t>
      </w:r>
      <w:r w:rsidR="004E5AC1" w:rsidRPr="004D6881">
        <w:rPr>
          <w:vertAlign w:val="subscript"/>
        </w:rPr>
        <w:t>position</w:t>
      </w:r>
      <w:proofErr w:type="spellEnd"/>
      <w:r w:rsidR="004E5AC1" w:rsidRPr="004D6881">
        <w:t xml:space="preserve"> of the solo domains (</w:t>
      </w:r>
      <w:proofErr w:type="spellStart"/>
      <w:r w:rsidR="004E5AC1" w:rsidRPr="004D6881">
        <w:rPr>
          <w:iCs/>
          <w:color w:val="222222"/>
        </w:rPr>
        <w:t>x̃ΔΔG</w:t>
      </w:r>
      <w:r w:rsidR="004E5AC1" w:rsidRPr="004D6881">
        <w:rPr>
          <w:vertAlign w:val="subscript"/>
        </w:rPr>
        <w:t>solo</w:t>
      </w:r>
      <w:proofErr w:type="spellEnd"/>
      <w:r w:rsidR="004E5AC1" w:rsidRPr="004D6881">
        <w:t>) from those calculated form the tandem structure (</w:t>
      </w:r>
      <w:proofErr w:type="spellStart"/>
      <w:r w:rsidR="004E5AC1" w:rsidRPr="004D6881">
        <w:rPr>
          <w:iCs/>
          <w:color w:val="222222"/>
        </w:rPr>
        <w:t>x̃ΔΔG</w:t>
      </w:r>
      <w:r w:rsidR="004E5AC1" w:rsidRPr="004D6881">
        <w:rPr>
          <w:vertAlign w:val="subscript"/>
        </w:rPr>
        <w:t>tandem</w:t>
      </w:r>
      <w:proofErr w:type="spellEnd"/>
      <w:r w:rsidR="004E5AC1" w:rsidRPr="004D6881">
        <w:t>) yielded Domain Interface Scores (DIS), that were then used to create a differential stability map (</w:t>
      </w:r>
      <w:r w:rsidR="004E5AC1" w:rsidRPr="00251B32">
        <w:rPr>
          <w:color w:val="000000" w:themeColor="text1"/>
          <w:highlight w:val="yellow"/>
        </w:rPr>
        <w:t xml:space="preserve">Fig </w:t>
      </w:r>
      <w:r w:rsidR="00A30444" w:rsidRPr="00251B32">
        <w:rPr>
          <w:color w:val="000000" w:themeColor="text1"/>
          <w:highlight w:val="yellow"/>
        </w:rPr>
        <w:t>4</w:t>
      </w:r>
      <w:r w:rsidR="004E5AC1" w:rsidRPr="00251B32">
        <w:rPr>
          <w:color w:val="000000" w:themeColor="text1"/>
          <w:highlight w:val="yellow"/>
        </w:rPr>
        <w:t>A</w:t>
      </w:r>
      <w:r w:rsidR="004E5AC1" w:rsidRPr="004D6881">
        <w:t xml:space="preserve">). Overall, DIS values revealed that nine residues showed increase ΔΔG in the tandem structure respect to the single domains that were more permissive to exchanges. The residues identified are shown as red spheres in </w:t>
      </w:r>
      <w:r w:rsidR="004E5AC1" w:rsidRPr="00251B32">
        <w:rPr>
          <w:color w:val="000000" w:themeColor="text1"/>
          <w:highlight w:val="yellow"/>
        </w:rPr>
        <w:t xml:space="preserve">Fig </w:t>
      </w:r>
      <w:r w:rsidR="00A30444" w:rsidRPr="00251B32">
        <w:rPr>
          <w:color w:val="000000" w:themeColor="text1"/>
          <w:highlight w:val="yellow"/>
        </w:rPr>
        <w:t>4</w:t>
      </w:r>
      <w:r w:rsidR="004E5AC1" w:rsidRPr="00251B32">
        <w:rPr>
          <w:color w:val="000000" w:themeColor="text1"/>
          <w:highlight w:val="yellow"/>
        </w:rPr>
        <w:t>B</w:t>
      </w:r>
      <w:r w:rsidR="004E5AC1" w:rsidRPr="00251B32">
        <w:rPr>
          <w:color w:val="000000" w:themeColor="text1"/>
        </w:rPr>
        <w:t xml:space="preserve">, </w:t>
      </w:r>
      <w:r w:rsidR="004E5AC1" w:rsidRPr="004D6881">
        <w:t xml:space="preserve">a </w:t>
      </w:r>
      <w:proofErr w:type="spellStart"/>
      <w:r w:rsidR="004E5AC1" w:rsidRPr="004D6881">
        <w:t>cutoff</w:t>
      </w:r>
      <w:proofErr w:type="spellEnd"/>
      <w:r w:rsidR="004E5AC1" w:rsidRPr="004D6881">
        <w:t xml:space="preserve"> of 1.1 kcal/</w:t>
      </w:r>
      <w:proofErr w:type="spellStart"/>
      <w:r w:rsidR="004E5AC1" w:rsidRPr="004D6881">
        <w:t>mol</w:t>
      </w:r>
      <w:proofErr w:type="spellEnd"/>
      <w:r w:rsidR="004E5AC1" w:rsidRPr="004D6881">
        <w:t xml:space="preserve"> was chosen here as this was the natural segregation point between the high and low DIS scores (nearest values being 0.14 kcal/</w:t>
      </w:r>
      <w:proofErr w:type="spellStart"/>
      <w:r w:rsidR="004E5AC1" w:rsidRPr="004D6881">
        <w:t>mol</w:t>
      </w:r>
      <w:proofErr w:type="spellEnd"/>
      <w:r w:rsidR="004E5AC1" w:rsidRPr="004D6881">
        <w:t xml:space="preserve"> higher or 0.14 lower). As expected, the residues clustered at the domain interface as their environment is more constrained in the tandem structure compared to the domains in isolation. The DIS mutational hotspot map showed that in addition to T2850, nine interface residues: P2848, T2897, I2923, V2946, </w:t>
      </w:r>
      <w:r w:rsidR="004E5AC1" w:rsidRPr="004D6881">
        <w:lastRenderedPageBreak/>
        <w:t>Y2948, I2951, A2996 and G2997, are particularly vulnerable to change within the context of the chain (</w:t>
      </w:r>
      <w:r w:rsidR="004E5AC1" w:rsidRPr="00251B32">
        <w:rPr>
          <w:color w:val="000000" w:themeColor="text1"/>
          <w:highlight w:val="yellow"/>
        </w:rPr>
        <w:t xml:space="preserve">Fig </w:t>
      </w:r>
      <w:r w:rsidR="00A30444" w:rsidRPr="00251B32">
        <w:rPr>
          <w:color w:val="000000" w:themeColor="text1"/>
          <w:highlight w:val="yellow"/>
        </w:rPr>
        <w:t>4</w:t>
      </w:r>
      <w:r w:rsidR="004E5AC1" w:rsidRPr="00251B32">
        <w:rPr>
          <w:color w:val="000000" w:themeColor="text1"/>
          <w:highlight w:val="yellow"/>
        </w:rPr>
        <w:t>C</w:t>
      </w:r>
      <w:r w:rsidR="004E5AC1" w:rsidRPr="004D6881">
        <w:t xml:space="preserve">). Apart from T2850 and T2897, these are hydrophobic residues important for the packing of the interface. Although changes are already assigned as destabilising at the G2997 </w:t>
      </w:r>
      <w:r w:rsidR="004E5AC1" w:rsidRPr="004D6881">
        <w:t>position</w:t>
      </w:r>
      <w:r w:rsidR="00E7528B">
        <w:t xml:space="preserve"> </w:t>
      </w:r>
      <w:r w:rsidR="00E7528B" w:rsidRPr="0072459A">
        <w:rPr>
          <w:highlight w:val="yellow"/>
        </w:rPr>
        <w:t>in domain I11</w:t>
      </w:r>
      <w:r w:rsidR="004E5AC1" w:rsidRPr="004D6881">
        <w:t xml:space="preserve">, </w:t>
      </w:r>
      <w:r w:rsidR="004E5AC1" w:rsidRPr="004D6881">
        <w:t xml:space="preserve">it has the largest DIS change of nearly 10 kcal/mol. This highlights its critical location opposite the </w:t>
      </w:r>
      <w:r w:rsidR="004E5AC1" w:rsidRPr="004D6881">
        <w:rPr>
          <w:rFonts w:ascii="Symbol" w:hAnsi="Symbol"/>
        </w:rPr>
        <w:t></w:t>
      </w:r>
      <w:r w:rsidR="004E5AC1" w:rsidRPr="004D6881">
        <w:t xml:space="preserve">-turn containing T2850, with this glycine sitting directly across from T2850 and E2849. The DIS mutational hot-spot map is more sophisticated than just identifying which residues are located at the interface, as not all </w:t>
      </w:r>
      <w:r w:rsidR="00E7528B" w:rsidRPr="00251B32">
        <w:rPr>
          <w:highlight w:val="yellow"/>
        </w:rPr>
        <w:t>interface</w:t>
      </w:r>
      <w:r w:rsidR="00E7528B">
        <w:t xml:space="preserve"> </w:t>
      </w:r>
      <w:r w:rsidR="004E5AC1" w:rsidRPr="004D6881">
        <w:t>residues identified using DIMPLOT show a DIS change. Residues that contribute main chain interactions and whose side chains point away from the interface, such as E2949, S2952 and K2998, are identified as indifferent to the chain context. Additionally, this analysis identified two resid</w:t>
      </w:r>
      <w:r w:rsidR="00E7528B">
        <w:t>u</w:t>
      </w:r>
      <w:r w:rsidR="004E5AC1" w:rsidRPr="004D6881">
        <w:t xml:space="preserve">es which sit back from the interface, T2897 and V2946, but are still influenced by the chain context due to the inability of neighbouring residues to accommodate changes in these positions when they are restricted by their interface interactions. Several of these residues were already identified as intolerant to change using the solo </w:t>
      </w:r>
      <w:proofErr w:type="spellStart"/>
      <w:r w:rsidR="00251B32" w:rsidRPr="004D6881">
        <w:rPr>
          <w:iCs/>
          <w:color w:val="222222"/>
        </w:rPr>
        <w:t>x̃</w:t>
      </w:r>
      <w:r w:rsidR="004E5AC1" w:rsidRPr="004D6881">
        <w:t>ΔΔG</w:t>
      </w:r>
      <w:r w:rsidR="004E5AC1" w:rsidRPr="004D6881">
        <w:rPr>
          <w:vertAlign w:val="subscript"/>
        </w:rPr>
        <w:t>position</w:t>
      </w:r>
      <w:proofErr w:type="spellEnd"/>
      <w:r w:rsidR="004E5AC1" w:rsidRPr="004D6881">
        <w:t xml:space="preserve"> analysis and therefore the creation of DIS has not changed their assignment. However, T2850, I2923, Y2948 and I2951 were not identified as destabilising in the solo domains but are so in the tandem. As described earlier, Y2948 stacks upon P2848 (which also experiences a DIS change) and is one of the more critical interactions forming the interface. Further confirming that it is the hydrophobic stacking that is a critical factor for this position, exchanges to F, H and W were tolerated. </w:t>
      </w:r>
      <w:r w:rsidR="00E7528B">
        <w:t xml:space="preserve">Residues </w:t>
      </w:r>
      <w:r w:rsidR="004E5AC1" w:rsidRPr="004D6881">
        <w:t xml:space="preserve">I2923 and I2951 are interesting as not only do they contribute to the interface, but they also interact with one another, stabilising the </w:t>
      </w:r>
      <w:r w:rsidR="004E5AC1" w:rsidRPr="004D6881">
        <w:rPr>
          <w:rFonts w:ascii="Symbol" w:hAnsi="Symbol"/>
        </w:rPr>
        <w:t></w:t>
      </w:r>
      <w:r w:rsidR="004E5AC1" w:rsidRPr="004D6881">
        <w:t xml:space="preserve">-strand A’ against the BC loop and forming the N-terminal pole of the I11 domain. When the chain context is considered, it is no longer possible for adjustments of the </w:t>
      </w:r>
      <w:r w:rsidR="004E5AC1" w:rsidRPr="004D6881">
        <w:rPr>
          <w:rFonts w:ascii="Symbol" w:hAnsi="Symbol"/>
        </w:rPr>
        <w:t></w:t>
      </w:r>
      <w:r w:rsidR="004E5AC1" w:rsidRPr="004D6881">
        <w:t>-strand A’ to compensate for mutations in these positions and their damaging potential becomes clear – unsurprisingly, only valine is tolerated as an exchange here. This confirms that the consideration of the higher order structure of the titin chain is important to gain accurate insights into the vulnerability of positions in linker regions and that differential stability analysis is sensitive enough to identify these residues.</w:t>
      </w:r>
    </w:p>
    <w:p w14:paraId="133E62EF" w14:textId="476A84D3" w:rsidR="004E5AC1" w:rsidRPr="004D6881" w:rsidRDefault="0072459A" w:rsidP="004E5AC1">
      <w:pPr>
        <w:pBdr>
          <w:top w:val="nil"/>
          <w:left w:val="nil"/>
          <w:bottom w:val="nil"/>
          <w:right w:val="nil"/>
          <w:between w:val="nil"/>
        </w:pBdr>
        <w:jc w:val="center"/>
        <w:rPr>
          <w:b/>
        </w:rPr>
      </w:pPr>
      <w:r w:rsidRPr="0072459A">
        <w:rPr>
          <w:b/>
        </w:rPr>
        <w:lastRenderedPageBreak/>
        <w:drawing>
          <wp:inline distT="0" distB="0" distL="0" distR="0" wp14:anchorId="5C767DE0" wp14:editId="7D6C6847">
            <wp:extent cx="5739723" cy="414398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7147" r="3618"/>
                    <a:stretch/>
                  </pic:blipFill>
                  <pic:spPr bwMode="auto">
                    <a:xfrm>
                      <a:off x="0" y="0"/>
                      <a:ext cx="5786360" cy="4177652"/>
                    </a:xfrm>
                    <a:prstGeom prst="rect">
                      <a:avLst/>
                    </a:prstGeom>
                    <a:ln>
                      <a:noFill/>
                    </a:ln>
                    <a:extLst>
                      <a:ext uri="{53640926-AAD7-44D8-BBD7-CCE9431645EC}">
                        <a14:shadowObscured xmlns:a14="http://schemas.microsoft.com/office/drawing/2010/main"/>
                      </a:ext>
                    </a:extLst>
                  </pic:spPr>
                </pic:pic>
              </a:graphicData>
            </a:graphic>
          </wp:inline>
        </w:drawing>
      </w:r>
    </w:p>
    <w:p w14:paraId="10C89EA9" w14:textId="115F361D" w:rsidR="004E5AC1" w:rsidRDefault="004E5AC1" w:rsidP="004E5AC1">
      <w:pPr>
        <w:pBdr>
          <w:top w:val="nil"/>
          <w:left w:val="nil"/>
          <w:bottom w:val="nil"/>
          <w:right w:val="nil"/>
          <w:between w:val="nil"/>
        </w:pBdr>
        <w:spacing w:line="360" w:lineRule="auto"/>
        <w:jc w:val="both"/>
        <w:rPr>
          <w:lang w:val="en-US"/>
        </w:rPr>
      </w:pPr>
      <w:r w:rsidRPr="00A30444">
        <w:rPr>
          <w:b/>
          <w:highlight w:val="yellow"/>
        </w:rPr>
        <w:t xml:space="preserve">Fig </w:t>
      </w:r>
      <w:r w:rsidR="00A30444" w:rsidRPr="00A30444">
        <w:rPr>
          <w:b/>
          <w:highlight w:val="yellow"/>
        </w:rPr>
        <w:t>4</w:t>
      </w:r>
      <w:r w:rsidRPr="00A30444">
        <w:rPr>
          <w:b/>
          <w:highlight w:val="yellow"/>
        </w:rPr>
        <w:t>.</w:t>
      </w:r>
      <w:r w:rsidRPr="004D6881">
        <w:rPr>
          <w:b/>
        </w:rPr>
        <w:t xml:space="preserve"> Protein mutability landscape </w:t>
      </w:r>
      <w:r w:rsidRPr="00E7528B">
        <w:rPr>
          <w:b/>
        </w:rPr>
        <w:t>of I10-I11</w:t>
      </w:r>
      <w:r w:rsidRPr="00E7528B">
        <w:t xml:space="preserve">. </w:t>
      </w:r>
      <w:r w:rsidRPr="00E7528B">
        <w:rPr>
          <w:b/>
        </w:rPr>
        <w:t>A</w:t>
      </w:r>
      <w:r w:rsidRPr="00E7528B">
        <w:t xml:space="preserve">. I10-I11 sequence with boxes underneath coloured by the difference in the average stability score per residue between </w:t>
      </w:r>
      <w:r w:rsidRPr="00251B32">
        <w:rPr>
          <w:rFonts w:eastAsia="Arial"/>
          <w:lang w:val="en-US"/>
        </w:rPr>
        <w:t>tandem vs the single domains.</w:t>
      </w:r>
      <w:r w:rsidRPr="00E7528B">
        <w:t xml:space="preserve"> </w:t>
      </w:r>
      <w:r w:rsidRPr="00E7528B">
        <w:rPr>
          <w:b/>
        </w:rPr>
        <w:t xml:space="preserve">B. </w:t>
      </w:r>
      <w:r w:rsidRPr="00251B32">
        <w:rPr>
          <w:rFonts w:eastAsia="Arial"/>
          <w:lang w:val="en-US"/>
        </w:rPr>
        <w:t xml:space="preserve">I10-I11 tandem showing residues as spheres with an increase in an </w:t>
      </w:r>
      <w:r w:rsidRPr="00E7528B">
        <w:rPr>
          <w:lang w:val="en-US"/>
        </w:rPr>
        <w:t>average</w:t>
      </w:r>
      <w:r w:rsidRPr="00251B32">
        <w:rPr>
          <w:rFonts w:eastAsia="Arial"/>
          <w:lang w:val="en-US"/>
        </w:rPr>
        <w:t xml:space="preserve"> </w:t>
      </w:r>
      <w:r w:rsidRPr="00E7528B">
        <w:t>ΔΔ</w:t>
      </w:r>
      <w:r w:rsidRPr="00251B32">
        <w:rPr>
          <w:rFonts w:eastAsia="Arial"/>
          <w:lang w:val="en-US"/>
        </w:rPr>
        <w:t>G of &gt;1.1 kcal/</w:t>
      </w:r>
      <w:proofErr w:type="spellStart"/>
      <w:r w:rsidRPr="00251B32">
        <w:rPr>
          <w:rFonts w:eastAsia="Arial"/>
          <w:lang w:val="en-US"/>
        </w:rPr>
        <w:t>mol</w:t>
      </w:r>
      <w:proofErr w:type="spellEnd"/>
      <w:r w:rsidRPr="00251B32">
        <w:rPr>
          <w:rFonts w:eastAsia="Arial"/>
          <w:lang w:val="en-US"/>
        </w:rPr>
        <w:t xml:space="preserve"> in the tandem vs the single domains. </w:t>
      </w:r>
      <w:r w:rsidRPr="00E7528B">
        <w:rPr>
          <w:b/>
          <w:lang w:val="en-US"/>
        </w:rPr>
        <w:t xml:space="preserve">C. </w:t>
      </w:r>
      <w:r w:rsidRPr="00E7528B">
        <w:rPr>
          <w:lang w:val="en-US"/>
        </w:rPr>
        <w:t xml:space="preserve">Table of residues most affected by tandem environment (boxed in A) with the </w:t>
      </w:r>
      <w:r w:rsidRPr="00E7528B">
        <w:t xml:space="preserve">DIS </w:t>
      </w:r>
      <w:r w:rsidRPr="00E7528B">
        <w:rPr>
          <w:lang w:val="en-US"/>
        </w:rPr>
        <w:t>change.</w:t>
      </w:r>
    </w:p>
    <w:p w14:paraId="4BCD4CFA" w14:textId="44003DAB" w:rsidR="004E5AC1" w:rsidRDefault="004E5AC1" w:rsidP="004E5AC1">
      <w:pPr>
        <w:pBdr>
          <w:top w:val="nil"/>
          <w:left w:val="nil"/>
          <w:bottom w:val="nil"/>
          <w:right w:val="nil"/>
          <w:between w:val="nil"/>
        </w:pBdr>
        <w:spacing w:line="360" w:lineRule="auto"/>
        <w:jc w:val="both"/>
      </w:pPr>
    </w:p>
    <w:p w14:paraId="3F91A91D" w14:textId="394A5B73" w:rsidR="004E5AC1" w:rsidRPr="005E0D7B" w:rsidRDefault="004E5AC1" w:rsidP="004E5AC1">
      <w:pPr>
        <w:spacing w:line="360" w:lineRule="auto"/>
        <w:jc w:val="both"/>
        <w:rPr>
          <w:b/>
        </w:rPr>
      </w:pPr>
      <w:r w:rsidRPr="004E5AC1">
        <w:rPr>
          <w:highlight w:val="yellow"/>
        </w:rPr>
        <w:t>In summary, it can be concluded that the T2580 position is highly sensitive to exchange and that any variant found in this position should be considered with care. Additionally, our data suggest that positions in the I10-I11 interface also vulnerable to changes are P2848, T2897, I2923, V2946, Y2948, I2951, A2996 and G2997. SNVs identified at these loci would be worthy of experimental investigation.</w:t>
      </w:r>
      <w:r w:rsidRPr="004E5AC1">
        <w:rPr>
          <w:b/>
          <w:highlight w:val="yellow"/>
        </w:rPr>
        <w:t xml:space="preserve"> </w:t>
      </w:r>
      <w:r w:rsidRPr="004E5AC1">
        <w:rPr>
          <w:highlight w:val="yellow"/>
        </w:rPr>
        <w:t xml:space="preserve">MDS results in this study were unexpected and underline the utility of analysing </w:t>
      </w:r>
      <w:r w:rsidR="00474D28">
        <w:rPr>
          <w:highlight w:val="yellow"/>
        </w:rPr>
        <w:t>atomic structures</w:t>
      </w:r>
      <w:r w:rsidRPr="004E5AC1">
        <w:rPr>
          <w:highlight w:val="yellow"/>
        </w:rPr>
        <w:t xml:space="preserve"> using bioinformatics as to gain an insight into possible molecular adaptations to sequence changes in titin.</w:t>
      </w:r>
      <w:r w:rsidRPr="004D6881">
        <w:t xml:space="preserve"> </w:t>
      </w:r>
    </w:p>
    <w:p w14:paraId="584A9060" w14:textId="77777777" w:rsidR="004E5AC1" w:rsidRPr="004D6881" w:rsidRDefault="004E5AC1" w:rsidP="004E5AC1">
      <w:pPr>
        <w:pBdr>
          <w:top w:val="nil"/>
          <w:left w:val="nil"/>
          <w:bottom w:val="nil"/>
          <w:right w:val="nil"/>
          <w:between w:val="nil"/>
        </w:pBdr>
        <w:spacing w:line="360" w:lineRule="auto"/>
        <w:jc w:val="both"/>
      </w:pPr>
    </w:p>
    <w:p w14:paraId="30D39913" w14:textId="62EB6C44" w:rsidR="00694646" w:rsidRPr="004D6881" w:rsidRDefault="00694646" w:rsidP="00BA3788">
      <w:pPr>
        <w:spacing w:line="360" w:lineRule="auto"/>
        <w:jc w:val="both"/>
        <w:rPr>
          <w:b/>
          <w:sz w:val="32"/>
          <w:szCs w:val="32"/>
        </w:rPr>
      </w:pPr>
      <w:r w:rsidRPr="004D6881">
        <w:rPr>
          <w:b/>
          <w:sz w:val="32"/>
          <w:szCs w:val="32"/>
        </w:rPr>
        <w:t>Discussion</w:t>
      </w:r>
    </w:p>
    <w:p w14:paraId="7CA54664" w14:textId="77777777" w:rsidR="009248C1" w:rsidRPr="004D6881" w:rsidRDefault="009248C1" w:rsidP="00BA3788">
      <w:pPr>
        <w:spacing w:line="360" w:lineRule="auto"/>
        <w:jc w:val="both"/>
        <w:rPr>
          <w:b/>
        </w:rPr>
      </w:pPr>
    </w:p>
    <w:p w14:paraId="23E14A55" w14:textId="77777777" w:rsidR="002863FA" w:rsidRDefault="00705F9E" w:rsidP="00217229">
      <w:pPr>
        <w:spacing w:line="360" w:lineRule="auto"/>
        <w:jc w:val="both"/>
      </w:pPr>
      <w:r w:rsidRPr="004D6881">
        <w:lastRenderedPageBreak/>
        <w:t>S</w:t>
      </w:r>
      <w:r w:rsidR="006F7CD8" w:rsidRPr="004D6881">
        <w:t xml:space="preserve">tructural defects are responsible for 80% of </w:t>
      </w:r>
      <w:r w:rsidR="00105D93" w:rsidRPr="004D6881">
        <w:t>disease-causing</w:t>
      </w:r>
      <w:r w:rsidR="006F7CD8" w:rsidRPr="004D6881">
        <w:t xml:space="preserve"> mutations, the rest being caused by loss of catalysis, ligand binding or altered post-translational modifications (</w:t>
      </w:r>
      <w:r w:rsidR="006F7CD8" w:rsidRPr="004D6881">
        <w:rPr>
          <w:rFonts w:eastAsiaTheme="minorEastAsia"/>
          <w:color w:val="0000FF"/>
          <w:lang w:val="en-US"/>
        </w:rPr>
        <w:t xml:space="preserve">Wang and </w:t>
      </w:r>
      <w:proofErr w:type="spellStart"/>
      <w:r w:rsidR="006F7CD8" w:rsidRPr="004D6881">
        <w:rPr>
          <w:rFonts w:eastAsiaTheme="minorEastAsia"/>
          <w:color w:val="0000FF"/>
          <w:lang w:val="en-US"/>
        </w:rPr>
        <w:t>Moult</w:t>
      </w:r>
      <w:proofErr w:type="spellEnd"/>
      <w:r w:rsidR="006F7CD8" w:rsidRPr="004D6881">
        <w:rPr>
          <w:rFonts w:eastAsiaTheme="minorEastAsia"/>
          <w:color w:val="0000FF"/>
          <w:lang w:val="en-US"/>
        </w:rPr>
        <w:t>, 2001</w:t>
      </w:r>
      <w:r w:rsidR="006F7CD8" w:rsidRPr="004D6881">
        <w:t>).</w:t>
      </w:r>
      <w:r w:rsidR="00147794" w:rsidRPr="004D6881">
        <w:t xml:space="preserve"> Therefore, methodologies which explore the structural consequences of </w:t>
      </w:r>
      <w:proofErr w:type="spellStart"/>
      <w:r w:rsidR="00CC7DEE" w:rsidRPr="004D6881">
        <w:t>ns</w:t>
      </w:r>
      <w:r w:rsidR="00147794" w:rsidRPr="004D6881">
        <w:t>SNVs</w:t>
      </w:r>
      <w:proofErr w:type="spellEnd"/>
      <w:r w:rsidR="00147794" w:rsidRPr="004D6881">
        <w:t xml:space="preserve"> are </w:t>
      </w:r>
      <w:r w:rsidR="00105D93" w:rsidRPr="004D6881">
        <w:t>critical</w:t>
      </w:r>
      <w:r w:rsidR="00147794" w:rsidRPr="004D6881">
        <w:t xml:space="preserve"> for prediction</w:t>
      </w:r>
      <w:r w:rsidRPr="004D6881">
        <w:t xml:space="preserve">, especially in </w:t>
      </w:r>
      <w:r w:rsidR="00CC7DEE" w:rsidRPr="004D6881">
        <w:t xml:space="preserve">skeletal </w:t>
      </w:r>
      <w:r w:rsidRPr="004D6881">
        <w:t>proteins such as titin</w:t>
      </w:r>
      <w:r w:rsidR="00147794" w:rsidRPr="004D6881">
        <w:t xml:space="preserve">. </w:t>
      </w:r>
      <w:r w:rsidRPr="004D6881">
        <w:t>Although there are many</w:t>
      </w:r>
      <w:r w:rsidR="00AA0706" w:rsidRPr="004D6881">
        <w:t xml:space="preserve"> </w:t>
      </w:r>
      <w:r w:rsidR="00AA0706" w:rsidRPr="00EE0694">
        <w:rPr>
          <w:i/>
        </w:rPr>
        <w:t>in silico</w:t>
      </w:r>
      <w:r w:rsidR="00AA0706" w:rsidRPr="004D6881">
        <w:t xml:space="preserve"> </w:t>
      </w:r>
      <w:r w:rsidRPr="004D6881">
        <w:t xml:space="preserve">methods for calculating </w:t>
      </w:r>
      <w:r w:rsidR="00105D93" w:rsidRPr="004D6881">
        <w:t>Δ</w:t>
      </w:r>
      <w:r w:rsidRPr="004D6881">
        <w:t>G of unfolding of a protein</w:t>
      </w:r>
      <w:r w:rsidR="00AA0706" w:rsidRPr="004D6881">
        <w:t>, as seen here</w:t>
      </w:r>
      <w:r w:rsidR="009248C1" w:rsidRPr="004D6881">
        <w:t>,</w:t>
      </w:r>
      <w:r w:rsidRPr="004D6881">
        <w:t xml:space="preserve"> </w:t>
      </w:r>
      <w:r w:rsidR="00AA0706" w:rsidRPr="004D6881">
        <w:t>it can be difficult to compare results between programs because of their different</w:t>
      </w:r>
      <w:r w:rsidR="00AC7CFE" w:rsidRPr="004D6881">
        <w:t xml:space="preserve"> </w:t>
      </w:r>
      <w:r w:rsidR="00105D93" w:rsidRPr="004D6881">
        <w:t>defini</w:t>
      </w:r>
      <w:r w:rsidR="00AC7CFE" w:rsidRPr="004D6881">
        <w:t>tion of</w:t>
      </w:r>
      <w:r w:rsidR="00AA0706" w:rsidRPr="004D6881">
        <w:t xml:space="preserve"> </w:t>
      </w:r>
      <w:r w:rsidR="00105D93" w:rsidRPr="004D6881">
        <w:t>ΔΔ</w:t>
      </w:r>
      <w:r w:rsidR="00AA0706" w:rsidRPr="004D6881">
        <w:t xml:space="preserve">G </w:t>
      </w:r>
      <w:r w:rsidR="00874D35" w:rsidRPr="004D6881">
        <w:fldChar w:fldCharType="begin" w:fldLock="1"/>
      </w:r>
      <w:r w:rsidR="00B5196A">
        <w:instrText>ADDIN CSL_CITATION {"citationItems":[{"id":"ITEM-1","itemData":{"DOI":"10.1186/1471-2105-10-S8-S8","ISSN":"14712105","abstract":"Background: Mutations resulting in the disruption of protein function are the underlying causes of many genetic diseases. Some mutations affect the number of expressed proteins while others alter the activity on a per-molecule basis. Single amino acid substitutions as caused by non-synonymous Single Nucleotide Polymorphisms (nsSNPs) often disrupt function by altering protein structure and/or stability, but can also wreak havoc by directly impacting functional binding sites. Given the experimental three-dimensional (3D) structure of a protein, we can try to differentiate between the \"effect on structure/stability\" and the \"effect on binding\". However, experimental 3D structures are available for only 1% of all known proteins; the magnitude of stability change caused by a given mutation is more widely available. Results: Here, we analyze to which extent the functional effect of a mutation can be predicted from the effect on protein stability. We find that simple sequence-based methods succeed in predicting functional effects of nsSNPs. In fact, such methods consistently outperform approaches that predict functional change through the application of binary thresholds to stability change. We also observed that if stability is affected, functional change is easier to predict than when stability is not affected. Conclusion: Our results confirmed that stability change is somehow related to function change. However, we also show that the knowledge of stability changes in no way suffices to predict functional changes and that many function changing mutations have no effect on stability. © 2009 Bromberg and Rost; licensee BioMed Central Ltd.","author":[{"dropping-particle":"","family":"Bromberg","given":"Yana","non-dropping-particle":"","parse-names":false,"suffix":""},{"dropping-particle":"","family":"Rost","given":"Burkhard","non-dropping-particle":"","parse-names":false,"suffix":""}],"container-title":"BMC Bioinformatics","id":"ITEM-1","issued":{"date-parts":[["2009"]]},"page":"S8","title":"Correlating protein function and stability through the analysis of single amino acid substitutions","type":"article-journal","volume":"10"},"uris":["http://www.mendeley.com/documents/?uuid=de339961-6d37-48cc-be1d-5c4b97017e03","http://www.mendeley.com/documents/?uuid=4ab8c604-8025-4bc5-b1f2-fc2d12023d8f"]}],"mendeley":{"formattedCitation":"(Bromberg &amp; Rost, 2009)","plainTextFormattedCitation":"(Bromberg &amp; Rost, 2009)","previouslyFormattedCitation":"(Bromberg &amp; Rost, 2009)"},"properties":{"noteIndex":0},"schema":"https://github.com/citation-style-language/schema/raw/master/csl-citation.json"}</w:instrText>
      </w:r>
      <w:r w:rsidR="00874D35" w:rsidRPr="004D6881">
        <w:fldChar w:fldCharType="separate"/>
      </w:r>
      <w:r w:rsidR="00E718DB" w:rsidRPr="00E718DB">
        <w:rPr>
          <w:noProof/>
        </w:rPr>
        <w:t>(</w:t>
      </w:r>
      <w:r w:rsidR="00E718DB" w:rsidRPr="00AC223B">
        <w:rPr>
          <w:noProof/>
          <w:color w:val="0432FF"/>
        </w:rPr>
        <w:t>Bromberg &amp; Rost, 2009)</w:t>
      </w:r>
      <w:r w:rsidR="00874D35" w:rsidRPr="004D6881">
        <w:fldChar w:fldCharType="end"/>
      </w:r>
      <w:r w:rsidR="00105D93" w:rsidRPr="004D6881">
        <w:t xml:space="preserve"> </w:t>
      </w:r>
      <w:r w:rsidR="00AA0706" w:rsidRPr="004D6881">
        <w:t xml:space="preserve">and biochemical benchmarking is not always </w:t>
      </w:r>
      <w:r w:rsidR="00105D93" w:rsidRPr="004D6881">
        <w:t>possible</w:t>
      </w:r>
      <w:r w:rsidR="00AA0706" w:rsidRPr="004D6881">
        <w:t>. Here</w:t>
      </w:r>
      <w:r w:rsidR="00105D93" w:rsidRPr="004D6881">
        <w:t>,</w:t>
      </w:r>
      <w:r w:rsidR="00AA0706" w:rsidRPr="004D6881">
        <w:t xml:space="preserve"> </w:t>
      </w:r>
      <w:r w:rsidR="00105D93" w:rsidRPr="004D6881">
        <w:t xml:space="preserve">as the </w:t>
      </w:r>
      <w:r w:rsidR="00D93E17" w:rsidRPr="004D6881">
        <w:t>overarching</w:t>
      </w:r>
      <w:r w:rsidR="00105D93" w:rsidRPr="004D6881">
        <w:t xml:space="preserve"> pattern of stability was conserved between the two programs, </w:t>
      </w:r>
      <w:r w:rsidR="00AA0706" w:rsidRPr="004D6881">
        <w:t xml:space="preserve">we exploited the stability trends </w:t>
      </w:r>
      <w:r w:rsidR="00DB6AD8" w:rsidRPr="004D6881">
        <w:t xml:space="preserve">calculated </w:t>
      </w:r>
      <w:r w:rsidR="00AA0706" w:rsidRPr="004D6881">
        <w:t xml:space="preserve">to determine consensus stability </w:t>
      </w:r>
      <w:proofErr w:type="spellStart"/>
      <w:r w:rsidR="00AA0706" w:rsidRPr="004D6881">
        <w:t>cutoffs</w:t>
      </w:r>
      <w:proofErr w:type="spellEnd"/>
      <w:r w:rsidR="00105D93" w:rsidRPr="004D6881">
        <w:t>.</w:t>
      </w:r>
      <w:r w:rsidR="00D93E17" w:rsidRPr="004D6881">
        <w:t xml:space="preserve"> </w:t>
      </w:r>
    </w:p>
    <w:p w14:paraId="6F5AC048" w14:textId="77777777" w:rsidR="002863FA" w:rsidRDefault="002863FA" w:rsidP="00217229">
      <w:pPr>
        <w:spacing w:line="360" w:lineRule="auto"/>
        <w:jc w:val="both"/>
      </w:pPr>
    </w:p>
    <w:p w14:paraId="20FAFAA5" w14:textId="3C70A579" w:rsidR="00EE0694" w:rsidRDefault="00D93E17" w:rsidP="00217229">
      <w:pPr>
        <w:spacing w:line="360" w:lineRule="auto"/>
        <w:jc w:val="both"/>
      </w:pPr>
      <w:r w:rsidRPr="004D6881">
        <w:t xml:space="preserve">We were </w:t>
      </w:r>
      <w:r w:rsidR="009248C1" w:rsidRPr="004D6881">
        <w:t>then</w:t>
      </w:r>
      <w:r w:rsidRPr="004D6881">
        <w:t xml:space="preserve"> able to demonstrate that comparison of isolated domains to those in the chain context is sensitive enough to identify critical interface residues. This </w:t>
      </w:r>
      <w:r w:rsidR="005B6708" w:rsidRPr="00EE0694">
        <w:t>DIS</w:t>
      </w:r>
      <w:r w:rsidR="004D6881" w:rsidRPr="00EE0694">
        <w:t xml:space="preserve"> </w:t>
      </w:r>
      <w:r w:rsidRPr="00EE0694">
        <w:t>method</w:t>
      </w:r>
      <w:r w:rsidRPr="00EE0694">
        <w:rPr>
          <w:vertAlign w:val="subscript"/>
        </w:rPr>
        <w:t xml:space="preserve"> </w:t>
      </w:r>
      <w:r w:rsidRPr="00EE0694">
        <w:t>could</w:t>
      </w:r>
      <w:r w:rsidRPr="004D6881">
        <w:t xml:space="preserve"> improve the analysis of residues </w:t>
      </w:r>
      <w:r w:rsidR="00DB6AD8" w:rsidRPr="004D6881">
        <w:t>in multi-domain proteins (e.g. many muscle filaments)</w:t>
      </w:r>
      <w:r w:rsidRPr="004D6881">
        <w:t>, which cannot be analysed reliably with standard predictors. In the case of titin</w:t>
      </w:r>
      <w:r w:rsidR="009248C1" w:rsidRPr="004D6881">
        <w:t>,</w:t>
      </w:r>
      <w:r w:rsidRPr="004D6881">
        <w:t xml:space="preserve"> this method could be employed </w:t>
      </w:r>
      <w:r w:rsidR="001F1132" w:rsidRPr="004D6881">
        <w:t xml:space="preserve">to improve titin </w:t>
      </w:r>
      <w:proofErr w:type="spellStart"/>
      <w:r w:rsidR="00DB6AD8" w:rsidRPr="004D6881">
        <w:t>ns</w:t>
      </w:r>
      <w:r w:rsidR="001F1132" w:rsidRPr="004D6881">
        <w:t>SNV</w:t>
      </w:r>
      <w:proofErr w:type="spellEnd"/>
      <w:r w:rsidR="001F1132" w:rsidRPr="004D6881">
        <w:t xml:space="preserve"> predictions by </w:t>
      </w:r>
      <w:r w:rsidR="00DB6AD8" w:rsidRPr="004D6881">
        <w:t xml:space="preserve">identifying </w:t>
      </w:r>
      <w:r w:rsidRPr="004D6881">
        <w:t>vulnerable</w:t>
      </w:r>
      <w:r w:rsidR="001F1132" w:rsidRPr="004D6881">
        <w:t xml:space="preserve"> </w:t>
      </w:r>
      <w:r w:rsidR="00BB5FAE" w:rsidRPr="004D6881">
        <w:t>positions</w:t>
      </w:r>
      <w:r w:rsidR="001F1132" w:rsidRPr="004D6881">
        <w:t xml:space="preserve"> in</w:t>
      </w:r>
      <w:r w:rsidRPr="004D6881">
        <w:t xml:space="preserve"> </w:t>
      </w:r>
      <w:r w:rsidR="00DB6AD8" w:rsidRPr="004D6881">
        <w:t xml:space="preserve">loop sequences that form </w:t>
      </w:r>
      <w:r w:rsidRPr="004D6881">
        <w:t>domain interfaces</w:t>
      </w:r>
      <w:r w:rsidR="00DB6AD8" w:rsidRPr="004D6881">
        <w:t xml:space="preserve"> in the context of the chain. This approach could m</w:t>
      </w:r>
      <w:r w:rsidRPr="004D6881">
        <w:t>ak</w:t>
      </w:r>
      <w:r w:rsidR="00DB6AD8" w:rsidRPr="004D6881">
        <w:t>e</w:t>
      </w:r>
      <w:r w:rsidRPr="004D6881">
        <w:t xml:space="preserve"> use of the </w:t>
      </w:r>
      <w:r w:rsidR="003618D7">
        <w:t xml:space="preserve">various </w:t>
      </w:r>
      <w:r w:rsidRPr="004D6881">
        <w:t>crystal structures of titin domain tandems now available</w:t>
      </w:r>
      <w:r w:rsidR="00DB6AD8" w:rsidRPr="004D6881">
        <w:t xml:space="preserve">: </w:t>
      </w:r>
      <w:r w:rsidRPr="004D6881">
        <w:t>I67-I70 (3</w:t>
      </w:r>
      <w:r w:rsidR="00EE6A0D" w:rsidRPr="004D6881">
        <w:t>B43</w:t>
      </w:r>
      <w:r w:rsidRPr="004D6881">
        <w:t xml:space="preserve">; </w:t>
      </w:r>
      <w:r w:rsidR="00EE6A0D" w:rsidRPr="004D6881">
        <w:fldChar w:fldCharType="begin" w:fldLock="1"/>
      </w:r>
      <w:r w:rsidR="006737B5">
        <w:instrText>ADDIN CSL_CITATION {"citationItems":[{"id":"ITEM-1","itemData":{"DOI":"10.1073/pnas.0707163105","ISSN":"10916490","abstract":"Myofibril elasticity, critical to muscle function, is dictated by the intrasarcomeric filament titin, which acts as a molecular spring. To date, the molecular events underlying the mechanics of the folded titin chain remain largely unknown. We have elucidated the crystal structure of the 6-Ig fragment I65-I70 from the elastic I-band fraction of titin and validated its conformation in solution using small angle x-ray scattering. The long-range properties of the chain have been visualized by electron microscopy on a 19-Ig fragment and modeled for the full skeletal tandem. Results show that conserved Ig-Ig transition motifs generate high-order in the structure of the filament, where conformationally stiff segments interspersed with pliant hinges form a regular pattern of dynamic super-motifs leading to segmental flexibility in the chain. Pliant hinges support molecular shape rearrangements that dominate chain behavior at moderate stretch, whereas stiffer segments predictably oppose high stretch forces upon full chain extension. There, librational entropy can be expected to act as an energy barrier to prevent Ig unfolding while, instead, triggering the unraveling of flanking springs formed by proline, glutamate, valine, and lysine (PEVK) sequences. We propose a mechanistic model based on freely jointed rigid segments that rationalizes the response to stretch of titin Ig-tandems according to molecular features. © 2008 by The National Academy of Sciences of the USA.","author":[{"dropping-particle":"","family":"Castelmur","given":"Eleonore","non-dropping-particle":"Von","parse-names":false,"suffix":""},{"dropping-particle":"","family":"Marino","given":"Marco","non-dropping-particle":"","parse-names":false,"suffix":""},{"dropping-particle":"","family":"Svergun","given":"Dmitri I.","non-dropping-particle":"","parse-names":false,"suffix":""},{"dropping-particle":"","family":"Kreplak","given":"Laurent","non-dropping-particle":"","parse-names":false,"suffix":""},{"dropping-particle":"","family":"Ucurum-Fotiadis","given":"Zöhre","non-dropping-particle":"","parse-names":false,"suffix":""},{"dropping-particle":"V.","family":"Konarev","given":"Petr","non-dropping-particle":"","parse-names":false,"suffix":""},{"dropping-particle":"","family":"Urzhumtsev","given":"Alexandre","non-dropping-particle":"","parse-names":false,"suffix":""},{"dropping-particle":"","family":"Labeit","given":"Dietmar","non-dropping-particle":"","parse-names":false,"suffix":""},{"dropping-particle":"","family":"Labeit","given":"Siegfried","non-dropping-particle":"","parse-names":false,"suffix":""},{"dropping-particle":"","family":"Mayans","given":"Olga","non-dropping-particle":"","parse-names":false,"suffix":""}],"container-title":"Proceedings of the National Academy of Sciences of the United States of America","id":"ITEM-1","issue":"4","issued":{"date-parts":[["2008"]]},"page":"1186-1191","title":"A regular pattern of Ig super-motifs defines segmental flexibility as the elastic mechanism of the titin chain","type":"article-journal","volume":"105"},"uris":["http://www.mendeley.com/documents/?uuid=b229dd0a-1d74-4450-a8ee-b96abfaf509f"]}],"mendeley":{"formattedCitation":"(Von Castelmur et al., 2008)","manualFormatting":"Von Castelmur et al. 2008)","plainTextFormattedCitation":"(Von Castelmur et al., 2008)","previouslyFormattedCitation":"(Von Castelmur et al., 2008)"},"properties":{"noteIndex":0},"schema":"https://github.com/citation-style-language/schema/raw/master/csl-citation.json"}</w:instrText>
      </w:r>
      <w:r w:rsidR="00EE6A0D" w:rsidRPr="004D6881">
        <w:fldChar w:fldCharType="separate"/>
      </w:r>
      <w:r w:rsidR="00C95664" w:rsidRPr="004D6881">
        <w:rPr>
          <w:noProof/>
          <w:color w:val="0432FF"/>
        </w:rPr>
        <w:t>Von Castelmur et al.</w:t>
      </w:r>
      <w:r w:rsidR="003618D7">
        <w:rPr>
          <w:noProof/>
          <w:color w:val="0432FF"/>
        </w:rPr>
        <w:t>,</w:t>
      </w:r>
      <w:r w:rsidR="00C95664" w:rsidRPr="004D6881">
        <w:rPr>
          <w:noProof/>
          <w:color w:val="0432FF"/>
        </w:rPr>
        <w:t xml:space="preserve"> 2008)</w:t>
      </w:r>
      <w:r w:rsidR="00EE6A0D" w:rsidRPr="004D6881">
        <w:fldChar w:fldCharType="end"/>
      </w:r>
      <w:r w:rsidRPr="004D6881">
        <w:t xml:space="preserve">, A164-A165 (3LCY), </w:t>
      </w:r>
      <w:r w:rsidR="00DB6AD8" w:rsidRPr="004D6881">
        <w:rPr>
          <w:noProof/>
          <w:color w:val="000000" w:themeColor="text1"/>
        </w:rPr>
        <w:t xml:space="preserve">A168-A170 (2NZI; </w:t>
      </w:r>
      <w:r w:rsidR="00DB6AD8" w:rsidRPr="004D6881">
        <w:rPr>
          <w:noProof/>
          <w:color w:val="000000" w:themeColor="text1"/>
        </w:rPr>
        <w:fldChar w:fldCharType="begin" w:fldLock="1"/>
      </w:r>
      <w:r w:rsidR="00E718DB">
        <w:rPr>
          <w:noProof/>
          <w:color w:val="000000" w:themeColor="text1"/>
        </w:rPr>
        <w:instrText>ADDIN CSL_CITATION {"citationItems":[{"id":"ITEM-1","itemData":{"DOI":"10.1096/fj.06-7644com","ISSN":"0892-6638","abstract":"Titin forms an intrasarcomeric filament system in vertebrate striated muscle, which has elastic and signaling properties and is thereby central to mechanotransduction. Near its C-terminus and directly preceding a kinase domain, titin contains a conserved pattern of Ig and FnIII modules (Ig(A168)-Ig(A169)-FnIII(A170), hereby A168-A170) that recruits the E3 ubiquitin-ligase MuRF-1 to the filament. This interaction is thought to regulate myofibril turnover and the trophic state of muscle. We have elucidated the crystal structure of A168-A170, characterized MuRF-1 variants by circular dichroism (CD) and SEC-MALS, and studied the interaction of both components by isothermal calorimetry, SPOTS blots, and pull-down assays. This has led to the identification of the molecular determinants of the binding. A168-A170 shows an extended, rigid architecture, which is characterized by a shallow surface groove that spans its full length and a distinct loop protrusion in its middle point. In MuRF-1, a C-terminal helical domain is sufficient to bind A168-A170 with high affinity. This helical region predictably docks into the surface groove of A168-A170. Furthermore, pull-down assays demonstrate that the loop protrusion in A168-A170 is a key mediator of MuRF-1 recognition. Our findings indicate that this region of titin could serve as a target to attempt therapeutic inhibition of MuRF-1-mediated muscle turnover, where binding of small molecules to its distinctive structural features could block MuRF-1 access.","author":[{"dropping-particle":"","family":"Mrosek","given":"Michael","non-dropping-particle":"","parse-names":false,"suffix":""},{"dropping-particle":"","family":"Labeit","given":"Dietmar","non-dropping-particle":"","parse-names":false,"suffix":""},{"dropping-particle":"","family":"Witt","given":"Stephanie","non-dropping-particle":"","parse-names":false,"suffix":""},{"dropping-particle":"","family":"Heerklotz","given":"Heiko","non-dropping-particle":"","parse-names":false,"suffix":""},{"dropping-particle":"","family":"Castelmur","given":"Eleonore","non-dropping-particle":"von","parse-names":false,"suffix":""},{"dropping-particle":"","family":"Labeit","given":"Siegfried","non-dropping-particle":"","parse-names":false,"suffix":""},{"dropping-particle":"","family":"Mayans","given":"Olga","non-dropping-particle":"","parse-names":false,"suffix":""}],"container-title":"The FASEB Journal","id":"ITEM-1","issue":"7","issued":{"date-parts":[["2007","5","10"]]},"page":"1383-1392","publisher":"Federation of American Societies for Experimental Biology","title":"Molecular determinants for the recruitment of the ubiquitin-ligase MuRF-1 onto M-line titin","type":"article-journal","volume":"21"},"uris":["http://www.mendeley.com/documents/?uuid=3475aa2f-37ee-3206-9539-b4d6e853da90"]}],"mendeley":{"formattedCitation":"(Mrosek et al., 2007)","manualFormatting":"Mrosek et al. 2007)","plainTextFormattedCitation":"(Mrosek et al., 2007)","previouslyFormattedCitation":"(Mrosek et al., 2007)"},"properties":{"noteIndex":0},"schema":"https://github.com/citation-style-language/schema/raw/master/csl-citation.json"}</w:instrText>
      </w:r>
      <w:r w:rsidR="00DB6AD8" w:rsidRPr="004D6881">
        <w:rPr>
          <w:noProof/>
          <w:color w:val="000000" w:themeColor="text1"/>
        </w:rPr>
        <w:fldChar w:fldCharType="separate"/>
      </w:r>
      <w:r w:rsidR="00DB6AD8" w:rsidRPr="004D6881">
        <w:rPr>
          <w:noProof/>
          <w:color w:val="0432FF"/>
        </w:rPr>
        <w:t>Mrosek et al.</w:t>
      </w:r>
      <w:r w:rsidR="003618D7">
        <w:rPr>
          <w:noProof/>
          <w:color w:val="0432FF"/>
        </w:rPr>
        <w:t>,</w:t>
      </w:r>
      <w:r w:rsidR="00DB6AD8" w:rsidRPr="004D6881">
        <w:rPr>
          <w:noProof/>
          <w:color w:val="0432FF"/>
        </w:rPr>
        <w:t xml:space="preserve"> 2007</w:t>
      </w:r>
      <w:r w:rsidR="00DB6AD8" w:rsidRPr="004D6881">
        <w:rPr>
          <w:noProof/>
          <w:color w:val="000000" w:themeColor="text1"/>
        </w:rPr>
        <w:t>)</w:t>
      </w:r>
      <w:r w:rsidR="00DB6AD8" w:rsidRPr="004D6881">
        <w:rPr>
          <w:noProof/>
          <w:color w:val="000000" w:themeColor="text1"/>
        </w:rPr>
        <w:fldChar w:fldCharType="end"/>
      </w:r>
      <w:r w:rsidR="00DB6AD8" w:rsidRPr="004D6881">
        <w:rPr>
          <w:noProof/>
          <w:color w:val="000000" w:themeColor="text1"/>
        </w:rPr>
        <w:t xml:space="preserve">, </w:t>
      </w:r>
      <w:r w:rsidRPr="004D6881">
        <w:t xml:space="preserve">A168-A169 (2J8H; </w:t>
      </w:r>
      <w:r w:rsidR="00EE6A0D" w:rsidRPr="004D6881">
        <w:fldChar w:fldCharType="begin" w:fldLock="1"/>
      </w:r>
      <w:r w:rsidR="00C2687E">
        <w:instrText>ADDIN CSL_CITATION {"citationItems":[{"id":"ITEM-1","itemData":{"DOI":"10.1016/j.jmb.2007.05.055","ISSN":"00222836","abstract":"Most of the structure of the giant muscle protein titin is formed by small modular domains. Many of them are predicted to be arranged in repeats with short linkers that may be key determinants of the peculiar elastic properties of titin. Here, we present the molecular structure of a tandem arrangement of two immunoglobulin-like domains, A168 and A169, located within the A-band segment of titin. The two domains are connected by a 17 residue long β-strand and form a common interface. Based on these data, we establish general principles to estimate the amount of conformational flexibility of tandem domain motifs in titin. An unusual bulge within the second domain, A169, is directly involved into binding to a sarcomeric ligand, MURF-1, thus suggesting a dual role of this tandem for both the mechanical properties of titin and for sarcomeric signaling. © 2007 Elsevier Ltd. All rights reserved.","author":[{"dropping-particle":"","family":"Müller","given":"Simone","non-dropping-particle":"","parse-names":false,"suffix":""},{"dropping-particle":"","family":"Lange","given":"Stephan","non-dropping-particle":"","parse-names":false,"suffix":""},{"dropping-particle":"","family":"Gautel","given":"Mathias","non-dropping-particle":"","parse-names":false,"suffix":""},{"dropping-particle":"","family":"Wilmanns","given":"Matthias","non-dropping-particle":"","parse-names":false,"suffix":""}],"container-title":"Journal of Molecular Biology","id":"ITEM-1","issue":"2","issued":{"date-parts":[["2007"]]},"page":"469-80.","title":"Rigid Conformation of an Immunoglobulin Domain Tandem Repeat in the A-band of the Elastic Muscle Protein Titin","type":"article-journal","volume":"371"},"uris":["http://www.mendeley.com/documents/?uuid=3c8fa7f6-2c62-4742-ba20-075ead7f79b1"]}],"mendeley":{"formattedCitation":"(Müller et al., 2007)","manualFormatting":"Müller et al. 2007)","plainTextFormattedCitation":"(Müller et al., 2007)","previouslyFormattedCitation":"(Müller, Lange, Gautel, &amp; Wilmanns, 2007)"},"properties":{"noteIndex":0},"schema":"https://github.com/citation-style-language/schema/raw/master/csl-citation.json"}</w:instrText>
      </w:r>
      <w:r w:rsidR="00EE6A0D" w:rsidRPr="004D6881">
        <w:fldChar w:fldCharType="separate"/>
      </w:r>
      <w:r w:rsidR="00C95664" w:rsidRPr="004D6881">
        <w:rPr>
          <w:noProof/>
          <w:color w:val="0432FF"/>
        </w:rPr>
        <w:t>Müller et al.</w:t>
      </w:r>
      <w:r w:rsidR="003618D7">
        <w:rPr>
          <w:noProof/>
          <w:color w:val="0432FF"/>
        </w:rPr>
        <w:t>,</w:t>
      </w:r>
      <w:r w:rsidR="00C95664" w:rsidRPr="004D6881">
        <w:rPr>
          <w:noProof/>
          <w:color w:val="0432FF"/>
        </w:rPr>
        <w:t xml:space="preserve"> 2007</w:t>
      </w:r>
      <w:r w:rsidR="00C95664" w:rsidRPr="004D6881">
        <w:rPr>
          <w:noProof/>
        </w:rPr>
        <w:t>)</w:t>
      </w:r>
      <w:r w:rsidR="00EE6A0D" w:rsidRPr="004D6881">
        <w:fldChar w:fldCharType="end"/>
      </w:r>
      <w:r w:rsidR="00EE6A0D" w:rsidRPr="004D6881">
        <w:t>,</w:t>
      </w:r>
      <w:r w:rsidR="001F1132" w:rsidRPr="004D6881">
        <w:t xml:space="preserve"> </w:t>
      </w:r>
      <w:r w:rsidRPr="004D6881">
        <w:t xml:space="preserve">Z1-Z2 (2A38; </w:t>
      </w:r>
      <w:r w:rsidRPr="004D6881">
        <w:fldChar w:fldCharType="begin" w:fldLock="1"/>
      </w:r>
      <w:r w:rsidR="005819E9">
        <w:instrText>ADDIN CSL_CITATION {"citationItems":[{"id":"ITEM-1","itemData":{"DOI":"10.1007/s10974-005-9017-6","ISSN":"01424319","abstract":"The cellular function of the giant protein titin in striated muscle is a major focus of scientific attention. Particularly, its role in passive mechanics has been extensively investigated. In strong contrast, the structural details of this filament are very poorly understood. To date, only a handful of atomic models from single domain components have become available and data on poly-constructs are limited to scarce SAXS analyses. In this study, we examine the molecular parameters of poly-Ig tandems from I-band titin relevant to muscle elasticity. We revisit conservation patterns in domain and linker sequences of I-band modules and interpret these in the light of available atomic structures of Ig domains from muscle proteins. The emphasis is placed on features expected to affect inter-domain arrangements. We examine the overall conformation of a 6Ig fragment, I65-I70, from the skeletal I-band of soleus titin using SAXS and electron microscopy approaches. The possible effect of highly conserved glutamate groups at the linkers as well as the ionic strength of the medium on the overall molecular parameters of this sample is investigated. Our findings indicate that poly-Ig tandems from I-band titin tend to adopt extended arrangements with low or moderate intrinsic flexibility, independently of the specific features of linkers or component Ig domains across constitutively- and differentially-expressed tandems. Linkers do not appear to operate as free hinges so that lateral association of Ig domains must occur infrequently in samples in solution, even that inter-domain sequences of 4-5 residues length would well accommodate such geometry. It can be expected that this principle is generally applicable to all Ig-tandems from I-band titin. © Springer 2005.","author":[{"dropping-particle":"","family":"Marino","given":"Marco","non-dropping-particle":"","parse-names":false,"suffix":""},{"dropping-particle":"","family":"Svergun","given":"Dmitri I.","non-dropping-particle":"","parse-names":false,"suffix":""},{"dropping-particle":"","family":"Kreplak","given":"Laurent","non-dropping-particle":"","parse-names":false,"suffix":""},{"dropping-particle":"V.","family":"Konarev","given":"Peter","non-dropping-particle":"","parse-names":false,"suffix":""},{"dropping-particle":"","family":"Maco","given":"Bohumil","non-dropping-particle":"","parse-names":false,"suffix":""},{"dropping-particle":"","family":"Labeit","given":"Dietmar","non-dropping-particle":"","parse-names":false,"suffix":""},{"dropping-particle":"","family":"Mayans","given":"Olga","non-dropping-particle":"","parse-names":false,"suffix":""}],"container-title":"Journal of Muscle Research and Cell Motility","id":"ITEM-1","issue":"6-8","issued":{"date-parts":[["2005"]]},"page":"355-365","title":"Poly-Ig tandems from I-band titin share extended domain arrangements irrespective of the distinct features of their modular constituents","type":"paper-conference","volume":"26"},"uris":["http://www.mendeley.com/documents/?uuid=65c78fde-58a6-479c-b8d7-a1e1e42bcce7"]}],"mendeley":{"formattedCitation":"(Marino et al., 2005)","manualFormatting":"Marino et al. 2005)","plainTextFormattedCitation":"(Marino et al., 2005)","previouslyFormattedCitation":"(Marino et al., 2005)"},"properties":{"noteIndex":0},"schema":"https://github.com/citation-style-language/schema/raw/master/csl-citation.json"}</w:instrText>
      </w:r>
      <w:r w:rsidRPr="004D6881">
        <w:fldChar w:fldCharType="separate"/>
      </w:r>
      <w:r w:rsidR="00C95664" w:rsidRPr="004D6881">
        <w:rPr>
          <w:noProof/>
          <w:color w:val="0432FF"/>
        </w:rPr>
        <w:t>Marino et al.</w:t>
      </w:r>
      <w:r w:rsidR="003618D7">
        <w:rPr>
          <w:noProof/>
          <w:color w:val="0432FF"/>
        </w:rPr>
        <w:t>,</w:t>
      </w:r>
      <w:r w:rsidR="00C95664" w:rsidRPr="004D6881">
        <w:rPr>
          <w:noProof/>
          <w:color w:val="0432FF"/>
        </w:rPr>
        <w:t xml:space="preserve"> 2005</w:t>
      </w:r>
      <w:r w:rsidR="00C95664" w:rsidRPr="004D6881">
        <w:rPr>
          <w:noProof/>
        </w:rPr>
        <w:t>)</w:t>
      </w:r>
      <w:r w:rsidRPr="004D6881">
        <w:fldChar w:fldCharType="end"/>
      </w:r>
      <w:r w:rsidR="001F1132" w:rsidRPr="004D6881">
        <w:t xml:space="preserve"> and</w:t>
      </w:r>
      <w:r w:rsidRPr="004D6881">
        <w:t xml:space="preserve"> </w:t>
      </w:r>
      <w:r w:rsidR="001F1132" w:rsidRPr="004D6881">
        <w:t xml:space="preserve">A77-A78 (3LPW; </w:t>
      </w:r>
      <w:r w:rsidR="001F1132" w:rsidRPr="004D6881">
        <w:fldChar w:fldCharType="begin" w:fldLock="1"/>
      </w:r>
      <w:r w:rsidR="00C2687E">
        <w:instrText>ADDIN CSL_CITATION {"citationItems":[{"id":"ITEM-1","itemData":{"DOI":"10.1016/j.jmb.2010.06.011","ISSN":"00222836","abstract":"Titin is a large intrasarcomeric protein that, among its many roles in muscle, is thought to modulate the in vivo assembly of the myosin motor filament. This is achieved through the molecular template properties of its A-band region, which is composed of fibronectin type III (FnIII) and immunoglobulin (Ig) domains organized into characteristic 7-domain (D-zone) and 11-domain (C-zone) superrepeats. Currently, there is little knowledge on the structural details of this region of titin. Here we report the conformational characterization of three FnIII tandems, A77-A78, A80-A82, and A84-A86, which are components of the representative fourth C-zone superrepeat. The structure of A77-A78 has been elucidated by X-ray crystallography to 1.65 Å resolution, while low-resolution models of A80-A82 and A84-A86 have been calculated using small-angle X-ray scattering. A77-A78 adopts an extended \"up-down\" domain arrangement, where domains are connected by a hydrophilic three-residue linker sequence. The linker is embedded in a rich network of polar contacts at the domain interface that results in a stiff molecular conformation. The models of A80-A82 and A84-A86, which contain hydrophobic six-residue-long interdomain linkers, equally showed elongated molecular shapes, but with slightly coiled or zigzagged conformations. Small-angle X-ray scattering data further suggested that the long linkers do not result in a noticeable increase in molecular flexibility but lead to semibent domain arrangements. Our findings indicate that the structural characteristics of FnIII tandems from A-band titin contrast markedly with those of poly-Ig tandems from the elastic I-band, which exhibit domain interfaces depleted of interactions and compliant conformations. Furthermore, the analysis of sequence conservation in FnIII domains from A-band titin points to the existence of conformationally defined interfaces at specific superrepeat positions, possibly leading to a periodic and locally ordered architecture supporting the molecular scaffold properties of this region of titin. © 2010.","author":[{"dropping-particle":"","family":"Bucher","given":"Rainer M.","non-dropping-particle":"","parse-names":false,"suffix":""},{"dropping-particle":"","family":"Svergun","given":"Dmitri I.","non-dropping-particle":"","parse-names":false,"suffix":""},{"dropping-particle":"","family":"Muhle-Goll","given":"Claudia","non-dropping-particle":"","parse-names":false,"suffix":""},{"dropping-particle":"","family":"Mayans","given":"Olga","non-dropping-particle":"","parse-names":false,"suffix":""}],"container-title":"Journal of Molecular Biology","id":"ITEM-1","issue":"5","issued":{"date-parts":[["2010"]]},"page":"843-853","title":"The Structure of the FnIII Tandem A77-A78 Points to a Periodically Conserved Architecture in the Myosin-Binding Region of Titin","type":"article-journal","volume":"401"},"uris":["http://www.mendeley.com/documents/?uuid=142e473b-1e13-435a-a207-9e67ea9987cd"]}],"mendeley":{"formattedCitation":"(Bucher et al., 2010)","manualFormatting":"Bucher et al. 2010)","plainTextFormattedCitation":"(Bucher et al., 2010)","previouslyFormattedCitation":"(Bucher, Svergun, Muhle-Goll, &amp; Mayans, 2010)"},"properties":{"noteIndex":0},"schema":"https://github.com/citation-style-language/schema/raw/master/csl-citation.json"}</w:instrText>
      </w:r>
      <w:r w:rsidR="001F1132" w:rsidRPr="004D6881">
        <w:fldChar w:fldCharType="separate"/>
      </w:r>
      <w:r w:rsidR="00C95664" w:rsidRPr="004D6881">
        <w:rPr>
          <w:noProof/>
          <w:color w:val="0432FF"/>
        </w:rPr>
        <w:t>Bucher et al.</w:t>
      </w:r>
      <w:r w:rsidR="003618D7">
        <w:rPr>
          <w:noProof/>
          <w:color w:val="0432FF"/>
        </w:rPr>
        <w:t>,</w:t>
      </w:r>
      <w:r w:rsidR="00C95664" w:rsidRPr="004D6881">
        <w:rPr>
          <w:noProof/>
          <w:color w:val="0432FF"/>
        </w:rPr>
        <w:t xml:space="preserve"> 2010</w:t>
      </w:r>
      <w:r w:rsidR="00C95664" w:rsidRPr="004D6881">
        <w:rPr>
          <w:noProof/>
        </w:rPr>
        <w:t>)</w:t>
      </w:r>
      <w:r w:rsidR="001F1132" w:rsidRPr="004D6881">
        <w:fldChar w:fldCharType="end"/>
      </w:r>
      <w:r w:rsidRPr="004D6881">
        <w:t xml:space="preserve">. </w:t>
      </w:r>
      <w:r w:rsidR="00352C23" w:rsidRPr="004D6881">
        <w:t xml:space="preserve">These structures have allowed to perform a study of the type of domain interfaces in titin </w:t>
      </w:r>
      <w:r w:rsidR="00AC223B">
        <w:fldChar w:fldCharType="begin" w:fldLock="1"/>
      </w:r>
      <w:r w:rsidR="00C2687E">
        <w:instrText>ADDIN CSL_CITATION {"citationItems":[{"id":"ITEM-1","itemData":{"DOI":"10.1042/BST20150084","ISSN":"14708752","abstract":"Titin is a gigantic filamentous protein of the muscle sarcomere that plays roles in myofibril mechanics and homoeostasis. 3D-structures of multi-domain fragments of titin are now available that start revealing the molecular mechanisms governing its mechanical and scaffolding functions. This knowledge is now being translated into the fabrication of self-assembling biopolymers. Here we review the structural advances on titin, the novel concepts derived from these and the emerging translational avenues.","author":[{"dropping-particle":"","family":"Zacharchenko","given":"Thomas","non-dropping-particle":"","parse-names":false,"suffix":""},{"dropping-particle":"","family":"Castelmur","given":"Eleonore","non-dropping-particle":"Von","parse-names":false,"suffix":""},{"dropping-particle":"","family":"Rigden","given":"Daniel J.","non-dropping-particle":"","parse-names":false,"suffix":""},{"dropping-particle":"","family":"Mayans","given":"Olga","non-dropping-particle":"","parse-names":false,"suffix":""}],"container-title":"Biochemical Society Transactions","id":"ITEM-1","issue":"5","issued":{"date-parts":[["2015"]]},"page":":850-5","title":"Structural advances on titin: Towards an atomic understanding of multi-domain functions in myofilament mechanics and scaffolding","type":"article-journal","volume":"43"},"uris":["http://www.mendeley.com/documents/?uuid=45edb225-71f5-4238-a035-79e79d6f9f06"]}],"mendeley":{"formattedCitation":"(Zacharchenko et al., 2015)","plainTextFormattedCitation":"(Zacharchenko et al., 2015)","previouslyFormattedCitation":"(Zacharchenko, Von Castelmur, Rigden, &amp; Mayans, 2015)"},"properties":{"noteIndex":0},"schema":"https://github.com/citation-style-language/schema/raw/master/csl-citation.json"}</w:instrText>
      </w:r>
      <w:r w:rsidR="00AC223B">
        <w:fldChar w:fldCharType="separate"/>
      </w:r>
      <w:r w:rsidR="00C2687E" w:rsidRPr="00C2687E">
        <w:rPr>
          <w:noProof/>
        </w:rPr>
        <w:t>(</w:t>
      </w:r>
      <w:r w:rsidR="00C2687E" w:rsidRPr="00136206">
        <w:rPr>
          <w:noProof/>
          <w:color w:val="003CFF"/>
        </w:rPr>
        <w:t>Zacharchenko et al., 2015</w:t>
      </w:r>
      <w:r w:rsidR="00C2687E" w:rsidRPr="00C2687E">
        <w:rPr>
          <w:noProof/>
        </w:rPr>
        <w:t>)</w:t>
      </w:r>
      <w:r w:rsidR="00AC223B">
        <w:fldChar w:fldCharType="end"/>
      </w:r>
      <w:r w:rsidR="00AC223B" w:rsidRPr="00AC223B">
        <w:rPr>
          <w:color w:val="000000" w:themeColor="text1"/>
        </w:rPr>
        <w:t>,</w:t>
      </w:r>
      <w:r w:rsidR="00A94381" w:rsidRPr="00AC223B">
        <w:rPr>
          <w:color w:val="000000" w:themeColor="text1"/>
        </w:rPr>
        <w:t xml:space="preserve"> </w:t>
      </w:r>
      <w:r w:rsidR="00A94381" w:rsidRPr="004D6881">
        <w:t xml:space="preserve">demonstrating that there are significant </w:t>
      </w:r>
      <w:r w:rsidR="00A568F9" w:rsidRPr="004D6881">
        <w:rPr>
          <w:color w:val="000000" w:themeColor="text1"/>
        </w:rPr>
        <w:t>interdomain contacts in most cases</w:t>
      </w:r>
      <w:r w:rsidR="00352C23" w:rsidRPr="004D6881">
        <w:rPr>
          <w:color w:val="000000" w:themeColor="text1"/>
        </w:rPr>
        <w:t xml:space="preserve">. </w:t>
      </w:r>
      <w:r w:rsidR="00EB4A41" w:rsidRPr="004D6881">
        <w:rPr>
          <w:color w:val="000000" w:themeColor="text1"/>
        </w:rPr>
        <w:t>This structural knowledge could be expected t</w:t>
      </w:r>
      <w:r w:rsidR="008A0B4C" w:rsidRPr="004D6881">
        <w:rPr>
          <w:color w:val="000000" w:themeColor="text1"/>
        </w:rPr>
        <w:t xml:space="preserve">o </w:t>
      </w:r>
      <w:r w:rsidR="00EB4A41" w:rsidRPr="004D6881">
        <w:rPr>
          <w:color w:val="000000" w:themeColor="text1"/>
        </w:rPr>
        <w:t xml:space="preserve">contribute to the </w:t>
      </w:r>
      <w:r w:rsidR="00F31B86" w:rsidRPr="004D6881">
        <w:rPr>
          <w:color w:val="000000" w:themeColor="text1"/>
        </w:rPr>
        <w:t xml:space="preserve">future </w:t>
      </w:r>
      <w:r w:rsidR="008A0B4C" w:rsidRPr="004D6881">
        <w:rPr>
          <w:color w:val="000000" w:themeColor="text1"/>
        </w:rPr>
        <w:t>develop</w:t>
      </w:r>
      <w:r w:rsidR="00EB4A41" w:rsidRPr="004D6881">
        <w:rPr>
          <w:color w:val="000000" w:themeColor="text1"/>
        </w:rPr>
        <w:t>ment of</w:t>
      </w:r>
      <w:r w:rsidR="008A0B4C" w:rsidRPr="004D6881">
        <w:rPr>
          <w:color w:val="000000" w:themeColor="text1"/>
        </w:rPr>
        <w:t xml:space="preserve"> useful scoring functions for titin, </w:t>
      </w:r>
      <w:r w:rsidR="00F31B86" w:rsidRPr="004D6881">
        <w:rPr>
          <w:color w:val="000000" w:themeColor="text1"/>
        </w:rPr>
        <w:t>assisting to</w:t>
      </w:r>
      <w:r w:rsidR="008A0B4C" w:rsidRPr="004D6881">
        <w:rPr>
          <w:color w:val="000000" w:themeColor="text1"/>
        </w:rPr>
        <w:t xml:space="preserve"> characteriz</w:t>
      </w:r>
      <w:r w:rsidR="00F31B86" w:rsidRPr="004D6881">
        <w:rPr>
          <w:color w:val="000000" w:themeColor="text1"/>
        </w:rPr>
        <w:t>e</w:t>
      </w:r>
      <w:r w:rsidR="008A0B4C" w:rsidRPr="004D6881">
        <w:rPr>
          <w:color w:val="000000" w:themeColor="text1"/>
        </w:rPr>
        <w:t xml:space="preserve"> differing Ig environments along the chain and the effect of diverse </w:t>
      </w:r>
      <w:proofErr w:type="spellStart"/>
      <w:r w:rsidR="008A0B4C" w:rsidRPr="004D6881">
        <w:rPr>
          <w:color w:val="000000" w:themeColor="text1"/>
        </w:rPr>
        <w:t>nsSNVs</w:t>
      </w:r>
      <w:proofErr w:type="spellEnd"/>
      <w:r w:rsidR="008A0B4C" w:rsidRPr="004D6881">
        <w:rPr>
          <w:color w:val="000000" w:themeColor="text1"/>
        </w:rPr>
        <w:t xml:space="preserve"> within them. </w:t>
      </w:r>
      <w:r w:rsidR="00FD7646" w:rsidRPr="004D6881">
        <w:rPr>
          <w:color w:val="000000" w:themeColor="text1"/>
        </w:rPr>
        <w:t>T</w:t>
      </w:r>
      <w:r w:rsidR="008A0B4C" w:rsidRPr="004D6881">
        <w:rPr>
          <w:color w:val="000000" w:themeColor="text1"/>
        </w:rPr>
        <w:t>he current titin</w:t>
      </w:r>
      <w:r w:rsidR="003618D7">
        <w:rPr>
          <w:color w:val="000000" w:themeColor="text1"/>
        </w:rPr>
        <w:t>-</w:t>
      </w:r>
      <w:r w:rsidR="008A0B4C" w:rsidRPr="004D6881">
        <w:rPr>
          <w:color w:val="000000" w:themeColor="text1"/>
        </w:rPr>
        <w:t xml:space="preserve">specific SNV </w:t>
      </w:r>
      <w:r w:rsidR="00FD7646" w:rsidRPr="004D6881">
        <w:rPr>
          <w:color w:val="000000" w:themeColor="text1"/>
        </w:rPr>
        <w:t>annotator</w:t>
      </w:r>
      <w:r w:rsidR="008A0B4C" w:rsidRPr="004D6881">
        <w:rPr>
          <w:color w:val="000000" w:themeColor="text1"/>
        </w:rPr>
        <w:t xml:space="preserve"> </w:t>
      </w:r>
      <w:proofErr w:type="spellStart"/>
      <w:r w:rsidR="008A0B4C" w:rsidRPr="004D6881">
        <w:rPr>
          <w:color w:val="000000" w:themeColor="text1"/>
        </w:rPr>
        <w:t>TitinDB</w:t>
      </w:r>
      <w:proofErr w:type="spellEnd"/>
      <w:r w:rsidR="008A0B4C" w:rsidRPr="004D6881">
        <w:rPr>
          <w:color w:val="000000" w:themeColor="text1"/>
        </w:rPr>
        <w:t xml:space="preserve">, </w:t>
      </w:r>
      <w:r w:rsidR="00FD7646" w:rsidRPr="004D6881">
        <w:rPr>
          <w:color w:val="000000" w:themeColor="text1"/>
        </w:rPr>
        <w:t xml:space="preserve">which uses DUET to calculate </w:t>
      </w:r>
      <w:r w:rsidR="003618D7">
        <w:rPr>
          <w:color w:val="000000" w:themeColor="text1"/>
        </w:rPr>
        <w:t xml:space="preserve">residue </w:t>
      </w:r>
      <w:r w:rsidR="00FD7646" w:rsidRPr="004D6881">
        <w:rPr>
          <w:color w:val="000000" w:themeColor="text1"/>
        </w:rPr>
        <w:t xml:space="preserve">exchange stabilities changes </w:t>
      </w:r>
      <w:r w:rsidR="008A0B4C" w:rsidRPr="004D6881">
        <w:rPr>
          <w:color w:val="000000" w:themeColor="text1"/>
        </w:rPr>
        <w:t xml:space="preserve">considers each domain in isolation </w:t>
      </w:r>
      <w:r w:rsidR="008A0B4C" w:rsidRPr="004D6881">
        <w:rPr>
          <w:color w:val="000000" w:themeColor="text1"/>
        </w:rPr>
        <w:fldChar w:fldCharType="begin" w:fldLock="1"/>
      </w:r>
      <w:r w:rsidR="00C2687E">
        <w:rPr>
          <w:color w:val="000000" w:themeColor="text1"/>
        </w:rPr>
        <w:instrText>ADDIN CSL_CITATION {"citationItems":[{"id":"ITEM-1","itemData":{"DOI":"10.1093/bioinformatics/btx424","ISSN":"13674811","abstract":"Summary: Large numbers of rare and unique titin missense variants have been discovered in both healthy and disease cohorts, thus the correct classification of variants as pathogenic or non-pathogenic has become imperative. Due to titin's large size (363 coding exons), current web applications are unable to map titin variants to domain structures. Here, we present a web application, TITINdb, which integrates titin structure, variant, sequence and isoform information, along with pre-computed predictions of the impact of non-synonymous single nucleotide variants, to facilitate the correct classification of titin variants. Availability and implementation: TITINdb can be freely accessed at http://fraternalilab.kcl.ac.uk/TITINdb. Contact: franca.fraternali@kcl.ac.uk. Supplementary information: Supplementary data are available at Bioinformatics online.","author":[{"dropping-particle":"","family":"Laddach","given":"Anna","non-dropping-particle":"","parse-names":false,"suffix":""},{"dropping-particle":"","family":"Gautel","given":"Mathias","non-dropping-particle":"","parse-names":false,"suffix":""},{"dropping-particle":"","family":"Fraternali","given":"Franca","non-dropping-particle":"","parse-names":false,"suffix":""}],"container-title":"Bioinformatics (Oxford, England)","editor":[{"dropping-particle":"","family":"Valencia","given":"Alfonso","non-dropping-particle":"","parse-names":false,"suffix":""}],"id":"ITEM-1","issue":"21","issued":{"date-parts":[["2017","11","1"]]},"page":"3482-3485","publisher":"Oxford Academic","title":"TITINdb-a computational tool to assess titin's role as a disease gene","type":"article-journal","volume":"33"},"uris":["http://www.mendeley.com/documents/?uuid=bfc26057-4585-4844-adf3-844e77411695"]}],"mendeley":{"formattedCitation":"(Laddach et al., 2017)","plainTextFormattedCitation":"(Laddach et al., 2017)","previouslyFormattedCitation":"(Laddach, Gautel, &amp; Fraternali, 2017)"},"properties":{"noteIndex":0},"schema":"https://github.com/citation-style-language/schema/raw/master/csl-citation.json"}</w:instrText>
      </w:r>
      <w:r w:rsidR="008A0B4C" w:rsidRPr="004D6881">
        <w:rPr>
          <w:color w:val="000000" w:themeColor="text1"/>
        </w:rPr>
        <w:fldChar w:fldCharType="separate"/>
      </w:r>
      <w:r w:rsidR="00C2687E" w:rsidRPr="00C2687E">
        <w:rPr>
          <w:noProof/>
          <w:color w:val="000000" w:themeColor="text1"/>
        </w:rPr>
        <w:t>(</w:t>
      </w:r>
      <w:r w:rsidR="00C2687E" w:rsidRPr="00251B32">
        <w:rPr>
          <w:noProof/>
          <w:color w:val="003CFF"/>
        </w:rPr>
        <w:t>Laddach et al., 2017</w:t>
      </w:r>
      <w:r w:rsidR="00C2687E" w:rsidRPr="00C2687E">
        <w:rPr>
          <w:noProof/>
          <w:color w:val="000000" w:themeColor="text1"/>
        </w:rPr>
        <w:t>)</w:t>
      </w:r>
      <w:r w:rsidR="008A0B4C" w:rsidRPr="004D6881">
        <w:rPr>
          <w:color w:val="000000" w:themeColor="text1"/>
        </w:rPr>
        <w:fldChar w:fldCharType="end"/>
      </w:r>
      <w:r w:rsidR="00FD7646" w:rsidRPr="004D6881">
        <w:rPr>
          <w:color w:val="000000" w:themeColor="text1"/>
        </w:rPr>
        <w:t xml:space="preserve"> and </w:t>
      </w:r>
      <w:r w:rsidR="008A0B4C" w:rsidRPr="004D6881">
        <w:rPr>
          <w:color w:val="000000" w:themeColor="text1"/>
        </w:rPr>
        <w:t>predict</w:t>
      </w:r>
      <w:r w:rsidR="00FD7646" w:rsidRPr="004D6881">
        <w:rPr>
          <w:color w:val="000000" w:themeColor="text1"/>
        </w:rPr>
        <w:t>s</w:t>
      </w:r>
      <w:r w:rsidR="008A0B4C" w:rsidRPr="004D6881">
        <w:rPr>
          <w:color w:val="000000" w:themeColor="text1"/>
        </w:rPr>
        <w:t xml:space="preserve"> the </w:t>
      </w:r>
      <w:r w:rsidR="005F6F43" w:rsidRPr="004D6881">
        <w:rPr>
          <w:color w:val="000000" w:themeColor="text1"/>
        </w:rPr>
        <w:t xml:space="preserve">ARVC-linked </w:t>
      </w:r>
      <w:r w:rsidR="008A0B4C" w:rsidRPr="004D6881">
        <w:rPr>
          <w:color w:val="000000" w:themeColor="text1"/>
        </w:rPr>
        <w:t>T2850I exchange as stabilising. Th</w:t>
      </w:r>
      <w:r w:rsidR="005F6F43" w:rsidRPr="004D6881">
        <w:rPr>
          <w:color w:val="000000" w:themeColor="text1"/>
        </w:rPr>
        <w:t>e current</w:t>
      </w:r>
      <w:r w:rsidR="008A0B4C" w:rsidRPr="004D6881">
        <w:rPr>
          <w:color w:val="000000" w:themeColor="text1"/>
        </w:rPr>
        <w:t xml:space="preserve"> work indicates that SNV prediction would benefit from a contextual analysis. </w:t>
      </w:r>
      <w:r w:rsidR="00EE0694">
        <w:rPr>
          <w:color w:val="000000" w:themeColor="text1"/>
        </w:rPr>
        <w:t>However, it is important to take into consideration that unlike stability calculations for single domains, in which there is a clear mechanism of disease through compromising the domain structurally</w:t>
      </w:r>
      <w:r w:rsidR="002863FA">
        <w:rPr>
          <w:color w:val="000000" w:themeColor="text1"/>
        </w:rPr>
        <w:t xml:space="preserve">, </w:t>
      </w:r>
      <w:r w:rsidR="00EE0694">
        <w:rPr>
          <w:color w:val="000000" w:themeColor="text1"/>
        </w:rPr>
        <w:t xml:space="preserve">DIS highlights areas which can </w:t>
      </w:r>
      <w:r w:rsidR="002863FA">
        <w:rPr>
          <w:color w:val="000000" w:themeColor="text1"/>
        </w:rPr>
        <w:t>affect</w:t>
      </w:r>
      <w:r w:rsidR="00EE0694">
        <w:rPr>
          <w:color w:val="000000" w:themeColor="text1"/>
        </w:rPr>
        <w:t xml:space="preserve"> interdomain relationships</w:t>
      </w:r>
      <w:r w:rsidR="002863FA">
        <w:rPr>
          <w:color w:val="000000" w:themeColor="text1"/>
        </w:rPr>
        <w:t xml:space="preserve">. This represents a more complex mechanism of disease linked to alterations in the </w:t>
      </w:r>
      <w:r w:rsidR="003618D7">
        <w:rPr>
          <w:color w:val="000000" w:themeColor="text1"/>
        </w:rPr>
        <w:t xml:space="preserve">dynamics and </w:t>
      </w:r>
      <w:r w:rsidR="002863FA">
        <w:rPr>
          <w:color w:val="000000" w:themeColor="text1"/>
        </w:rPr>
        <w:t>viscoelasticity of the titin chain</w:t>
      </w:r>
      <w:r w:rsidR="00EE0694">
        <w:rPr>
          <w:color w:val="000000" w:themeColor="text1"/>
        </w:rPr>
        <w:t xml:space="preserve">. To date, there has only been one </w:t>
      </w:r>
      <w:r w:rsidR="003618D7">
        <w:rPr>
          <w:color w:val="000000" w:themeColor="text1"/>
        </w:rPr>
        <w:t xml:space="preserve">experimental </w:t>
      </w:r>
      <w:r w:rsidR="00EE0694">
        <w:rPr>
          <w:color w:val="000000" w:themeColor="text1"/>
        </w:rPr>
        <w:t>study</w:t>
      </w:r>
      <w:r w:rsidR="003618D7">
        <w:rPr>
          <w:color w:val="000000" w:themeColor="text1"/>
        </w:rPr>
        <w:t xml:space="preserve"> (</w:t>
      </w:r>
      <w:proofErr w:type="spellStart"/>
      <w:r w:rsidR="00EE0694" w:rsidRPr="00251B32">
        <w:rPr>
          <w:color w:val="003CFF"/>
        </w:rPr>
        <w:t>Bogomolovas</w:t>
      </w:r>
      <w:proofErr w:type="spellEnd"/>
      <w:r w:rsidR="00EE0694" w:rsidRPr="00251B32">
        <w:rPr>
          <w:color w:val="003CFF"/>
        </w:rPr>
        <w:t xml:space="preserve"> et al,</w:t>
      </w:r>
      <w:r w:rsidR="003618D7" w:rsidRPr="00251B32">
        <w:rPr>
          <w:color w:val="003CFF"/>
        </w:rPr>
        <w:t xml:space="preserve"> 2016</w:t>
      </w:r>
      <w:r w:rsidR="003618D7">
        <w:rPr>
          <w:color w:val="000000" w:themeColor="text1"/>
        </w:rPr>
        <w:t>)</w:t>
      </w:r>
      <w:r w:rsidR="00EE0694">
        <w:rPr>
          <w:color w:val="000000" w:themeColor="text1"/>
        </w:rPr>
        <w:t xml:space="preserve"> which links this molecular mechanism to </w:t>
      </w:r>
      <w:r w:rsidR="00EE0694">
        <w:rPr>
          <w:color w:val="000000" w:themeColor="text1"/>
        </w:rPr>
        <w:lastRenderedPageBreak/>
        <w:t>disease. Th</w:t>
      </w:r>
      <w:r w:rsidR="002863FA">
        <w:rPr>
          <w:color w:val="000000" w:themeColor="text1"/>
        </w:rPr>
        <w:t>erefore,</w:t>
      </w:r>
      <w:r w:rsidR="00EE0694">
        <w:rPr>
          <w:color w:val="000000" w:themeColor="text1"/>
        </w:rPr>
        <w:t xml:space="preserve"> further experimental validation</w:t>
      </w:r>
      <w:r w:rsidR="002863FA">
        <w:rPr>
          <w:color w:val="000000" w:themeColor="text1"/>
        </w:rPr>
        <w:t xml:space="preserve"> is required</w:t>
      </w:r>
      <w:r w:rsidR="00EE0694">
        <w:rPr>
          <w:color w:val="000000" w:themeColor="text1"/>
        </w:rPr>
        <w:t xml:space="preserve">, </w:t>
      </w:r>
      <w:r w:rsidR="002863FA">
        <w:rPr>
          <w:color w:val="000000" w:themeColor="text1"/>
        </w:rPr>
        <w:t>with</w:t>
      </w:r>
      <w:r w:rsidR="00EE0694">
        <w:rPr>
          <w:color w:val="000000" w:themeColor="text1"/>
        </w:rPr>
        <w:t xml:space="preserve"> the </w:t>
      </w:r>
      <w:r w:rsidR="002863FA">
        <w:rPr>
          <w:color w:val="000000" w:themeColor="text1"/>
        </w:rPr>
        <w:t xml:space="preserve">variations </w:t>
      </w:r>
      <w:r w:rsidR="00EE0694">
        <w:rPr>
          <w:color w:val="000000" w:themeColor="text1"/>
        </w:rPr>
        <w:t xml:space="preserve">identified in this study representing ideal test-cases. </w:t>
      </w:r>
    </w:p>
    <w:p w14:paraId="4DCFF38D" w14:textId="77777777" w:rsidR="002863FA" w:rsidRPr="002863FA" w:rsidRDefault="002863FA" w:rsidP="00217229">
      <w:pPr>
        <w:spacing w:line="360" w:lineRule="auto"/>
        <w:jc w:val="both"/>
      </w:pPr>
    </w:p>
    <w:p w14:paraId="130354A3" w14:textId="0CAB9E8D" w:rsidR="00737E33" w:rsidRPr="004D6881" w:rsidRDefault="00D021FA" w:rsidP="00217229">
      <w:pPr>
        <w:spacing w:line="360" w:lineRule="auto"/>
        <w:jc w:val="both"/>
        <w:rPr>
          <w:color w:val="000000" w:themeColor="text1"/>
        </w:rPr>
      </w:pPr>
      <w:r w:rsidRPr="00D021FA">
        <w:rPr>
          <w:color w:val="000000" w:themeColor="text1"/>
          <w:highlight w:val="yellow"/>
        </w:rPr>
        <w:t>Molecular dynamics has been growing in popularity as a SNV analysis tool being successfully applied to a range of cases</w:t>
      </w:r>
      <w:r w:rsidR="006D4516">
        <w:rPr>
          <w:color w:val="000000" w:themeColor="text1"/>
          <w:highlight w:val="yellow"/>
        </w:rPr>
        <w:t xml:space="preserve"> </w:t>
      </w:r>
      <w:r w:rsidR="003618D7">
        <w:rPr>
          <w:color w:val="000000" w:themeColor="text1"/>
          <w:highlight w:val="yellow"/>
        </w:rPr>
        <w:t>(</w:t>
      </w:r>
      <w:r w:rsidR="004B4FB9">
        <w:rPr>
          <w:color w:val="000000" w:themeColor="text1"/>
          <w:highlight w:val="yellow"/>
        </w:rPr>
        <w:t xml:space="preserve">reviewed in </w:t>
      </w:r>
      <w:r w:rsidR="004B4FB9">
        <w:rPr>
          <w:color w:val="000000" w:themeColor="text1"/>
          <w:highlight w:val="yellow"/>
        </w:rPr>
        <w:fldChar w:fldCharType="begin" w:fldLock="1"/>
      </w:r>
      <w:r w:rsidR="00C2687E">
        <w:rPr>
          <w:color w:val="000000" w:themeColor="text1"/>
          <w:highlight w:val="yellow"/>
        </w:rPr>
        <w:instrText>ADDIN CSL_CITATION {"citationItems":[{"id":"ITEM-1","itemData":{"DOI":"10.1016/bs.apcsb.2015.09.004","ISBN":"9780128047958","ISSN":"18761623","abstract":"The field of drug discovery has witnessed infinite development over the last decade with the demand for discovery of novel efficient lead compounds. Although the development of novel compounds in this field has seen large failure, a breakthrough in this area might be the establishment of personalized medicine. The trend of personalized medicine has shown stupendous growth being a hot topic after the successful completion of Human Genome Project and 1000 genomes pilot project. Genomic variant such as SNPs play a vital role with respect to inter individual's disease susceptibility and drug response. Hence, identification of such genetic variants has to be performed before administration of a drug. This process requires high-end techniques to understand the complexity of the molecules which might bring an insight to understand the compounds at their molecular level. To sustenance this, field of bioinformatics plays a crucial role in revealing the molecular mechanism of the mutation and thereby designing a drug for an individual in fast and affordable manner. High-end computational methods, such as molecular dynamics (MD) simulation has proved to be a constitutive approach to detecting the minor changes associated with an SNP for better understanding of the structural and functional relationship. The parameters used in molecular dynamic simulation elucidate different properties of a macromolecule, such as protein stability and flexibility. MD along with docking analysis can reveal the synergetic effect of an SNP in protein-ligand interaction and provides a foundation for designing a particular drug molecule for an individual. This compelling application of computational power and the advent of other technologies have paved a promising way toward personalized medicine. In this in-depth review, we tried to highlight the different wings of MD toward personalized medicine.","author":[{"dropping-particle":"","family":"Sneha","given":"P.","non-dropping-particle":"","parse-names":false,"suffix":""},{"dropping-particle":"","family":"Priya Doss","given":"C. G.","non-dropping-particle":"","parse-names":false,"suffix":""}],"container-title":"Advances in Protein Chemistry and Structural Biology","id":"ITEM-1","issued":{"date-parts":[["2016"]]},"page":"181-224","title":"Molecular Dynamics: New Frontier in Personalized Medicine","type":"article-journal","volume":"102"},"uris":["http://www.mendeley.com/documents/?uuid=a3328bcc-3f03-4996-af6c-fba06a98949c","http://www.mendeley.com/documents/?uuid=4eb24625-02cd-480c-8570-8478faaf0b1a"]}],"mendeley":{"formattedCitation":"(Sneha &amp; Priya Doss, 2016)","plainTextFormattedCitation":"(Sneha &amp; Priya Doss, 2016)","previouslyFormattedCitation":"(Sneha &amp; Priya Doss, 2016)"},"properties":{"noteIndex":0},"schema":"https://github.com/citation-style-language/schema/raw/master/csl-citation.json"}</w:instrText>
      </w:r>
      <w:r w:rsidR="004B4FB9">
        <w:rPr>
          <w:color w:val="000000" w:themeColor="text1"/>
          <w:highlight w:val="yellow"/>
        </w:rPr>
        <w:fldChar w:fldCharType="separate"/>
      </w:r>
      <w:r w:rsidR="004B4FB9" w:rsidRPr="004B4FB9">
        <w:rPr>
          <w:noProof/>
          <w:color w:val="0432FF"/>
          <w:highlight w:val="yellow"/>
        </w:rPr>
        <w:t>Sneha &amp; Priya Doss, 2016</w:t>
      </w:r>
      <w:r w:rsidR="004B4FB9" w:rsidRPr="004B4FB9">
        <w:rPr>
          <w:noProof/>
          <w:color w:val="000000" w:themeColor="text1"/>
          <w:highlight w:val="yellow"/>
        </w:rPr>
        <w:t>)</w:t>
      </w:r>
      <w:r w:rsidR="004B4FB9">
        <w:rPr>
          <w:color w:val="000000" w:themeColor="text1"/>
          <w:highlight w:val="yellow"/>
        </w:rPr>
        <w:fldChar w:fldCharType="end"/>
      </w:r>
      <w:r w:rsidR="006D4516">
        <w:rPr>
          <w:color w:val="000000" w:themeColor="text1"/>
          <w:highlight w:val="yellow"/>
        </w:rPr>
        <w:t>,</w:t>
      </w:r>
      <w:r w:rsidR="006D4516">
        <w:rPr>
          <w:color w:val="000000" w:themeColor="text1"/>
        </w:rPr>
        <w:t xml:space="preserve"> </w:t>
      </w:r>
      <w:r w:rsidRPr="00D021FA">
        <w:rPr>
          <w:color w:val="000000" w:themeColor="text1"/>
          <w:highlight w:val="yellow"/>
        </w:rPr>
        <w:t xml:space="preserve"> including titin, where it was used t</w:t>
      </w:r>
      <w:r>
        <w:rPr>
          <w:color w:val="000000" w:themeColor="text1"/>
          <w:highlight w:val="yellow"/>
        </w:rPr>
        <w:t>o</w:t>
      </w:r>
      <w:r w:rsidR="005B4D4B">
        <w:rPr>
          <w:color w:val="000000" w:themeColor="text1"/>
          <w:highlight w:val="yellow"/>
        </w:rPr>
        <w:t xml:space="preserve"> i</w:t>
      </w:r>
      <w:r w:rsidR="008E4CBE">
        <w:rPr>
          <w:color w:val="000000" w:themeColor="text1"/>
          <w:highlight w:val="yellow"/>
        </w:rPr>
        <w:t>nvestigate</w:t>
      </w:r>
      <w:r w:rsidR="005B4D4B">
        <w:rPr>
          <w:color w:val="000000" w:themeColor="text1"/>
          <w:highlight w:val="yellow"/>
        </w:rPr>
        <w:t xml:space="preserve"> and </w:t>
      </w:r>
      <w:r w:rsidRPr="00D021FA">
        <w:rPr>
          <w:color w:val="000000" w:themeColor="text1"/>
          <w:highlight w:val="yellow"/>
        </w:rPr>
        <w:t xml:space="preserve">explain the </w:t>
      </w:r>
      <w:r w:rsidR="003618D7">
        <w:rPr>
          <w:color w:val="000000" w:themeColor="text1"/>
          <w:highlight w:val="yellow"/>
        </w:rPr>
        <w:t xml:space="preserve">potential </w:t>
      </w:r>
      <w:r w:rsidR="005B4D4B">
        <w:rPr>
          <w:color w:val="000000" w:themeColor="text1"/>
          <w:highlight w:val="yellow"/>
        </w:rPr>
        <w:t xml:space="preserve">destabilising </w:t>
      </w:r>
      <w:r w:rsidRPr="00D021FA">
        <w:rPr>
          <w:color w:val="000000" w:themeColor="text1"/>
          <w:highlight w:val="yellow"/>
        </w:rPr>
        <w:t xml:space="preserve">structural consequences of the </w:t>
      </w:r>
      <w:r>
        <w:rPr>
          <w:color w:val="000000" w:themeColor="text1"/>
          <w:highlight w:val="yellow"/>
        </w:rPr>
        <w:t xml:space="preserve">V54M </w:t>
      </w:r>
      <w:r w:rsidRPr="00D021FA">
        <w:rPr>
          <w:color w:val="000000" w:themeColor="text1"/>
          <w:highlight w:val="yellow"/>
        </w:rPr>
        <w:t xml:space="preserve"> mutation</w:t>
      </w:r>
      <w:r w:rsidR="00E74AA9">
        <w:rPr>
          <w:color w:val="000000" w:themeColor="text1"/>
          <w:highlight w:val="yellow"/>
        </w:rPr>
        <w:t xml:space="preserve"> in the </w:t>
      </w:r>
      <w:r w:rsidR="003618D7">
        <w:rPr>
          <w:color w:val="000000" w:themeColor="text1"/>
          <w:highlight w:val="yellow"/>
        </w:rPr>
        <w:t>domain Z1</w:t>
      </w:r>
      <w:r w:rsidR="00E74AA9">
        <w:rPr>
          <w:color w:val="000000" w:themeColor="text1"/>
          <w:highlight w:val="yellow"/>
        </w:rPr>
        <w:t xml:space="preserve"> </w:t>
      </w:r>
      <w:r w:rsidR="00E74AA9">
        <w:rPr>
          <w:color w:val="000000" w:themeColor="text1"/>
          <w:highlight w:val="yellow"/>
        </w:rPr>
        <w:fldChar w:fldCharType="begin" w:fldLock="1"/>
      </w:r>
      <w:r w:rsidR="00C2687E">
        <w:rPr>
          <w:color w:val="000000" w:themeColor="text1"/>
          <w:highlight w:val="yellow"/>
        </w:rPr>
        <w:instrText>ADDIN CSL_CITATION {"citationItems":[{"id":"ITEM-1","itemData":{"DOI":"10.1038/srep37284","ISSN":"20452322","abstract":"A systematic search was implemented using four literature databases (PubMed, Embase, Science Direct and Web of Science) to capture all the causative mutations of Glucose-6-phosphate dehydrogenase (G6PD) deficiency (G6PDD) in the 22 Arab countries. Our search yielded 43 studies that captured 33 mutations (23 missense, one silent, two deletions, and seven intronic mutations), in 3,430 Arab patients with G6PDD. The 23 missense mutations were then subjected to phenotypic classification using in silico prediction tools, which were compared to the WHO pathogenicity scale as a reference. These in silico tools were tested for their predicting efficiency using rigorous statistical analyses. Of the 23 missense mutations, p.S188F, p.I48T, p.N126D, and p.V68M, were identified as the most common mutations among Arab populations, but were not unique to the Arab world, interestingly, our search strategy found four other mutations (p.N135T, p.S179N, p.R246L, and p.Q307P) that are unique to Arabs. These mutations were exposed to structural analysis and molecular dynamics simulation analysis (MDSA), which predicting these mutant forms as potentially affect the enzyme function. The combination of the MDSA, structural analysis, and in silico predictions and statistical tools we used will provide a platform for future prediction accuracy for the pathogenicity of genetic mutations.","author":[{"dropping-particle":"","family":"Doss","given":"C. George Priya","non-dropping-particle":"","parse-names":false,"suffix":""},{"dropping-particle":"","family":"Alasmar","given":"Dima R.","non-dropping-particle":"","parse-names":false,"suffix":""},{"dropping-particle":"","family":"Bux","given":"Reem I.","non-dropping-particle":"","parse-names":false,"suffix":""},{"dropping-particle":"","family":"Sneha","given":"P.","non-dropping-particle":"","parse-names":false,"suffix":""},{"dropping-particle":"","family":"Bakhsh","given":"Fadheela Dad","non-dropping-particle":"","parse-names":false,"suffix":""},{"dropping-particle":"","family":"Al-Azwani","given":"Iman","non-dropping-particle":"","parse-names":false,"suffix":""},{"dropping-particle":"El","family":"Bekay","given":"Rajaa","non-dropping-particle":"","parse-names":false,"suffix":""},{"dropping-particle":"","family":"Zayed","given":"Hatem","non-dropping-particle":"","parse-names":false,"suffix":""}],"container-title":"Scientific Reports","id":"ITEM-1","issued":{"date-parts":[["2016"]]},"title":"Genetic Epidemiology of Glucose-6-Dehydrogenase Deficiency in the Arab World","type":"article-journal"},"uris":["http://www.mendeley.com/documents/?uuid=36c1c0aa-1dd7-4952-9a70-3413c82dc75b"]},{"id":"ITEM-2","itemData":{"DOI":"10.7150/thno.7473","ISSN":"18387640","abstract":"Heterozygous mutations in the central glycolytic enzyme glucokinase (GCK) can result in an autosomal dominant inherited disease, namely maturity-onset diabetes of the young, type 2 (MODY 2). MODY 2 is characterised by early onset: it usually appears before 25 years of age and presents as a mild form of hyperglycaemia. In recent years, the number of known GCK mutations has markedly increased. As a result, interpreting which mutations cause a disease or confer susceptibility to a disease and characterising these deleterious mutations can be a difficult task in large-scale analyses and may be impossible when using a structural perspective. The laborious and time-consuming nature of the experimental analysis led us to attempt to develop a cost-effective computational pipeline for diabetic research that isbased on the fundamentals of protein biophysics and that facilitates our understanding of the relationship between phenotypic effects and evolutionary processes. In this study, we investigate missensemutations in the GCK gene by using a wide array of evolution- and structure-based computational methods, such as SIFT, PolyPhen2, PhD-SNP, SNAP, SNPs&amp;GO, fathmm, and Align GVGD. Based on the computational prediction scores obtained using these methods, three mutations, namely E70K,A188T, and W257R, were identified as highly deleterious on the basis of their effects on protein structure and function. Using the evolutionary conservation predictors Consurf and Scorecons, we further demonstrated that most of the predicted deleterious mutations, including E70K, A188T, and W257R, occur in highly conserved regions of GCK. The effects of the mutations on protein stability were computed using PoPMusic 2.1, I-mutant 3.0, and Dmutant. We also conducted molecular dynamics(MD) simulation analysis through in silico modelling to investigate the conformational differences between the native and the mutant proteins and found that the identified deleterious mutations alter the stability, flexibility, and solvent-accessible surface area of the protein. Furthermore, the functional role of each SNP in GCK was identified and characterised using SNPeffect 4.0, F-SNP, and FASTSNP.We hope that the observed results aid in the identification of disease-associated mutations that affect protein structure and function. Our in silico findings provide a new perspective on the role of GCK mutations in MODY2 from an evolution-based structure-centric point of view. The computational architecture…","author":[{"dropping-particle":"","family":"Priya George","given":"Doss C.","non-dropping-particle":"","parse-names":false,"suffix":""},{"dropping-particle":"","family":"Chakraborty","given":"Chiranjib","non-dropping-particle":"","parse-names":false,"suffix":""},{"dropping-particle":"","family":"Syed Haneef","given":"S. A.","non-dropping-particle":"","parse-names":false,"suffix":""},{"dropping-particle":"","family":"NagaSundaram","given":"Nagarajan","non-dropping-particle":"","parse-names":false,"suffix":""},{"dropping-particle":"","family":"Chen","given":"Luonan","non-dropping-particle":"","parse-names":false,"suffix":""},{"dropping-particle":"","family":"Zhu","given":"Hailong","non-dropping-particle":"","parse-names":false,"suffix":""}],"container-title":"Theranostics","id":"ITEM-2","issue":"4","issued":{"date-parts":[["2014"]]},"page":"366-385","title":"Evolution- and structure-based computational strategy reveals the impact of deleterious missense mutations on MODY 2 (maturity-onset diabetes of the young, type 2)","type":"article-journal","volume":"4"},"uris":["http://www.mendeley.com/documents/?uuid=5a027cee-ffb9-4eba-afb5-85d14644feca","http://www.mendeley.com/documents/?uuid=bd325a57-820d-44bc-8491-01e79cb197d7"]},{"id":"ITEM-3","itemData":{"DOI":"10.1186/1479-7364-7-10","ISSN":"14797364","abstract":"Background: Recent reports suggest the role of nonsynonymous single nucleotide polymorphisms (nsSNPs) in cyclin-dependent kinase 7 (CDK7) gene associated with defect in the DNA repair mechanism that may contribute to cancer risk. Among the various inhibitors developed so far, flavopiridol proved to be a potential antitumor drug in the phase-III clinical trial for chronic lymphocytic leukemia. Here, we described a theoretical assessment for the discovery of new drugs or drug targets in CDK7 protein owing to the changes caused by deleterious nsSNPs. Methods: Three nsSNPs (I63R, H135R, and T285M) were predicted to have functional impact on protein function by SIFT, PolyPhen2, I-Mutant3, PANTHER, SNPs&amp;GO, PhD-SNP, and screening for non-acceptable polymorphisms (SNAP). Furthermore, we analyzed the native and proposed mutant models in atomic level 10 ns simulation using the molecular dynamics (MD) approach. Finally, with the aid of Autodock 4.0 and PatchDock, we analyzed the binding efficacy of flavopiridol with CDK7 protein with respect to the deleterious mutations. Results: By comparing the results of all seven prediction tools, three nsSNPs (I63R, H135R, and T285M) were predicted to have functional impact on the protein function. The results of protein stability analysis inferred that I63R and H135R exhibited less deviation in root mean square deviation in comparison with the native and T285M protein. The flexibility of all the three mutant models of CDK7 protein is diverse in comparison with the native protein. Following to that, docking study revealed the change in the active site residues and decrease in the binding affinity of flavopiridol with mutant proteins. Conclusion: This theoretical approach is entirely based on computational methods, which has the ability to identify the disease-related SNPs in complex disorders by contrasting their costs and capabilities with those of the experimental methods. The identification of disease related SNPs by computational methods has the potential to create personalized tools for the diagnosis, prognosis, and treatment of diseases. Lay abstract: Cell cycle regulatory protein, CDK7, is linked with DNA repair mechanism which can contribute to cancer risk. The main aim of this study is to extrapolate the relationship between the nsSNPs and their effects in drug-binding capability. In this work, we propose a new methodology which (1) efficiently identified the deleterious nsSNPs that tend to have functional effect on…","author":[{"dropping-particle":"","family":"George Priya Doss","given":"C.","non-dropping-particle":"","parse-names":false,"suffix":""},{"dropping-particle":"","family":"Nagasundaram","given":"N.","non-dropping-particle":"","parse-names":false,"suffix":""},{"dropping-particle":"","family":"Chakraborty","given":"Chiranjib","non-dropping-particle":"","parse-names":false,"suffix":""},{"dropping-particle":"","family":"Chen","given":"Luonan","non-dropping-particle":"","parse-names":false,"suffix":""},{"dropping-particle":"","family":"Zhu","given":"Hailong","non-dropping-particle":"","parse-names":false,"suffix":""}],"container-title":"Human Genomics","id":"ITEM-3","issue":"1","issued":{"date-parts":[["2013"]]},"page":"10","title":"Extrapolating the effect of deleterious nsSNPs in the binding adaptability of flavopiridol with CDK7 protein: A molecular dynamics approach","type":"article-journal","volume":"7"},"uris":["http://www.mendeley.com/documents/?uuid=1d8af58d-3f5c-490f-92a9-af7ff648a32f","http://www.mendeley.com/documents/?uuid=8024657c-bb5e-48b8-8e48-e4ee6589b196"]},{"id":"ITEM-4","itemData":{"DOI":"10.1080/07391102.2016.1166456","ISSN":"15380254","abstract":"Recent genetic studies have revealed the impact of mutations in associated genes for cardiac sarcomere components leading to dilated cardiomyopathy (DCM). The cardiac sarcomere is composed of thick and thin filaments and a giant muscle protein known as titin or connectin. Titin interacts with T-cap/telethonin in the Z-line region and plays a vital role in regulating sarcomere assembly. Initially, we screened all the variants associated with giant protein titin and analyzed their impact with the aid of pathogenicity and stability prediction methods. V54M mutation found in the hydrophobic core region of the protein associated with abnormal clinical phenotype leads to DCM was selected for further analysis. To address this issue, we mapped the deleterious mutant V54M, modeled the mutant protein complex, and deciphered the impact of mutation on binding with its partner telethonin in the titin crystal structure of PDB ID: 1YA5 with the aid of docking analysis. Furthermore, two run molecular dynamics simulation was initiated to understand the mechanistic action of V54M mutation in altering the protein structure, dynamics, and stability. According to the results obtained from the repeated 50 ns trajectory files, the overall effect of V54M mutation was destabilizing and transition of bend to coil in the secondary structure was observed. Furthermore, MMPBSA elucidated that V54M found in the Z-line region of titin decreases the binding affinity of titin to Z-line proteins T-cap/telethonin thereby hindering the protein–protein interaction.","author":[{"dropping-particle":"","family":"Thirumal Kumar","given":"D.","non-dropping-particle":"","parse-names":false,"suffix":""},{"dropping-particle":"","family":"George Priya Doss","given":"C.","non-dropping-particle":"","parse-names":false,"suffix":""},{"dropping-particle":"","family":"Sneha","given":"P.","non-dropping-particle":"","parse-names":false,"suffix":""},{"dropping-particle":"","family":"Tayubi","given":"Iftikhar Aslam","non-dropping-particle":"","parse-names":false,"suffix":""},{"dropping-particle":"","family":"Siva","given":"R.","non-dropping-particle":"","parse-names":false,"suffix":""},{"dropping-particle":"","family":"Chakraborty","given":"Chiranjib","non-dropping-particle":"","parse-names":false,"suffix":""},{"dropping-particle":"","family":"Magesh","given":"R.","non-dropping-particle":"","parse-names":false,"suffix":""}],"container-title":"Journal of Biomolecular Structure and Dynamics","id":"ITEM-4","issue":"5","issued":{"date-parts":[["2017"]]},"page":"917-928","title":"Influence of V54M mutation in giant muscle protein titin: a computational screening and molecular dynamics approach","type":"article-journal","volume":"35"},"uris":["http://www.mendeley.com/documents/?uuid=63654b6d-0c33-4c4d-89b9-355ff20899a5","http://www.mendeley.com/documents/?uuid=3ce03b62-d5e1-437c-8cd0-d7a9710dfbf7"]}],"mendeley":{"formattedCitation":"(Doss et al., 2016; George Priya Doss et al., 2013; Priya George et al., 2014; Thirumal Kumar et al., 2017)","manualFormatting":"(Kumar et al., 2017)","plainTextFormattedCitation":"(Doss et al., 2016; George Priya Doss et al., 2013; Priya George et al., 2014; Thirumal Kumar et al., 2017)","previouslyFormattedCitation":"(Doss et al., 2016; George Priya Doss, Nagasundaram, Chakraborty, Chen, &amp; Zhu, 2013; Priya George et al., 2014; Thirumal Kumar et al., 2017)"},"properties":{"noteIndex":0},"schema":"https://github.com/citation-style-language/schema/raw/master/csl-citation.json"}</w:instrText>
      </w:r>
      <w:r w:rsidR="00E74AA9">
        <w:rPr>
          <w:color w:val="000000" w:themeColor="text1"/>
          <w:highlight w:val="yellow"/>
        </w:rPr>
        <w:fldChar w:fldCharType="separate"/>
      </w:r>
      <w:r w:rsidR="00E74AA9" w:rsidRPr="00E74AA9">
        <w:rPr>
          <w:noProof/>
          <w:color w:val="000000" w:themeColor="text1"/>
          <w:highlight w:val="yellow"/>
        </w:rPr>
        <w:t>(</w:t>
      </w:r>
      <w:r w:rsidR="00E74AA9" w:rsidRPr="004B4FB9">
        <w:rPr>
          <w:noProof/>
          <w:color w:val="0432FF"/>
          <w:highlight w:val="yellow"/>
        </w:rPr>
        <w:t>Kumar et al., 2017)</w:t>
      </w:r>
      <w:r w:rsidR="00E74AA9">
        <w:rPr>
          <w:color w:val="000000" w:themeColor="text1"/>
          <w:highlight w:val="yellow"/>
        </w:rPr>
        <w:fldChar w:fldCharType="end"/>
      </w:r>
      <w:r w:rsidRPr="00D021FA">
        <w:rPr>
          <w:color w:val="000000" w:themeColor="text1"/>
          <w:highlight w:val="yellow"/>
        </w:rPr>
        <w:t>.</w:t>
      </w:r>
      <w:r>
        <w:rPr>
          <w:color w:val="000000" w:themeColor="text1"/>
        </w:rPr>
        <w:t xml:space="preserve"> </w:t>
      </w:r>
      <w:r w:rsidR="003618D7" w:rsidRPr="00251B32">
        <w:rPr>
          <w:color w:val="000000" w:themeColor="text1"/>
          <w:highlight w:val="yellow"/>
        </w:rPr>
        <w:t xml:space="preserve">Adding to those recent studies, </w:t>
      </w:r>
      <w:r w:rsidR="00DB2995" w:rsidRPr="00251B32">
        <w:rPr>
          <w:color w:val="000000" w:themeColor="text1"/>
          <w:highlight w:val="yellow"/>
        </w:rPr>
        <w:t>our findings suggest that</w:t>
      </w:r>
      <w:r w:rsidR="003618D7" w:rsidRPr="00251B32">
        <w:rPr>
          <w:color w:val="000000" w:themeColor="text1"/>
          <w:highlight w:val="yellow"/>
        </w:rPr>
        <w:t>, there where 3D-structures are available,</w:t>
      </w:r>
      <w:r w:rsidR="00DB2995" w:rsidRPr="004D6881">
        <w:rPr>
          <w:color w:val="000000" w:themeColor="text1"/>
        </w:rPr>
        <w:t xml:space="preserve"> </w:t>
      </w:r>
      <w:r w:rsidR="00737E33" w:rsidRPr="004D6881">
        <w:rPr>
          <w:color w:val="000000" w:themeColor="text1"/>
        </w:rPr>
        <w:t>incorporating molecular dynamic analysis into SN</w:t>
      </w:r>
      <w:r w:rsidR="00504046" w:rsidRPr="004D6881">
        <w:rPr>
          <w:color w:val="000000" w:themeColor="text1"/>
        </w:rPr>
        <w:t>V</w:t>
      </w:r>
      <w:r w:rsidR="00737E33" w:rsidRPr="004D6881">
        <w:rPr>
          <w:color w:val="000000" w:themeColor="text1"/>
        </w:rPr>
        <w:t xml:space="preserve"> prediction software or its scoring function development </w:t>
      </w:r>
      <w:r w:rsidR="00DB2995" w:rsidRPr="004D6881">
        <w:rPr>
          <w:color w:val="000000" w:themeColor="text1"/>
        </w:rPr>
        <w:t>might</w:t>
      </w:r>
      <w:r w:rsidR="00737E33" w:rsidRPr="004D6881">
        <w:rPr>
          <w:color w:val="000000" w:themeColor="text1"/>
        </w:rPr>
        <w:t xml:space="preserve"> help refine current SNV predictions. </w:t>
      </w:r>
      <w:r w:rsidR="00DB2995" w:rsidRPr="004D6881">
        <w:rPr>
          <w:color w:val="000000" w:themeColor="text1"/>
        </w:rPr>
        <w:t>T</w:t>
      </w:r>
      <w:r w:rsidR="00737E33" w:rsidRPr="004D6881">
        <w:rPr>
          <w:color w:val="000000" w:themeColor="text1"/>
        </w:rPr>
        <w:t xml:space="preserve">he method </w:t>
      </w:r>
      <w:r w:rsidR="00DB2995" w:rsidRPr="004D6881">
        <w:rPr>
          <w:color w:val="000000" w:themeColor="text1"/>
        </w:rPr>
        <w:t xml:space="preserve">is </w:t>
      </w:r>
      <w:r w:rsidR="00737E33" w:rsidRPr="004D6881">
        <w:rPr>
          <w:color w:val="000000" w:themeColor="text1"/>
        </w:rPr>
        <w:t xml:space="preserve">applicable to areas of protein-protein interaction or domain interfaces - two areas which experience the highest density of pathogenic </w:t>
      </w:r>
      <w:proofErr w:type="spellStart"/>
      <w:r w:rsidR="00737E33" w:rsidRPr="004D6881">
        <w:rPr>
          <w:color w:val="000000" w:themeColor="text1"/>
        </w:rPr>
        <w:t>nsSN</w:t>
      </w:r>
      <w:r w:rsidR="00504046" w:rsidRPr="004D6881">
        <w:rPr>
          <w:color w:val="000000" w:themeColor="text1"/>
        </w:rPr>
        <w:t>V</w:t>
      </w:r>
      <w:r w:rsidR="00737E33" w:rsidRPr="004D6881">
        <w:rPr>
          <w:color w:val="000000" w:themeColor="text1"/>
        </w:rPr>
        <w:t>s</w:t>
      </w:r>
      <w:proofErr w:type="spellEnd"/>
      <w:r w:rsidR="001F1132" w:rsidRPr="004D6881">
        <w:rPr>
          <w:color w:val="000000" w:themeColor="text1"/>
        </w:rPr>
        <w:t xml:space="preserve"> </w:t>
      </w:r>
      <w:r w:rsidR="001042D2">
        <w:rPr>
          <w:color w:val="000000" w:themeColor="text1"/>
        </w:rPr>
        <w:t xml:space="preserve">in proteins </w:t>
      </w:r>
      <w:r w:rsidR="00785E2C" w:rsidRPr="004D6881">
        <w:rPr>
          <w:color w:val="000000" w:themeColor="text1"/>
        </w:rPr>
        <w:fldChar w:fldCharType="begin" w:fldLock="1"/>
      </w:r>
      <w:r w:rsidR="00C2687E">
        <w:rPr>
          <w:color w:val="000000" w:themeColor="text1"/>
        </w:rPr>
        <w:instrText>ADDIN CSL_CITATION {"citationItems":[{"id":"ITEM-1","itemData":{"DOI":"10.1002/humu.21656","ISSN":"10597794","abstract":"Many nonsynonymous single nucleotide polymorphisms (nsSNPs) are disease causing due to effects at protein-protein interfaces. We have integrated a database of the three-dimensional (3D) structures of human protein/ protein complexes and the humsavar database of nsSNPs. We analyzed the location of nsSNPS in terms of their location in the protein core, at protein-protein interfaces, and on the surface when not at an interface. Diseasecausing nsSNPs that do not occur in the protein core are preferentially located at protein-protein interfaces rather than surface noninterface regions when compared to random segregation. The disruption of the protein-protein interaction can be explained by a range of structural effects including the loss of an electrostatic salt bridge, the destabilization due to reduction of the hydrophobic effect, the formation of a steric clash, and the introduction of a proline altering the main-chain conformation. © 2011 Wiley Periodicals, Inc.","author":[{"dropping-particle":"","family":"David","given":"Alessia","non-dropping-particle":"","parse-names":false,"suffix":""},{"dropping-particle":"","family":"Razali","given":"Rozami","non-dropping-particle":"","parse-names":false,"suffix":""},{"dropping-particle":"","family":"Wass","given":"Mark N.","non-dropping-particle":"","parse-names":false,"suffix":""},{"dropping-particle":"","family":"Sternberg","given":"Michael J.E.","non-dropping-particle":"","parse-names":false,"suffix":""}],"container-title":"Human Mutation","id":"ITEM-1","issue":"2","issued":{"date-parts":[["2012"]]},"page":"359-63","title":"Protein-protein interaction sites are hot spots for disease-associated nonsynonymous SNPs","type":"article-journal","volume":"32"},"uris":["http://www.mendeley.com/documents/?uuid=f75c8fe7-7665-486e-9acd-efae1df3009a"]},{"id":"ITEM-2","itemData":{"DOI":"10.1111/febs.12094","ISSN":"1742464X","abstract":"Studying the effects of pathogenic mutations is more complex in multidomain proteins when compared with single domains: mutations occurring at domain boundaries may have a large effect on a neighbouring domain that will not be detected in a single-domain system. To demonstrate this, we present a study that utilizes well-characterized model protein domains from human spectrin to investigate the effect of disease- and non-disease-causing single point mutations occurring at the boundaries of human spectrin repeats. Our results show that mutations in the single domains have no clear correlation with stability and disease; however, when studied in a tandem model system, the disease-causing mutations are shown to disrupt stabilizing interactions that exist between domains. This results in a much larger decrease in stability than would otherwise have been predicted, and demonstrates the importance of studying such mutations in the correct protein context. © 2012 The Authors Journal compilation © 2012 FEBS.","author":[{"dropping-particle":"","family":"Randles","given":"Lucy G.","non-dropping-particle":"","parse-names":false,"suffix":""},{"dropping-particle":"","family":"Dawes","given":"Gwen J.S.","non-dropping-particle":"","parse-names":false,"suffix":""},{"dropping-particle":"","family":"Wensley","given":"Beth G.","non-dropping-particle":"","parse-names":false,"suffix":""},{"dropping-particle":"","family":"Steward","given":"Annette","non-dropping-particle":"","parse-names":false,"suffix":""},{"dropping-particle":"","family":"Nickson","given":"Adrian A.","non-dropping-particle":"","parse-names":false,"suffix":""},{"dropping-particle":"","family":"Clarke","given":"Jane","non-dropping-particle":"","parse-names":false,"suffix":""}],"container-title":"FEBS Journal","id":"ITEM-2","issued":{"date-parts":[["2013"]]},"title":"Understanding pathogenic single-nucleotide polymorphisms in multidomain proteins - Studies of isolated domains are not enough","type":"article-journal"},"uris":["http://www.mendeley.com/documents/?uuid=e06a567b-9155-4447-b47b-32554bf0a406"]}],"mendeley":{"formattedCitation":"(David et al., 2012; Randles et al., 2013)","plainTextFormattedCitation":"(David et al., 2012; Randles et al., 2013)","previouslyFormattedCitation":"(David, Razali, Wass, &amp; Sternberg, 2012; Randles et al., 2013)"},"properties":{"noteIndex":0},"schema":"https://github.com/citation-style-language/schema/raw/master/csl-citation.json"}</w:instrText>
      </w:r>
      <w:r w:rsidR="00785E2C" w:rsidRPr="004D6881">
        <w:rPr>
          <w:color w:val="000000" w:themeColor="text1"/>
        </w:rPr>
        <w:fldChar w:fldCharType="separate"/>
      </w:r>
      <w:r w:rsidR="00C2687E" w:rsidRPr="00C2687E">
        <w:rPr>
          <w:noProof/>
          <w:color w:val="000000" w:themeColor="text1"/>
        </w:rPr>
        <w:t>(</w:t>
      </w:r>
      <w:r w:rsidR="00C2687E" w:rsidRPr="00251B32">
        <w:rPr>
          <w:noProof/>
          <w:color w:val="003CFF"/>
        </w:rPr>
        <w:t>David et al., 2012; Randles et al., 2013</w:t>
      </w:r>
      <w:r w:rsidR="00C2687E" w:rsidRPr="00C2687E">
        <w:rPr>
          <w:noProof/>
          <w:color w:val="000000" w:themeColor="text1"/>
        </w:rPr>
        <w:t>)</w:t>
      </w:r>
      <w:r w:rsidR="00785E2C" w:rsidRPr="004D6881">
        <w:rPr>
          <w:color w:val="000000" w:themeColor="text1"/>
        </w:rPr>
        <w:fldChar w:fldCharType="end"/>
      </w:r>
      <w:r w:rsidR="001F1132" w:rsidRPr="004D6881">
        <w:rPr>
          <w:color w:val="000000" w:themeColor="text1"/>
        </w:rPr>
        <w:t>.</w:t>
      </w:r>
      <w:r w:rsidR="00737E33" w:rsidRPr="004D6881">
        <w:rPr>
          <w:color w:val="000000" w:themeColor="text1"/>
        </w:rPr>
        <w:t xml:space="preserve"> The creation of comparative </w:t>
      </w:r>
      <w:r w:rsidR="00504046" w:rsidRPr="004D6881">
        <w:rPr>
          <w:color w:val="000000" w:themeColor="text1"/>
        </w:rPr>
        <w:t>stability</w:t>
      </w:r>
      <w:r w:rsidR="00737E33" w:rsidRPr="004D6881">
        <w:rPr>
          <w:color w:val="000000" w:themeColor="text1"/>
        </w:rPr>
        <w:t xml:space="preserve"> landscapes</w:t>
      </w:r>
      <w:r w:rsidR="00504046" w:rsidRPr="004D6881">
        <w:rPr>
          <w:color w:val="000000" w:themeColor="text1"/>
        </w:rPr>
        <w:t xml:space="preserve">, </w:t>
      </w:r>
      <w:r w:rsidR="006710C7" w:rsidRPr="004D6881">
        <w:rPr>
          <w:color w:val="000000" w:themeColor="text1"/>
        </w:rPr>
        <w:t xml:space="preserve">e.g. between </w:t>
      </w:r>
      <w:r w:rsidR="00C85966" w:rsidRPr="004D6881">
        <w:rPr>
          <w:color w:val="000000" w:themeColor="text1"/>
        </w:rPr>
        <w:t>sing</w:t>
      </w:r>
      <w:r w:rsidR="00C85966">
        <w:rPr>
          <w:color w:val="000000" w:themeColor="text1"/>
        </w:rPr>
        <w:t>le</w:t>
      </w:r>
      <w:r w:rsidR="00C85966" w:rsidRPr="004D6881">
        <w:rPr>
          <w:color w:val="000000" w:themeColor="text1"/>
        </w:rPr>
        <w:t xml:space="preserve"> </w:t>
      </w:r>
      <w:r w:rsidR="00504046" w:rsidRPr="004D6881">
        <w:rPr>
          <w:color w:val="000000" w:themeColor="text1"/>
        </w:rPr>
        <w:t xml:space="preserve">domains </w:t>
      </w:r>
      <w:r w:rsidR="006710C7" w:rsidRPr="004D6881">
        <w:rPr>
          <w:color w:val="000000" w:themeColor="text1"/>
        </w:rPr>
        <w:t xml:space="preserve">and </w:t>
      </w:r>
      <w:r w:rsidR="00504046" w:rsidRPr="004D6881">
        <w:rPr>
          <w:color w:val="000000" w:themeColor="text1"/>
        </w:rPr>
        <w:t>quaternary structures</w:t>
      </w:r>
      <w:r w:rsidR="006710C7" w:rsidRPr="004D6881">
        <w:rPr>
          <w:color w:val="000000" w:themeColor="text1"/>
        </w:rPr>
        <w:t>,</w:t>
      </w:r>
      <w:r w:rsidR="00737E33" w:rsidRPr="004D6881">
        <w:rPr>
          <w:color w:val="000000" w:themeColor="text1"/>
        </w:rPr>
        <w:t xml:space="preserve"> could also act as a </w:t>
      </w:r>
      <w:r w:rsidR="00504046" w:rsidRPr="004D6881">
        <w:rPr>
          <w:color w:val="000000" w:themeColor="text1"/>
        </w:rPr>
        <w:t xml:space="preserve">computationally cheap method to identify </w:t>
      </w:r>
      <w:r w:rsidR="00DB2995" w:rsidRPr="004D6881">
        <w:rPr>
          <w:color w:val="000000" w:themeColor="text1"/>
        </w:rPr>
        <w:t xml:space="preserve">residues </w:t>
      </w:r>
      <w:r w:rsidR="00504046" w:rsidRPr="004D6881">
        <w:rPr>
          <w:color w:val="000000" w:themeColor="text1"/>
        </w:rPr>
        <w:t xml:space="preserve">vulnerable to change. </w:t>
      </w:r>
      <w:r w:rsidR="00737E33" w:rsidRPr="004D6881">
        <w:rPr>
          <w:color w:val="000000" w:themeColor="text1"/>
        </w:rPr>
        <w:t xml:space="preserve">Titin is an especially suitable </w:t>
      </w:r>
      <w:r w:rsidR="00DC6C07" w:rsidRPr="004D6881">
        <w:rPr>
          <w:color w:val="000000" w:themeColor="text1"/>
        </w:rPr>
        <w:t xml:space="preserve">study </w:t>
      </w:r>
      <w:r w:rsidR="00737E33" w:rsidRPr="004D6881">
        <w:rPr>
          <w:color w:val="000000" w:themeColor="text1"/>
        </w:rPr>
        <w:t xml:space="preserve">case for </w:t>
      </w:r>
      <w:r w:rsidR="00DC6C07" w:rsidRPr="004D6881">
        <w:rPr>
          <w:color w:val="000000" w:themeColor="text1"/>
        </w:rPr>
        <w:t>the exploration and development of such</w:t>
      </w:r>
      <w:r w:rsidR="00737E33" w:rsidRPr="004D6881">
        <w:rPr>
          <w:color w:val="000000" w:themeColor="text1"/>
        </w:rPr>
        <w:t xml:space="preserve"> analys</w:t>
      </w:r>
      <w:r w:rsidR="00DC6C07" w:rsidRPr="004D6881">
        <w:rPr>
          <w:color w:val="000000" w:themeColor="text1"/>
        </w:rPr>
        <w:t>e</w:t>
      </w:r>
      <w:r w:rsidR="00737E33" w:rsidRPr="004D6881">
        <w:rPr>
          <w:color w:val="000000" w:themeColor="text1"/>
        </w:rPr>
        <w:t xml:space="preserve">s due to </w:t>
      </w:r>
      <w:r w:rsidR="006A3211" w:rsidRPr="004D6881">
        <w:rPr>
          <w:color w:val="000000" w:themeColor="text1"/>
        </w:rPr>
        <w:t xml:space="preserve">the </w:t>
      </w:r>
      <w:r w:rsidR="00737E33" w:rsidRPr="004D6881">
        <w:rPr>
          <w:color w:val="000000" w:themeColor="text1"/>
        </w:rPr>
        <w:t>discrete domain nature of the molecule.</w:t>
      </w:r>
    </w:p>
    <w:p w14:paraId="6193C70E" w14:textId="77777777" w:rsidR="003F2DD0" w:rsidRPr="004D6881" w:rsidRDefault="003F2DD0" w:rsidP="00BA3788">
      <w:pPr>
        <w:spacing w:line="360" w:lineRule="auto"/>
      </w:pPr>
    </w:p>
    <w:p w14:paraId="7208076A" w14:textId="7CC913CD" w:rsidR="00737E33" w:rsidRPr="004D6881" w:rsidRDefault="002E2457" w:rsidP="00BA3788">
      <w:pPr>
        <w:spacing w:line="360" w:lineRule="auto"/>
        <w:rPr>
          <w:b/>
          <w:color w:val="333333"/>
        </w:rPr>
      </w:pPr>
      <w:r w:rsidRPr="004D6881">
        <w:br/>
      </w:r>
      <w:r w:rsidR="00737E33" w:rsidRPr="004D6881">
        <w:rPr>
          <w:b/>
          <w:color w:val="333333"/>
        </w:rPr>
        <w:t xml:space="preserve">Word count: </w:t>
      </w:r>
      <w:r w:rsidR="00927556" w:rsidRPr="00927556">
        <w:rPr>
          <w:color w:val="333333"/>
        </w:rPr>
        <w:t>5520</w:t>
      </w:r>
    </w:p>
    <w:p w14:paraId="136FF6BB" w14:textId="77777777" w:rsidR="00CE73CC" w:rsidRPr="004D6881" w:rsidRDefault="00CE73CC" w:rsidP="00BA3788">
      <w:pPr>
        <w:spacing w:line="360" w:lineRule="auto"/>
        <w:rPr>
          <w:b/>
          <w:color w:val="333333"/>
        </w:rPr>
      </w:pPr>
    </w:p>
    <w:p w14:paraId="1A7CD160" w14:textId="39116060" w:rsidR="002E2457" w:rsidRPr="004D6881" w:rsidRDefault="00737E33" w:rsidP="00BA3788">
      <w:pPr>
        <w:spacing w:line="360" w:lineRule="auto"/>
        <w:rPr>
          <w:b/>
          <w:color w:val="333333"/>
        </w:rPr>
      </w:pPr>
      <w:r w:rsidRPr="004D6881">
        <w:rPr>
          <w:b/>
          <w:color w:val="333333"/>
        </w:rPr>
        <w:t>A</w:t>
      </w:r>
      <w:r w:rsidR="002E2457" w:rsidRPr="004D6881">
        <w:rPr>
          <w:b/>
          <w:color w:val="333333"/>
        </w:rPr>
        <w:t xml:space="preserve">cknowledgments; </w:t>
      </w:r>
    </w:p>
    <w:p w14:paraId="0EE88427" w14:textId="3BD7A1F8" w:rsidR="00504046" w:rsidRPr="00E57FBC" w:rsidRDefault="007252AE" w:rsidP="00504046">
      <w:r w:rsidRPr="004D6881">
        <w:rPr>
          <w:color w:val="333333"/>
        </w:rPr>
        <w:t>JRF</w:t>
      </w:r>
      <w:r w:rsidR="00C64DFC" w:rsidRPr="004D6881">
        <w:rPr>
          <w:color w:val="333333"/>
        </w:rPr>
        <w:t xml:space="preserve"> was supported by </w:t>
      </w:r>
      <w:r w:rsidRPr="004D6881">
        <w:rPr>
          <w:color w:val="333333"/>
        </w:rPr>
        <w:t xml:space="preserve">an </w:t>
      </w:r>
      <w:r w:rsidR="00504046" w:rsidRPr="004D6881">
        <w:rPr>
          <w:color w:val="000000"/>
          <w:shd w:val="clear" w:color="auto" w:fill="FFFFFF"/>
        </w:rPr>
        <w:t xml:space="preserve">EU </w:t>
      </w:r>
      <w:r w:rsidR="00504046" w:rsidRPr="00E57FBC">
        <w:rPr>
          <w:color w:val="000000"/>
          <w:shd w:val="clear" w:color="auto" w:fill="FFFFFF"/>
        </w:rPr>
        <w:t xml:space="preserve">Marie </w:t>
      </w:r>
      <w:proofErr w:type="spellStart"/>
      <w:r w:rsidR="00504046" w:rsidRPr="00E57FBC">
        <w:rPr>
          <w:color w:val="000000"/>
          <w:shd w:val="clear" w:color="auto" w:fill="FFFFFF"/>
        </w:rPr>
        <w:t>Sklodowska</w:t>
      </w:r>
      <w:proofErr w:type="spellEnd"/>
      <w:r w:rsidR="00504046" w:rsidRPr="00E57FBC">
        <w:rPr>
          <w:color w:val="000000"/>
          <w:shd w:val="clear" w:color="auto" w:fill="FFFFFF"/>
        </w:rPr>
        <w:t>-Curie Individual Fellowshi</w:t>
      </w:r>
      <w:r w:rsidRPr="003618D7">
        <w:rPr>
          <w:color w:val="000000"/>
          <w:shd w:val="clear" w:color="auto" w:fill="FFFFFF"/>
        </w:rPr>
        <w:t>p</w:t>
      </w:r>
      <w:r w:rsidRPr="003618D7">
        <w:rPr>
          <w:color w:val="333333"/>
        </w:rPr>
        <w:t xml:space="preserve"> (</w:t>
      </w:r>
      <w:proofErr w:type="spellStart"/>
      <w:r w:rsidRPr="003618D7">
        <w:rPr>
          <w:color w:val="333333"/>
        </w:rPr>
        <w:t>TTNPred</w:t>
      </w:r>
      <w:proofErr w:type="spellEnd"/>
      <w:r w:rsidRPr="003618D7">
        <w:rPr>
          <w:color w:val="333333"/>
        </w:rPr>
        <w:t>/</w:t>
      </w:r>
      <w:r w:rsidR="00504046" w:rsidRPr="00E57FBC">
        <w:rPr>
          <w:color w:val="333333"/>
        </w:rPr>
        <w:t>753054</w:t>
      </w:r>
      <w:r w:rsidRPr="00E57FBC">
        <w:rPr>
          <w:color w:val="333333"/>
        </w:rPr>
        <w:t xml:space="preserve">). </w:t>
      </w:r>
      <w:r w:rsidRPr="00E57FBC">
        <w:t>We acknowledge the financial support of British Heart Foundation (</w:t>
      </w:r>
      <w:r w:rsidRPr="00E57FBC">
        <w:rPr>
          <w:color w:val="000000" w:themeColor="text1"/>
        </w:rPr>
        <w:t>PG/13/21/3007</w:t>
      </w:r>
      <w:r w:rsidRPr="00E57FBC">
        <w:t>)</w:t>
      </w:r>
      <w:r w:rsidR="00C03CFF" w:rsidRPr="00E57FBC">
        <w:t>,</w:t>
      </w:r>
      <w:r w:rsidRPr="00E57FBC">
        <w:t xml:space="preserve"> the </w:t>
      </w:r>
      <w:proofErr w:type="spellStart"/>
      <w:r w:rsidRPr="00E57FBC">
        <w:t>Leducq</w:t>
      </w:r>
      <w:proofErr w:type="spellEnd"/>
      <w:r w:rsidRPr="00E57FBC">
        <w:t xml:space="preserve"> Foundation (TNE-13CVD04)</w:t>
      </w:r>
      <w:r w:rsidR="00C03CFF" w:rsidRPr="00E57FBC">
        <w:t xml:space="preserve"> and </w:t>
      </w:r>
      <w:proofErr w:type="spellStart"/>
      <w:r w:rsidR="00EE0694" w:rsidRPr="00251B32">
        <w:rPr>
          <w:color w:val="222222"/>
          <w:lang w:val="en-US"/>
        </w:rPr>
        <w:t>L’Association</w:t>
      </w:r>
      <w:proofErr w:type="spellEnd"/>
      <w:r w:rsidR="00EE0694" w:rsidRPr="00251B32">
        <w:rPr>
          <w:color w:val="222222"/>
          <w:lang w:val="en-US"/>
        </w:rPr>
        <w:t xml:space="preserve"> </w:t>
      </w:r>
      <w:proofErr w:type="spellStart"/>
      <w:r w:rsidR="00EE0694" w:rsidRPr="00251B32">
        <w:rPr>
          <w:color w:val="222222"/>
          <w:lang w:val="en-US"/>
        </w:rPr>
        <w:t>française</w:t>
      </w:r>
      <w:proofErr w:type="spellEnd"/>
      <w:r w:rsidR="00EE0694" w:rsidRPr="00251B32">
        <w:rPr>
          <w:color w:val="222222"/>
          <w:lang w:val="en-US"/>
        </w:rPr>
        <w:t xml:space="preserve"> </w:t>
      </w:r>
      <w:proofErr w:type="spellStart"/>
      <w:r w:rsidR="00EE0694" w:rsidRPr="00251B32">
        <w:rPr>
          <w:color w:val="222222"/>
          <w:lang w:val="en-US"/>
        </w:rPr>
        <w:t>contre</w:t>
      </w:r>
      <w:proofErr w:type="spellEnd"/>
      <w:r w:rsidR="00EE0694" w:rsidRPr="00251B32">
        <w:rPr>
          <w:color w:val="222222"/>
          <w:lang w:val="en-US"/>
        </w:rPr>
        <w:t xml:space="preserve"> les myopathies </w:t>
      </w:r>
      <w:r w:rsidR="00EE0694" w:rsidRPr="00251B32">
        <w:rPr>
          <w:lang w:val="en-US"/>
        </w:rPr>
        <w:t>(AFM)-</w:t>
      </w:r>
      <w:proofErr w:type="spellStart"/>
      <w:r w:rsidR="00EE0694" w:rsidRPr="00251B32">
        <w:rPr>
          <w:lang w:val="en-US"/>
        </w:rPr>
        <w:t>Téléthon</w:t>
      </w:r>
      <w:proofErr w:type="spellEnd"/>
      <w:r w:rsidR="00EE0694" w:rsidRPr="00251B32">
        <w:rPr>
          <w:lang w:val="en-US"/>
        </w:rPr>
        <w:t xml:space="preserve"> (21436).</w:t>
      </w:r>
    </w:p>
    <w:p w14:paraId="5977F9BB" w14:textId="77777777" w:rsidR="00504046" w:rsidRPr="003618D7" w:rsidRDefault="00504046" w:rsidP="00504046"/>
    <w:p w14:paraId="2C811900" w14:textId="77777777" w:rsidR="00504046" w:rsidRPr="004D6881" w:rsidRDefault="00504046" w:rsidP="00BA3788">
      <w:pPr>
        <w:spacing w:line="360" w:lineRule="auto"/>
      </w:pPr>
    </w:p>
    <w:p w14:paraId="6315C75C" w14:textId="0A510138" w:rsidR="002E2457" w:rsidRPr="004D6881" w:rsidRDefault="00737E33" w:rsidP="00BA3788">
      <w:pPr>
        <w:spacing w:line="360" w:lineRule="auto"/>
        <w:rPr>
          <w:b/>
          <w:color w:val="333333"/>
        </w:rPr>
      </w:pPr>
      <w:r w:rsidRPr="004D6881">
        <w:rPr>
          <w:b/>
          <w:color w:val="333333"/>
        </w:rPr>
        <w:t>D</w:t>
      </w:r>
      <w:r w:rsidR="002E2457" w:rsidRPr="004D6881">
        <w:rPr>
          <w:b/>
          <w:color w:val="333333"/>
        </w:rPr>
        <w:t xml:space="preserve">eclaration of interest statement; </w:t>
      </w:r>
    </w:p>
    <w:p w14:paraId="1C67B7D3" w14:textId="312C8106" w:rsidR="00E44E48" w:rsidRPr="004D6881" w:rsidRDefault="00E44E48" w:rsidP="00BA3788">
      <w:pPr>
        <w:spacing w:line="360" w:lineRule="auto"/>
        <w:rPr>
          <w:color w:val="333333"/>
        </w:rPr>
      </w:pPr>
      <w:r w:rsidRPr="004D6881">
        <w:rPr>
          <w:color w:val="333333"/>
        </w:rPr>
        <w:t>The authors declare no competing interests</w:t>
      </w:r>
    </w:p>
    <w:p w14:paraId="46443519" w14:textId="77777777" w:rsidR="002E2457" w:rsidRPr="004D6881" w:rsidRDefault="002E2457" w:rsidP="00BA3788">
      <w:pPr>
        <w:spacing w:line="360" w:lineRule="auto"/>
        <w:rPr>
          <w:b/>
          <w:color w:val="333333"/>
        </w:rPr>
      </w:pPr>
    </w:p>
    <w:p w14:paraId="2A3242A3" w14:textId="6E8A8D29" w:rsidR="002E2457" w:rsidRPr="004D6881" w:rsidRDefault="00E44E48" w:rsidP="00BA3788">
      <w:pPr>
        <w:spacing w:line="360" w:lineRule="auto"/>
        <w:rPr>
          <w:b/>
          <w:color w:val="333333"/>
        </w:rPr>
      </w:pPr>
      <w:r w:rsidRPr="004D6881">
        <w:rPr>
          <w:b/>
          <w:color w:val="333333"/>
        </w:rPr>
        <w:t>R</w:t>
      </w:r>
      <w:r w:rsidR="002E2457" w:rsidRPr="004D6881">
        <w:rPr>
          <w:b/>
          <w:color w:val="333333"/>
        </w:rPr>
        <w:t>eferences</w:t>
      </w:r>
    </w:p>
    <w:p w14:paraId="545656D4" w14:textId="77777777" w:rsidR="00E44E48" w:rsidRPr="004D6881" w:rsidRDefault="00E44E48" w:rsidP="00BA3788">
      <w:pPr>
        <w:spacing w:line="360" w:lineRule="auto"/>
        <w:rPr>
          <w:b/>
          <w:color w:val="333333"/>
        </w:rPr>
      </w:pPr>
    </w:p>
    <w:p w14:paraId="7F6A4F27" w14:textId="581CAE16" w:rsidR="00C2687E" w:rsidRPr="00251B32" w:rsidRDefault="00E44E48" w:rsidP="00C2687E">
      <w:pPr>
        <w:widowControl w:val="0"/>
        <w:autoSpaceDE w:val="0"/>
        <w:autoSpaceDN w:val="0"/>
        <w:adjustRightInd w:val="0"/>
        <w:spacing w:line="360" w:lineRule="auto"/>
        <w:ind w:left="480" w:hanging="480"/>
        <w:rPr>
          <w:noProof/>
          <w:lang w:val="de-DE"/>
        </w:rPr>
      </w:pPr>
      <w:r w:rsidRPr="004D6881">
        <w:rPr>
          <w:b/>
        </w:rPr>
        <w:fldChar w:fldCharType="begin" w:fldLock="1"/>
      </w:r>
      <w:r w:rsidRPr="004D6881">
        <w:rPr>
          <w:b/>
        </w:rPr>
        <w:instrText xml:space="preserve">ADDIN Mendeley Bibliography CSL_BIBLIOGRAPHY </w:instrText>
      </w:r>
      <w:r w:rsidRPr="004D6881">
        <w:rPr>
          <w:b/>
        </w:rPr>
        <w:fldChar w:fldCharType="separate"/>
      </w:r>
      <w:r w:rsidR="00C2687E" w:rsidRPr="00C2687E">
        <w:rPr>
          <w:noProof/>
          <w:lang w:val="en-US"/>
        </w:rPr>
        <w:t xml:space="preserve">Abraham, M. J., Murtola, T., Schulz, R., Páll, S., Smith, J. C., Hess, B., &amp; Lindah, E. (2015). Gromacs: High performance molecular simulations through multi-level parallelism from laptops to supercomputers. </w:t>
      </w:r>
      <w:r w:rsidR="00C2687E" w:rsidRPr="00251B32">
        <w:rPr>
          <w:i/>
          <w:iCs/>
          <w:noProof/>
          <w:lang w:val="de-DE"/>
        </w:rPr>
        <w:t>SoftwareX</w:t>
      </w:r>
      <w:r w:rsidR="00C2687E" w:rsidRPr="00251B32">
        <w:rPr>
          <w:noProof/>
          <w:lang w:val="de-DE"/>
        </w:rPr>
        <w:t xml:space="preserve">, </w:t>
      </w:r>
      <w:r w:rsidR="00C2687E" w:rsidRPr="00251B32">
        <w:rPr>
          <w:i/>
          <w:iCs/>
          <w:noProof/>
          <w:lang w:val="de-DE"/>
        </w:rPr>
        <w:t>1</w:t>
      </w:r>
      <w:r w:rsidR="00C2687E" w:rsidRPr="00251B32">
        <w:rPr>
          <w:noProof/>
          <w:lang w:val="de-DE"/>
        </w:rPr>
        <w:t>–</w:t>
      </w:r>
      <w:r w:rsidR="00C2687E" w:rsidRPr="00251B32">
        <w:rPr>
          <w:i/>
          <w:iCs/>
          <w:noProof/>
          <w:lang w:val="de-DE"/>
        </w:rPr>
        <w:t>2</w:t>
      </w:r>
      <w:r w:rsidR="00C2687E" w:rsidRPr="00251B32">
        <w:rPr>
          <w:noProof/>
          <w:lang w:val="de-DE"/>
        </w:rPr>
        <w:t xml:space="preserve">, 19–25. </w:t>
      </w:r>
      <w:r w:rsidR="00C2687E" w:rsidRPr="00251B32">
        <w:rPr>
          <w:noProof/>
          <w:lang w:val="de-DE"/>
        </w:rPr>
        <w:lastRenderedPageBreak/>
        <w:t>https://doi.org/10.1016/j.softx.2015.06.001</w:t>
      </w:r>
    </w:p>
    <w:p w14:paraId="2C6B7D49" w14:textId="77777777" w:rsidR="00C2687E" w:rsidRPr="00C2687E" w:rsidRDefault="00C2687E" w:rsidP="00C2687E">
      <w:pPr>
        <w:widowControl w:val="0"/>
        <w:autoSpaceDE w:val="0"/>
        <w:autoSpaceDN w:val="0"/>
        <w:adjustRightInd w:val="0"/>
        <w:spacing w:line="360" w:lineRule="auto"/>
        <w:ind w:left="480" w:hanging="480"/>
        <w:rPr>
          <w:noProof/>
          <w:lang w:val="en-US"/>
        </w:rPr>
      </w:pPr>
      <w:r w:rsidRPr="00251B32">
        <w:rPr>
          <w:noProof/>
          <w:lang w:val="de-DE"/>
        </w:rPr>
        <w:t xml:space="preserve">Anderson, B. R., Bogomolovas, J., Labeit, S., &amp; Granzier, H. (2013). </w:t>
      </w:r>
      <w:r w:rsidRPr="00C2687E">
        <w:rPr>
          <w:noProof/>
          <w:lang w:val="en-US"/>
        </w:rPr>
        <w:t xml:space="preserve">Single molecule force spectroscopy on titin implicates immunoglobulin domain stability as a cardiac disease mechanism. </w:t>
      </w:r>
      <w:r w:rsidRPr="00C2687E">
        <w:rPr>
          <w:i/>
          <w:iCs/>
          <w:noProof/>
          <w:lang w:val="en-US"/>
        </w:rPr>
        <w:t>Journal of Biological Chemistry</w:t>
      </w:r>
      <w:r w:rsidRPr="00C2687E">
        <w:rPr>
          <w:noProof/>
          <w:lang w:val="en-US"/>
        </w:rPr>
        <w:t xml:space="preserve">, </w:t>
      </w:r>
      <w:r w:rsidRPr="00C2687E">
        <w:rPr>
          <w:i/>
          <w:iCs/>
          <w:noProof/>
          <w:lang w:val="en-US"/>
        </w:rPr>
        <w:t>288</w:t>
      </w:r>
      <w:r w:rsidRPr="00C2687E">
        <w:rPr>
          <w:noProof/>
          <w:lang w:val="en-US"/>
        </w:rPr>
        <w:t>(8), 5303–5315. https://doi.org/10.1074/jbc.M112.401372</w:t>
      </w:r>
    </w:p>
    <w:p w14:paraId="32B22593" w14:textId="77777777" w:rsidR="00C2687E" w:rsidRPr="00C2687E" w:rsidRDefault="00C2687E" w:rsidP="00C2687E">
      <w:pPr>
        <w:widowControl w:val="0"/>
        <w:autoSpaceDE w:val="0"/>
        <w:autoSpaceDN w:val="0"/>
        <w:adjustRightInd w:val="0"/>
        <w:spacing w:line="360" w:lineRule="auto"/>
        <w:ind w:left="480" w:hanging="480"/>
        <w:rPr>
          <w:noProof/>
          <w:lang w:val="en-US"/>
        </w:rPr>
      </w:pPr>
      <w:r w:rsidRPr="00C2687E">
        <w:rPr>
          <w:noProof/>
          <w:lang w:val="en-US"/>
        </w:rPr>
        <w:t xml:space="preserve">Anderson, B. R., &amp; Granzier, H. L. (2012). Titin-based tension in the cardiac sarcomere: molecular origin and physiological adaptations. </w:t>
      </w:r>
      <w:r w:rsidRPr="00C2687E">
        <w:rPr>
          <w:i/>
          <w:iCs/>
          <w:noProof/>
          <w:lang w:val="en-US"/>
        </w:rPr>
        <w:t>Progress in Biophysics and Molecular Biology</w:t>
      </w:r>
      <w:r w:rsidRPr="00C2687E">
        <w:rPr>
          <w:noProof/>
          <w:lang w:val="en-US"/>
        </w:rPr>
        <w:t xml:space="preserve">, </w:t>
      </w:r>
      <w:r w:rsidRPr="00C2687E">
        <w:rPr>
          <w:i/>
          <w:iCs/>
          <w:noProof/>
          <w:lang w:val="en-US"/>
        </w:rPr>
        <w:t>110</w:t>
      </w:r>
      <w:r w:rsidRPr="00C2687E">
        <w:rPr>
          <w:noProof/>
          <w:lang w:val="en-US"/>
        </w:rPr>
        <w:t>(2–3), 204–217. https://doi.org/10.1016/j.pbiomolbio.2012.08.003</w:t>
      </w:r>
    </w:p>
    <w:p w14:paraId="775839E3" w14:textId="77777777" w:rsidR="00C2687E" w:rsidRPr="00C2687E" w:rsidRDefault="00C2687E" w:rsidP="00C2687E">
      <w:pPr>
        <w:widowControl w:val="0"/>
        <w:autoSpaceDE w:val="0"/>
        <w:autoSpaceDN w:val="0"/>
        <w:adjustRightInd w:val="0"/>
        <w:spacing w:line="360" w:lineRule="auto"/>
        <w:ind w:left="480" w:hanging="480"/>
        <w:rPr>
          <w:noProof/>
          <w:lang w:val="en-US"/>
        </w:rPr>
      </w:pPr>
      <w:r w:rsidRPr="00251B32">
        <w:rPr>
          <w:noProof/>
          <w:lang w:val="de-DE"/>
        </w:rPr>
        <w:t xml:space="preserve">Berendsen, H. J. C., Grigera, J. R., &amp; Straatsma, T. P. (1987). </w:t>
      </w:r>
      <w:r w:rsidRPr="00C2687E">
        <w:rPr>
          <w:noProof/>
          <w:lang w:val="en-US"/>
        </w:rPr>
        <w:t xml:space="preserve">The missing term in effective pair potentials. </w:t>
      </w:r>
      <w:r w:rsidRPr="00C2687E">
        <w:rPr>
          <w:i/>
          <w:iCs/>
          <w:noProof/>
          <w:lang w:val="en-US"/>
        </w:rPr>
        <w:t>Journal of Physical Chemistry</w:t>
      </w:r>
      <w:r w:rsidRPr="00C2687E">
        <w:rPr>
          <w:noProof/>
          <w:lang w:val="en-US"/>
        </w:rPr>
        <w:t xml:space="preserve">, </w:t>
      </w:r>
      <w:r w:rsidRPr="00C2687E">
        <w:rPr>
          <w:i/>
          <w:iCs/>
          <w:noProof/>
          <w:lang w:val="en-US"/>
        </w:rPr>
        <w:t>6</w:t>
      </w:r>
      <w:r w:rsidRPr="00C2687E">
        <w:rPr>
          <w:noProof/>
          <w:lang w:val="en-US"/>
        </w:rPr>
        <w:t>(10), 3153–3161. https://doi.org/10.1021/j100308a038</w:t>
      </w:r>
    </w:p>
    <w:p w14:paraId="0EB1B03B" w14:textId="77777777" w:rsidR="00C2687E" w:rsidRPr="00C2687E" w:rsidRDefault="00C2687E" w:rsidP="00C2687E">
      <w:pPr>
        <w:widowControl w:val="0"/>
        <w:autoSpaceDE w:val="0"/>
        <w:autoSpaceDN w:val="0"/>
        <w:adjustRightInd w:val="0"/>
        <w:spacing w:line="360" w:lineRule="auto"/>
        <w:ind w:left="480" w:hanging="480"/>
        <w:rPr>
          <w:noProof/>
          <w:lang w:val="en-US"/>
        </w:rPr>
      </w:pPr>
      <w:r w:rsidRPr="00C2687E">
        <w:rPr>
          <w:noProof/>
          <w:lang w:val="en-US"/>
        </w:rPr>
        <w:t xml:space="preserve">Berendsen, H. J. C., Postma, J. P. M., Van Gunsteren, W. F., Dinola, A., &amp; Haak, J. R. (1984). Molecular dynamics with coupling to an external bath. </w:t>
      </w:r>
      <w:r w:rsidRPr="00C2687E">
        <w:rPr>
          <w:i/>
          <w:iCs/>
          <w:noProof/>
          <w:lang w:val="en-US"/>
        </w:rPr>
        <w:t>The Journal of Chemical Physics</w:t>
      </w:r>
      <w:r w:rsidRPr="00C2687E">
        <w:rPr>
          <w:noProof/>
          <w:lang w:val="en-US"/>
        </w:rPr>
        <w:t xml:space="preserve">, </w:t>
      </w:r>
      <w:r w:rsidRPr="00C2687E">
        <w:rPr>
          <w:i/>
          <w:iCs/>
          <w:noProof/>
          <w:lang w:val="en-US"/>
        </w:rPr>
        <w:t>81</w:t>
      </w:r>
      <w:r w:rsidRPr="00C2687E">
        <w:rPr>
          <w:noProof/>
          <w:lang w:val="en-US"/>
        </w:rPr>
        <w:t>, 3684. https://doi.org/10.1063/1.448118</w:t>
      </w:r>
    </w:p>
    <w:p w14:paraId="51C2772A" w14:textId="77777777" w:rsidR="00C2687E" w:rsidRPr="00C2687E" w:rsidRDefault="00C2687E" w:rsidP="00C2687E">
      <w:pPr>
        <w:widowControl w:val="0"/>
        <w:autoSpaceDE w:val="0"/>
        <w:autoSpaceDN w:val="0"/>
        <w:adjustRightInd w:val="0"/>
        <w:spacing w:line="360" w:lineRule="auto"/>
        <w:ind w:left="480" w:hanging="480"/>
        <w:rPr>
          <w:noProof/>
          <w:lang w:val="en-US"/>
        </w:rPr>
      </w:pPr>
      <w:r w:rsidRPr="00C2687E">
        <w:rPr>
          <w:noProof/>
          <w:lang w:val="en-US"/>
        </w:rPr>
        <w:t xml:space="preserve">Bogomolovas, J., Fleming, J. R., Anderson, B. R., Williams, R., Lange, S., Simon, B., Khan, M. M., Rudolf, R., Franke, B., Bullard, B., Rigden, D. J., Granzier, H., Labeit, S., &amp; Mayans, O. (2016). Exploration of pathomechanisms triggered by a single-nucleotide polymorphism in titin’s I-band: The cardiomyopathy-linked mutation T2580I. </w:t>
      </w:r>
      <w:r w:rsidRPr="00C2687E">
        <w:rPr>
          <w:i/>
          <w:iCs/>
          <w:noProof/>
          <w:lang w:val="en-US"/>
        </w:rPr>
        <w:t>Open Biology</w:t>
      </w:r>
      <w:r w:rsidRPr="00C2687E">
        <w:rPr>
          <w:noProof/>
          <w:lang w:val="en-US"/>
        </w:rPr>
        <w:t xml:space="preserve">, </w:t>
      </w:r>
      <w:r w:rsidRPr="00C2687E">
        <w:rPr>
          <w:i/>
          <w:iCs/>
          <w:noProof/>
          <w:lang w:val="en-US"/>
        </w:rPr>
        <w:t>6</w:t>
      </w:r>
      <w:r w:rsidRPr="00C2687E">
        <w:rPr>
          <w:noProof/>
          <w:lang w:val="en-US"/>
        </w:rPr>
        <w:t>(9), pii: 160114. https://doi.org/10.1098/rsob.160114</w:t>
      </w:r>
    </w:p>
    <w:p w14:paraId="2C6254C9" w14:textId="77777777" w:rsidR="00C2687E" w:rsidRPr="00C2687E" w:rsidRDefault="00C2687E" w:rsidP="00C2687E">
      <w:pPr>
        <w:widowControl w:val="0"/>
        <w:autoSpaceDE w:val="0"/>
        <w:autoSpaceDN w:val="0"/>
        <w:adjustRightInd w:val="0"/>
        <w:spacing w:line="360" w:lineRule="auto"/>
        <w:ind w:left="480" w:hanging="480"/>
        <w:rPr>
          <w:noProof/>
          <w:lang w:val="en-US"/>
        </w:rPr>
      </w:pPr>
      <w:r w:rsidRPr="00C2687E">
        <w:rPr>
          <w:noProof/>
          <w:lang w:val="en-US"/>
        </w:rPr>
        <w:t xml:space="preserve">Bromberg, Y., &amp; Rost, B. (2009). Correlating protein function and stability through the analysis of single amino acid substitutions. </w:t>
      </w:r>
      <w:r w:rsidRPr="00C2687E">
        <w:rPr>
          <w:i/>
          <w:iCs/>
          <w:noProof/>
          <w:lang w:val="en-US"/>
        </w:rPr>
        <w:t>BMC Bioinformatics</w:t>
      </w:r>
      <w:r w:rsidRPr="00C2687E">
        <w:rPr>
          <w:noProof/>
          <w:lang w:val="en-US"/>
        </w:rPr>
        <w:t xml:space="preserve">, </w:t>
      </w:r>
      <w:r w:rsidRPr="00C2687E">
        <w:rPr>
          <w:i/>
          <w:iCs/>
          <w:noProof/>
          <w:lang w:val="en-US"/>
        </w:rPr>
        <w:t>10</w:t>
      </w:r>
      <w:r w:rsidRPr="00C2687E">
        <w:rPr>
          <w:noProof/>
          <w:lang w:val="en-US"/>
        </w:rPr>
        <w:t>, S8. https://doi.org/10.1186/1471-2105-10-S8-S8</w:t>
      </w:r>
    </w:p>
    <w:p w14:paraId="535B6448" w14:textId="77777777" w:rsidR="00C2687E" w:rsidRPr="00C2687E" w:rsidRDefault="00C2687E" w:rsidP="00C2687E">
      <w:pPr>
        <w:widowControl w:val="0"/>
        <w:autoSpaceDE w:val="0"/>
        <w:autoSpaceDN w:val="0"/>
        <w:adjustRightInd w:val="0"/>
        <w:spacing w:line="360" w:lineRule="auto"/>
        <w:ind w:left="480" w:hanging="480"/>
        <w:rPr>
          <w:noProof/>
          <w:lang w:val="en-US"/>
        </w:rPr>
      </w:pPr>
      <w:r w:rsidRPr="00C2687E">
        <w:rPr>
          <w:noProof/>
          <w:lang w:val="en-US"/>
        </w:rPr>
        <w:t xml:space="preserve">Bucher, R. M., Svergun, D. I., Muhle-Goll, C., &amp; Mayans, O. (2010). The Structure of the FnIII Tandem A77-A78 Points to a Periodically Conserved Architecture in the Myosin-Binding Region of Titin. </w:t>
      </w:r>
      <w:r w:rsidRPr="00C2687E">
        <w:rPr>
          <w:i/>
          <w:iCs/>
          <w:noProof/>
          <w:lang w:val="en-US"/>
        </w:rPr>
        <w:t>Journal of Molecular Biology</w:t>
      </w:r>
      <w:r w:rsidRPr="00C2687E">
        <w:rPr>
          <w:noProof/>
          <w:lang w:val="en-US"/>
        </w:rPr>
        <w:t xml:space="preserve">, </w:t>
      </w:r>
      <w:r w:rsidRPr="00C2687E">
        <w:rPr>
          <w:i/>
          <w:iCs/>
          <w:noProof/>
          <w:lang w:val="en-US"/>
        </w:rPr>
        <w:t>401</w:t>
      </w:r>
      <w:r w:rsidRPr="00C2687E">
        <w:rPr>
          <w:noProof/>
          <w:lang w:val="en-US"/>
        </w:rPr>
        <w:t>(5), 843–853. https://doi.org/10.1016/j.jmb.2010.06.011</w:t>
      </w:r>
    </w:p>
    <w:p w14:paraId="74230002" w14:textId="77777777" w:rsidR="00C2687E" w:rsidRPr="00C2687E" w:rsidRDefault="00C2687E" w:rsidP="00C2687E">
      <w:pPr>
        <w:widowControl w:val="0"/>
        <w:autoSpaceDE w:val="0"/>
        <w:autoSpaceDN w:val="0"/>
        <w:adjustRightInd w:val="0"/>
        <w:spacing w:line="360" w:lineRule="auto"/>
        <w:ind w:left="480" w:hanging="480"/>
        <w:rPr>
          <w:noProof/>
          <w:lang w:val="en-US"/>
        </w:rPr>
      </w:pPr>
      <w:r w:rsidRPr="00C2687E">
        <w:rPr>
          <w:noProof/>
          <w:lang w:val="en-US"/>
        </w:rPr>
        <w:t xml:space="preserve">Campuzano, O., Sanchez-Molero, O., Mademont-Soler, I., Riuró, H., Allegue, C., Coll, M., Pérez-Serra, A., Mates, J., Picó, F., Iglesias, A., &amp; Brugada, R. (2015). Rare titin (TTN) variants in diseases associated with sudden cardiac death. </w:t>
      </w:r>
      <w:r w:rsidRPr="00C2687E">
        <w:rPr>
          <w:i/>
          <w:iCs/>
          <w:noProof/>
          <w:lang w:val="en-US"/>
        </w:rPr>
        <w:t>International Journal of Molecular Sciences</w:t>
      </w:r>
      <w:r w:rsidRPr="00C2687E">
        <w:rPr>
          <w:noProof/>
          <w:lang w:val="en-US"/>
        </w:rPr>
        <w:t xml:space="preserve">, </w:t>
      </w:r>
      <w:r w:rsidRPr="00C2687E">
        <w:rPr>
          <w:i/>
          <w:iCs/>
          <w:noProof/>
          <w:lang w:val="en-US"/>
        </w:rPr>
        <w:t>16</w:t>
      </w:r>
      <w:r w:rsidRPr="00C2687E">
        <w:rPr>
          <w:noProof/>
          <w:lang w:val="en-US"/>
        </w:rPr>
        <w:t>(10), 25773–25787. https://doi.org/10.3390/ijms161025773</w:t>
      </w:r>
    </w:p>
    <w:p w14:paraId="7DC45578" w14:textId="77777777" w:rsidR="00C2687E" w:rsidRPr="00C2687E" w:rsidRDefault="00C2687E" w:rsidP="00C2687E">
      <w:pPr>
        <w:widowControl w:val="0"/>
        <w:autoSpaceDE w:val="0"/>
        <w:autoSpaceDN w:val="0"/>
        <w:adjustRightInd w:val="0"/>
        <w:spacing w:line="360" w:lineRule="auto"/>
        <w:ind w:left="480" w:hanging="480"/>
        <w:rPr>
          <w:noProof/>
          <w:lang w:val="en-US"/>
        </w:rPr>
      </w:pPr>
      <w:r w:rsidRPr="00C2687E">
        <w:rPr>
          <w:noProof/>
          <w:lang w:val="en-US"/>
        </w:rPr>
        <w:t xml:space="preserve">Chauveau, C., Rowell, J., &amp; Ferreiro, A. (2014). A Rising Titan: </w:t>
      </w:r>
      <w:r w:rsidRPr="00C2687E">
        <w:rPr>
          <w:i/>
          <w:iCs/>
          <w:noProof/>
          <w:lang w:val="en-US"/>
        </w:rPr>
        <w:t>TTN</w:t>
      </w:r>
      <w:r w:rsidRPr="00C2687E">
        <w:rPr>
          <w:noProof/>
          <w:lang w:val="en-US"/>
        </w:rPr>
        <w:t xml:space="preserve"> Review and Mutation Update. </w:t>
      </w:r>
      <w:r w:rsidRPr="00C2687E">
        <w:rPr>
          <w:i/>
          <w:iCs/>
          <w:noProof/>
          <w:lang w:val="en-US"/>
        </w:rPr>
        <w:t>Human Mutation</w:t>
      </w:r>
      <w:r w:rsidRPr="00C2687E">
        <w:rPr>
          <w:noProof/>
          <w:lang w:val="en-US"/>
        </w:rPr>
        <w:t xml:space="preserve">, </w:t>
      </w:r>
      <w:r w:rsidRPr="00C2687E">
        <w:rPr>
          <w:i/>
          <w:iCs/>
          <w:noProof/>
          <w:lang w:val="en-US"/>
        </w:rPr>
        <w:t>35</w:t>
      </w:r>
      <w:r w:rsidRPr="00C2687E">
        <w:rPr>
          <w:noProof/>
          <w:lang w:val="en-US"/>
        </w:rPr>
        <w:t>(9), 1046–1059. https://doi.org/10.1002/humu.22611</w:t>
      </w:r>
    </w:p>
    <w:p w14:paraId="700FC976" w14:textId="77777777" w:rsidR="00C2687E" w:rsidRPr="00C2687E" w:rsidRDefault="00C2687E" w:rsidP="00C2687E">
      <w:pPr>
        <w:widowControl w:val="0"/>
        <w:autoSpaceDE w:val="0"/>
        <w:autoSpaceDN w:val="0"/>
        <w:adjustRightInd w:val="0"/>
        <w:spacing w:line="360" w:lineRule="auto"/>
        <w:ind w:left="480" w:hanging="480"/>
        <w:rPr>
          <w:noProof/>
          <w:lang w:val="en-US"/>
        </w:rPr>
      </w:pPr>
      <w:r w:rsidRPr="00C2687E">
        <w:rPr>
          <w:noProof/>
          <w:lang w:val="en-US"/>
        </w:rPr>
        <w:t xml:space="preserve">Darden, T., Perera, L., Li, L., &amp; Lee, P. (1999). New tricks for modelers from the crystallography toolkit: The particle mesh Ewald algorithm and its use in nucleic acid </w:t>
      </w:r>
      <w:r w:rsidRPr="00C2687E">
        <w:rPr>
          <w:noProof/>
          <w:lang w:val="en-US"/>
        </w:rPr>
        <w:lastRenderedPageBreak/>
        <w:t xml:space="preserve">simulations. </w:t>
      </w:r>
      <w:r w:rsidRPr="00C2687E">
        <w:rPr>
          <w:i/>
          <w:iCs/>
          <w:noProof/>
          <w:lang w:val="en-US"/>
        </w:rPr>
        <w:t>Structure</w:t>
      </w:r>
      <w:r w:rsidRPr="00C2687E">
        <w:rPr>
          <w:noProof/>
          <w:lang w:val="en-US"/>
        </w:rPr>
        <w:t xml:space="preserve">, </w:t>
      </w:r>
      <w:r w:rsidRPr="00C2687E">
        <w:rPr>
          <w:i/>
          <w:iCs/>
          <w:noProof/>
          <w:lang w:val="en-US"/>
        </w:rPr>
        <w:t>7</w:t>
      </w:r>
      <w:r w:rsidRPr="00C2687E">
        <w:rPr>
          <w:noProof/>
          <w:lang w:val="en-US"/>
        </w:rPr>
        <w:t>(3), R55-60. https://doi.org/10.1016/S0969-2126(99)80033-1</w:t>
      </w:r>
    </w:p>
    <w:p w14:paraId="28B0B139" w14:textId="77777777" w:rsidR="00C2687E" w:rsidRPr="00C2687E" w:rsidRDefault="00C2687E" w:rsidP="00C2687E">
      <w:pPr>
        <w:widowControl w:val="0"/>
        <w:autoSpaceDE w:val="0"/>
        <w:autoSpaceDN w:val="0"/>
        <w:adjustRightInd w:val="0"/>
        <w:spacing w:line="360" w:lineRule="auto"/>
        <w:ind w:left="480" w:hanging="480"/>
        <w:rPr>
          <w:noProof/>
          <w:lang w:val="en-US"/>
        </w:rPr>
      </w:pPr>
      <w:r w:rsidRPr="00C2687E">
        <w:rPr>
          <w:noProof/>
          <w:lang w:val="en-US"/>
        </w:rPr>
        <w:t xml:space="preserve">Das, R., &amp; Baker, D. (2008). Macromolecular Modeling with Rosetta. </w:t>
      </w:r>
      <w:r w:rsidRPr="00C2687E">
        <w:rPr>
          <w:i/>
          <w:iCs/>
          <w:noProof/>
          <w:lang w:val="en-US"/>
        </w:rPr>
        <w:t>Annual Review of Biochemistry</w:t>
      </w:r>
      <w:r w:rsidRPr="00C2687E">
        <w:rPr>
          <w:noProof/>
          <w:lang w:val="en-US"/>
        </w:rPr>
        <w:t xml:space="preserve">, </w:t>
      </w:r>
      <w:r w:rsidRPr="00C2687E">
        <w:rPr>
          <w:i/>
          <w:iCs/>
          <w:noProof/>
          <w:lang w:val="en-US"/>
        </w:rPr>
        <w:t>77</w:t>
      </w:r>
      <w:r w:rsidRPr="00C2687E">
        <w:rPr>
          <w:noProof/>
          <w:lang w:val="en-US"/>
        </w:rPr>
        <w:t>, 363–382. https://doi.org/10.1146/annurev.biochem.77.062906.171838</w:t>
      </w:r>
    </w:p>
    <w:p w14:paraId="1D8BAD34" w14:textId="77777777" w:rsidR="00C2687E" w:rsidRPr="00C2687E" w:rsidRDefault="00C2687E" w:rsidP="00C2687E">
      <w:pPr>
        <w:widowControl w:val="0"/>
        <w:autoSpaceDE w:val="0"/>
        <w:autoSpaceDN w:val="0"/>
        <w:adjustRightInd w:val="0"/>
        <w:spacing w:line="360" w:lineRule="auto"/>
        <w:ind w:left="480" w:hanging="480"/>
        <w:rPr>
          <w:noProof/>
          <w:lang w:val="en-US"/>
        </w:rPr>
      </w:pPr>
      <w:r w:rsidRPr="00251B32">
        <w:rPr>
          <w:noProof/>
          <w:lang w:val="de-DE"/>
        </w:rPr>
        <w:t xml:space="preserve">David, A., Razali, R., Wass, M. N., &amp; Sternberg, M. J. E. (2012). </w:t>
      </w:r>
      <w:r w:rsidRPr="00C2687E">
        <w:rPr>
          <w:noProof/>
          <w:lang w:val="en-US"/>
        </w:rPr>
        <w:t xml:space="preserve">Protein-protein interaction sites are hot spots for disease-associated nonsynonymous SNPs. </w:t>
      </w:r>
      <w:r w:rsidRPr="00C2687E">
        <w:rPr>
          <w:i/>
          <w:iCs/>
          <w:noProof/>
          <w:lang w:val="en-US"/>
        </w:rPr>
        <w:t>Human Mutation</w:t>
      </w:r>
      <w:r w:rsidRPr="00C2687E">
        <w:rPr>
          <w:noProof/>
          <w:lang w:val="en-US"/>
        </w:rPr>
        <w:t xml:space="preserve">, </w:t>
      </w:r>
      <w:r w:rsidRPr="00C2687E">
        <w:rPr>
          <w:i/>
          <w:iCs/>
          <w:noProof/>
          <w:lang w:val="en-US"/>
        </w:rPr>
        <w:t>32</w:t>
      </w:r>
      <w:r w:rsidRPr="00C2687E">
        <w:rPr>
          <w:noProof/>
          <w:lang w:val="en-US"/>
        </w:rPr>
        <w:t>(2), 359–363. https://doi.org/10.1002/humu.21656</w:t>
      </w:r>
    </w:p>
    <w:p w14:paraId="12806109" w14:textId="77777777" w:rsidR="00C2687E" w:rsidRPr="00C2687E" w:rsidRDefault="00C2687E" w:rsidP="00C2687E">
      <w:pPr>
        <w:widowControl w:val="0"/>
        <w:autoSpaceDE w:val="0"/>
        <w:autoSpaceDN w:val="0"/>
        <w:adjustRightInd w:val="0"/>
        <w:spacing w:line="360" w:lineRule="auto"/>
        <w:ind w:left="480" w:hanging="480"/>
        <w:rPr>
          <w:noProof/>
          <w:lang w:val="en-US"/>
        </w:rPr>
      </w:pPr>
      <w:r w:rsidRPr="00C2687E">
        <w:rPr>
          <w:noProof/>
          <w:lang w:val="en-US"/>
        </w:rPr>
        <w:t xml:space="preserve">DeLano, W. L. (2002). The PyMOL Molecular Graphics System, Version 1.1. </w:t>
      </w:r>
      <w:r w:rsidRPr="00C2687E">
        <w:rPr>
          <w:i/>
          <w:iCs/>
          <w:noProof/>
          <w:lang w:val="en-US"/>
        </w:rPr>
        <w:t>Schrödinger LLC</w:t>
      </w:r>
      <w:r w:rsidRPr="00C2687E">
        <w:rPr>
          <w:noProof/>
          <w:lang w:val="en-US"/>
        </w:rPr>
        <w:t xml:space="preserve">, </w:t>
      </w:r>
      <w:r w:rsidRPr="00C2687E">
        <w:rPr>
          <w:i/>
          <w:iCs/>
          <w:noProof/>
          <w:lang w:val="en-US"/>
        </w:rPr>
        <w:t>66</w:t>
      </w:r>
      <w:r w:rsidRPr="00C2687E">
        <w:rPr>
          <w:noProof/>
          <w:lang w:val="en-US"/>
        </w:rPr>
        <w:t>(Pt 4), 486–501. https://doi.org/10.1038/hr.2014.17</w:t>
      </w:r>
    </w:p>
    <w:p w14:paraId="33B6E793" w14:textId="77777777" w:rsidR="00C2687E" w:rsidRPr="00C2687E" w:rsidRDefault="00C2687E" w:rsidP="00C2687E">
      <w:pPr>
        <w:widowControl w:val="0"/>
        <w:autoSpaceDE w:val="0"/>
        <w:autoSpaceDN w:val="0"/>
        <w:adjustRightInd w:val="0"/>
        <w:spacing w:line="360" w:lineRule="auto"/>
        <w:ind w:left="480" w:hanging="480"/>
        <w:rPr>
          <w:noProof/>
          <w:lang w:val="en-US"/>
        </w:rPr>
      </w:pPr>
      <w:r w:rsidRPr="00C2687E">
        <w:rPr>
          <w:noProof/>
          <w:lang w:val="en-US"/>
        </w:rPr>
        <w:t xml:space="preserve">Emsley, P., Lohkamp, B., Scott, W. G., &amp; Cowtan, K. (2010). Features and development of Coot. </w:t>
      </w:r>
      <w:r w:rsidRPr="00C2687E">
        <w:rPr>
          <w:i/>
          <w:iCs/>
          <w:noProof/>
          <w:lang w:val="en-US"/>
        </w:rPr>
        <w:t>Acta Crystallographica Section D: Biological Crystallography</w:t>
      </w:r>
      <w:r w:rsidRPr="00C2687E">
        <w:rPr>
          <w:noProof/>
          <w:lang w:val="en-US"/>
        </w:rPr>
        <w:t xml:space="preserve">, </w:t>
      </w:r>
      <w:r w:rsidRPr="00C2687E">
        <w:rPr>
          <w:i/>
          <w:iCs/>
          <w:noProof/>
          <w:lang w:val="en-US"/>
        </w:rPr>
        <w:t>66</w:t>
      </w:r>
      <w:r w:rsidRPr="00C2687E">
        <w:rPr>
          <w:noProof/>
          <w:lang w:val="en-US"/>
        </w:rPr>
        <w:t>(Pt 4), 486–501. https://doi.org/10.1107/S0907444910007493</w:t>
      </w:r>
    </w:p>
    <w:p w14:paraId="0ADECA99" w14:textId="77777777" w:rsidR="00C2687E" w:rsidRPr="00C2687E" w:rsidRDefault="00C2687E" w:rsidP="00C2687E">
      <w:pPr>
        <w:widowControl w:val="0"/>
        <w:autoSpaceDE w:val="0"/>
        <w:autoSpaceDN w:val="0"/>
        <w:adjustRightInd w:val="0"/>
        <w:spacing w:line="360" w:lineRule="auto"/>
        <w:ind w:left="480" w:hanging="480"/>
        <w:rPr>
          <w:noProof/>
          <w:lang w:val="en-US"/>
        </w:rPr>
      </w:pPr>
      <w:r w:rsidRPr="00C2687E">
        <w:rPr>
          <w:noProof/>
          <w:lang w:val="en-US"/>
        </w:rPr>
        <w:t xml:space="preserve">Gautel, M. (2011). The sarcomeric cytoskeleton: who picks up the strain? </w:t>
      </w:r>
      <w:r w:rsidRPr="00C2687E">
        <w:rPr>
          <w:i/>
          <w:iCs/>
          <w:noProof/>
          <w:lang w:val="en-US"/>
        </w:rPr>
        <w:t>Current Opinion in Cell Biology</w:t>
      </w:r>
      <w:r w:rsidRPr="00C2687E">
        <w:rPr>
          <w:noProof/>
          <w:lang w:val="en-US"/>
        </w:rPr>
        <w:t xml:space="preserve">, </w:t>
      </w:r>
      <w:r w:rsidRPr="00C2687E">
        <w:rPr>
          <w:i/>
          <w:iCs/>
          <w:noProof/>
          <w:lang w:val="en-US"/>
        </w:rPr>
        <w:t>23</w:t>
      </w:r>
      <w:r w:rsidRPr="00C2687E">
        <w:rPr>
          <w:noProof/>
          <w:lang w:val="en-US"/>
        </w:rPr>
        <w:t>(1), 39–46. https://www.sciencedirect.com/science/article/pii/S0955067410002140?via%3Dihub</w:t>
      </w:r>
    </w:p>
    <w:p w14:paraId="79C195F5" w14:textId="77777777" w:rsidR="00C2687E" w:rsidRPr="00C2687E" w:rsidRDefault="00C2687E" w:rsidP="00C2687E">
      <w:pPr>
        <w:widowControl w:val="0"/>
        <w:autoSpaceDE w:val="0"/>
        <w:autoSpaceDN w:val="0"/>
        <w:adjustRightInd w:val="0"/>
        <w:spacing w:line="360" w:lineRule="auto"/>
        <w:ind w:left="480" w:hanging="480"/>
        <w:rPr>
          <w:noProof/>
          <w:lang w:val="en-US"/>
        </w:rPr>
      </w:pPr>
      <w:r w:rsidRPr="00C2687E">
        <w:rPr>
          <w:noProof/>
          <w:lang w:val="en-US"/>
        </w:rPr>
        <w:t xml:space="preserve">Gigli, M., Begay, R. L., Morea, G., Graw, S. L., Sinagra, G., Taylor, M. R. G., Granzier, H., &amp; Mestroni, L. (2016). A Review of the Giant Protein Titin in Clinical Molecular Diagnostics of Cardiomyopathies. </w:t>
      </w:r>
      <w:r w:rsidRPr="00C2687E">
        <w:rPr>
          <w:i/>
          <w:iCs/>
          <w:noProof/>
          <w:lang w:val="en-US"/>
        </w:rPr>
        <w:t>Frontiers in Cardiovascular Medicine</w:t>
      </w:r>
      <w:r w:rsidRPr="00C2687E">
        <w:rPr>
          <w:noProof/>
          <w:lang w:val="en-US"/>
        </w:rPr>
        <w:t xml:space="preserve">, </w:t>
      </w:r>
      <w:r w:rsidRPr="00C2687E">
        <w:rPr>
          <w:i/>
          <w:iCs/>
          <w:noProof/>
          <w:lang w:val="en-US"/>
        </w:rPr>
        <w:t>3</w:t>
      </w:r>
      <w:r w:rsidRPr="00C2687E">
        <w:rPr>
          <w:noProof/>
          <w:lang w:val="en-US"/>
        </w:rPr>
        <w:t>, 21. https://doi.org/10.3389/fcvm.2016.00021</w:t>
      </w:r>
    </w:p>
    <w:p w14:paraId="12A2C45A" w14:textId="77777777" w:rsidR="00C2687E" w:rsidRPr="00C2687E" w:rsidRDefault="00C2687E" w:rsidP="00C2687E">
      <w:pPr>
        <w:widowControl w:val="0"/>
        <w:autoSpaceDE w:val="0"/>
        <w:autoSpaceDN w:val="0"/>
        <w:adjustRightInd w:val="0"/>
        <w:spacing w:line="360" w:lineRule="auto"/>
        <w:ind w:left="480" w:hanging="480"/>
        <w:rPr>
          <w:noProof/>
          <w:lang w:val="en-US"/>
        </w:rPr>
      </w:pPr>
      <w:r w:rsidRPr="00C2687E">
        <w:rPr>
          <w:noProof/>
          <w:lang w:val="en-US"/>
        </w:rPr>
        <w:t xml:space="preserve">Hess, B., Bekker, H., Berendsen, H. J. C., &amp; Fraaije, J. G. E. M. (1997). LINCS: A Linear Constraint Solver for molecular simulations. </w:t>
      </w:r>
      <w:r w:rsidRPr="00C2687E">
        <w:rPr>
          <w:i/>
          <w:iCs/>
          <w:noProof/>
          <w:lang w:val="en-US"/>
        </w:rPr>
        <w:t>Journal of Computational Chemistry</w:t>
      </w:r>
      <w:r w:rsidRPr="00C2687E">
        <w:rPr>
          <w:noProof/>
          <w:lang w:val="en-US"/>
        </w:rPr>
        <w:t xml:space="preserve">, </w:t>
      </w:r>
      <w:r w:rsidRPr="00C2687E">
        <w:rPr>
          <w:i/>
          <w:iCs/>
          <w:noProof/>
          <w:lang w:val="en-US"/>
        </w:rPr>
        <w:t>18</w:t>
      </w:r>
      <w:r w:rsidRPr="00C2687E">
        <w:rPr>
          <w:noProof/>
          <w:lang w:val="en-US"/>
        </w:rPr>
        <w:t>, 1463–1472. https://doi.org/10.1002/(SICI)1096-987X(199709)18:12&lt;1463::AID-JCC4&gt;3.0.CO;2-H</w:t>
      </w:r>
    </w:p>
    <w:p w14:paraId="09537D5A" w14:textId="77777777" w:rsidR="00C2687E" w:rsidRPr="00C2687E" w:rsidRDefault="00C2687E" w:rsidP="00C2687E">
      <w:pPr>
        <w:widowControl w:val="0"/>
        <w:autoSpaceDE w:val="0"/>
        <w:autoSpaceDN w:val="0"/>
        <w:adjustRightInd w:val="0"/>
        <w:spacing w:line="360" w:lineRule="auto"/>
        <w:ind w:left="480" w:hanging="480"/>
        <w:rPr>
          <w:noProof/>
          <w:lang w:val="en-US"/>
        </w:rPr>
      </w:pPr>
      <w:r w:rsidRPr="00C2687E">
        <w:rPr>
          <w:noProof/>
          <w:lang w:val="en-US"/>
        </w:rPr>
        <w:t xml:space="preserve">Jia, L., Yarlagadda, R., &amp; Reed, C. C. (2015). Structure based thermostability prediction models for protein single point mutations with machine learning tools. </w:t>
      </w:r>
      <w:r w:rsidRPr="00C2687E">
        <w:rPr>
          <w:i/>
          <w:iCs/>
          <w:noProof/>
          <w:lang w:val="en-US"/>
        </w:rPr>
        <w:t>PLoS ONE</w:t>
      </w:r>
      <w:r w:rsidRPr="00C2687E">
        <w:rPr>
          <w:noProof/>
          <w:lang w:val="en-US"/>
        </w:rPr>
        <w:t xml:space="preserve">, </w:t>
      </w:r>
      <w:r w:rsidRPr="00C2687E">
        <w:rPr>
          <w:i/>
          <w:iCs/>
          <w:noProof/>
          <w:lang w:val="en-US"/>
        </w:rPr>
        <w:t>10</w:t>
      </w:r>
      <w:r w:rsidRPr="00C2687E">
        <w:rPr>
          <w:noProof/>
          <w:lang w:val="en-US"/>
        </w:rPr>
        <w:t>(9), e0138022. https://doi.org/10.1371/journal.pone.0138022</w:t>
      </w:r>
    </w:p>
    <w:p w14:paraId="62FC9233" w14:textId="77777777" w:rsidR="00C2687E" w:rsidRPr="00C2687E" w:rsidRDefault="00C2687E" w:rsidP="00C2687E">
      <w:pPr>
        <w:widowControl w:val="0"/>
        <w:autoSpaceDE w:val="0"/>
        <w:autoSpaceDN w:val="0"/>
        <w:adjustRightInd w:val="0"/>
        <w:spacing w:line="360" w:lineRule="auto"/>
        <w:ind w:left="480" w:hanging="480"/>
        <w:rPr>
          <w:noProof/>
          <w:lang w:val="en-US"/>
        </w:rPr>
      </w:pPr>
      <w:r w:rsidRPr="00C2687E">
        <w:rPr>
          <w:noProof/>
          <w:lang w:val="en-US"/>
        </w:rPr>
        <w:t xml:space="preserve">Jorgensen, W. L., Chandrasekhar, J., Madura, J. D., Impey, R. W., &amp; Klein, M. L. (1983). Comparison of simple potential functions for simulating liquid water. </w:t>
      </w:r>
      <w:r w:rsidRPr="00C2687E">
        <w:rPr>
          <w:i/>
          <w:iCs/>
          <w:noProof/>
          <w:lang w:val="en-US"/>
        </w:rPr>
        <w:t>The Journal of Chemical Physics</w:t>
      </w:r>
      <w:r w:rsidRPr="00C2687E">
        <w:rPr>
          <w:noProof/>
          <w:lang w:val="en-US"/>
        </w:rPr>
        <w:t xml:space="preserve">, </w:t>
      </w:r>
      <w:r w:rsidRPr="00C2687E">
        <w:rPr>
          <w:i/>
          <w:iCs/>
          <w:noProof/>
          <w:lang w:val="en-US"/>
        </w:rPr>
        <w:t>79</w:t>
      </w:r>
      <w:r w:rsidRPr="00C2687E">
        <w:rPr>
          <w:noProof/>
          <w:lang w:val="en-US"/>
        </w:rPr>
        <w:t>, 926. https://doi.org/10.1063/1.445869</w:t>
      </w:r>
    </w:p>
    <w:p w14:paraId="0E81AAB0" w14:textId="77777777" w:rsidR="00C2687E" w:rsidRPr="00C2687E" w:rsidRDefault="00C2687E" w:rsidP="00C2687E">
      <w:pPr>
        <w:widowControl w:val="0"/>
        <w:autoSpaceDE w:val="0"/>
        <w:autoSpaceDN w:val="0"/>
        <w:adjustRightInd w:val="0"/>
        <w:spacing w:line="360" w:lineRule="auto"/>
        <w:ind w:left="480" w:hanging="480"/>
        <w:rPr>
          <w:noProof/>
          <w:lang w:val="en-US"/>
        </w:rPr>
      </w:pPr>
      <w:r w:rsidRPr="00C2687E">
        <w:rPr>
          <w:noProof/>
          <w:lang w:val="en-US"/>
        </w:rPr>
        <w:t xml:space="preserve">Kellogg, E. H., Leaver-Fay, A., &amp; Baker, D. (2011). Role of conformational sampling in computing mutation-induced changes in protein structure and stability. </w:t>
      </w:r>
      <w:r w:rsidRPr="00C2687E">
        <w:rPr>
          <w:i/>
          <w:iCs/>
          <w:noProof/>
          <w:lang w:val="en-US"/>
        </w:rPr>
        <w:t>Proteins: Structure, Function and Bioinformatics</w:t>
      </w:r>
      <w:r w:rsidRPr="00C2687E">
        <w:rPr>
          <w:noProof/>
          <w:lang w:val="en-US"/>
        </w:rPr>
        <w:t xml:space="preserve">, </w:t>
      </w:r>
      <w:r w:rsidRPr="00C2687E">
        <w:rPr>
          <w:i/>
          <w:iCs/>
          <w:noProof/>
          <w:lang w:val="en-US"/>
        </w:rPr>
        <w:t>79</w:t>
      </w:r>
      <w:r w:rsidRPr="00C2687E">
        <w:rPr>
          <w:noProof/>
          <w:lang w:val="en-US"/>
        </w:rPr>
        <w:t>(3), 830–838. https://doi.org/10.1002/prot.22921</w:t>
      </w:r>
    </w:p>
    <w:p w14:paraId="1F7DD497" w14:textId="77777777" w:rsidR="00C2687E" w:rsidRPr="00C2687E" w:rsidRDefault="00C2687E" w:rsidP="00C2687E">
      <w:pPr>
        <w:widowControl w:val="0"/>
        <w:autoSpaceDE w:val="0"/>
        <w:autoSpaceDN w:val="0"/>
        <w:adjustRightInd w:val="0"/>
        <w:spacing w:line="360" w:lineRule="auto"/>
        <w:ind w:left="480" w:hanging="480"/>
        <w:rPr>
          <w:noProof/>
          <w:lang w:val="en-US"/>
        </w:rPr>
      </w:pPr>
      <w:r w:rsidRPr="00C2687E">
        <w:rPr>
          <w:noProof/>
          <w:lang w:val="en-US"/>
        </w:rPr>
        <w:t xml:space="preserve">Laddach, A., Gautel, M., &amp; Fraternali, F. (2017). TITINdb-a computational tool to assess titin’s role as a disease gene. </w:t>
      </w:r>
      <w:r w:rsidRPr="00C2687E">
        <w:rPr>
          <w:i/>
          <w:iCs/>
          <w:noProof/>
          <w:lang w:val="en-US"/>
        </w:rPr>
        <w:t>Bioinformatics (Oxford, England)</w:t>
      </w:r>
      <w:r w:rsidRPr="00C2687E">
        <w:rPr>
          <w:noProof/>
          <w:lang w:val="en-US"/>
        </w:rPr>
        <w:t xml:space="preserve">, </w:t>
      </w:r>
      <w:r w:rsidRPr="00C2687E">
        <w:rPr>
          <w:i/>
          <w:iCs/>
          <w:noProof/>
          <w:lang w:val="en-US"/>
        </w:rPr>
        <w:t>33</w:t>
      </w:r>
      <w:r w:rsidRPr="00C2687E">
        <w:rPr>
          <w:noProof/>
          <w:lang w:val="en-US"/>
        </w:rPr>
        <w:t xml:space="preserve">(21), 3482–3485. </w:t>
      </w:r>
      <w:r w:rsidRPr="00C2687E">
        <w:rPr>
          <w:noProof/>
          <w:lang w:val="en-US"/>
        </w:rPr>
        <w:lastRenderedPageBreak/>
        <w:t>https://doi.org/10.1093/bioinformatics/btx424</w:t>
      </w:r>
    </w:p>
    <w:p w14:paraId="3951769A" w14:textId="77777777" w:rsidR="00C2687E" w:rsidRPr="00C2687E" w:rsidRDefault="00C2687E" w:rsidP="00C2687E">
      <w:pPr>
        <w:widowControl w:val="0"/>
        <w:autoSpaceDE w:val="0"/>
        <w:autoSpaceDN w:val="0"/>
        <w:adjustRightInd w:val="0"/>
        <w:spacing w:line="360" w:lineRule="auto"/>
        <w:ind w:left="480" w:hanging="480"/>
        <w:rPr>
          <w:noProof/>
          <w:lang w:val="en-US"/>
        </w:rPr>
      </w:pPr>
      <w:r w:rsidRPr="00C2687E">
        <w:rPr>
          <w:noProof/>
          <w:lang w:val="en-US"/>
        </w:rPr>
        <w:t xml:space="preserve">Laskowski, R. A., &amp; Swindells, M. B. (2011). LigPlot+: Multiple ligand-protein interaction diagrams for drug discovery. </w:t>
      </w:r>
      <w:r w:rsidRPr="00C2687E">
        <w:rPr>
          <w:i/>
          <w:iCs/>
          <w:noProof/>
          <w:lang w:val="en-US"/>
        </w:rPr>
        <w:t>Journal of Chemical Information and Modeling</w:t>
      </w:r>
      <w:r w:rsidRPr="00C2687E">
        <w:rPr>
          <w:noProof/>
          <w:lang w:val="en-US"/>
        </w:rPr>
        <w:t xml:space="preserve">, </w:t>
      </w:r>
      <w:r w:rsidRPr="00C2687E">
        <w:rPr>
          <w:i/>
          <w:iCs/>
          <w:noProof/>
          <w:lang w:val="en-US"/>
        </w:rPr>
        <w:t>51</w:t>
      </w:r>
      <w:r w:rsidRPr="00C2687E">
        <w:rPr>
          <w:noProof/>
          <w:lang w:val="en-US"/>
        </w:rPr>
        <w:t>(10), 2778–2786. https://doi.org/10.1021/ci200227u</w:t>
      </w:r>
    </w:p>
    <w:p w14:paraId="053FD24F" w14:textId="77777777" w:rsidR="00C2687E" w:rsidRPr="00C2687E" w:rsidRDefault="00C2687E" w:rsidP="00C2687E">
      <w:pPr>
        <w:widowControl w:val="0"/>
        <w:autoSpaceDE w:val="0"/>
        <w:autoSpaceDN w:val="0"/>
        <w:adjustRightInd w:val="0"/>
        <w:spacing w:line="360" w:lineRule="auto"/>
        <w:ind w:left="480" w:hanging="480"/>
        <w:rPr>
          <w:noProof/>
          <w:lang w:val="en-US"/>
        </w:rPr>
      </w:pPr>
      <w:r w:rsidRPr="00C2687E">
        <w:rPr>
          <w:noProof/>
          <w:lang w:val="en-US"/>
        </w:rPr>
        <w:t xml:space="preserve">Lindorff-Larsen, K., Piana, S., Palmo, K., Maragakis, P., Klepeis, J. L., Dror, R. O., &amp; Shaw, D. E. (2010). Improved side-chain torsion potentials for the Amber ff99SB protein force field. </w:t>
      </w:r>
      <w:r w:rsidRPr="00C2687E">
        <w:rPr>
          <w:i/>
          <w:iCs/>
          <w:noProof/>
          <w:lang w:val="en-US"/>
        </w:rPr>
        <w:t>Proteins: Structure, Function and Bioinformatics</w:t>
      </w:r>
      <w:r w:rsidRPr="00C2687E">
        <w:rPr>
          <w:noProof/>
          <w:lang w:val="en-US"/>
        </w:rPr>
        <w:t xml:space="preserve">, </w:t>
      </w:r>
      <w:r w:rsidRPr="00C2687E">
        <w:rPr>
          <w:i/>
          <w:iCs/>
          <w:noProof/>
          <w:lang w:val="en-US"/>
        </w:rPr>
        <w:t>78</w:t>
      </w:r>
      <w:r w:rsidRPr="00C2687E">
        <w:rPr>
          <w:noProof/>
          <w:lang w:val="en-US"/>
        </w:rPr>
        <w:t>(8), 1950–1958. https://doi.org/10.1002/prot.22711</w:t>
      </w:r>
    </w:p>
    <w:p w14:paraId="7C73C470" w14:textId="77777777" w:rsidR="00C2687E" w:rsidRPr="00C2687E" w:rsidRDefault="00C2687E" w:rsidP="00C2687E">
      <w:pPr>
        <w:widowControl w:val="0"/>
        <w:autoSpaceDE w:val="0"/>
        <w:autoSpaceDN w:val="0"/>
        <w:adjustRightInd w:val="0"/>
        <w:spacing w:line="360" w:lineRule="auto"/>
        <w:ind w:left="480" w:hanging="480"/>
        <w:rPr>
          <w:noProof/>
          <w:lang w:val="en-US"/>
        </w:rPr>
      </w:pPr>
      <w:r w:rsidRPr="00C2687E">
        <w:rPr>
          <w:noProof/>
          <w:lang w:val="en-US"/>
        </w:rPr>
        <w:t xml:space="preserve">Marino, M., Svergun, D. I., Kreplak, L., Konarev, P. V., Maco, B., Labeit, D., &amp; Mayans, O. (2005). Poly-Ig tandems from I-band titin share extended domain arrangements irrespective of the distinct features of their modular constituents. </w:t>
      </w:r>
      <w:r w:rsidRPr="00C2687E">
        <w:rPr>
          <w:i/>
          <w:iCs/>
          <w:noProof/>
          <w:lang w:val="en-US"/>
        </w:rPr>
        <w:t>Journal of Muscle Research and Cell Motility</w:t>
      </w:r>
      <w:r w:rsidRPr="00C2687E">
        <w:rPr>
          <w:noProof/>
          <w:lang w:val="en-US"/>
        </w:rPr>
        <w:t xml:space="preserve">, </w:t>
      </w:r>
      <w:r w:rsidRPr="00C2687E">
        <w:rPr>
          <w:i/>
          <w:iCs/>
          <w:noProof/>
          <w:lang w:val="en-US"/>
        </w:rPr>
        <w:t>26</w:t>
      </w:r>
      <w:r w:rsidRPr="00C2687E">
        <w:rPr>
          <w:noProof/>
          <w:lang w:val="en-US"/>
        </w:rPr>
        <w:t>(6–8), 355–365. https://doi.org/10.1007/s10974-005-9017-6</w:t>
      </w:r>
    </w:p>
    <w:p w14:paraId="0043EF2F" w14:textId="77777777" w:rsidR="00C2687E" w:rsidRPr="00C2687E" w:rsidRDefault="00C2687E" w:rsidP="00C2687E">
      <w:pPr>
        <w:widowControl w:val="0"/>
        <w:autoSpaceDE w:val="0"/>
        <w:autoSpaceDN w:val="0"/>
        <w:adjustRightInd w:val="0"/>
        <w:spacing w:line="360" w:lineRule="auto"/>
        <w:ind w:left="480" w:hanging="480"/>
        <w:rPr>
          <w:noProof/>
          <w:lang w:val="en-US"/>
        </w:rPr>
      </w:pPr>
      <w:r w:rsidRPr="00251B32">
        <w:rPr>
          <w:noProof/>
          <w:lang w:val="de-DE"/>
        </w:rPr>
        <w:t xml:space="preserve">Mrosek, M., Labeit, D., Witt, S., Heerklotz, H., von Castelmur, E., Labeit, S., &amp; Mayans, O. (2007). </w:t>
      </w:r>
      <w:r w:rsidRPr="00C2687E">
        <w:rPr>
          <w:noProof/>
          <w:lang w:val="en-US"/>
        </w:rPr>
        <w:t xml:space="preserve">Molecular determinants for the recruitment of the ubiquitin-ligase MuRF-1 onto M-line titin. </w:t>
      </w:r>
      <w:r w:rsidRPr="00C2687E">
        <w:rPr>
          <w:i/>
          <w:iCs/>
          <w:noProof/>
          <w:lang w:val="en-US"/>
        </w:rPr>
        <w:t>The FASEB Journal</w:t>
      </w:r>
      <w:r w:rsidRPr="00C2687E">
        <w:rPr>
          <w:noProof/>
          <w:lang w:val="en-US"/>
        </w:rPr>
        <w:t xml:space="preserve">, </w:t>
      </w:r>
      <w:r w:rsidRPr="00C2687E">
        <w:rPr>
          <w:i/>
          <w:iCs/>
          <w:noProof/>
          <w:lang w:val="en-US"/>
        </w:rPr>
        <w:t>21</w:t>
      </w:r>
      <w:r w:rsidRPr="00C2687E">
        <w:rPr>
          <w:noProof/>
          <w:lang w:val="en-US"/>
        </w:rPr>
        <w:t>(7), 1383–1392. https://doi.org/10.1096/fj.06-7644com</w:t>
      </w:r>
    </w:p>
    <w:p w14:paraId="493B802B" w14:textId="77777777" w:rsidR="00C2687E" w:rsidRPr="00C2687E" w:rsidRDefault="00C2687E" w:rsidP="00C2687E">
      <w:pPr>
        <w:widowControl w:val="0"/>
        <w:autoSpaceDE w:val="0"/>
        <w:autoSpaceDN w:val="0"/>
        <w:adjustRightInd w:val="0"/>
        <w:spacing w:line="360" w:lineRule="auto"/>
        <w:ind w:left="480" w:hanging="480"/>
        <w:rPr>
          <w:noProof/>
          <w:lang w:val="en-US"/>
        </w:rPr>
      </w:pPr>
      <w:r w:rsidRPr="00C2687E">
        <w:rPr>
          <w:noProof/>
          <w:lang w:val="en-US"/>
        </w:rPr>
        <w:t xml:space="preserve">Müller, S., Lange, S., Gautel, M., &amp; Wilmanns, M. (2007). Rigid Conformation of an Immunoglobulin Domain Tandem Repeat in the A-band of the Elastic Muscle Protein Titin. </w:t>
      </w:r>
      <w:r w:rsidRPr="00C2687E">
        <w:rPr>
          <w:i/>
          <w:iCs/>
          <w:noProof/>
          <w:lang w:val="en-US"/>
        </w:rPr>
        <w:t>Journal of Molecular Biology</w:t>
      </w:r>
      <w:r w:rsidRPr="00C2687E">
        <w:rPr>
          <w:noProof/>
          <w:lang w:val="en-US"/>
        </w:rPr>
        <w:t xml:space="preserve">, </w:t>
      </w:r>
      <w:r w:rsidRPr="00C2687E">
        <w:rPr>
          <w:i/>
          <w:iCs/>
          <w:noProof/>
          <w:lang w:val="en-US"/>
        </w:rPr>
        <w:t>371</w:t>
      </w:r>
      <w:r w:rsidRPr="00C2687E">
        <w:rPr>
          <w:noProof/>
          <w:lang w:val="en-US"/>
        </w:rPr>
        <w:t>(2), 469-80. https://doi.org/10.1016/j.jmb.2007.05.055</w:t>
      </w:r>
    </w:p>
    <w:p w14:paraId="0AB0BDE7" w14:textId="77777777" w:rsidR="00C2687E" w:rsidRPr="00C2687E" w:rsidRDefault="00C2687E" w:rsidP="00C2687E">
      <w:pPr>
        <w:widowControl w:val="0"/>
        <w:autoSpaceDE w:val="0"/>
        <w:autoSpaceDN w:val="0"/>
        <w:adjustRightInd w:val="0"/>
        <w:spacing w:line="360" w:lineRule="auto"/>
        <w:ind w:left="480" w:hanging="480"/>
        <w:rPr>
          <w:noProof/>
          <w:lang w:val="en-US"/>
        </w:rPr>
      </w:pPr>
      <w:r w:rsidRPr="00C2687E">
        <w:rPr>
          <w:noProof/>
          <w:lang w:val="en-US"/>
        </w:rPr>
        <w:t xml:space="preserve">Ng, P. C., Levy, S., Huang, J., Stockwell, T. B., Walenz, B. P., Li, K., Axelrod, N., Busam, D. A., Strausberg, R. L., &amp; Venter, J. C. (2008). Genetic variation in an individual human exome. </w:t>
      </w:r>
      <w:r w:rsidRPr="00C2687E">
        <w:rPr>
          <w:i/>
          <w:iCs/>
          <w:noProof/>
          <w:lang w:val="en-US"/>
        </w:rPr>
        <w:t>PLoS Genetics</w:t>
      </w:r>
      <w:r w:rsidRPr="00C2687E">
        <w:rPr>
          <w:noProof/>
          <w:lang w:val="en-US"/>
        </w:rPr>
        <w:t xml:space="preserve">, </w:t>
      </w:r>
      <w:r w:rsidRPr="00C2687E">
        <w:rPr>
          <w:i/>
          <w:iCs/>
          <w:noProof/>
          <w:lang w:val="en-US"/>
        </w:rPr>
        <w:t>4</w:t>
      </w:r>
      <w:r w:rsidRPr="00C2687E">
        <w:rPr>
          <w:noProof/>
          <w:lang w:val="en-US"/>
        </w:rPr>
        <w:t>(8). https://doi.org/10.1371/journal.pgen.1000160</w:t>
      </w:r>
    </w:p>
    <w:p w14:paraId="39720555" w14:textId="77777777" w:rsidR="00C2687E" w:rsidRPr="00C2687E" w:rsidRDefault="00C2687E" w:rsidP="00C2687E">
      <w:pPr>
        <w:widowControl w:val="0"/>
        <w:autoSpaceDE w:val="0"/>
        <w:autoSpaceDN w:val="0"/>
        <w:adjustRightInd w:val="0"/>
        <w:spacing w:line="360" w:lineRule="auto"/>
        <w:ind w:left="480" w:hanging="480"/>
        <w:rPr>
          <w:noProof/>
          <w:lang w:val="en-US"/>
        </w:rPr>
      </w:pPr>
      <w:r w:rsidRPr="00C2687E">
        <w:rPr>
          <w:noProof/>
          <w:lang w:val="en-US"/>
        </w:rPr>
        <w:t xml:space="preserve">Ohno, S. (2016). The genetic background of arrhythmogenic right ventricular cardiomyopathy. </w:t>
      </w:r>
      <w:r w:rsidRPr="00C2687E">
        <w:rPr>
          <w:i/>
          <w:iCs/>
          <w:noProof/>
          <w:lang w:val="en-US"/>
        </w:rPr>
        <w:t>Journal of Arrhythmia</w:t>
      </w:r>
      <w:r w:rsidRPr="00C2687E">
        <w:rPr>
          <w:noProof/>
          <w:lang w:val="en-US"/>
        </w:rPr>
        <w:t xml:space="preserve">, </w:t>
      </w:r>
      <w:r w:rsidRPr="00C2687E">
        <w:rPr>
          <w:i/>
          <w:iCs/>
          <w:noProof/>
          <w:lang w:val="en-US"/>
        </w:rPr>
        <w:t>32</w:t>
      </w:r>
      <w:r w:rsidRPr="00C2687E">
        <w:rPr>
          <w:noProof/>
          <w:lang w:val="en-US"/>
        </w:rPr>
        <w:t>(5), 398–403. https://doi.org/10.1016/j.joa.2016.01.006</w:t>
      </w:r>
    </w:p>
    <w:p w14:paraId="6643737B" w14:textId="77777777" w:rsidR="00C2687E" w:rsidRPr="00C2687E" w:rsidRDefault="00C2687E" w:rsidP="00C2687E">
      <w:pPr>
        <w:widowControl w:val="0"/>
        <w:autoSpaceDE w:val="0"/>
        <w:autoSpaceDN w:val="0"/>
        <w:adjustRightInd w:val="0"/>
        <w:spacing w:line="360" w:lineRule="auto"/>
        <w:ind w:left="480" w:hanging="480"/>
        <w:rPr>
          <w:noProof/>
          <w:lang w:val="en-US"/>
        </w:rPr>
      </w:pPr>
      <w:r w:rsidRPr="00C2687E">
        <w:rPr>
          <w:noProof/>
          <w:lang w:val="en-US"/>
        </w:rPr>
        <w:t xml:space="preserve">Parrinello, M., &amp; Rahman, A. (1981). Polymorphic transitions in single crystals: A new molecular dynamics method. </w:t>
      </w:r>
      <w:r w:rsidRPr="00C2687E">
        <w:rPr>
          <w:i/>
          <w:iCs/>
          <w:noProof/>
          <w:lang w:val="en-US"/>
        </w:rPr>
        <w:t>Journal of Applied Physics</w:t>
      </w:r>
      <w:r w:rsidRPr="00C2687E">
        <w:rPr>
          <w:noProof/>
          <w:lang w:val="en-US"/>
        </w:rPr>
        <w:t xml:space="preserve">, </w:t>
      </w:r>
      <w:r w:rsidRPr="00C2687E">
        <w:rPr>
          <w:i/>
          <w:iCs/>
          <w:noProof/>
          <w:lang w:val="en-US"/>
        </w:rPr>
        <w:t>52</w:t>
      </w:r>
      <w:r w:rsidRPr="00C2687E">
        <w:rPr>
          <w:noProof/>
          <w:lang w:val="en-US"/>
        </w:rPr>
        <w:t>, 7182. https://doi.org/10.1063/1.328693</w:t>
      </w:r>
    </w:p>
    <w:p w14:paraId="44B21B36" w14:textId="77777777" w:rsidR="00C2687E" w:rsidRPr="00C2687E" w:rsidRDefault="00C2687E" w:rsidP="00C2687E">
      <w:pPr>
        <w:widowControl w:val="0"/>
        <w:autoSpaceDE w:val="0"/>
        <w:autoSpaceDN w:val="0"/>
        <w:adjustRightInd w:val="0"/>
        <w:spacing w:line="360" w:lineRule="auto"/>
        <w:ind w:left="480" w:hanging="480"/>
        <w:rPr>
          <w:noProof/>
          <w:lang w:val="en-US"/>
        </w:rPr>
      </w:pPr>
      <w:r w:rsidRPr="00C2687E">
        <w:rPr>
          <w:noProof/>
          <w:lang w:val="en-US"/>
        </w:rPr>
        <w:t xml:space="preserve">Pettersen, E. F., Goddard, T. D., Huang, C. C., Couch, G. S., Greenblatt, D. M., Meng, E. C., &amp; Ferrin, T. E. (2004). UCSF Chimera - A visualization system for exploratory research and analysis. </w:t>
      </w:r>
      <w:r w:rsidRPr="00C2687E">
        <w:rPr>
          <w:i/>
          <w:iCs/>
          <w:noProof/>
          <w:lang w:val="en-US"/>
        </w:rPr>
        <w:t>Journal of Computational Chemistry</w:t>
      </w:r>
      <w:r w:rsidRPr="00C2687E">
        <w:rPr>
          <w:noProof/>
          <w:lang w:val="en-US"/>
        </w:rPr>
        <w:t xml:space="preserve">, </w:t>
      </w:r>
      <w:r w:rsidRPr="00C2687E">
        <w:rPr>
          <w:i/>
          <w:iCs/>
          <w:noProof/>
          <w:lang w:val="en-US"/>
        </w:rPr>
        <w:t>25</w:t>
      </w:r>
      <w:r w:rsidRPr="00C2687E">
        <w:rPr>
          <w:noProof/>
          <w:lang w:val="en-US"/>
        </w:rPr>
        <w:t>(13), 1605–1612. https://doi.org/10.1002/jcc.20084</w:t>
      </w:r>
    </w:p>
    <w:p w14:paraId="7FCAC52C" w14:textId="77777777" w:rsidR="00C2687E" w:rsidRPr="00C2687E" w:rsidRDefault="00C2687E" w:rsidP="00C2687E">
      <w:pPr>
        <w:widowControl w:val="0"/>
        <w:autoSpaceDE w:val="0"/>
        <w:autoSpaceDN w:val="0"/>
        <w:adjustRightInd w:val="0"/>
        <w:spacing w:line="360" w:lineRule="auto"/>
        <w:ind w:left="480" w:hanging="480"/>
        <w:rPr>
          <w:noProof/>
          <w:lang w:val="en-US"/>
        </w:rPr>
      </w:pPr>
      <w:r w:rsidRPr="00C2687E">
        <w:rPr>
          <w:noProof/>
          <w:lang w:val="en-US"/>
        </w:rPr>
        <w:lastRenderedPageBreak/>
        <w:t xml:space="preserve">Priya George, D. C., Chakraborty, C., Syed Haneef, S. A., NagaSundaram, N., Chen, L., &amp; Zhu, H. (2014). Evolution- and structure-based computational strategy reveals the impact of deleterious missense mutations on MODY 2 (maturity-onset diabetes of the young, type 2). </w:t>
      </w:r>
      <w:r w:rsidRPr="00C2687E">
        <w:rPr>
          <w:i/>
          <w:iCs/>
          <w:noProof/>
          <w:lang w:val="en-US"/>
        </w:rPr>
        <w:t>Theranostics</w:t>
      </w:r>
      <w:r w:rsidRPr="00C2687E">
        <w:rPr>
          <w:noProof/>
          <w:lang w:val="en-US"/>
        </w:rPr>
        <w:t xml:space="preserve">, </w:t>
      </w:r>
      <w:r w:rsidRPr="00C2687E">
        <w:rPr>
          <w:i/>
          <w:iCs/>
          <w:noProof/>
          <w:lang w:val="en-US"/>
        </w:rPr>
        <w:t>4</w:t>
      </w:r>
      <w:r w:rsidRPr="00C2687E">
        <w:rPr>
          <w:noProof/>
          <w:lang w:val="en-US"/>
        </w:rPr>
        <w:t>(4), 366–385. https://doi.org/10.7150/thno.7473</w:t>
      </w:r>
    </w:p>
    <w:p w14:paraId="20FB3208" w14:textId="77777777" w:rsidR="00C2687E" w:rsidRPr="00C2687E" w:rsidRDefault="00C2687E" w:rsidP="00C2687E">
      <w:pPr>
        <w:widowControl w:val="0"/>
        <w:autoSpaceDE w:val="0"/>
        <w:autoSpaceDN w:val="0"/>
        <w:adjustRightInd w:val="0"/>
        <w:spacing w:line="360" w:lineRule="auto"/>
        <w:ind w:left="480" w:hanging="480"/>
        <w:rPr>
          <w:noProof/>
          <w:lang w:val="en-US"/>
        </w:rPr>
      </w:pPr>
      <w:r w:rsidRPr="00C2687E">
        <w:rPr>
          <w:noProof/>
          <w:lang w:val="en-US"/>
        </w:rPr>
        <w:t xml:space="preserve">Randles, L. G., Dawes, G. J. S., Wensley, B. G., Steward, A., Nickson, A. A., &amp; Clarke, J. (2013). Understanding pathogenic single-nucleotide polymorphisms in multidomain proteins - Studies of isolated domains are not enough. </w:t>
      </w:r>
      <w:r w:rsidRPr="00C2687E">
        <w:rPr>
          <w:i/>
          <w:iCs/>
          <w:noProof/>
          <w:lang w:val="en-US"/>
        </w:rPr>
        <w:t>FEBS Journal</w:t>
      </w:r>
      <w:r w:rsidRPr="00C2687E">
        <w:rPr>
          <w:noProof/>
          <w:lang w:val="en-US"/>
        </w:rPr>
        <w:t>. https://doi.org/10.1111/febs.12094</w:t>
      </w:r>
    </w:p>
    <w:p w14:paraId="5FBB18EC" w14:textId="77777777" w:rsidR="00C2687E" w:rsidRPr="00251B32" w:rsidRDefault="00C2687E" w:rsidP="00C2687E">
      <w:pPr>
        <w:widowControl w:val="0"/>
        <w:autoSpaceDE w:val="0"/>
        <w:autoSpaceDN w:val="0"/>
        <w:adjustRightInd w:val="0"/>
        <w:spacing w:line="360" w:lineRule="auto"/>
        <w:ind w:left="480" w:hanging="480"/>
        <w:rPr>
          <w:noProof/>
          <w:lang w:val="de-DE"/>
        </w:rPr>
      </w:pPr>
      <w:r w:rsidRPr="00C2687E">
        <w:rPr>
          <w:noProof/>
          <w:lang w:val="en-US"/>
        </w:rPr>
        <w:t xml:space="preserve">Sattar, Y., Abdullah, H. M., Neisani Samani, E., Myla, M., &amp; Ullah, W. (2019). Arrhythmogenic Right Ventricular Cardiomyopathy/Dysplasia: An Updated Review of Diagnosis and Management. </w:t>
      </w:r>
      <w:r w:rsidRPr="00251B32">
        <w:rPr>
          <w:i/>
          <w:iCs/>
          <w:noProof/>
          <w:lang w:val="de-DE"/>
        </w:rPr>
        <w:t>Cureus</w:t>
      </w:r>
      <w:r w:rsidRPr="00251B32">
        <w:rPr>
          <w:noProof/>
          <w:lang w:val="de-DE"/>
        </w:rPr>
        <w:t xml:space="preserve">, </w:t>
      </w:r>
      <w:r w:rsidRPr="00251B32">
        <w:rPr>
          <w:i/>
          <w:iCs/>
          <w:noProof/>
          <w:lang w:val="de-DE"/>
        </w:rPr>
        <w:t>11</w:t>
      </w:r>
      <w:r w:rsidRPr="00251B32">
        <w:rPr>
          <w:noProof/>
          <w:lang w:val="de-DE"/>
        </w:rPr>
        <w:t>(8), e5381. https://doi.org/10.7759/cureus.5381</w:t>
      </w:r>
    </w:p>
    <w:p w14:paraId="27B80288" w14:textId="77777777" w:rsidR="00C2687E" w:rsidRPr="00C2687E" w:rsidRDefault="00C2687E" w:rsidP="00C2687E">
      <w:pPr>
        <w:widowControl w:val="0"/>
        <w:autoSpaceDE w:val="0"/>
        <w:autoSpaceDN w:val="0"/>
        <w:adjustRightInd w:val="0"/>
        <w:spacing w:line="360" w:lineRule="auto"/>
        <w:ind w:left="480" w:hanging="480"/>
        <w:rPr>
          <w:noProof/>
          <w:lang w:val="en-US"/>
        </w:rPr>
      </w:pPr>
      <w:r w:rsidRPr="00251B32">
        <w:rPr>
          <w:noProof/>
          <w:lang w:val="de-DE"/>
        </w:rPr>
        <w:t xml:space="preserve">Schymkowitz, J., Borg, J., Stricher, F., Nys, R., Rousseau, F., &amp; Serrano, L. (2005). </w:t>
      </w:r>
      <w:r w:rsidRPr="00C2687E">
        <w:rPr>
          <w:noProof/>
          <w:lang w:val="en-US"/>
        </w:rPr>
        <w:t xml:space="preserve">The FoldX web server: An online force field. </w:t>
      </w:r>
      <w:r w:rsidRPr="00C2687E">
        <w:rPr>
          <w:i/>
          <w:iCs/>
          <w:noProof/>
          <w:lang w:val="en-US"/>
        </w:rPr>
        <w:t>Nucleic Acids Research</w:t>
      </w:r>
      <w:r w:rsidRPr="00C2687E">
        <w:rPr>
          <w:noProof/>
          <w:lang w:val="en-US"/>
        </w:rPr>
        <w:t xml:space="preserve">, </w:t>
      </w:r>
      <w:r w:rsidRPr="00C2687E">
        <w:rPr>
          <w:i/>
          <w:iCs/>
          <w:noProof/>
          <w:lang w:val="en-US"/>
        </w:rPr>
        <w:t>33</w:t>
      </w:r>
      <w:r w:rsidRPr="00C2687E">
        <w:rPr>
          <w:noProof/>
          <w:lang w:val="en-US"/>
        </w:rPr>
        <w:t>(SUPPL. 2), W382. https://doi.org/10.1093/nar/gki387</w:t>
      </w:r>
    </w:p>
    <w:p w14:paraId="5945EB5B" w14:textId="77777777" w:rsidR="00C2687E" w:rsidRPr="00C2687E" w:rsidRDefault="00C2687E" w:rsidP="00C2687E">
      <w:pPr>
        <w:widowControl w:val="0"/>
        <w:autoSpaceDE w:val="0"/>
        <w:autoSpaceDN w:val="0"/>
        <w:adjustRightInd w:val="0"/>
        <w:spacing w:line="360" w:lineRule="auto"/>
        <w:ind w:left="480" w:hanging="480"/>
        <w:rPr>
          <w:noProof/>
          <w:lang w:val="en-US"/>
        </w:rPr>
      </w:pPr>
      <w:r w:rsidRPr="00C2687E">
        <w:rPr>
          <w:noProof/>
          <w:lang w:val="en-US"/>
        </w:rPr>
        <w:t xml:space="preserve">Sneha, P., &amp; Priya Doss, C. G. (2016). Molecular Dynamics: New Frontier in Personalized Medicine. </w:t>
      </w:r>
      <w:r w:rsidRPr="00C2687E">
        <w:rPr>
          <w:i/>
          <w:iCs/>
          <w:noProof/>
          <w:lang w:val="en-US"/>
        </w:rPr>
        <w:t>Advances in Protein Chemistry and Structural Biology</w:t>
      </w:r>
      <w:r w:rsidRPr="00C2687E">
        <w:rPr>
          <w:noProof/>
          <w:lang w:val="en-US"/>
        </w:rPr>
        <w:t xml:space="preserve">, </w:t>
      </w:r>
      <w:r w:rsidRPr="00C2687E">
        <w:rPr>
          <w:i/>
          <w:iCs/>
          <w:noProof/>
          <w:lang w:val="en-US"/>
        </w:rPr>
        <w:t>102</w:t>
      </w:r>
      <w:r w:rsidRPr="00C2687E">
        <w:rPr>
          <w:noProof/>
          <w:lang w:val="en-US"/>
        </w:rPr>
        <w:t>, 181–224. https://doi.org/10.1016/bs.apcsb.2015.09.004</w:t>
      </w:r>
    </w:p>
    <w:p w14:paraId="6A62D4A1" w14:textId="3F2EBE74" w:rsidR="00C2687E" w:rsidRPr="00C2687E" w:rsidRDefault="00C2687E" w:rsidP="00C2687E">
      <w:pPr>
        <w:widowControl w:val="0"/>
        <w:autoSpaceDE w:val="0"/>
        <w:autoSpaceDN w:val="0"/>
        <w:adjustRightInd w:val="0"/>
        <w:spacing w:line="360" w:lineRule="auto"/>
        <w:ind w:left="480" w:hanging="480"/>
        <w:rPr>
          <w:noProof/>
          <w:lang w:val="en-US"/>
        </w:rPr>
      </w:pPr>
      <w:r w:rsidRPr="00C2687E">
        <w:rPr>
          <w:noProof/>
          <w:lang w:val="en-US"/>
        </w:rPr>
        <w:t xml:space="preserve">Taylor, M., Graw, S., Sinagra, G., Barnes, C., Slavov, D., Brun, F., Pinamonti, B., Salcedo, E. E., Sauer, W., Pyxaras, S., Anderson, B., Simon, B., Bogomolovas, J., Labeit, S., Granzier, H., &amp; Mestroni, L. (2011). Genetic variation in titin in arrhythmogenic right ventricular cardiomyopathy-overlap syndromes. </w:t>
      </w:r>
      <w:r w:rsidRPr="00C2687E">
        <w:rPr>
          <w:i/>
          <w:iCs/>
          <w:noProof/>
          <w:lang w:val="en-US"/>
        </w:rPr>
        <w:t>Circulation</w:t>
      </w:r>
      <w:r w:rsidRPr="00C2687E">
        <w:rPr>
          <w:noProof/>
          <w:lang w:val="en-US"/>
        </w:rPr>
        <w:t xml:space="preserve">, </w:t>
      </w:r>
      <w:r w:rsidRPr="00C2687E">
        <w:rPr>
          <w:i/>
          <w:iCs/>
          <w:noProof/>
          <w:lang w:val="en-US"/>
        </w:rPr>
        <w:t>124</w:t>
      </w:r>
      <w:r w:rsidRPr="00C2687E">
        <w:rPr>
          <w:noProof/>
          <w:lang w:val="en-US"/>
        </w:rPr>
        <w:t>(8), 876–885. https://doi.org/10.1161/CIRCULATIONAHA.110.005405</w:t>
      </w:r>
      <w:r w:rsidR="00C25BA0">
        <w:rPr>
          <w:noProof/>
          <w:lang w:val="en-US"/>
        </w:rPr>
        <w:t xml:space="preserve"> </w:t>
      </w:r>
    </w:p>
    <w:p w14:paraId="1FB7E311" w14:textId="77777777" w:rsidR="00C2687E" w:rsidRPr="00C2687E" w:rsidRDefault="00C2687E" w:rsidP="00C2687E">
      <w:pPr>
        <w:widowControl w:val="0"/>
        <w:autoSpaceDE w:val="0"/>
        <w:autoSpaceDN w:val="0"/>
        <w:adjustRightInd w:val="0"/>
        <w:spacing w:line="360" w:lineRule="auto"/>
        <w:ind w:left="480" w:hanging="480"/>
        <w:rPr>
          <w:noProof/>
          <w:lang w:val="en-US"/>
        </w:rPr>
      </w:pPr>
      <w:r w:rsidRPr="00C2687E">
        <w:rPr>
          <w:noProof/>
          <w:lang w:val="en-US"/>
        </w:rPr>
        <w:t xml:space="preserve">Team, R. C. (2019). R: A Language and Environment for Statistical Computing. </w:t>
      </w:r>
      <w:r w:rsidRPr="00C2687E">
        <w:rPr>
          <w:i/>
          <w:iCs/>
          <w:noProof/>
          <w:lang w:val="en-US"/>
        </w:rPr>
        <w:t>Vienna, Austria</w:t>
      </w:r>
      <w:r w:rsidRPr="00C2687E">
        <w:rPr>
          <w:noProof/>
          <w:lang w:val="en-US"/>
        </w:rPr>
        <w:t>.</w:t>
      </w:r>
    </w:p>
    <w:p w14:paraId="6C8ED36C" w14:textId="5F4F789A" w:rsidR="00C2687E" w:rsidRPr="00C2687E" w:rsidRDefault="00C2687E" w:rsidP="00C2687E">
      <w:pPr>
        <w:widowControl w:val="0"/>
        <w:autoSpaceDE w:val="0"/>
        <w:autoSpaceDN w:val="0"/>
        <w:adjustRightInd w:val="0"/>
        <w:spacing w:line="360" w:lineRule="auto"/>
        <w:ind w:left="480" w:hanging="480"/>
        <w:rPr>
          <w:noProof/>
          <w:lang w:val="en-US"/>
        </w:rPr>
      </w:pPr>
      <w:r w:rsidRPr="00C2687E">
        <w:rPr>
          <w:noProof/>
          <w:lang w:val="en-US"/>
        </w:rPr>
        <w:t xml:space="preserve">Thirumal Kumar, D., George Priya Doss, C., Sneha, P., Tayubi, I. A., Siva, R., Chakraborty, C., &amp; Magesh, R. (2017). Influence of V54M mutation in giant muscle protein titin: a computational screening and molecular dynamics approach. </w:t>
      </w:r>
      <w:r w:rsidRPr="00C2687E">
        <w:rPr>
          <w:i/>
          <w:iCs/>
          <w:noProof/>
          <w:lang w:val="en-US"/>
        </w:rPr>
        <w:t>Journal of Biomolecular Structure and Dynamics</w:t>
      </w:r>
      <w:r w:rsidRPr="00C2687E">
        <w:rPr>
          <w:noProof/>
          <w:lang w:val="en-US"/>
        </w:rPr>
        <w:t xml:space="preserve">, </w:t>
      </w:r>
      <w:r w:rsidRPr="00C2687E">
        <w:rPr>
          <w:i/>
          <w:iCs/>
          <w:noProof/>
          <w:lang w:val="en-US"/>
        </w:rPr>
        <w:t>35</w:t>
      </w:r>
      <w:r w:rsidRPr="00C2687E">
        <w:rPr>
          <w:noProof/>
          <w:lang w:val="en-US"/>
        </w:rPr>
        <w:t>(5), 917–928.https://doi.org/10.1080/07391102.2016.1166456</w:t>
      </w:r>
    </w:p>
    <w:p w14:paraId="3E51C4AE" w14:textId="77777777" w:rsidR="00C2687E" w:rsidRPr="00C2687E" w:rsidRDefault="00C2687E" w:rsidP="00C2687E">
      <w:pPr>
        <w:widowControl w:val="0"/>
        <w:autoSpaceDE w:val="0"/>
        <w:autoSpaceDN w:val="0"/>
        <w:adjustRightInd w:val="0"/>
        <w:spacing w:line="360" w:lineRule="auto"/>
        <w:ind w:left="480" w:hanging="480"/>
        <w:rPr>
          <w:noProof/>
          <w:lang w:val="en-US"/>
        </w:rPr>
      </w:pPr>
      <w:r w:rsidRPr="00C2687E">
        <w:rPr>
          <w:noProof/>
          <w:lang w:val="en-US"/>
        </w:rPr>
        <w:t xml:space="preserve">Von Castelmur, E., Marino, M., Svergun, D. I., Kreplak, L., Ucurum-Fotiadis, Z., Konarev, P. V., Urzhumtsev, A., Labeit, D., Labeit, S., &amp; Mayans, O. (2008). A regular pattern of Ig super-motifs defines segmental flexibility as the elastic mechanism of the titin chain. </w:t>
      </w:r>
      <w:r w:rsidRPr="00C2687E">
        <w:rPr>
          <w:i/>
          <w:iCs/>
          <w:noProof/>
          <w:lang w:val="en-US"/>
        </w:rPr>
        <w:t>Proceedings of the National Academy of Sciences of the United States of America</w:t>
      </w:r>
      <w:r w:rsidRPr="00C2687E">
        <w:rPr>
          <w:noProof/>
          <w:lang w:val="en-US"/>
        </w:rPr>
        <w:t xml:space="preserve">, </w:t>
      </w:r>
      <w:r w:rsidRPr="00C2687E">
        <w:rPr>
          <w:i/>
          <w:iCs/>
          <w:noProof/>
          <w:lang w:val="en-US"/>
        </w:rPr>
        <w:t>105</w:t>
      </w:r>
      <w:r w:rsidRPr="00C2687E">
        <w:rPr>
          <w:noProof/>
          <w:lang w:val="en-US"/>
        </w:rPr>
        <w:t>(4), 1186–1191. https://doi.org/10.1073/pnas.0707163105</w:t>
      </w:r>
    </w:p>
    <w:p w14:paraId="61F31728" w14:textId="77777777" w:rsidR="00C2687E" w:rsidRPr="00C2687E" w:rsidRDefault="00C2687E" w:rsidP="00C2687E">
      <w:pPr>
        <w:widowControl w:val="0"/>
        <w:autoSpaceDE w:val="0"/>
        <w:autoSpaceDN w:val="0"/>
        <w:adjustRightInd w:val="0"/>
        <w:spacing w:line="360" w:lineRule="auto"/>
        <w:ind w:left="480" w:hanging="480"/>
        <w:rPr>
          <w:noProof/>
          <w:lang w:val="en-US"/>
        </w:rPr>
      </w:pPr>
      <w:r w:rsidRPr="00C2687E">
        <w:rPr>
          <w:noProof/>
          <w:lang w:val="en-US"/>
        </w:rPr>
        <w:lastRenderedPageBreak/>
        <w:t xml:space="preserve">Webb, B., &amp; Sali, A. (2016). Comparative protein structure modeling using MODELLER. </w:t>
      </w:r>
      <w:r w:rsidRPr="00C2687E">
        <w:rPr>
          <w:i/>
          <w:iCs/>
          <w:noProof/>
          <w:lang w:val="en-US"/>
        </w:rPr>
        <w:t>Current Protocols in Bioinformatics</w:t>
      </w:r>
      <w:r w:rsidRPr="00C2687E">
        <w:rPr>
          <w:noProof/>
          <w:lang w:val="en-US"/>
        </w:rPr>
        <w:t xml:space="preserve">, </w:t>
      </w:r>
      <w:r w:rsidRPr="00C2687E">
        <w:rPr>
          <w:i/>
          <w:iCs/>
          <w:noProof/>
          <w:lang w:val="en-US"/>
        </w:rPr>
        <w:t>86</w:t>
      </w:r>
      <w:r w:rsidRPr="00C2687E">
        <w:rPr>
          <w:noProof/>
          <w:lang w:val="en-US"/>
        </w:rPr>
        <w:t>(1), 2.9.1-2.9.37. https://doi.org/10.1002/cpbi.3</w:t>
      </w:r>
    </w:p>
    <w:p w14:paraId="45CC5277" w14:textId="77777777" w:rsidR="00C2687E" w:rsidRPr="00C2687E" w:rsidRDefault="00C2687E" w:rsidP="00C2687E">
      <w:pPr>
        <w:widowControl w:val="0"/>
        <w:autoSpaceDE w:val="0"/>
        <w:autoSpaceDN w:val="0"/>
        <w:adjustRightInd w:val="0"/>
        <w:spacing w:line="360" w:lineRule="auto"/>
        <w:ind w:left="480" w:hanging="480"/>
        <w:rPr>
          <w:noProof/>
          <w:lang w:val="en-US"/>
        </w:rPr>
      </w:pPr>
      <w:r w:rsidRPr="00C2687E">
        <w:rPr>
          <w:noProof/>
          <w:lang w:val="en-US"/>
        </w:rPr>
        <w:t xml:space="preserve">Whitley, K. V., Tueller, J. A., &amp; Weber, K. S. (2020). Genomics Education in the Era of Personal Genomics: Academic, Professional, and Public Considerations. </w:t>
      </w:r>
      <w:r w:rsidRPr="00C2687E">
        <w:rPr>
          <w:i/>
          <w:iCs/>
          <w:noProof/>
          <w:lang w:val="en-US"/>
        </w:rPr>
        <w:t>International Journal of Molecular Sciences</w:t>
      </w:r>
      <w:r w:rsidRPr="00C2687E">
        <w:rPr>
          <w:noProof/>
          <w:lang w:val="en-US"/>
        </w:rPr>
        <w:t xml:space="preserve">, </w:t>
      </w:r>
      <w:r w:rsidRPr="00C2687E">
        <w:rPr>
          <w:i/>
          <w:iCs/>
          <w:noProof/>
          <w:lang w:val="en-US"/>
        </w:rPr>
        <w:t>21</w:t>
      </w:r>
      <w:r w:rsidRPr="00C2687E">
        <w:rPr>
          <w:noProof/>
          <w:lang w:val="en-US"/>
        </w:rPr>
        <w:t>(3), 768. https://doi.org/10.3390/ijms21030768</w:t>
      </w:r>
    </w:p>
    <w:p w14:paraId="4A847F83" w14:textId="77777777" w:rsidR="00C2687E" w:rsidRPr="00C2687E" w:rsidRDefault="00C2687E" w:rsidP="00C2687E">
      <w:pPr>
        <w:widowControl w:val="0"/>
        <w:autoSpaceDE w:val="0"/>
        <w:autoSpaceDN w:val="0"/>
        <w:adjustRightInd w:val="0"/>
        <w:spacing w:line="360" w:lineRule="auto"/>
        <w:ind w:left="480" w:hanging="480"/>
        <w:rPr>
          <w:noProof/>
        </w:rPr>
      </w:pPr>
      <w:r w:rsidRPr="00C2687E">
        <w:rPr>
          <w:noProof/>
          <w:lang w:val="en-US"/>
        </w:rPr>
        <w:t xml:space="preserve">Zacharchenko, T., Von Castelmur, E., Rigden, D. J., &amp; Mayans, O. (2015). Structural advances on titin: Towards an atomic understanding of multi-domain functions in myofilament mechanics and scaffolding. </w:t>
      </w:r>
      <w:r w:rsidRPr="00C2687E">
        <w:rPr>
          <w:i/>
          <w:iCs/>
          <w:noProof/>
          <w:lang w:val="en-US"/>
        </w:rPr>
        <w:t>Biochemical Society Transactions</w:t>
      </w:r>
      <w:r w:rsidRPr="00C2687E">
        <w:rPr>
          <w:noProof/>
          <w:lang w:val="en-US"/>
        </w:rPr>
        <w:t xml:space="preserve">, </w:t>
      </w:r>
      <w:r w:rsidRPr="00C2687E">
        <w:rPr>
          <w:i/>
          <w:iCs/>
          <w:noProof/>
          <w:lang w:val="en-US"/>
        </w:rPr>
        <w:t>43</w:t>
      </w:r>
      <w:r w:rsidRPr="00C2687E">
        <w:rPr>
          <w:noProof/>
          <w:lang w:val="en-US"/>
        </w:rPr>
        <w:t>(5), :850-5. https://doi.org/10.1042/BST20150084</w:t>
      </w:r>
    </w:p>
    <w:p w14:paraId="5690B564" w14:textId="0272642B" w:rsidR="00B13795" w:rsidRPr="00AC223B" w:rsidRDefault="00E44E48" w:rsidP="00C2687E">
      <w:pPr>
        <w:widowControl w:val="0"/>
        <w:autoSpaceDE w:val="0"/>
        <w:autoSpaceDN w:val="0"/>
        <w:adjustRightInd w:val="0"/>
        <w:spacing w:line="360" w:lineRule="auto"/>
        <w:ind w:left="480" w:hanging="480"/>
        <w:rPr>
          <w:rFonts w:eastAsiaTheme="minorHAnsi"/>
          <w:color w:val="000000"/>
          <w:lang w:eastAsia="en-GB"/>
        </w:rPr>
      </w:pPr>
      <w:r w:rsidRPr="004D6881">
        <w:rPr>
          <w:b/>
        </w:rPr>
        <w:fldChar w:fldCharType="end"/>
      </w:r>
    </w:p>
    <w:p w14:paraId="5A51FEEA" w14:textId="77777777" w:rsidR="00C64DFC" w:rsidRPr="004D6881" w:rsidRDefault="00C64DFC" w:rsidP="00BA3788">
      <w:pPr>
        <w:spacing w:line="360" w:lineRule="auto"/>
        <w:jc w:val="both"/>
      </w:pPr>
    </w:p>
    <w:sectPr w:rsidR="00C64DFC" w:rsidRPr="004D6881" w:rsidSect="009D3536">
      <w:footerReference w:type="even" r:id="rId13"/>
      <w:footerReference w:type="default" r:id="rId14"/>
      <w:pgSz w:w="11900" w:h="16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5B56884" w14:textId="77777777" w:rsidR="00522F3F" w:rsidRDefault="00522F3F" w:rsidP="00BA3788">
      <w:r>
        <w:separator/>
      </w:r>
    </w:p>
  </w:endnote>
  <w:endnote w:type="continuationSeparator" w:id="0">
    <w:p w14:paraId="335E11AA" w14:textId="77777777" w:rsidR="00522F3F" w:rsidRDefault="00522F3F" w:rsidP="00BA37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Yu Mincho">
    <w:panose1 w:val="02020400000000000000"/>
    <w:charset w:val="80"/>
    <w:family w:val="roman"/>
    <w:pitch w:val="variable"/>
    <w:sig w:usb0="800002E7" w:usb1="2AC7FCFF"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40184068"/>
      <w:docPartObj>
        <w:docPartGallery w:val="Page Numbers (Bottom of Page)"/>
        <w:docPartUnique/>
      </w:docPartObj>
    </w:sdtPr>
    <w:sdtEndPr>
      <w:rPr>
        <w:rStyle w:val="PageNumber"/>
      </w:rPr>
    </w:sdtEndPr>
    <w:sdtContent>
      <w:p w14:paraId="66CA3A50" w14:textId="6F35E22D" w:rsidR="00E718DB" w:rsidRDefault="00E718DB" w:rsidP="00A01AD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1641018" w14:textId="77777777" w:rsidR="00E718DB" w:rsidRDefault="00E718DB" w:rsidP="00BA378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632564532"/>
      <w:docPartObj>
        <w:docPartGallery w:val="Page Numbers (Bottom of Page)"/>
        <w:docPartUnique/>
      </w:docPartObj>
    </w:sdtPr>
    <w:sdtEndPr>
      <w:rPr>
        <w:rStyle w:val="PageNumber"/>
      </w:rPr>
    </w:sdtEndPr>
    <w:sdtContent>
      <w:p w14:paraId="2C7BDA6E" w14:textId="34A52EC4" w:rsidR="00E718DB" w:rsidRDefault="00E718DB" w:rsidP="00A01AD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229AECD1" w14:textId="77777777" w:rsidR="00E718DB" w:rsidRDefault="00E718DB" w:rsidP="00BA3788">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150B61F" w14:textId="77777777" w:rsidR="00522F3F" w:rsidRDefault="00522F3F" w:rsidP="00BA3788">
      <w:r>
        <w:separator/>
      </w:r>
    </w:p>
  </w:footnote>
  <w:footnote w:type="continuationSeparator" w:id="0">
    <w:p w14:paraId="454CFA3A" w14:textId="77777777" w:rsidR="00522F3F" w:rsidRDefault="00522F3F" w:rsidP="00BA378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BBE3AD1"/>
    <w:multiLevelType w:val="hybridMultilevel"/>
    <w:tmpl w:val="D0560FAC"/>
    <w:lvl w:ilvl="0" w:tplc="D2CC848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E2457"/>
    <w:rsid w:val="000042C2"/>
    <w:rsid w:val="00010D8F"/>
    <w:rsid w:val="00011DED"/>
    <w:rsid w:val="00013C1A"/>
    <w:rsid w:val="00014913"/>
    <w:rsid w:val="000166A0"/>
    <w:rsid w:val="00020260"/>
    <w:rsid w:val="00026132"/>
    <w:rsid w:val="0002618D"/>
    <w:rsid w:val="000270FD"/>
    <w:rsid w:val="000313AD"/>
    <w:rsid w:val="00033156"/>
    <w:rsid w:val="000332EA"/>
    <w:rsid w:val="00037A47"/>
    <w:rsid w:val="00046F5B"/>
    <w:rsid w:val="00070B80"/>
    <w:rsid w:val="000868E9"/>
    <w:rsid w:val="00096E1E"/>
    <w:rsid w:val="000978E8"/>
    <w:rsid w:val="000A7745"/>
    <w:rsid w:val="000B001C"/>
    <w:rsid w:val="000B0922"/>
    <w:rsid w:val="000B789A"/>
    <w:rsid w:val="000C0487"/>
    <w:rsid w:val="000C39EF"/>
    <w:rsid w:val="000D04FD"/>
    <w:rsid w:val="000D7C39"/>
    <w:rsid w:val="000E3857"/>
    <w:rsid w:val="000E52EB"/>
    <w:rsid w:val="000E666D"/>
    <w:rsid w:val="000E7D62"/>
    <w:rsid w:val="000F752C"/>
    <w:rsid w:val="001042D2"/>
    <w:rsid w:val="00105D93"/>
    <w:rsid w:val="00107126"/>
    <w:rsid w:val="00111F88"/>
    <w:rsid w:val="00112E17"/>
    <w:rsid w:val="00114206"/>
    <w:rsid w:val="00127966"/>
    <w:rsid w:val="00134613"/>
    <w:rsid w:val="00136206"/>
    <w:rsid w:val="001428F7"/>
    <w:rsid w:val="00142FC6"/>
    <w:rsid w:val="00145E9E"/>
    <w:rsid w:val="00147794"/>
    <w:rsid w:val="001671B0"/>
    <w:rsid w:val="00167387"/>
    <w:rsid w:val="00173D33"/>
    <w:rsid w:val="00174EB5"/>
    <w:rsid w:val="00176529"/>
    <w:rsid w:val="0017708B"/>
    <w:rsid w:val="0017732D"/>
    <w:rsid w:val="001920CB"/>
    <w:rsid w:val="00192D23"/>
    <w:rsid w:val="0019419D"/>
    <w:rsid w:val="00194543"/>
    <w:rsid w:val="001A4626"/>
    <w:rsid w:val="001A6520"/>
    <w:rsid w:val="001A6E04"/>
    <w:rsid w:val="001A7AC7"/>
    <w:rsid w:val="001B032F"/>
    <w:rsid w:val="001B0660"/>
    <w:rsid w:val="001B0F8F"/>
    <w:rsid w:val="001D3F19"/>
    <w:rsid w:val="001E0B20"/>
    <w:rsid w:val="001F1132"/>
    <w:rsid w:val="001F3770"/>
    <w:rsid w:val="001F435D"/>
    <w:rsid w:val="002009A8"/>
    <w:rsid w:val="00201222"/>
    <w:rsid w:val="002042A4"/>
    <w:rsid w:val="0020445A"/>
    <w:rsid w:val="00211772"/>
    <w:rsid w:val="00217229"/>
    <w:rsid w:val="00220F5F"/>
    <w:rsid w:val="0022116B"/>
    <w:rsid w:val="00221874"/>
    <w:rsid w:val="00225F3B"/>
    <w:rsid w:val="0023404A"/>
    <w:rsid w:val="00242A22"/>
    <w:rsid w:val="0025063C"/>
    <w:rsid w:val="00251B32"/>
    <w:rsid w:val="00252921"/>
    <w:rsid w:val="00257D92"/>
    <w:rsid w:val="002603C2"/>
    <w:rsid w:val="002612E8"/>
    <w:rsid w:val="00262CDF"/>
    <w:rsid w:val="002702C8"/>
    <w:rsid w:val="00273315"/>
    <w:rsid w:val="00280958"/>
    <w:rsid w:val="002815B1"/>
    <w:rsid w:val="002824C9"/>
    <w:rsid w:val="002863FA"/>
    <w:rsid w:val="002917AB"/>
    <w:rsid w:val="002927F1"/>
    <w:rsid w:val="002A0CF8"/>
    <w:rsid w:val="002A41E8"/>
    <w:rsid w:val="002B3E87"/>
    <w:rsid w:val="002C15D8"/>
    <w:rsid w:val="002C33B5"/>
    <w:rsid w:val="002E2382"/>
    <w:rsid w:val="002E2457"/>
    <w:rsid w:val="002E3DAA"/>
    <w:rsid w:val="002E56CB"/>
    <w:rsid w:val="002E769C"/>
    <w:rsid w:val="002F4B3B"/>
    <w:rsid w:val="002F64DA"/>
    <w:rsid w:val="00301703"/>
    <w:rsid w:val="00313ED3"/>
    <w:rsid w:val="003233F6"/>
    <w:rsid w:val="00324417"/>
    <w:rsid w:val="00330A52"/>
    <w:rsid w:val="0033437B"/>
    <w:rsid w:val="00340867"/>
    <w:rsid w:val="003440C9"/>
    <w:rsid w:val="00347FFD"/>
    <w:rsid w:val="0035077F"/>
    <w:rsid w:val="00352C23"/>
    <w:rsid w:val="00355DA4"/>
    <w:rsid w:val="0035627B"/>
    <w:rsid w:val="003618D7"/>
    <w:rsid w:val="003631F5"/>
    <w:rsid w:val="00371B5A"/>
    <w:rsid w:val="00375208"/>
    <w:rsid w:val="003766DD"/>
    <w:rsid w:val="003852BA"/>
    <w:rsid w:val="00387E3D"/>
    <w:rsid w:val="00396879"/>
    <w:rsid w:val="003A09BA"/>
    <w:rsid w:val="003A5C4D"/>
    <w:rsid w:val="003B4456"/>
    <w:rsid w:val="003B7A6B"/>
    <w:rsid w:val="003C116C"/>
    <w:rsid w:val="003C54E4"/>
    <w:rsid w:val="003D1BCB"/>
    <w:rsid w:val="003F140C"/>
    <w:rsid w:val="003F2DD0"/>
    <w:rsid w:val="003F3CEC"/>
    <w:rsid w:val="003F6D32"/>
    <w:rsid w:val="004028D2"/>
    <w:rsid w:val="00403644"/>
    <w:rsid w:val="00403F93"/>
    <w:rsid w:val="00406EAD"/>
    <w:rsid w:val="00411906"/>
    <w:rsid w:val="00416466"/>
    <w:rsid w:val="00417520"/>
    <w:rsid w:val="0042002C"/>
    <w:rsid w:val="004213BB"/>
    <w:rsid w:val="004226F6"/>
    <w:rsid w:val="0044454C"/>
    <w:rsid w:val="004601EC"/>
    <w:rsid w:val="0046421E"/>
    <w:rsid w:val="00465B1A"/>
    <w:rsid w:val="00465B66"/>
    <w:rsid w:val="00474D28"/>
    <w:rsid w:val="00475657"/>
    <w:rsid w:val="0047569C"/>
    <w:rsid w:val="00480B62"/>
    <w:rsid w:val="00483C2A"/>
    <w:rsid w:val="004908CC"/>
    <w:rsid w:val="00492ABF"/>
    <w:rsid w:val="004A1BC5"/>
    <w:rsid w:val="004A3DDF"/>
    <w:rsid w:val="004A3FC0"/>
    <w:rsid w:val="004A66CD"/>
    <w:rsid w:val="004A779F"/>
    <w:rsid w:val="004B0EE7"/>
    <w:rsid w:val="004B19A1"/>
    <w:rsid w:val="004B4FB9"/>
    <w:rsid w:val="004C7F94"/>
    <w:rsid w:val="004D2B0C"/>
    <w:rsid w:val="004D6881"/>
    <w:rsid w:val="004E1A85"/>
    <w:rsid w:val="004E5013"/>
    <w:rsid w:val="004E5AC1"/>
    <w:rsid w:val="004F3B81"/>
    <w:rsid w:val="004F6056"/>
    <w:rsid w:val="004F68E2"/>
    <w:rsid w:val="0050142B"/>
    <w:rsid w:val="00504046"/>
    <w:rsid w:val="00511737"/>
    <w:rsid w:val="005160CB"/>
    <w:rsid w:val="005218D6"/>
    <w:rsid w:val="005222F7"/>
    <w:rsid w:val="00522F3F"/>
    <w:rsid w:val="005470A2"/>
    <w:rsid w:val="00551659"/>
    <w:rsid w:val="0056045B"/>
    <w:rsid w:val="0057074F"/>
    <w:rsid w:val="00581382"/>
    <w:rsid w:val="005819E9"/>
    <w:rsid w:val="00582F15"/>
    <w:rsid w:val="005900DF"/>
    <w:rsid w:val="00592E56"/>
    <w:rsid w:val="00595727"/>
    <w:rsid w:val="005A1492"/>
    <w:rsid w:val="005B38FB"/>
    <w:rsid w:val="005B4D4B"/>
    <w:rsid w:val="005B6708"/>
    <w:rsid w:val="005C06F3"/>
    <w:rsid w:val="005C1917"/>
    <w:rsid w:val="005C4101"/>
    <w:rsid w:val="005C53FD"/>
    <w:rsid w:val="005C5919"/>
    <w:rsid w:val="005D24D8"/>
    <w:rsid w:val="005E04FA"/>
    <w:rsid w:val="005E0D7B"/>
    <w:rsid w:val="005E3CB3"/>
    <w:rsid w:val="005F07AF"/>
    <w:rsid w:val="005F53BB"/>
    <w:rsid w:val="005F6F43"/>
    <w:rsid w:val="00602C3B"/>
    <w:rsid w:val="006120ED"/>
    <w:rsid w:val="00613D52"/>
    <w:rsid w:val="00616D30"/>
    <w:rsid w:val="006218E7"/>
    <w:rsid w:val="00624A38"/>
    <w:rsid w:val="00624E71"/>
    <w:rsid w:val="00627A96"/>
    <w:rsid w:val="00627B2B"/>
    <w:rsid w:val="00630401"/>
    <w:rsid w:val="00643376"/>
    <w:rsid w:val="00645222"/>
    <w:rsid w:val="00650ABF"/>
    <w:rsid w:val="0065356F"/>
    <w:rsid w:val="00654266"/>
    <w:rsid w:val="0066128A"/>
    <w:rsid w:val="00666D84"/>
    <w:rsid w:val="006710C7"/>
    <w:rsid w:val="00671EBA"/>
    <w:rsid w:val="00672454"/>
    <w:rsid w:val="006737B5"/>
    <w:rsid w:val="0068351C"/>
    <w:rsid w:val="00685547"/>
    <w:rsid w:val="006928FA"/>
    <w:rsid w:val="00693545"/>
    <w:rsid w:val="0069378C"/>
    <w:rsid w:val="00694646"/>
    <w:rsid w:val="006A3211"/>
    <w:rsid w:val="006A3373"/>
    <w:rsid w:val="006A3DDA"/>
    <w:rsid w:val="006B2211"/>
    <w:rsid w:val="006B335A"/>
    <w:rsid w:val="006B4502"/>
    <w:rsid w:val="006B4700"/>
    <w:rsid w:val="006B5953"/>
    <w:rsid w:val="006D4516"/>
    <w:rsid w:val="006E64B6"/>
    <w:rsid w:val="006E7411"/>
    <w:rsid w:val="006F0206"/>
    <w:rsid w:val="006F1F96"/>
    <w:rsid w:val="006F4A3F"/>
    <w:rsid w:val="006F7CD8"/>
    <w:rsid w:val="00700F32"/>
    <w:rsid w:val="00705F9E"/>
    <w:rsid w:val="00707805"/>
    <w:rsid w:val="00717D28"/>
    <w:rsid w:val="00723E81"/>
    <w:rsid w:val="0072459A"/>
    <w:rsid w:val="007252AE"/>
    <w:rsid w:val="00725795"/>
    <w:rsid w:val="00726DD5"/>
    <w:rsid w:val="00731355"/>
    <w:rsid w:val="00733AB1"/>
    <w:rsid w:val="0073415C"/>
    <w:rsid w:val="00737E33"/>
    <w:rsid w:val="00742E7C"/>
    <w:rsid w:val="0075188D"/>
    <w:rsid w:val="00755DA4"/>
    <w:rsid w:val="00757F7E"/>
    <w:rsid w:val="007658A8"/>
    <w:rsid w:val="00776249"/>
    <w:rsid w:val="0078194B"/>
    <w:rsid w:val="00781F02"/>
    <w:rsid w:val="00785E2C"/>
    <w:rsid w:val="0079074D"/>
    <w:rsid w:val="00797E61"/>
    <w:rsid w:val="007A1C90"/>
    <w:rsid w:val="007A762D"/>
    <w:rsid w:val="007B1C23"/>
    <w:rsid w:val="007B3370"/>
    <w:rsid w:val="007C3732"/>
    <w:rsid w:val="007C6701"/>
    <w:rsid w:val="007C68FB"/>
    <w:rsid w:val="007D3D4D"/>
    <w:rsid w:val="007D7EB0"/>
    <w:rsid w:val="007E5D31"/>
    <w:rsid w:val="007E758E"/>
    <w:rsid w:val="007F31EF"/>
    <w:rsid w:val="008000E1"/>
    <w:rsid w:val="00805CF7"/>
    <w:rsid w:val="0081053C"/>
    <w:rsid w:val="00811B3E"/>
    <w:rsid w:val="0081625B"/>
    <w:rsid w:val="008173D8"/>
    <w:rsid w:val="00820412"/>
    <w:rsid w:val="00834382"/>
    <w:rsid w:val="00844547"/>
    <w:rsid w:val="008457AB"/>
    <w:rsid w:val="00847410"/>
    <w:rsid w:val="008510EE"/>
    <w:rsid w:val="00851353"/>
    <w:rsid w:val="008607C1"/>
    <w:rsid w:val="00874D35"/>
    <w:rsid w:val="008A0B4C"/>
    <w:rsid w:val="008B37C6"/>
    <w:rsid w:val="008D3A01"/>
    <w:rsid w:val="008D6AD7"/>
    <w:rsid w:val="008E2821"/>
    <w:rsid w:val="008E4CBE"/>
    <w:rsid w:val="008F6A31"/>
    <w:rsid w:val="0090359A"/>
    <w:rsid w:val="009065AD"/>
    <w:rsid w:val="009248C1"/>
    <w:rsid w:val="00927556"/>
    <w:rsid w:val="009353D9"/>
    <w:rsid w:val="00937BEF"/>
    <w:rsid w:val="00937F53"/>
    <w:rsid w:val="00941C70"/>
    <w:rsid w:val="00943D00"/>
    <w:rsid w:val="00947388"/>
    <w:rsid w:val="0095434F"/>
    <w:rsid w:val="009626EC"/>
    <w:rsid w:val="00964710"/>
    <w:rsid w:val="00981C50"/>
    <w:rsid w:val="00984A12"/>
    <w:rsid w:val="00987032"/>
    <w:rsid w:val="009912D0"/>
    <w:rsid w:val="009A2AA0"/>
    <w:rsid w:val="009A2C8A"/>
    <w:rsid w:val="009A5966"/>
    <w:rsid w:val="009B6447"/>
    <w:rsid w:val="009C130D"/>
    <w:rsid w:val="009D2CA3"/>
    <w:rsid w:val="009D3168"/>
    <w:rsid w:val="009D3536"/>
    <w:rsid w:val="009D5345"/>
    <w:rsid w:val="009E6A83"/>
    <w:rsid w:val="009E79B1"/>
    <w:rsid w:val="009F5230"/>
    <w:rsid w:val="00A01AD2"/>
    <w:rsid w:val="00A023FB"/>
    <w:rsid w:val="00A10301"/>
    <w:rsid w:val="00A217B1"/>
    <w:rsid w:val="00A21EB3"/>
    <w:rsid w:val="00A21F47"/>
    <w:rsid w:val="00A246B5"/>
    <w:rsid w:val="00A24CB9"/>
    <w:rsid w:val="00A25F1C"/>
    <w:rsid w:val="00A26289"/>
    <w:rsid w:val="00A30444"/>
    <w:rsid w:val="00A5048F"/>
    <w:rsid w:val="00A53D02"/>
    <w:rsid w:val="00A54B46"/>
    <w:rsid w:val="00A55F4D"/>
    <w:rsid w:val="00A568F9"/>
    <w:rsid w:val="00A616D7"/>
    <w:rsid w:val="00A63A49"/>
    <w:rsid w:val="00A64B2A"/>
    <w:rsid w:val="00A6672B"/>
    <w:rsid w:val="00A762CF"/>
    <w:rsid w:val="00A81BEE"/>
    <w:rsid w:val="00A83F9D"/>
    <w:rsid w:val="00A87765"/>
    <w:rsid w:val="00A94381"/>
    <w:rsid w:val="00AA0706"/>
    <w:rsid w:val="00AA4D1F"/>
    <w:rsid w:val="00AB5874"/>
    <w:rsid w:val="00AC1AF9"/>
    <w:rsid w:val="00AC1C37"/>
    <w:rsid w:val="00AC223B"/>
    <w:rsid w:val="00AC2973"/>
    <w:rsid w:val="00AC7AB3"/>
    <w:rsid w:val="00AC7CFE"/>
    <w:rsid w:val="00AD020F"/>
    <w:rsid w:val="00AD5A41"/>
    <w:rsid w:val="00AE46E2"/>
    <w:rsid w:val="00AF2A1A"/>
    <w:rsid w:val="00AF3F91"/>
    <w:rsid w:val="00B0133F"/>
    <w:rsid w:val="00B013E5"/>
    <w:rsid w:val="00B04DDF"/>
    <w:rsid w:val="00B1067E"/>
    <w:rsid w:val="00B1092A"/>
    <w:rsid w:val="00B10BD5"/>
    <w:rsid w:val="00B13795"/>
    <w:rsid w:val="00B158D3"/>
    <w:rsid w:val="00B24E35"/>
    <w:rsid w:val="00B300F7"/>
    <w:rsid w:val="00B31AEB"/>
    <w:rsid w:val="00B333A7"/>
    <w:rsid w:val="00B352FF"/>
    <w:rsid w:val="00B37FB9"/>
    <w:rsid w:val="00B40C79"/>
    <w:rsid w:val="00B42C1A"/>
    <w:rsid w:val="00B5196A"/>
    <w:rsid w:val="00B54778"/>
    <w:rsid w:val="00B62D9F"/>
    <w:rsid w:val="00B639AB"/>
    <w:rsid w:val="00B70FA9"/>
    <w:rsid w:val="00B72F4B"/>
    <w:rsid w:val="00B73198"/>
    <w:rsid w:val="00B74170"/>
    <w:rsid w:val="00B75A88"/>
    <w:rsid w:val="00B76867"/>
    <w:rsid w:val="00B80091"/>
    <w:rsid w:val="00B8429B"/>
    <w:rsid w:val="00B85DA9"/>
    <w:rsid w:val="00B8675B"/>
    <w:rsid w:val="00B93C25"/>
    <w:rsid w:val="00BA1696"/>
    <w:rsid w:val="00BA3382"/>
    <w:rsid w:val="00BA3788"/>
    <w:rsid w:val="00BA45AA"/>
    <w:rsid w:val="00BB2528"/>
    <w:rsid w:val="00BB2D36"/>
    <w:rsid w:val="00BB3E6B"/>
    <w:rsid w:val="00BB5FAE"/>
    <w:rsid w:val="00BC2E92"/>
    <w:rsid w:val="00BC34C3"/>
    <w:rsid w:val="00BC3DB5"/>
    <w:rsid w:val="00BC4ADD"/>
    <w:rsid w:val="00BD11D7"/>
    <w:rsid w:val="00BE13C4"/>
    <w:rsid w:val="00BE17C3"/>
    <w:rsid w:val="00BE4B53"/>
    <w:rsid w:val="00BE7856"/>
    <w:rsid w:val="00BF1CC7"/>
    <w:rsid w:val="00BF3CAF"/>
    <w:rsid w:val="00BF502D"/>
    <w:rsid w:val="00BF615C"/>
    <w:rsid w:val="00BF6AE2"/>
    <w:rsid w:val="00C01204"/>
    <w:rsid w:val="00C03CFF"/>
    <w:rsid w:val="00C116CE"/>
    <w:rsid w:val="00C11CBB"/>
    <w:rsid w:val="00C11EF3"/>
    <w:rsid w:val="00C156C2"/>
    <w:rsid w:val="00C25BA0"/>
    <w:rsid w:val="00C2687E"/>
    <w:rsid w:val="00C275EE"/>
    <w:rsid w:val="00C30A2F"/>
    <w:rsid w:val="00C32C02"/>
    <w:rsid w:val="00C349C4"/>
    <w:rsid w:val="00C3762E"/>
    <w:rsid w:val="00C42646"/>
    <w:rsid w:val="00C42E34"/>
    <w:rsid w:val="00C64DFC"/>
    <w:rsid w:val="00C65E84"/>
    <w:rsid w:val="00C73EFD"/>
    <w:rsid w:val="00C84D66"/>
    <w:rsid w:val="00C85966"/>
    <w:rsid w:val="00C86D30"/>
    <w:rsid w:val="00C924F4"/>
    <w:rsid w:val="00C95664"/>
    <w:rsid w:val="00CA3C87"/>
    <w:rsid w:val="00CB095F"/>
    <w:rsid w:val="00CB418E"/>
    <w:rsid w:val="00CC125E"/>
    <w:rsid w:val="00CC7DEE"/>
    <w:rsid w:val="00CD3F84"/>
    <w:rsid w:val="00CE493F"/>
    <w:rsid w:val="00CE73CC"/>
    <w:rsid w:val="00CF1EBE"/>
    <w:rsid w:val="00CF4EC3"/>
    <w:rsid w:val="00CF6C8F"/>
    <w:rsid w:val="00CF7047"/>
    <w:rsid w:val="00CF7746"/>
    <w:rsid w:val="00D01B5A"/>
    <w:rsid w:val="00D021FA"/>
    <w:rsid w:val="00D02AE6"/>
    <w:rsid w:val="00D121CB"/>
    <w:rsid w:val="00D13AD9"/>
    <w:rsid w:val="00D14601"/>
    <w:rsid w:val="00D164E3"/>
    <w:rsid w:val="00D26358"/>
    <w:rsid w:val="00D41262"/>
    <w:rsid w:val="00D422AF"/>
    <w:rsid w:val="00D50088"/>
    <w:rsid w:val="00D53F17"/>
    <w:rsid w:val="00D54765"/>
    <w:rsid w:val="00D5522B"/>
    <w:rsid w:val="00D55381"/>
    <w:rsid w:val="00D577BE"/>
    <w:rsid w:val="00D63C84"/>
    <w:rsid w:val="00D63E11"/>
    <w:rsid w:val="00D76006"/>
    <w:rsid w:val="00D93E17"/>
    <w:rsid w:val="00D945F7"/>
    <w:rsid w:val="00DA07BA"/>
    <w:rsid w:val="00DA1E15"/>
    <w:rsid w:val="00DA3FE9"/>
    <w:rsid w:val="00DA4C7F"/>
    <w:rsid w:val="00DA5FE1"/>
    <w:rsid w:val="00DA650B"/>
    <w:rsid w:val="00DB02CF"/>
    <w:rsid w:val="00DB2995"/>
    <w:rsid w:val="00DB30BA"/>
    <w:rsid w:val="00DB4839"/>
    <w:rsid w:val="00DB6AD8"/>
    <w:rsid w:val="00DC1123"/>
    <w:rsid w:val="00DC6C07"/>
    <w:rsid w:val="00DD06FB"/>
    <w:rsid w:val="00DD2DBC"/>
    <w:rsid w:val="00DE0A2F"/>
    <w:rsid w:val="00DF157C"/>
    <w:rsid w:val="00DF3A43"/>
    <w:rsid w:val="00DF6962"/>
    <w:rsid w:val="00E0057B"/>
    <w:rsid w:val="00E11B77"/>
    <w:rsid w:val="00E13738"/>
    <w:rsid w:val="00E16E57"/>
    <w:rsid w:val="00E31E8D"/>
    <w:rsid w:val="00E3254B"/>
    <w:rsid w:val="00E3512E"/>
    <w:rsid w:val="00E420F8"/>
    <w:rsid w:val="00E44E48"/>
    <w:rsid w:val="00E45F8D"/>
    <w:rsid w:val="00E50F84"/>
    <w:rsid w:val="00E52F89"/>
    <w:rsid w:val="00E57FBC"/>
    <w:rsid w:val="00E715EB"/>
    <w:rsid w:val="00E718DB"/>
    <w:rsid w:val="00E74AA9"/>
    <w:rsid w:val="00E7528B"/>
    <w:rsid w:val="00E77AFA"/>
    <w:rsid w:val="00E84FB7"/>
    <w:rsid w:val="00E85604"/>
    <w:rsid w:val="00E97FCB"/>
    <w:rsid w:val="00EB4A41"/>
    <w:rsid w:val="00EC7C6F"/>
    <w:rsid w:val="00ED1B5E"/>
    <w:rsid w:val="00ED4EC9"/>
    <w:rsid w:val="00ED6987"/>
    <w:rsid w:val="00ED7A1F"/>
    <w:rsid w:val="00EE0694"/>
    <w:rsid w:val="00EE3110"/>
    <w:rsid w:val="00EE6A0D"/>
    <w:rsid w:val="00EF695B"/>
    <w:rsid w:val="00F03BA1"/>
    <w:rsid w:val="00F06ACA"/>
    <w:rsid w:val="00F13177"/>
    <w:rsid w:val="00F13D37"/>
    <w:rsid w:val="00F16593"/>
    <w:rsid w:val="00F227EF"/>
    <w:rsid w:val="00F27CC5"/>
    <w:rsid w:val="00F31B86"/>
    <w:rsid w:val="00F33F1B"/>
    <w:rsid w:val="00F36495"/>
    <w:rsid w:val="00F423AC"/>
    <w:rsid w:val="00F42D7E"/>
    <w:rsid w:val="00F565E2"/>
    <w:rsid w:val="00F5720F"/>
    <w:rsid w:val="00F61282"/>
    <w:rsid w:val="00F63549"/>
    <w:rsid w:val="00F67399"/>
    <w:rsid w:val="00F71511"/>
    <w:rsid w:val="00F7185B"/>
    <w:rsid w:val="00F75428"/>
    <w:rsid w:val="00F758FE"/>
    <w:rsid w:val="00F91483"/>
    <w:rsid w:val="00F9271C"/>
    <w:rsid w:val="00F935B2"/>
    <w:rsid w:val="00F93725"/>
    <w:rsid w:val="00F966C6"/>
    <w:rsid w:val="00F97949"/>
    <w:rsid w:val="00FA4841"/>
    <w:rsid w:val="00FA5940"/>
    <w:rsid w:val="00FA7C49"/>
    <w:rsid w:val="00FA7D6A"/>
    <w:rsid w:val="00FA7FC7"/>
    <w:rsid w:val="00FB74EA"/>
    <w:rsid w:val="00FC63F1"/>
    <w:rsid w:val="00FD7646"/>
    <w:rsid w:val="00FF463C"/>
    <w:rsid w:val="00FF6D67"/>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B4DCE77"/>
  <w14:defaultImageDpi w14:val="3276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5B38FB"/>
    <w:rPr>
      <w:rFonts w:ascii="Times New Roman" w:eastAsia="Times New Roman" w:hAnsi="Times New Roman" w:cs="Times New Roman"/>
    </w:rPr>
  </w:style>
  <w:style w:type="paragraph" w:styleId="Heading2">
    <w:name w:val="heading 2"/>
    <w:basedOn w:val="Normal"/>
    <w:link w:val="Heading2Char"/>
    <w:uiPriority w:val="9"/>
    <w:qFormat/>
    <w:rsid w:val="0095434F"/>
    <w:pPr>
      <w:spacing w:before="100" w:beforeAutospacing="1" w:after="100" w:afterAutospacing="1"/>
      <w:outlineLvl w:val="1"/>
    </w:pPr>
    <w:rPr>
      <w:b/>
      <w:bCs/>
      <w:sz w:val="36"/>
      <w:szCs w:val="3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2E2457"/>
    <w:rPr>
      <w:color w:val="0000FF"/>
      <w:u w:val="single"/>
    </w:rPr>
  </w:style>
  <w:style w:type="character" w:customStyle="1" w:styleId="apple-converted-space">
    <w:name w:val="apple-converted-space"/>
    <w:basedOn w:val="DefaultParagraphFont"/>
    <w:rsid w:val="00F13177"/>
  </w:style>
  <w:style w:type="character" w:customStyle="1" w:styleId="Heading2Char">
    <w:name w:val="Heading 2 Char"/>
    <w:basedOn w:val="DefaultParagraphFont"/>
    <w:link w:val="Heading2"/>
    <w:uiPriority w:val="9"/>
    <w:rsid w:val="0095434F"/>
    <w:rPr>
      <w:rFonts w:ascii="Times New Roman" w:eastAsia="Times New Roman" w:hAnsi="Times New Roman" w:cs="Times New Roman"/>
      <w:b/>
      <w:bCs/>
      <w:sz w:val="36"/>
      <w:szCs w:val="36"/>
    </w:rPr>
  </w:style>
  <w:style w:type="paragraph" w:styleId="NormalWeb">
    <w:name w:val="Normal (Web)"/>
    <w:basedOn w:val="Normal"/>
    <w:uiPriority w:val="99"/>
    <w:unhideWhenUsed/>
    <w:rsid w:val="0095434F"/>
    <w:pPr>
      <w:spacing w:before="100" w:beforeAutospacing="1" w:after="100" w:afterAutospacing="1"/>
    </w:pPr>
  </w:style>
  <w:style w:type="character" w:customStyle="1" w:styleId="normaltextrun">
    <w:name w:val="normaltextrun"/>
    <w:basedOn w:val="DefaultParagraphFont"/>
    <w:rsid w:val="007A762D"/>
  </w:style>
  <w:style w:type="character" w:customStyle="1" w:styleId="spellingerror">
    <w:name w:val="spellingerror"/>
    <w:basedOn w:val="DefaultParagraphFont"/>
    <w:rsid w:val="007A762D"/>
  </w:style>
  <w:style w:type="character" w:customStyle="1" w:styleId="eop">
    <w:name w:val="eop"/>
    <w:basedOn w:val="DefaultParagraphFont"/>
    <w:rsid w:val="007A762D"/>
  </w:style>
  <w:style w:type="paragraph" w:styleId="Footer">
    <w:name w:val="footer"/>
    <w:basedOn w:val="Normal"/>
    <w:link w:val="FooterChar"/>
    <w:uiPriority w:val="99"/>
    <w:unhideWhenUsed/>
    <w:rsid w:val="00BA3788"/>
    <w:pPr>
      <w:tabs>
        <w:tab w:val="center" w:pos="4513"/>
        <w:tab w:val="right" w:pos="9026"/>
      </w:tabs>
    </w:pPr>
  </w:style>
  <w:style w:type="character" w:customStyle="1" w:styleId="FooterChar">
    <w:name w:val="Footer Char"/>
    <w:basedOn w:val="DefaultParagraphFont"/>
    <w:link w:val="Footer"/>
    <w:uiPriority w:val="99"/>
    <w:rsid w:val="00BA3788"/>
    <w:rPr>
      <w:rFonts w:ascii="Arial" w:eastAsia="Arial" w:hAnsi="Arial" w:cs="Arial"/>
      <w:sz w:val="22"/>
      <w:szCs w:val="22"/>
      <w:lang w:val="en"/>
    </w:rPr>
  </w:style>
  <w:style w:type="character" w:styleId="PageNumber">
    <w:name w:val="page number"/>
    <w:basedOn w:val="DefaultParagraphFont"/>
    <w:uiPriority w:val="99"/>
    <w:semiHidden/>
    <w:unhideWhenUsed/>
    <w:rsid w:val="00BA3788"/>
  </w:style>
  <w:style w:type="character" w:customStyle="1" w:styleId="singlehighlightclass">
    <w:name w:val="single_highlight_class"/>
    <w:basedOn w:val="DefaultParagraphFont"/>
    <w:rsid w:val="00504046"/>
  </w:style>
  <w:style w:type="character" w:styleId="Strong">
    <w:name w:val="Strong"/>
    <w:basedOn w:val="DefaultParagraphFont"/>
    <w:uiPriority w:val="22"/>
    <w:qFormat/>
    <w:rsid w:val="00FA4841"/>
    <w:rPr>
      <w:b/>
      <w:bCs/>
    </w:rPr>
  </w:style>
  <w:style w:type="paragraph" w:styleId="BalloonText">
    <w:name w:val="Balloon Text"/>
    <w:basedOn w:val="Normal"/>
    <w:link w:val="BalloonTextChar"/>
    <w:uiPriority w:val="99"/>
    <w:semiHidden/>
    <w:unhideWhenUsed/>
    <w:rsid w:val="008457AB"/>
    <w:rPr>
      <w:sz w:val="18"/>
      <w:szCs w:val="18"/>
    </w:rPr>
  </w:style>
  <w:style w:type="character" w:customStyle="1" w:styleId="BalloonTextChar">
    <w:name w:val="Balloon Text Char"/>
    <w:basedOn w:val="DefaultParagraphFont"/>
    <w:link w:val="BalloonText"/>
    <w:uiPriority w:val="99"/>
    <w:semiHidden/>
    <w:rsid w:val="008457AB"/>
    <w:rPr>
      <w:rFonts w:ascii="Times New Roman" w:eastAsia="Times New Roman" w:hAnsi="Times New Roman" w:cs="Times New Roman"/>
      <w:sz w:val="18"/>
      <w:szCs w:val="18"/>
    </w:rPr>
  </w:style>
  <w:style w:type="character" w:styleId="CommentReference">
    <w:name w:val="annotation reference"/>
    <w:basedOn w:val="DefaultParagraphFont"/>
    <w:uiPriority w:val="99"/>
    <w:semiHidden/>
    <w:unhideWhenUsed/>
    <w:rsid w:val="008457AB"/>
    <w:rPr>
      <w:sz w:val="18"/>
      <w:szCs w:val="18"/>
    </w:rPr>
  </w:style>
  <w:style w:type="paragraph" w:styleId="CommentText">
    <w:name w:val="annotation text"/>
    <w:basedOn w:val="Normal"/>
    <w:link w:val="CommentTextChar"/>
    <w:uiPriority w:val="99"/>
    <w:semiHidden/>
    <w:unhideWhenUsed/>
    <w:rsid w:val="008457AB"/>
  </w:style>
  <w:style w:type="character" w:customStyle="1" w:styleId="CommentTextChar">
    <w:name w:val="Comment Text Char"/>
    <w:basedOn w:val="DefaultParagraphFont"/>
    <w:link w:val="CommentText"/>
    <w:uiPriority w:val="99"/>
    <w:semiHidden/>
    <w:rsid w:val="008457AB"/>
    <w:rPr>
      <w:rFonts w:ascii="Times New Roman" w:eastAsia="Times New Roman" w:hAnsi="Times New Roman" w:cs="Times New Roman"/>
    </w:rPr>
  </w:style>
  <w:style w:type="paragraph" w:styleId="CommentSubject">
    <w:name w:val="annotation subject"/>
    <w:basedOn w:val="CommentText"/>
    <w:next w:val="CommentText"/>
    <w:link w:val="CommentSubjectChar"/>
    <w:uiPriority w:val="99"/>
    <w:semiHidden/>
    <w:unhideWhenUsed/>
    <w:rsid w:val="008457AB"/>
    <w:rPr>
      <w:b/>
      <w:bCs/>
      <w:sz w:val="20"/>
      <w:szCs w:val="20"/>
    </w:rPr>
  </w:style>
  <w:style w:type="character" w:customStyle="1" w:styleId="CommentSubjectChar">
    <w:name w:val="Comment Subject Char"/>
    <w:basedOn w:val="CommentTextChar"/>
    <w:link w:val="CommentSubject"/>
    <w:uiPriority w:val="99"/>
    <w:semiHidden/>
    <w:rsid w:val="008457AB"/>
    <w:rPr>
      <w:rFonts w:ascii="Times New Roman" w:eastAsia="Times New Roman" w:hAnsi="Times New Roman" w:cs="Times New Roman"/>
      <w:b/>
      <w:bCs/>
      <w:sz w:val="20"/>
      <w:szCs w:val="20"/>
    </w:rPr>
  </w:style>
  <w:style w:type="paragraph" w:styleId="ListParagraph">
    <w:name w:val="List Paragraph"/>
    <w:basedOn w:val="Normal"/>
    <w:uiPriority w:val="34"/>
    <w:qFormat/>
    <w:rsid w:val="00FA7D6A"/>
    <w:pPr>
      <w:ind w:left="720"/>
      <w:contextualSpacing/>
    </w:pPr>
  </w:style>
  <w:style w:type="paragraph" w:styleId="Revision">
    <w:name w:val="Revision"/>
    <w:hidden/>
    <w:uiPriority w:val="99"/>
    <w:semiHidden/>
    <w:rsid w:val="00192D23"/>
    <w:rPr>
      <w:rFonts w:ascii="Times New Roman" w:eastAsia="Times New Roman" w:hAnsi="Times New Roman" w:cs="Times New Roman"/>
    </w:rPr>
  </w:style>
  <w:style w:type="character" w:customStyle="1" w:styleId="polytonic">
    <w:name w:val="polytonic"/>
    <w:basedOn w:val="DefaultParagraphFont"/>
    <w:rsid w:val="00E97FCB"/>
  </w:style>
  <w:style w:type="character" w:styleId="Emphasis">
    <w:name w:val="Emphasis"/>
    <w:basedOn w:val="DefaultParagraphFont"/>
    <w:uiPriority w:val="20"/>
    <w:qFormat/>
    <w:rsid w:val="00173D33"/>
    <w:rPr>
      <w:i/>
      <w:iCs/>
    </w:rPr>
  </w:style>
  <w:style w:type="paragraph" w:customStyle="1" w:styleId="Default">
    <w:name w:val="Default"/>
    <w:rsid w:val="000E7D62"/>
    <w:pPr>
      <w:widowControl w:val="0"/>
      <w:autoSpaceDE w:val="0"/>
      <w:autoSpaceDN w:val="0"/>
      <w:adjustRightInd w:val="0"/>
    </w:pPr>
    <w:rPr>
      <w:rFonts w:ascii="Arial" w:eastAsiaTheme="minorEastAsia" w:hAnsi="Arial" w:cs="Arial"/>
      <w:color w:val="000000"/>
      <w:lang w:val="de-DE" w:eastAsia="de-DE"/>
    </w:rPr>
  </w:style>
  <w:style w:type="paragraph" w:styleId="HTMLPreformatted">
    <w:name w:val="HTML Preformatted"/>
    <w:basedOn w:val="Normal"/>
    <w:link w:val="HTMLPreformattedChar"/>
    <w:uiPriority w:val="99"/>
    <w:semiHidden/>
    <w:unhideWhenUsed/>
    <w:rsid w:val="00B137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heme="minorHAnsi" w:hAnsi="Courier New" w:cs="Courier New"/>
      <w:sz w:val="20"/>
      <w:szCs w:val="20"/>
      <w:lang w:eastAsia="en-GB"/>
    </w:rPr>
  </w:style>
  <w:style w:type="character" w:customStyle="1" w:styleId="HTMLPreformattedChar">
    <w:name w:val="HTML Preformatted Char"/>
    <w:basedOn w:val="DefaultParagraphFont"/>
    <w:link w:val="HTMLPreformatted"/>
    <w:uiPriority w:val="99"/>
    <w:semiHidden/>
    <w:rsid w:val="00B13795"/>
    <w:rPr>
      <w:rFonts w:ascii="Courier New" w:hAnsi="Courier New" w:cs="Courier New"/>
      <w:sz w:val="20"/>
      <w:szCs w:val="20"/>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327581">
      <w:bodyDiv w:val="1"/>
      <w:marLeft w:val="0"/>
      <w:marRight w:val="0"/>
      <w:marTop w:val="0"/>
      <w:marBottom w:val="0"/>
      <w:divBdr>
        <w:top w:val="none" w:sz="0" w:space="0" w:color="auto"/>
        <w:left w:val="none" w:sz="0" w:space="0" w:color="auto"/>
        <w:bottom w:val="none" w:sz="0" w:space="0" w:color="auto"/>
        <w:right w:val="none" w:sz="0" w:space="0" w:color="auto"/>
      </w:divBdr>
    </w:div>
    <w:div w:id="102845506">
      <w:bodyDiv w:val="1"/>
      <w:marLeft w:val="0"/>
      <w:marRight w:val="0"/>
      <w:marTop w:val="0"/>
      <w:marBottom w:val="0"/>
      <w:divBdr>
        <w:top w:val="none" w:sz="0" w:space="0" w:color="auto"/>
        <w:left w:val="none" w:sz="0" w:space="0" w:color="auto"/>
        <w:bottom w:val="none" w:sz="0" w:space="0" w:color="auto"/>
        <w:right w:val="none" w:sz="0" w:space="0" w:color="auto"/>
      </w:divBdr>
    </w:div>
    <w:div w:id="139033087">
      <w:bodyDiv w:val="1"/>
      <w:marLeft w:val="0"/>
      <w:marRight w:val="0"/>
      <w:marTop w:val="0"/>
      <w:marBottom w:val="0"/>
      <w:divBdr>
        <w:top w:val="none" w:sz="0" w:space="0" w:color="auto"/>
        <w:left w:val="none" w:sz="0" w:space="0" w:color="auto"/>
        <w:bottom w:val="none" w:sz="0" w:space="0" w:color="auto"/>
        <w:right w:val="none" w:sz="0" w:space="0" w:color="auto"/>
      </w:divBdr>
    </w:div>
    <w:div w:id="139928596">
      <w:bodyDiv w:val="1"/>
      <w:marLeft w:val="0"/>
      <w:marRight w:val="0"/>
      <w:marTop w:val="0"/>
      <w:marBottom w:val="0"/>
      <w:divBdr>
        <w:top w:val="none" w:sz="0" w:space="0" w:color="auto"/>
        <w:left w:val="none" w:sz="0" w:space="0" w:color="auto"/>
        <w:bottom w:val="none" w:sz="0" w:space="0" w:color="auto"/>
        <w:right w:val="none" w:sz="0" w:space="0" w:color="auto"/>
      </w:divBdr>
    </w:div>
    <w:div w:id="166333908">
      <w:bodyDiv w:val="1"/>
      <w:marLeft w:val="0"/>
      <w:marRight w:val="0"/>
      <w:marTop w:val="0"/>
      <w:marBottom w:val="0"/>
      <w:divBdr>
        <w:top w:val="none" w:sz="0" w:space="0" w:color="auto"/>
        <w:left w:val="none" w:sz="0" w:space="0" w:color="auto"/>
        <w:bottom w:val="none" w:sz="0" w:space="0" w:color="auto"/>
        <w:right w:val="none" w:sz="0" w:space="0" w:color="auto"/>
      </w:divBdr>
    </w:div>
    <w:div w:id="173956783">
      <w:bodyDiv w:val="1"/>
      <w:marLeft w:val="0"/>
      <w:marRight w:val="0"/>
      <w:marTop w:val="0"/>
      <w:marBottom w:val="0"/>
      <w:divBdr>
        <w:top w:val="none" w:sz="0" w:space="0" w:color="auto"/>
        <w:left w:val="none" w:sz="0" w:space="0" w:color="auto"/>
        <w:bottom w:val="none" w:sz="0" w:space="0" w:color="auto"/>
        <w:right w:val="none" w:sz="0" w:space="0" w:color="auto"/>
      </w:divBdr>
    </w:div>
    <w:div w:id="205533767">
      <w:bodyDiv w:val="1"/>
      <w:marLeft w:val="0"/>
      <w:marRight w:val="0"/>
      <w:marTop w:val="0"/>
      <w:marBottom w:val="0"/>
      <w:divBdr>
        <w:top w:val="none" w:sz="0" w:space="0" w:color="auto"/>
        <w:left w:val="none" w:sz="0" w:space="0" w:color="auto"/>
        <w:bottom w:val="none" w:sz="0" w:space="0" w:color="auto"/>
        <w:right w:val="none" w:sz="0" w:space="0" w:color="auto"/>
      </w:divBdr>
    </w:div>
    <w:div w:id="225264944">
      <w:bodyDiv w:val="1"/>
      <w:marLeft w:val="0"/>
      <w:marRight w:val="0"/>
      <w:marTop w:val="0"/>
      <w:marBottom w:val="0"/>
      <w:divBdr>
        <w:top w:val="none" w:sz="0" w:space="0" w:color="auto"/>
        <w:left w:val="none" w:sz="0" w:space="0" w:color="auto"/>
        <w:bottom w:val="none" w:sz="0" w:space="0" w:color="auto"/>
        <w:right w:val="none" w:sz="0" w:space="0" w:color="auto"/>
      </w:divBdr>
    </w:div>
    <w:div w:id="332997909">
      <w:bodyDiv w:val="1"/>
      <w:marLeft w:val="0"/>
      <w:marRight w:val="0"/>
      <w:marTop w:val="0"/>
      <w:marBottom w:val="0"/>
      <w:divBdr>
        <w:top w:val="none" w:sz="0" w:space="0" w:color="auto"/>
        <w:left w:val="none" w:sz="0" w:space="0" w:color="auto"/>
        <w:bottom w:val="none" w:sz="0" w:space="0" w:color="auto"/>
        <w:right w:val="none" w:sz="0" w:space="0" w:color="auto"/>
      </w:divBdr>
    </w:div>
    <w:div w:id="362677199">
      <w:bodyDiv w:val="1"/>
      <w:marLeft w:val="0"/>
      <w:marRight w:val="0"/>
      <w:marTop w:val="0"/>
      <w:marBottom w:val="0"/>
      <w:divBdr>
        <w:top w:val="none" w:sz="0" w:space="0" w:color="auto"/>
        <w:left w:val="none" w:sz="0" w:space="0" w:color="auto"/>
        <w:bottom w:val="none" w:sz="0" w:space="0" w:color="auto"/>
        <w:right w:val="none" w:sz="0" w:space="0" w:color="auto"/>
      </w:divBdr>
    </w:div>
    <w:div w:id="462237943">
      <w:bodyDiv w:val="1"/>
      <w:marLeft w:val="0"/>
      <w:marRight w:val="0"/>
      <w:marTop w:val="0"/>
      <w:marBottom w:val="0"/>
      <w:divBdr>
        <w:top w:val="none" w:sz="0" w:space="0" w:color="auto"/>
        <w:left w:val="none" w:sz="0" w:space="0" w:color="auto"/>
        <w:bottom w:val="none" w:sz="0" w:space="0" w:color="auto"/>
        <w:right w:val="none" w:sz="0" w:space="0" w:color="auto"/>
      </w:divBdr>
    </w:div>
    <w:div w:id="492765611">
      <w:bodyDiv w:val="1"/>
      <w:marLeft w:val="0"/>
      <w:marRight w:val="0"/>
      <w:marTop w:val="0"/>
      <w:marBottom w:val="0"/>
      <w:divBdr>
        <w:top w:val="none" w:sz="0" w:space="0" w:color="auto"/>
        <w:left w:val="none" w:sz="0" w:space="0" w:color="auto"/>
        <w:bottom w:val="none" w:sz="0" w:space="0" w:color="auto"/>
        <w:right w:val="none" w:sz="0" w:space="0" w:color="auto"/>
      </w:divBdr>
    </w:div>
    <w:div w:id="605695368">
      <w:bodyDiv w:val="1"/>
      <w:marLeft w:val="0"/>
      <w:marRight w:val="0"/>
      <w:marTop w:val="0"/>
      <w:marBottom w:val="0"/>
      <w:divBdr>
        <w:top w:val="none" w:sz="0" w:space="0" w:color="auto"/>
        <w:left w:val="none" w:sz="0" w:space="0" w:color="auto"/>
        <w:bottom w:val="none" w:sz="0" w:space="0" w:color="auto"/>
        <w:right w:val="none" w:sz="0" w:space="0" w:color="auto"/>
      </w:divBdr>
    </w:div>
    <w:div w:id="614413084">
      <w:bodyDiv w:val="1"/>
      <w:marLeft w:val="0"/>
      <w:marRight w:val="0"/>
      <w:marTop w:val="0"/>
      <w:marBottom w:val="0"/>
      <w:divBdr>
        <w:top w:val="none" w:sz="0" w:space="0" w:color="auto"/>
        <w:left w:val="none" w:sz="0" w:space="0" w:color="auto"/>
        <w:bottom w:val="none" w:sz="0" w:space="0" w:color="auto"/>
        <w:right w:val="none" w:sz="0" w:space="0" w:color="auto"/>
      </w:divBdr>
    </w:div>
    <w:div w:id="643967343">
      <w:bodyDiv w:val="1"/>
      <w:marLeft w:val="0"/>
      <w:marRight w:val="0"/>
      <w:marTop w:val="0"/>
      <w:marBottom w:val="0"/>
      <w:divBdr>
        <w:top w:val="none" w:sz="0" w:space="0" w:color="auto"/>
        <w:left w:val="none" w:sz="0" w:space="0" w:color="auto"/>
        <w:bottom w:val="none" w:sz="0" w:space="0" w:color="auto"/>
        <w:right w:val="none" w:sz="0" w:space="0" w:color="auto"/>
      </w:divBdr>
    </w:div>
    <w:div w:id="928080495">
      <w:bodyDiv w:val="1"/>
      <w:marLeft w:val="0"/>
      <w:marRight w:val="0"/>
      <w:marTop w:val="0"/>
      <w:marBottom w:val="0"/>
      <w:divBdr>
        <w:top w:val="none" w:sz="0" w:space="0" w:color="auto"/>
        <w:left w:val="none" w:sz="0" w:space="0" w:color="auto"/>
        <w:bottom w:val="none" w:sz="0" w:space="0" w:color="auto"/>
        <w:right w:val="none" w:sz="0" w:space="0" w:color="auto"/>
      </w:divBdr>
    </w:div>
    <w:div w:id="1018774576">
      <w:bodyDiv w:val="1"/>
      <w:marLeft w:val="0"/>
      <w:marRight w:val="0"/>
      <w:marTop w:val="0"/>
      <w:marBottom w:val="0"/>
      <w:divBdr>
        <w:top w:val="none" w:sz="0" w:space="0" w:color="auto"/>
        <w:left w:val="none" w:sz="0" w:space="0" w:color="auto"/>
        <w:bottom w:val="none" w:sz="0" w:space="0" w:color="auto"/>
        <w:right w:val="none" w:sz="0" w:space="0" w:color="auto"/>
      </w:divBdr>
    </w:div>
    <w:div w:id="1045370840">
      <w:bodyDiv w:val="1"/>
      <w:marLeft w:val="0"/>
      <w:marRight w:val="0"/>
      <w:marTop w:val="0"/>
      <w:marBottom w:val="0"/>
      <w:divBdr>
        <w:top w:val="none" w:sz="0" w:space="0" w:color="auto"/>
        <w:left w:val="none" w:sz="0" w:space="0" w:color="auto"/>
        <w:bottom w:val="none" w:sz="0" w:space="0" w:color="auto"/>
        <w:right w:val="none" w:sz="0" w:space="0" w:color="auto"/>
      </w:divBdr>
    </w:div>
    <w:div w:id="1063485132">
      <w:bodyDiv w:val="1"/>
      <w:marLeft w:val="0"/>
      <w:marRight w:val="0"/>
      <w:marTop w:val="0"/>
      <w:marBottom w:val="0"/>
      <w:divBdr>
        <w:top w:val="none" w:sz="0" w:space="0" w:color="auto"/>
        <w:left w:val="none" w:sz="0" w:space="0" w:color="auto"/>
        <w:bottom w:val="none" w:sz="0" w:space="0" w:color="auto"/>
        <w:right w:val="none" w:sz="0" w:space="0" w:color="auto"/>
      </w:divBdr>
    </w:div>
    <w:div w:id="1067269548">
      <w:bodyDiv w:val="1"/>
      <w:marLeft w:val="0"/>
      <w:marRight w:val="0"/>
      <w:marTop w:val="0"/>
      <w:marBottom w:val="0"/>
      <w:divBdr>
        <w:top w:val="none" w:sz="0" w:space="0" w:color="auto"/>
        <w:left w:val="none" w:sz="0" w:space="0" w:color="auto"/>
        <w:bottom w:val="none" w:sz="0" w:space="0" w:color="auto"/>
        <w:right w:val="none" w:sz="0" w:space="0" w:color="auto"/>
      </w:divBdr>
    </w:div>
    <w:div w:id="1222980161">
      <w:bodyDiv w:val="1"/>
      <w:marLeft w:val="0"/>
      <w:marRight w:val="0"/>
      <w:marTop w:val="0"/>
      <w:marBottom w:val="0"/>
      <w:divBdr>
        <w:top w:val="none" w:sz="0" w:space="0" w:color="auto"/>
        <w:left w:val="none" w:sz="0" w:space="0" w:color="auto"/>
        <w:bottom w:val="none" w:sz="0" w:space="0" w:color="auto"/>
        <w:right w:val="none" w:sz="0" w:space="0" w:color="auto"/>
      </w:divBdr>
    </w:div>
    <w:div w:id="1312978147">
      <w:bodyDiv w:val="1"/>
      <w:marLeft w:val="0"/>
      <w:marRight w:val="0"/>
      <w:marTop w:val="0"/>
      <w:marBottom w:val="0"/>
      <w:divBdr>
        <w:top w:val="none" w:sz="0" w:space="0" w:color="auto"/>
        <w:left w:val="none" w:sz="0" w:space="0" w:color="auto"/>
        <w:bottom w:val="none" w:sz="0" w:space="0" w:color="auto"/>
        <w:right w:val="none" w:sz="0" w:space="0" w:color="auto"/>
      </w:divBdr>
    </w:div>
    <w:div w:id="1345353000">
      <w:bodyDiv w:val="1"/>
      <w:marLeft w:val="0"/>
      <w:marRight w:val="0"/>
      <w:marTop w:val="0"/>
      <w:marBottom w:val="0"/>
      <w:divBdr>
        <w:top w:val="none" w:sz="0" w:space="0" w:color="auto"/>
        <w:left w:val="none" w:sz="0" w:space="0" w:color="auto"/>
        <w:bottom w:val="none" w:sz="0" w:space="0" w:color="auto"/>
        <w:right w:val="none" w:sz="0" w:space="0" w:color="auto"/>
      </w:divBdr>
    </w:div>
    <w:div w:id="1378820023">
      <w:bodyDiv w:val="1"/>
      <w:marLeft w:val="0"/>
      <w:marRight w:val="0"/>
      <w:marTop w:val="0"/>
      <w:marBottom w:val="0"/>
      <w:divBdr>
        <w:top w:val="none" w:sz="0" w:space="0" w:color="auto"/>
        <w:left w:val="none" w:sz="0" w:space="0" w:color="auto"/>
        <w:bottom w:val="none" w:sz="0" w:space="0" w:color="auto"/>
        <w:right w:val="none" w:sz="0" w:space="0" w:color="auto"/>
      </w:divBdr>
    </w:div>
    <w:div w:id="1564674721">
      <w:bodyDiv w:val="1"/>
      <w:marLeft w:val="0"/>
      <w:marRight w:val="0"/>
      <w:marTop w:val="0"/>
      <w:marBottom w:val="0"/>
      <w:divBdr>
        <w:top w:val="none" w:sz="0" w:space="0" w:color="auto"/>
        <w:left w:val="none" w:sz="0" w:space="0" w:color="auto"/>
        <w:bottom w:val="none" w:sz="0" w:space="0" w:color="auto"/>
        <w:right w:val="none" w:sz="0" w:space="0" w:color="auto"/>
      </w:divBdr>
    </w:div>
    <w:div w:id="1565212805">
      <w:bodyDiv w:val="1"/>
      <w:marLeft w:val="0"/>
      <w:marRight w:val="0"/>
      <w:marTop w:val="0"/>
      <w:marBottom w:val="0"/>
      <w:divBdr>
        <w:top w:val="none" w:sz="0" w:space="0" w:color="auto"/>
        <w:left w:val="none" w:sz="0" w:space="0" w:color="auto"/>
        <w:bottom w:val="none" w:sz="0" w:space="0" w:color="auto"/>
        <w:right w:val="none" w:sz="0" w:space="0" w:color="auto"/>
      </w:divBdr>
    </w:div>
    <w:div w:id="1572539892">
      <w:bodyDiv w:val="1"/>
      <w:marLeft w:val="0"/>
      <w:marRight w:val="0"/>
      <w:marTop w:val="0"/>
      <w:marBottom w:val="0"/>
      <w:divBdr>
        <w:top w:val="none" w:sz="0" w:space="0" w:color="auto"/>
        <w:left w:val="none" w:sz="0" w:space="0" w:color="auto"/>
        <w:bottom w:val="none" w:sz="0" w:space="0" w:color="auto"/>
        <w:right w:val="none" w:sz="0" w:space="0" w:color="auto"/>
      </w:divBdr>
    </w:div>
    <w:div w:id="1633555032">
      <w:bodyDiv w:val="1"/>
      <w:marLeft w:val="0"/>
      <w:marRight w:val="0"/>
      <w:marTop w:val="0"/>
      <w:marBottom w:val="0"/>
      <w:divBdr>
        <w:top w:val="none" w:sz="0" w:space="0" w:color="auto"/>
        <w:left w:val="none" w:sz="0" w:space="0" w:color="auto"/>
        <w:bottom w:val="none" w:sz="0" w:space="0" w:color="auto"/>
        <w:right w:val="none" w:sz="0" w:space="0" w:color="auto"/>
      </w:divBdr>
    </w:div>
    <w:div w:id="1655337088">
      <w:bodyDiv w:val="1"/>
      <w:marLeft w:val="0"/>
      <w:marRight w:val="0"/>
      <w:marTop w:val="0"/>
      <w:marBottom w:val="0"/>
      <w:divBdr>
        <w:top w:val="none" w:sz="0" w:space="0" w:color="auto"/>
        <w:left w:val="none" w:sz="0" w:space="0" w:color="auto"/>
        <w:bottom w:val="none" w:sz="0" w:space="0" w:color="auto"/>
        <w:right w:val="none" w:sz="0" w:space="0" w:color="auto"/>
      </w:divBdr>
    </w:div>
    <w:div w:id="1664897040">
      <w:bodyDiv w:val="1"/>
      <w:marLeft w:val="0"/>
      <w:marRight w:val="0"/>
      <w:marTop w:val="0"/>
      <w:marBottom w:val="0"/>
      <w:divBdr>
        <w:top w:val="none" w:sz="0" w:space="0" w:color="auto"/>
        <w:left w:val="none" w:sz="0" w:space="0" w:color="auto"/>
        <w:bottom w:val="none" w:sz="0" w:space="0" w:color="auto"/>
        <w:right w:val="none" w:sz="0" w:space="0" w:color="auto"/>
      </w:divBdr>
    </w:div>
    <w:div w:id="1815173309">
      <w:bodyDiv w:val="1"/>
      <w:marLeft w:val="0"/>
      <w:marRight w:val="0"/>
      <w:marTop w:val="0"/>
      <w:marBottom w:val="0"/>
      <w:divBdr>
        <w:top w:val="none" w:sz="0" w:space="0" w:color="auto"/>
        <w:left w:val="none" w:sz="0" w:space="0" w:color="auto"/>
        <w:bottom w:val="none" w:sz="0" w:space="0" w:color="auto"/>
        <w:right w:val="none" w:sz="0" w:space="0" w:color="auto"/>
      </w:divBdr>
    </w:div>
    <w:div w:id="1827891487">
      <w:bodyDiv w:val="1"/>
      <w:marLeft w:val="0"/>
      <w:marRight w:val="0"/>
      <w:marTop w:val="0"/>
      <w:marBottom w:val="0"/>
      <w:divBdr>
        <w:top w:val="none" w:sz="0" w:space="0" w:color="auto"/>
        <w:left w:val="none" w:sz="0" w:space="0" w:color="auto"/>
        <w:bottom w:val="none" w:sz="0" w:space="0" w:color="auto"/>
        <w:right w:val="none" w:sz="0" w:space="0" w:color="auto"/>
      </w:divBdr>
    </w:div>
    <w:div w:id="1837457176">
      <w:bodyDiv w:val="1"/>
      <w:marLeft w:val="0"/>
      <w:marRight w:val="0"/>
      <w:marTop w:val="0"/>
      <w:marBottom w:val="0"/>
      <w:divBdr>
        <w:top w:val="none" w:sz="0" w:space="0" w:color="auto"/>
        <w:left w:val="none" w:sz="0" w:space="0" w:color="auto"/>
        <w:bottom w:val="none" w:sz="0" w:space="0" w:color="auto"/>
        <w:right w:val="none" w:sz="0" w:space="0" w:color="auto"/>
      </w:divBdr>
    </w:div>
    <w:div w:id="1875120669">
      <w:bodyDiv w:val="1"/>
      <w:marLeft w:val="0"/>
      <w:marRight w:val="0"/>
      <w:marTop w:val="0"/>
      <w:marBottom w:val="0"/>
      <w:divBdr>
        <w:top w:val="none" w:sz="0" w:space="0" w:color="auto"/>
        <w:left w:val="none" w:sz="0" w:space="0" w:color="auto"/>
        <w:bottom w:val="none" w:sz="0" w:space="0" w:color="auto"/>
        <w:right w:val="none" w:sz="0" w:space="0" w:color="auto"/>
      </w:divBdr>
    </w:div>
    <w:div w:id="1895309709">
      <w:bodyDiv w:val="1"/>
      <w:marLeft w:val="0"/>
      <w:marRight w:val="0"/>
      <w:marTop w:val="0"/>
      <w:marBottom w:val="0"/>
      <w:divBdr>
        <w:top w:val="none" w:sz="0" w:space="0" w:color="auto"/>
        <w:left w:val="none" w:sz="0" w:space="0" w:color="auto"/>
        <w:bottom w:val="none" w:sz="0" w:space="0" w:color="auto"/>
        <w:right w:val="none" w:sz="0" w:space="0" w:color="auto"/>
      </w:divBdr>
    </w:div>
    <w:div w:id="1921089173">
      <w:bodyDiv w:val="1"/>
      <w:marLeft w:val="0"/>
      <w:marRight w:val="0"/>
      <w:marTop w:val="0"/>
      <w:marBottom w:val="0"/>
      <w:divBdr>
        <w:top w:val="none" w:sz="0" w:space="0" w:color="auto"/>
        <w:left w:val="none" w:sz="0" w:space="0" w:color="auto"/>
        <w:bottom w:val="none" w:sz="0" w:space="0" w:color="auto"/>
        <w:right w:val="none" w:sz="0" w:space="0" w:color="auto"/>
      </w:divBdr>
    </w:div>
    <w:div w:id="2040622250">
      <w:bodyDiv w:val="1"/>
      <w:marLeft w:val="0"/>
      <w:marRight w:val="0"/>
      <w:marTop w:val="0"/>
      <w:marBottom w:val="0"/>
      <w:divBdr>
        <w:top w:val="none" w:sz="0" w:space="0" w:color="auto"/>
        <w:left w:val="none" w:sz="0" w:space="0" w:color="auto"/>
        <w:bottom w:val="none" w:sz="0" w:space="0" w:color="auto"/>
        <w:right w:val="none" w:sz="0" w:space="0" w:color="auto"/>
      </w:divBdr>
    </w:div>
    <w:div w:id="2084597337">
      <w:bodyDiv w:val="1"/>
      <w:marLeft w:val="0"/>
      <w:marRight w:val="0"/>
      <w:marTop w:val="0"/>
      <w:marBottom w:val="0"/>
      <w:divBdr>
        <w:top w:val="none" w:sz="0" w:space="0" w:color="auto"/>
        <w:left w:val="none" w:sz="0" w:space="0" w:color="auto"/>
        <w:bottom w:val="none" w:sz="0" w:space="0" w:color="auto"/>
        <w:right w:val="none" w:sz="0" w:space="0" w:color="auto"/>
      </w:divBdr>
    </w:div>
    <w:div w:id="2117630018">
      <w:bodyDiv w:val="1"/>
      <w:marLeft w:val="0"/>
      <w:marRight w:val="0"/>
      <w:marTop w:val="0"/>
      <w:marBottom w:val="0"/>
      <w:divBdr>
        <w:top w:val="none" w:sz="0" w:space="0" w:color="auto"/>
        <w:left w:val="none" w:sz="0" w:space="0" w:color="auto"/>
        <w:bottom w:val="none" w:sz="0" w:space="0" w:color="auto"/>
        <w:right w:val="none" w:sz="0" w:space="0" w:color="auto"/>
      </w:divBdr>
    </w:div>
    <w:div w:id="21357094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f"/><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81F9D3-EA01-5C46-842D-A9E5C4E311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25</Pages>
  <Words>35275</Words>
  <Characters>201069</Characters>
  <Application>Microsoft Office Word</Application>
  <DocSecurity>0</DocSecurity>
  <Lines>1675</Lines>
  <Paragraphs>471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235873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4</cp:revision>
  <dcterms:created xsi:type="dcterms:W3CDTF">2020-04-17T12:40:00Z</dcterms:created>
  <dcterms:modified xsi:type="dcterms:W3CDTF">2020-04-17T14:05:00Z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8ccdf822-fa90-3d06-99a5-47a81373cede</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7th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10th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