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8B061" w14:textId="7F9FF0F5" w:rsidR="00C01A47" w:rsidRPr="00814C56" w:rsidRDefault="00814C56">
      <w:pPr>
        <w:rPr>
          <w:rFonts w:ascii="Arial" w:hAnsi="Arial" w:cs="Arial"/>
          <w:sz w:val="24"/>
          <w:szCs w:val="24"/>
        </w:rPr>
      </w:pPr>
      <w:bookmarkStart w:id="0" w:name="_GoBack"/>
      <w:bookmarkEnd w:id="0"/>
      <w:r w:rsidRPr="00814C56">
        <w:rPr>
          <w:rFonts w:ascii="Arial" w:hAnsi="Arial" w:cs="Arial"/>
          <w:sz w:val="24"/>
          <w:szCs w:val="24"/>
        </w:rPr>
        <w:t>LETTER</w:t>
      </w:r>
    </w:p>
    <w:p w14:paraId="6820D68A" w14:textId="77777777" w:rsidR="0082795E" w:rsidRDefault="0082795E">
      <w:pPr>
        <w:rPr>
          <w:rFonts w:ascii="Arial" w:hAnsi="Arial" w:cs="Arial"/>
          <w:b/>
          <w:bCs/>
          <w:sz w:val="24"/>
          <w:szCs w:val="24"/>
        </w:rPr>
      </w:pPr>
    </w:p>
    <w:p w14:paraId="44E0F3E8" w14:textId="7A09E19A" w:rsidR="00814C56" w:rsidRDefault="00814C56">
      <w:pPr>
        <w:rPr>
          <w:rFonts w:ascii="Arial" w:hAnsi="Arial" w:cs="Arial"/>
          <w:b/>
          <w:bCs/>
          <w:sz w:val="24"/>
          <w:szCs w:val="24"/>
        </w:rPr>
      </w:pPr>
      <w:r w:rsidRPr="00814C56">
        <w:rPr>
          <w:rFonts w:ascii="Arial" w:hAnsi="Arial" w:cs="Arial"/>
          <w:b/>
          <w:bCs/>
          <w:sz w:val="24"/>
          <w:szCs w:val="24"/>
        </w:rPr>
        <w:t>PREDICTING THE LAST DAYS OF LIFE WILL CHANGE CLINICAL PRACTICE</w:t>
      </w:r>
    </w:p>
    <w:p w14:paraId="0A28E800" w14:textId="5E58FFBF" w:rsidR="00814C56" w:rsidRDefault="00814C56">
      <w:pPr>
        <w:rPr>
          <w:rFonts w:ascii="Arial" w:hAnsi="Arial" w:cs="Arial"/>
          <w:b/>
          <w:bCs/>
          <w:sz w:val="24"/>
          <w:szCs w:val="24"/>
        </w:rPr>
      </w:pPr>
    </w:p>
    <w:p w14:paraId="175821A0" w14:textId="057BC5D3" w:rsidR="00814C56" w:rsidRDefault="00814C56">
      <w:pPr>
        <w:rPr>
          <w:rFonts w:ascii="Arial" w:hAnsi="Arial" w:cs="Arial"/>
          <w:sz w:val="24"/>
          <w:szCs w:val="24"/>
        </w:rPr>
      </w:pPr>
      <w:r>
        <w:rPr>
          <w:rFonts w:ascii="Arial" w:hAnsi="Arial" w:cs="Arial"/>
          <w:sz w:val="24"/>
          <w:szCs w:val="24"/>
        </w:rPr>
        <w:t>AUTHORS</w:t>
      </w:r>
      <w:r w:rsidR="00EA2DDF">
        <w:rPr>
          <w:rFonts w:ascii="Arial" w:hAnsi="Arial" w:cs="Arial"/>
          <w:sz w:val="24"/>
          <w:szCs w:val="24"/>
        </w:rPr>
        <w:t>:  Dr. Elinor Chapman, Dr. Seamus Coyle</w:t>
      </w:r>
    </w:p>
    <w:p w14:paraId="7860DEB4" w14:textId="374CA24B" w:rsidR="00EA2DDF" w:rsidRDefault="00EA2DDF">
      <w:pPr>
        <w:rPr>
          <w:rFonts w:ascii="Arial" w:hAnsi="Arial" w:cs="Arial"/>
          <w:sz w:val="24"/>
          <w:szCs w:val="24"/>
        </w:rPr>
      </w:pPr>
    </w:p>
    <w:p w14:paraId="11FAD750" w14:textId="0EAF06EC" w:rsidR="00EA2DDF" w:rsidRDefault="00EA2DDF" w:rsidP="00EA2DDF">
      <w:pPr>
        <w:spacing w:line="480" w:lineRule="auto"/>
        <w:rPr>
          <w:rFonts w:ascii="Arial" w:hAnsi="Arial" w:cs="Arial"/>
          <w:sz w:val="24"/>
          <w:szCs w:val="24"/>
        </w:rPr>
      </w:pPr>
      <w:r>
        <w:rPr>
          <w:rFonts w:ascii="Arial" w:hAnsi="Arial" w:cs="Arial"/>
          <w:sz w:val="24"/>
          <w:szCs w:val="24"/>
        </w:rPr>
        <w:t>Dying patients can have distressing symptoms and medications exist to control them.  It needs to be actively managed – there is no such thing as nothing more can be done.  Yet, recognition of dying is difficult.  No objective diagnostic test exists and there is often hug uncertainty.  Knowing if a person is dying is crucial for patients, their families, the medical teams and clinicians to plan and provide the best care.</w:t>
      </w:r>
    </w:p>
    <w:p w14:paraId="6BA95636" w14:textId="5A5D4496" w:rsidR="00EA2DDF" w:rsidRDefault="00EA2DDF" w:rsidP="00EA2DDF">
      <w:pPr>
        <w:spacing w:line="480" w:lineRule="auto"/>
        <w:rPr>
          <w:rFonts w:ascii="Arial" w:hAnsi="Arial" w:cs="Arial"/>
          <w:sz w:val="24"/>
          <w:szCs w:val="24"/>
        </w:rPr>
      </w:pPr>
    </w:p>
    <w:p w14:paraId="471D08C8" w14:textId="4290DC09" w:rsidR="00EA2DDF" w:rsidRDefault="00EA2DDF" w:rsidP="00EA2DDF">
      <w:pPr>
        <w:spacing w:line="480" w:lineRule="auto"/>
        <w:rPr>
          <w:rFonts w:ascii="Arial" w:hAnsi="Arial" w:cs="Arial"/>
          <w:sz w:val="24"/>
          <w:szCs w:val="24"/>
        </w:rPr>
      </w:pPr>
      <w:r>
        <w:rPr>
          <w:rFonts w:ascii="Arial" w:hAnsi="Arial" w:cs="Arial"/>
          <w:sz w:val="24"/>
          <w:szCs w:val="24"/>
        </w:rPr>
        <w:t xml:space="preserve">The current standard to predict dying is the best guess of at least two members of the Multi-Disciplinary Team.  Physicians predictions are frequently inaccurate </w:t>
      </w:r>
      <w:r>
        <w:rPr>
          <w:rFonts w:ascii="Arial" w:hAnsi="Arial" w:cs="Arial"/>
          <w:sz w:val="24"/>
          <w:szCs w:val="24"/>
        </w:rPr>
        <w:lastRenderedPageBreak/>
        <w:t>and overoptimistic (1, 2).  A systematic review that included 1.2 million patients, demonstrated that non-beneficial antibiotics, cardiovascular, digestive and endocrine treatments to the dying occurred in 11-75% (mean 38%) (3).</w:t>
      </w:r>
    </w:p>
    <w:p w14:paraId="4A5612AC" w14:textId="63171C4F" w:rsidR="00EA2DDF" w:rsidRDefault="00EA2DDF" w:rsidP="00EA2DDF">
      <w:pPr>
        <w:spacing w:line="480" w:lineRule="auto"/>
        <w:rPr>
          <w:rFonts w:ascii="Arial" w:hAnsi="Arial" w:cs="Arial"/>
          <w:sz w:val="24"/>
          <w:szCs w:val="24"/>
        </w:rPr>
      </w:pPr>
    </w:p>
    <w:p w14:paraId="08A5FC03" w14:textId="58721156" w:rsidR="00EA2DDF" w:rsidRDefault="00A7119A" w:rsidP="00EA2DDF">
      <w:pPr>
        <w:spacing w:line="480" w:lineRule="auto"/>
        <w:rPr>
          <w:rFonts w:ascii="Arial" w:hAnsi="Arial" w:cs="Arial"/>
          <w:sz w:val="24"/>
          <w:szCs w:val="24"/>
        </w:rPr>
      </w:pPr>
      <w:r>
        <w:rPr>
          <w:rFonts w:ascii="Arial" w:hAnsi="Arial" w:cs="Arial"/>
          <w:sz w:val="24"/>
          <w:szCs w:val="24"/>
        </w:rPr>
        <w:t>Despite decades of cancer research little is known about how people die from cancer (4).  Research into the dying process is unexplored; the Neuberger report recommended funding be made available to develop the evidence base (5).</w:t>
      </w:r>
    </w:p>
    <w:p w14:paraId="2B0FF360" w14:textId="1DF86944" w:rsidR="00A7119A" w:rsidRDefault="00A7119A" w:rsidP="00EA2DDF">
      <w:pPr>
        <w:spacing w:line="480" w:lineRule="auto"/>
        <w:rPr>
          <w:rFonts w:ascii="Arial" w:hAnsi="Arial" w:cs="Arial"/>
          <w:sz w:val="24"/>
          <w:szCs w:val="24"/>
        </w:rPr>
      </w:pPr>
    </w:p>
    <w:p w14:paraId="5DEB22CE" w14:textId="355B2B63" w:rsidR="00A7119A" w:rsidRDefault="00CC4587" w:rsidP="00EA2DDF">
      <w:pPr>
        <w:spacing w:line="480" w:lineRule="auto"/>
        <w:rPr>
          <w:rFonts w:ascii="Arial" w:hAnsi="Arial" w:cs="Arial"/>
          <w:sz w:val="24"/>
          <w:szCs w:val="24"/>
        </w:rPr>
      </w:pPr>
      <w:r>
        <w:rPr>
          <w:rFonts w:ascii="Arial" w:hAnsi="Arial" w:cs="Arial"/>
          <w:sz w:val="24"/>
          <w:szCs w:val="24"/>
        </w:rPr>
        <w:t>Our research explores the biology of dying and aims to identify biomarkers for different dying phases within the last month of life.  Feedback questioned the need for biomarkers of the process and that they would not be clinically useful or change clinical practice.</w:t>
      </w:r>
    </w:p>
    <w:p w14:paraId="059C3B07" w14:textId="559128A6" w:rsidR="00CC4587" w:rsidRDefault="00CC4587" w:rsidP="00EA2DDF">
      <w:pPr>
        <w:spacing w:line="480" w:lineRule="auto"/>
        <w:rPr>
          <w:rFonts w:ascii="Arial" w:hAnsi="Arial" w:cs="Arial"/>
          <w:sz w:val="24"/>
          <w:szCs w:val="24"/>
        </w:rPr>
      </w:pPr>
    </w:p>
    <w:p w14:paraId="3CD14F7B" w14:textId="4F77BF07" w:rsidR="00CC4587" w:rsidRDefault="00CC4587" w:rsidP="00EA2DDF">
      <w:pPr>
        <w:spacing w:line="480" w:lineRule="auto"/>
        <w:rPr>
          <w:rFonts w:ascii="Arial" w:hAnsi="Arial" w:cs="Arial"/>
          <w:sz w:val="24"/>
          <w:szCs w:val="24"/>
        </w:rPr>
      </w:pPr>
      <w:r>
        <w:rPr>
          <w:rFonts w:ascii="Arial" w:hAnsi="Arial" w:cs="Arial"/>
          <w:sz w:val="24"/>
          <w:szCs w:val="24"/>
        </w:rPr>
        <w:lastRenderedPageBreak/>
        <w:t>In response, we did a short local survey of senior palliative medicine physicians in the UK North West coast region of their opinion about a test for dying.  We sent the survey to 55 physicians and got 27 responses (26 Consultants; 1 Associate Specialist).</w:t>
      </w:r>
    </w:p>
    <w:p w14:paraId="3FE84D6E" w14:textId="4DEF3F4A" w:rsidR="00CC4587" w:rsidRDefault="00CC4587" w:rsidP="00EA2DDF">
      <w:pPr>
        <w:spacing w:line="480" w:lineRule="auto"/>
        <w:rPr>
          <w:rFonts w:ascii="Arial" w:hAnsi="Arial" w:cs="Arial"/>
          <w:sz w:val="24"/>
          <w:szCs w:val="24"/>
        </w:rPr>
      </w:pPr>
    </w:p>
    <w:p w14:paraId="6E5BDAEA" w14:textId="13C7FB8C" w:rsidR="00CC4587" w:rsidRDefault="007F2FF8" w:rsidP="00EA2DDF">
      <w:pPr>
        <w:spacing w:line="480" w:lineRule="auto"/>
        <w:rPr>
          <w:rFonts w:ascii="Arial" w:hAnsi="Arial" w:cs="Arial"/>
          <w:sz w:val="24"/>
          <w:szCs w:val="24"/>
        </w:rPr>
      </w:pPr>
      <w:r>
        <w:rPr>
          <w:rFonts w:ascii="Arial" w:hAnsi="Arial" w:cs="Arial"/>
          <w:sz w:val="24"/>
          <w:szCs w:val="24"/>
        </w:rPr>
        <w:t>The survey (see Table) confirmed the difficulty (difficult to impossible) recognizing the last 2 weeks (81%) and days of life (41%)</w:t>
      </w:r>
      <w:r w:rsidR="005E0E86">
        <w:rPr>
          <w:rFonts w:ascii="Arial" w:hAnsi="Arial" w:cs="Arial"/>
          <w:sz w:val="24"/>
          <w:szCs w:val="24"/>
        </w:rPr>
        <w:t xml:space="preserve"> and their importance (very important or important) – 93% for both.  A test for the dying process would change clinical practice, 67% last days 75% last 2 weeks.  Clinical practice would change frequently (daily/weekly); 83% last days, 91% last 2 weeks.  A test would lead </w:t>
      </w:r>
      <w:r w:rsidR="0082795E">
        <w:rPr>
          <w:rFonts w:ascii="Arial" w:hAnsi="Arial" w:cs="Arial"/>
          <w:sz w:val="24"/>
          <w:szCs w:val="24"/>
        </w:rPr>
        <w:t>to better</w:t>
      </w:r>
      <w:r w:rsidR="005E0E86">
        <w:rPr>
          <w:rFonts w:ascii="Arial" w:hAnsi="Arial" w:cs="Arial"/>
          <w:sz w:val="24"/>
          <w:szCs w:val="24"/>
        </w:rPr>
        <w:t xml:space="preserve"> symptom control, 37% last days and 44% last 2 weeks; decreased investigations, 78% both time scales; more informed communication, 85% both timescales; and facilitate a person’s preferred place of care and dying, 78% last days, 81% last 2 weeks.</w:t>
      </w:r>
    </w:p>
    <w:p w14:paraId="1F2C79B6" w14:textId="77777777" w:rsidR="0082795E" w:rsidRDefault="0082795E">
      <w:pPr>
        <w:rPr>
          <w:rFonts w:ascii="Arial" w:hAnsi="Arial" w:cs="Arial"/>
          <w:sz w:val="24"/>
          <w:szCs w:val="24"/>
        </w:rPr>
      </w:pPr>
    </w:p>
    <w:p w14:paraId="379375C6" w14:textId="61ECFB02" w:rsidR="005E0E86" w:rsidRDefault="00936515" w:rsidP="00EA2DDF">
      <w:pPr>
        <w:spacing w:line="480" w:lineRule="auto"/>
        <w:rPr>
          <w:rFonts w:ascii="Arial" w:hAnsi="Arial" w:cs="Arial"/>
          <w:sz w:val="24"/>
          <w:szCs w:val="24"/>
        </w:rPr>
      </w:pPr>
      <w:r>
        <w:rPr>
          <w:rFonts w:ascii="Arial" w:hAnsi="Arial" w:cs="Arial"/>
          <w:sz w:val="24"/>
          <w:szCs w:val="24"/>
        </w:rPr>
        <w:lastRenderedPageBreak/>
        <w:t>The survey raised concerns any test developed would need to address.  How to decide when to discuss a test for dying with patients and their families’; getting consent for the test is likely to be challenging’; and the test could be done on everyone, to screen for dying; however, this raises ethical questions.</w:t>
      </w:r>
    </w:p>
    <w:p w14:paraId="030DF72D" w14:textId="6FFD2735" w:rsidR="00DC147C" w:rsidRDefault="00DC147C" w:rsidP="00EA2DDF">
      <w:pPr>
        <w:spacing w:line="480" w:lineRule="auto"/>
        <w:rPr>
          <w:rFonts w:ascii="Arial" w:hAnsi="Arial" w:cs="Arial"/>
          <w:sz w:val="24"/>
          <w:szCs w:val="24"/>
        </w:rPr>
      </w:pPr>
      <w:r>
        <w:rPr>
          <w:rFonts w:ascii="Arial" w:hAnsi="Arial" w:cs="Arial"/>
          <w:sz w:val="24"/>
          <w:szCs w:val="24"/>
        </w:rPr>
        <w:t>Recognition of a dying person will change management by:</w:t>
      </w:r>
    </w:p>
    <w:p w14:paraId="5DD607C6" w14:textId="7384FCC0" w:rsidR="00DC147C" w:rsidRDefault="00DC147C" w:rsidP="00DC147C">
      <w:pPr>
        <w:pStyle w:val="ListParagraph"/>
        <w:numPr>
          <w:ilvl w:val="0"/>
          <w:numId w:val="3"/>
        </w:numPr>
        <w:spacing w:line="480" w:lineRule="auto"/>
        <w:rPr>
          <w:rFonts w:ascii="Arial" w:hAnsi="Arial" w:cs="Arial"/>
          <w:sz w:val="24"/>
          <w:szCs w:val="24"/>
        </w:rPr>
      </w:pPr>
      <w:r>
        <w:rPr>
          <w:rFonts w:ascii="Arial" w:hAnsi="Arial" w:cs="Arial"/>
          <w:sz w:val="24"/>
          <w:szCs w:val="24"/>
        </w:rPr>
        <w:t>Allow a dignified death; including help people achieve their preferred place of care and death.</w:t>
      </w:r>
    </w:p>
    <w:p w14:paraId="4FE1473D" w14:textId="21B11EBB" w:rsidR="00DC147C" w:rsidRDefault="00DC147C" w:rsidP="00DC147C">
      <w:pPr>
        <w:pStyle w:val="ListParagraph"/>
        <w:numPr>
          <w:ilvl w:val="0"/>
          <w:numId w:val="3"/>
        </w:numPr>
        <w:spacing w:line="480" w:lineRule="auto"/>
        <w:rPr>
          <w:rFonts w:ascii="Arial" w:hAnsi="Arial" w:cs="Arial"/>
          <w:sz w:val="24"/>
          <w:szCs w:val="24"/>
        </w:rPr>
      </w:pPr>
      <w:r>
        <w:rPr>
          <w:rFonts w:ascii="Arial" w:hAnsi="Arial" w:cs="Arial"/>
          <w:sz w:val="24"/>
          <w:szCs w:val="24"/>
        </w:rPr>
        <w:t>Decreased patient, patient, family and clinician uncertainty and distress towards the end of life.</w:t>
      </w:r>
    </w:p>
    <w:p w14:paraId="22F4B943" w14:textId="3ED27080" w:rsidR="00DC147C" w:rsidRDefault="00DC147C" w:rsidP="00DC147C">
      <w:pPr>
        <w:pStyle w:val="ListParagraph"/>
        <w:numPr>
          <w:ilvl w:val="0"/>
          <w:numId w:val="3"/>
        </w:numPr>
        <w:spacing w:line="480" w:lineRule="auto"/>
        <w:rPr>
          <w:rFonts w:ascii="Arial" w:hAnsi="Arial" w:cs="Arial"/>
          <w:sz w:val="24"/>
          <w:szCs w:val="24"/>
        </w:rPr>
      </w:pPr>
      <w:r>
        <w:rPr>
          <w:rFonts w:ascii="Arial" w:hAnsi="Arial" w:cs="Arial"/>
          <w:sz w:val="24"/>
          <w:szCs w:val="24"/>
        </w:rPr>
        <w:t>Improved communication about dying between clinicians, patients and family and as a result helping the bereavement process.</w:t>
      </w:r>
    </w:p>
    <w:p w14:paraId="2A32C24E" w14:textId="5EF85A21" w:rsidR="00DC147C" w:rsidRDefault="00DC147C" w:rsidP="00DC147C">
      <w:pPr>
        <w:pStyle w:val="ListParagraph"/>
        <w:numPr>
          <w:ilvl w:val="0"/>
          <w:numId w:val="3"/>
        </w:numPr>
        <w:spacing w:line="480" w:lineRule="auto"/>
        <w:rPr>
          <w:rFonts w:ascii="Arial" w:hAnsi="Arial" w:cs="Arial"/>
          <w:sz w:val="24"/>
          <w:szCs w:val="24"/>
        </w:rPr>
      </w:pPr>
      <w:r>
        <w:rPr>
          <w:rFonts w:ascii="Arial" w:hAnsi="Arial" w:cs="Arial"/>
          <w:sz w:val="24"/>
          <w:szCs w:val="24"/>
        </w:rPr>
        <w:t>Improved symptom control e.g. management of terminal agitation.</w:t>
      </w:r>
    </w:p>
    <w:p w14:paraId="78A69281" w14:textId="5FCB0BF4" w:rsidR="00DC147C" w:rsidRDefault="00DC147C" w:rsidP="00DC147C">
      <w:pPr>
        <w:pStyle w:val="ListParagraph"/>
        <w:numPr>
          <w:ilvl w:val="0"/>
          <w:numId w:val="3"/>
        </w:numPr>
        <w:spacing w:line="480" w:lineRule="auto"/>
        <w:rPr>
          <w:rFonts w:ascii="Arial" w:hAnsi="Arial" w:cs="Arial"/>
          <w:sz w:val="24"/>
          <w:szCs w:val="24"/>
        </w:rPr>
      </w:pPr>
      <w:r>
        <w:rPr>
          <w:rFonts w:ascii="Arial" w:hAnsi="Arial" w:cs="Arial"/>
          <w:sz w:val="24"/>
          <w:szCs w:val="24"/>
        </w:rPr>
        <w:t>Decreased inappropriate investigation and interventions.</w:t>
      </w:r>
    </w:p>
    <w:p w14:paraId="0B967B77" w14:textId="73B37731" w:rsidR="00DC147C" w:rsidRDefault="00DC147C" w:rsidP="00DC147C">
      <w:pPr>
        <w:pStyle w:val="ListParagraph"/>
        <w:spacing w:line="480" w:lineRule="auto"/>
        <w:ind w:left="0"/>
        <w:rPr>
          <w:rFonts w:ascii="Arial" w:hAnsi="Arial" w:cs="Arial"/>
          <w:sz w:val="24"/>
          <w:szCs w:val="24"/>
        </w:rPr>
      </w:pPr>
      <w:r>
        <w:rPr>
          <w:rFonts w:ascii="Arial" w:hAnsi="Arial" w:cs="Arial"/>
          <w:sz w:val="24"/>
          <w:szCs w:val="24"/>
        </w:rPr>
        <w:t>Overall, these five changes will produce significant cost</w:t>
      </w:r>
      <w:r w:rsidR="009E6153">
        <w:rPr>
          <w:rFonts w:ascii="Arial" w:hAnsi="Arial" w:cs="Arial"/>
          <w:sz w:val="24"/>
          <w:szCs w:val="24"/>
        </w:rPr>
        <w:t xml:space="preserve"> savings to NHS through better care or interventions for both patient and family.</w:t>
      </w:r>
    </w:p>
    <w:p w14:paraId="46F07B40" w14:textId="12B5282F" w:rsidR="009E6153" w:rsidRDefault="009E6153" w:rsidP="00DC147C">
      <w:pPr>
        <w:pStyle w:val="ListParagraph"/>
        <w:spacing w:line="480" w:lineRule="auto"/>
        <w:ind w:left="0"/>
        <w:rPr>
          <w:rFonts w:ascii="Arial" w:hAnsi="Arial" w:cs="Arial"/>
          <w:sz w:val="24"/>
          <w:szCs w:val="24"/>
        </w:rPr>
      </w:pPr>
    </w:p>
    <w:p w14:paraId="4AD3560F" w14:textId="1D608259" w:rsidR="009E6153" w:rsidRDefault="009E6153" w:rsidP="00DC147C">
      <w:pPr>
        <w:pStyle w:val="ListParagraph"/>
        <w:spacing w:line="480" w:lineRule="auto"/>
        <w:ind w:left="0"/>
        <w:rPr>
          <w:rFonts w:ascii="Arial" w:hAnsi="Arial" w:cs="Arial"/>
          <w:sz w:val="24"/>
          <w:szCs w:val="24"/>
        </w:rPr>
      </w:pPr>
      <w:r>
        <w:rPr>
          <w:rFonts w:ascii="Arial" w:hAnsi="Arial" w:cs="Arial"/>
          <w:sz w:val="24"/>
          <w:szCs w:val="24"/>
        </w:rPr>
        <w:t>To achieve these changes recognition of dying needs to improve.  Developing identified biomarkers into a test that predicts the dying process needs to investigate the biochemical mechanisms involved, be validated in different cohorts and explore the health economics.  Our survey highlights the need for exploration of the ethical issues and development of a clinical decision pathway.</w:t>
      </w:r>
    </w:p>
    <w:p w14:paraId="1A7563F4" w14:textId="24885664" w:rsidR="009E6153" w:rsidRDefault="009E6153" w:rsidP="00DC147C">
      <w:pPr>
        <w:pStyle w:val="ListParagraph"/>
        <w:spacing w:line="480" w:lineRule="auto"/>
        <w:ind w:left="0"/>
        <w:rPr>
          <w:rFonts w:ascii="Arial" w:hAnsi="Arial" w:cs="Arial"/>
          <w:sz w:val="24"/>
          <w:szCs w:val="24"/>
        </w:rPr>
      </w:pPr>
    </w:p>
    <w:p w14:paraId="1D671080" w14:textId="5A237F57" w:rsidR="009E6153" w:rsidRDefault="009E6153" w:rsidP="00DC147C">
      <w:pPr>
        <w:pStyle w:val="ListParagraph"/>
        <w:spacing w:line="480" w:lineRule="auto"/>
        <w:ind w:left="0"/>
        <w:rPr>
          <w:rFonts w:ascii="Arial" w:hAnsi="Arial" w:cs="Arial"/>
          <w:sz w:val="24"/>
          <w:szCs w:val="24"/>
        </w:rPr>
      </w:pPr>
      <w:r>
        <w:rPr>
          <w:rFonts w:ascii="Arial" w:hAnsi="Arial" w:cs="Arial"/>
          <w:sz w:val="24"/>
          <w:szCs w:val="24"/>
        </w:rPr>
        <w:t>The biology of how we die is an important but neglected research area.  It must be a research priority.  A test predicting the last days of life is important.  It will change clinical practice and improve the care dying people receive.</w:t>
      </w:r>
    </w:p>
    <w:p w14:paraId="1ED9052C" w14:textId="06A8374A" w:rsidR="009E6153" w:rsidRDefault="009E6153" w:rsidP="00DC147C">
      <w:pPr>
        <w:pStyle w:val="ListParagraph"/>
        <w:spacing w:line="480" w:lineRule="auto"/>
        <w:ind w:left="0"/>
        <w:rPr>
          <w:rFonts w:ascii="Arial" w:hAnsi="Arial" w:cs="Arial"/>
          <w:sz w:val="24"/>
          <w:szCs w:val="24"/>
        </w:rPr>
      </w:pPr>
    </w:p>
    <w:tbl>
      <w:tblPr>
        <w:tblStyle w:val="TableGrid"/>
        <w:tblW w:w="9558" w:type="dxa"/>
        <w:tblInd w:w="-95" w:type="dxa"/>
        <w:tblLook w:val="04A0" w:firstRow="1" w:lastRow="0" w:firstColumn="1" w:lastColumn="0" w:noHBand="0" w:noVBand="1"/>
      </w:tblPr>
      <w:tblGrid>
        <w:gridCol w:w="4909"/>
        <w:gridCol w:w="2251"/>
        <w:gridCol w:w="2398"/>
      </w:tblGrid>
      <w:tr w:rsidR="003E73B2" w14:paraId="3EA1BC47" w14:textId="77777777" w:rsidTr="0082795E">
        <w:tc>
          <w:tcPr>
            <w:tcW w:w="4909" w:type="dxa"/>
          </w:tcPr>
          <w:p w14:paraId="23F9562E" w14:textId="77777777" w:rsidR="003E73B2" w:rsidRDefault="003E73B2" w:rsidP="00FD1F65">
            <w:pPr>
              <w:rPr>
                <w:rFonts w:ascii="Arial" w:hAnsi="Arial" w:cs="Arial"/>
                <w:sz w:val="24"/>
                <w:szCs w:val="24"/>
              </w:rPr>
            </w:pPr>
          </w:p>
        </w:tc>
        <w:tc>
          <w:tcPr>
            <w:tcW w:w="2251" w:type="dxa"/>
          </w:tcPr>
          <w:p w14:paraId="2F6BEAF1" w14:textId="70B40457" w:rsidR="003E73B2" w:rsidRPr="00FD1F65" w:rsidRDefault="003E73B2" w:rsidP="00FD1F65">
            <w:pPr>
              <w:jc w:val="center"/>
              <w:rPr>
                <w:rFonts w:ascii="Arial" w:hAnsi="Arial" w:cs="Arial"/>
                <w:b/>
                <w:bCs/>
                <w:sz w:val="24"/>
                <w:szCs w:val="24"/>
              </w:rPr>
            </w:pPr>
            <w:r w:rsidRPr="00FD1F65">
              <w:rPr>
                <w:rFonts w:ascii="Arial" w:hAnsi="Arial" w:cs="Arial"/>
                <w:b/>
                <w:bCs/>
                <w:sz w:val="24"/>
                <w:szCs w:val="24"/>
              </w:rPr>
              <w:t>Last 4 days of life</w:t>
            </w:r>
          </w:p>
        </w:tc>
        <w:tc>
          <w:tcPr>
            <w:tcW w:w="2398" w:type="dxa"/>
          </w:tcPr>
          <w:p w14:paraId="5A20FD49" w14:textId="527B7EDF" w:rsidR="003E73B2" w:rsidRPr="00FD1F65" w:rsidRDefault="003E73B2" w:rsidP="00FD1F65">
            <w:pPr>
              <w:jc w:val="center"/>
              <w:rPr>
                <w:rFonts w:ascii="Arial" w:hAnsi="Arial" w:cs="Arial"/>
                <w:b/>
                <w:bCs/>
                <w:sz w:val="24"/>
                <w:szCs w:val="24"/>
              </w:rPr>
            </w:pPr>
            <w:r w:rsidRPr="00FD1F65">
              <w:rPr>
                <w:rFonts w:ascii="Arial" w:hAnsi="Arial" w:cs="Arial"/>
                <w:b/>
                <w:bCs/>
                <w:sz w:val="24"/>
                <w:szCs w:val="24"/>
              </w:rPr>
              <w:t>Last 2 weeks of li</w:t>
            </w:r>
            <w:r w:rsidR="00FD1F65" w:rsidRPr="00FD1F65">
              <w:rPr>
                <w:rFonts w:ascii="Arial" w:hAnsi="Arial" w:cs="Arial"/>
                <w:b/>
                <w:bCs/>
                <w:sz w:val="24"/>
                <w:szCs w:val="24"/>
              </w:rPr>
              <w:t>fe</w:t>
            </w:r>
          </w:p>
        </w:tc>
      </w:tr>
      <w:tr w:rsidR="003E73B2" w14:paraId="1FC5DDB8" w14:textId="77777777" w:rsidTr="0082795E">
        <w:tc>
          <w:tcPr>
            <w:tcW w:w="4909" w:type="dxa"/>
          </w:tcPr>
          <w:p w14:paraId="5C58A648" w14:textId="77777777" w:rsidR="003E73B2" w:rsidRDefault="00FD1F65" w:rsidP="00FD1F65">
            <w:pPr>
              <w:rPr>
                <w:rFonts w:ascii="Arial" w:hAnsi="Arial" w:cs="Arial"/>
                <w:sz w:val="24"/>
                <w:szCs w:val="24"/>
              </w:rPr>
            </w:pPr>
            <w:r>
              <w:rPr>
                <w:rFonts w:ascii="Arial" w:hAnsi="Arial" w:cs="Arial"/>
                <w:sz w:val="24"/>
                <w:szCs w:val="24"/>
              </w:rPr>
              <w:t>Ability to recognize this phase is considered difficult to impossible</w:t>
            </w:r>
          </w:p>
          <w:p w14:paraId="5DC0B2B4" w14:textId="4352D8EC" w:rsidR="00FD1F65" w:rsidRDefault="00FD1F65" w:rsidP="00FD1F65">
            <w:pPr>
              <w:rPr>
                <w:rFonts w:ascii="Arial" w:hAnsi="Arial" w:cs="Arial"/>
                <w:sz w:val="24"/>
                <w:szCs w:val="24"/>
              </w:rPr>
            </w:pPr>
          </w:p>
        </w:tc>
        <w:tc>
          <w:tcPr>
            <w:tcW w:w="2251" w:type="dxa"/>
          </w:tcPr>
          <w:p w14:paraId="02F063F1" w14:textId="77777777" w:rsidR="003E73B2" w:rsidRDefault="003E73B2" w:rsidP="00FD1F65">
            <w:pPr>
              <w:jc w:val="center"/>
              <w:rPr>
                <w:rFonts w:ascii="Arial" w:hAnsi="Arial" w:cs="Arial"/>
                <w:sz w:val="24"/>
                <w:szCs w:val="24"/>
              </w:rPr>
            </w:pPr>
          </w:p>
          <w:p w14:paraId="44948519" w14:textId="1237139D" w:rsidR="00FD1F65" w:rsidRDefault="00FD1F65" w:rsidP="00FD1F65">
            <w:pPr>
              <w:jc w:val="center"/>
              <w:rPr>
                <w:rFonts w:ascii="Arial" w:hAnsi="Arial" w:cs="Arial"/>
                <w:sz w:val="24"/>
                <w:szCs w:val="24"/>
              </w:rPr>
            </w:pPr>
            <w:r>
              <w:rPr>
                <w:rFonts w:ascii="Arial" w:hAnsi="Arial" w:cs="Arial"/>
                <w:sz w:val="24"/>
                <w:szCs w:val="24"/>
              </w:rPr>
              <w:t>41%</w:t>
            </w:r>
          </w:p>
        </w:tc>
        <w:tc>
          <w:tcPr>
            <w:tcW w:w="2398" w:type="dxa"/>
          </w:tcPr>
          <w:p w14:paraId="797E2387" w14:textId="77777777" w:rsidR="003E73B2" w:rsidRDefault="003E73B2" w:rsidP="00FD1F65">
            <w:pPr>
              <w:jc w:val="center"/>
              <w:rPr>
                <w:rFonts w:ascii="Arial" w:hAnsi="Arial" w:cs="Arial"/>
                <w:sz w:val="24"/>
                <w:szCs w:val="24"/>
              </w:rPr>
            </w:pPr>
          </w:p>
          <w:p w14:paraId="10C2E488" w14:textId="13A605BF" w:rsidR="00FD1F65" w:rsidRDefault="00FD1F65" w:rsidP="00FD1F65">
            <w:pPr>
              <w:jc w:val="center"/>
              <w:rPr>
                <w:rFonts w:ascii="Arial" w:hAnsi="Arial" w:cs="Arial"/>
                <w:sz w:val="24"/>
                <w:szCs w:val="24"/>
              </w:rPr>
            </w:pPr>
            <w:r>
              <w:rPr>
                <w:rFonts w:ascii="Arial" w:hAnsi="Arial" w:cs="Arial"/>
                <w:sz w:val="24"/>
                <w:szCs w:val="24"/>
              </w:rPr>
              <w:t>81%</w:t>
            </w:r>
          </w:p>
        </w:tc>
      </w:tr>
      <w:tr w:rsidR="003E73B2" w14:paraId="133D033A" w14:textId="77777777" w:rsidTr="0082795E">
        <w:tc>
          <w:tcPr>
            <w:tcW w:w="4909" w:type="dxa"/>
          </w:tcPr>
          <w:p w14:paraId="04D7AB0C" w14:textId="7A2F6DB6" w:rsidR="003E73B2" w:rsidRDefault="00FD1F65" w:rsidP="00FD1F65">
            <w:pPr>
              <w:rPr>
                <w:rFonts w:ascii="Arial" w:hAnsi="Arial" w:cs="Arial"/>
                <w:sz w:val="24"/>
                <w:szCs w:val="24"/>
              </w:rPr>
            </w:pPr>
            <w:r>
              <w:rPr>
                <w:rFonts w:ascii="Arial" w:hAnsi="Arial" w:cs="Arial"/>
                <w:sz w:val="24"/>
                <w:szCs w:val="24"/>
              </w:rPr>
              <w:t>Important or very important to be able to predict this phase</w:t>
            </w:r>
          </w:p>
        </w:tc>
        <w:tc>
          <w:tcPr>
            <w:tcW w:w="2251" w:type="dxa"/>
          </w:tcPr>
          <w:p w14:paraId="548A50EA" w14:textId="77777777" w:rsidR="003E73B2" w:rsidRDefault="003E73B2" w:rsidP="00FD1F65">
            <w:pPr>
              <w:jc w:val="center"/>
              <w:rPr>
                <w:rFonts w:ascii="Arial" w:hAnsi="Arial" w:cs="Arial"/>
                <w:sz w:val="24"/>
                <w:szCs w:val="24"/>
              </w:rPr>
            </w:pPr>
          </w:p>
          <w:p w14:paraId="60C99E9C" w14:textId="7385B9B5" w:rsidR="00FD1F65" w:rsidRDefault="00FD1F65" w:rsidP="00FD1F65">
            <w:pPr>
              <w:jc w:val="center"/>
              <w:rPr>
                <w:rFonts w:ascii="Arial" w:hAnsi="Arial" w:cs="Arial"/>
                <w:sz w:val="24"/>
                <w:szCs w:val="24"/>
              </w:rPr>
            </w:pPr>
            <w:r>
              <w:rPr>
                <w:rFonts w:ascii="Arial" w:hAnsi="Arial" w:cs="Arial"/>
                <w:sz w:val="24"/>
                <w:szCs w:val="24"/>
              </w:rPr>
              <w:t>93%</w:t>
            </w:r>
          </w:p>
        </w:tc>
        <w:tc>
          <w:tcPr>
            <w:tcW w:w="2398" w:type="dxa"/>
          </w:tcPr>
          <w:p w14:paraId="61EC4D02" w14:textId="77777777" w:rsidR="003E73B2" w:rsidRDefault="003E73B2" w:rsidP="00FD1F65">
            <w:pPr>
              <w:jc w:val="center"/>
              <w:rPr>
                <w:rFonts w:ascii="Arial" w:hAnsi="Arial" w:cs="Arial"/>
                <w:sz w:val="24"/>
                <w:szCs w:val="24"/>
              </w:rPr>
            </w:pPr>
          </w:p>
          <w:p w14:paraId="6AFF2994" w14:textId="59EAFE23" w:rsidR="00FD1F65" w:rsidRDefault="00FD1F65" w:rsidP="00FD1F65">
            <w:pPr>
              <w:jc w:val="center"/>
              <w:rPr>
                <w:rFonts w:ascii="Arial" w:hAnsi="Arial" w:cs="Arial"/>
                <w:sz w:val="24"/>
                <w:szCs w:val="24"/>
              </w:rPr>
            </w:pPr>
            <w:r>
              <w:rPr>
                <w:rFonts w:ascii="Arial" w:hAnsi="Arial" w:cs="Arial"/>
                <w:sz w:val="24"/>
                <w:szCs w:val="24"/>
              </w:rPr>
              <w:t>93%</w:t>
            </w:r>
          </w:p>
          <w:p w14:paraId="31D6A9CE" w14:textId="2B0B4913" w:rsidR="00FD1F65" w:rsidRDefault="00FD1F65" w:rsidP="00FD1F65">
            <w:pPr>
              <w:jc w:val="center"/>
              <w:rPr>
                <w:rFonts w:ascii="Arial" w:hAnsi="Arial" w:cs="Arial"/>
                <w:sz w:val="24"/>
                <w:szCs w:val="24"/>
              </w:rPr>
            </w:pPr>
          </w:p>
        </w:tc>
      </w:tr>
      <w:tr w:rsidR="003E73B2" w14:paraId="0C812AAF" w14:textId="77777777" w:rsidTr="0082795E">
        <w:tc>
          <w:tcPr>
            <w:tcW w:w="4909" w:type="dxa"/>
          </w:tcPr>
          <w:p w14:paraId="63D76344" w14:textId="77777777" w:rsidR="003E73B2" w:rsidRDefault="00FD1F65" w:rsidP="00FD1F65">
            <w:pPr>
              <w:rPr>
                <w:rFonts w:ascii="Arial" w:hAnsi="Arial" w:cs="Arial"/>
                <w:sz w:val="24"/>
                <w:szCs w:val="24"/>
              </w:rPr>
            </w:pPr>
            <w:r>
              <w:rPr>
                <w:rFonts w:ascii="Arial" w:hAnsi="Arial" w:cs="Arial"/>
                <w:sz w:val="24"/>
                <w:szCs w:val="24"/>
              </w:rPr>
              <w:t>Knowing this phase would (Yes or maybe):</w:t>
            </w:r>
          </w:p>
          <w:p w14:paraId="6C7A6A21" w14:textId="77777777" w:rsidR="00FD1F65" w:rsidRDefault="00FD1F65" w:rsidP="00FD1F65">
            <w:pPr>
              <w:pStyle w:val="ListParagraph"/>
              <w:numPr>
                <w:ilvl w:val="0"/>
                <w:numId w:val="1"/>
              </w:numPr>
              <w:rPr>
                <w:rFonts w:ascii="Arial" w:hAnsi="Arial" w:cs="Arial"/>
                <w:sz w:val="24"/>
                <w:szCs w:val="24"/>
              </w:rPr>
            </w:pPr>
            <w:r>
              <w:rPr>
                <w:rFonts w:ascii="Arial" w:hAnsi="Arial" w:cs="Arial"/>
                <w:sz w:val="24"/>
                <w:szCs w:val="24"/>
              </w:rPr>
              <w:t>Affect clinical practice</w:t>
            </w:r>
          </w:p>
          <w:p w14:paraId="44A7A3D9" w14:textId="77777777" w:rsidR="00FD1F65" w:rsidRDefault="00FD1F65" w:rsidP="00FD1F65">
            <w:pPr>
              <w:pStyle w:val="ListParagraph"/>
              <w:numPr>
                <w:ilvl w:val="0"/>
                <w:numId w:val="1"/>
              </w:numPr>
              <w:rPr>
                <w:rFonts w:ascii="Arial" w:hAnsi="Arial" w:cs="Arial"/>
                <w:sz w:val="24"/>
                <w:szCs w:val="24"/>
              </w:rPr>
            </w:pPr>
            <w:r>
              <w:rPr>
                <w:rFonts w:ascii="Arial" w:hAnsi="Arial" w:cs="Arial"/>
                <w:sz w:val="24"/>
                <w:szCs w:val="24"/>
              </w:rPr>
              <w:t>Daily/weekly?</w:t>
            </w:r>
          </w:p>
          <w:p w14:paraId="26B1952C" w14:textId="015778F5" w:rsidR="00FD1F65" w:rsidRPr="00FD1F65" w:rsidRDefault="00FD1F65" w:rsidP="00FD1F65">
            <w:pPr>
              <w:pStyle w:val="ListParagraph"/>
              <w:rPr>
                <w:rFonts w:ascii="Arial" w:hAnsi="Arial" w:cs="Arial"/>
                <w:sz w:val="24"/>
                <w:szCs w:val="24"/>
              </w:rPr>
            </w:pPr>
          </w:p>
        </w:tc>
        <w:tc>
          <w:tcPr>
            <w:tcW w:w="2251" w:type="dxa"/>
          </w:tcPr>
          <w:p w14:paraId="3AFB6BDC" w14:textId="77777777" w:rsidR="003E73B2" w:rsidRDefault="003E73B2" w:rsidP="00FD1F65">
            <w:pPr>
              <w:jc w:val="center"/>
              <w:rPr>
                <w:rFonts w:ascii="Arial" w:hAnsi="Arial" w:cs="Arial"/>
                <w:sz w:val="24"/>
                <w:szCs w:val="24"/>
              </w:rPr>
            </w:pPr>
          </w:p>
          <w:p w14:paraId="71223B48" w14:textId="77777777" w:rsidR="00FD1F65" w:rsidRDefault="00FD1F65" w:rsidP="00FD1F65">
            <w:pPr>
              <w:jc w:val="center"/>
              <w:rPr>
                <w:rFonts w:ascii="Arial" w:hAnsi="Arial" w:cs="Arial"/>
                <w:sz w:val="24"/>
                <w:szCs w:val="24"/>
              </w:rPr>
            </w:pPr>
            <w:r>
              <w:rPr>
                <w:rFonts w:ascii="Arial" w:hAnsi="Arial" w:cs="Arial"/>
                <w:sz w:val="24"/>
                <w:szCs w:val="24"/>
              </w:rPr>
              <w:t>96%</w:t>
            </w:r>
          </w:p>
          <w:p w14:paraId="05B48F4E" w14:textId="22AFA0A5" w:rsidR="00FD1F65" w:rsidRDefault="00FD1F65" w:rsidP="00FD1F65">
            <w:pPr>
              <w:jc w:val="center"/>
              <w:rPr>
                <w:rFonts w:ascii="Arial" w:hAnsi="Arial" w:cs="Arial"/>
                <w:sz w:val="24"/>
                <w:szCs w:val="24"/>
              </w:rPr>
            </w:pPr>
            <w:r>
              <w:rPr>
                <w:rFonts w:ascii="Arial" w:hAnsi="Arial" w:cs="Arial"/>
                <w:sz w:val="24"/>
                <w:szCs w:val="24"/>
              </w:rPr>
              <w:t>81%</w:t>
            </w:r>
          </w:p>
        </w:tc>
        <w:tc>
          <w:tcPr>
            <w:tcW w:w="2398" w:type="dxa"/>
          </w:tcPr>
          <w:p w14:paraId="4E9CA8DD" w14:textId="77777777" w:rsidR="003E73B2" w:rsidRDefault="003E73B2" w:rsidP="00FD1F65">
            <w:pPr>
              <w:jc w:val="center"/>
              <w:rPr>
                <w:rFonts w:ascii="Arial" w:hAnsi="Arial" w:cs="Arial"/>
                <w:sz w:val="24"/>
                <w:szCs w:val="24"/>
              </w:rPr>
            </w:pPr>
          </w:p>
          <w:p w14:paraId="61875536" w14:textId="77777777" w:rsidR="00FD1F65" w:rsidRDefault="00FD1F65" w:rsidP="00FD1F65">
            <w:pPr>
              <w:jc w:val="center"/>
              <w:rPr>
                <w:rFonts w:ascii="Arial" w:hAnsi="Arial" w:cs="Arial"/>
                <w:sz w:val="24"/>
                <w:szCs w:val="24"/>
              </w:rPr>
            </w:pPr>
            <w:r>
              <w:rPr>
                <w:rFonts w:ascii="Arial" w:hAnsi="Arial" w:cs="Arial"/>
                <w:sz w:val="24"/>
                <w:szCs w:val="24"/>
              </w:rPr>
              <w:t>100%</w:t>
            </w:r>
          </w:p>
          <w:p w14:paraId="7AEA6066" w14:textId="4AFE190F" w:rsidR="00FD1F65" w:rsidRDefault="00FD1F65" w:rsidP="00FD1F65">
            <w:pPr>
              <w:jc w:val="center"/>
              <w:rPr>
                <w:rFonts w:ascii="Arial" w:hAnsi="Arial" w:cs="Arial"/>
                <w:sz w:val="24"/>
                <w:szCs w:val="24"/>
              </w:rPr>
            </w:pPr>
            <w:r>
              <w:rPr>
                <w:rFonts w:ascii="Arial" w:hAnsi="Arial" w:cs="Arial"/>
                <w:sz w:val="24"/>
                <w:szCs w:val="24"/>
              </w:rPr>
              <w:t>91%</w:t>
            </w:r>
          </w:p>
        </w:tc>
      </w:tr>
      <w:tr w:rsidR="003E73B2" w14:paraId="4B2927FF" w14:textId="77777777" w:rsidTr="0082795E">
        <w:tc>
          <w:tcPr>
            <w:tcW w:w="4909" w:type="dxa"/>
          </w:tcPr>
          <w:p w14:paraId="4040BC31" w14:textId="77777777" w:rsidR="003E73B2" w:rsidRDefault="00FD1F65" w:rsidP="00FD1F65">
            <w:pPr>
              <w:rPr>
                <w:rFonts w:ascii="Arial" w:hAnsi="Arial" w:cs="Arial"/>
                <w:sz w:val="24"/>
                <w:szCs w:val="24"/>
              </w:rPr>
            </w:pPr>
            <w:r>
              <w:rPr>
                <w:rFonts w:ascii="Arial" w:hAnsi="Arial" w:cs="Arial"/>
                <w:sz w:val="24"/>
                <w:szCs w:val="24"/>
              </w:rPr>
              <w:lastRenderedPageBreak/>
              <w:t>Knowing this phase would:</w:t>
            </w:r>
          </w:p>
          <w:p w14:paraId="06E7295E" w14:textId="77777777" w:rsidR="00FD1F65" w:rsidRDefault="00FD1F65" w:rsidP="00FD1F65">
            <w:pPr>
              <w:pStyle w:val="ListParagraph"/>
              <w:numPr>
                <w:ilvl w:val="0"/>
                <w:numId w:val="2"/>
              </w:numPr>
              <w:rPr>
                <w:rFonts w:ascii="Arial" w:hAnsi="Arial" w:cs="Arial"/>
                <w:sz w:val="24"/>
                <w:szCs w:val="24"/>
              </w:rPr>
            </w:pPr>
            <w:r>
              <w:rPr>
                <w:rFonts w:ascii="Arial" w:hAnsi="Arial" w:cs="Arial"/>
                <w:sz w:val="24"/>
                <w:szCs w:val="24"/>
              </w:rPr>
              <w:t>Lead to better symptom control</w:t>
            </w:r>
          </w:p>
          <w:p w14:paraId="0D7268CE" w14:textId="77777777" w:rsidR="00FD1F65" w:rsidRDefault="00FD1F65" w:rsidP="00FD1F65">
            <w:pPr>
              <w:pStyle w:val="ListParagraph"/>
              <w:numPr>
                <w:ilvl w:val="0"/>
                <w:numId w:val="2"/>
              </w:numPr>
              <w:rPr>
                <w:rFonts w:ascii="Arial" w:hAnsi="Arial" w:cs="Arial"/>
                <w:sz w:val="24"/>
                <w:szCs w:val="24"/>
              </w:rPr>
            </w:pPr>
            <w:r>
              <w:rPr>
                <w:rFonts w:ascii="Arial" w:hAnsi="Arial" w:cs="Arial"/>
                <w:sz w:val="24"/>
                <w:szCs w:val="24"/>
              </w:rPr>
              <w:t>Decreased investigations/futile interventions</w:t>
            </w:r>
          </w:p>
          <w:p w14:paraId="687D904C" w14:textId="77777777" w:rsidR="00FD1F65" w:rsidRDefault="00FD1F65" w:rsidP="00FD1F65">
            <w:pPr>
              <w:pStyle w:val="ListParagraph"/>
              <w:numPr>
                <w:ilvl w:val="0"/>
                <w:numId w:val="2"/>
              </w:numPr>
              <w:rPr>
                <w:rFonts w:ascii="Arial" w:hAnsi="Arial" w:cs="Arial"/>
                <w:sz w:val="24"/>
                <w:szCs w:val="24"/>
              </w:rPr>
            </w:pPr>
            <w:r>
              <w:rPr>
                <w:rFonts w:ascii="Arial" w:hAnsi="Arial" w:cs="Arial"/>
                <w:sz w:val="24"/>
                <w:szCs w:val="24"/>
              </w:rPr>
              <w:t>More informed communication</w:t>
            </w:r>
          </w:p>
          <w:p w14:paraId="6B26B33C" w14:textId="77777777" w:rsidR="00FD1F65" w:rsidRDefault="00FD1F65" w:rsidP="00FD1F65">
            <w:pPr>
              <w:pStyle w:val="ListParagraph"/>
              <w:numPr>
                <w:ilvl w:val="0"/>
                <w:numId w:val="2"/>
              </w:numPr>
              <w:rPr>
                <w:rFonts w:ascii="Arial" w:hAnsi="Arial" w:cs="Arial"/>
                <w:sz w:val="24"/>
                <w:szCs w:val="24"/>
              </w:rPr>
            </w:pPr>
            <w:r>
              <w:rPr>
                <w:rFonts w:ascii="Arial" w:hAnsi="Arial" w:cs="Arial"/>
                <w:sz w:val="24"/>
                <w:szCs w:val="24"/>
              </w:rPr>
              <w:t>Facilitate preferred place of care and death</w:t>
            </w:r>
          </w:p>
          <w:p w14:paraId="524F3857" w14:textId="29A2F1E5" w:rsidR="00936515" w:rsidRPr="00FD1F65" w:rsidRDefault="00936515" w:rsidP="00936515">
            <w:pPr>
              <w:pStyle w:val="ListParagraph"/>
              <w:rPr>
                <w:rFonts w:ascii="Arial" w:hAnsi="Arial" w:cs="Arial"/>
                <w:sz w:val="24"/>
                <w:szCs w:val="24"/>
              </w:rPr>
            </w:pPr>
          </w:p>
        </w:tc>
        <w:tc>
          <w:tcPr>
            <w:tcW w:w="2251" w:type="dxa"/>
          </w:tcPr>
          <w:p w14:paraId="4EB9591F" w14:textId="77777777" w:rsidR="003E73B2" w:rsidRDefault="003E73B2" w:rsidP="00FD1F65">
            <w:pPr>
              <w:jc w:val="center"/>
              <w:rPr>
                <w:rFonts w:ascii="Arial" w:hAnsi="Arial" w:cs="Arial"/>
                <w:sz w:val="24"/>
                <w:szCs w:val="24"/>
              </w:rPr>
            </w:pPr>
          </w:p>
          <w:p w14:paraId="724133F5" w14:textId="77777777" w:rsidR="00FD1F65" w:rsidRDefault="00FD1F65" w:rsidP="00FD1F65">
            <w:pPr>
              <w:jc w:val="center"/>
              <w:rPr>
                <w:rFonts w:ascii="Arial" w:hAnsi="Arial" w:cs="Arial"/>
                <w:sz w:val="24"/>
                <w:szCs w:val="24"/>
              </w:rPr>
            </w:pPr>
            <w:r>
              <w:rPr>
                <w:rFonts w:ascii="Arial" w:hAnsi="Arial" w:cs="Arial"/>
                <w:sz w:val="24"/>
                <w:szCs w:val="24"/>
              </w:rPr>
              <w:t>37%</w:t>
            </w:r>
          </w:p>
          <w:p w14:paraId="4D03489F" w14:textId="77777777" w:rsidR="00FD1F65" w:rsidRDefault="00FD1F65" w:rsidP="00FD1F65">
            <w:pPr>
              <w:jc w:val="center"/>
              <w:rPr>
                <w:rFonts w:ascii="Arial" w:hAnsi="Arial" w:cs="Arial"/>
                <w:sz w:val="24"/>
                <w:szCs w:val="24"/>
              </w:rPr>
            </w:pPr>
            <w:r>
              <w:rPr>
                <w:rFonts w:ascii="Arial" w:hAnsi="Arial" w:cs="Arial"/>
                <w:sz w:val="24"/>
                <w:szCs w:val="24"/>
              </w:rPr>
              <w:t>78%</w:t>
            </w:r>
          </w:p>
          <w:p w14:paraId="07A9268C" w14:textId="77777777" w:rsidR="00FD1F65" w:rsidRDefault="00FD1F65" w:rsidP="00FD1F65">
            <w:pPr>
              <w:jc w:val="center"/>
              <w:rPr>
                <w:rFonts w:ascii="Arial" w:hAnsi="Arial" w:cs="Arial"/>
                <w:sz w:val="24"/>
                <w:szCs w:val="24"/>
              </w:rPr>
            </w:pPr>
            <w:r>
              <w:rPr>
                <w:rFonts w:ascii="Arial" w:hAnsi="Arial" w:cs="Arial"/>
                <w:sz w:val="24"/>
                <w:szCs w:val="24"/>
              </w:rPr>
              <w:t>85%</w:t>
            </w:r>
          </w:p>
          <w:p w14:paraId="4431475C" w14:textId="1205E830" w:rsidR="00FD1F65" w:rsidRDefault="00FD1F65" w:rsidP="00FD1F65">
            <w:pPr>
              <w:jc w:val="center"/>
              <w:rPr>
                <w:rFonts w:ascii="Arial" w:hAnsi="Arial" w:cs="Arial"/>
                <w:sz w:val="24"/>
                <w:szCs w:val="24"/>
              </w:rPr>
            </w:pPr>
            <w:r>
              <w:rPr>
                <w:rFonts w:ascii="Arial" w:hAnsi="Arial" w:cs="Arial"/>
                <w:sz w:val="24"/>
                <w:szCs w:val="24"/>
              </w:rPr>
              <w:t>78%</w:t>
            </w:r>
          </w:p>
        </w:tc>
        <w:tc>
          <w:tcPr>
            <w:tcW w:w="2398" w:type="dxa"/>
          </w:tcPr>
          <w:p w14:paraId="370669E5" w14:textId="77777777" w:rsidR="003E73B2" w:rsidRDefault="003E73B2" w:rsidP="00FD1F65">
            <w:pPr>
              <w:jc w:val="center"/>
              <w:rPr>
                <w:rFonts w:ascii="Arial" w:hAnsi="Arial" w:cs="Arial"/>
                <w:sz w:val="24"/>
                <w:szCs w:val="24"/>
              </w:rPr>
            </w:pPr>
          </w:p>
          <w:p w14:paraId="3278A823" w14:textId="77777777" w:rsidR="00FD1F65" w:rsidRDefault="00FD1F65" w:rsidP="00FD1F65">
            <w:pPr>
              <w:jc w:val="center"/>
              <w:rPr>
                <w:rFonts w:ascii="Arial" w:hAnsi="Arial" w:cs="Arial"/>
                <w:sz w:val="24"/>
                <w:szCs w:val="24"/>
              </w:rPr>
            </w:pPr>
            <w:r>
              <w:rPr>
                <w:rFonts w:ascii="Arial" w:hAnsi="Arial" w:cs="Arial"/>
                <w:sz w:val="24"/>
                <w:szCs w:val="24"/>
              </w:rPr>
              <w:t>44%</w:t>
            </w:r>
          </w:p>
          <w:p w14:paraId="55F4D841" w14:textId="77777777" w:rsidR="00FD1F65" w:rsidRDefault="00FD1F65" w:rsidP="00FD1F65">
            <w:pPr>
              <w:jc w:val="center"/>
              <w:rPr>
                <w:rFonts w:ascii="Arial" w:hAnsi="Arial" w:cs="Arial"/>
                <w:sz w:val="24"/>
                <w:szCs w:val="24"/>
              </w:rPr>
            </w:pPr>
            <w:r>
              <w:rPr>
                <w:rFonts w:ascii="Arial" w:hAnsi="Arial" w:cs="Arial"/>
                <w:sz w:val="24"/>
                <w:szCs w:val="24"/>
              </w:rPr>
              <w:t>78%</w:t>
            </w:r>
          </w:p>
          <w:p w14:paraId="565AD59F" w14:textId="77777777" w:rsidR="00FD1F65" w:rsidRDefault="00FD1F65" w:rsidP="00FD1F65">
            <w:pPr>
              <w:jc w:val="center"/>
              <w:rPr>
                <w:rFonts w:ascii="Arial" w:hAnsi="Arial" w:cs="Arial"/>
                <w:sz w:val="24"/>
                <w:szCs w:val="24"/>
              </w:rPr>
            </w:pPr>
            <w:r>
              <w:rPr>
                <w:rFonts w:ascii="Arial" w:hAnsi="Arial" w:cs="Arial"/>
                <w:sz w:val="24"/>
                <w:szCs w:val="24"/>
              </w:rPr>
              <w:t>85%</w:t>
            </w:r>
          </w:p>
          <w:p w14:paraId="318B6186" w14:textId="69322218" w:rsidR="00FD1F65" w:rsidRDefault="00FD1F65" w:rsidP="00FD1F65">
            <w:pPr>
              <w:jc w:val="center"/>
              <w:rPr>
                <w:rFonts w:ascii="Arial" w:hAnsi="Arial" w:cs="Arial"/>
                <w:sz w:val="24"/>
                <w:szCs w:val="24"/>
              </w:rPr>
            </w:pPr>
            <w:r>
              <w:rPr>
                <w:rFonts w:ascii="Arial" w:hAnsi="Arial" w:cs="Arial"/>
                <w:sz w:val="24"/>
                <w:szCs w:val="24"/>
              </w:rPr>
              <w:t>81%</w:t>
            </w:r>
          </w:p>
        </w:tc>
      </w:tr>
    </w:tbl>
    <w:p w14:paraId="1157E9B6" w14:textId="7F8E3B7D" w:rsidR="005E0E86" w:rsidRPr="0082795E" w:rsidRDefault="00DE0940" w:rsidP="00DE0940">
      <w:pPr>
        <w:spacing w:after="0" w:line="240" w:lineRule="auto"/>
        <w:rPr>
          <w:rFonts w:ascii="Arial" w:hAnsi="Arial" w:cs="Arial"/>
          <w:b/>
          <w:bCs/>
          <w:sz w:val="24"/>
          <w:szCs w:val="24"/>
        </w:rPr>
      </w:pPr>
      <w:r w:rsidRPr="0082795E">
        <w:rPr>
          <w:rFonts w:ascii="Arial" w:hAnsi="Arial" w:cs="Arial"/>
          <w:b/>
          <w:bCs/>
          <w:sz w:val="24"/>
          <w:szCs w:val="24"/>
        </w:rPr>
        <w:t>Table 1:  Summary Palliative Medicine clinicians’ opinions about a test dying in the last 4 days and 2 weeks of life.</w:t>
      </w:r>
    </w:p>
    <w:p w14:paraId="3D2FD392" w14:textId="6ED45CEE" w:rsidR="00E95CA2" w:rsidRDefault="00E95CA2" w:rsidP="00EA2DDF">
      <w:pPr>
        <w:spacing w:line="480" w:lineRule="auto"/>
        <w:rPr>
          <w:rFonts w:ascii="Arial" w:hAnsi="Arial" w:cs="Arial"/>
          <w:sz w:val="24"/>
          <w:szCs w:val="24"/>
        </w:rPr>
      </w:pPr>
    </w:p>
    <w:p w14:paraId="63FE0EF2" w14:textId="1D741B2B" w:rsidR="00E95CA2" w:rsidRDefault="00E95CA2">
      <w:pPr>
        <w:rPr>
          <w:rFonts w:ascii="Arial" w:hAnsi="Arial" w:cs="Arial"/>
          <w:sz w:val="24"/>
          <w:szCs w:val="24"/>
        </w:rPr>
      </w:pPr>
      <w:r>
        <w:rPr>
          <w:rFonts w:ascii="Arial" w:hAnsi="Arial" w:cs="Arial"/>
          <w:sz w:val="24"/>
          <w:szCs w:val="24"/>
        </w:rPr>
        <w:br w:type="page"/>
      </w:r>
    </w:p>
    <w:p w14:paraId="78A2DD05" w14:textId="77777777" w:rsidR="00E95CA2" w:rsidRDefault="00E95CA2" w:rsidP="00E95CA2">
      <w:pPr>
        <w:pStyle w:val="ListParagraph"/>
        <w:spacing w:line="480" w:lineRule="auto"/>
        <w:ind w:left="0"/>
        <w:rPr>
          <w:rFonts w:ascii="Arial" w:hAnsi="Arial" w:cs="Arial"/>
          <w:sz w:val="24"/>
          <w:szCs w:val="24"/>
        </w:rPr>
      </w:pPr>
      <w:r>
        <w:rPr>
          <w:rFonts w:ascii="Arial" w:hAnsi="Arial" w:cs="Arial"/>
          <w:b/>
          <w:bCs/>
          <w:sz w:val="24"/>
          <w:szCs w:val="24"/>
        </w:rPr>
        <w:lastRenderedPageBreak/>
        <w:t>REFERENCES</w:t>
      </w:r>
    </w:p>
    <w:p w14:paraId="1B060F04" w14:textId="77777777" w:rsidR="00E95CA2" w:rsidRDefault="00E95CA2" w:rsidP="00E95CA2">
      <w:pPr>
        <w:pStyle w:val="ListParagraph"/>
        <w:spacing w:line="480" w:lineRule="auto"/>
        <w:ind w:left="0"/>
        <w:rPr>
          <w:rFonts w:ascii="Arial" w:hAnsi="Arial" w:cs="Arial"/>
          <w:sz w:val="24"/>
          <w:szCs w:val="24"/>
        </w:rPr>
      </w:pPr>
    </w:p>
    <w:p w14:paraId="527ACC37" w14:textId="77777777" w:rsidR="00E95CA2" w:rsidRDefault="00E95CA2" w:rsidP="00E95CA2">
      <w:pPr>
        <w:pStyle w:val="ListParagraph"/>
        <w:numPr>
          <w:ilvl w:val="0"/>
          <w:numId w:val="4"/>
        </w:numPr>
        <w:spacing w:line="480" w:lineRule="auto"/>
        <w:rPr>
          <w:rFonts w:ascii="Arial" w:hAnsi="Arial" w:cs="Arial"/>
          <w:sz w:val="24"/>
          <w:szCs w:val="24"/>
        </w:rPr>
      </w:pPr>
      <w:r>
        <w:rPr>
          <w:rFonts w:ascii="Arial" w:hAnsi="Arial" w:cs="Arial"/>
          <w:sz w:val="24"/>
          <w:szCs w:val="24"/>
        </w:rPr>
        <w:t>Glare P, Virik K, Jones M, Hudson M, Eychmuller S, Simes J, et al.  A systematic review of physicians’ survival predictions in terminally ill cancer patients.  Bmj.2003;327(7408):195-8.</w:t>
      </w:r>
    </w:p>
    <w:p w14:paraId="4BF949EC" w14:textId="468AAABF" w:rsidR="00E95CA2" w:rsidRDefault="00E95CA2" w:rsidP="00E95CA2">
      <w:pPr>
        <w:pStyle w:val="ListParagraph"/>
        <w:numPr>
          <w:ilvl w:val="0"/>
          <w:numId w:val="4"/>
        </w:numPr>
        <w:spacing w:line="480" w:lineRule="auto"/>
        <w:rPr>
          <w:rFonts w:ascii="Arial" w:hAnsi="Arial" w:cs="Arial"/>
          <w:sz w:val="24"/>
          <w:szCs w:val="24"/>
        </w:rPr>
      </w:pPr>
      <w:r>
        <w:rPr>
          <w:rFonts w:ascii="Arial" w:hAnsi="Arial" w:cs="Arial"/>
          <w:sz w:val="24"/>
          <w:szCs w:val="24"/>
        </w:rPr>
        <w:t>White N, Reid F, Harris A, Harries P, Stone P.  A Systematic Review of Predictions of Survival in Palliative Care:  How Accurate Are Clinicians and Who are the Experts?  PloS</w:t>
      </w:r>
      <w:r w:rsidR="0082795E">
        <w:rPr>
          <w:rFonts w:ascii="Arial" w:hAnsi="Arial" w:cs="Arial"/>
          <w:sz w:val="24"/>
          <w:szCs w:val="24"/>
        </w:rPr>
        <w:t xml:space="preserve"> </w:t>
      </w:r>
      <w:r>
        <w:rPr>
          <w:rFonts w:ascii="Arial" w:hAnsi="Arial" w:cs="Arial"/>
          <w:sz w:val="24"/>
          <w:szCs w:val="24"/>
        </w:rPr>
        <w:t>one. 2016;11(8</w:t>
      </w:r>
      <w:r w:rsidR="0082795E">
        <w:rPr>
          <w:rFonts w:ascii="Arial" w:hAnsi="Arial" w:cs="Arial"/>
          <w:sz w:val="24"/>
          <w:szCs w:val="24"/>
        </w:rPr>
        <w:t>): e</w:t>
      </w:r>
      <w:r>
        <w:rPr>
          <w:rFonts w:ascii="Arial" w:hAnsi="Arial" w:cs="Arial"/>
          <w:sz w:val="24"/>
          <w:szCs w:val="24"/>
        </w:rPr>
        <w:t>0161407.</w:t>
      </w:r>
    </w:p>
    <w:p w14:paraId="3595CAD0" w14:textId="77777777" w:rsidR="00E95CA2" w:rsidRDefault="00E95CA2" w:rsidP="00E95CA2">
      <w:pPr>
        <w:pStyle w:val="ListParagraph"/>
        <w:numPr>
          <w:ilvl w:val="0"/>
          <w:numId w:val="4"/>
        </w:numPr>
        <w:spacing w:line="480" w:lineRule="auto"/>
        <w:rPr>
          <w:rFonts w:ascii="Arial" w:hAnsi="Arial" w:cs="Arial"/>
          <w:sz w:val="24"/>
          <w:szCs w:val="24"/>
        </w:rPr>
      </w:pPr>
      <w:r>
        <w:rPr>
          <w:rFonts w:ascii="Arial" w:hAnsi="Arial" w:cs="Arial"/>
          <w:sz w:val="24"/>
          <w:szCs w:val="24"/>
        </w:rPr>
        <w:t>Cardona-Morrell M, Kim J, Turner RM, Anstey M, Mitchell IA, Hillman K.  Non-beneficial treatments in hospital at the end of life: a systematic review on extent of the problem.  Int J Qual Health Care.  2016;28(4):456-69.</w:t>
      </w:r>
    </w:p>
    <w:p w14:paraId="4E924C80" w14:textId="29FB3339" w:rsidR="00E95CA2" w:rsidRDefault="00E95CA2" w:rsidP="00E95CA2">
      <w:pPr>
        <w:pStyle w:val="ListParagraph"/>
        <w:numPr>
          <w:ilvl w:val="0"/>
          <w:numId w:val="4"/>
        </w:numPr>
        <w:spacing w:line="480" w:lineRule="auto"/>
        <w:rPr>
          <w:rFonts w:ascii="Arial" w:hAnsi="Arial" w:cs="Arial"/>
          <w:sz w:val="24"/>
          <w:szCs w:val="24"/>
        </w:rPr>
      </w:pPr>
      <w:r>
        <w:rPr>
          <w:rFonts w:ascii="Arial" w:hAnsi="Arial" w:cs="Arial"/>
          <w:sz w:val="24"/>
          <w:szCs w:val="24"/>
        </w:rPr>
        <w:t>Reid VL, McDonald R, Nwosu AC, Mason SR, Probert C, Ellershaw JE, et al.  A systematically structured review of biomarkers of dying in cancer patients in the last month of life; An exploration of the biology of dying.  PloS one.  2017;12(4</w:t>
      </w:r>
      <w:r w:rsidR="0082795E">
        <w:rPr>
          <w:rFonts w:ascii="Arial" w:hAnsi="Arial" w:cs="Arial"/>
          <w:sz w:val="24"/>
          <w:szCs w:val="24"/>
        </w:rPr>
        <w:t>): e</w:t>
      </w:r>
      <w:r>
        <w:rPr>
          <w:rFonts w:ascii="Arial" w:hAnsi="Arial" w:cs="Arial"/>
          <w:sz w:val="24"/>
          <w:szCs w:val="24"/>
        </w:rPr>
        <w:t>0175123.</w:t>
      </w:r>
    </w:p>
    <w:p w14:paraId="5D8DBA84" w14:textId="77777777" w:rsidR="00E95CA2" w:rsidRDefault="00E95CA2" w:rsidP="00E95CA2">
      <w:pPr>
        <w:pStyle w:val="ListParagraph"/>
        <w:numPr>
          <w:ilvl w:val="0"/>
          <w:numId w:val="4"/>
        </w:numPr>
        <w:spacing w:line="480" w:lineRule="auto"/>
        <w:rPr>
          <w:rFonts w:ascii="Arial" w:hAnsi="Arial" w:cs="Arial"/>
          <w:sz w:val="24"/>
          <w:szCs w:val="24"/>
        </w:rPr>
      </w:pPr>
      <w:r>
        <w:rPr>
          <w:rFonts w:ascii="Arial" w:hAnsi="Arial" w:cs="Arial"/>
          <w:sz w:val="24"/>
          <w:szCs w:val="24"/>
        </w:rPr>
        <w:lastRenderedPageBreak/>
        <w:t>More care, less pathway:  a review of the Liverpool Care Pathway.  London: Department of Health UK; 2013.</w:t>
      </w:r>
    </w:p>
    <w:p w14:paraId="6D6C8E7A" w14:textId="77777777" w:rsidR="00E95CA2" w:rsidRPr="00814C56" w:rsidRDefault="00E95CA2" w:rsidP="00EA2DDF">
      <w:pPr>
        <w:spacing w:line="480" w:lineRule="auto"/>
        <w:rPr>
          <w:rFonts w:ascii="Arial" w:hAnsi="Arial" w:cs="Arial"/>
          <w:sz w:val="24"/>
          <w:szCs w:val="24"/>
        </w:rPr>
      </w:pPr>
    </w:p>
    <w:sectPr w:rsidR="00E95CA2" w:rsidRPr="0081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FA0"/>
    <w:multiLevelType w:val="hybridMultilevel"/>
    <w:tmpl w:val="4BEC1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07476"/>
    <w:multiLevelType w:val="hybridMultilevel"/>
    <w:tmpl w:val="4BFA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148A3"/>
    <w:multiLevelType w:val="hybridMultilevel"/>
    <w:tmpl w:val="D29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43656"/>
    <w:multiLevelType w:val="hybridMultilevel"/>
    <w:tmpl w:val="840A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6"/>
    <w:rsid w:val="002479E9"/>
    <w:rsid w:val="003E73B2"/>
    <w:rsid w:val="0046066F"/>
    <w:rsid w:val="00515D7D"/>
    <w:rsid w:val="005D168C"/>
    <w:rsid w:val="005E0E86"/>
    <w:rsid w:val="007F2FF8"/>
    <w:rsid w:val="00810560"/>
    <w:rsid w:val="00814C56"/>
    <w:rsid w:val="0082795E"/>
    <w:rsid w:val="0084718F"/>
    <w:rsid w:val="00936515"/>
    <w:rsid w:val="009C75D0"/>
    <w:rsid w:val="009E6153"/>
    <w:rsid w:val="00A7119A"/>
    <w:rsid w:val="00C840C4"/>
    <w:rsid w:val="00CC4587"/>
    <w:rsid w:val="00DC147C"/>
    <w:rsid w:val="00DE0940"/>
    <w:rsid w:val="00E95CA2"/>
    <w:rsid w:val="00EA2DDF"/>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62AB"/>
  <w15:chartTrackingRefBased/>
  <w15:docId w15:val="{9E31A4B2-1368-4CFD-AD17-25120D1C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Angela</dc:creator>
  <cp:keywords/>
  <dc:description/>
  <cp:lastModifiedBy>Roughley Barake, Sarah</cp:lastModifiedBy>
  <cp:revision>2</cp:revision>
  <dcterms:created xsi:type="dcterms:W3CDTF">2020-05-07T08:03:00Z</dcterms:created>
  <dcterms:modified xsi:type="dcterms:W3CDTF">2020-05-07T08:03:00Z</dcterms:modified>
</cp:coreProperties>
</file>