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84" w:rsidRPr="009D679F" w:rsidRDefault="00803D84" w:rsidP="00A262FE">
      <w:pPr>
        <w:spacing w:line="480" w:lineRule="auto"/>
        <w:jc w:val="both"/>
        <w:rPr>
          <w:rFonts w:ascii="Calibri" w:hAnsi="Calibri" w:cs="Calibri"/>
          <w:b/>
          <w:bCs/>
          <w:sz w:val="22"/>
          <w:szCs w:val="22"/>
        </w:rPr>
      </w:pPr>
      <w:r>
        <w:rPr>
          <w:rFonts w:ascii="Calibri" w:hAnsi="Calibri" w:cs="Calibri"/>
          <w:b/>
          <w:bCs/>
          <w:sz w:val="22"/>
          <w:szCs w:val="22"/>
        </w:rPr>
        <w:t>An</w:t>
      </w:r>
      <w:r w:rsidRPr="009D679F">
        <w:rPr>
          <w:rFonts w:ascii="Calibri" w:hAnsi="Calibri" w:cs="Calibri"/>
          <w:b/>
          <w:bCs/>
          <w:sz w:val="22"/>
          <w:szCs w:val="22"/>
        </w:rPr>
        <w:t xml:space="preserve">tibiotic </w:t>
      </w:r>
      <w:r>
        <w:rPr>
          <w:rFonts w:ascii="Calibri" w:hAnsi="Calibri" w:cs="Calibri"/>
          <w:b/>
          <w:bCs/>
          <w:sz w:val="22"/>
          <w:szCs w:val="22"/>
        </w:rPr>
        <w:t>or</w:t>
      </w:r>
      <w:r w:rsidRPr="009D679F">
        <w:rPr>
          <w:rFonts w:ascii="Calibri" w:hAnsi="Calibri" w:cs="Calibri"/>
          <w:b/>
          <w:bCs/>
          <w:sz w:val="22"/>
          <w:szCs w:val="22"/>
        </w:rPr>
        <w:t xml:space="preserve"> </w:t>
      </w:r>
      <w:r>
        <w:rPr>
          <w:rFonts w:ascii="Calibri" w:hAnsi="Calibri" w:cs="Calibri"/>
          <w:b/>
          <w:bCs/>
          <w:sz w:val="22"/>
          <w:szCs w:val="22"/>
        </w:rPr>
        <w:t>s</w:t>
      </w:r>
      <w:r w:rsidRPr="009D679F">
        <w:rPr>
          <w:rFonts w:ascii="Calibri" w:hAnsi="Calibri" w:cs="Calibri"/>
          <w:b/>
          <w:bCs/>
          <w:sz w:val="22"/>
          <w:szCs w:val="22"/>
        </w:rPr>
        <w:t xml:space="preserve">ilver </w:t>
      </w:r>
      <w:r>
        <w:rPr>
          <w:rFonts w:ascii="Calibri" w:hAnsi="Calibri" w:cs="Calibri"/>
          <w:b/>
          <w:bCs/>
          <w:sz w:val="22"/>
          <w:szCs w:val="22"/>
        </w:rPr>
        <w:t xml:space="preserve">versus standard </w:t>
      </w:r>
      <w:r w:rsidRPr="009D679F">
        <w:rPr>
          <w:rFonts w:ascii="Calibri" w:hAnsi="Calibri" w:cs="Calibri"/>
          <w:b/>
          <w:bCs/>
          <w:sz w:val="22"/>
          <w:szCs w:val="22"/>
        </w:rPr>
        <w:t xml:space="preserve">ventriculoperitoneal </w:t>
      </w:r>
      <w:r>
        <w:rPr>
          <w:rFonts w:ascii="Calibri" w:hAnsi="Calibri" w:cs="Calibri"/>
          <w:b/>
          <w:bCs/>
          <w:sz w:val="22"/>
          <w:szCs w:val="22"/>
        </w:rPr>
        <w:t>shunt</w:t>
      </w:r>
      <w:r w:rsidRPr="009D679F">
        <w:rPr>
          <w:rFonts w:ascii="Calibri" w:hAnsi="Calibri" w:cs="Calibri"/>
          <w:b/>
          <w:bCs/>
          <w:sz w:val="22"/>
          <w:szCs w:val="22"/>
        </w:rPr>
        <w:t>s</w:t>
      </w:r>
      <w:r>
        <w:rPr>
          <w:rFonts w:ascii="Calibri" w:hAnsi="Calibri" w:cs="Calibri"/>
          <w:b/>
          <w:bCs/>
          <w:sz w:val="22"/>
          <w:szCs w:val="22"/>
        </w:rPr>
        <w:t xml:space="preserve"> (BASICS): a multi-centre, single-blinded, randomised trial and economic evaluation</w:t>
      </w:r>
    </w:p>
    <w:p w:rsidR="00803D84" w:rsidRPr="009D679F" w:rsidRDefault="00803D84" w:rsidP="00A262FE">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sz w:val="22"/>
          <w:szCs w:val="22"/>
        </w:rPr>
      </w:pPr>
      <w:r>
        <w:rPr>
          <w:rFonts w:ascii="Calibri" w:hAnsi="Calibri" w:cs="Calibri"/>
          <w:sz w:val="22"/>
          <w:szCs w:val="22"/>
        </w:rPr>
        <w:t>*</w:t>
      </w:r>
      <w:r w:rsidRPr="002B7DF7">
        <w:rPr>
          <w:rFonts w:ascii="Calibri" w:hAnsi="Calibri" w:cs="Calibri"/>
          <w:sz w:val="22"/>
          <w:szCs w:val="22"/>
          <w:lang w:val="de-DE"/>
        </w:rPr>
        <w:t xml:space="preserve"> </w:t>
      </w:r>
      <w:r>
        <w:rPr>
          <w:rFonts w:ascii="Calibri" w:hAnsi="Calibri" w:cs="Calibri"/>
          <w:sz w:val="22"/>
          <w:szCs w:val="22"/>
          <w:lang w:val="de-DE"/>
        </w:rPr>
        <w:t xml:space="preserve">Professor </w:t>
      </w:r>
      <w:r w:rsidRPr="009D679F">
        <w:rPr>
          <w:rFonts w:ascii="Calibri" w:hAnsi="Calibri" w:cs="Calibri"/>
          <w:sz w:val="22"/>
          <w:szCs w:val="22"/>
        </w:rPr>
        <w:t>Conor L Mallucci</w:t>
      </w:r>
      <w:r>
        <w:rPr>
          <w:rFonts w:ascii="Calibri" w:hAnsi="Calibri" w:cs="Calibri"/>
          <w:sz w:val="22"/>
          <w:szCs w:val="22"/>
          <w:vertAlign w:val="superscript"/>
        </w:rPr>
        <w:t>1</w:t>
      </w:r>
      <w:r w:rsidRPr="009D679F">
        <w:rPr>
          <w:rFonts w:ascii="Calibri" w:hAnsi="Calibri" w:cs="Calibri"/>
          <w:sz w:val="22"/>
          <w:szCs w:val="22"/>
        </w:rPr>
        <w:t xml:space="preserve"> </w:t>
      </w:r>
      <w:r>
        <w:rPr>
          <w:rFonts w:ascii="Calibri" w:hAnsi="Calibri" w:cs="Calibri"/>
          <w:sz w:val="22"/>
          <w:szCs w:val="22"/>
        </w:rPr>
        <w:t>FRCS</w:t>
      </w:r>
    </w:p>
    <w:p w:rsidR="00803D84" w:rsidRPr="007C35B5" w:rsidRDefault="00803D84" w:rsidP="00A262FE">
      <w:pPr>
        <w:spacing w:line="480" w:lineRule="auto"/>
        <w:jc w:val="both"/>
        <w:rPr>
          <w:rFonts w:ascii="Calibri" w:hAnsi="Calibri" w:cs="Calibri"/>
          <w:sz w:val="22"/>
          <w:szCs w:val="22"/>
        </w:rPr>
      </w:pPr>
      <w:r w:rsidRPr="007C35B5">
        <w:rPr>
          <w:rFonts w:ascii="Calibri" w:hAnsi="Calibri" w:cs="Calibri"/>
          <w:sz w:val="22"/>
          <w:szCs w:val="22"/>
        </w:rPr>
        <w:t>*Michael D Jenkinson</w:t>
      </w:r>
      <w:r w:rsidRPr="007C35B5">
        <w:rPr>
          <w:rFonts w:ascii="Calibri" w:hAnsi="Calibri" w:cs="Calibri"/>
          <w:sz w:val="22"/>
          <w:szCs w:val="22"/>
          <w:vertAlign w:val="superscript"/>
        </w:rPr>
        <w:t>2</w:t>
      </w:r>
      <w:r>
        <w:rPr>
          <w:rFonts w:ascii="Calibri" w:hAnsi="Calibri" w:cs="Calibri"/>
          <w:sz w:val="22"/>
          <w:szCs w:val="22"/>
          <w:vertAlign w:val="superscript"/>
        </w:rPr>
        <w:t>,3</w:t>
      </w:r>
      <w:r w:rsidRPr="007C35B5">
        <w:rPr>
          <w:rFonts w:ascii="Calibri" w:hAnsi="Calibri" w:cs="Calibri"/>
          <w:sz w:val="22"/>
          <w:szCs w:val="22"/>
        </w:rPr>
        <w:t xml:space="preserve"> </w:t>
      </w:r>
      <w:r>
        <w:rPr>
          <w:rFonts w:ascii="Calibri" w:hAnsi="Calibri" w:cs="Calibri"/>
          <w:sz w:val="22"/>
          <w:szCs w:val="22"/>
        </w:rPr>
        <w:t>FRCS</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Elizabeth J Conroy</w:t>
      </w:r>
      <w:r>
        <w:rPr>
          <w:rFonts w:ascii="Calibri" w:hAnsi="Calibri" w:cs="Calibri"/>
          <w:sz w:val="22"/>
          <w:szCs w:val="22"/>
          <w:vertAlign w:val="superscript"/>
        </w:rPr>
        <w:t>4</w:t>
      </w:r>
      <w:r>
        <w:rPr>
          <w:rFonts w:ascii="Calibri" w:hAnsi="Calibri" w:cs="Calibri"/>
          <w:sz w:val="22"/>
          <w:szCs w:val="22"/>
        </w:rPr>
        <w:t xml:space="preserve"> MSc</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t xml:space="preserve">John </w:t>
      </w:r>
      <w:r>
        <w:rPr>
          <w:rFonts w:ascii="Calibri" w:hAnsi="Calibri" w:cs="Calibri"/>
          <w:sz w:val="22"/>
          <w:szCs w:val="22"/>
        </w:rPr>
        <w:t xml:space="preserve">C </w:t>
      </w:r>
      <w:r w:rsidRPr="009D679F">
        <w:rPr>
          <w:rFonts w:ascii="Calibri" w:hAnsi="Calibri" w:cs="Calibri"/>
          <w:sz w:val="22"/>
          <w:szCs w:val="22"/>
        </w:rPr>
        <w:t>Hartley</w:t>
      </w:r>
      <w:r>
        <w:rPr>
          <w:rFonts w:ascii="Calibri" w:hAnsi="Calibri" w:cs="Calibri"/>
          <w:sz w:val="22"/>
          <w:szCs w:val="22"/>
          <w:vertAlign w:val="superscript"/>
        </w:rPr>
        <w:t>5</w:t>
      </w:r>
      <w:r w:rsidRPr="009D679F">
        <w:rPr>
          <w:rFonts w:ascii="Calibri" w:hAnsi="Calibri" w:cs="Calibri"/>
          <w:sz w:val="22"/>
          <w:szCs w:val="22"/>
        </w:rPr>
        <w:t xml:space="preserve"> </w:t>
      </w:r>
      <w:r>
        <w:rPr>
          <w:rFonts w:ascii="Calibri" w:hAnsi="Calibri" w:cs="Calibri"/>
          <w:sz w:val="22"/>
          <w:szCs w:val="22"/>
        </w:rPr>
        <w:t>FRCPath</w:t>
      </w:r>
    </w:p>
    <w:p w:rsidR="00803D84" w:rsidRDefault="00803D84" w:rsidP="00A262FE">
      <w:pPr>
        <w:spacing w:line="480" w:lineRule="auto"/>
        <w:jc w:val="both"/>
        <w:rPr>
          <w:rFonts w:ascii="Calibri" w:hAnsi="Calibri" w:cs="Calibri"/>
          <w:sz w:val="22"/>
          <w:szCs w:val="22"/>
        </w:rPr>
      </w:pPr>
      <w:r w:rsidRPr="007C35B5">
        <w:rPr>
          <w:rFonts w:ascii="Calibri" w:hAnsi="Calibri" w:cs="Calibri"/>
          <w:sz w:val="22"/>
          <w:szCs w:val="22"/>
        </w:rPr>
        <w:t xml:space="preserve">Michaela </w:t>
      </w:r>
      <w:r>
        <w:rPr>
          <w:rFonts w:ascii="Calibri" w:hAnsi="Calibri" w:cs="Calibri"/>
          <w:sz w:val="22"/>
          <w:szCs w:val="22"/>
        </w:rPr>
        <w:t>Brown</w:t>
      </w:r>
      <w:r>
        <w:rPr>
          <w:rFonts w:ascii="Calibri" w:hAnsi="Calibri" w:cs="Calibri"/>
          <w:sz w:val="22"/>
          <w:szCs w:val="22"/>
          <w:vertAlign w:val="superscript"/>
        </w:rPr>
        <w:t>4</w:t>
      </w:r>
      <w:r w:rsidRPr="007C35B5">
        <w:rPr>
          <w:rFonts w:ascii="Calibri" w:hAnsi="Calibri" w:cs="Calibri"/>
          <w:sz w:val="22"/>
          <w:szCs w:val="22"/>
        </w:rPr>
        <w:t xml:space="preserve"> </w:t>
      </w:r>
      <w:r>
        <w:rPr>
          <w:rFonts w:ascii="Calibri" w:hAnsi="Calibri" w:cs="Calibri"/>
          <w:sz w:val="22"/>
          <w:szCs w:val="22"/>
        </w:rPr>
        <w:t>MSc</w:t>
      </w:r>
    </w:p>
    <w:p w:rsidR="00803D84" w:rsidRDefault="00803D84" w:rsidP="00A262FE">
      <w:pPr>
        <w:spacing w:line="480" w:lineRule="auto"/>
        <w:jc w:val="both"/>
        <w:rPr>
          <w:rFonts w:ascii="Calibri" w:hAnsi="Calibri" w:cs="Calibri"/>
          <w:sz w:val="22"/>
          <w:szCs w:val="22"/>
          <w:lang w:val="de-DE"/>
        </w:rPr>
      </w:pPr>
      <w:r>
        <w:rPr>
          <w:rFonts w:ascii="Calibri" w:hAnsi="Calibri" w:cs="Calibri"/>
          <w:sz w:val="22"/>
          <w:szCs w:val="22"/>
        </w:rPr>
        <w:t>Joanne Dalton</w:t>
      </w:r>
      <w:r>
        <w:rPr>
          <w:rFonts w:ascii="Calibri" w:hAnsi="Calibri" w:cs="Calibri"/>
          <w:sz w:val="22"/>
          <w:szCs w:val="22"/>
          <w:vertAlign w:val="superscript"/>
        </w:rPr>
        <w:t>4</w:t>
      </w:r>
      <w:r>
        <w:rPr>
          <w:rFonts w:ascii="Calibri" w:hAnsi="Calibri" w:cs="Calibri"/>
          <w:sz w:val="22"/>
          <w:szCs w:val="22"/>
        </w:rPr>
        <w:t xml:space="preserve"> BA</w:t>
      </w:r>
    </w:p>
    <w:p w:rsidR="00803D84" w:rsidRPr="004E6061" w:rsidRDefault="00803D84" w:rsidP="00A262FE">
      <w:pPr>
        <w:spacing w:line="480" w:lineRule="auto"/>
        <w:jc w:val="both"/>
        <w:rPr>
          <w:rFonts w:ascii="Calibri" w:hAnsi="Calibri" w:cs="Calibri"/>
          <w:sz w:val="22"/>
          <w:szCs w:val="22"/>
        </w:rPr>
      </w:pPr>
      <w:r>
        <w:rPr>
          <w:rFonts w:ascii="Calibri" w:hAnsi="Calibri" w:cs="Calibri"/>
          <w:sz w:val="22"/>
          <w:szCs w:val="22"/>
        </w:rPr>
        <w:t>Tom Kearns</w:t>
      </w:r>
      <w:r>
        <w:rPr>
          <w:rFonts w:ascii="Calibri" w:hAnsi="Calibri" w:cs="Calibri"/>
          <w:sz w:val="22"/>
          <w:szCs w:val="22"/>
          <w:vertAlign w:val="superscript"/>
        </w:rPr>
        <w:t xml:space="preserve">4 </w:t>
      </w:r>
    </w:p>
    <w:p w:rsidR="00803D84" w:rsidRDefault="00803D84" w:rsidP="00A262FE">
      <w:pPr>
        <w:spacing w:line="480" w:lineRule="auto"/>
        <w:jc w:val="both"/>
        <w:rPr>
          <w:rFonts w:ascii="Calibri" w:hAnsi="Calibri" w:cs="Calibri"/>
          <w:sz w:val="22"/>
          <w:szCs w:val="22"/>
          <w:lang w:val="de-DE"/>
        </w:rPr>
      </w:pPr>
      <w:r>
        <w:rPr>
          <w:rFonts w:ascii="Calibri" w:hAnsi="Calibri" w:cs="Calibri"/>
          <w:sz w:val="22"/>
          <w:szCs w:val="22"/>
          <w:lang w:val="de-DE"/>
        </w:rPr>
        <w:t>Tracy Moitt</w:t>
      </w:r>
      <w:r w:rsidRPr="00294B2B">
        <w:rPr>
          <w:rFonts w:ascii="Calibri" w:hAnsi="Calibri" w:cs="Calibri"/>
          <w:sz w:val="22"/>
          <w:szCs w:val="22"/>
          <w:vertAlign w:val="superscript"/>
          <w:lang w:val="de-DE"/>
        </w:rPr>
        <w:t>4</w:t>
      </w:r>
    </w:p>
    <w:p w:rsidR="00803D84" w:rsidRPr="00C8557A" w:rsidRDefault="00803D84" w:rsidP="00A262FE">
      <w:pPr>
        <w:spacing w:line="480" w:lineRule="auto"/>
        <w:jc w:val="both"/>
        <w:rPr>
          <w:rFonts w:ascii="Calibri" w:hAnsi="Calibri" w:cs="Calibri"/>
          <w:sz w:val="22"/>
          <w:szCs w:val="22"/>
        </w:rPr>
      </w:pPr>
      <w:r w:rsidRPr="00C8557A">
        <w:rPr>
          <w:rFonts w:ascii="Calibri" w:hAnsi="Calibri" w:cs="Calibri"/>
          <w:sz w:val="22"/>
          <w:szCs w:val="22"/>
          <w:lang w:val="de-DE"/>
        </w:rPr>
        <w:t>Michael J Griffiths</w:t>
      </w:r>
      <w:r>
        <w:rPr>
          <w:rFonts w:ascii="Calibri" w:hAnsi="Calibri" w:cs="Calibri"/>
          <w:sz w:val="22"/>
          <w:szCs w:val="22"/>
          <w:vertAlign w:val="superscript"/>
          <w:lang w:val="de-DE"/>
        </w:rPr>
        <w:t>6, 7</w:t>
      </w:r>
      <w:r w:rsidRPr="00C8557A">
        <w:rPr>
          <w:rFonts w:ascii="Calibri" w:hAnsi="Calibri" w:cs="Calibri"/>
          <w:sz w:val="22"/>
          <w:szCs w:val="22"/>
          <w:lang w:val="de-DE"/>
        </w:rPr>
        <w:t xml:space="preserve"> </w:t>
      </w:r>
      <w:r>
        <w:rPr>
          <w:rFonts w:ascii="Calibri" w:hAnsi="Calibri" w:cs="Calibri"/>
          <w:sz w:val="22"/>
          <w:szCs w:val="22"/>
          <w:lang w:val="de-DE"/>
        </w:rPr>
        <w:t>FRCP</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Giovanna Culeddu</w:t>
      </w:r>
      <w:r>
        <w:rPr>
          <w:rFonts w:ascii="Calibri" w:hAnsi="Calibri" w:cs="Calibri"/>
          <w:sz w:val="22"/>
          <w:szCs w:val="22"/>
          <w:vertAlign w:val="superscript"/>
        </w:rPr>
        <w:t>8</w:t>
      </w:r>
      <w:r>
        <w:rPr>
          <w:rFonts w:ascii="Calibri" w:hAnsi="Calibri" w:cs="Calibri"/>
          <w:sz w:val="22"/>
          <w:szCs w:val="22"/>
        </w:rPr>
        <w:t xml:space="preserve"> MSc</w:t>
      </w:r>
    </w:p>
    <w:p w:rsidR="00803D84" w:rsidRDefault="00803D84" w:rsidP="003152B9">
      <w:pPr>
        <w:spacing w:line="480" w:lineRule="auto"/>
        <w:jc w:val="both"/>
        <w:rPr>
          <w:rFonts w:ascii="Calibri" w:hAnsi="Calibri" w:cs="Calibri"/>
          <w:sz w:val="22"/>
          <w:szCs w:val="22"/>
        </w:rPr>
      </w:pPr>
      <w:r>
        <w:rPr>
          <w:rFonts w:ascii="Calibri" w:hAnsi="Calibri" w:cs="Calibri"/>
          <w:sz w:val="22"/>
          <w:szCs w:val="22"/>
          <w:lang w:val="de-DE"/>
        </w:rPr>
        <w:t>Professor Tom Solomon</w:t>
      </w:r>
      <w:r w:rsidRPr="006D0A7B">
        <w:rPr>
          <w:rFonts w:ascii="Calibri" w:hAnsi="Calibri" w:cs="Calibri"/>
          <w:sz w:val="22"/>
          <w:szCs w:val="22"/>
          <w:vertAlign w:val="superscript"/>
          <w:lang w:val="de-DE"/>
        </w:rPr>
        <w:t xml:space="preserve">6, </w:t>
      </w:r>
      <w:r>
        <w:rPr>
          <w:rFonts w:ascii="Calibri" w:hAnsi="Calibri" w:cs="Calibri"/>
          <w:sz w:val="22"/>
          <w:szCs w:val="22"/>
          <w:vertAlign w:val="superscript"/>
          <w:lang w:val="de-DE"/>
        </w:rPr>
        <w:t>9</w:t>
      </w:r>
      <w:r>
        <w:rPr>
          <w:rFonts w:ascii="Calibri" w:hAnsi="Calibri" w:cs="Calibri"/>
          <w:sz w:val="22"/>
          <w:szCs w:val="22"/>
          <w:lang w:val="de-DE"/>
        </w:rPr>
        <w:t xml:space="preserve"> FRCP</w:t>
      </w:r>
    </w:p>
    <w:p w:rsidR="00803D84" w:rsidRDefault="00803D84" w:rsidP="00387931">
      <w:pPr>
        <w:spacing w:line="480" w:lineRule="auto"/>
        <w:jc w:val="both"/>
        <w:rPr>
          <w:rFonts w:ascii="Calibri" w:hAnsi="Calibri" w:cs="Calibri"/>
          <w:sz w:val="22"/>
          <w:szCs w:val="22"/>
        </w:rPr>
      </w:pPr>
      <w:r>
        <w:rPr>
          <w:rFonts w:ascii="Calibri" w:hAnsi="Calibri" w:cs="Calibri"/>
          <w:sz w:val="22"/>
          <w:szCs w:val="22"/>
          <w:lang w:val="de-DE"/>
        </w:rPr>
        <w:t xml:space="preserve">Professor </w:t>
      </w:r>
      <w:r w:rsidRPr="009D679F">
        <w:rPr>
          <w:rFonts w:ascii="Calibri" w:hAnsi="Calibri" w:cs="Calibri"/>
          <w:sz w:val="22"/>
          <w:szCs w:val="22"/>
        </w:rPr>
        <w:t>Dyfrig Hughes</w:t>
      </w:r>
      <w:r>
        <w:rPr>
          <w:rFonts w:ascii="Calibri" w:hAnsi="Calibri" w:cs="Calibri"/>
          <w:sz w:val="22"/>
          <w:szCs w:val="22"/>
          <w:vertAlign w:val="superscript"/>
        </w:rPr>
        <w:t>8</w:t>
      </w:r>
      <w:r w:rsidRPr="009D679F">
        <w:rPr>
          <w:rFonts w:ascii="Calibri" w:hAnsi="Calibri" w:cs="Calibri"/>
          <w:sz w:val="22"/>
          <w:szCs w:val="22"/>
        </w:rPr>
        <w:t xml:space="preserve"> </w:t>
      </w:r>
      <w:r>
        <w:rPr>
          <w:rFonts w:ascii="Calibri" w:hAnsi="Calibri" w:cs="Calibri"/>
          <w:sz w:val="22"/>
          <w:szCs w:val="22"/>
        </w:rPr>
        <w:t>PhD</w:t>
      </w:r>
    </w:p>
    <w:p w:rsidR="00803D84" w:rsidRPr="009D679F" w:rsidRDefault="00803D84" w:rsidP="00387931">
      <w:pPr>
        <w:spacing w:line="360" w:lineRule="auto"/>
        <w:jc w:val="both"/>
        <w:rPr>
          <w:rFonts w:ascii="Calibri" w:hAnsi="Calibri" w:cs="Calibri"/>
          <w:sz w:val="22"/>
          <w:szCs w:val="22"/>
        </w:rPr>
      </w:pPr>
      <w:r>
        <w:rPr>
          <w:rFonts w:ascii="Calibri" w:hAnsi="Calibri" w:cs="Calibri"/>
          <w:sz w:val="22"/>
          <w:szCs w:val="22"/>
          <w:lang w:val="de-DE"/>
        </w:rPr>
        <w:t xml:space="preserve">Professor </w:t>
      </w:r>
      <w:r w:rsidRPr="009D679F">
        <w:rPr>
          <w:rFonts w:ascii="Calibri" w:hAnsi="Calibri" w:cs="Calibri"/>
          <w:sz w:val="22"/>
          <w:szCs w:val="22"/>
        </w:rPr>
        <w:t>Carrol Gamble</w:t>
      </w:r>
      <w:r>
        <w:rPr>
          <w:rFonts w:ascii="Calibri" w:hAnsi="Calibri" w:cs="Calibri"/>
          <w:sz w:val="22"/>
          <w:szCs w:val="22"/>
          <w:vertAlign w:val="superscript"/>
        </w:rPr>
        <w:t>4</w:t>
      </w:r>
      <w:r w:rsidRPr="009D679F">
        <w:rPr>
          <w:rFonts w:ascii="Calibri" w:hAnsi="Calibri" w:cs="Calibri"/>
          <w:sz w:val="22"/>
          <w:szCs w:val="22"/>
        </w:rPr>
        <w:t xml:space="preserve"> </w:t>
      </w:r>
      <w:r>
        <w:rPr>
          <w:rFonts w:ascii="Calibri" w:hAnsi="Calibri" w:cs="Calibri"/>
          <w:sz w:val="22"/>
          <w:szCs w:val="22"/>
        </w:rPr>
        <w:t>PhD</w:t>
      </w:r>
    </w:p>
    <w:p w:rsidR="00803D84" w:rsidRDefault="00803D84" w:rsidP="00A262FE">
      <w:pPr>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For the BASICS study Collaborators</w:t>
      </w:r>
    </w:p>
    <w:p w:rsidR="00803D84" w:rsidRDefault="00803D84" w:rsidP="00A262FE">
      <w:pPr>
        <w:spacing w:line="480" w:lineRule="auto"/>
        <w:jc w:val="both"/>
        <w:rPr>
          <w:rFonts w:ascii="Calibri" w:hAnsi="Calibri" w:cs="Calibri"/>
          <w:sz w:val="22"/>
          <w:szCs w:val="22"/>
        </w:rPr>
      </w:pPr>
    </w:p>
    <w:p w:rsidR="00803D84" w:rsidRPr="009D679F" w:rsidRDefault="00803D84" w:rsidP="006C348E">
      <w:pPr>
        <w:spacing w:line="480" w:lineRule="auto"/>
        <w:jc w:val="both"/>
        <w:rPr>
          <w:rFonts w:ascii="Calibri" w:hAnsi="Calibri" w:cs="Calibri"/>
          <w:sz w:val="22"/>
          <w:szCs w:val="22"/>
        </w:rPr>
      </w:pPr>
      <w:r w:rsidRPr="009D679F">
        <w:rPr>
          <w:rFonts w:ascii="Calibri" w:hAnsi="Calibri" w:cs="Calibri"/>
          <w:sz w:val="22"/>
          <w:szCs w:val="22"/>
        </w:rPr>
        <w:t>*</w:t>
      </w:r>
      <w:r>
        <w:rPr>
          <w:rFonts w:ascii="Calibri" w:hAnsi="Calibri" w:cs="Calibri"/>
          <w:sz w:val="22"/>
          <w:szCs w:val="22"/>
        </w:rPr>
        <w:t>Joint 1</w:t>
      </w:r>
      <w:r w:rsidRPr="000D0D47">
        <w:rPr>
          <w:rFonts w:ascii="Calibri" w:hAnsi="Calibri" w:cs="Calibri"/>
          <w:sz w:val="22"/>
          <w:szCs w:val="22"/>
          <w:vertAlign w:val="superscript"/>
        </w:rPr>
        <w:t>st</w:t>
      </w:r>
      <w:r w:rsidRPr="009D679F">
        <w:rPr>
          <w:rFonts w:ascii="Calibri" w:hAnsi="Calibri" w:cs="Calibri"/>
          <w:sz w:val="22"/>
          <w:szCs w:val="22"/>
        </w:rPr>
        <w:t xml:space="preserve"> author</w:t>
      </w:r>
      <w:r>
        <w:rPr>
          <w:rFonts w:ascii="Calibri" w:hAnsi="Calibri" w:cs="Calibri"/>
          <w:sz w:val="22"/>
          <w:szCs w:val="22"/>
        </w:rPr>
        <w:t>s</w:t>
      </w:r>
    </w:p>
    <w:p w:rsidR="00803D84" w:rsidRDefault="00803D84" w:rsidP="006C348E">
      <w:pPr>
        <w:spacing w:line="480" w:lineRule="auto"/>
        <w:jc w:val="both"/>
        <w:rPr>
          <w:rFonts w:ascii="Calibri" w:hAnsi="Calibri" w:cs="Calibri"/>
          <w:sz w:val="22"/>
          <w:szCs w:val="22"/>
        </w:rPr>
      </w:pPr>
    </w:p>
    <w:p w:rsidR="00803D84" w:rsidRPr="009D679F" w:rsidRDefault="00803D84" w:rsidP="006C348E">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sz w:val="22"/>
          <w:szCs w:val="22"/>
        </w:rPr>
      </w:pPr>
      <w:r>
        <w:rPr>
          <w:rFonts w:ascii="Calibri" w:hAnsi="Calibri" w:cs="Calibri"/>
          <w:sz w:val="22"/>
          <w:szCs w:val="22"/>
          <w:vertAlign w:val="superscript"/>
        </w:rPr>
        <w:t>1</w:t>
      </w:r>
      <w:r w:rsidRPr="009D679F">
        <w:rPr>
          <w:rFonts w:ascii="Calibri" w:hAnsi="Calibri" w:cs="Calibri"/>
          <w:sz w:val="22"/>
          <w:szCs w:val="22"/>
        </w:rPr>
        <w:t>Department of Paediatric Neurosurgery</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t>Alder Hey Children’s Hospital</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t xml:space="preserve">Liverpool, </w:t>
      </w:r>
      <w:r>
        <w:rPr>
          <w:rFonts w:ascii="Calibri" w:hAnsi="Calibri" w:cs="Calibri"/>
          <w:sz w:val="22"/>
          <w:szCs w:val="22"/>
        </w:rPr>
        <w:t>UK</w:t>
      </w:r>
    </w:p>
    <w:p w:rsidR="00803D84" w:rsidRDefault="00803D84" w:rsidP="00A262FE">
      <w:pPr>
        <w:spacing w:line="480" w:lineRule="auto"/>
        <w:jc w:val="both"/>
        <w:rPr>
          <w:rFonts w:ascii="Calibri" w:hAnsi="Calibri" w:cs="Calibri"/>
          <w:sz w:val="22"/>
          <w:szCs w:val="22"/>
        </w:rPr>
      </w:pPr>
    </w:p>
    <w:p w:rsidR="00803D84" w:rsidRPr="00C8557A" w:rsidRDefault="00803D84" w:rsidP="00A262FE">
      <w:pPr>
        <w:spacing w:line="480" w:lineRule="auto"/>
        <w:jc w:val="both"/>
        <w:rPr>
          <w:rFonts w:ascii="Calibri" w:hAnsi="Calibri" w:cs="Calibri"/>
          <w:sz w:val="22"/>
          <w:szCs w:val="22"/>
        </w:rPr>
      </w:pPr>
      <w:r w:rsidRPr="00C8557A">
        <w:rPr>
          <w:rFonts w:ascii="Calibri" w:hAnsi="Calibri" w:cs="Calibri"/>
          <w:sz w:val="22"/>
          <w:szCs w:val="22"/>
          <w:vertAlign w:val="superscript"/>
        </w:rPr>
        <w:lastRenderedPageBreak/>
        <w:t>2</w:t>
      </w:r>
      <w:r w:rsidRPr="009D679F">
        <w:rPr>
          <w:rFonts w:ascii="Calibri" w:hAnsi="Calibri" w:cs="Calibri"/>
          <w:sz w:val="22"/>
          <w:szCs w:val="22"/>
        </w:rPr>
        <w:t>Department of Neurosurgery</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t>The Walton Centre NHS Foundation Trust</w:t>
      </w:r>
    </w:p>
    <w:p w:rsidR="00803D84" w:rsidRDefault="00803D84" w:rsidP="00A262FE">
      <w:pPr>
        <w:spacing w:line="480" w:lineRule="auto"/>
        <w:jc w:val="both"/>
        <w:rPr>
          <w:rFonts w:ascii="Calibri" w:hAnsi="Calibri" w:cs="Calibri"/>
          <w:sz w:val="22"/>
          <w:szCs w:val="22"/>
        </w:rPr>
      </w:pPr>
      <w:r w:rsidRPr="009D679F">
        <w:rPr>
          <w:rFonts w:ascii="Calibri" w:hAnsi="Calibri" w:cs="Calibri"/>
          <w:sz w:val="22"/>
          <w:szCs w:val="22"/>
        </w:rPr>
        <w:t xml:space="preserve">Liverpool, </w:t>
      </w:r>
      <w:r>
        <w:rPr>
          <w:rFonts w:ascii="Calibri" w:hAnsi="Calibri" w:cs="Calibri"/>
          <w:sz w:val="22"/>
          <w:szCs w:val="22"/>
        </w:rPr>
        <w:t>UK</w:t>
      </w:r>
    </w:p>
    <w:p w:rsidR="00803D84" w:rsidRPr="009D679F" w:rsidRDefault="00803D84" w:rsidP="00A262FE">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sz w:val="22"/>
          <w:szCs w:val="22"/>
        </w:rPr>
      </w:pPr>
      <w:r>
        <w:rPr>
          <w:rFonts w:ascii="Calibri" w:hAnsi="Calibri" w:cs="Calibri"/>
          <w:sz w:val="22"/>
          <w:szCs w:val="22"/>
          <w:vertAlign w:val="superscript"/>
        </w:rPr>
        <w:t>3</w:t>
      </w:r>
      <w:r w:rsidRPr="009D679F">
        <w:rPr>
          <w:rFonts w:ascii="Calibri" w:hAnsi="Calibri" w:cs="Calibri"/>
          <w:sz w:val="22"/>
          <w:szCs w:val="22"/>
        </w:rPr>
        <w:t xml:space="preserve">Institute of </w:t>
      </w:r>
      <w:r>
        <w:rPr>
          <w:rFonts w:ascii="Calibri" w:hAnsi="Calibri" w:cs="Calibri"/>
          <w:sz w:val="22"/>
          <w:szCs w:val="22"/>
        </w:rPr>
        <w:t>Translational Medicine</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t>University of Liverpool</w:t>
      </w:r>
    </w:p>
    <w:p w:rsidR="00803D84" w:rsidRDefault="00803D84" w:rsidP="00A262FE">
      <w:pPr>
        <w:spacing w:line="480" w:lineRule="auto"/>
        <w:jc w:val="both"/>
        <w:rPr>
          <w:rFonts w:ascii="Calibri" w:hAnsi="Calibri" w:cs="Calibri"/>
          <w:sz w:val="22"/>
          <w:szCs w:val="22"/>
        </w:rPr>
      </w:pPr>
      <w:r w:rsidRPr="009D679F">
        <w:rPr>
          <w:rFonts w:ascii="Calibri" w:hAnsi="Calibri" w:cs="Calibri"/>
          <w:sz w:val="22"/>
          <w:szCs w:val="22"/>
        </w:rPr>
        <w:t xml:space="preserve">Liverpool, </w:t>
      </w:r>
      <w:r>
        <w:rPr>
          <w:rFonts w:ascii="Calibri" w:hAnsi="Calibri" w:cs="Calibri"/>
          <w:sz w:val="22"/>
          <w:szCs w:val="22"/>
        </w:rPr>
        <w:t>UK</w:t>
      </w:r>
    </w:p>
    <w:p w:rsidR="00803D84" w:rsidRPr="009D679F" w:rsidRDefault="00803D84" w:rsidP="00A262FE">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sz w:val="22"/>
          <w:szCs w:val="22"/>
        </w:rPr>
      </w:pPr>
      <w:r>
        <w:rPr>
          <w:rFonts w:ascii="Calibri" w:hAnsi="Calibri" w:cs="Calibri"/>
          <w:sz w:val="22"/>
          <w:szCs w:val="22"/>
          <w:vertAlign w:val="superscript"/>
        </w:rPr>
        <w:t>4</w:t>
      </w:r>
      <w:r w:rsidRPr="009D679F">
        <w:rPr>
          <w:rFonts w:ascii="Calibri" w:hAnsi="Calibri" w:cs="Calibri"/>
          <w:sz w:val="22"/>
          <w:szCs w:val="22"/>
        </w:rPr>
        <w:t xml:space="preserve">Clinical Trials </w:t>
      </w:r>
      <w:r>
        <w:rPr>
          <w:rFonts w:ascii="Calibri" w:hAnsi="Calibri" w:cs="Calibri"/>
          <w:sz w:val="22"/>
          <w:szCs w:val="22"/>
        </w:rPr>
        <w:t>Research Centre</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t>University of Liverpool</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t xml:space="preserve">Liverpool, </w:t>
      </w:r>
      <w:r>
        <w:rPr>
          <w:rFonts w:ascii="Calibri" w:hAnsi="Calibri" w:cs="Calibri"/>
          <w:sz w:val="22"/>
          <w:szCs w:val="22"/>
        </w:rPr>
        <w:t>UK</w:t>
      </w:r>
    </w:p>
    <w:p w:rsidR="00803D84" w:rsidRDefault="00803D84" w:rsidP="000C268F">
      <w:pPr>
        <w:spacing w:line="480" w:lineRule="auto"/>
        <w:jc w:val="both"/>
        <w:rPr>
          <w:rFonts w:ascii="Calibri" w:hAnsi="Calibri" w:cs="Calibri"/>
          <w:sz w:val="22"/>
          <w:szCs w:val="22"/>
          <w:vertAlign w:val="superscript"/>
        </w:rPr>
      </w:pPr>
    </w:p>
    <w:p w:rsidR="00803D84" w:rsidRPr="009D679F" w:rsidRDefault="00803D84" w:rsidP="000C268F">
      <w:pPr>
        <w:spacing w:line="480" w:lineRule="auto"/>
        <w:jc w:val="both"/>
        <w:rPr>
          <w:rFonts w:ascii="Calibri" w:hAnsi="Calibri" w:cs="Calibri"/>
          <w:sz w:val="22"/>
          <w:szCs w:val="22"/>
        </w:rPr>
      </w:pPr>
      <w:r>
        <w:rPr>
          <w:rFonts w:ascii="Calibri" w:hAnsi="Calibri" w:cs="Calibri"/>
          <w:sz w:val="22"/>
          <w:szCs w:val="22"/>
          <w:vertAlign w:val="superscript"/>
        </w:rPr>
        <w:t>5</w:t>
      </w:r>
      <w:r w:rsidRPr="009D679F">
        <w:rPr>
          <w:rFonts w:ascii="Calibri" w:hAnsi="Calibri" w:cs="Calibri"/>
          <w:sz w:val="22"/>
          <w:szCs w:val="22"/>
        </w:rPr>
        <w:t>Department of Microbiology</w:t>
      </w:r>
    </w:p>
    <w:p w:rsidR="00803D84" w:rsidRPr="009D679F" w:rsidRDefault="00803D84" w:rsidP="000C268F">
      <w:pPr>
        <w:spacing w:line="480" w:lineRule="auto"/>
        <w:jc w:val="both"/>
        <w:rPr>
          <w:rFonts w:ascii="Calibri" w:hAnsi="Calibri" w:cs="Calibri"/>
          <w:sz w:val="22"/>
          <w:szCs w:val="22"/>
        </w:rPr>
      </w:pPr>
      <w:r w:rsidRPr="009D679F">
        <w:rPr>
          <w:rFonts w:ascii="Calibri" w:hAnsi="Calibri" w:cs="Calibri"/>
          <w:sz w:val="22"/>
          <w:szCs w:val="22"/>
        </w:rPr>
        <w:t>Great Ormond Street Children’s Hospital</w:t>
      </w:r>
    </w:p>
    <w:p w:rsidR="00803D84" w:rsidRPr="009D679F" w:rsidRDefault="00803D84" w:rsidP="000C268F">
      <w:pPr>
        <w:spacing w:line="480" w:lineRule="auto"/>
        <w:jc w:val="both"/>
        <w:rPr>
          <w:rFonts w:ascii="Calibri" w:hAnsi="Calibri" w:cs="Calibri"/>
          <w:sz w:val="22"/>
          <w:szCs w:val="22"/>
          <w:lang w:val="en-US"/>
        </w:rPr>
      </w:pPr>
      <w:r w:rsidRPr="009D679F">
        <w:rPr>
          <w:rFonts w:ascii="Calibri" w:hAnsi="Calibri" w:cs="Calibri"/>
          <w:sz w:val="22"/>
          <w:szCs w:val="22"/>
        </w:rPr>
        <w:t xml:space="preserve">London, </w:t>
      </w:r>
      <w:r>
        <w:rPr>
          <w:rFonts w:ascii="Calibri" w:hAnsi="Calibri" w:cs="Calibri"/>
          <w:sz w:val="22"/>
          <w:szCs w:val="22"/>
          <w:lang w:val="en-US"/>
        </w:rPr>
        <w:t>UK</w:t>
      </w:r>
    </w:p>
    <w:p w:rsidR="00803D84" w:rsidRPr="009D679F" w:rsidRDefault="00803D84" w:rsidP="00A262FE">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sz w:val="22"/>
          <w:szCs w:val="22"/>
        </w:rPr>
      </w:pPr>
      <w:r>
        <w:rPr>
          <w:rFonts w:ascii="Calibri" w:hAnsi="Calibri" w:cs="Calibri"/>
          <w:sz w:val="22"/>
          <w:szCs w:val="22"/>
          <w:vertAlign w:val="superscript"/>
        </w:rPr>
        <w:t>6</w:t>
      </w:r>
      <w:r w:rsidRPr="009D679F">
        <w:rPr>
          <w:rFonts w:ascii="Calibri" w:hAnsi="Calibri" w:cs="Calibri"/>
          <w:sz w:val="22"/>
          <w:szCs w:val="22"/>
        </w:rPr>
        <w:t>Institute of Infection and Global Health</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t>University of Liverpool</w:t>
      </w:r>
    </w:p>
    <w:p w:rsidR="00803D84" w:rsidRDefault="00803D84" w:rsidP="00A262FE">
      <w:pPr>
        <w:spacing w:line="480" w:lineRule="auto"/>
        <w:jc w:val="both"/>
        <w:rPr>
          <w:rFonts w:ascii="Calibri" w:hAnsi="Calibri" w:cs="Calibri"/>
          <w:sz w:val="22"/>
          <w:szCs w:val="22"/>
        </w:rPr>
      </w:pPr>
      <w:r w:rsidRPr="009D679F">
        <w:rPr>
          <w:rFonts w:ascii="Calibri" w:hAnsi="Calibri" w:cs="Calibri"/>
          <w:sz w:val="22"/>
          <w:szCs w:val="22"/>
        </w:rPr>
        <w:t xml:space="preserve">Liverpool, </w:t>
      </w:r>
      <w:r>
        <w:rPr>
          <w:rFonts w:ascii="Calibri" w:hAnsi="Calibri" w:cs="Calibri"/>
          <w:sz w:val="22"/>
          <w:szCs w:val="22"/>
        </w:rPr>
        <w:t>UK</w:t>
      </w:r>
    </w:p>
    <w:p w:rsidR="00803D84" w:rsidRPr="009D679F" w:rsidRDefault="00803D84" w:rsidP="00A262FE">
      <w:pPr>
        <w:spacing w:line="480" w:lineRule="auto"/>
        <w:jc w:val="both"/>
        <w:rPr>
          <w:rFonts w:ascii="Calibri" w:hAnsi="Calibri" w:cs="Calibri"/>
          <w:sz w:val="22"/>
          <w:szCs w:val="22"/>
        </w:rPr>
      </w:pPr>
    </w:p>
    <w:p w:rsidR="00803D84" w:rsidRDefault="00803D84" w:rsidP="00387931">
      <w:pPr>
        <w:spacing w:line="480" w:lineRule="auto"/>
        <w:jc w:val="both"/>
        <w:rPr>
          <w:rFonts w:ascii="Calibri" w:hAnsi="Calibri" w:cs="Calibri"/>
          <w:sz w:val="22"/>
          <w:szCs w:val="22"/>
        </w:rPr>
      </w:pPr>
      <w:r>
        <w:rPr>
          <w:rFonts w:ascii="Calibri" w:hAnsi="Calibri" w:cs="Calibri"/>
          <w:sz w:val="22"/>
          <w:szCs w:val="22"/>
          <w:vertAlign w:val="superscript"/>
        </w:rPr>
        <w:t>7</w:t>
      </w:r>
      <w:r>
        <w:rPr>
          <w:rFonts w:ascii="Calibri" w:hAnsi="Calibri" w:cs="Calibri"/>
          <w:sz w:val="22"/>
          <w:szCs w:val="22"/>
        </w:rPr>
        <w:t>Department of Paediatric Neurology</w:t>
      </w:r>
    </w:p>
    <w:p w:rsidR="00803D84" w:rsidRDefault="00803D84" w:rsidP="00387931">
      <w:pPr>
        <w:spacing w:line="480" w:lineRule="auto"/>
        <w:jc w:val="both"/>
        <w:rPr>
          <w:rFonts w:ascii="Calibri" w:hAnsi="Calibri" w:cs="Calibri"/>
          <w:sz w:val="22"/>
          <w:szCs w:val="22"/>
        </w:rPr>
      </w:pPr>
      <w:r w:rsidRPr="009D679F">
        <w:rPr>
          <w:rFonts w:ascii="Calibri" w:hAnsi="Calibri" w:cs="Calibri"/>
          <w:sz w:val="22"/>
          <w:szCs w:val="22"/>
        </w:rPr>
        <w:t>Alder Hey Children’s Hospital</w:t>
      </w:r>
    </w:p>
    <w:p w:rsidR="00803D84" w:rsidRDefault="00803D84" w:rsidP="00387931">
      <w:pPr>
        <w:spacing w:line="480" w:lineRule="auto"/>
        <w:jc w:val="both"/>
        <w:rPr>
          <w:rFonts w:ascii="Calibri" w:hAnsi="Calibri" w:cs="Calibri"/>
          <w:sz w:val="22"/>
          <w:szCs w:val="22"/>
        </w:rPr>
      </w:pPr>
      <w:r>
        <w:rPr>
          <w:rFonts w:ascii="Calibri" w:hAnsi="Calibri" w:cs="Calibri"/>
          <w:sz w:val="22"/>
          <w:szCs w:val="22"/>
        </w:rPr>
        <w:t>Liverpool, UK</w:t>
      </w:r>
    </w:p>
    <w:p w:rsidR="00803D84" w:rsidRDefault="00803D84" w:rsidP="00A262FE">
      <w:pPr>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sz w:val="22"/>
          <w:szCs w:val="22"/>
          <w:lang w:val="en-US"/>
        </w:rPr>
      </w:pPr>
      <w:r>
        <w:rPr>
          <w:rFonts w:ascii="Calibri" w:hAnsi="Calibri" w:cs="Calibri"/>
          <w:sz w:val="22"/>
          <w:szCs w:val="22"/>
          <w:vertAlign w:val="superscript"/>
          <w:lang w:val="en-US"/>
        </w:rPr>
        <w:t>8</w:t>
      </w:r>
      <w:r w:rsidRPr="009D679F">
        <w:rPr>
          <w:rFonts w:ascii="Calibri" w:hAnsi="Calibri" w:cs="Calibri"/>
          <w:sz w:val="22"/>
          <w:szCs w:val="22"/>
          <w:lang w:val="en-US"/>
        </w:rPr>
        <w:t xml:space="preserve">Centre for </w:t>
      </w:r>
      <w:r>
        <w:rPr>
          <w:rFonts w:ascii="Calibri" w:hAnsi="Calibri" w:cs="Calibri"/>
          <w:sz w:val="22"/>
          <w:szCs w:val="22"/>
          <w:lang w:val="en-US"/>
        </w:rPr>
        <w:t xml:space="preserve">Health </w:t>
      </w:r>
      <w:r w:rsidRPr="009D679F">
        <w:rPr>
          <w:rFonts w:ascii="Calibri" w:hAnsi="Calibri" w:cs="Calibri"/>
          <w:sz w:val="22"/>
          <w:szCs w:val="22"/>
          <w:lang w:val="en-US"/>
        </w:rPr>
        <w:t xml:space="preserve">Economics and </w:t>
      </w:r>
      <w:r>
        <w:rPr>
          <w:rFonts w:ascii="Calibri" w:hAnsi="Calibri" w:cs="Calibri"/>
          <w:sz w:val="22"/>
          <w:szCs w:val="22"/>
          <w:lang w:val="en-US"/>
        </w:rPr>
        <w:t>Medicines Evaluation</w:t>
      </w:r>
    </w:p>
    <w:p w:rsidR="00803D84" w:rsidRPr="009D679F" w:rsidRDefault="00803D84" w:rsidP="00A262FE">
      <w:pPr>
        <w:spacing w:line="480" w:lineRule="auto"/>
        <w:jc w:val="both"/>
        <w:rPr>
          <w:rFonts w:ascii="Calibri" w:hAnsi="Calibri" w:cs="Calibri"/>
          <w:sz w:val="22"/>
          <w:szCs w:val="22"/>
          <w:lang w:val="en-US"/>
        </w:rPr>
      </w:pPr>
      <w:r>
        <w:rPr>
          <w:rFonts w:ascii="Calibri" w:hAnsi="Calibri" w:cs="Calibri"/>
          <w:sz w:val="22"/>
          <w:szCs w:val="22"/>
          <w:lang w:val="en-US"/>
        </w:rPr>
        <w:t xml:space="preserve">Bangor </w:t>
      </w:r>
      <w:r w:rsidRPr="009D679F">
        <w:rPr>
          <w:rFonts w:ascii="Calibri" w:hAnsi="Calibri" w:cs="Calibri"/>
          <w:sz w:val="22"/>
          <w:szCs w:val="22"/>
          <w:lang w:val="en-US"/>
        </w:rPr>
        <w:t>University</w:t>
      </w:r>
    </w:p>
    <w:p w:rsidR="00803D84" w:rsidRPr="009D679F" w:rsidRDefault="00803D84" w:rsidP="00A262FE">
      <w:pPr>
        <w:spacing w:line="480" w:lineRule="auto"/>
        <w:jc w:val="both"/>
        <w:rPr>
          <w:rFonts w:ascii="Calibri" w:hAnsi="Calibri" w:cs="Calibri"/>
          <w:sz w:val="22"/>
          <w:szCs w:val="22"/>
          <w:lang w:val="en-US"/>
        </w:rPr>
      </w:pPr>
      <w:r w:rsidRPr="009D679F">
        <w:rPr>
          <w:rFonts w:ascii="Calibri" w:hAnsi="Calibri" w:cs="Calibri"/>
          <w:sz w:val="22"/>
          <w:szCs w:val="22"/>
          <w:lang w:val="en-US"/>
        </w:rPr>
        <w:t>Bangor</w:t>
      </w:r>
      <w:r>
        <w:rPr>
          <w:rFonts w:ascii="Calibri" w:hAnsi="Calibri" w:cs="Calibri"/>
          <w:sz w:val="22"/>
          <w:szCs w:val="22"/>
          <w:lang w:val="en-US"/>
        </w:rPr>
        <w:t>, UK</w:t>
      </w:r>
    </w:p>
    <w:p w:rsidR="00803D84" w:rsidRPr="009D679F" w:rsidRDefault="00803D84" w:rsidP="00A262FE">
      <w:pPr>
        <w:spacing w:line="480" w:lineRule="auto"/>
        <w:jc w:val="both"/>
        <w:rPr>
          <w:rFonts w:ascii="Calibri" w:hAnsi="Calibri" w:cs="Calibri"/>
          <w:sz w:val="22"/>
          <w:szCs w:val="22"/>
        </w:rPr>
      </w:pPr>
    </w:p>
    <w:p w:rsidR="00803D84" w:rsidRDefault="00803D84" w:rsidP="003152B9">
      <w:pPr>
        <w:spacing w:line="480" w:lineRule="auto"/>
        <w:jc w:val="both"/>
        <w:rPr>
          <w:rFonts w:ascii="Calibri" w:hAnsi="Calibri" w:cs="Calibri"/>
          <w:sz w:val="22"/>
          <w:szCs w:val="22"/>
        </w:rPr>
      </w:pPr>
      <w:r>
        <w:rPr>
          <w:rFonts w:ascii="Calibri" w:hAnsi="Calibri" w:cs="Calibri"/>
          <w:sz w:val="22"/>
          <w:szCs w:val="22"/>
          <w:vertAlign w:val="superscript"/>
          <w:lang w:val="en-US"/>
        </w:rPr>
        <w:t>9</w:t>
      </w:r>
      <w:r>
        <w:rPr>
          <w:rFonts w:ascii="Calibri" w:hAnsi="Calibri" w:cs="Calibri"/>
          <w:sz w:val="22"/>
          <w:szCs w:val="22"/>
          <w:lang w:val="en-US"/>
        </w:rPr>
        <w:t xml:space="preserve"> Department of Neurology</w:t>
      </w:r>
    </w:p>
    <w:p w:rsidR="00803D84" w:rsidRDefault="00803D84" w:rsidP="003152B9">
      <w:pPr>
        <w:spacing w:line="480" w:lineRule="auto"/>
        <w:jc w:val="both"/>
        <w:rPr>
          <w:rFonts w:ascii="Calibri" w:hAnsi="Calibri" w:cs="Calibri"/>
          <w:sz w:val="22"/>
          <w:szCs w:val="22"/>
        </w:rPr>
      </w:pPr>
      <w:r w:rsidRPr="009D679F">
        <w:rPr>
          <w:rFonts w:ascii="Calibri" w:hAnsi="Calibri" w:cs="Calibri"/>
          <w:sz w:val="22"/>
          <w:szCs w:val="22"/>
        </w:rPr>
        <w:t>The Walton Centre NHS Foundation Trust</w:t>
      </w:r>
    </w:p>
    <w:p w:rsidR="00803D84" w:rsidRDefault="00803D84" w:rsidP="003152B9">
      <w:pPr>
        <w:spacing w:line="480" w:lineRule="auto"/>
        <w:jc w:val="both"/>
        <w:rPr>
          <w:rFonts w:ascii="Calibri" w:hAnsi="Calibri" w:cs="Calibri"/>
          <w:sz w:val="22"/>
          <w:szCs w:val="22"/>
        </w:rPr>
      </w:pPr>
      <w:r w:rsidRPr="009D679F">
        <w:rPr>
          <w:rFonts w:ascii="Calibri" w:hAnsi="Calibri" w:cs="Calibri"/>
          <w:sz w:val="22"/>
          <w:szCs w:val="22"/>
        </w:rPr>
        <w:t xml:space="preserve">Liverpool, </w:t>
      </w:r>
      <w:r>
        <w:rPr>
          <w:rFonts w:ascii="Calibri" w:hAnsi="Calibri" w:cs="Calibri"/>
          <w:sz w:val="22"/>
          <w:szCs w:val="22"/>
        </w:rPr>
        <w:t>UK</w:t>
      </w:r>
    </w:p>
    <w:p w:rsidR="00803D84" w:rsidRDefault="00803D84" w:rsidP="003152B9">
      <w:pPr>
        <w:spacing w:line="480" w:lineRule="auto"/>
        <w:jc w:val="both"/>
        <w:rPr>
          <w:rFonts w:ascii="Calibri" w:hAnsi="Calibri" w:cs="Calibri"/>
          <w:sz w:val="22"/>
          <w:szCs w:val="22"/>
        </w:rPr>
      </w:pPr>
    </w:p>
    <w:p w:rsidR="00803D84" w:rsidRDefault="00803D84" w:rsidP="003152B9">
      <w:pPr>
        <w:spacing w:line="480" w:lineRule="auto"/>
        <w:jc w:val="both"/>
        <w:rPr>
          <w:rFonts w:ascii="Calibri" w:hAnsi="Calibri" w:cs="Calibri"/>
          <w:sz w:val="22"/>
          <w:szCs w:val="22"/>
        </w:rPr>
      </w:pPr>
      <w:r>
        <w:rPr>
          <w:rFonts w:ascii="Calibri" w:hAnsi="Calibri" w:cs="Calibri"/>
          <w:sz w:val="22"/>
          <w:szCs w:val="22"/>
        </w:rPr>
        <w:t>Correspondence to:</w:t>
      </w:r>
    </w:p>
    <w:p w:rsidR="00803D84" w:rsidRDefault="00803D84" w:rsidP="003152B9">
      <w:pPr>
        <w:spacing w:line="480" w:lineRule="auto"/>
        <w:jc w:val="both"/>
        <w:rPr>
          <w:rFonts w:ascii="Calibri" w:hAnsi="Calibri" w:cs="Calibri"/>
          <w:sz w:val="22"/>
          <w:szCs w:val="22"/>
        </w:rPr>
      </w:pPr>
      <w:r>
        <w:rPr>
          <w:rFonts w:ascii="Calibri" w:hAnsi="Calibri" w:cs="Calibri"/>
          <w:sz w:val="22"/>
          <w:szCs w:val="22"/>
        </w:rPr>
        <w:t>Professor Conor L Mallucci</w:t>
      </w:r>
    </w:p>
    <w:p w:rsidR="00803D84" w:rsidRDefault="00803D84" w:rsidP="003152B9">
      <w:pPr>
        <w:spacing w:line="480" w:lineRule="auto"/>
        <w:jc w:val="both"/>
        <w:rPr>
          <w:rFonts w:ascii="Calibri" w:hAnsi="Calibri" w:cs="Calibri"/>
          <w:sz w:val="22"/>
          <w:szCs w:val="22"/>
        </w:rPr>
      </w:pPr>
      <w:r>
        <w:rPr>
          <w:rFonts w:ascii="Calibri" w:hAnsi="Calibri" w:cs="Calibri"/>
          <w:sz w:val="22"/>
          <w:szCs w:val="22"/>
        </w:rPr>
        <w:t>Department of Paediatric Neurosurgery</w:t>
      </w:r>
    </w:p>
    <w:p w:rsidR="00803D84" w:rsidRDefault="00803D84" w:rsidP="003152B9">
      <w:pPr>
        <w:spacing w:line="480" w:lineRule="auto"/>
        <w:jc w:val="both"/>
        <w:rPr>
          <w:rFonts w:ascii="Calibri" w:hAnsi="Calibri" w:cs="Calibri"/>
          <w:sz w:val="22"/>
          <w:szCs w:val="22"/>
        </w:rPr>
      </w:pPr>
      <w:r>
        <w:rPr>
          <w:rFonts w:ascii="Calibri" w:hAnsi="Calibri" w:cs="Calibri"/>
          <w:sz w:val="22"/>
          <w:szCs w:val="22"/>
        </w:rPr>
        <w:t>Alder Hey Children’s Hospital</w:t>
      </w:r>
    </w:p>
    <w:p w:rsidR="00803D84" w:rsidRDefault="00803D84" w:rsidP="003152B9">
      <w:pPr>
        <w:spacing w:line="480" w:lineRule="auto"/>
        <w:jc w:val="both"/>
        <w:rPr>
          <w:rFonts w:ascii="Calibri" w:hAnsi="Calibri" w:cs="Calibri"/>
          <w:sz w:val="22"/>
          <w:szCs w:val="22"/>
        </w:rPr>
      </w:pPr>
      <w:r>
        <w:rPr>
          <w:rFonts w:ascii="Calibri" w:hAnsi="Calibri" w:cs="Calibri"/>
          <w:sz w:val="22"/>
          <w:szCs w:val="22"/>
        </w:rPr>
        <w:t>Liverpool, L12 2AP, UK</w:t>
      </w:r>
    </w:p>
    <w:p w:rsidR="00803D84" w:rsidRDefault="00803D84" w:rsidP="003152B9">
      <w:pPr>
        <w:spacing w:line="480" w:lineRule="auto"/>
        <w:jc w:val="both"/>
        <w:rPr>
          <w:rFonts w:ascii="Calibri" w:hAnsi="Calibri" w:cs="Calibri"/>
          <w:sz w:val="22"/>
          <w:szCs w:val="22"/>
        </w:rPr>
      </w:pPr>
      <w:hyperlink r:id="rId6" w:history="1">
        <w:r w:rsidRPr="002333BD">
          <w:rPr>
            <w:rStyle w:val="Hyperlink"/>
            <w:rFonts w:ascii="Calibri" w:hAnsi="Calibri" w:cs="Calibri"/>
            <w:sz w:val="22"/>
            <w:szCs w:val="22"/>
          </w:rPr>
          <w:t>cmallucci@me.com</w:t>
        </w:r>
      </w:hyperlink>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Tel: 07710 498920</w:t>
      </w:r>
    </w:p>
    <w:p w:rsidR="00803D84" w:rsidRDefault="00803D84" w:rsidP="00A262FE">
      <w:pPr>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Word counts</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Abstract: 294</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Main text: 4459</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Tables: 3</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Figures: 2</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br w:type="page"/>
      </w:r>
    </w:p>
    <w:p w:rsidR="00803D84" w:rsidRPr="009D679F" w:rsidRDefault="00803D84" w:rsidP="00A262FE">
      <w:pPr>
        <w:spacing w:line="480" w:lineRule="auto"/>
        <w:jc w:val="both"/>
        <w:rPr>
          <w:rFonts w:ascii="Calibri" w:hAnsi="Calibri" w:cs="Calibri"/>
          <w:b/>
          <w:bCs/>
          <w:sz w:val="22"/>
          <w:szCs w:val="22"/>
        </w:rPr>
      </w:pPr>
      <w:r>
        <w:rPr>
          <w:rFonts w:ascii="Calibri" w:hAnsi="Calibri" w:cs="Calibri"/>
          <w:b/>
          <w:bCs/>
          <w:sz w:val="22"/>
          <w:szCs w:val="22"/>
        </w:rPr>
        <w:t>Summary</w:t>
      </w:r>
    </w:p>
    <w:p w:rsidR="00803D84" w:rsidRPr="009D679F" w:rsidRDefault="00803D84" w:rsidP="00A262FE">
      <w:pPr>
        <w:spacing w:line="480" w:lineRule="auto"/>
        <w:jc w:val="both"/>
        <w:rPr>
          <w:rFonts w:ascii="Calibri" w:hAnsi="Calibri" w:cs="Calibri"/>
          <w:sz w:val="22"/>
          <w:szCs w:val="22"/>
          <w:u w:val="single"/>
        </w:rPr>
      </w:pPr>
      <w:r w:rsidRPr="009D679F">
        <w:rPr>
          <w:rFonts w:ascii="Calibri" w:hAnsi="Calibri" w:cs="Calibri"/>
          <w:sz w:val="22"/>
          <w:szCs w:val="22"/>
          <w:u w:val="single"/>
        </w:rPr>
        <w:t>Background</w:t>
      </w:r>
    </w:p>
    <w:p w:rsidR="00803D84" w:rsidRDefault="00803D84" w:rsidP="00A262FE">
      <w:pPr>
        <w:spacing w:line="480" w:lineRule="auto"/>
        <w:jc w:val="both"/>
        <w:rPr>
          <w:rFonts w:ascii="Calibri" w:hAnsi="Calibri" w:cs="Calibri"/>
          <w:sz w:val="22"/>
          <w:szCs w:val="22"/>
        </w:rPr>
      </w:pPr>
      <w:r w:rsidRPr="009D679F">
        <w:rPr>
          <w:rFonts w:ascii="Calibri" w:hAnsi="Calibri" w:cs="Calibri"/>
          <w:sz w:val="22"/>
          <w:szCs w:val="22"/>
        </w:rPr>
        <w:t>Insertion of a v</w:t>
      </w:r>
      <w:r>
        <w:rPr>
          <w:rFonts w:ascii="Calibri" w:hAnsi="Calibri" w:cs="Calibri"/>
          <w:sz w:val="22"/>
          <w:szCs w:val="22"/>
        </w:rPr>
        <w:t>entriculoperitoneal shunt</w:t>
      </w:r>
      <w:r w:rsidRPr="009D679F">
        <w:rPr>
          <w:rFonts w:ascii="Calibri" w:hAnsi="Calibri" w:cs="Calibri"/>
          <w:sz w:val="22"/>
          <w:szCs w:val="22"/>
        </w:rPr>
        <w:t xml:space="preserve"> for hydrocephalus is one of the common</w:t>
      </w:r>
      <w:r>
        <w:rPr>
          <w:rFonts w:ascii="Calibri" w:hAnsi="Calibri" w:cs="Calibri"/>
          <w:sz w:val="22"/>
          <w:szCs w:val="22"/>
        </w:rPr>
        <w:t>est neurosurgical</w:t>
      </w:r>
      <w:r w:rsidRPr="009D679F">
        <w:rPr>
          <w:rFonts w:ascii="Calibri" w:hAnsi="Calibri" w:cs="Calibri"/>
          <w:sz w:val="22"/>
          <w:szCs w:val="22"/>
        </w:rPr>
        <w:t xml:space="preserve"> procedures </w:t>
      </w:r>
      <w:r>
        <w:rPr>
          <w:rFonts w:ascii="Calibri" w:hAnsi="Calibri" w:cs="Calibri"/>
          <w:sz w:val="22"/>
          <w:szCs w:val="22"/>
        </w:rPr>
        <w:t>worldwide. Shunt infection affects</w:t>
      </w:r>
      <w:r w:rsidRPr="00116E7E">
        <w:rPr>
          <w:rFonts w:ascii="Calibri" w:hAnsi="Calibri" w:cs="Calibri"/>
          <w:sz w:val="22"/>
          <w:szCs w:val="22"/>
        </w:rPr>
        <w:t xml:space="preserve"> up to 15% of patients</w:t>
      </w:r>
      <w:r>
        <w:rPr>
          <w:rFonts w:ascii="Calibri" w:hAnsi="Calibri" w:cs="Calibri"/>
          <w:sz w:val="22"/>
          <w:szCs w:val="22"/>
        </w:rPr>
        <w:t>, resulting in long hospital admission, multiple surgeries, reduced cognition and quality of life. The aim of this trial was to determine the clinical and cost-effectiveness of antibiotic (rifampicin and clindamycin) or silver shunts compared to standard shunts at reducing infection.</w:t>
      </w:r>
    </w:p>
    <w:p w:rsidR="00803D84" w:rsidRPr="009D679F" w:rsidRDefault="00803D84" w:rsidP="00A262FE">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sz w:val="22"/>
          <w:szCs w:val="22"/>
          <w:u w:val="single"/>
        </w:rPr>
      </w:pPr>
      <w:r>
        <w:rPr>
          <w:rFonts w:ascii="Calibri" w:hAnsi="Calibri" w:cs="Calibri"/>
          <w:sz w:val="22"/>
          <w:szCs w:val="22"/>
          <w:u w:val="single"/>
        </w:rPr>
        <w:t>Methods</w:t>
      </w:r>
    </w:p>
    <w:p w:rsidR="00803D84" w:rsidRDefault="00803D84" w:rsidP="00B60C26">
      <w:pPr>
        <w:spacing w:line="480" w:lineRule="auto"/>
        <w:jc w:val="both"/>
        <w:rPr>
          <w:rFonts w:ascii="Calibri" w:hAnsi="Calibri" w:cs="Calibri"/>
          <w:sz w:val="22"/>
          <w:szCs w:val="22"/>
        </w:rPr>
      </w:pPr>
      <w:r>
        <w:rPr>
          <w:rFonts w:ascii="Calibri" w:hAnsi="Calibri" w:cs="Calibri"/>
          <w:sz w:val="22"/>
          <w:szCs w:val="22"/>
        </w:rPr>
        <w:t xml:space="preserve">Patients with hydrocephalus of any aetiology, undergoing insertion of their first ventriculoperitoneal shunt were randomised (1:1:1) to receive </w:t>
      </w:r>
      <w:r>
        <w:rPr>
          <w:rFonts w:ascii="Calibri" w:hAnsi="Calibri" w:cs="Calibri"/>
          <w:sz w:val="22"/>
          <w:szCs w:val="22"/>
          <w:lang w:val="en-US"/>
        </w:rPr>
        <w:t>standard</w:t>
      </w:r>
      <w:r w:rsidRPr="00522BE8">
        <w:rPr>
          <w:rFonts w:ascii="Calibri" w:hAnsi="Calibri" w:cs="Calibri"/>
          <w:sz w:val="22"/>
          <w:szCs w:val="22"/>
          <w:lang w:val="en-US"/>
        </w:rPr>
        <w:t xml:space="preserve">, </w:t>
      </w:r>
      <w:r>
        <w:rPr>
          <w:rFonts w:ascii="Calibri" w:hAnsi="Calibri" w:cs="Calibri"/>
          <w:sz w:val="22"/>
          <w:szCs w:val="22"/>
          <w:lang w:val="en-US"/>
        </w:rPr>
        <w:t xml:space="preserve">antibiotic or silver shunts. Twenty-one neurosurgery units in the UK and Ireland participated. Participants receiving a shunt without evidence of infection at the time of insertion were followed for a maximum of two years. The primary outcome was time to shunt failure due the infection analyzed using </w:t>
      </w:r>
      <w:r>
        <w:rPr>
          <w:rFonts w:ascii="Calibri" w:hAnsi="Calibri" w:cs="Calibri"/>
          <w:sz w:val="22"/>
          <w:szCs w:val="22"/>
        </w:rPr>
        <w:t>Fine and Gray survival regression models for competing risk</w:t>
      </w:r>
      <w:r w:rsidDel="00CF2F23">
        <w:rPr>
          <w:rFonts w:ascii="Calibri" w:hAnsi="Calibri" w:cs="Calibri"/>
          <w:sz w:val="22"/>
          <w:szCs w:val="22"/>
          <w:lang w:val="en-US"/>
        </w:rPr>
        <w:t xml:space="preserve"> </w:t>
      </w:r>
      <w:r>
        <w:rPr>
          <w:rFonts w:ascii="Calibri" w:hAnsi="Calibri" w:cs="Calibri"/>
          <w:sz w:val="22"/>
          <w:szCs w:val="22"/>
          <w:lang w:val="en-US"/>
        </w:rPr>
        <w:t>.</w:t>
      </w:r>
      <w:r w:rsidRPr="00522BE8">
        <w:rPr>
          <w:rFonts w:ascii="Calibri" w:hAnsi="Calibri" w:cs="Calibri"/>
          <w:sz w:val="22"/>
          <w:szCs w:val="22"/>
          <w:lang w:val="en-US"/>
        </w:rPr>
        <w:t xml:space="preserve"> </w:t>
      </w:r>
      <w:r w:rsidRPr="00B60C26">
        <w:rPr>
          <w:rFonts w:ascii="Calibri" w:hAnsi="Calibri" w:cs="Calibri"/>
          <w:sz w:val="22"/>
          <w:szCs w:val="22"/>
          <w:lang w:val="en-US"/>
        </w:rPr>
        <w:t>Outcomes were analyzed by</w:t>
      </w:r>
      <w:r>
        <w:rPr>
          <w:rFonts w:ascii="Calibri" w:hAnsi="Calibri" w:cs="Calibri"/>
          <w:sz w:val="22"/>
          <w:szCs w:val="22"/>
          <w:lang w:val="en-US"/>
        </w:rPr>
        <w:t xml:space="preserve"> </w:t>
      </w:r>
      <w:r w:rsidRPr="00B60C26">
        <w:rPr>
          <w:rFonts w:ascii="Calibri" w:hAnsi="Calibri" w:cs="Calibri"/>
          <w:sz w:val="22"/>
          <w:szCs w:val="22"/>
          <w:lang w:val="en-US"/>
        </w:rPr>
        <w:t>intention-to-treat</w:t>
      </w:r>
      <w:r>
        <w:rPr>
          <w:rFonts w:ascii="Calibri" w:hAnsi="Calibri" w:cs="Calibri"/>
          <w:sz w:val="22"/>
          <w:szCs w:val="22"/>
          <w:lang w:val="en-US"/>
        </w:rPr>
        <w:t xml:space="preserve">. </w:t>
      </w:r>
      <w:r>
        <w:rPr>
          <w:rFonts w:ascii="Calibri" w:hAnsi="Calibri" w:cs="Calibri"/>
          <w:sz w:val="22"/>
          <w:szCs w:val="22"/>
        </w:rPr>
        <w:t>.</w:t>
      </w:r>
      <w:r>
        <w:rPr>
          <w:rFonts w:ascii="Calibri" w:hAnsi="Calibri" w:cs="Calibri"/>
          <w:sz w:val="22"/>
          <w:szCs w:val="22"/>
          <w:lang w:val="en-US"/>
        </w:rPr>
        <w:t xml:space="preserve"> [</w:t>
      </w:r>
      <w:r>
        <w:rPr>
          <w:rFonts w:ascii="Calibri" w:hAnsi="Calibri" w:cs="Calibri"/>
          <w:sz w:val="22"/>
          <w:szCs w:val="22"/>
        </w:rPr>
        <w:t>ISRCTN49474281].</w:t>
      </w:r>
    </w:p>
    <w:p w:rsidR="00803D84" w:rsidRPr="009D679F" w:rsidRDefault="00803D84" w:rsidP="00CF2F23">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sz w:val="22"/>
          <w:szCs w:val="22"/>
          <w:u w:val="single"/>
        </w:rPr>
      </w:pPr>
      <w:r>
        <w:rPr>
          <w:rFonts w:ascii="Calibri" w:hAnsi="Calibri" w:cs="Calibri"/>
          <w:sz w:val="22"/>
          <w:szCs w:val="22"/>
          <w:u w:val="single"/>
        </w:rPr>
        <w:t>Findings</w:t>
      </w:r>
    </w:p>
    <w:p w:rsidR="00803D84" w:rsidRDefault="00803D84" w:rsidP="00F515DB">
      <w:pPr>
        <w:autoSpaceDE w:val="0"/>
        <w:autoSpaceDN w:val="0"/>
        <w:adjustRightInd w:val="0"/>
        <w:spacing w:line="480" w:lineRule="auto"/>
        <w:jc w:val="both"/>
        <w:rPr>
          <w:rFonts w:ascii="Calibri" w:hAnsi="Calibri" w:cs="Calibri"/>
          <w:sz w:val="22"/>
          <w:szCs w:val="22"/>
        </w:rPr>
      </w:pPr>
      <w:r w:rsidRPr="00E007BF">
        <w:rPr>
          <w:rFonts w:ascii="Calibri" w:hAnsi="Calibri" w:cs="Calibri"/>
          <w:sz w:val="22"/>
          <w:szCs w:val="22"/>
        </w:rPr>
        <w:t xml:space="preserve">Between June 26, 2013 and </w:t>
      </w:r>
      <w:r>
        <w:rPr>
          <w:rFonts w:ascii="Calibri" w:hAnsi="Calibri" w:cs="Calibri"/>
          <w:sz w:val="22"/>
          <w:szCs w:val="22"/>
        </w:rPr>
        <w:t>Oct</w:t>
      </w:r>
      <w:r w:rsidRPr="00E007BF">
        <w:rPr>
          <w:rFonts w:ascii="Calibri" w:hAnsi="Calibri" w:cs="Calibri"/>
          <w:sz w:val="22"/>
          <w:szCs w:val="22"/>
        </w:rPr>
        <w:t xml:space="preserve"> 9, 2017,</w:t>
      </w:r>
      <w:r>
        <w:rPr>
          <w:rFonts w:ascii="Calibri" w:hAnsi="Calibri" w:cs="Calibri"/>
          <w:sz w:val="22"/>
          <w:szCs w:val="22"/>
        </w:rPr>
        <w:t xml:space="preserve"> 1605 patients, from neonate to 91 years of age, were randomised to 536 </w:t>
      </w:r>
      <w:r w:rsidRPr="00E04C2E">
        <w:rPr>
          <w:rFonts w:ascii="Calibri" w:hAnsi="Calibri" w:cs="Calibri"/>
          <w:sz w:val="22"/>
          <w:szCs w:val="22"/>
        </w:rPr>
        <w:t>standard, 538 antibiotic, and 531 silver shunts</w:t>
      </w:r>
      <w:r>
        <w:rPr>
          <w:rFonts w:ascii="Calibri" w:hAnsi="Calibri" w:cs="Calibri"/>
          <w:sz w:val="22"/>
          <w:szCs w:val="22"/>
        </w:rPr>
        <w:t xml:space="preserve">. 1594 had a shunt inserted without evidence of infection at time of insertion and </w:t>
      </w:r>
      <w:r w:rsidRPr="00E04C2E">
        <w:rPr>
          <w:rFonts w:ascii="Calibri" w:hAnsi="Calibri" w:cs="Calibri"/>
          <w:sz w:val="22"/>
          <w:szCs w:val="22"/>
        </w:rPr>
        <w:t>were followed</w:t>
      </w:r>
      <w:r>
        <w:rPr>
          <w:rFonts w:ascii="Calibri" w:hAnsi="Calibri" w:cs="Calibri"/>
          <w:sz w:val="22"/>
          <w:szCs w:val="22"/>
        </w:rPr>
        <w:t xml:space="preserve"> up</w:t>
      </w:r>
      <w:r w:rsidRPr="00E04C2E">
        <w:rPr>
          <w:rFonts w:ascii="Calibri" w:hAnsi="Calibri" w:cs="Calibri"/>
          <w:sz w:val="22"/>
          <w:szCs w:val="22"/>
        </w:rPr>
        <w:t xml:space="preserve"> for a median of </w:t>
      </w:r>
      <w:r w:rsidRPr="00CF2F23">
        <w:rPr>
          <w:rFonts w:ascii="Calibri" w:hAnsi="Calibri" w:cs="Calibri"/>
          <w:sz w:val="22"/>
          <w:szCs w:val="22"/>
        </w:rPr>
        <w:t>22 months (IQR</w:t>
      </w:r>
      <w:r w:rsidRPr="00E04C2E">
        <w:rPr>
          <w:rFonts w:ascii="Calibri" w:hAnsi="Calibri" w:cs="Calibri"/>
          <w:sz w:val="22"/>
          <w:szCs w:val="22"/>
        </w:rPr>
        <w:t xml:space="preserve"> [</w:t>
      </w:r>
      <w:r w:rsidRPr="00FE2B1F">
        <w:rPr>
          <w:rFonts w:ascii="Arial" w:hAnsi="Arial" w:cs="Arial"/>
          <w:sz w:val="20"/>
          <w:szCs w:val="20"/>
        </w:rPr>
        <w:t>10-24</w:t>
      </w:r>
      <w:r>
        <w:rPr>
          <w:rFonts w:ascii="Arial" w:hAnsi="Arial" w:cs="Arial"/>
          <w:sz w:val="20"/>
          <w:szCs w:val="20"/>
        </w:rPr>
        <w:t>]; completeness 98.4%).</w:t>
      </w:r>
      <w:r>
        <w:rPr>
          <w:rFonts w:ascii="Calibri" w:hAnsi="Calibri" w:cs="Calibri"/>
          <w:sz w:val="22"/>
          <w:szCs w:val="22"/>
        </w:rPr>
        <w:t xml:space="preserve"> 32 (6%) of 533 patients randomised to standard shunts had a shunt revision for infection, compared to 12 (2.2%) of 535 randomised to antibiotic shunts </w:t>
      </w:r>
      <w:r w:rsidRPr="00097242">
        <w:rPr>
          <w:rFonts w:ascii="Calibri" w:hAnsi="Calibri" w:cs="Calibri"/>
          <w:sz w:val="22"/>
          <w:szCs w:val="22"/>
        </w:rPr>
        <w:t>(</w:t>
      </w:r>
      <w:r>
        <w:rPr>
          <w:rFonts w:ascii="Calibri" w:hAnsi="Calibri" w:cs="Calibri"/>
          <w:sz w:val="22"/>
          <w:szCs w:val="22"/>
        </w:rPr>
        <w:t xml:space="preserve">cause specific </w:t>
      </w:r>
      <w:r w:rsidRPr="00097242">
        <w:rPr>
          <w:rFonts w:ascii="Calibri" w:hAnsi="Calibri" w:cs="Calibri"/>
          <w:sz w:val="22"/>
          <w:szCs w:val="22"/>
        </w:rPr>
        <w:t>H</w:t>
      </w:r>
      <w:r>
        <w:rPr>
          <w:rFonts w:ascii="Calibri" w:hAnsi="Calibri" w:cs="Calibri"/>
          <w:sz w:val="22"/>
          <w:szCs w:val="22"/>
        </w:rPr>
        <w:t xml:space="preserve">azard </w:t>
      </w:r>
      <w:r w:rsidRPr="00097242">
        <w:rPr>
          <w:rFonts w:ascii="Calibri" w:hAnsi="Calibri" w:cs="Calibri"/>
          <w:sz w:val="22"/>
          <w:szCs w:val="22"/>
        </w:rPr>
        <w:t>R</w:t>
      </w:r>
      <w:r>
        <w:rPr>
          <w:rFonts w:ascii="Calibri" w:hAnsi="Calibri" w:cs="Calibri"/>
          <w:sz w:val="22"/>
          <w:szCs w:val="22"/>
        </w:rPr>
        <w:t>atio (csHR) [</w:t>
      </w:r>
      <w:r w:rsidRPr="00097242">
        <w:rPr>
          <w:rFonts w:ascii="Calibri" w:hAnsi="Calibri" w:cs="Calibri"/>
          <w:sz w:val="22"/>
          <w:szCs w:val="22"/>
        </w:rPr>
        <w:t>97.5% confidence interval</w:t>
      </w:r>
      <w:r>
        <w:rPr>
          <w:rFonts w:ascii="Calibri" w:hAnsi="Calibri" w:cs="Calibri"/>
          <w:sz w:val="22"/>
          <w:szCs w:val="22"/>
        </w:rPr>
        <w:t>]: 0·38, [0·18, 0·</w:t>
      </w:r>
      <w:r w:rsidRPr="00097242">
        <w:rPr>
          <w:rFonts w:ascii="Calibri" w:hAnsi="Calibri" w:cs="Calibri"/>
          <w:sz w:val="22"/>
          <w:szCs w:val="22"/>
        </w:rPr>
        <w:t xml:space="preserve">80], </w:t>
      </w:r>
      <w:r w:rsidRPr="00097242">
        <w:rPr>
          <w:rFonts w:ascii="Calibri" w:hAnsi="Calibri" w:cs="Calibri"/>
          <w:i/>
          <w:iCs/>
          <w:sz w:val="22"/>
          <w:szCs w:val="22"/>
        </w:rPr>
        <w:t>p&lt;</w:t>
      </w:r>
      <w:r>
        <w:rPr>
          <w:rFonts w:ascii="Calibri" w:hAnsi="Calibri" w:cs="Calibri"/>
          <w:sz w:val="22"/>
          <w:szCs w:val="22"/>
        </w:rPr>
        <w:t>0·</w:t>
      </w:r>
      <w:r w:rsidRPr="00097242">
        <w:rPr>
          <w:rFonts w:ascii="Calibri" w:hAnsi="Calibri" w:cs="Calibri"/>
          <w:sz w:val="22"/>
          <w:szCs w:val="22"/>
        </w:rPr>
        <w:t>01)</w:t>
      </w:r>
      <w:r>
        <w:rPr>
          <w:rFonts w:ascii="Calibri" w:hAnsi="Calibri" w:cs="Calibri"/>
          <w:sz w:val="22"/>
          <w:szCs w:val="22"/>
        </w:rPr>
        <w:t xml:space="preserve"> and 31 (5.9%) randomised to silver shunts (csHR: 0·99, [0·56, 1·</w:t>
      </w:r>
      <w:r w:rsidRPr="00097242">
        <w:rPr>
          <w:rFonts w:ascii="Calibri" w:hAnsi="Calibri" w:cs="Calibri"/>
          <w:sz w:val="22"/>
          <w:szCs w:val="22"/>
        </w:rPr>
        <w:t xml:space="preserve">74], </w:t>
      </w:r>
      <w:r w:rsidRPr="00097242">
        <w:rPr>
          <w:rFonts w:ascii="Calibri" w:hAnsi="Calibri" w:cs="Calibri"/>
          <w:i/>
          <w:iCs/>
          <w:sz w:val="22"/>
          <w:szCs w:val="22"/>
        </w:rPr>
        <w:t>p&lt;</w:t>
      </w:r>
      <w:r>
        <w:rPr>
          <w:rFonts w:ascii="Calibri" w:hAnsi="Calibri" w:cs="Calibri"/>
          <w:sz w:val="22"/>
          <w:szCs w:val="22"/>
        </w:rPr>
        <w:t>0·</w:t>
      </w:r>
      <w:r w:rsidRPr="00097242">
        <w:rPr>
          <w:rFonts w:ascii="Calibri" w:hAnsi="Calibri" w:cs="Calibri"/>
          <w:sz w:val="22"/>
          <w:szCs w:val="22"/>
        </w:rPr>
        <w:t>96).</w:t>
      </w:r>
      <w:r w:rsidRPr="00776DC1">
        <w:rPr>
          <w:rFonts w:ascii="Calibri" w:hAnsi="Calibri" w:cs="Calibri"/>
          <w:sz w:val="22"/>
          <w:szCs w:val="22"/>
        </w:rPr>
        <w:t xml:space="preserve"> </w:t>
      </w:r>
      <w:r>
        <w:rPr>
          <w:rFonts w:ascii="Calibri" w:hAnsi="Calibri" w:cs="Calibri"/>
          <w:sz w:val="22"/>
          <w:szCs w:val="22"/>
        </w:rPr>
        <w:t xml:space="preserve"> Antibiotic shunts save £135,753 per infection avoided.</w:t>
      </w:r>
    </w:p>
    <w:p w:rsidR="00803D84" w:rsidRPr="009D679F" w:rsidRDefault="00803D84" w:rsidP="00A262FE">
      <w:pPr>
        <w:autoSpaceDE w:val="0"/>
        <w:autoSpaceDN w:val="0"/>
        <w:adjustRightInd w:val="0"/>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sz w:val="22"/>
          <w:szCs w:val="22"/>
          <w:u w:val="single"/>
        </w:rPr>
      </w:pPr>
      <w:r>
        <w:rPr>
          <w:rFonts w:ascii="Calibri" w:hAnsi="Calibri" w:cs="Calibri"/>
          <w:sz w:val="22"/>
          <w:szCs w:val="22"/>
          <w:u w:val="single"/>
        </w:rPr>
        <w:t>Interpretation</w:t>
      </w:r>
    </w:p>
    <w:p w:rsidR="00803D84" w:rsidRPr="009C5EED" w:rsidRDefault="00803D84" w:rsidP="00A262FE">
      <w:pPr>
        <w:spacing w:line="480" w:lineRule="auto"/>
        <w:jc w:val="both"/>
        <w:rPr>
          <w:rFonts w:ascii="Calibri" w:hAnsi="Calibri" w:cs="Calibri"/>
          <w:sz w:val="22"/>
          <w:szCs w:val="22"/>
        </w:rPr>
      </w:pPr>
      <w:r>
        <w:rPr>
          <w:rFonts w:ascii="Calibri" w:hAnsi="Calibri" w:cs="Calibri"/>
          <w:sz w:val="22"/>
          <w:szCs w:val="22"/>
        </w:rPr>
        <w:t>The BASICS trial has provided definitive evidence to support the adoption of antibiotic shunts in all patients having their first ventriculoperitoneal shunt in the UK.</w:t>
      </w:r>
    </w:p>
    <w:p w:rsidR="00803D84" w:rsidRDefault="00803D84" w:rsidP="00A262FE">
      <w:pPr>
        <w:spacing w:line="480" w:lineRule="auto"/>
        <w:jc w:val="both"/>
        <w:rPr>
          <w:rFonts w:ascii="Calibri" w:hAnsi="Calibri" w:cs="Calibri"/>
          <w:sz w:val="22"/>
          <w:szCs w:val="22"/>
        </w:rPr>
      </w:pPr>
    </w:p>
    <w:p w:rsidR="00803D84" w:rsidRPr="00B852EB" w:rsidRDefault="00803D84" w:rsidP="00A262FE">
      <w:pPr>
        <w:spacing w:line="480" w:lineRule="auto"/>
        <w:jc w:val="both"/>
        <w:rPr>
          <w:rFonts w:ascii="Calibri" w:hAnsi="Calibri" w:cs="Calibri"/>
          <w:sz w:val="22"/>
          <w:szCs w:val="22"/>
          <w:u w:val="single"/>
        </w:rPr>
      </w:pPr>
      <w:r w:rsidRPr="00B852EB">
        <w:rPr>
          <w:rFonts w:ascii="Calibri" w:hAnsi="Calibri" w:cs="Calibri"/>
          <w:sz w:val="22"/>
          <w:szCs w:val="22"/>
          <w:u w:val="single"/>
        </w:rPr>
        <w:t>Funding</w:t>
      </w:r>
    </w:p>
    <w:p w:rsidR="00803D84" w:rsidRPr="009D679F" w:rsidRDefault="00803D84" w:rsidP="00A262FE">
      <w:pPr>
        <w:spacing w:line="480" w:lineRule="auto"/>
        <w:jc w:val="both"/>
        <w:rPr>
          <w:rFonts w:ascii="Calibri" w:hAnsi="Calibri" w:cs="Calibri"/>
          <w:sz w:val="22"/>
          <w:szCs w:val="22"/>
        </w:rPr>
      </w:pPr>
      <w:r>
        <w:rPr>
          <w:rFonts w:ascii="Calibri" w:hAnsi="Calibri" w:cs="Calibri"/>
          <w:sz w:val="22"/>
          <w:szCs w:val="22"/>
        </w:rPr>
        <w:t>This study was funded by the National Institute for Health Research Health Technology Assessment programme under grant agreement 10/104/30.</w:t>
      </w:r>
    </w:p>
    <w:p w:rsidR="00803D84" w:rsidRDefault="00803D84" w:rsidP="00A262FE">
      <w:pPr>
        <w:spacing w:line="480" w:lineRule="auto"/>
        <w:jc w:val="both"/>
        <w:rPr>
          <w:rFonts w:ascii="Calibri" w:hAnsi="Calibri" w:cs="Calibri"/>
          <w:sz w:val="22"/>
          <w:szCs w:val="22"/>
        </w:rPr>
      </w:pPr>
    </w:p>
    <w:p w:rsidR="00803D84" w:rsidRPr="00C0438A" w:rsidRDefault="00803D84" w:rsidP="00A262FE">
      <w:pPr>
        <w:spacing w:line="480" w:lineRule="auto"/>
        <w:jc w:val="both"/>
        <w:rPr>
          <w:rFonts w:ascii="Calibri" w:hAnsi="Calibri" w:cs="Calibri"/>
          <w:sz w:val="22"/>
          <w:szCs w:val="22"/>
          <w:u w:val="single"/>
        </w:rPr>
      </w:pPr>
      <w:r w:rsidRPr="00C0438A">
        <w:rPr>
          <w:rFonts w:ascii="Calibri" w:hAnsi="Calibri" w:cs="Calibri"/>
          <w:sz w:val="22"/>
          <w:szCs w:val="22"/>
          <w:u w:val="single"/>
        </w:rPr>
        <w:t>Disclaimer</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The views expressed are those of the authors and not necessarily those of the NHS, the NIHR or the Department of Health and Social Care.</w:t>
      </w:r>
    </w:p>
    <w:p w:rsidR="00803D84" w:rsidRPr="009D679F" w:rsidRDefault="00803D84" w:rsidP="00A262FE">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b/>
          <w:bCs/>
          <w:sz w:val="22"/>
          <w:szCs w:val="22"/>
        </w:rPr>
      </w:pPr>
      <w:r w:rsidRPr="009D679F">
        <w:rPr>
          <w:rFonts w:ascii="Calibri" w:hAnsi="Calibri" w:cs="Calibri"/>
          <w:b/>
          <w:bCs/>
          <w:sz w:val="22"/>
          <w:szCs w:val="22"/>
        </w:rPr>
        <w:t>Key words</w:t>
      </w:r>
    </w:p>
    <w:p w:rsidR="00803D84" w:rsidRDefault="00803D84" w:rsidP="00A262FE">
      <w:pPr>
        <w:spacing w:line="480" w:lineRule="auto"/>
        <w:jc w:val="both"/>
        <w:rPr>
          <w:rFonts w:ascii="Calibri" w:hAnsi="Calibri" w:cs="Calibri"/>
          <w:sz w:val="22"/>
          <w:szCs w:val="22"/>
        </w:rPr>
      </w:pPr>
      <w:r w:rsidRPr="009D679F">
        <w:rPr>
          <w:rFonts w:ascii="Calibri" w:hAnsi="Calibri" w:cs="Calibri"/>
          <w:sz w:val="22"/>
          <w:szCs w:val="22"/>
        </w:rPr>
        <w:t xml:space="preserve">Ventriculoperitoneal </w:t>
      </w:r>
      <w:r>
        <w:rPr>
          <w:rFonts w:ascii="Calibri" w:hAnsi="Calibri" w:cs="Calibri"/>
          <w:sz w:val="22"/>
          <w:szCs w:val="22"/>
        </w:rPr>
        <w:t>shunt</w:t>
      </w:r>
      <w:r w:rsidRPr="009D679F">
        <w:rPr>
          <w:rFonts w:ascii="Calibri" w:hAnsi="Calibri" w:cs="Calibri"/>
          <w:sz w:val="22"/>
          <w:szCs w:val="22"/>
        </w:rPr>
        <w:t>, infection, clinical trial,</w:t>
      </w:r>
      <w:r>
        <w:rPr>
          <w:rFonts w:ascii="Calibri" w:hAnsi="Calibri" w:cs="Calibri"/>
          <w:sz w:val="22"/>
          <w:szCs w:val="22"/>
        </w:rPr>
        <w:t xml:space="preserve"> antibiotic, silver, standard</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br w:type="page"/>
      </w:r>
    </w:p>
    <w:p w:rsidR="00803D84" w:rsidRPr="009D679F" w:rsidRDefault="00803D84" w:rsidP="00A262FE">
      <w:pPr>
        <w:spacing w:line="480" w:lineRule="auto"/>
        <w:jc w:val="both"/>
        <w:rPr>
          <w:rFonts w:ascii="Calibri" w:hAnsi="Calibri" w:cs="Calibri"/>
          <w:b/>
          <w:bCs/>
          <w:sz w:val="22"/>
          <w:szCs w:val="22"/>
        </w:rPr>
      </w:pPr>
      <w:r>
        <w:rPr>
          <w:rFonts w:ascii="Calibri" w:hAnsi="Calibri" w:cs="Calibri"/>
          <w:b/>
          <w:bCs/>
          <w:sz w:val="22"/>
          <w:szCs w:val="22"/>
        </w:rPr>
        <w:t>Introduction</w:t>
      </w:r>
    </w:p>
    <w:p w:rsidR="00803D84" w:rsidRDefault="00803D84" w:rsidP="00A262FE">
      <w:pPr>
        <w:pStyle w:val="Default"/>
        <w:spacing w:line="480" w:lineRule="auto"/>
        <w:jc w:val="both"/>
        <w:rPr>
          <w:rFonts w:ascii="Calibri" w:hAnsi="Calibri" w:cs="Calibri"/>
          <w:sz w:val="22"/>
          <w:szCs w:val="22"/>
        </w:rPr>
      </w:pPr>
      <w:r w:rsidRPr="009D679F">
        <w:rPr>
          <w:rFonts w:ascii="Calibri" w:hAnsi="Calibri" w:cs="Calibri"/>
          <w:sz w:val="22"/>
          <w:szCs w:val="22"/>
        </w:rPr>
        <w:t>Hydrocephalus affects one in every five hundred births</w:t>
      </w:r>
      <w:r>
        <w:rPr>
          <w:rFonts w:ascii="Calibri" w:hAnsi="Calibri" w:cs="Calibri"/>
          <w:sz w:val="22"/>
          <w:szCs w:val="22"/>
        </w:rPr>
        <w:t>.</w:t>
      </w:r>
      <w:r w:rsidRPr="00107B01">
        <w:rPr>
          <w:rFonts w:ascii="Calibri" w:hAnsi="Calibri" w:cs="Calibri"/>
          <w:noProof/>
          <w:sz w:val="22"/>
          <w:szCs w:val="22"/>
          <w:vertAlign w:val="superscript"/>
        </w:rPr>
        <w:t>1</w:t>
      </w:r>
      <w:r>
        <w:rPr>
          <w:rFonts w:ascii="Calibri" w:hAnsi="Calibri" w:cs="Calibri"/>
          <w:sz w:val="22"/>
          <w:szCs w:val="22"/>
        </w:rPr>
        <w:t xml:space="preserve"> It</w:t>
      </w:r>
      <w:r w:rsidRPr="009D679F">
        <w:rPr>
          <w:rFonts w:ascii="Calibri" w:hAnsi="Calibri" w:cs="Calibri"/>
          <w:sz w:val="22"/>
          <w:szCs w:val="22"/>
        </w:rPr>
        <w:t xml:space="preserve"> also affects older children and adults of all ages and can be secondary to a variety of causes in</w:t>
      </w:r>
      <w:r>
        <w:rPr>
          <w:rFonts w:ascii="Calibri" w:hAnsi="Calibri" w:cs="Calibri"/>
          <w:sz w:val="22"/>
          <w:szCs w:val="22"/>
        </w:rPr>
        <w:t>cluding haemorrhage, trauma, infection and intracranial tumours.</w:t>
      </w:r>
      <w:r w:rsidRPr="00F7177E">
        <w:rPr>
          <w:rFonts w:ascii="Calibri" w:hAnsi="Calibri" w:cs="Calibri"/>
          <w:noProof/>
          <w:sz w:val="22"/>
          <w:szCs w:val="22"/>
          <w:vertAlign w:val="superscript"/>
        </w:rPr>
        <w:t>2</w:t>
      </w:r>
      <w:r>
        <w:rPr>
          <w:rFonts w:ascii="Calibri" w:hAnsi="Calibri" w:cs="Calibri"/>
          <w:sz w:val="22"/>
          <w:szCs w:val="22"/>
        </w:rPr>
        <w:t xml:space="preserve"> A recent systematic review and meta-analysis reported the hydrocephalus prevalence to be 88/100,000 in children, 11/100,000 in adults and 175/100,000 in the elderly.</w:t>
      </w:r>
      <w:r w:rsidRPr="00F7177E">
        <w:rPr>
          <w:rFonts w:ascii="Calibri" w:hAnsi="Calibri" w:cs="Calibri"/>
          <w:noProof/>
          <w:sz w:val="22"/>
          <w:szCs w:val="22"/>
          <w:vertAlign w:val="superscript"/>
        </w:rPr>
        <w:t>3</w:t>
      </w:r>
      <w:r>
        <w:rPr>
          <w:rFonts w:ascii="Calibri" w:hAnsi="Calibri" w:cs="Calibri"/>
          <w:sz w:val="22"/>
          <w:szCs w:val="22"/>
        </w:rPr>
        <w:t xml:space="preserve">  The commonest treatment for h</w:t>
      </w:r>
      <w:r w:rsidRPr="009D679F">
        <w:rPr>
          <w:rFonts w:ascii="Calibri" w:hAnsi="Calibri" w:cs="Calibri"/>
          <w:sz w:val="22"/>
          <w:szCs w:val="22"/>
        </w:rPr>
        <w:t xml:space="preserve">ydrocephalus </w:t>
      </w:r>
      <w:r>
        <w:rPr>
          <w:rFonts w:ascii="Calibri" w:hAnsi="Calibri" w:cs="Calibri"/>
          <w:sz w:val="22"/>
          <w:szCs w:val="22"/>
        </w:rPr>
        <w:t xml:space="preserve">is </w:t>
      </w:r>
      <w:r w:rsidRPr="009D679F">
        <w:rPr>
          <w:rFonts w:ascii="Calibri" w:hAnsi="Calibri" w:cs="Calibri"/>
          <w:sz w:val="22"/>
          <w:szCs w:val="22"/>
        </w:rPr>
        <w:t>the v</w:t>
      </w:r>
      <w:r>
        <w:rPr>
          <w:rFonts w:ascii="Calibri" w:hAnsi="Calibri" w:cs="Calibri"/>
          <w:sz w:val="22"/>
          <w:szCs w:val="22"/>
        </w:rPr>
        <w:t>entriculoperitoneal shunt,</w:t>
      </w:r>
      <w:r w:rsidRPr="009D679F">
        <w:rPr>
          <w:rFonts w:ascii="Calibri" w:hAnsi="Calibri" w:cs="Calibri"/>
          <w:sz w:val="22"/>
          <w:szCs w:val="22"/>
        </w:rPr>
        <w:t xml:space="preserve"> </w:t>
      </w:r>
      <w:r>
        <w:rPr>
          <w:rFonts w:ascii="Calibri" w:hAnsi="Calibri" w:cs="Calibri"/>
          <w:sz w:val="22"/>
          <w:szCs w:val="22"/>
        </w:rPr>
        <w:t xml:space="preserve">which comprises proximal (ventricular) and distal (peritoneal) </w:t>
      </w:r>
      <w:r w:rsidRPr="009D679F">
        <w:rPr>
          <w:rFonts w:ascii="Calibri" w:hAnsi="Calibri" w:cs="Calibri"/>
          <w:sz w:val="22"/>
          <w:szCs w:val="22"/>
        </w:rPr>
        <w:t xml:space="preserve">silicone </w:t>
      </w:r>
      <w:r>
        <w:rPr>
          <w:rFonts w:ascii="Calibri" w:hAnsi="Calibri" w:cs="Calibri"/>
          <w:sz w:val="22"/>
          <w:szCs w:val="22"/>
        </w:rPr>
        <w:t xml:space="preserve">catheters joined by </w:t>
      </w:r>
      <w:r w:rsidRPr="009D679F">
        <w:rPr>
          <w:rFonts w:ascii="Calibri" w:hAnsi="Calibri" w:cs="Calibri"/>
          <w:sz w:val="22"/>
          <w:szCs w:val="22"/>
        </w:rPr>
        <w:t>a valve</w:t>
      </w:r>
      <w:r>
        <w:rPr>
          <w:rFonts w:ascii="Calibri" w:hAnsi="Calibri" w:cs="Calibri"/>
          <w:sz w:val="22"/>
          <w:szCs w:val="22"/>
        </w:rPr>
        <w:t xml:space="preserve"> to drain </w:t>
      </w:r>
      <w:r w:rsidRPr="009D679F">
        <w:rPr>
          <w:rFonts w:ascii="Calibri" w:hAnsi="Calibri" w:cs="Calibri"/>
          <w:sz w:val="22"/>
          <w:szCs w:val="22"/>
        </w:rPr>
        <w:t>cerebrospinal fluid</w:t>
      </w:r>
      <w:r>
        <w:rPr>
          <w:rFonts w:ascii="Calibri" w:hAnsi="Calibri" w:cs="Calibri"/>
          <w:sz w:val="22"/>
          <w:szCs w:val="22"/>
        </w:rPr>
        <w:t xml:space="preserve"> (CSF)</w:t>
      </w:r>
      <w:r w:rsidRPr="009D679F">
        <w:rPr>
          <w:rFonts w:ascii="Calibri" w:hAnsi="Calibri" w:cs="Calibri"/>
          <w:sz w:val="22"/>
          <w:szCs w:val="22"/>
        </w:rPr>
        <w:t xml:space="preserve"> from the ventricles into the peritoneal cavity</w:t>
      </w:r>
      <w:r>
        <w:rPr>
          <w:rFonts w:ascii="Calibri" w:hAnsi="Calibri" w:cs="Calibri"/>
          <w:sz w:val="22"/>
          <w:szCs w:val="22"/>
        </w:rPr>
        <w:t xml:space="preserve">. </w:t>
      </w:r>
      <w:r w:rsidRPr="009D679F">
        <w:rPr>
          <w:rFonts w:ascii="Calibri" w:hAnsi="Calibri" w:cs="Calibri"/>
          <w:sz w:val="22"/>
          <w:szCs w:val="22"/>
        </w:rPr>
        <w:t>Insertion of a v</w:t>
      </w:r>
      <w:r>
        <w:rPr>
          <w:rFonts w:ascii="Calibri" w:hAnsi="Calibri" w:cs="Calibri"/>
          <w:sz w:val="22"/>
          <w:szCs w:val="22"/>
        </w:rPr>
        <w:t>entriculoperitoneal shunt</w:t>
      </w:r>
      <w:r w:rsidRPr="009D679F">
        <w:rPr>
          <w:rFonts w:ascii="Calibri" w:hAnsi="Calibri" w:cs="Calibri"/>
          <w:sz w:val="22"/>
          <w:szCs w:val="22"/>
        </w:rPr>
        <w:t xml:space="preserve"> for hydrocephalus is one of the common</w:t>
      </w:r>
      <w:r>
        <w:rPr>
          <w:rFonts w:ascii="Calibri" w:hAnsi="Calibri" w:cs="Calibri"/>
          <w:sz w:val="22"/>
          <w:szCs w:val="22"/>
        </w:rPr>
        <w:t>est neurosurgical</w:t>
      </w:r>
      <w:r w:rsidRPr="009D679F">
        <w:rPr>
          <w:rFonts w:ascii="Calibri" w:hAnsi="Calibri" w:cs="Calibri"/>
          <w:sz w:val="22"/>
          <w:szCs w:val="22"/>
        </w:rPr>
        <w:t xml:space="preserve"> procedures </w:t>
      </w:r>
      <w:r>
        <w:rPr>
          <w:rFonts w:ascii="Calibri" w:hAnsi="Calibri" w:cs="Calibri"/>
          <w:sz w:val="22"/>
          <w:szCs w:val="22"/>
        </w:rPr>
        <w:t>worldwide.</w:t>
      </w:r>
      <w:r w:rsidRPr="00F7177E">
        <w:rPr>
          <w:rFonts w:ascii="Calibri" w:hAnsi="Calibri" w:cs="Calibri"/>
          <w:noProof/>
          <w:sz w:val="22"/>
          <w:szCs w:val="22"/>
          <w:vertAlign w:val="superscript"/>
        </w:rPr>
        <w:t>4</w:t>
      </w:r>
      <w:r>
        <w:rPr>
          <w:rFonts w:ascii="Calibri" w:hAnsi="Calibri" w:cs="Calibri"/>
          <w:sz w:val="22"/>
          <w:szCs w:val="22"/>
        </w:rPr>
        <w:t xml:space="preserve"> </w:t>
      </w:r>
      <w:r w:rsidRPr="009D679F">
        <w:rPr>
          <w:rFonts w:ascii="Calibri" w:hAnsi="Calibri" w:cs="Calibri"/>
          <w:sz w:val="22"/>
          <w:szCs w:val="22"/>
        </w:rPr>
        <w:t xml:space="preserve"> </w:t>
      </w:r>
      <w:r>
        <w:rPr>
          <w:rFonts w:ascii="Calibri" w:hAnsi="Calibri" w:cs="Calibri"/>
          <w:sz w:val="22"/>
          <w:szCs w:val="22"/>
        </w:rPr>
        <w:t>F</w:t>
      </w:r>
      <w:r w:rsidRPr="009D679F">
        <w:rPr>
          <w:rFonts w:ascii="Calibri" w:hAnsi="Calibri" w:cs="Calibri"/>
          <w:sz w:val="22"/>
          <w:szCs w:val="22"/>
        </w:rPr>
        <w:t xml:space="preserve">ailure </w:t>
      </w:r>
      <w:r>
        <w:rPr>
          <w:rFonts w:ascii="Calibri" w:hAnsi="Calibri" w:cs="Calibri"/>
          <w:sz w:val="22"/>
          <w:szCs w:val="22"/>
        </w:rPr>
        <w:t xml:space="preserve">of this shunt </w:t>
      </w:r>
      <w:r w:rsidRPr="009D679F">
        <w:rPr>
          <w:rFonts w:ascii="Calibri" w:hAnsi="Calibri" w:cs="Calibri"/>
          <w:sz w:val="22"/>
          <w:szCs w:val="22"/>
        </w:rPr>
        <w:t xml:space="preserve">due to </w:t>
      </w:r>
      <w:r w:rsidRPr="00AC6F00">
        <w:rPr>
          <w:rFonts w:ascii="Calibri" w:hAnsi="Calibri" w:cs="Calibri"/>
          <w:sz w:val="22"/>
          <w:szCs w:val="22"/>
        </w:rPr>
        <w:t>infection occurs in 7-15% of patients.</w:t>
      </w:r>
      <w:r w:rsidRPr="00A341A4">
        <w:rPr>
          <w:rFonts w:ascii="Calibri" w:hAnsi="Calibri" w:cs="Calibri"/>
          <w:noProof/>
          <w:sz w:val="22"/>
          <w:szCs w:val="22"/>
          <w:vertAlign w:val="superscript"/>
        </w:rPr>
        <w:t>5,6</w:t>
      </w:r>
      <w:r w:rsidRPr="00AC6F00">
        <w:rPr>
          <w:rFonts w:ascii="Calibri" w:hAnsi="Calibri" w:cs="Calibri"/>
          <w:sz w:val="22"/>
          <w:szCs w:val="22"/>
        </w:rPr>
        <w:t xml:space="preserve"> Episodes</w:t>
      </w:r>
      <w:r w:rsidRPr="009D679F">
        <w:rPr>
          <w:rFonts w:ascii="Calibri" w:hAnsi="Calibri" w:cs="Calibri"/>
          <w:sz w:val="22"/>
          <w:szCs w:val="22"/>
        </w:rPr>
        <w:t xml:space="preserve"> of infection have a </w:t>
      </w:r>
      <w:r>
        <w:rPr>
          <w:rFonts w:ascii="Calibri" w:hAnsi="Calibri" w:cs="Calibri"/>
          <w:sz w:val="22"/>
          <w:szCs w:val="22"/>
        </w:rPr>
        <w:t>major</w:t>
      </w:r>
      <w:r w:rsidRPr="009D679F">
        <w:rPr>
          <w:rFonts w:ascii="Calibri" w:hAnsi="Calibri" w:cs="Calibri"/>
          <w:sz w:val="22"/>
          <w:szCs w:val="22"/>
        </w:rPr>
        <w:t xml:space="preserve"> impact on patients</w:t>
      </w:r>
      <w:r>
        <w:rPr>
          <w:rFonts w:ascii="Calibri" w:hAnsi="Calibri" w:cs="Calibri"/>
          <w:sz w:val="22"/>
          <w:szCs w:val="22"/>
        </w:rPr>
        <w:t>, require prolonged hospitalization and antibiotics, surgery to remove the infected shunt and to place a new shunt once the infection has been treated. Shunt infection impacts on health-related quality of life, cognitive function,</w:t>
      </w:r>
      <w:r w:rsidRPr="00A341A4">
        <w:rPr>
          <w:rFonts w:ascii="Calibri" w:hAnsi="Calibri" w:cs="Calibri"/>
          <w:noProof/>
          <w:sz w:val="22"/>
          <w:szCs w:val="22"/>
          <w:vertAlign w:val="superscript"/>
        </w:rPr>
        <w:t>7</w:t>
      </w:r>
      <w:r>
        <w:rPr>
          <w:rFonts w:ascii="Calibri" w:hAnsi="Calibri" w:cs="Calibri"/>
          <w:sz w:val="22"/>
          <w:szCs w:val="22"/>
        </w:rPr>
        <w:t xml:space="preserve"> and survival, with t</w:t>
      </w:r>
      <w:r w:rsidRPr="009D679F">
        <w:rPr>
          <w:rFonts w:ascii="Calibri" w:hAnsi="Calibri" w:cs="Calibri"/>
          <w:sz w:val="22"/>
          <w:szCs w:val="22"/>
        </w:rPr>
        <w:t xml:space="preserve">he number of infections </w:t>
      </w:r>
      <w:r>
        <w:rPr>
          <w:rFonts w:ascii="Calibri" w:hAnsi="Calibri" w:cs="Calibri"/>
          <w:sz w:val="22"/>
          <w:szCs w:val="22"/>
        </w:rPr>
        <w:t>being</w:t>
      </w:r>
      <w:r w:rsidRPr="009D679F">
        <w:rPr>
          <w:rFonts w:ascii="Calibri" w:hAnsi="Calibri" w:cs="Calibri"/>
          <w:sz w:val="22"/>
          <w:szCs w:val="22"/>
        </w:rPr>
        <w:t xml:space="preserve"> an independent predictor of death</w:t>
      </w:r>
      <w:r>
        <w:rPr>
          <w:rFonts w:ascii="Calibri" w:hAnsi="Calibri" w:cs="Calibri"/>
          <w:sz w:val="22"/>
          <w:szCs w:val="22"/>
        </w:rPr>
        <w:t>.</w:t>
      </w:r>
      <w:r w:rsidRPr="00A341A4">
        <w:rPr>
          <w:rFonts w:ascii="Calibri" w:hAnsi="Calibri" w:cs="Calibri"/>
          <w:noProof/>
          <w:sz w:val="22"/>
          <w:szCs w:val="22"/>
          <w:vertAlign w:val="superscript"/>
        </w:rPr>
        <w:t>8</w:t>
      </w:r>
    </w:p>
    <w:p w:rsidR="00803D84" w:rsidRDefault="00803D84" w:rsidP="00A262FE">
      <w:pPr>
        <w:pStyle w:val="Default"/>
        <w:spacing w:line="480" w:lineRule="auto"/>
        <w:jc w:val="both"/>
        <w:rPr>
          <w:rFonts w:ascii="Calibri" w:hAnsi="Calibri" w:cs="Calibri"/>
          <w:sz w:val="22"/>
          <w:szCs w:val="22"/>
        </w:rPr>
      </w:pPr>
    </w:p>
    <w:p w:rsidR="00803D84" w:rsidRDefault="00803D84" w:rsidP="00A262FE">
      <w:pPr>
        <w:pStyle w:val="Default"/>
        <w:spacing w:line="480" w:lineRule="auto"/>
        <w:jc w:val="both"/>
        <w:rPr>
          <w:rFonts w:ascii="Calibri" w:hAnsi="Calibri" w:cs="Calibri"/>
          <w:sz w:val="22"/>
          <w:szCs w:val="22"/>
        </w:rPr>
      </w:pPr>
      <w:r>
        <w:rPr>
          <w:rFonts w:ascii="Calibri" w:hAnsi="Calibri" w:cs="Calibri"/>
          <w:sz w:val="22"/>
          <w:szCs w:val="22"/>
        </w:rPr>
        <w:t>Impregnated shunt catheters have been introduced as a means</w:t>
      </w:r>
      <w:r w:rsidRPr="00E21B7E">
        <w:rPr>
          <w:rFonts w:ascii="Calibri" w:hAnsi="Calibri" w:cs="Calibri"/>
          <w:sz w:val="22"/>
          <w:szCs w:val="22"/>
        </w:rPr>
        <w:t xml:space="preserve"> </w:t>
      </w:r>
      <w:r>
        <w:rPr>
          <w:rFonts w:ascii="Calibri" w:hAnsi="Calibri" w:cs="Calibri"/>
          <w:sz w:val="22"/>
          <w:szCs w:val="22"/>
        </w:rPr>
        <w:t>to reduce infection in addition to the usual surgical site infection prevention care bundles. T</w:t>
      </w:r>
      <w:r w:rsidRPr="009D679F">
        <w:rPr>
          <w:rFonts w:ascii="Calibri" w:hAnsi="Calibri" w:cs="Calibri"/>
          <w:sz w:val="22"/>
          <w:szCs w:val="22"/>
        </w:rPr>
        <w:t xml:space="preserve">here are three types of </w:t>
      </w:r>
      <w:r>
        <w:rPr>
          <w:rFonts w:ascii="Calibri" w:hAnsi="Calibri" w:cs="Calibri"/>
          <w:sz w:val="22"/>
          <w:szCs w:val="22"/>
        </w:rPr>
        <w:t xml:space="preserve">shunt catheter: standard, </w:t>
      </w:r>
      <w:r w:rsidRPr="009D679F">
        <w:rPr>
          <w:rFonts w:ascii="Calibri" w:hAnsi="Calibri" w:cs="Calibri"/>
          <w:sz w:val="22"/>
          <w:szCs w:val="22"/>
        </w:rPr>
        <w:t>antibi</w:t>
      </w:r>
      <w:r>
        <w:rPr>
          <w:rFonts w:ascii="Calibri" w:hAnsi="Calibri" w:cs="Calibri"/>
          <w:sz w:val="22"/>
          <w:szCs w:val="22"/>
        </w:rPr>
        <w:t xml:space="preserve">otic </w:t>
      </w:r>
      <w:r w:rsidRPr="009D679F">
        <w:rPr>
          <w:rFonts w:ascii="Calibri" w:hAnsi="Calibri" w:cs="Calibri"/>
          <w:sz w:val="22"/>
          <w:szCs w:val="22"/>
        </w:rPr>
        <w:t>impregnated</w:t>
      </w:r>
      <w:r>
        <w:rPr>
          <w:rFonts w:ascii="Calibri" w:hAnsi="Calibri" w:cs="Calibri"/>
          <w:sz w:val="22"/>
          <w:szCs w:val="22"/>
        </w:rPr>
        <w:t xml:space="preserve"> </w:t>
      </w:r>
      <w:r w:rsidRPr="009D679F">
        <w:rPr>
          <w:rFonts w:ascii="Calibri" w:hAnsi="Calibri" w:cs="Calibri"/>
          <w:sz w:val="22"/>
          <w:szCs w:val="22"/>
        </w:rPr>
        <w:t xml:space="preserve">(0.15% </w:t>
      </w:r>
      <w:r>
        <w:rPr>
          <w:rFonts w:ascii="Calibri" w:hAnsi="Calibri" w:cs="Calibri"/>
          <w:sz w:val="22"/>
          <w:szCs w:val="22"/>
        </w:rPr>
        <w:t>c</w:t>
      </w:r>
      <w:r w:rsidRPr="009D679F">
        <w:rPr>
          <w:rFonts w:ascii="Calibri" w:hAnsi="Calibri" w:cs="Calibri"/>
          <w:sz w:val="22"/>
          <w:szCs w:val="22"/>
        </w:rPr>
        <w:t xml:space="preserve">lindamycin and 0.054% </w:t>
      </w:r>
      <w:r>
        <w:rPr>
          <w:rFonts w:ascii="Calibri" w:hAnsi="Calibri" w:cs="Calibri"/>
          <w:sz w:val="22"/>
          <w:szCs w:val="22"/>
        </w:rPr>
        <w:t>r</w:t>
      </w:r>
      <w:r w:rsidRPr="009D679F">
        <w:rPr>
          <w:rFonts w:ascii="Calibri" w:hAnsi="Calibri" w:cs="Calibri"/>
          <w:sz w:val="22"/>
          <w:szCs w:val="22"/>
        </w:rPr>
        <w:t>ifampicin)</w:t>
      </w:r>
      <w:r>
        <w:rPr>
          <w:rFonts w:ascii="Calibri" w:hAnsi="Calibri" w:cs="Calibri"/>
          <w:sz w:val="22"/>
          <w:szCs w:val="22"/>
        </w:rPr>
        <w:t xml:space="preserve"> and silver </w:t>
      </w:r>
      <w:r w:rsidRPr="009D679F">
        <w:rPr>
          <w:rFonts w:ascii="Calibri" w:hAnsi="Calibri" w:cs="Calibri"/>
          <w:sz w:val="22"/>
          <w:szCs w:val="22"/>
        </w:rPr>
        <w:t>impregnated</w:t>
      </w:r>
      <w:r>
        <w:rPr>
          <w:rFonts w:ascii="Calibri" w:hAnsi="Calibri" w:cs="Calibri"/>
          <w:sz w:val="22"/>
          <w:szCs w:val="22"/>
        </w:rPr>
        <w:t>. Systematic reviews and meta-analyses did not find any high quality evidence to support their comparative effectiveness at reducing shunt</w:t>
      </w:r>
      <w:r w:rsidRPr="009D679F">
        <w:rPr>
          <w:rFonts w:ascii="Calibri" w:hAnsi="Calibri" w:cs="Calibri"/>
          <w:sz w:val="22"/>
          <w:szCs w:val="22"/>
        </w:rPr>
        <w:t xml:space="preserve"> </w:t>
      </w:r>
      <w:r>
        <w:rPr>
          <w:rFonts w:ascii="Calibri" w:hAnsi="Calibri" w:cs="Calibri"/>
          <w:sz w:val="22"/>
          <w:szCs w:val="22"/>
        </w:rPr>
        <w:t>infection</w:t>
      </w:r>
      <w:r w:rsidRPr="00187D7E">
        <w:rPr>
          <w:rFonts w:ascii="Calibri" w:hAnsi="Calibri" w:cs="Calibri"/>
          <w:noProof/>
          <w:sz w:val="22"/>
          <w:szCs w:val="22"/>
          <w:vertAlign w:val="superscript"/>
        </w:rPr>
        <w:t>9,10</w:t>
      </w:r>
      <w:r>
        <w:rPr>
          <w:rFonts w:ascii="Calibri" w:hAnsi="Calibri" w:cs="Calibri"/>
          <w:sz w:val="22"/>
          <w:szCs w:val="22"/>
        </w:rPr>
        <w:t>. Consequently, p</w:t>
      </w:r>
      <w:r w:rsidRPr="009D679F">
        <w:rPr>
          <w:rFonts w:ascii="Calibri" w:hAnsi="Calibri" w:cs="Calibri"/>
          <w:sz w:val="22"/>
          <w:szCs w:val="22"/>
        </w:rPr>
        <w:t>ractice is variable acro</w:t>
      </w:r>
      <w:r>
        <w:rPr>
          <w:rFonts w:ascii="Calibri" w:hAnsi="Calibri" w:cs="Calibri"/>
          <w:sz w:val="22"/>
          <w:szCs w:val="22"/>
        </w:rPr>
        <w:t>ss the world, with selection based on neurosurgeon preference and costs.</w:t>
      </w:r>
    </w:p>
    <w:p w:rsidR="00803D84" w:rsidRPr="009D679F" w:rsidRDefault="00803D84" w:rsidP="00A262FE">
      <w:pPr>
        <w:pStyle w:val="Default"/>
        <w:spacing w:line="480" w:lineRule="auto"/>
        <w:jc w:val="both"/>
        <w:rPr>
          <w:rFonts w:ascii="Calibri" w:hAnsi="Calibri" w:cs="Calibri"/>
          <w:sz w:val="22"/>
          <w:szCs w:val="22"/>
        </w:rPr>
      </w:pPr>
    </w:p>
    <w:p w:rsidR="00803D84" w:rsidRDefault="00803D84" w:rsidP="00A262FE">
      <w:pPr>
        <w:pStyle w:val="Default"/>
        <w:spacing w:line="480" w:lineRule="auto"/>
        <w:jc w:val="both"/>
        <w:rPr>
          <w:rFonts w:ascii="Calibri" w:hAnsi="Calibri" w:cs="Calibri"/>
          <w:sz w:val="22"/>
          <w:szCs w:val="22"/>
        </w:rPr>
      </w:pPr>
      <w:r>
        <w:rPr>
          <w:rFonts w:ascii="Calibri" w:hAnsi="Calibri" w:cs="Calibri"/>
          <w:sz w:val="22"/>
          <w:szCs w:val="22"/>
        </w:rPr>
        <w:t xml:space="preserve">We conducted the </w:t>
      </w:r>
      <w:r w:rsidRPr="009926BB">
        <w:rPr>
          <w:rFonts w:ascii="Calibri" w:hAnsi="Calibri" w:cs="Calibri"/>
          <w:sz w:val="22"/>
          <w:szCs w:val="22"/>
        </w:rPr>
        <w:t xml:space="preserve">British Antibiotic and Silver Impregnated Catheters for ventriculoperitoneal </w:t>
      </w:r>
      <w:r>
        <w:rPr>
          <w:rFonts w:ascii="Calibri" w:hAnsi="Calibri" w:cs="Calibri"/>
          <w:sz w:val="22"/>
          <w:szCs w:val="22"/>
        </w:rPr>
        <w:t>shunt</w:t>
      </w:r>
      <w:r w:rsidRPr="009926BB">
        <w:rPr>
          <w:rFonts w:ascii="Calibri" w:hAnsi="Calibri" w:cs="Calibri"/>
          <w:sz w:val="22"/>
          <w:szCs w:val="22"/>
        </w:rPr>
        <w:t>s multi-cent</w:t>
      </w:r>
      <w:r>
        <w:rPr>
          <w:rFonts w:ascii="Calibri" w:hAnsi="Calibri" w:cs="Calibri"/>
          <w:sz w:val="22"/>
          <w:szCs w:val="22"/>
        </w:rPr>
        <w:t>er</w:t>
      </w:r>
      <w:r w:rsidRPr="009926BB">
        <w:rPr>
          <w:rFonts w:ascii="Calibri" w:hAnsi="Calibri" w:cs="Calibri"/>
          <w:sz w:val="22"/>
          <w:szCs w:val="22"/>
        </w:rPr>
        <w:t xml:space="preserve"> </w:t>
      </w:r>
      <w:r>
        <w:rPr>
          <w:rFonts w:ascii="Calibri" w:hAnsi="Calibri" w:cs="Calibri"/>
          <w:sz w:val="22"/>
          <w:szCs w:val="22"/>
        </w:rPr>
        <w:t>randomised</w:t>
      </w:r>
      <w:r w:rsidRPr="009926BB">
        <w:rPr>
          <w:rFonts w:ascii="Calibri" w:hAnsi="Calibri" w:cs="Calibri"/>
          <w:sz w:val="22"/>
          <w:szCs w:val="22"/>
        </w:rPr>
        <w:t xml:space="preserve"> controlled trial </w:t>
      </w:r>
      <w:r>
        <w:rPr>
          <w:rFonts w:ascii="Calibri" w:hAnsi="Calibri" w:cs="Calibri"/>
          <w:sz w:val="22"/>
          <w:szCs w:val="22"/>
        </w:rPr>
        <w:t>(BASICS) to assess the clinical and cost-effectiveness of antibiotic and silver shunts at reducing shunt failure due to</w:t>
      </w:r>
      <w:r w:rsidRPr="009D679F">
        <w:rPr>
          <w:rFonts w:ascii="Calibri" w:hAnsi="Calibri" w:cs="Calibri"/>
          <w:sz w:val="22"/>
          <w:szCs w:val="22"/>
        </w:rPr>
        <w:t xml:space="preserve"> infection, compared </w:t>
      </w:r>
      <w:r>
        <w:rPr>
          <w:rFonts w:ascii="Calibri" w:hAnsi="Calibri" w:cs="Calibri"/>
          <w:sz w:val="22"/>
          <w:szCs w:val="22"/>
        </w:rPr>
        <w:t>to</w:t>
      </w:r>
      <w:r w:rsidRPr="009D679F">
        <w:rPr>
          <w:rFonts w:ascii="Calibri" w:hAnsi="Calibri" w:cs="Calibri"/>
          <w:sz w:val="22"/>
          <w:szCs w:val="22"/>
        </w:rPr>
        <w:t xml:space="preserve"> standard </w:t>
      </w:r>
      <w:r>
        <w:rPr>
          <w:rFonts w:ascii="Calibri" w:hAnsi="Calibri" w:cs="Calibri"/>
          <w:sz w:val="22"/>
          <w:szCs w:val="22"/>
        </w:rPr>
        <w:t>shunts in patients undergoing insertion of their first ventriculoperitoneal shunt for hydrocephalus</w:t>
      </w:r>
      <w:r w:rsidRPr="009D679F">
        <w:rPr>
          <w:rFonts w:ascii="Calibri" w:hAnsi="Calibri" w:cs="Calibri"/>
          <w:sz w:val="22"/>
          <w:szCs w:val="22"/>
        </w:rPr>
        <w:t>.</w:t>
      </w:r>
    </w:p>
    <w:p w:rsidR="00803D84" w:rsidRDefault="00803D84" w:rsidP="00A262FE">
      <w:pPr>
        <w:pStyle w:val="Default"/>
        <w:spacing w:line="480" w:lineRule="auto"/>
        <w:jc w:val="both"/>
        <w:rPr>
          <w:rFonts w:ascii="Calibri" w:hAnsi="Calibri" w:cs="Calibri"/>
          <w:sz w:val="22"/>
          <w:szCs w:val="22"/>
        </w:rPr>
      </w:pPr>
    </w:p>
    <w:p w:rsidR="00803D84" w:rsidRDefault="00803D84" w:rsidP="00A262FE">
      <w:pPr>
        <w:pStyle w:val="Default"/>
        <w:spacing w:line="480" w:lineRule="auto"/>
        <w:jc w:val="both"/>
        <w:rPr>
          <w:rFonts w:ascii="Calibri" w:hAnsi="Calibri" w:cs="Calibri"/>
          <w:sz w:val="22"/>
          <w:szCs w:val="22"/>
        </w:rPr>
      </w:pPr>
    </w:p>
    <w:p w:rsidR="00803D84" w:rsidRPr="00685789" w:rsidRDefault="00803D84" w:rsidP="00A262FE">
      <w:pPr>
        <w:pStyle w:val="Default"/>
        <w:spacing w:line="480" w:lineRule="auto"/>
        <w:jc w:val="both"/>
        <w:rPr>
          <w:rFonts w:ascii="Calibri" w:hAnsi="Calibri" w:cs="Calibri"/>
          <w:b/>
          <w:sz w:val="22"/>
          <w:szCs w:val="22"/>
        </w:rPr>
      </w:pPr>
      <w:r w:rsidRPr="00685789">
        <w:rPr>
          <w:rFonts w:ascii="Calibri" w:hAnsi="Calibri" w:cs="Calibri"/>
          <w:b/>
          <w:sz w:val="22"/>
          <w:szCs w:val="22"/>
        </w:rPr>
        <w:t>Methods</w:t>
      </w:r>
    </w:p>
    <w:p w:rsidR="00803D84" w:rsidRPr="007B0BEC" w:rsidRDefault="00803D84" w:rsidP="00A262FE">
      <w:pPr>
        <w:pStyle w:val="Default"/>
        <w:spacing w:line="480" w:lineRule="auto"/>
        <w:jc w:val="both"/>
        <w:rPr>
          <w:rFonts w:ascii="Calibri" w:hAnsi="Calibri" w:cs="Calibri"/>
          <w:sz w:val="22"/>
          <w:szCs w:val="22"/>
          <w:u w:val="single"/>
        </w:rPr>
      </w:pPr>
      <w:r>
        <w:rPr>
          <w:rFonts w:ascii="Calibri" w:hAnsi="Calibri" w:cs="Calibri"/>
          <w:sz w:val="22"/>
          <w:szCs w:val="22"/>
          <w:u w:val="single"/>
        </w:rPr>
        <w:t>Study design</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 xml:space="preserve">In this parallel, multi-centre randomised controlled trial we compared standard, antibiotic and silver shunts in patients undergoing insertion of their first </w:t>
      </w:r>
      <w:r w:rsidRPr="009D679F">
        <w:rPr>
          <w:rFonts w:ascii="Calibri" w:hAnsi="Calibri" w:cs="Calibri"/>
          <w:sz w:val="22"/>
          <w:szCs w:val="22"/>
        </w:rPr>
        <w:t>v</w:t>
      </w:r>
      <w:r>
        <w:rPr>
          <w:rFonts w:ascii="Calibri" w:hAnsi="Calibri" w:cs="Calibri"/>
          <w:sz w:val="22"/>
          <w:szCs w:val="22"/>
        </w:rPr>
        <w:t>entriculoperitoneal shunt</w:t>
      </w:r>
      <w:r w:rsidRPr="009D679F">
        <w:rPr>
          <w:rFonts w:ascii="Calibri" w:hAnsi="Calibri" w:cs="Calibri"/>
          <w:sz w:val="22"/>
          <w:szCs w:val="22"/>
        </w:rPr>
        <w:t xml:space="preserve"> </w:t>
      </w:r>
      <w:r>
        <w:rPr>
          <w:rFonts w:ascii="Calibri" w:hAnsi="Calibri" w:cs="Calibri"/>
          <w:sz w:val="22"/>
          <w:szCs w:val="22"/>
        </w:rPr>
        <w:t xml:space="preserve">for hydrocephalus. </w:t>
      </w:r>
      <w:r>
        <w:rPr>
          <w:rFonts w:ascii="Calibri" w:hAnsi="Calibri" w:cs="Calibri"/>
          <w:sz w:val="22"/>
          <w:szCs w:val="22"/>
          <w:lang w:val="en-US"/>
        </w:rPr>
        <w:t xml:space="preserve">Trial sites were twenty-one regional adult and paediatric neurosurgery centers in the United Kingdom and Republic of Ireland (See Section 1 of the Supplementary Appendix). </w:t>
      </w:r>
      <w:r>
        <w:rPr>
          <w:rFonts w:ascii="Calibri" w:hAnsi="Calibri" w:cs="Calibri"/>
          <w:sz w:val="22"/>
          <w:szCs w:val="22"/>
        </w:rPr>
        <w:t xml:space="preserve">Ethics approval was obtained from the North West Greater Manchester research ethics committee (ref: 12/NW/0790). The trial protocol (available at </w:t>
      </w:r>
      <w:r w:rsidRPr="001D1234">
        <w:rPr>
          <w:rFonts w:ascii="Calibri" w:hAnsi="Calibri" w:cs="Calibri"/>
          <w:sz w:val="22"/>
          <w:szCs w:val="22"/>
        </w:rPr>
        <w:t>www.journalslibrary.nihr.ac.uk/programmes/hta/1010430/#/</w:t>
      </w:r>
      <w:r>
        <w:rPr>
          <w:rFonts w:ascii="Calibri" w:hAnsi="Calibri" w:cs="Calibri"/>
          <w:sz w:val="22"/>
          <w:szCs w:val="22"/>
        </w:rPr>
        <w:t>) has been published previously</w:t>
      </w:r>
      <w:r w:rsidRPr="00187D7E">
        <w:rPr>
          <w:rFonts w:ascii="Calibri" w:hAnsi="Calibri" w:cs="Calibri"/>
          <w:noProof/>
          <w:sz w:val="22"/>
          <w:szCs w:val="22"/>
          <w:vertAlign w:val="superscript"/>
        </w:rPr>
        <w:t>11</w:t>
      </w:r>
      <w:r>
        <w:rPr>
          <w:rFonts w:ascii="Calibri" w:hAnsi="Calibri" w:cs="Calibri"/>
          <w:sz w:val="22"/>
          <w:szCs w:val="22"/>
        </w:rPr>
        <w:t xml:space="preserve"> (S</w:t>
      </w:r>
      <w:r w:rsidRPr="00D22947">
        <w:rPr>
          <w:rFonts w:ascii="Calibri" w:hAnsi="Calibri" w:cs="Calibri"/>
          <w:sz w:val="22"/>
          <w:szCs w:val="22"/>
        </w:rPr>
        <w:t xml:space="preserve">ubstantial amendments </w:t>
      </w:r>
      <w:r>
        <w:rPr>
          <w:rFonts w:ascii="Calibri" w:hAnsi="Calibri" w:cs="Calibri"/>
          <w:sz w:val="22"/>
          <w:szCs w:val="22"/>
        </w:rPr>
        <w:t xml:space="preserve">are detailed </w:t>
      </w:r>
      <w:r w:rsidRPr="00D22947">
        <w:rPr>
          <w:rFonts w:ascii="Calibri" w:hAnsi="Calibri" w:cs="Calibri"/>
          <w:sz w:val="22"/>
          <w:szCs w:val="22"/>
        </w:rPr>
        <w:t>in</w:t>
      </w:r>
      <w:r>
        <w:rPr>
          <w:rFonts w:ascii="Calibri" w:hAnsi="Calibri" w:cs="Calibri"/>
          <w:sz w:val="22"/>
          <w:szCs w:val="22"/>
        </w:rPr>
        <w:t xml:space="preserve"> Section 6 of</w:t>
      </w:r>
      <w:r w:rsidRPr="00D22947">
        <w:rPr>
          <w:rFonts w:ascii="Calibri" w:hAnsi="Calibri" w:cs="Calibri"/>
          <w:sz w:val="22"/>
          <w:szCs w:val="22"/>
        </w:rPr>
        <w:t xml:space="preserve"> </w:t>
      </w:r>
      <w:r>
        <w:rPr>
          <w:rFonts w:ascii="Calibri" w:hAnsi="Calibri" w:cs="Calibri"/>
          <w:sz w:val="22"/>
          <w:szCs w:val="22"/>
        </w:rPr>
        <w:t xml:space="preserve">the </w:t>
      </w:r>
      <w:r w:rsidRPr="009C2F34">
        <w:rPr>
          <w:rFonts w:ascii="Calibri" w:hAnsi="Calibri" w:cs="Calibri"/>
          <w:sz w:val="22"/>
          <w:szCs w:val="22"/>
        </w:rPr>
        <w:t>S</w:t>
      </w:r>
      <w:r w:rsidRPr="00D22947">
        <w:rPr>
          <w:rFonts w:ascii="Calibri" w:hAnsi="Calibri" w:cs="Calibri"/>
          <w:sz w:val="22"/>
          <w:szCs w:val="22"/>
        </w:rPr>
        <w:t>upplement</w:t>
      </w:r>
      <w:r>
        <w:rPr>
          <w:rFonts w:ascii="Calibri" w:hAnsi="Calibri" w:cs="Calibri"/>
          <w:sz w:val="22"/>
          <w:szCs w:val="22"/>
        </w:rPr>
        <w:t>ary Appendix).</w:t>
      </w:r>
    </w:p>
    <w:p w:rsidR="00803D84" w:rsidRDefault="00803D84" w:rsidP="00A262FE">
      <w:pPr>
        <w:spacing w:line="480" w:lineRule="auto"/>
        <w:jc w:val="both"/>
        <w:rPr>
          <w:rFonts w:ascii="Calibri" w:hAnsi="Calibri" w:cs="Calibri"/>
          <w:sz w:val="22"/>
          <w:szCs w:val="22"/>
        </w:rPr>
      </w:pPr>
    </w:p>
    <w:p w:rsidR="00803D84" w:rsidRPr="007B0BEC" w:rsidRDefault="00803D84" w:rsidP="00A262FE">
      <w:pPr>
        <w:pStyle w:val="Default"/>
        <w:spacing w:line="480" w:lineRule="auto"/>
        <w:jc w:val="both"/>
        <w:rPr>
          <w:rFonts w:ascii="Calibri" w:hAnsi="Calibri" w:cs="Calibri"/>
          <w:sz w:val="22"/>
          <w:szCs w:val="22"/>
          <w:u w:val="single"/>
        </w:rPr>
      </w:pPr>
      <w:r>
        <w:rPr>
          <w:rFonts w:ascii="Calibri" w:hAnsi="Calibri" w:cs="Calibri"/>
          <w:sz w:val="22"/>
          <w:szCs w:val="22"/>
          <w:u w:val="single"/>
        </w:rPr>
        <w:t>Participants</w:t>
      </w:r>
    </w:p>
    <w:p w:rsidR="00803D84" w:rsidRPr="00D316CF" w:rsidRDefault="00803D84" w:rsidP="00A262FE">
      <w:pPr>
        <w:widowControl w:val="0"/>
        <w:autoSpaceDE w:val="0"/>
        <w:autoSpaceDN w:val="0"/>
        <w:adjustRightInd w:val="0"/>
        <w:spacing w:line="480" w:lineRule="auto"/>
        <w:jc w:val="both"/>
        <w:rPr>
          <w:rFonts w:ascii="Calibri" w:hAnsi="Calibri" w:cs="Calibri"/>
          <w:sz w:val="22"/>
          <w:szCs w:val="22"/>
          <w:lang w:val="en-US"/>
        </w:rPr>
      </w:pPr>
      <w:r>
        <w:rPr>
          <w:rFonts w:ascii="Calibri" w:hAnsi="Calibri" w:cs="Calibri"/>
          <w:sz w:val="22"/>
          <w:szCs w:val="22"/>
        </w:rPr>
        <w:t>To undergo randomis</w:t>
      </w:r>
      <w:r w:rsidRPr="00911631">
        <w:rPr>
          <w:rFonts w:ascii="Calibri" w:hAnsi="Calibri" w:cs="Calibri"/>
          <w:sz w:val="22"/>
          <w:szCs w:val="22"/>
        </w:rPr>
        <w:t xml:space="preserve">ation in the trial, patients could be any age, and have hydrocephalus of any </w:t>
      </w:r>
      <w:r>
        <w:rPr>
          <w:rFonts w:ascii="Calibri" w:hAnsi="Calibri" w:cs="Calibri"/>
          <w:sz w:val="22"/>
          <w:szCs w:val="22"/>
        </w:rPr>
        <w:t>a</w:t>
      </w:r>
      <w:r w:rsidRPr="00911631">
        <w:rPr>
          <w:rFonts w:ascii="Calibri" w:hAnsi="Calibri" w:cs="Calibri"/>
          <w:sz w:val="22"/>
          <w:szCs w:val="22"/>
        </w:rPr>
        <w:t>etiology requiring</w:t>
      </w:r>
      <w:r>
        <w:rPr>
          <w:rFonts w:ascii="Calibri" w:hAnsi="Calibri" w:cs="Calibri"/>
          <w:sz w:val="22"/>
          <w:szCs w:val="22"/>
        </w:rPr>
        <w:t xml:space="preserve"> a first ventriculoperitoneal shunt. </w:t>
      </w:r>
      <w:r w:rsidRPr="00911631">
        <w:rPr>
          <w:rFonts w:ascii="Calibri" w:hAnsi="Calibri" w:cs="Calibri"/>
          <w:sz w:val="22"/>
          <w:szCs w:val="22"/>
        </w:rPr>
        <w:t xml:space="preserve">Patients with </w:t>
      </w:r>
      <w:r>
        <w:rPr>
          <w:rFonts w:ascii="Calibri" w:hAnsi="Calibri" w:cs="Calibri"/>
          <w:sz w:val="22"/>
          <w:szCs w:val="22"/>
          <w:lang w:val="en-US"/>
        </w:rPr>
        <w:t>f</w:t>
      </w:r>
      <w:r w:rsidRPr="00911631">
        <w:rPr>
          <w:rFonts w:ascii="Calibri" w:hAnsi="Calibri" w:cs="Calibri"/>
          <w:sz w:val="22"/>
          <w:szCs w:val="22"/>
          <w:lang w:val="en-US"/>
        </w:rPr>
        <w:t>ailed primary endos</w:t>
      </w:r>
      <w:r>
        <w:rPr>
          <w:rFonts w:ascii="Calibri" w:hAnsi="Calibri" w:cs="Calibri"/>
          <w:sz w:val="22"/>
          <w:szCs w:val="22"/>
          <w:lang w:val="en-US"/>
        </w:rPr>
        <w:t>c</w:t>
      </w:r>
      <w:r w:rsidRPr="00911631">
        <w:rPr>
          <w:rFonts w:ascii="Calibri" w:hAnsi="Calibri" w:cs="Calibri"/>
          <w:sz w:val="22"/>
          <w:szCs w:val="22"/>
          <w:lang w:val="en-US"/>
        </w:rPr>
        <w:t>opic third ventriculostomy</w:t>
      </w:r>
      <w:r>
        <w:rPr>
          <w:rFonts w:ascii="Calibri" w:hAnsi="Calibri" w:cs="Calibri"/>
          <w:sz w:val="22"/>
          <w:szCs w:val="22"/>
          <w:lang w:val="en-US"/>
        </w:rPr>
        <w:t xml:space="preserve">, previous </w:t>
      </w:r>
      <w:r w:rsidRPr="00911631">
        <w:rPr>
          <w:rFonts w:ascii="Calibri" w:hAnsi="Calibri" w:cs="Calibri"/>
          <w:sz w:val="22"/>
          <w:szCs w:val="22"/>
          <w:lang w:val="en-US"/>
        </w:rPr>
        <w:t xml:space="preserve">indwelling </w:t>
      </w:r>
      <w:r>
        <w:rPr>
          <w:rFonts w:ascii="Calibri" w:hAnsi="Calibri" w:cs="Calibri"/>
          <w:sz w:val="22"/>
          <w:szCs w:val="22"/>
          <w:lang w:val="en-US"/>
        </w:rPr>
        <w:t xml:space="preserve">external ventricular drain and </w:t>
      </w:r>
      <w:r w:rsidRPr="00911631">
        <w:rPr>
          <w:rFonts w:ascii="Calibri" w:hAnsi="Calibri" w:cs="Calibri"/>
          <w:sz w:val="22"/>
          <w:szCs w:val="22"/>
          <w:lang w:val="en-US"/>
        </w:rPr>
        <w:t xml:space="preserve">indwelling ventricular access device </w:t>
      </w:r>
      <w:r>
        <w:rPr>
          <w:rFonts w:ascii="Calibri" w:hAnsi="Calibri" w:cs="Calibri"/>
          <w:sz w:val="22"/>
          <w:szCs w:val="22"/>
          <w:lang w:val="en-US"/>
        </w:rPr>
        <w:t>were included. Patients were excluded if they had e</w:t>
      </w:r>
      <w:r w:rsidRPr="00D316CF">
        <w:rPr>
          <w:rFonts w:ascii="Calibri" w:hAnsi="Calibri" w:cs="Calibri"/>
          <w:sz w:val="22"/>
          <w:szCs w:val="22"/>
          <w:lang w:val="en-US"/>
        </w:rPr>
        <w:t xml:space="preserve">vidence of </w:t>
      </w:r>
      <w:r>
        <w:rPr>
          <w:rFonts w:ascii="Calibri" w:hAnsi="Calibri" w:cs="Calibri"/>
          <w:sz w:val="22"/>
          <w:szCs w:val="22"/>
          <w:lang w:val="en-US"/>
        </w:rPr>
        <w:t xml:space="preserve">active and on going </w:t>
      </w:r>
      <w:r w:rsidRPr="00D316CF">
        <w:rPr>
          <w:rFonts w:ascii="Calibri" w:hAnsi="Calibri" w:cs="Calibri"/>
          <w:sz w:val="22"/>
          <w:szCs w:val="22"/>
          <w:lang w:val="en-US"/>
        </w:rPr>
        <w:t xml:space="preserve">CSF </w:t>
      </w:r>
      <w:r>
        <w:rPr>
          <w:rFonts w:ascii="Calibri" w:hAnsi="Calibri" w:cs="Calibri"/>
          <w:sz w:val="22"/>
          <w:szCs w:val="22"/>
          <w:lang w:val="en-US"/>
        </w:rPr>
        <w:t xml:space="preserve">or peritoneal </w:t>
      </w:r>
      <w:r w:rsidRPr="00D316CF">
        <w:rPr>
          <w:rFonts w:ascii="Calibri" w:hAnsi="Calibri" w:cs="Calibri"/>
          <w:sz w:val="22"/>
          <w:szCs w:val="22"/>
          <w:lang w:val="en-US"/>
        </w:rPr>
        <w:t>infection</w:t>
      </w:r>
      <w:r>
        <w:rPr>
          <w:rFonts w:ascii="Calibri" w:hAnsi="Calibri" w:cs="Calibri"/>
          <w:sz w:val="22"/>
          <w:szCs w:val="22"/>
          <w:lang w:val="en-US"/>
        </w:rPr>
        <w:t>, a p</w:t>
      </w:r>
      <w:r w:rsidRPr="00D316CF">
        <w:rPr>
          <w:rFonts w:ascii="Calibri" w:hAnsi="Calibri" w:cs="Calibri"/>
          <w:sz w:val="22"/>
          <w:szCs w:val="22"/>
          <w:lang w:val="en-US"/>
        </w:rPr>
        <w:t xml:space="preserve">revious indwelling </w:t>
      </w:r>
      <w:r>
        <w:rPr>
          <w:rFonts w:ascii="Calibri" w:hAnsi="Calibri" w:cs="Calibri"/>
          <w:sz w:val="22"/>
          <w:szCs w:val="22"/>
        </w:rPr>
        <w:t>ventriculoperitoneal shunt</w:t>
      </w:r>
      <w:r>
        <w:rPr>
          <w:rFonts w:ascii="Calibri" w:hAnsi="Calibri" w:cs="Calibri"/>
          <w:sz w:val="22"/>
          <w:szCs w:val="22"/>
          <w:lang w:val="en-US"/>
        </w:rPr>
        <w:t>, m</w:t>
      </w:r>
      <w:r w:rsidRPr="00D316CF">
        <w:rPr>
          <w:rFonts w:ascii="Calibri" w:hAnsi="Calibri" w:cs="Calibri"/>
          <w:sz w:val="22"/>
          <w:szCs w:val="22"/>
          <w:lang w:val="en-US"/>
        </w:rPr>
        <w:t xml:space="preserve">ulti-loculated hydrocephalus requiring multiple </w:t>
      </w:r>
      <w:r>
        <w:rPr>
          <w:rFonts w:ascii="Calibri" w:hAnsi="Calibri" w:cs="Calibri"/>
          <w:sz w:val="22"/>
          <w:szCs w:val="22"/>
          <w:lang w:val="en-US"/>
        </w:rPr>
        <w:t>shunts</w:t>
      </w:r>
      <w:r w:rsidRPr="00D316CF">
        <w:rPr>
          <w:rFonts w:ascii="Calibri" w:hAnsi="Calibri" w:cs="Calibri"/>
          <w:sz w:val="22"/>
          <w:szCs w:val="22"/>
          <w:lang w:val="en-US"/>
        </w:rPr>
        <w:t xml:space="preserve"> or neuro-endoscopy</w:t>
      </w:r>
      <w:r>
        <w:rPr>
          <w:rFonts w:ascii="Calibri" w:hAnsi="Calibri" w:cs="Calibri"/>
          <w:sz w:val="22"/>
          <w:szCs w:val="22"/>
          <w:lang w:val="en-US"/>
        </w:rPr>
        <w:t>, known a</w:t>
      </w:r>
      <w:r w:rsidRPr="00D316CF">
        <w:rPr>
          <w:rFonts w:ascii="Calibri" w:hAnsi="Calibri" w:cs="Calibri"/>
          <w:sz w:val="22"/>
          <w:szCs w:val="22"/>
          <w:lang w:val="en-US"/>
        </w:rPr>
        <w:t xml:space="preserve">llergy to </w:t>
      </w:r>
      <w:r>
        <w:rPr>
          <w:rFonts w:ascii="Calibri" w:hAnsi="Calibri" w:cs="Calibri"/>
          <w:sz w:val="22"/>
          <w:szCs w:val="22"/>
          <w:lang w:val="en-US"/>
        </w:rPr>
        <w:t>rifampicin, clindamycin or silver, or if a v</w:t>
      </w:r>
      <w:r w:rsidRPr="00D316CF">
        <w:rPr>
          <w:rFonts w:ascii="Calibri" w:hAnsi="Calibri" w:cs="Calibri"/>
          <w:sz w:val="22"/>
          <w:szCs w:val="22"/>
          <w:lang w:val="en-US"/>
        </w:rPr>
        <w:t xml:space="preserve">entriculo-atrial or ventriculo-pleural </w:t>
      </w:r>
      <w:r>
        <w:rPr>
          <w:rFonts w:ascii="Calibri" w:hAnsi="Calibri" w:cs="Calibri"/>
          <w:sz w:val="22"/>
          <w:szCs w:val="22"/>
          <w:lang w:val="en-US"/>
        </w:rPr>
        <w:t>shunt</w:t>
      </w:r>
      <w:r w:rsidRPr="00D316CF">
        <w:rPr>
          <w:rFonts w:ascii="Calibri" w:hAnsi="Calibri" w:cs="Calibri"/>
          <w:sz w:val="22"/>
          <w:szCs w:val="22"/>
          <w:lang w:val="en-US"/>
        </w:rPr>
        <w:t xml:space="preserve"> </w:t>
      </w:r>
      <w:r>
        <w:rPr>
          <w:rFonts w:ascii="Calibri" w:hAnsi="Calibri" w:cs="Calibri"/>
          <w:sz w:val="22"/>
          <w:szCs w:val="22"/>
          <w:lang w:val="en-US"/>
        </w:rPr>
        <w:t xml:space="preserve">was </w:t>
      </w:r>
      <w:r w:rsidRPr="00D316CF">
        <w:rPr>
          <w:rFonts w:ascii="Calibri" w:hAnsi="Calibri" w:cs="Calibri"/>
          <w:sz w:val="22"/>
          <w:szCs w:val="22"/>
          <w:lang w:val="en-US"/>
        </w:rPr>
        <w:t>planned</w:t>
      </w:r>
      <w:r>
        <w:rPr>
          <w:rFonts w:ascii="Calibri" w:hAnsi="Calibri" w:cs="Calibri"/>
          <w:sz w:val="22"/>
          <w:szCs w:val="22"/>
          <w:lang w:val="en-US"/>
        </w:rPr>
        <w:t>. Patients gave written informed consent or assent for minors as appropriate. Consent for adults lacking capacity was obtained from a consultee, usually the next of kin, or an independent healthcare professional, and it was later sought again from the participant once capacity was regained.</w:t>
      </w:r>
    </w:p>
    <w:p w:rsidR="00803D84" w:rsidRDefault="00803D84" w:rsidP="00A262FE">
      <w:pPr>
        <w:spacing w:line="480" w:lineRule="auto"/>
        <w:jc w:val="both"/>
        <w:rPr>
          <w:rFonts w:ascii="Calibri" w:hAnsi="Calibri" w:cs="Calibri"/>
          <w:sz w:val="22"/>
          <w:szCs w:val="22"/>
        </w:rPr>
      </w:pPr>
    </w:p>
    <w:p w:rsidR="00803D84" w:rsidRPr="007B0BEC" w:rsidRDefault="00803D84" w:rsidP="00A262FE">
      <w:pPr>
        <w:pStyle w:val="Default"/>
        <w:spacing w:line="480" w:lineRule="auto"/>
        <w:jc w:val="both"/>
        <w:rPr>
          <w:rFonts w:ascii="Calibri" w:hAnsi="Calibri" w:cs="Calibri"/>
          <w:sz w:val="22"/>
          <w:szCs w:val="22"/>
          <w:u w:val="single"/>
        </w:rPr>
      </w:pPr>
      <w:r>
        <w:rPr>
          <w:rFonts w:ascii="Calibri" w:hAnsi="Calibri" w:cs="Calibri"/>
          <w:sz w:val="22"/>
          <w:szCs w:val="22"/>
          <w:u w:val="single"/>
        </w:rPr>
        <w:t>Randomisation</w:t>
      </w:r>
    </w:p>
    <w:p w:rsidR="00803D84" w:rsidRDefault="00803D84" w:rsidP="00A262FE">
      <w:pPr>
        <w:widowControl w:val="0"/>
        <w:autoSpaceDE w:val="0"/>
        <w:autoSpaceDN w:val="0"/>
        <w:adjustRightInd w:val="0"/>
        <w:spacing w:line="480" w:lineRule="auto"/>
        <w:jc w:val="both"/>
        <w:rPr>
          <w:rFonts w:ascii="Calibri" w:hAnsi="Calibri" w:cs="Calibri"/>
          <w:sz w:val="22"/>
          <w:szCs w:val="22"/>
          <w:lang w:val="en-US"/>
        </w:rPr>
      </w:pPr>
      <w:r w:rsidRPr="009D679F">
        <w:rPr>
          <w:rFonts w:ascii="Calibri" w:hAnsi="Calibri" w:cs="Calibri"/>
          <w:sz w:val="22"/>
          <w:szCs w:val="22"/>
          <w:lang w:val="en-US"/>
        </w:rPr>
        <w:t xml:space="preserve">Patients </w:t>
      </w:r>
      <w:r>
        <w:rPr>
          <w:rFonts w:ascii="Calibri" w:hAnsi="Calibri" w:cs="Calibri"/>
          <w:sz w:val="22"/>
          <w:szCs w:val="22"/>
          <w:lang w:val="en-US"/>
        </w:rPr>
        <w:t>were</w:t>
      </w:r>
      <w:r w:rsidRPr="009D679F">
        <w:rPr>
          <w:rFonts w:ascii="Calibri" w:hAnsi="Calibri" w:cs="Calibri"/>
          <w:sz w:val="22"/>
          <w:szCs w:val="22"/>
          <w:lang w:val="en-US"/>
        </w:rPr>
        <w:t xml:space="preserve"> randomi</w:t>
      </w:r>
      <w:r>
        <w:rPr>
          <w:rFonts w:ascii="Calibri" w:hAnsi="Calibri" w:cs="Calibri"/>
          <w:sz w:val="22"/>
          <w:szCs w:val="22"/>
          <w:lang w:val="en-US"/>
        </w:rPr>
        <w:t>s</w:t>
      </w:r>
      <w:r w:rsidRPr="009D679F">
        <w:rPr>
          <w:rFonts w:ascii="Calibri" w:hAnsi="Calibri" w:cs="Calibri"/>
          <w:sz w:val="22"/>
          <w:szCs w:val="22"/>
          <w:lang w:val="en-US"/>
        </w:rPr>
        <w:t xml:space="preserve">ed to standard, </w:t>
      </w:r>
      <w:r>
        <w:rPr>
          <w:rFonts w:ascii="Calibri" w:hAnsi="Calibri" w:cs="Calibri"/>
          <w:sz w:val="22"/>
          <w:szCs w:val="22"/>
          <w:lang w:val="en-US"/>
        </w:rPr>
        <w:t xml:space="preserve">antibiotic or silver shunts at </w:t>
      </w:r>
      <w:r w:rsidRPr="009D679F">
        <w:rPr>
          <w:rFonts w:ascii="Calibri" w:hAnsi="Calibri" w:cs="Calibri"/>
          <w:sz w:val="22"/>
          <w:szCs w:val="22"/>
          <w:lang w:val="en-US"/>
        </w:rPr>
        <w:t>a ratio of 1:1:1</w:t>
      </w:r>
      <w:r>
        <w:rPr>
          <w:rFonts w:ascii="Calibri" w:hAnsi="Calibri" w:cs="Calibri"/>
          <w:sz w:val="22"/>
          <w:szCs w:val="22"/>
          <w:lang w:val="en-US"/>
        </w:rPr>
        <w:t xml:space="preserve"> in random permuted blocks of 3 and 6. The randomisation sequence was generated by an independent statistician, and stratified by neurosurgical unit and age group (adult or paediatric, defined according to unit practice). The randomisation was revealed in the operating theatre at the time the </w:t>
      </w:r>
      <w:r>
        <w:rPr>
          <w:rFonts w:ascii="Calibri" w:hAnsi="Calibri" w:cs="Calibri"/>
          <w:sz w:val="22"/>
          <w:szCs w:val="22"/>
        </w:rPr>
        <w:t>shunt</w:t>
      </w:r>
      <w:r>
        <w:rPr>
          <w:rFonts w:ascii="Calibri" w:hAnsi="Calibri" w:cs="Calibri"/>
          <w:sz w:val="22"/>
          <w:szCs w:val="22"/>
          <w:lang w:val="en-US"/>
        </w:rPr>
        <w:t xml:space="preserve"> was required using opaque tamper-proof sealed envelopes that were opened by tearing perforated edges. Due to the different colour of the shunts it was not possible to blind the neurosurgeon and operating staff. </w:t>
      </w:r>
      <w:r>
        <w:rPr>
          <w:rFonts w:ascii="Calibri" w:hAnsi="Calibri" w:cs="Calibri"/>
          <w:sz w:val="22"/>
          <w:szCs w:val="22"/>
        </w:rPr>
        <w:t>Shunt</w:t>
      </w:r>
      <w:r>
        <w:rPr>
          <w:rFonts w:ascii="Calibri" w:hAnsi="Calibri" w:cs="Calibri"/>
          <w:sz w:val="22"/>
          <w:szCs w:val="22"/>
          <w:lang w:val="en-US"/>
        </w:rPr>
        <w:t xml:space="preserve"> </w:t>
      </w:r>
      <w:r w:rsidRPr="009D679F">
        <w:rPr>
          <w:rFonts w:ascii="Calibri" w:hAnsi="Calibri" w:cs="Calibri"/>
          <w:sz w:val="22"/>
          <w:szCs w:val="22"/>
          <w:lang w:val="en-US"/>
        </w:rPr>
        <w:t>type w</w:t>
      </w:r>
      <w:r>
        <w:rPr>
          <w:rFonts w:ascii="Calibri" w:hAnsi="Calibri" w:cs="Calibri"/>
          <w:sz w:val="22"/>
          <w:szCs w:val="22"/>
          <w:lang w:val="en-US"/>
        </w:rPr>
        <w:t xml:space="preserve">as </w:t>
      </w:r>
      <w:r w:rsidRPr="009D679F">
        <w:rPr>
          <w:rFonts w:ascii="Calibri" w:hAnsi="Calibri" w:cs="Calibri"/>
          <w:sz w:val="22"/>
          <w:szCs w:val="22"/>
          <w:lang w:val="en-US"/>
        </w:rPr>
        <w:t xml:space="preserve">not </w:t>
      </w:r>
      <w:r>
        <w:rPr>
          <w:rFonts w:ascii="Calibri" w:hAnsi="Calibri" w:cs="Calibri"/>
          <w:sz w:val="22"/>
          <w:szCs w:val="22"/>
          <w:lang w:val="en-US"/>
        </w:rPr>
        <w:t xml:space="preserve">recorded in the operating record and was not </w:t>
      </w:r>
      <w:r w:rsidRPr="009D679F">
        <w:rPr>
          <w:rFonts w:ascii="Calibri" w:hAnsi="Calibri" w:cs="Calibri"/>
          <w:sz w:val="22"/>
          <w:szCs w:val="22"/>
          <w:lang w:val="en-US"/>
        </w:rPr>
        <w:t xml:space="preserve">disclosed outside the operating </w:t>
      </w:r>
      <w:r>
        <w:rPr>
          <w:rFonts w:ascii="Calibri" w:hAnsi="Calibri" w:cs="Calibri"/>
          <w:sz w:val="22"/>
          <w:szCs w:val="22"/>
          <w:lang w:val="en-US"/>
        </w:rPr>
        <w:t xml:space="preserve">room. </w:t>
      </w:r>
      <w:r w:rsidRPr="009D679F">
        <w:rPr>
          <w:rFonts w:ascii="Calibri" w:hAnsi="Calibri" w:cs="Calibri"/>
          <w:sz w:val="22"/>
          <w:szCs w:val="22"/>
          <w:lang w:val="en-US"/>
        </w:rPr>
        <w:t xml:space="preserve">Training on non-disclosure of </w:t>
      </w:r>
      <w:r>
        <w:rPr>
          <w:rFonts w:ascii="Calibri" w:hAnsi="Calibri" w:cs="Calibri"/>
          <w:sz w:val="22"/>
          <w:szCs w:val="22"/>
          <w:lang w:val="en-US"/>
        </w:rPr>
        <w:t xml:space="preserve">shunt </w:t>
      </w:r>
      <w:r w:rsidRPr="009D679F">
        <w:rPr>
          <w:rFonts w:ascii="Calibri" w:hAnsi="Calibri" w:cs="Calibri"/>
          <w:sz w:val="22"/>
          <w:szCs w:val="22"/>
          <w:lang w:val="en-US"/>
        </w:rPr>
        <w:t xml:space="preserve">type </w:t>
      </w:r>
      <w:r>
        <w:rPr>
          <w:rFonts w:ascii="Calibri" w:hAnsi="Calibri" w:cs="Calibri"/>
          <w:sz w:val="22"/>
          <w:szCs w:val="22"/>
          <w:lang w:val="en-US"/>
        </w:rPr>
        <w:t xml:space="preserve">was provided to all investigators. All shunt types were </w:t>
      </w:r>
      <w:r w:rsidRPr="009D679F">
        <w:rPr>
          <w:rFonts w:ascii="Calibri" w:hAnsi="Calibri" w:cs="Calibri"/>
          <w:sz w:val="22"/>
          <w:szCs w:val="22"/>
          <w:lang w:val="en-US"/>
        </w:rPr>
        <w:t>used in accordance with the manufacturer’s instructions for their</w:t>
      </w:r>
      <w:r>
        <w:rPr>
          <w:rFonts w:ascii="Calibri" w:hAnsi="Calibri" w:cs="Calibri"/>
          <w:sz w:val="22"/>
          <w:szCs w:val="22"/>
          <w:lang w:val="en-US"/>
        </w:rPr>
        <w:t xml:space="preserve"> </w:t>
      </w:r>
      <w:r w:rsidRPr="009D679F">
        <w:rPr>
          <w:rFonts w:ascii="Calibri" w:hAnsi="Calibri" w:cs="Calibri"/>
          <w:sz w:val="22"/>
          <w:szCs w:val="22"/>
          <w:lang w:val="en-US"/>
        </w:rPr>
        <w:t>intended purpose</w:t>
      </w:r>
      <w:r>
        <w:rPr>
          <w:rFonts w:ascii="Calibri" w:hAnsi="Calibri" w:cs="Calibri"/>
          <w:sz w:val="22"/>
          <w:szCs w:val="22"/>
          <w:lang w:val="en-US"/>
        </w:rPr>
        <w:t xml:space="preserve">. Patients were blind to the type of </w:t>
      </w:r>
      <w:r>
        <w:rPr>
          <w:rFonts w:ascii="Calibri" w:hAnsi="Calibri" w:cs="Calibri"/>
          <w:sz w:val="22"/>
          <w:szCs w:val="22"/>
        </w:rPr>
        <w:t>shunt</w:t>
      </w:r>
      <w:r>
        <w:rPr>
          <w:rFonts w:ascii="Calibri" w:hAnsi="Calibri" w:cs="Calibri"/>
          <w:sz w:val="22"/>
          <w:szCs w:val="22"/>
          <w:lang w:val="en-US"/>
        </w:rPr>
        <w:t xml:space="preserve"> inserted.</w:t>
      </w:r>
    </w:p>
    <w:p w:rsidR="00803D84" w:rsidRDefault="00803D84" w:rsidP="00A262FE">
      <w:pPr>
        <w:spacing w:line="480" w:lineRule="auto"/>
        <w:jc w:val="both"/>
        <w:rPr>
          <w:rFonts w:ascii="Calibri" w:hAnsi="Calibri" w:cs="Calibri"/>
          <w:sz w:val="22"/>
          <w:szCs w:val="22"/>
        </w:rPr>
      </w:pPr>
    </w:p>
    <w:p w:rsidR="00803D84" w:rsidRPr="007B0BEC" w:rsidRDefault="00803D84" w:rsidP="00BF5C83">
      <w:pPr>
        <w:pStyle w:val="Default"/>
        <w:spacing w:line="480" w:lineRule="auto"/>
        <w:jc w:val="both"/>
        <w:rPr>
          <w:rFonts w:ascii="Calibri" w:hAnsi="Calibri" w:cs="Calibri"/>
          <w:sz w:val="22"/>
          <w:szCs w:val="22"/>
          <w:u w:val="single"/>
        </w:rPr>
      </w:pPr>
      <w:r>
        <w:rPr>
          <w:rFonts w:ascii="Calibri" w:hAnsi="Calibri" w:cs="Calibri"/>
          <w:sz w:val="22"/>
          <w:szCs w:val="22"/>
          <w:u w:val="single"/>
        </w:rPr>
        <w:t>Procedures</w:t>
      </w:r>
    </w:p>
    <w:p w:rsidR="00803D84" w:rsidRPr="00BF5C83" w:rsidRDefault="00803D84" w:rsidP="00BF5C83">
      <w:pPr>
        <w:spacing w:line="480" w:lineRule="auto"/>
        <w:jc w:val="both"/>
        <w:rPr>
          <w:rFonts w:asciiTheme="minorHAnsi" w:hAnsiTheme="minorHAnsi" w:cs="Calibri"/>
          <w:sz w:val="22"/>
          <w:szCs w:val="22"/>
        </w:rPr>
      </w:pPr>
      <w:r w:rsidRPr="00BF5C83">
        <w:rPr>
          <w:rFonts w:asciiTheme="minorHAnsi" w:hAnsiTheme="minorHAnsi"/>
          <w:sz w:val="22"/>
          <w:szCs w:val="22"/>
        </w:rPr>
        <w:t>Data were collected at baseline; randomisation (pre-operative assessment); randomisation (first surgery); early post-operative assessment; first routine post operative assessment; 12 weekly follow up assessments; subsequent routine post operative assessments; and, where applicable, unscheduled visits/admissions and at shunt revision/removals</w:t>
      </w:r>
      <w:r>
        <w:rPr>
          <w:rFonts w:asciiTheme="minorHAnsi" w:hAnsiTheme="minorHAnsi"/>
          <w:sz w:val="22"/>
          <w:szCs w:val="22"/>
        </w:rPr>
        <w:t xml:space="preserve"> (see section 2 of supplementary material). All patients received prophylactic antibiotics at the time of shunt insertion as per standard neurosurgical practice. All other parameters related to surgical shunt insertion technique e.g. choice of skin preparation, hair shave or not, number and seniority of neurosurgeon, position on operating list were recorded but not standardised and were undertaken according to each participating neurosurgery unit’s practice. </w:t>
      </w:r>
      <w:r w:rsidRPr="00BF5C83">
        <w:rPr>
          <w:rFonts w:asciiTheme="minorHAnsi" w:hAnsiTheme="minorHAnsi" w:cs="Calibri"/>
          <w:sz w:val="22"/>
          <w:szCs w:val="22"/>
        </w:rPr>
        <w:t>Patients were followed for a minimum 6 months and maximum 2 years.</w:t>
      </w:r>
    </w:p>
    <w:p w:rsidR="00803D84" w:rsidRDefault="00803D84" w:rsidP="00BF5C83">
      <w:pPr>
        <w:spacing w:line="480" w:lineRule="auto"/>
        <w:jc w:val="both"/>
        <w:rPr>
          <w:rFonts w:ascii="Calibri" w:hAnsi="Calibri" w:cs="Calibri"/>
          <w:sz w:val="22"/>
          <w:szCs w:val="22"/>
          <w:lang w:val="en-US"/>
        </w:rPr>
      </w:pPr>
    </w:p>
    <w:p w:rsidR="00803D84" w:rsidRPr="003D2280" w:rsidRDefault="00803D84" w:rsidP="00BF5C83">
      <w:pPr>
        <w:spacing w:line="480" w:lineRule="auto"/>
        <w:jc w:val="both"/>
        <w:rPr>
          <w:rFonts w:ascii="Calibri" w:hAnsi="Calibri" w:cs="Calibri"/>
          <w:sz w:val="22"/>
          <w:szCs w:val="22"/>
          <w:u w:val="single"/>
        </w:rPr>
      </w:pPr>
      <w:r w:rsidRPr="003D2280">
        <w:rPr>
          <w:rFonts w:ascii="Calibri" w:hAnsi="Calibri" w:cs="Calibri"/>
          <w:sz w:val="22"/>
          <w:szCs w:val="22"/>
          <w:u w:val="single"/>
        </w:rPr>
        <w:t>Outcomes</w:t>
      </w:r>
    </w:p>
    <w:p w:rsidR="00803D84" w:rsidRPr="00E21FC1" w:rsidRDefault="00803D84" w:rsidP="00723A31">
      <w:pPr>
        <w:autoSpaceDE w:val="0"/>
        <w:autoSpaceDN w:val="0"/>
        <w:adjustRightInd w:val="0"/>
        <w:spacing w:line="480" w:lineRule="auto"/>
        <w:jc w:val="both"/>
        <w:rPr>
          <w:rFonts w:ascii="Calibri" w:hAnsi="Calibri" w:cs="Calibri"/>
          <w:color w:val="000000"/>
          <w:sz w:val="22"/>
          <w:szCs w:val="22"/>
        </w:rPr>
      </w:pPr>
      <w:r>
        <w:rPr>
          <w:rFonts w:ascii="Calibri" w:hAnsi="Calibri" w:cs="Calibri"/>
          <w:color w:val="000000"/>
          <w:sz w:val="22"/>
          <w:szCs w:val="22"/>
        </w:rPr>
        <w:t xml:space="preserve">The primary outcome was </w:t>
      </w:r>
      <w:r w:rsidRPr="00522BE8">
        <w:rPr>
          <w:rFonts w:ascii="Calibri" w:hAnsi="Calibri" w:cs="Calibri"/>
          <w:sz w:val="22"/>
          <w:szCs w:val="22"/>
          <w:lang w:val="en-US"/>
        </w:rPr>
        <w:t xml:space="preserve">time to </w:t>
      </w:r>
      <w:r>
        <w:rPr>
          <w:rFonts w:ascii="Calibri" w:hAnsi="Calibri" w:cs="Calibri"/>
          <w:sz w:val="22"/>
          <w:szCs w:val="22"/>
          <w:lang w:val="en-US"/>
        </w:rPr>
        <w:t>shunt failure due to infection</w:t>
      </w:r>
      <w:r w:rsidDel="00950F81">
        <w:rPr>
          <w:rFonts w:ascii="Calibri" w:hAnsi="Calibri" w:cs="Calibri"/>
          <w:sz w:val="22"/>
          <w:szCs w:val="22"/>
          <w:lang w:val="en-US"/>
        </w:rPr>
        <w:t xml:space="preserve"> </w:t>
      </w:r>
      <w:r>
        <w:rPr>
          <w:rFonts w:ascii="Calibri" w:hAnsi="Calibri" w:cs="Calibri"/>
          <w:color w:val="000000"/>
          <w:sz w:val="22"/>
          <w:szCs w:val="22"/>
        </w:rPr>
        <w:t xml:space="preserve">as assessed by a blinded central review panel comprised of the Chief Investigator [CLM] (or delegate for participants treated by the chief investigator [MDJ]) and trial microbiologist [JCH], masked to allocations. At first shunt revision, sites recorded data on clinical presentation (e.g. temperature, headache, lethargy, meningism, conscious level, wound erythema), peripheral white blood cell count, C-reactive protein (CRP), microbiology analysis of CSF (microscopy and culture), and treatment initiated (e.g. antibiotics prescribed, shunt removed).  Based on these parameters the shunt failure was classified as being due to infection or not.  Shunt infections were further defined as: (1) </w:t>
      </w:r>
      <w:r w:rsidRPr="00615D2B">
        <w:rPr>
          <w:rFonts w:ascii="Calibri" w:hAnsi="Calibri"/>
          <w:color w:val="000000"/>
          <w:sz w:val="22"/>
        </w:rPr>
        <w:t>Definite – culture positive</w:t>
      </w:r>
      <w:r w:rsidRPr="00E21FC1">
        <w:rPr>
          <w:rFonts w:ascii="Calibri" w:hAnsi="Calibri" w:cs="Calibri"/>
          <w:color w:val="000000"/>
          <w:sz w:val="22"/>
          <w:szCs w:val="22"/>
        </w:rPr>
        <w:t>: growth of organisms from CSF on primary culture or repeated (&gt;1) subculture</w:t>
      </w:r>
      <w:r>
        <w:rPr>
          <w:rFonts w:ascii="Calibri" w:hAnsi="Calibri" w:cs="Calibri"/>
          <w:color w:val="000000"/>
          <w:sz w:val="22"/>
          <w:szCs w:val="22"/>
        </w:rPr>
        <w:t xml:space="preserve"> [</w:t>
      </w:r>
      <w:r w:rsidRPr="00723A31">
        <w:rPr>
          <w:rFonts w:ascii="Calibri" w:hAnsi="Calibri" w:cs="Calibri"/>
          <w:color w:val="000000"/>
          <w:sz w:val="22"/>
          <w:szCs w:val="22"/>
        </w:rPr>
        <w:t>the passage</w:t>
      </w:r>
      <w:r>
        <w:rPr>
          <w:rFonts w:ascii="Calibri" w:hAnsi="Calibri" w:cs="Calibri"/>
          <w:color w:val="000000"/>
          <w:sz w:val="22"/>
          <w:szCs w:val="22"/>
        </w:rPr>
        <w:t xml:space="preserve"> [growth identified following enrichment</w:t>
      </w:r>
      <w:r w:rsidRPr="00723A31">
        <w:rPr>
          <w:rFonts w:ascii="Calibri" w:hAnsi="Calibri"/>
          <w:color w:val="000000"/>
          <w:sz w:val="22"/>
        </w:rPr>
        <w:t xml:space="preserve"> of </w:t>
      </w:r>
      <w:r w:rsidRPr="00723A31">
        <w:rPr>
          <w:rFonts w:ascii="Calibri" w:hAnsi="Calibri" w:cs="Calibri"/>
          <w:color w:val="000000"/>
          <w:sz w:val="22"/>
          <w:szCs w:val="22"/>
        </w:rPr>
        <w:t xml:space="preserve">cells from </w:t>
      </w:r>
      <w:r w:rsidRPr="00723A31">
        <w:rPr>
          <w:rFonts w:ascii="Calibri" w:hAnsi="Calibri"/>
          <w:color w:val="000000"/>
          <w:sz w:val="22"/>
        </w:rPr>
        <w:t xml:space="preserve">the primary culture </w:t>
      </w:r>
      <w:r w:rsidRPr="00723A31">
        <w:rPr>
          <w:rFonts w:ascii="Calibri" w:hAnsi="Calibri" w:cs="Calibri"/>
          <w:color w:val="000000"/>
          <w:sz w:val="22"/>
          <w:szCs w:val="22"/>
        </w:rPr>
        <w:t>to fresh medium</w:t>
      </w:r>
      <w:r>
        <w:rPr>
          <w:rFonts w:ascii="Calibri" w:hAnsi="Calibri" w:cs="Calibri"/>
          <w:color w:val="000000"/>
          <w:sz w:val="22"/>
          <w:szCs w:val="22"/>
        </w:rPr>
        <w:t xml:space="preserve"> by overnight broth incubation]</w:t>
      </w:r>
      <w:r w:rsidRPr="00E21FC1">
        <w:rPr>
          <w:rFonts w:ascii="Calibri" w:hAnsi="Calibri" w:cs="Calibri"/>
          <w:color w:val="000000"/>
          <w:sz w:val="22"/>
          <w:szCs w:val="22"/>
        </w:rPr>
        <w:t>, with or without clinical signs of infection, and managed by shunt removal and antibiotic treatment</w:t>
      </w:r>
      <w:r>
        <w:rPr>
          <w:rFonts w:ascii="Calibri" w:hAnsi="Calibri" w:cs="Calibri"/>
          <w:color w:val="000000"/>
          <w:sz w:val="22"/>
          <w:szCs w:val="22"/>
        </w:rPr>
        <w:t xml:space="preserve">; (2) </w:t>
      </w:r>
      <w:r w:rsidRPr="00615D2B">
        <w:rPr>
          <w:rFonts w:ascii="Calibri" w:hAnsi="Calibri"/>
          <w:color w:val="000000"/>
          <w:sz w:val="22"/>
        </w:rPr>
        <w:t>Probable – culture uncertain</w:t>
      </w:r>
      <w:r w:rsidRPr="00E21FC1">
        <w:rPr>
          <w:rFonts w:ascii="Calibri" w:hAnsi="Calibri" w:cs="Calibri"/>
          <w:color w:val="000000"/>
          <w:sz w:val="22"/>
          <w:szCs w:val="22"/>
        </w:rPr>
        <w:t>: growth of organisms from CSF on one subculture only, with or without clinical signs of infection, with CSF pleocytosis and/or organisms on gram stain, and managed by shunt removal and antibiotic treatment</w:t>
      </w:r>
      <w:r>
        <w:rPr>
          <w:rFonts w:ascii="Calibri" w:hAnsi="Calibri" w:cs="Calibri"/>
          <w:color w:val="000000"/>
          <w:sz w:val="22"/>
          <w:szCs w:val="22"/>
        </w:rPr>
        <w:t xml:space="preserve">; (3) </w:t>
      </w:r>
      <w:r w:rsidRPr="00615D2B">
        <w:rPr>
          <w:rFonts w:ascii="Calibri" w:hAnsi="Calibri"/>
          <w:color w:val="000000"/>
          <w:sz w:val="22"/>
        </w:rPr>
        <w:t>Probable – culture negative</w:t>
      </w:r>
      <w:r w:rsidRPr="00E21FC1">
        <w:rPr>
          <w:rFonts w:ascii="Calibri" w:hAnsi="Calibri" w:cs="Calibri"/>
          <w:color w:val="000000"/>
          <w:sz w:val="22"/>
          <w:szCs w:val="22"/>
        </w:rPr>
        <w:t>: no organisms growth but, with or without clinical signs of infection, with CSF pleocytosis and/or organisms on gram stain, and managed by shunt removal and antibiotic treatment</w:t>
      </w:r>
      <w:r>
        <w:rPr>
          <w:rFonts w:ascii="Calibri" w:hAnsi="Calibri" w:cs="Calibri"/>
          <w:color w:val="000000"/>
          <w:sz w:val="22"/>
          <w:szCs w:val="22"/>
        </w:rPr>
        <w:t xml:space="preserve">; (4) </w:t>
      </w:r>
      <w:r w:rsidRPr="00615D2B">
        <w:rPr>
          <w:rFonts w:ascii="Calibri" w:hAnsi="Calibri"/>
          <w:color w:val="000000"/>
          <w:sz w:val="22"/>
        </w:rPr>
        <w:t>Possible – culture uncertain</w:t>
      </w:r>
      <w:r w:rsidRPr="00E21FC1">
        <w:rPr>
          <w:rFonts w:ascii="Calibri" w:hAnsi="Calibri" w:cs="Calibri"/>
          <w:color w:val="000000"/>
          <w:sz w:val="22"/>
          <w:szCs w:val="22"/>
        </w:rPr>
        <w:t>: no signs of infection, no CSF pleocytosis, no organisms seen on gram stain, growth after enrichment in one CSF sample only, and managed by shunt removal and antibiotic treatment</w:t>
      </w:r>
      <w:r>
        <w:rPr>
          <w:rFonts w:ascii="Calibri" w:hAnsi="Calibri" w:cs="Calibri"/>
          <w:color w:val="000000"/>
          <w:sz w:val="22"/>
          <w:szCs w:val="22"/>
        </w:rPr>
        <w:t xml:space="preserve">; and (5) </w:t>
      </w:r>
      <w:r w:rsidRPr="00615D2B">
        <w:rPr>
          <w:rFonts w:ascii="Calibri" w:hAnsi="Calibri"/>
          <w:color w:val="000000"/>
          <w:sz w:val="22"/>
        </w:rPr>
        <w:t>Shunt deep incision infection</w:t>
      </w:r>
      <w:r w:rsidRPr="00E21FC1">
        <w:rPr>
          <w:rFonts w:ascii="Calibri" w:hAnsi="Calibri" w:cs="Calibri"/>
          <w:color w:val="000000"/>
          <w:sz w:val="22"/>
          <w:szCs w:val="22"/>
        </w:rPr>
        <w:t>: infection of the deep surgical wound and subcutaneous shunt without any evidence of CSF infection</w:t>
      </w:r>
      <w:r>
        <w:rPr>
          <w:rFonts w:ascii="Calibri" w:hAnsi="Calibri" w:cs="Calibri"/>
          <w:color w:val="000000"/>
          <w:sz w:val="22"/>
          <w:szCs w:val="22"/>
        </w:rPr>
        <w:t>.</w:t>
      </w:r>
    </w:p>
    <w:p w:rsidR="00803D84" w:rsidRDefault="00803D84" w:rsidP="00D35067">
      <w:pPr>
        <w:autoSpaceDE w:val="0"/>
        <w:autoSpaceDN w:val="0"/>
        <w:adjustRightInd w:val="0"/>
        <w:spacing w:line="480" w:lineRule="auto"/>
        <w:jc w:val="both"/>
        <w:rPr>
          <w:rFonts w:ascii="Calibri" w:hAnsi="Calibri" w:cs="Calibri"/>
          <w:color w:val="000000"/>
          <w:sz w:val="22"/>
          <w:szCs w:val="22"/>
        </w:rPr>
      </w:pPr>
    </w:p>
    <w:p w:rsidR="00803D84" w:rsidRDefault="00803D84" w:rsidP="00D35067">
      <w:pPr>
        <w:autoSpaceDE w:val="0"/>
        <w:autoSpaceDN w:val="0"/>
        <w:adjustRightInd w:val="0"/>
        <w:spacing w:line="480" w:lineRule="auto"/>
        <w:jc w:val="both"/>
        <w:rPr>
          <w:rFonts w:ascii="Calibri" w:hAnsi="Calibri" w:cs="Calibri"/>
          <w:color w:val="000000"/>
          <w:sz w:val="22"/>
          <w:szCs w:val="22"/>
        </w:rPr>
      </w:pPr>
      <w:r>
        <w:rPr>
          <w:rFonts w:ascii="Calibri" w:hAnsi="Calibri" w:cs="Calibri"/>
          <w:color w:val="000000"/>
          <w:sz w:val="22"/>
          <w:szCs w:val="22"/>
        </w:rPr>
        <w:t>S</w:t>
      </w:r>
      <w:r w:rsidRPr="00A340E0">
        <w:rPr>
          <w:rFonts w:ascii="Calibri" w:hAnsi="Calibri" w:cs="Calibri"/>
          <w:color w:val="000000"/>
          <w:sz w:val="22"/>
          <w:szCs w:val="22"/>
        </w:rPr>
        <w:t>econdary outcomes</w:t>
      </w:r>
      <w:r>
        <w:rPr>
          <w:rFonts w:ascii="Calibri" w:hAnsi="Calibri" w:cs="Calibri"/>
          <w:color w:val="000000"/>
          <w:sz w:val="22"/>
          <w:szCs w:val="22"/>
        </w:rPr>
        <w:t xml:space="preserve"> were: time to removal of the first </w:t>
      </w:r>
      <w:r>
        <w:rPr>
          <w:rFonts w:ascii="Calibri" w:hAnsi="Calibri" w:cs="Calibri"/>
          <w:sz w:val="22"/>
          <w:szCs w:val="22"/>
          <w:lang w:val="en-US"/>
        </w:rPr>
        <w:t>shunt</w:t>
      </w:r>
      <w:r>
        <w:rPr>
          <w:rFonts w:ascii="Calibri" w:hAnsi="Calibri" w:cs="Calibri"/>
          <w:color w:val="000000"/>
          <w:sz w:val="22"/>
          <w:szCs w:val="22"/>
        </w:rPr>
        <w:t xml:space="preserve"> due to suspected infection, as defined by the treating neurosurgeon at the time of first revision; time to </w:t>
      </w:r>
      <w:r>
        <w:rPr>
          <w:rFonts w:ascii="Calibri" w:hAnsi="Calibri" w:cs="Calibri"/>
          <w:sz w:val="22"/>
          <w:szCs w:val="22"/>
          <w:lang w:val="en-US"/>
        </w:rPr>
        <w:t>shunt</w:t>
      </w:r>
      <w:r>
        <w:rPr>
          <w:rFonts w:ascii="Calibri" w:hAnsi="Calibri" w:cs="Calibri"/>
          <w:color w:val="000000"/>
          <w:sz w:val="22"/>
          <w:szCs w:val="22"/>
        </w:rPr>
        <w:t xml:space="preserve"> failure of any cause; reason for shunt failure (infection, mechanical [blockage of any component i.e. valve or catheters], patient [unrelated medical condition e.g. appendicitis], functional [change of valve for symptomatic over- or under-drainage of CSF e.g. fixed pressure to programmable valve] as classified by treating neurosurgeon); types of bacterial </w:t>
      </w:r>
      <w:r>
        <w:rPr>
          <w:rFonts w:ascii="Calibri" w:hAnsi="Calibri" w:cs="Calibri"/>
          <w:sz w:val="22"/>
          <w:szCs w:val="22"/>
          <w:lang w:val="en-US"/>
        </w:rPr>
        <w:t>shunt</w:t>
      </w:r>
      <w:r>
        <w:rPr>
          <w:rFonts w:ascii="Calibri" w:hAnsi="Calibri" w:cs="Calibri"/>
          <w:color w:val="000000"/>
          <w:sz w:val="22"/>
          <w:szCs w:val="22"/>
        </w:rPr>
        <w:t xml:space="preserve"> infection [see table 2]; time to </w:t>
      </w:r>
      <w:r>
        <w:rPr>
          <w:rFonts w:ascii="Calibri" w:hAnsi="Calibri" w:cs="Calibri"/>
          <w:sz w:val="22"/>
          <w:szCs w:val="22"/>
          <w:lang w:val="en-US"/>
        </w:rPr>
        <w:t>shunt</w:t>
      </w:r>
      <w:r w:rsidDel="009066F0">
        <w:rPr>
          <w:rFonts w:ascii="Calibri" w:hAnsi="Calibri" w:cs="Calibri"/>
          <w:sz w:val="22"/>
          <w:szCs w:val="22"/>
        </w:rPr>
        <w:t xml:space="preserve"> </w:t>
      </w:r>
      <w:r>
        <w:rPr>
          <w:rFonts w:ascii="Calibri" w:hAnsi="Calibri" w:cs="Calibri"/>
          <w:color w:val="000000"/>
          <w:sz w:val="22"/>
          <w:szCs w:val="22"/>
        </w:rPr>
        <w:t>infection following first clean revision as classified by central review; Quality of life measured using the Hydrocephalus Outcome Questionnaire</w:t>
      </w:r>
      <w:r w:rsidRPr="00187D7E">
        <w:rPr>
          <w:rFonts w:ascii="Calibri" w:hAnsi="Calibri" w:cs="Calibri"/>
          <w:noProof/>
          <w:color w:val="000000"/>
          <w:sz w:val="22"/>
          <w:szCs w:val="22"/>
          <w:vertAlign w:val="superscript"/>
        </w:rPr>
        <w:t>12</w:t>
      </w:r>
      <w:r>
        <w:rPr>
          <w:rFonts w:ascii="Calibri" w:hAnsi="Calibri" w:cs="Calibri"/>
          <w:color w:val="000000"/>
          <w:sz w:val="22"/>
          <w:szCs w:val="22"/>
        </w:rPr>
        <w:t xml:space="preserve"> and health economic outcomes: incremental cost per </w:t>
      </w:r>
      <w:r>
        <w:rPr>
          <w:rFonts w:ascii="Calibri" w:hAnsi="Calibri" w:cs="Calibri"/>
          <w:sz w:val="22"/>
          <w:szCs w:val="22"/>
          <w:lang w:val="en-US"/>
        </w:rPr>
        <w:t>shunt</w:t>
      </w:r>
      <w:r w:rsidDel="009066F0">
        <w:rPr>
          <w:rFonts w:ascii="Calibri" w:hAnsi="Calibri" w:cs="Calibri"/>
          <w:color w:val="000000"/>
          <w:sz w:val="22"/>
          <w:szCs w:val="22"/>
        </w:rPr>
        <w:t xml:space="preserve"> </w:t>
      </w:r>
      <w:r>
        <w:rPr>
          <w:rFonts w:ascii="Calibri" w:hAnsi="Calibri" w:cs="Calibri"/>
          <w:color w:val="000000"/>
          <w:sz w:val="22"/>
          <w:szCs w:val="22"/>
        </w:rPr>
        <w:t>failure (any cause) averted and per quality-adjusted life (QALY) gained using the EQ-5D-3L, EQ-5D-3L (proxy) or EQ-</w:t>
      </w:r>
      <w:r w:rsidRPr="00D556B1">
        <w:rPr>
          <w:rFonts w:ascii="Calibri" w:hAnsi="Calibri" w:cs="Calibri"/>
          <w:color w:val="000000"/>
          <w:sz w:val="22"/>
          <w:szCs w:val="22"/>
        </w:rPr>
        <w:t>5D</w:t>
      </w:r>
      <w:r>
        <w:rPr>
          <w:rFonts w:ascii="Calibri" w:hAnsi="Calibri" w:cs="Calibri"/>
          <w:color w:val="000000"/>
          <w:sz w:val="22"/>
          <w:szCs w:val="22"/>
        </w:rPr>
        <w:t>-3L</w:t>
      </w:r>
      <w:r w:rsidRPr="00D556B1">
        <w:rPr>
          <w:rFonts w:ascii="Calibri" w:hAnsi="Calibri" w:cs="Calibri"/>
          <w:color w:val="000000"/>
          <w:sz w:val="22"/>
          <w:szCs w:val="22"/>
        </w:rPr>
        <w:t>-Y</w:t>
      </w:r>
      <w:r>
        <w:rPr>
          <w:rFonts w:ascii="Calibri" w:hAnsi="Calibri" w:cs="Calibri"/>
          <w:color w:val="000000"/>
          <w:sz w:val="22"/>
          <w:szCs w:val="22"/>
        </w:rPr>
        <w:t xml:space="preserve">. </w:t>
      </w:r>
      <w:r w:rsidRPr="00D556B1">
        <w:rPr>
          <w:rFonts w:ascii="Calibri" w:hAnsi="Calibri" w:cs="Calibri"/>
          <w:sz w:val="22"/>
          <w:szCs w:val="22"/>
        </w:rPr>
        <w:t xml:space="preserve">Data on complications and serious adverse events were collected </w:t>
      </w:r>
      <w:r>
        <w:rPr>
          <w:rFonts w:ascii="Calibri" w:hAnsi="Calibri" w:cs="Calibri"/>
          <w:sz w:val="22"/>
          <w:szCs w:val="22"/>
        </w:rPr>
        <w:t xml:space="preserve">(see protocol: </w:t>
      </w:r>
      <w:r w:rsidRPr="001D1234">
        <w:rPr>
          <w:rFonts w:ascii="Calibri" w:hAnsi="Calibri" w:cs="Calibri"/>
          <w:sz w:val="22"/>
          <w:szCs w:val="22"/>
        </w:rPr>
        <w:t>www.journalslibrary.nihr.ac.uk/programmes/hta/1010430/#/</w:t>
      </w:r>
      <w:r w:rsidRPr="00D556B1">
        <w:rPr>
          <w:rFonts w:ascii="Calibri" w:hAnsi="Calibri" w:cs="Calibri"/>
          <w:sz w:val="22"/>
          <w:szCs w:val="22"/>
        </w:rPr>
        <w:t>)</w:t>
      </w:r>
      <w:r>
        <w:rPr>
          <w:rFonts w:ascii="Calibri" w:hAnsi="Calibri" w:cs="Calibri"/>
          <w:sz w:val="22"/>
          <w:szCs w:val="22"/>
        </w:rPr>
        <w:t>.</w:t>
      </w:r>
    </w:p>
    <w:p w:rsidR="00803D84" w:rsidRPr="009D679F" w:rsidRDefault="00803D84" w:rsidP="00D35067">
      <w:pPr>
        <w:autoSpaceDE w:val="0"/>
        <w:autoSpaceDN w:val="0"/>
        <w:adjustRightInd w:val="0"/>
        <w:spacing w:line="480" w:lineRule="auto"/>
        <w:jc w:val="both"/>
        <w:rPr>
          <w:rFonts w:ascii="Calibri" w:hAnsi="Calibri" w:cs="Calibri"/>
          <w:sz w:val="22"/>
          <w:szCs w:val="22"/>
        </w:rPr>
      </w:pPr>
    </w:p>
    <w:p w:rsidR="00803D84" w:rsidRPr="009D679F" w:rsidRDefault="00803D84" w:rsidP="00A262FE">
      <w:pPr>
        <w:widowControl w:val="0"/>
        <w:autoSpaceDE w:val="0"/>
        <w:autoSpaceDN w:val="0"/>
        <w:adjustRightInd w:val="0"/>
        <w:spacing w:line="480" w:lineRule="auto"/>
        <w:jc w:val="both"/>
        <w:rPr>
          <w:rFonts w:ascii="Calibri" w:hAnsi="Calibri" w:cs="Calibri"/>
          <w:sz w:val="22"/>
          <w:szCs w:val="22"/>
          <w:u w:val="single"/>
          <w:lang w:val="en-US"/>
        </w:rPr>
      </w:pPr>
      <w:r>
        <w:rPr>
          <w:rFonts w:ascii="Calibri" w:hAnsi="Calibri" w:cs="Calibri"/>
          <w:sz w:val="22"/>
          <w:szCs w:val="22"/>
          <w:u w:val="single"/>
          <w:lang w:val="en-US"/>
        </w:rPr>
        <w:t>Statistical analysis</w:t>
      </w:r>
    </w:p>
    <w:p w:rsidR="00803D84" w:rsidRDefault="00803D84" w:rsidP="00076250">
      <w:pPr>
        <w:widowControl w:val="0"/>
        <w:autoSpaceDE w:val="0"/>
        <w:autoSpaceDN w:val="0"/>
        <w:adjustRightInd w:val="0"/>
        <w:spacing w:line="480" w:lineRule="auto"/>
        <w:jc w:val="both"/>
        <w:rPr>
          <w:rFonts w:ascii="Calibri" w:hAnsi="Calibri" w:cs="Calibri"/>
          <w:sz w:val="22"/>
          <w:szCs w:val="22"/>
        </w:rPr>
      </w:pPr>
      <w:r>
        <w:rPr>
          <w:rFonts w:ascii="Calibri" w:hAnsi="Calibri" w:cs="Calibri"/>
          <w:sz w:val="22"/>
          <w:szCs w:val="22"/>
        </w:rPr>
        <w:t xml:space="preserve">A Trial Steering Committee, comprising a majority of independent members viewing reports blinded to treatment arm, and an Independent Data Monitoring Committee viewing unblinded reports reviewed the trial regularly to assess conduct, progress including rates of shunt infection, and safety. </w:t>
      </w:r>
      <w:r>
        <w:rPr>
          <w:rFonts w:ascii="Calibri" w:hAnsi="Calibri" w:cs="Calibri"/>
          <w:sz w:val="22"/>
          <w:szCs w:val="22"/>
          <w:lang w:val="en-US"/>
        </w:rPr>
        <w:t>The sample size for the primary outcome used the method described by Pintilie</w:t>
      </w:r>
      <w:r w:rsidRPr="00187D7E">
        <w:rPr>
          <w:rFonts w:ascii="Calibri" w:hAnsi="Calibri" w:cs="Calibri"/>
          <w:noProof/>
          <w:sz w:val="22"/>
          <w:szCs w:val="22"/>
          <w:vertAlign w:val="superscript"/>
          <w:lang w:val="en-US"/>
        </w:rPr>
        <w:t>13</w:t>
      </w:r>
      <w:r>
        <w:rPr>
          <w:rFonts w:ascii="Calibri" w:hAnsi="Calibri" w:cs="Calibri"/>
          <w:sz w:val="22"/>
          <w:szCs w:val="22"/>
          <w:lang w:val="en-US"/>
        </w:rPr>
        <w:t xml:space="preserve"> with  the following assumptions: (i) failure for i</w:t>
      </w:r>
      <w:r w:rsidRPr="009D679F">
        <w:rPr>
          <w:rFonts w:ascii="Calibri" w:hAnsi="Calibri" w:cs="Calibri"/>
          <w:sz w:val="22"/>
          <w:szCs w:val="22"/>
          <w:lang w:val="en-US"/>
        </w:rPr>
        <w:t xml:space="preserve">nfection </w:t>
      </w:r>
      <w:r>
        <w:rPr>
          <w:rFonts w:ascii="Calibri" w:hAnsi="Calibri" w:cs="Calibri"/>
          <w:sz w:val="22"/>
          <w:szCs w:val="22"/>
          <w:lang w:val="en-US"/>
        </w:rPr>
        <w:t>wa</w:t>
      </w:r>
      <w:r w:rsidRPr="009D679F">
        <w:rPr>
          <w:rFonts w:ascii="Calibri" w:hAnsi="Calibri" w:cs="Calibri"/>
          <w:sz w:val="22"/>
          <w:szCs w:val="22"/>
          <w:lang w:val="en-US"/>
        </w:rPr>
        <w:t>s the event of</w:t>
      </w:r>
      <w:r>
        <w:rPr>
          <w:rFonts w:ascii="Calibri" w:hAnsi="Calibri" w:cs="Calibri"/>
          <w:sz w:val="22"/>
          <w:szCs w:val="22"/>
          <w:lang w:val="en-US"/>
        </w:rPr>
        <w:t xml:space="preserve"> </w:t>
      </w:r>
      <w:r w:rsidRPr="009D679F">
        <w:rPr>
          <w:rFonts w:ascii="Calibri" w:hAnsi="Calibri" w:cs="Calibri"/>
          <w:sz w:val="22"/>
          <w:szCs w:val="22"/>
          <w:lang w:val="en-US"/>
        </w:rPr>
        <w:t>interest with all other reasons</w:t>
      </w:r>
      <w:r>
        <w:rPr>
          <w:rFonts w:ascii="Calibri" w:hAnsi="Calibri" w:cs="Calibri"/>
          <w:sz w:val="22"/>
          <w:szCs w:val="22"/>
          <w:lang w:val="en-US"/>
        </w:rPr>
        <w:t xml:space="preserve"> for </w:t>
      </w:r>
      <w:r w:rsidRPr="009D679F">
        <w:rPr>
          <w:rFonts w:ascii="Calibri" w:hAnsi="Calibri" w:cs="Calibri"/>
          <w:sz w:val="22"/>
          <w:szCs w:val="22"/>
          <w:lang w:val="en-US"/>
        </w:rPr>
        <w:t>failure</w:t>
      </w:r>
      <w:r>
        <w:rPr>
          <w:rFonts w:ascii="Calibri" w:hAnsi="Calibri" w:cs="Calibri"/>
          <w:sz w:val="22"/>
          <w:szCs w:val="22"/>
          <w:lang w:val="en-US"/>
        </w:rPr>
        <w:t xml:space="preserve"> a</w:t>
      </w:r>
      <w:r w:rsidRPr="009D679F">
        <w:rPr>
          <w:rFonts w:ascii="Calibri" w:hAnsi="Calibri" w:cs="Calibri"/>
          <w:sz w:val="22"/>
          <w:szCs w:val="22"/>
          <w:lang w:val="en-US"/>
        </w:rPr>
        <w:t xml:space="preserve"> competing risk</w:t>
      </w:r>
      <w:r>
        <w:rPr>
          <w:rFonts w:ascii="Calibri" w:hAnsi="Calibri" w:cs="Calibri"/>
          <w:sz w:val="22"/>
          <w:szCs w:val="22"/>
          <w:lang w:val="en-US"/>
        </w:rPr>
        <w:t>; (ii) the rate of infection was 8% in the standard shunt arm</w:t>
      </w:r>
      <w:r w:rsidRPr="00A341A4">
        <w:rPr>
          <w:rFonts w:ascii="Calibri" w:hAnsi="Calibri" w:cs="Calibri"/>
          <w:noProof/>
          <w:sz w:val="22"/>
          <w:szCs w:val="22"/>
          <w:vertAlign w:val="superscript"/>
          <w:lang w:val="en-US"/>
        </w:rPr>
        <w:t>5</w:t>
      </w:r>
      <w:r>
        <w:rPr>
          <w:rFonts w:ascii="Calibri" w:hAnsi="Calibri" w:cs="Calibri"/>
          <w:sz w:val="22"/>
          <w:szCs w:val="22"/>
          <w:lang w:val="en-US"/>
        </w:rPr>
        <w:t xml:space="preserve"> and 4% in the impregnated shunt (antibiotic or silver) arms;</w:t>
      </w:r>
      <w:r w:rsidRPr="00472A61">
        <w:rPr>
          <w:rFonts w:ascii="Calibri" w:hAnsi="Calibri" w:cs="Calibri"/>
          <w:sz w:val="22"/>
          <w:szCs w:val="22"/>
          <w:lang w:val="en-US"/>
        </w:rPr>
        <w:t xml:space="preserve"> </w:t>
      </w:r>
      <w:r>
        <w:rPr>
          <w:rFonts w:ascii="Calibri" w:hAnsi="Calibri" w:cs="Calibri"/>
          <w:sz w:val="22"/>
          <w:szCs w:val="22"/>
          <w:lang w:val="en-US"/>
        </w:rPr>
        <w:t xml:space="preserve">(iii) the competing risk event rate was </w:t>
      </w:r>
      <w:r w:rsidRPr="009D679F">
        <w:rPr>
          <w:rFonts w:ascii="Calibri" w:hAnsi="Calibri" w:cs="Calibri"/>
          <w:sz w:val="22"/>
          <w:szCs w:val="22"/>
          <w:lang w:val="en-US"/>
        </w:rPr>
        <w:t>30%</w:t>
      </w:r>
      <w:r>
        <w:rPr>
          <w:rFonts w:ascii="Calibri" w:hAnsi="Calibri" w:cs="Calibri"/>
          <w:sz w:val="22"/>
          <w:szCs w:val="22"/>
          <w:lang w:val="en-US"/>
        </w:rPr>
        <w:t>; and (iv) 5% loss to follow-up</w:t>
      </w:r>
      <w:r w:rsidRPr="009D679F">
        <w:rPr>
          <w:rFonts w:ascii="Calibri" w:hAnsi="Calibri" w:cs="Calibri"/>
          <w:sz w:val="22"/>
          <w:szCs w:val="22"/>
          <w:lang w:val="en-US"/>
        </w:rPr>
        <w:t>.</w:t>
      </w:r>
      <w:r>
        <w:rPr>
          <w:rFonts w:ascii="Calibri" w:hAnsi="Calibri" w:cs="Calibri"/>
          <w:sz w:val="22"/>
          <w:szCs w:val="22"/>
          <w:lang w:val="en-US"/>
        </w:rPr>
        <w:t xml:space="preserve"> Based on this a total sample size of 1200 with 119 events demonstrated good statistical power (88%) with leverage for a lower event rate. An interim analysis was planned after </w:t>
      </w:r>
      <w:r w:rsidRPr="009D679F">
        <w:rPr>
          <w:rFonts w:ascii="Calibri" w:hAnsi="Calibri" w:cs="Calibri"/>
          <w:sz w:val="22"/>
          <w:szCs w:val="22"/>
          <w:lang w:val="en-US"/>
        </w:rPr>
        <w:t>50% of the total events ha</w:t>
      </w:r>
      <w:r>
        <w:rPr>
          <w:rFonts w:ascii="Calibri" w:hAnsi="Calibri" w:cs="Calibri"/>
          <w:sz w:val="22"/>
          <w:szCs w:val="22"/>
          <w:lang w:val="en-US"/>
        </w:rPr>
        <w:t>d</w:t>
      </w:r>
      <w:r w:rsidRPr="009D679F">
        <w:rPr>
          <w:rFonts w:ascii="Calibri" w:hAnsi="Calibri" w:cs="Calibri"/>
          <w:sz w:val="22"/>
          <w:szCs w:val="22"/>
          <w:lang w:val="en-US"/>
        </w:rPr>
        <w:t xml:space="preserve"> been observed using Haybittle-Peto</w:t>
      </w:r>
      <w:r>
        <w:rPr>
          <w:rFonts w:ascii="Calibri" w:hAnsi="Calibri" w:cs="Calibri"/>
          <w:sz w:val="22"/>
          <w:szCs w:val="22"/>
          <w:lang w:val="en-US"/>
        </w:rPr>
        <w:t>.</w:t>
      </w:r>
      <w:r w:rsidRPr="00187D7E">
        <w:rPr>
          <w:rFonts w:ascii="Calibri" w:hAnsi="Calibri" w:cs="Calibri"/>
          <w:noProof/>
          <w:sz w:val="22"/>
          <w:szCs w:val="22"/>
          <w:vertAlign w:val="superscript"/>
          <w:lang w:val="en-US"/>
        </w:rPr>
        <w:t>14</w:t>
      </w:r>
      <w:r>
        <w:rPr>
          <w:rFonts w:ascii="Calibri" w:hAnsi="Calibri" w:cs="Calibri"/>
          <w:sz w:val="22"/>
          <w:szCs w:val="22"/>
          <w:lang w:val="en-US"/>
        </w:rPr>
        <w:t xml:space="preserve">  Monitoring of the infection rates demonstrated the majority of events occur within one month of shunt insertion (i.e. was not exponentially distributed), and that the rates of infection, competing risk, and loss to follow up were lower than expected. The independent data monitoring committee reviewed the sample size calculations and recommended increasing recruitment to a target of 1606 with 101 events to provide 80% power; the trial steering committee agreed. The early occurrence of events and assumption of exponential risk were managed in the Pintilie</w:t>
      </w:r>
      <w:r w:rsidRPr="00187D7E">
        <w:rPr>
          <w:rFonts w:ascii="Calibri" w:hAnsi="Calibri" w:cs="Calibri"/>
          <w:noProof/>
          <w:sz w:val="22"/>
          <w:szCs w:val="22"/>
          <w:vertAlign w:val="superscript"/>
          <w:lang w:val="en-US"/>
        </w:rPr>
        <w:t>13</w:t>
      </w:r>
      <w:r>
        <w:rPr>
          <w:rFonts w:ascii="Calibri" w:hAnsi="Calibri" w:cs="Calibri"/>
          <w:sz w:val="22"/>
          <w:szCs w:val="22"/>
          <w:lang w:val="en-US"/>
        </w:rPr>
        <w:t xml:space="preserve"> assumptions by reducing the accrual and follow up rates to one month. The analysis was conducted according to a pre-specified statistical analysis plan, which was updated following review of data by a statistician blind to comparative interim reports. Outcomes were analyzed according to the intention-to-</w:t>
      </w:r>
      <w:r w:rsidRPr="009D679F">
        <w:rPr>
          <w:rFonts w:ascii="Calibri" w:hAnsi="Calibri" w:cs="Calibri"/>
          <w:sz w:val="22"/>
          <w:szCs w:val="22"/>
          <w:lang w:val="en-US"/>
        </w:rPr>
        <w:t xml:space="preserve">treat </w:t>
      </w:r>
      <w:r>
        <w:rPr>
          <w:rFonts w:ascii="Calibri" w:hAnsi="Calibri" w:cs="Calibri"/>
          <w:sz w:val="22"/>
          <w:szCs w:val="22"/>
          <w:lang w:val="en-US"/>
        </w:rPr>
        <w:t xml:space="preserve">principle and safety analyses according to the type </w:t>
      </w:r>
      <w:r w:rsidRPr="009066F0">
        <w:rPr>
          <w:rFonts w:ascii="Calibri" w:hAnsi="Calibri" w:cs="Calibri"/>
          <w:sz w:val="22"/>
          <w:szCs w:val="22"/>
          <w:lang w:val="en-US"/>
        </w:rPr>
        <w:t>of</w:t>
      </w:r>
      <w:r>
        <w:rPr>
          <w:rFonts w:ascii="Calibri" w:hAnsi="Calibri" w:cs="Calibri"/>
          <w:sz w:val="22"/>
          <w:szCs w:val="22"/>
          <w:lang w:val="en-US"/>
        </w:rPr>
        <w:t xml:space="preserve"> shunt in situ. To adjust for the three treatment arms, a </w:t>
      </w:r>
      <w:r>
        <w:rPr>
          <w:rFonts w:ascii="Calibri" w:hAnsi="Calibri" w:cs="Calibri"/>
          <w:i/>
          <w:sz w:val="22"/>
          <w:szCs w:val="22"/>
          <w:lang w:val="en-US"/>
        </w:rPr>
        <w:t>p-</w:t>
      </w:r>
      <w:r>
        <w:rPr>
          <w:rFonts w:ascii="Calibri" w:hAnsi="Calibri" w:cs="Calibri"/>
          <w:sz w:val="22"/>
          <w:szCs w:val="22"/>
          <w:lang w:val="en-US"/>
        </w:rPr>
        <w:t xml:space="preserve">value of 0·025 was considered statistically significant and 97.5% confident intervals (CI) were used throughout. Outcome, with shunt failure due to </w:t>
      </w:r>
      <w:r w:rsidRPr="00F709EE">
        <w:rPr>
          <w:rFonts w:ascii="Calibri" w:hAnsi="Calibri" w:cs="Calibri"/>
          <w:sz w:val="22"/>
          <w:szCs w:val="22"/>
        </w:rPr>
        <w:t>infection</w:t>
      </w:r>
      <w:r>
        <w:rPr>
          <w:rFonts w:ascii="Calibri" w:hAnsi="Calibri" w:cs="Calibri"/>
          <w:sz w:val="22"/>
          <w:szCs w:val="22"/>
        </w:rPr>
        <w:t xml:space="preserve"> as the event of interest, used Fine and Gray</w:t>
      </w:r>
      <w:r w:rsidRPr="00187D7E">
        <w:rPr>
          <w:rFonts w:ascii="Calibri" w:hAnsi="Calibri" w:cs="Calibri"/>
          <w:noProof/>
          <w:sz w:val="22"/>
          <w:szCs w:val="22"/>
          <w:vertAlign w:val="superscript"/>
        </w:rPr>
        <w:t>15</w:t>
      </w:r>
      <w:r>
        <w:rPr>
          <w:rFonts w:ascii="Calibri" w:hAnsi="Calibri" w:cs="Calibri"/>
          <w:sz w:val="22"/>
          <w:szCs w:val="22"/>
        </w:rPr>
        <w:t xml:space="preserve"> survival regression models with cause specific hazard ratios (csHR) and subdistribution hazard ratio (sHR) presented</w:t>
      </w:r>
      <w:r w:rsidRPr="00F709EE">
        <w:rPr>
          <w:rFonts w:ascii="Calibri" w:hAnsi="Calibri" w:cs="Calibri"/>
          <w:sz w:val="22"/>
          <w:szCs w:val="22"/>
        </w:rPr>
        <w:t>.</w:t>
      </w:r>
      <w:r w:rsidRPr="00187D7E">
        <w:rPr>
          <w:rFonts w:ascii="Calibri" w:hAnsi="Calibri" w:cs="Calibri"/>
          <w:noProof/>
          <w:sz w:val="22"/>
          <w:szCs w:val="22"/>
          <w:vertAlign w:val="superscript"/>
        </w:rPr>
        <w:t>16,17</w:t>
      </w:r>
      <w:r>
        <w:rPr>
          <w:rFonts w:ascii="Calibri" w:hAnsi="Calibri" w:cs="Calibri"/>
          <w:sz w:val="22"/>
          <w:szCs w:val="22"/>
        </w:rPr>
        <w:t xml:space="preserve">  Cox regression models were used to analyse time to </w:t>
      </w:r>
      <w:r>
        <w:rPr>
          <w:rFonts w:ascii="Calibri" w:hAnsi="Calibri" w:cs="Calibri"/>
          <w:sz w:val="22"/>
          <w:szCs w:val="22"/>
          <w:lang w:val="en-US"/>
        </w:rPr>
        <w:t>shunt</w:t>
      </w:r>
      <w:r>
        <w:rPr>
          <w:rFonts w:ascii="Calibri" w:hAnsi="Calibri" w:cs="Calibri"/>
          <w:sz w:val="22"/>
          <w:szCs w:val="22"/>
        </w:rPr>
        <w:t xml:space="preserve"> failure of any cause. </w:t>
      </w:r>
      <w:r w:rsidRPr="00D73E5D">
        <w:rPr>
          <w:rFonts w:asciiTheme="minorHAnsi" w:hAnsiTheme="minorHAnsi" w:cstheme="minorHAnsi"/>
          <w:sz w:val="22"/>
          <w:szCs w:val="22"/>
        </w:rPr>
        <w:t>The assumption of proportionality for time to event outcomes was checked using Schoenfeld residuals</w:t>
      </w:r>
      <w:r>
        <w:rPr>
          <w:rFonts w:asciiTheme="minorHAnsi" w:hAnsiTheme="minorHAnsi" w:cstheme="minorHAnsi"/>
          <w:sz w:val="22"/>
          <w:szCs w:val="22"/>
        </w:rPr>
        <w:t>.</w:t>
      </w:r>
      <w:r>
        <w:rPr>
          <w:rFonts w:ascii="Calibri" w:hAnsi="Calibri" w:cs="Calibri"/>
          <w:sz w:val="22"/>
          <w:szCs w:val="22"/>
        </w:rPr>
        <w:t xml:space="preserve"> Reason for shunt failure is presented descriptively and with a chi-squared test. Types of organisms cultured from CSF are presented descriptively. Quality of life outcomes were analysed using mixed models for repeated measures. All survival models were adjusted for the age category of the recruiting site (paediatric or adult), with adult sites further categorised by age over 65 years. Age was used in preference to and recruiting centre due to prognostic value of age group and the dependency between age group and centre prevented inclusion of both covariates.  Primary outcome and safety analyses were validated by independent programming from the point of raw data extraction. All analyses were done with SAS software version 9.4 with SAS/STAT package 14.3. The trial was registered with ISCTRN: 49474281.</w:t>
      </w:r>
    </w:p>
    <w:p w:rsidR="00803D84" w:rsidRDefault="00803D84" w:rsidP="00AC7954">
      <w:pPr>
        <w:widowControl w:val="0"/>
        <w:tabs>
          <w:tab w:val="num" w:pos="720"/>
        </w:tabs>
        <w:autoSpaceDE w:val="0"/>
        <w:autoSpaceDN w:val="0"/>
        <w:adjustRightInd w:val="0"/>
        <w:spacing w:line="480" w:lineRule="auto"/>
        <w:jc w:val="both"/>
        <w:rPr>
          <w:rFonts w:ascii="Calibri" w:hAnsi="Calibri" w:cs="Calibri"/>
          <w:sz w:val="22"/>
          <w:szCs w:val="22"/>
        </w:rPr>
      </w:pPr>
    </w:p>
    <w:p w:rsidR="00803D84" w:rsidRPr="009D679F" w:rsidRDefault="00803D84" w:rsidP="00BD0E2F">
      <w:pPr>
        <w:widowControl w:val="0"/>
        <w:autoSpaceDE w:val="0"/>
        <w:autoSpaceDN w:val="0"/>
        <w:adjustRightInd w:val="0"/>
        <w:spacing w:line="480" w:lineRule="auto"/>
        <w:jc w:val="both"/>
        <w:rPr>
          <w:rFonts w:ascii="Calibri" w:hAnsi="Calibri" w:cs="Calibri"/>
          <w:sz w:val="22"/>
          <w:szCs w:val="22"/>
          <w:u w:val="single"/>
          <w:lang w:val="en-US"/>
        </w:rPr>
      </w:pPr>
      <w:r>
        <w:rPr>
          <w:rFonts w:ascii="Calibri" w:hAnsi="Calibri" w:cs="Calibri"/>
          <w:sz w:val="22"/>
          <w:szCs w:val="22"/>
          <w:u w:val="single"/>
          <w:lang w:val="en-US"/>
        </w:rPr>
        <w:t>Economic analysis</w:t>
      </w:r>
    </w:p>
    <w:p w:rsidR="00803D84" w:rsidRDefault="00803D84" w:rsidP="00F77082">
      <w:pPr>
        <w:widowControl w:val="0"/>
        <w:tabs>
          <w:tab w:val="num" w:pos="720"/>
        </w:tabs>
        <w:autoSpaceDE w:val="0"/>
        <w:autoSpaceDN w:val="0"/>
        <w:adjustRightInd w:val="0"/>
        <w:spacing w:line="480" w:lineRule="auto"/>
        <w:jc w:val="both"/>
        <w:rPr>
          <w:rFonts w:ascii="Calibri" w:hAnsi="Calibri" w:cs="Calibri"/>
          <w:sz w:val="22"/>
          <w:szCs w:val="22"/>
        </w:rPr>
      </w:pPr>
      <w:r w:rsidRPr="00BD0E2F">
        <w:rPr>
          <w:rFonts w:ascii="Calibri" w:hAnsi="Calibri" w:cs="Calibri"/>
          <w:sz w:val="22"/>
          <w:szCs w:val="22"/>
        </w:rPr>
        <w:t xml:space="preserve">The economic analysis </w:t>
      </w:r>
      <w:r>
        <w:rPr>
          <w:rFonts w:ascii="Calibri" w:hAnsi="Calibri" w:cs="Calibri"/>
          <w:sz w:val="22"/>
          <w:szCs w:val="22"/>
        </w:rPr>
        <w:t xml:space="preserve">(section 5 of the </w:t>
      </w:r>
      <w:r>
        <w:rPr>
          <w:rFonts w:ascii="Calibri" w:hAnsi="Calibri" w:cs="Calibri"/>
          <w:sz w:val="22"/>
          <w:szCs w:val="22"/>
          <w:lang w:val="en-US"/>
        </w:rPr>
        <w:t>Supplementary Appendix)</w:t>
      </w:r>
      <w:r w:rsidRPr="00BD0E2F">
        <w:rPr>
          <w:rFonts w:ascii="Calibri" w:hAnsi="Calibri" w:cs="Calibri"/>
          <w:sz w:val="22"/>
          <w:szCs w:val="22"/>
        </w:rPr>
        <w:t xml:space="preserve"> adopted the perspective of the N</w:t>
      </w:r>
      <w:r>
        <w:rPr>
          <w:rFonts w:ascii="Calibri" w:hAnsi="Calibri" w:cs="Calibri"/>
          <w:sz w:val="22"/>
          <w:szCs w:val="22"/>
        </w:rPr>
        <w:t xml:space="preserve">ational </w:t>
      </w:r>
      <w:r w:rsidRPr="00BD0E2F">
        <w:rPr>
          <w:rFonts w:ascii="Calibri" w:hAnsi="Calibri" w:cs="Calibri"/>
          <w:sz w:val="22"/>
          <w:szCs w:val="22"/>
        </w:rPr>
        <w:t>H</w:t>
      </w:r>
      <w:r>
        <w:rPr>
          <w:rFonts w:ascii="Calibri" w:hAnsi="Calibri" w:cs="Calibri"/>
          <w:sz w:val="22"/>
          <w:szCs w:val="22"/>
        </w:rPr>
        <w:t xml:space="preserve">ealth </w:t>
      </w:r>
      <w:r w:rsidRPr="00BD0E2F">
        <w:rPr>
          <w:rFonts w:ascii="Calibri" w:hAnsi="Calibri" w:cs="Calibri"/>
          <w:sz w:val="22"/>
          <w:szCs w:val="22"/>
        </w:rPr>
        <w:t>S</w:t>
      </w:r>
      <w:r>
        <w:rPr>
          <w:rFonts w:ascii="Calibri" w:hAnsi="Calibri" w:cs="Calibri"/>
          <w:sz w:val="22"/>
          <w:szCs w:val="22"/>
        </w:rPr>
        <w:t>ervice</w:t>
      </w:r>
      <w:r w:rsidRPr="00BD0E2F">
        <w:rPr>
          <w:rFonts w:ascii="Calibri" w:hAnsi="Calibri" w:cs="Calibri"/>
          <w:sz w:val="22"/>
          <w:szCs w:val="22"/>
        </w:rPr>
        <w:t xml:space="preserve"> in the UK</w:t>
      </w:r>
      <w:r>
        <w:rPr>
          <w:rFonts w:ascii="Calibri" w:hAnsi="Calibri" w:cs="Calibri"/>
          <w:sz w:val="22"/>
          <w:szCs w:val="22"/>
        </w:rPr>
        <w:t xml:space="preserve"> to estimate</w:t>
      </w:r>
      <w:r w:rsidRPr="00BD0E2F">
        <w:rPr>
          <w:rFonts w:ascii="Calibri" w:hAnsi="Calibri" w:cs="Calibri"/>
          <w:sz w:val="22"/>
          <w:szCs w:val="22"/>
        </w:rPr>
        <w:t xml:space="preserve"> the incremental cost per first shunt failure </w:t>
      </w:r>
      <w:r>
        <w:rPr>
          <w:rFonts w:ascii="Calibri" w:hAnsi="Calibri" w:cs="Calibri"/>
          <w:sz w:val="22"/>
          <w:szCs w:val="22"/>
        </w:rPr>
        <w:t>(</w:t>
      </w:r>
      <w:r w:rsidRPr="00BD0E2F">
        <w:rPr>
          <w:rFonts w:ascii="Calibri" w:hAnsi="Calibri" w:cs="Calibri"/>
          <w:sz w:val="22"/>
          <w:szCs w:val="22"/>
        </w:rPr>
        <w:t>due to any cause</w:t>
      </w:r>
      <w:r>
        <w:rPr>
          <w:rFonts w:ascii="Calibri" w:hAnsi="Calibri" w:cs="Calibri"/>
          <w:sz w:val="22"/>
          <w:szCs w:val="22"/>
        </w:rPr>
        <w:t xml:space="preserve">) </w:t>
      </w:r>
      <w:r w:rsidRPr="00BD0E2F">
        <w:rPr>
          <w:rFonts w:ascii="Calibri" w:hAnsi="Calibri" w:cs="Calibri"/>
          <w:sz w:val="22"/>
          <w:szCs w:val="22"/>
        </w:rPr>
        <w:t xml:space="preserve">averted for </w:t>
      </w:r>
      <w:r>
        <w:rPr>
          <w:rFonts w:ascii="Calibri" w:hAnsi="Calibri" w:cs="Calibri"/>
          <w:sz w:val="22"/>
          <w:szCs w:val="22"/>
        </w:rPr>
        <w:t>antibiotic, silver</w:t>
      </w:r>
      <w:r w:rsidRPr="00BD0E2F">
        <w:rPr>
          <w:rFonts w:ascii="Calibri" w:hAnsi="Calibri" w:cs="Calibri"/>
          <w:sz w:val="22"/>
          <w:szCs w:val="22"/>
        </w:rPr>
        <w:t xml:space="preserve"> and standard </w:t>
      </w:r>
      <w:r>
        <w:rPr>
          <w:rFonts w:ascii="Calibri" w:hAnsi="Calibri" w:cs="Calibri"/>
          <w:sz w:val="22"/>
          <w:szCs w:val="22"/>
        </w:rPr>
        <w:t>shunts</w:t>
      </w:r>
      <w:r w:rsidRPr="00BD0E2F">
        <w:rPr>
          <w:rFonts w:ascii="Calibri" w:hAnsi="Calibri" w:cs="Calibri"/>
          <w:sz w:val="22"/>
          <w:szCs w:val="22"/>
        </w:rPr>
        <w:t>.</w:t>
      </w:r>
      <w:r>
        <w:rPr>
          <w:rFonts w:ascii="Calibri" w:hAnsi="Calibri" w:cs="Calibri"/>
          <w:sz w:val="22"/>
          <w:szCs w:val="22"/>
        </w:rPr>
        <w:t xml:space="preserve"> </w:t>
      </w:r>
      <w:r w:rsidRPr="00BD0E2F">
        <w:rPr>
          <w:rFonts w:ascii="Calibri" w:hAnsi="Calibri" w:cs="Calibri"/>
          <w:sz w:val="22"/>
          <w:szCs w:val="22"/>
        </w:rPr>
        <w:t xml:space="preserve">Within-trial healthcare resource use </w:t>
      </w:r>
      <w:r>
        <w:rPr>
          <w:rFonts w:ascii="Calibri" w:hAnsi="Calibri" w:cs="Calibri"/>
          <w:sz w:val="22"/>
          <w:szCs w:val="22"/>
        </w:rPr>
        <w:t xml:space="preserve">was based on responses to questionnaires, routine hospital data via </w:t>
      </w:r>
      <w:r w:rsidRPr="00F77082">
        <w:rPr>
          <w:rFonts w:ascii="Calibri" w:hAnsi="Calibri" w:cs="Calibri"/>
          <w:sz w:val="22"/>
          <w:szCs w:val="22"/>
        </w:rPr>
        <w:t>Patient Level Information and Costing System</w:t>
      </w:r>
      <w:r>
        <w:rPr>
          <w:rFonts w:ascii="Calibri" w:hAnsi="Calibri" w:cs="Calibri"/>
          <w:sz w:val="22"/>
          <w:szCs w:val="22"/>
        </w:rPr>
        <w:t>s, and entries in case report forms</w:t>
      </w:r>
      <w:r w:rsidRPr="00BD0E2F">
        <w:rPr>
          <w:rFonts w:ascii="Calibri" w:hAnsi="Calibri" w:cs="Calibri"/>
          <w:sz w:val="22"/>
          <w:szCs w:val="22"/>
        </w:rPr>
        <w:t>.</w:t>
      </w:r>
      <w:r>
        <w:rPr>
          <w:rFonts w:ascii="Calibri" w:hAnsi="Calibri" w:cs="Calibri"/>
          <w:sz w:val="22"/>
          <w:szCs w:val="22"/>
        </w:rPr>
        <w:t xml:space="preserve"> U</w:t>
      </w:r>
      <w:r w:rsidRPr="00F77082">
        <w:rPr>
          <w:rFonts w:ascii="Calibri" w:hAnsi="Calibri" w:cs="Calibri"/>
          <w:sz w:val="22"/>
          <w:szCs w:val="22"/>
        </w:rPr>
        <w:t xml:space="preserve">nit costs for 2016-17 </w:t>
      </w:r>
      <w:r>
        <w:rPr>
          <w:rFonts w:ascii="Calibri" w:hAnsi="Calibri" w:cs="Calibri"/>
          <w:sz w:val="22"/>
          <w:szCs w:val="22"/>
        </w:rPr>
        <w:t>were taken from standard sources (Tables S12-S14).</w:t>
      </w:r>
      <w:r w:rsidRPr="00187D7E">
        <w:rPr>
          <w:rFonts w:ascii="Calibri" w:hAnsi="Calibri" w:cs="Calibri"/>
          <w:noProof/>
          <w:sz w:val="22"/>
          <w:szCs w:val="22"/>
          <w:vertAlign w:val="superscript"/>
        </w:rPr>
        <w:t>18-21</w:t>
      </w:r>
      <w:r>
        <w:rPr>
          <w:rFonts w:ascii="Calibri" w:hAnsi="Calibri" w:cs="Calibri"/>
          <w:sz w:val="22"/>
          <w:szCs w:val="22"/>
        </w:rPr>
        <w:t xml:space="preserve">  Silver </w:t>
      </w:r>
      <w:r w:rsidRPr="00F77082">
        <w:rPr>
          <w:rFonts w:ascii="Calibri" w:hAnsi="Calibri" w:cs="Calibri"/>
          <w:sz w:val="22"/>
          <w:szCs w:val="22"/>
        </w:rPr>
        <w:t>cost £361</w:t>
      </w:r>
      <w:r>
        <w:rPr>
          <w:rFonts w:ascii="Calibri" w:hAnsi="Calibri" w:cs="Calibri"/>
          <w:sz w:val="22"/>
          <w:szCs w:val="22"/>
        </w:rPr>
        <w:t>·</w:t>
      </w:r>
      <w:r w:rsidRPr="00F77082">
        <w:rPr>
          <w:rFonts w:ascii="Calibri" w:hAnsi="Calibri" w:cs="Calibri"/>
          <w:sz w:val="22"/>
          <w:szCs w:val="22"/>
        </w:rPr>
        <w:t>62</w:t>
      </w:r>
      <w:r>
        <w:rPr>
          <w:rFonts w:ascii="Calibri" w:hAnsi="Calibri" w:cs="Calibri"/>
          <w:sz w:val="22"/>
          <w:szCs w:val="22"/>
        </w:rPr>
        <w:t>, antibiotic cost £384, and standard cost £172</w:t>
      </w:r>
      <w:r w:rsidRPr="00F77082">
        <w:rPr>
          <w:rFonts w:ascii="Calibri" w:hAnsi="Calibri" w:cs="Calibri"/>
          <w:sz w:val="22"/>
          <w:szCs w:val="22"/>
        </w:rPr>
        <w:t>.</w:t>
      </w:r>
      <w:r>
        <w:rPr>
          <w:rFonts w:ascii="Calibri" w:hAnsi="Calibri" w:cs="Calibri"/>
          <w:sz w:val="22"/>
          <w:szCs w:val="22"/>
        </w:rPr>
        <w:t xml:space="preserve"> </w:t>
      </w:r>
      <w:r w:rsidRPr="00F77082">
        <w:rPr>
          <w:rFonts w:ascii="Calibri" w:hAnsi="Calibri" w:cs="Calibri"/>
          <w:sz w:val="22"/>
          <w:szCs w:val="22"/>
        </w:rPr>
        <w:t>In the base-case analysis, costs and outcomes incurred in the second year were discounted at a rate of 3</w:t>
      </w:r>
      <w:r>
        <w:rPr>
          <w:rFonts w:ascii="Calibri" w:hAnsi="Calibri" w:cs="Calibri"/>
          <w:sz w:val="22"/>
          <w:szCs w:val="22"/>
        </w:rPr>
        <w:t>·</w:t>
      </w:r>
      <w:r w:rsidRPr="00F77082">
        <w:rPr>
          <w:rFonts w:ascii="Calibri" w:hAnsi="Calibri" w:cs="Calibri"/>
          <w:sz w:val="22"/>
          <w:szCs w:val="22"/>
        </w:rPr>
        <w:t>5%</w:t>
      </w:r>
      <w:r>
        <w:rPr>
          <w:rFonts w:ascii="Calibri" w:hAnsi="Calibri" w:cs="Calibri"/>
          <w:sz w:val="22"/>
          <w:szCs w:val="22"/>
        </w:rPr>
        <w:t>, and any m</w:t>
      </w:r>
      <w:r w:rsidRPr="00F77082">
        <w:rPr>
          <w:rFonts w:ascii="Calibri" w:hAnsi="Calibri" w:cs="Calibri"/>
          <w:sz w:val="22"/>
          <w:szCs w:val="22"/>
        </w:rPr>
        <w:t>issing data were multiply imputed using the method of chained equations</w:t>
      </w:r>
      <w:r>
        <w:rPr>
          <w:rFonts w:ascii="Calibri" w:hAnsi="Calibri" w:cs="Calibri"/>
          <w:sz w:val="22"/>
          <w:szCs w:val="22"/>
        </w:rPr>
        <w:t xml:space="preserve">. </w:t>
      </w:r>
      <w:r w:rsidRPr="00F77082">
        <w:rPr>
          <w:rFonts w:ascii="Calibri" w:hAnsi="Calibri" w:cs="Calibri"/>
          <w:sz w:val="22"/>
          <w:szCs w:val="22"/>
        </w:rPr>
        <w:t xml:space="preserve">Total costs were analysed using </w:t>
      </w:r>
      <w:r>
        <w:rPr>
          <w:rFonts w:ascii="Calibri" w:hAnsi="Calibri" w:cs="Calibri"/>
          <w:sz w:val="22"/>
          <w:szCs w:val="22"/>
        </w:rPr>
        <w:t xml:space="preserve">linear </w:t>
      </w:r>
      <w:r w:rsidRPr="00F77082">
        <w:rPr>
          <w:rFonts w:ascii="Calibri" w:hAnsi="Calibri" w:cs="Calibri"/>
          <w:sz w:val="22"/>
          <w:szCs w:val="22"/>
        </w:rPr>
        <w:t xml:space="preserve">regression </w:t>
      </w:r>
      <w:r>
        <w:rPr>
          <w:rFonts w:ascii="Calibri" w:hAnsi="Calibri" w:cs="Calibri"/>
          <w:sz w:val="22"/>
          <w:szCs w:val="22"/>
        </w:rPr>
        <w:t>with</w:t>
      </w:r>
      <w:r w:rsidRPr="00F77082">
        <w:rPr>
          <w:rFonts w:ascii="Calibri" w:hAnsi="Calibri" w:cs="Calibri"/>
          <w:sz w:val="22"/>
          <w:szCs w:val="22"/>
        </w:rPr>
        <w:t xml:space="preserve"> the stratifying variables, tim</w:t>
      </w:r>
      <w:r>
        <w:rPr>
          <w:rFonts w:ascii="Calibri" w:hAnsi="Calibri" w:cs="Calibri"/>
          <w:sz w:val="22"/>
          <w:szCs w:val="22"/>
        </w:rPr>
        <w:t>e in study</w:t>
      </w:r>
      <w:r w:rsidRPr="00F77082">
        <w:rPr>
          <w:rFonts w:ascii="Calibri" w:hAnsi="Calibri" w:cs="Calibri"/>
          <w:sz w:val="22"/>
          <w:szCs w:val="22"/>
        </w:rPr>
        <w:t xml:space="preserve">, </w:t>
      </w:r>
      <w:r>
        <w:rPr>
          <w:rFonts w:ascii="Calibri" w:hAnsi="Calibri" w:cs="Calibri"/>
          <w:sz w:val="22"/>
          <w:szCs w:val="22"/>
        </w:rPr>
        <w:t xml:space="preserve">intervention group, site </w:t>
      </w:r>
      <w:r w:rsidRPr="00F77082">
        <w:rPr>
          <w:rFonts w:ascii="Calibri" w:hAnsi="Calibri" w:cs="Calibri"/>
          <w:sz w:val="22"/>
          <w:szCs w:val="22"/>
        </w:rPr>
        <w:t>and treatment failure, as predictors</w:t>
      </w:r>
      <w:r>
        <w:rPr>
          <w:rFonts w:ascii="Calibri" w:hAnsi="Calibri" w:cs="Calibri"/>
          <w:sz w:val="22"/>
          <w:szCs w:val="22"/>
        </w:rPr>
        <w:t>. M</w:t>
      </w:r>
      <w:r w:rsidRPr="00F77082">
        <w:rPr>
          <w:rFonts w:ascii="Calibri" w:hAnsi="Calibri" w:cs="Calibri"/>
          <w:sz w:val="22"/>
          <w:szCs w:val="22"/>
        </w:rPr>
        <w:t xml:space="preserve">ean outcome by intervention group was </w:t>
      </w:r>
      <w:r>
        <w:rPr>
          <w:rFonts w:ascii="Calibri" w:hAnsi="Calibri" w:cs="Calibri"/>
          <w:sz w:val="22"/>
          <w:szCs w:val="22"/>
        </w:rPr>
        <w:t xml:space="preserve">analysed in the same way, but with total cost substituting </w:t>
      </w:r>
      <w:r w:rsidRPr="00F77082">
        <w:rPr>
          <w:rFonts w:ascii="Calibri" w:hAnsi="Calibri" w:cs="Calibri"/>
          <w:sz w:val="22"/>
          <w:szCs w:val="22"/>
        </w:rPr>
        <w:t>treatment failure</w:t>
      </w:r>
      <w:r>
        <w:rPr>
          <w:rFonts w:ascii="Calibri" w:hAnsi="Calibri" w:cs="Calibri"/>
          <w:sz w:val="22"/>
          <w:szCs w:val="22"/>
        </w:rPr>
        <w:t xml:space="preserve">. Sensitivity analyses considered </w:t>
      </w:r>
      <w:r w:rsidRPr="00F77082">
        <w:rPr>
          <w:rFonts w:ascii="Calibri" w:hAnsi="Calibri" w:cs="Calibri"/>
          <w:sz w:val="22"/>
          <w:szCs w:val="22"/>
        </w:rPr>
        <w:t>(i) applying different discount rates (0%, 1</w:t>
      </w:r>
      <w:r>
        <w:rPr>
          <w:rFonts w:ascii="Calibri" w:hAnsi="Calibri" w:cs="Calibri"/>
          <w:sz w:val="22"/>
          <w:szCs w:val="22"/>
        </w:rPr>
        <w:t>·</w:t>
      </w:r>
      <w:r w:rsidRPr="00F77082">
        <w:rPr>
          <w:rFonts w:ascii="Calibri" w:hAnsi="Calibri" w:cs="Calibri"/>
          <w:sz w:val="22"/>
          <w:szCs w:val="22"/>
        </w:rPr>
        <w:t xml:space="preserve">5% and 6% per annum for both costs and outcomes); (ii) using observed data for costs (no multiple imputation); and (iii) using a </w:t>
      </w:r>
      <w:r>
        <w:rPr>
          <w:rFonts w:ascii="Calibri" w:hAnsi="Calibri" w:cs="Calibri"/>
          <w:sz w:val="22"/>
          <w:szCs w:val="22"/>
        </w:rPr>
        <w:t>generalised linear model</w:t>
      </w:r>
      <w:r w:rsidRPr="00F77082">
        <w:rPr>
          <w:rFonts w:ascii="Calibri" w:hAnsi="Calibri" w:cs="Calibri"/>
          <w:sz w:val="22"/>
          <w:szCs w:val="22"/>
        </w:rPr>
        <w:t xml:space="preserve"> for analysing costs</w:t>
      </w:r>
      <w:r>
        <w:rPr>
          <w:rFonts w:ascii="Calibri" w:hAnsi="Calibri" w:cs="Calibri"/>
          <w:sz w:val="22"/>
          <w:szCs w:val="22"/>
        </w:rPr>
        <w:t xml:space="preserve">. Alternative forms of cost-effectiveness, and a cost-utility analysis relating to </w:t>
      </w:r>
      <w:r w:rsidRPr="00F77082">
        <w:rPr>
          <w:rFonts w:ascii="Calibri" w:hAnsi="Calibri" w:cs="Calibri"/>
          <w:sz w:val="22"/>
          <w:szCs w:val="22"/>
        </w:rPr>
        <w:t>participants aged ≥5 years</w:t>
      </w:r>
      <w:r>
        <w:rPr>
          <w:rFonts w:ascii="Calibri" w:hAnsi="Calibri" w:cs="Calibri"/>
          <w:sz w:val="22"/>
          <w:szCs w:val="22"/>
        </w:rPr>
        <w:t xml:space="preserve"> were also conducted. </w:t>
      </w:r>
      <w:r w:rsidRPr="0043019F">
        <w:rPr>
          <w:rFonts w:ascii="Calibri" w:hAnsi="Calibri" w:cs="Calibri"/>
          <w:sz w:val="22"/>
          <w:szCs w:val="22"/>
        </w:rPr>
        <w:t>A</w:t>
      </w:r>
      <w:r>
        <w:rPr>
          <w:rFonts w:ascii="Calibri" w:hAnsi="Calibri" w:cs="Calibri"/>
          <w:sz w:val="22"/>
          <w:szCs w:val="22"/>
        </w:rPr>
        <w:t xml:space="preserve"> stratified</w:t>
      </w:r>
      <w:r w:rsidRPr="0043019F">
        <w:rPr>
          <w:rFonts w:ascii="Calibri" w:hAnsi="Calibri" w:cs="Calibri"/>
          <w:sz w:val="22"/>
          <w:szCs w:val="22"/>
        </w:rPr>
        <w:t xml:space="preserve"> analysis was undertaken </w:t>
      </w:r>
      <w:r>
        <w:rPr>
          <w:rFonts w:ascii="Calibri" w:hAnsi="Calibri" w:cs="Calibri"/>
          <w:sz w:val="22"/>
          <w:szCs w:val="22"/>
        </w:rPr>
        <w:t xml:space="preserve">to estimate cost-effectiveness by </w:t>
      </w:r>
      <w:r w:rsidRPr="0043019F">
        <w:rPr>
          <w:rFonts w:ascii="Calibri" w:hAnsi="Calibri" w:cs="Calibri"/>
          <w:sz w:val="22"/>
          <w:szCs w:val="22"/>
        </w:rPr>
        <w:t>age</w:t>
      </w:r>
      <w:r>
        <w:rPr>
          <w:rFonts w:ascii="Calibri" w:hAnsi="Calibri" w:cs="Calibri"/>
          <w:sz w:val="22"/>
          <w:szCs w:val="22"/>
        </w:rPr>
        <w:t xml:space="preserve"> group</w:t>
      </w:r>
      <w:r w:rsidRPr="0043019F">
        <w:rPr>
          <w:rFonts w:ascii="Calibri" w:hAnsi="Calibri" w:cs="Calibri"/>
          <w:sz w:val="22"/>
          <w:szCs w:val="22"/>
        </w:rPr>
        <w:t xml:space="preserve"> </w:t>
      </w:r>
      <w:r>
        <w:rPr>
          <w:rFonts w:ascii="Calibri" w:hAnsi="Calibri" w:cs="Calibri"/>
          <w:sz w:val="22"/>
          <w:szCs w:val="22"/>
        </w:rPr>
        <w:t>-</w:t>
      </w:r>
      <w:r w:rsidRPr="0043019F">
        <w:rPr>
          <w:rFonts w:ascii="Calibri" w:hAnsi="Calibri" w:cs="Calibri"/>
          <w:sz w:val="22"/>
          <w:szCs w:val="22"/>
        </w:rPr>
        <w:t xml:space="preserve"> paediatrics, adults up to 65, and ≥65 years of age.</w:t>
      </w:r>
    </w:p>
    <w:p w:rsidR="00803D84" w:rsidRDefault="00803D84" w:rsidP="00AC7954">
      <w:pPr>
        <w:widowControl w:val="0"/>
        <w:tabs>
          <w:tab w:val="num" w:pos="720"/>
        </w:tabs>
        <w:autoSpaceDE w:val="0"/>
        <w:autoSpaceDN w:val="0"/>
        <w:adjustRightInd w:val="0"/>
        <w:spacing w:line="480" w:lineRule="auto"/>
        <w:jc w:val="both"/>
        <w:rPr>
          <w:rFonts w:ascii="Calibri" w:hAnsi="Calibri" w:cs="Calibri"/>
          <w:sz w:val="22"/>
          <w:szCs w:val="22"/>
        </w:rPr>
      </w:pPr>
    </w:p>
    <w:p w:rsidR="00803D84" w:rsidRPr="009D679F" w:rsidRDefault="00803D84" w:rsidP="00870D50">
      <w:pPr>
        <w:widowControl w:val="0"/>
        <w:autoSpaceDE w:val="0"/>
        <w:autoSpaceDN w:val="0"/>
        <w:adjustRightInd w:val="0"/>
        <w:spacing w:line="480" w:lineRule="auto"/>
        <w:jc w:val="both"/>
        <w:rPr>
          <w:rFonts w:ascii="Calibri" w:hAnsi="Calibri" w:cs="Calibri"/>
          <w:sz w:val="22"/>
          <w:szCs w:val="22"/>
          <w:u w:val="single"/>
          <w:lang w:val="en-US"/>
        </w:rPr>
      </w:pPr>
      <w:r>
        <w:rPr>
          <w:rFonts w:ascii="Calibri" w:hAnsi="Calibri" w:cs="Calibri"/>
          <w:sz w:val="22"/>
          <w:szCs w:val="22"/>
          <w:u w:val="single"/>
          <w:lang w:val="en-US"/>
        </w:rPr>
        <w:t>Role of the funding source</w:t>
      </w:r>
    </w:p>
    <w:p w:rsidR="00803D84" w:rsidRDefault="00803D84" w:rsidP="00AC7954">
      <w:pPr>
        <w:widowControl w:val="0"/>
        <w:tabs>
          <w:tab w:val="num" w:pos="720"/>
        </w:tabs>
        <w:autoSpaceDE w:val="0"/>
        <w:autoSpaceDN w:val="0"/>
        <w:adjustRightInd w:val="0"/>
        <w:spacing w:line="480" w:lineRule="auto"/>
        <w:jc w:val="both"/>
        <w:rPr>
          <w:rFonts w:ascii="Calibri" w:hAnsi="Calibri" w:cs="Calibri"/>
          <w:sz w:val="22"/>
          <w:szCs w:val="22"/>
        </w:rPr>
      </w:pPr>
      <w:r>
        <w:rPr>
          <w:rFonts w:ascii="Calibri" w:hAnsi="Calibri" w:cs="Calibri"/>
          <w:sz w:val="22"/>
          <w:szCs w:val="22"/>
        </w:rPr>
        <w:t>The funder of the study had no role in study design, data collection, data analysis, data interpretation, or writing of the report. The corresponding authors had full access to all the data in the study and had final responsibility for the decision to submit for publication.</w:t>
      </w:r>
    </w:p>
    <w:p w:rsidR="00803D84" w:rsidRDefault="00803D84" w:rsidP="00AC7954">
      <w:pPr>
        <w:widowControl w:val="0"/>
        <w:tabs>
          <w:tab w:val="num" w:pos="720"/>
        </w:tabs>
        <w:autoSpaceDE w:val="0"/>
        <w:autoSpaceDN w:val="0"/>
        <w:adjustRightInd w:val="0"/>
        <w:spacing w:line="480" w:lineRule="auto"/>
        <w:jc w:val="both"/>
        <w:rPr>
          <w:rFonts w:ascii="Calibri" w:hAnsi="Calibri" w:cs="Calibri"/>
          <w:sz w:val="22"/>
          <w:szCs w:val="22"/>
        </w:rPr>
      </w:pPr>
    </w:p>
    <w:p w:rsidR="00803D84" w:rsidRPr="00AF3EDC" w:rsidRDefault="00803D84" w:rsidP="00A262FE">
      <w:pPr>
        <w:spacing w:line="480" w:lineRule="auto"/>
        <w:jc w:val="both"/>
        <w:rPr>
          <w:rFonts w:ascii="Calibri" w:hAnsi="Calibri" w:cs="Calibri"/>
          <w:b/>
          <w:sz w:val="22"/>
          <w:szCs w:val="22"/>
        </w:rPr>
      </w:pPr>
      <w:r w:rsidRPr="00AF3EDC">
        <w:rPr>
          <w:rFonts w:ascii="Calibri" w:hAnsi="Calibri" w:cs="Calibri"/>
          <w:b/>
          <w:sz w:val="22"/>
          <w:szCs w:val="22"/>
        </w:rPr>
        <w:t>Results</w:t>
      </w:r>
    </w:p>
    <w:p w:rsidR="00803D84" w:rsidRPr="006D7155" w:rsidRDefault="00803D84" w:rsidP="00B85215">
      <w:pPr>
        <w:spacing w:line="480" w:lineRule="auto"/>
        <w:jc w:val="both"/>
        <w:rPr>
          <w:rFonts w:asciiTheme="minorHAnsi" w:hAnsiTheme="minorHAnsi" w:cstheme="minorHAnsi"/>
          <w:sz w:val="22"/>
          <w:szCs w:val="22"/>
        </w:rPr>
      </w:pPr>
      <w:r w:rsidRPr="00E007BF">
        <w:rPr>
          <w:rFonts w:ascii="Calibri" w:hAnsi="Calibri" w:cs="Calibri"/>
          <w:sz w:val="22"/>
          <w:szCs w:val="22"/>
        </w:rPr>
        <w:t>Between June 26,</w:t>
      </w:r>
      <w:r>
        <w:rPr>
          <w:rFonts w:ascii="Calibri" w:hAnsi="Calibri" w:cs="Calibri"/>
          <w:sz w:val="22"/>
          <w:szCs w:val="22"/>
        </w:rPr>
        <w:t xml:space="preserve"> 2013 and Oct</w:t>
      </w:r>
      <w:r w:rsidRPr="00E007BF">
        <w:rPr>
          <w:rFonts w:ascii="Calibri" w:hAnsi="Calibri" w:cs="Calibri"/>
          <w:sz w:val="22"/>
          <w:szCs w:val="22"/>
        </w:rPr>
        <w:t xml:space="preserve"> 9, 201</w:t>
      </w:r>
      <w:r w:rsidRPr="000E6CFD">
        <w:rPr>
          <w:rFonts w:asciiTheme="minorHAnsi" w:hAnsiTheme="minorHAnsi" w:cstheme="minorHAnsi"/>
          <w:sz w:val="22"/>
          <w:szCs w:val="22"/>
        </w:rPr>
        <w:t>7, there were 1606 randomisations. One patient was erroneously randomised twice and so data from the first randomization only were used (Figure 1). Fifty-three participants subsequently withdrew from follow-up (see Figure 1), of which 24 continued to provide routinely collected data. The characteristics of the three groups were similar at baseline (Table 1, Tables S</w:t>
      </w:r>
      <w:r>
        <w:rPr>
          <w:rFonts w:asciiTheme="minorHAnsi" w:hAnsiTheme="minorHAnsi" w:cstheme="minorHAnsi"/>
          <w:sz w:val="22"/>
          <w:szCs w:val="22"/>
        </w:rPr>
        <w:t>4</w:t>
      </w:r>
      <w:r w:rsidRPr="000E6CFD">
        <w:rPr>
          <w:rFonts w:asciiTheme="minorHAnsi" w:hAnsiTheme="minorHAnsi" w:cstheme="minorHAnsi"/>
          <w:sz w:val="22"/>
          <w:szCs w:val="22"/>
        </w:rPr>
        <w:t xml:space="preserve"> and S</w:t>
      </w:r>
      <w:r>
        <w:rPr>
          <w:rFonts w:asciiTheme="minorHAnsi" w:hAnsiTheme="minorHAnsi" w:cstheme="minorHAnsi"/>
          <w:sz w:val="22"/>
          <w:szCs w:val="22"/>
        </w:rPr>
        <w:t>5</w:t>
      </w:r>
      <w:r w:rsidRPr="000E6CFD">
        <w:rPr>
          <w:rFonts w:asciiTheme="minorHAnsi" w:hAnsiTheme="minorHAnsi" w:cstheme="minorHAnsi"/>
          <w:sz w:val="22"/>
          <w:szCs w:val="22"/>
        </w:rPr>
        <w:t xml:space="preserve">). </w:t>
      </w:r>
    </w:p>
    <w:p w:rsidR="00803D84" w:rsidRPr="006D7155" w:rsidRDefault="00803D84" w:rsidP="00EC3EF3">
      <w:pPr>
        <w:spacing w:line="480" w:lineRule="auto"/>
        <w:jc w:val="both"/>
        <w:rPr>
          <w:rFonts w:asciiTheme="minorHAnsi" w:hAnsiTheme="minorHAnsi" w:cstheme="minorHAnsi"/>
          <w:sz w:val="22"/>
          <w:szCs w:val="22"/>
        </w:rPr>
      </w:pPr>
      <w:r w:rsidRPr="006D7155">
        <w:rPr>
          <w:rFonts w:asciiTheme="minorHAnsi" w:hAnsiTheme="minorHAnsi" w:cstheme="minorHAnsi"/>
          <w:sz w:val="22"/>
          <w:szCs w:val="22"/>
        </w:rPr>
        <w:t>1601 patients had a shunt inserted (99.8%) and 1585 received the allocated shunt</w:t>
      </w:r>
      <w:r>
        <w:rPr>
          <w:rFonts w:asciiTheme="minorHAnsi" w:hAnsiTheme="minorHAnsi" w:cstheme="minorHAnsi"/>
          <w:sz w:val="22"/>
          <w:szCs w:val="22"/>
        </w:rPr>
        <w:t xml:space="preserve"> (Figure 1) </w:t>
      </w:r>
      <w:r w:rsidRPr="006D7155">
        <w:rPr>
          <w:rFonts w:asciiTheme="minorHAnsi" w:hAnsiTheme="minorHAnsi" w:cstheme="minorHAnsi"/>
          <w:sz w:val="22"/>
          <w:szCs w:val="22"/>
        </w:rPr>
        <w:t>98·8%, N=1605)</w:t>
      </w:r>
      <w:r>
        <w:rPr>
          <w:rFonts w:asciiTheme="minorHAnsi" w:hAnsiTheme="minorHAnsi" w:cstheme="minorHAnsi"/>
          <w:sz w:val="22"/>
          <w:szCs w:val="22"/>
        </w:rPr>
        <w:t xml:space="preserve">. </w:t>
      </w:r>
      <w:r w:rsidRPr="006D7155">
        <w:rPr>
          <w:rFonts w:asciiTheme="minorHAnsi" w:hAnsiTheme="minorHAnsi" w:cstheme="minorHAnsi"/>
          <w:sz w:val="22"/>
          <w:szCs w:val="22"/>
        </w:rPr>
        <w:t>Patients not receiving a shunt (n=4), or with an infection at insertion (n=7)</w:t>
      </w:r>
      <w:r w:rsidRPr="006D7155" w:rsidDel="000E6CFD">
        <w:rPr>
          <w:rFonts w:asciiTheme="minorHAnsi" w:hAnsiTheme="minorHAnsi" w:cstheme="minorHAnsi"/>
          <w:sz w:val="22"/>
          <w:szCs w:val="22"/>
        </w:rPr>
        <w:t xml:space="preserve"> </w:t>
      </w:r>
      <w:r w:rsidRPr="006D7155">
        <w:rPr>
          <w:rFonts w:asciiTheme="minorHAnsi" w:hAnsiTheme="minorHAnsi" w:cstheme="minorHAnsi"/>
          <w:sz w:val="22"/>
          <w:szCs w:val="22"/>
        </w:rPr>
        <w:t>were not inclu</w:t>
      </w:r>
      <w:r w:rsidRPr="000E6CFD">
        <w:rPr>
          <w:rFonts w:ascii="Calibri" w:hAnsi="Calibri" w:cs="Calibri"/>
          <w:sz w:val="22"/>
          <w:szCs w:val="22"/>
        </w:rPr>
        <w:t>ded in the primary analysis set (Figure</w:t>
      </w:r>
      <w:r w:rsidRPr="006D7155">
        <w:rPr>
          <w:rFonts w:asciiTheme="minorHAnsi" w:hAnsiTheme="minorHAnsi" w:cstheme="minorHAnsi"/>
          <w:sz w:val="22"/>
          <w:szCs w:val="22"/>
        </w:rPr>
        <w:t xml:space="preserve"> 1). The median follow-up time for patients assessed for primary outcome w</w:t>
      </w:r>
      <w:r>
        <w:rPr>
          <w:rFonts w:asciiTheme="minorHAnsi" w:hAnsiTheme="minorHAnsi" w:cstheme="minorHAnsi"/>
          <w:sz w:val="22"/>
          <w:szCs w:val="22"/>
        </w:rPr>
        <w:t>as</w:t>
      </w:r>
      <w:r w:rsidRPr="006D7155">
        <w:rPr>
          <w:rFonts w:asciiTheme="minorHAnsi" w:hAnsiTheme="minorHAnsi" w:cstheme="minorHAnsi"/>
          <w:sz w:val="22"/>
          <w:szCs w:val="22"/>
        </w:rPr>
        <w:t xml:space="preserve"> 22 </w:t>
      </w:r>
      <w:r>
        <w:rPr>
          <w:rFonts w:asciiTheme="minorHAnsi" w:hAnsiTheme="minorHAnsi" w:cstheme="minorHAnsi"/>
          <w:sz w:val="22"/>
          <w:szCs w:val="22"/>
        </w:rPr>
        <w:t xml:space="preserve">months </w:t>
      </w:r>
      <w:r w:rsidRPr="006D7155">
        <w:rPr>
          <w:rFonts w:asciiTheme="minorHAnsi" w:hAnsiTheme="minorHAnsi" w:cstheme="minorHAnsi"/>
          <w:sz w:val="22"/>
          <w:szCs w:val="22"/>
        </w:rPr>
        <w:t xml:space="preserve">(LQ - UQ; 10-24; min to max 0 to 24, N=1594). </w:t>
      </w:r>
    </w:p>
    <w:p w:rsidR="00803D84" w:rsidRPr="003E52A1" w:rsidRDefault="00803D84" w:rsidP="00EC3EF3">
      <w:pPr>
        <w:spacing w:line="480" w:lineRule="auto"/>
        <w:jc w:val="both"/>
        <w:rPr>
          <w:rFonts w:ascii="Calibri" w:hAnsi="Calibri" w:cs="Calibri"/>
          <w:sz w:val="22"/>
          <w:szCs w:val="22"/>
        </w:rPr>
      </w:pPr>
      <w:r w:rsidRPr="006D7155">
        <w:rPr>
          <w:rFonts w:asciiTheme="minorHAnsi" w:hAnsiTheme="minorHAnsi" w:cstheme="minorHAnsi"/>
          <w:sz w:val="22"/>
          <w:szCs w:val="22"/>
        </w:rPr>
        <w:t>398 patients had revision operations (25·0%</w:t>
      </w:r>
      <w:r>
        <w:rPr>
          <w:rFonts w:ascii="Calibri" w:hAnsi="Calibri" w:cs="Calibri"/>
          <w:sz w:val="22"/>
          <w:szCs w:val="22"/>
        </w:rPr>
        <w:t xml:space="preserve">, N=1594), with 75 being centrally classified as </w:t>
      </w:r>
      <w:r>
        <w:rPr>
          <w:rFonts w:ascii="Calibri" w:hAnsi="Calibri" w:cs="Calibri"/>
          <w:sz w:val="22"/>
          <w:szCs w:val="22"/>
          <w:lang w:val="en-US"/>
        </w:rPr>
        <w:t>shunt</w:t>
      </w:r>
      <w:r>
        <w:rPr>
          <w:rFonts w:ascii="Calibri" w:hAnsi="Calibri" w:cs="Calibri"/>
          <w:sz w:val="22"/>
          <w:szCs w:val="22"/>
        </w:rPr>
        <w:t xml:space="preserve"> infections (4·7%, Table 2). When compared to the standard </w:t>
      </w:r>
      <w:r>
        <w:rPr>
          <w:rFonts w:ascii="Calibri" w:hAnsi="Calibri" w:cs="Calibri"/>
          <w:sz w:val="22"/>
          <w:szCs w:val="22"/>
          <w:lang w:val="en-US"/>
        </w:rPr>
        <w:t>shunt over time</w:t>
      </w:r>
      <w:r>
        <w:rPr>
          <w:rFonts w:ascii="Calibri" w:hAnsi="Calibri" w:cs="Calibri"/>
          <w:sz w:val="22"/>
          <w:szCs w:val="22"/>
        </w:rPr>
        <w:t>, the a</w:t>
      </w:r>
      <w:r w:rsidRPr="001127CB">
        <w:rPr>
          <w:rFonts w:ascii="Calibri" w:hAnsi="Calibri" w:cs="Calibri"/>
          <w:sz w:val="22"/>
          <w:szCs w:val="22"/>
        </w:rPr>
        <w:t>ntibiotic</w:t>
      </w:r>
      <w:r>
        <w:rPr>
          <w:rFonts w:ascii="Calibri" w:hAnsi="Calibri" w:cs="Calibri"/>
          <w:sz w:val="22"/>
          <w:szCs w:val="22"/>
        </w:rPr>
        <w:t xml:space="preserve"> shunt decreased the rate of shunt failure due to infection (csHR: 0·38, 97·5% CI: [0·18, 0·80], </w:t>
      </w:r>
      <w:r>
        <w:rPr>
          <w:rFonts w:ascii="Calibri" w:hAnsi="Calibri" w:cs="Calibri"/>
          <w:i/>
          <w:sz w:val="22"/>
          <w:szCs w:val="22"/>
        </w:rPr>
        <w:t>p</w:t>
      </w:r>
      <w:r>
        <w:rPr>
          <w:rFonts w:ascii="Calibri" w:hAnsi="Calibri" w:cs="Calibri"/>
          <w:sz w:val="22"/>
          <w:szCs w:val="22"/>
        </w:rPr>
        <w:t xml:space="preserve">&lt;·01; Table 3). </w:t>
      </w:r>
      <w:r w:rsidRPr="003E52A1">
        <w:rPr>
          <w:rFonts w:ascii="Calibri" w:hAnsi="Calibri" w:cs="Calibri"/>
          <w:sz w:val="22"/>
          <w:szCs w:val="22"/>
        </w:rPr>
        <w:t xml:space="preserve">Silver </w:t>
      </w:r>
      <w:r>
        <w:rPr>
          <w:rFonts w:ascii="Calibri" w:hAnsi="Calibri" w:cs="Calibri"/>
          <w:sz w:val="22"/>
          <w:szCs w:val="22"/>
        </w:rPr>
        <w:t xml:space="preserve">was comparable to standard shunts (csHR: 0·99, 97·5% CI: [0·56, 1·74], </w:t>
      </w:r>
      <w:r>
        <w:rPr>
          <w:rFonts w:ascii="Calibri" w:hAnsi="Calibri" w:cs="Calibri"/>
          <w:i/>
          <w:sz w:val="22"/>
          <w:szCs w:val="22"/>
        </w:rPr>
        <w:t>p</w:t>
      </w:r>
      <w:r>
        <w:rPr>
          <w:rFonts w:ascii="Calibri" w:hAnsi="Calibri" w:cs="Calibri"/>
          <w:sz w:val="22"/>
          <w:szCs w:val="22"/>
        </w:rPr>
        <w:t>=0.96;</w:t>
      </w:r>
      <w:r w:rsidRPr="00D2689E">
        <w:rPr>
          <w:rFonts w:ascii="Calibri" w:hAnsi="Calibri" w:cs="Calibri"/>
          <w:sz w:val="22"/>
          <w:szCs w:val="22"/>
        </w:rPr>
        <w:t xml:space="preserve"> </w:t>
      </w:r>
      <w:r>
        <w:rPr>
          <w:rFonts w:ascii="Calibri" w:hAnsi="Calibri" w:cs="Calibri"/>
          <w:sz w:val="22"/>
          <w:szCs w:val="22"/>
        </w:rPr>
        <w:t xml:space="preserve">Table 3). Figure 2 shows the </w:t>
      </w:r>
      <w:r w:rsidRPr="001127CB">
        <w:rPr>
          <w:rFonts w:ascii="Calibri" w:hAnsi="Calibri" w:cs="Calibri"/>
          <w:sz w:val="22"/>
          <w:szCs w:val="22"/>
        </w:rPr>
        <w:t xml:space="preserve">cumulative incidence of </w:t>
      </w:r>
      <w:r>
        <w:rPr>
          <w:rFonts w:ascii="Calibri" w:hAnsi="Calibri" w:cs="Calibri"/>
          <w:sz w:val="22"/>
          <w:szCs w:val="22"/>
        </w:rPr>
        <w:t xml:space="preserve">failure due to </w:t>
      </w:r>
      <w:r w:rsidRPr="001127CB">
        <w:rPr>
          <w:rFonts w:ascii="Calibri" w:hAnsi="Calibri" w:cs="Calibri"/>
          <w:sz w:val="22"/>
          <w:szCs w:val="22"/>
        </w:rPr>
        <w:t xml:space="preserve">infection by </w:t>
      </w:r>
      <w:r>
        <w:rPr>
          <w:rFonts w:ascii="Calibri" w:hAnsi="Calibri" w:cs="Calibri"/>
          <w:sz w:val="22"/>
          <w:szCs w:val="22"/>
          <w:lang w:val="en-US"/>
        </w:rPr>
        <w:t>shunt</w:t>
      </w:r>
      <w:r>
        <w:rPr>
          <w:rFonts w:ascii="Calibri" w:hAnsi="Calibri" w:cs="Calibri"/>
          <w:sz w:val="22"/>
          <w:szCs w:val="22"/>
        </w:rPr>
        <w:t xml:space="preserve"> group. The majority of centrally assessed infections were classified as definite – culture positive (53/75, 70·7%).</w:t>
      </w:r>
    </w:p>
    <w:p w:rsidR="00803D84" w:rsidRDefault="00803D84" w:rsidP="00A262FE">
      <w:pPr>
        <w:spacing w:line="480" w:lineRule="auto"/>
        <w:jc w:val="both"/>
        <w:rPr>
          <w:rFonts w:ascii="Calibri" w:hAnsi="Calibri" w:cs="Calibri"/>
          <w:sz w:val="22"/>
          <w:szCs w:val="22"/>
        </w:rPr>
      </w:pPr>
    </w:p>
    <w:p w:rsidR="00803D84" w:rsidRDefault="00803D84" w:rsidP="00467F2B">
      <w:pPr>
        <w:spacing w:line="480" w:lineRule="auto"/>
        <w:jc w:val="both"/>
        <w:rPr>
          <w:rFonts w:ascii="Calibri" w:hAnsi="Calibri" w:cs="Calibri"/>
          <w:sz w:val="22"/>
          <w:szCs w:val="22"/>
        </w:rPr>
      </w:pPr>
      <w:r>
        <w:rPr>
          <w:rFonts w:ascii="Calibri" w:hAnsi="Calibri" w:cs="Calibri"/>
          <w:sz w:val="22"/>
          <w:szCs w:val="22"/>
        </w:rPr>
        <w:t>Of the total 398 revisions, 78 (4·9%, Table 2) were defined by the treating neurosurgeon as due to suspected infection</w:t>
      </w:r>
      <w:r>
        <w:rPr>
          <w:rFonts w:ascii="Calibri" w:hAnsi="Calibri" w:cs="Calibri"/>
          <w:color w:val="000000"/>
          <w:sz w:val="22"/>
          <w:szCs w:val="22"/>
        </w:rPr>
        <w:t xml:space="preserve">. </w:t>
      </w:r>
      <w:r>
        <w:rPr>
          <w:rFonts w:ascii="Calibri" w:hAnsi="Calibri" w:cs="Calibri"/>
          <w:sz w:val="22"/>
          <w:szCs w:val="22"/>
        </w:rPr>
        <w:t>A</w:t>
      </w:r>
      <w:r w:rsidRPr="001127CB">
        <w:rPr>
          <w:rFonts w:ascii="Calibri" w:hAnsi="Calibri" w:cs="Calibri"/>
          <w:sz w:val="22"/>
          <w:szCs w:val="22"/>
        </w:rPr>
        <w:t>ntibiotic</w:t>
      </w:r>
      <w:r>
        <w:rPr>
          <w:rFonts w:ascii="Calibri" w:hAnsi="Calibri" w:cs="Calibri"/>
          <w:sz w:val="22"/>
          <w:szCs w:val="22"/>
        </w:rPr>
        <w:t xml:space="preserve"> but not silver shunts were associated with a significant</w:t>
      </w:r>
      <w:r w:rsidRPr="001127CB">
        <w:rPr>
          <w:rFonts w:ascii="Calibri" w:hAnsi="Calibri" w:cs="Calibri"/>
          <w:sz w:val="22"/>
          <w:szCs w:val="22"/>
        </w:rPr>
        <w:t xml:space="preserve"> </w:t>
      </w:r>
      <w:r>
        <w:rPr>
          <w:rFonts w:ascii="Calibri" w:hAnsi="Calibri" w:cs="Calibri"/>
          <w:sz w:val="22"/>
          <w:szCs w:val="22"/>
        </w:rPr>
        <w:t>decrease of failure due to infection when compared to standard shunts (Table 3). The reason for revision was classified by central review (primary outcome) and treating neurosurgeon (secondary outcome) as infection or no infection, and this classification was the same in 95·7% (381/398) of revisions (Table S6).</w:t>
      </w:r>
    </w:p>
    <w:p w:rsidR="00803D84" w:rsidRDefault="00803D84" w:rsidP="00467F2B">
      <w:pPr>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 xml:space="preserve">Kaplan-Meier curves for time to </w:t>
      </w:r>
      <w:r>
        <w:rPr>
          <w:rFonts w:ascii="Calibri" w:hAnsi="Calibri" w:cs="Calibri"/>
          <w:sz w:val="22"/>
          <w:szCs w:val="22"/>
          <w:lang w:val="en-US"/>
        </w:rPr>
        <w:t>shunt</w:t>
      </w:r>
      <w:r>
        <w:rPr>
          <w:rFonts w:ascii="Calibri" w:hAnsi="Calibri" w:cs="Calibri"/>
          <w:sz w:val="22"/>
          <w:szCs w:val="22"/>
        </w:rPr>
        <w:t xml:space="preserve"> failure for any cause showed no significant difference between antibiotic or silver in comparison to standard </w:t>
      </w:r>
      <w:r>
        <w:rPr>
          <w:rFonts w:ascii="Calibri" w:hAnsi="Calibri" w:cs="Calibri"/>
          <w:sz w:val="22"/>
          <w:szCs w:val="22"/>
          <w:lang w:val="en-US"/>
        </w:rPr>
        <w:t>shunts</w:t>
      </w:r>
      <w:r w:rsidDel="009066F0">
        <w:rPr>
          <w:rFonts w:ascii="Calibri" w:hAnsi="Calibri" w:cs="Calibri"/>
          <w:sz w:val="22"/>
          <w:szCs w:val="22"/>
        </w:rPr>
        <w:t xml:space="preserve"> </w:t>
      </w:r>
      <w:r>
        <w:rPr>
          <w:rFonts w:ascii="Calibri" w:hAnsi="Calibri" w:cs="Calibri"/>
          <w:sz w:val="22"/>
          <w:szCs w:val="22"/>
        </w:rPr>
        <w:t xml:space="preserve">(Table 3, Figure S2). The number of </w:t>
      </w:r>
      <w:r>
        <w:rPr>
          <w:rFonts w:ascii="Calibri" w:hAnsi="Calibri" w:cs="Calibri"/>
          <w:sz w:val="22"/>
          <w:szCs w:val="22"/>
          <w:lang w:val="en-US"/>
        </w:rPr>
        <w:t>shunt</w:t>
      </w:r>
      <w:r>
        <w:rPr>
          <w:rFonts w:ascii="Calibri" w:hAnsi="Calibri" w:cs="Calibri"/>
          <w:sz w:val="22"/>
          <w:szCs w:val="22"/>
        </w:rPr>
        <w:t xml:space="preserve"> failures was similar between the three groups (Table 2), however the underlying reason differed when comparing standard to antibiotic </w:t>
      </w:r>
      <w:r>
        <w:rPr>
          <w:rFonts w:ascii="Calibri" w:hAnsi="Calibri" w:cs="Calibri"/>
          <w:sz w:val="22"/>
          <w:szCs w:val="22"/>
          <w:lang w:val="en-US"/>
        </w:rPr>
        <w:t>shunts</w:t>
      </w:r>
      <w:r>
        <w:rPr>
          <w:rFonts w:ascii="Calibri" w:hAnsi="Calibri" w:cs="Calibri"/>
          <w:sz w:val="22"/>
          <w:szCs w:val="22"/>
        </w:rPr>
        <w:t xml:space="preserve"> (</w:t>
      </w:r>
      <w:r>
        <w:rPr>
          <w:rFonts w:ascii="Calibri" w:hAnsi="Calibri" w:cs="Calibri"/>
          <w:i/>
          <w:sz w:val="22"/>
          <w:szCs w:val="22"/>
        </w:rPr>
        <w:t>p</w:t>
      </w:r>
      <w:r>
        <w:rPr>
          <w:rFonts w:ascii="Calibri" w:hAnsi="Calibri" w:cs="Calibri"/>
          <w:sz w:val="22"/>
          <w:szCs w:val="22"/>
        </w:rPr>
        <w:t>=0·02, Table S7) with fewer infections for antibiotic shunts but a higher frequency of failure due to other causes.</w:t>
      </w:r>
    </w:p>
    <w:p w:rsidR="00803D84" w:rsidRDefault="00803D84" w:rsidP="00A262FE">
      <w:pPr>
        <w:spacing w:line="480" w:lineRule="auto"/>
        <w:jc w:val="both"/>
        <w:rPr>
          <w:rFonts w:ascii="Calibri" w:hAnsi="Calibri" w:cs="Calibri"/>
          <w:sz w:val="22"/>
          <w:szCs w:val="22"/>
        </w:rPr>
      </w:pPr>
    </w:p>
    <w:p w:rsidR="00803D84" w:rsidRDefault="00803D84" w:rsidP="009C2E42">
      <w:pPr>
        <w:spacing w:line="480" w:lineRule="auto"/>
        <w:jc w:val="both"/>
        <w:rPr>
          <w:rFonts w:ascii="Calibri" w:hAnsi="Calibri" w:cs="Calibri"/>
          <w:color w:val="000000"/>
          <w:sz w:val="22"/>
          <w:szCs w:val="22"/>
        </w:rPr>
      </w:pPr>
      <w:r w:rsidRPr="00696B0E">
        <w:rPr>
          <w:rFonts w:ascii="Calibri" w:hAnsi="Calibri" w:cs="Calibri"/>
          <w:i/>
          <w:sz w:val="22"/>
          <w:szCs w:val="22"/>
        </w:rPr>
        <w:t>Staphylococcus aureus</w:t>
      </w:r>
      <w:r>
        <w:rPr>
          <w:rFonts w:ascii="Calibri" w:hAnsi="Calibri" w:cs="Calibri"/>
          <w:sz w:val="22"/>
          <w:szCs w:val="22"/>
        </w:rPr>
        <w:t xml:space="preserve"> (30%) and coagulase negative staphylococci (37·5%) accounted for the majority of cultured organisms</w:t>
      </w:r>
      <w:r w:rsidRPr="006916AD">
        <w:rPr>
          <w:rFonts w:ascii="Calibri" w:hAnsi="Calibri" w:cs="Calibri"/>
          <w:sz w:val="22"/>
          <w:szCs w:val="22"/>
        </w:rPr>
        <w:t xml:space="preserve"> (Table </w:t>
      </w:r>
      <w:r>
        <w:rPr>
          <w:rFonts w:ascii="Calibri" w:hAnsi="Calibri" w:cs="Calibri"/>
          <w:sz w:val="22"/>
          <w:szCs w:val="22"/>
        </w:rPr>
        <w:t>S8</w:t>
      </w:r>
      <w:r w:rsidRPr="006916AD">
        <w:rPr>
          <w:rFonts w:ascii="Calibri" w:hAnsi="Calibri" w:cs="Calibri"/>
          <w:sz w:val="22"/>
          <w:szCs w:val="22"/>
        </w:rPr>
        <w:t>)</w:t>
      </w:r>
      <w:r>
        <w:rPr>
          <w:rFonts w:ascii="Calibri" w:hAnsi="Calibri" w:cs="Calibri"/>
          <w:sz w:val="22"/>
          <w:szCs w:val="22"/>
        </w:rPr>
        <w:t xml:space="preserve">. Culture results show a reduction in staphylococcal/gram positive infections for antibiotic shunts compared to standard and silver. All three shunt types had a similar number of gram-negative infections. The proportion of culture positive infections was lowest in antibiotic shunts (50%), (compared to 68·8% in standard and 80·6% in silver shunts). The remaining infections were classified as infection by the central review panel based on the CSF white cell counts, clinical features and blood parameters (Table 2). </w:t>
      </w:r>
    </w:p>
    <w:p w:rsidR="00803D84" w:rsidRDefault="00803D84" w:rsidP="00C365F8">
      <w:pPr>
        <w:spacing w:line="480" w:lineRule="auto"/>
        <w:jc w:val="both"/>
        <w:rPr>
          <w:rFonts w:ascii="Calibri" w:hAnsi="Calibri" w:cs="Calibri"/>
          <w:sz w:val="22"/>
          <w:szCs w:val="22"/>
        </w:rPr>
      </w:pPr>
    </w:p>
    <w:p w:rsidR="00803D84" w:rsidRDefault="00803D84" w:rsidP="00DB34B5">
      <w:pPr>
        <w:spacing w:line="480" w:lineRule="auto"/>
        <w:jc w:val="both"/>
        <w:rPr>
          <w:rFonts w:ascii="Calibri" w:hAnsi="Calibri" w:cs="Calibri"/>
          <w:color w:val="000000"/>
          <w:sz w:val="22"/>
          <w:szCs w:val="22"/>
        </w:rPr>
      </w:pPr>
      <w:r>
        <w:rPr>
          <w:rFonts w:ascii="Calibri" w:hAnsi="Calibri" w:cs="Calibri"/>
          <w:color w:val="000000"/>
          <w:sz w:val="22"/>
          <w:szCs w:val="22"/>
        </w:rPr>
        <w:t xml:space="preserve">Following first clean (non-infected) revision (n=323), the proportion of patients with revisions for any reason (infection and no infection) increased to 39·6% (128/323; Table S9). This rate was 25% (398/1594) in de novo </w:t>
      </w:r>
      <w:r>
        <w:rPr>
          <w:rFonts w:ascii="Calibri" w:hAnsi="Calibri" w:cs="Calibri"/>
          <w:sz w:val="22"/>
          <w:szCs w:val="22"/>
          <w:lang w:val="en-US"/>
        </w:rPr>
        <w:t>shunts</w:t>
      </w:r>
      <w:r>
        <w:rPr>
          <w:rFonts w:ascii="Calibri" w:hAnsi="Calibri" w:cs="Calibri"/>
          <w:color w:val="000000"/>
          <w:sz w:val="22"/>
          <w:szCs w:val="22"/>
        </w:rPr>
        <w:t xml:space="preserve"> (Table 2). The overall infection rate was also higher within this subgroup compared to de novo </w:t>
      </w:r>
      <w:r>
        <w:rPr>
          <w:rFonts w:ascii="Calibri" w:hAnsi="Calibri" w:cs="Calibri"/>
          <w:sz w:val="22"/>
          <w:szCs w:val="22"/>
          <w:lang w:val="en-US"/>
        </w:rPr>
        <w:t>shunts</w:t>
      </w:r>
      <w:r>
        <w:rPr>
          <w:rFonts w:ascii="Calibri" w:hAnsi="Calibri" w:cs="Calibri"/>
          <w:color w:val="000000"/>
          <w:sz w:val="22"/>
          <w:szCs w:val="22"/>
        </w:rPr>
        <w:t xml:space="preserve"> 6·2% (20/323, Table S9) versus 4·7% (75/1594, Table 2). There was no significant difference in time to infection following first clean revision when comparing either antibiotic or silver (Table 3) to standard </w:t>
      </w:r>
      <w:r>
        <w:rPr>
          <w:rFonts w:ascii="Calibri" w:hAnsi="Calibri" w:cs="Calibri"/>
          <w:sz w:val="22"/>
          <w:szCs w:val="22"/>
          <w:lang w:val="en-US"/>
        </w:rPr>
        <w:t>shunts</w:t>
      </w:r>
      <w:r>
        <w:rPr>
          <w:rFonts w:ascii="Calibri" w:hAnsi="Calibri" w:cs="Calibri"/>
          <w:color w:val="000000"/>
          <w:sz w:val="22"/>
          <w:szCs w:val="22"/>
        </w:rPr>
        <w:t>.</w:t>
      </w:r>
    </w:p>
    <w:p w:rsidR="00803D84" w:rsidRDefault="00803D84" w:rsidP="00177476">
      <w:pPr>
        <w:spacing w:line="480" w:lineRule="auto"/>
        <w:jc w:val="both"/>
        <w:rPr>
          <w:rFonts w:ascii="Calibri" w:hAnsi="Calibri" w:cs="Calibri"/>
          <w:i/>
          <w:sz w:val="22"/>
          <w:szCs w:val="22"/>
        </w:rPr>
      </w:pPr>
    </w:p>
    <w:p w:rsidR="00803D84" w:rsidRDefault="00803D84" w:rsidP="00FF0985">
      <w:pPr>
        <w:spacing w:line="480" w:lineRule="auto"/>
        <w:jc w:val="both"/>
        <w:rPr>
          <w:rFonts w:ascii="Calibri" w:hAnsi="Calibri" w:cs="Calibri"/>
          <w:sz w:val="22"/>
          <w:szCs w:val="22"/>
        </w:rPr>
      </w:pPr>
      <w:r>
        <w:rPr>
          <w:rFonts w:ascii="Calibri" w:hAnsi="Calibri" w:cs="Calibri"/>
          <w:sz w:val="22"/>
          <w:szCs w:val="22"/>
        </w:rPr>
        <w:t xml:space="preserve">The proportion of revisions of first </w:t>
      </w:r>
      <w:r>
        <w:rPr>
          <w:rFonts w:ascii="Calibri" w:hAnsi="Calibri" w:cs="Calibri"/>
          <w:sz w:val="22"/>
          <w:szCs w:val="22"/>
          <w:lang w:val="en-US"/>
        </w:rPr>
        <w:t>shunt</w:t>
      </w:r>
      <w:r>
        <w:rPr>
          <w:rFonts w:ascii="Calibri" w:hAnsi="Calibri" w:cs="Calibri"/>
          <w:sz w:val="22"/>
          <w:szCs w:val="22"/>
        </w:rPr>
        <w:t xml:space="preserve"> for any cause (paediatric: 225/592, 38·0%; adults up to 65 years: 118/499, 23·6%; 65 years and over: 55/503, 10·9%, Table S10) and for infection (paediatric: 47/592, 7·9%; adults up to 65 years: 23/499, 4·6%; 65 years and over: 5/503, 1·0%, Table S10) varied by participant age group. Compared to children, over time adults up to 65 years, and adults 65 or over had a significantly lower rate of shunt failure due to infection (adults under 65 csHR: 0·55, 97·5% CI: [0·31, 0·97], </w:t>
      </w:r>
      <w:r>
        <w:rPr>
          <w:rFonts w:ascii="Calibri" w:hAnsi="Calibri" w:cs="Calibri"/>
          <w:i/>
          <w:sz w:val="22"/>
          <w:szCs w:val="22"/>
        </w:rPr>
        <w:t>p</w:t>
      </w:r>
      <w:r>
        <w:rPr>
          <w:rFonts w:ascii="Calibri" w:hAnsi="Calibri" w:cs="Calibri"/>
          <w:sz w:val="22"/>
          <w:szCs w:val="22"/>
        </w:rPr>
        <w:t xml:space="preserve">=0·02; adults 65 or over csHR: 0·12, 97·5% CI: [0·04, 0·34], </w:t>
      </w:r>
      <w:r>
        <w:rPr>
          <w:rFonts w:ascii="Calibri" w:hAnsi="Calibri" w:cs="Calibri"/>
          <w:i/>
          <w:sz w:val="22"/>
          <w:szCs w:val="22"/>
        </w:rPr>
        <w:t>p</w:t>
      </w:r>
      <w:r>
        <w:rPr>
          <w:rFonts w:ascii="Calibri" w:hAnsi="Calibri" w:cs="Calibri"/>
          <w:sz w:val="22"/>
          <w:szCs w:val="22"/>
        </w:rPr>
        <w:t xml:space="preserve">&lt;0·01; Table 3). Figures S3 and S4 display the cumulative incidence of time to shunt failure due to infection by age group and shunt stratified by age group respectively. Schoenfeld residuals supported the assumption of proportionality used in models of for time to event outcomes. </w:t>
      </w:r>
    </w:p>
    <w:p w:rsidR="00803D84" w:rsidRDefault="00803D84" w:rsidP="00950F81">
      <w:pPr>
        <w:spacing w:line="480" w:lineRule="auto"/>
        <w:jc w:val="both"/>
        <w:rPr>
          <w:rFonts w:ascii="Calibri" w:hAnsi="Calibri" w:cs="Calibri"/>
          <w:sz w:val="22"/>
          <w:szCs w:val="22"/>
        </w:rPr>
      </w:pPr>
    </w:p>
    <w:p w:rsidR="00803D84" w:rsidRPr="005816C4" w:rsidRDefault="00803D84" w:rsidP="009C1AFC">
      <w:pPr>
        <w:spacing w:line="480" w:lineRule="auto"/>
        <w:jc w:val="both"/>
        <w:rPr>
          <w:rFonts w:asciiTheme="minorHAnsi" w:hAnsiTheme="minorHAnsi" w:cs="Calibri"/>
          <w:sz w:val="22"/>
          <w:szCs w:val="22"/>
        </w:rPr>
      </w:pPr>
      <w:r w:rsidRPr="004C744D">
        <w:rPr>
          <w:rFonts w:asciiTheme="minorHAnsi" w:hAnsiTheme="minorHAnsi" w:cs="Calibri"/>
          <w:sz w:val="22"/>
          <w:szCs w:val="22"/>
        </w:rPr>
        <w:t>The level of missing cost data was balanced across the thr</w:t>
      </w:r>
      <w:r>
        <w:rPr>
          <w:rFonts w:asciiTheme="minorHAnsi" w:hAnsiTheme="minorHAnsi" w:cs="Calibri"/>
          <w:sz w:val="22"/>
          <w:szCs w:val="22"/>
        </w:rPr>
        <w:t>ee intervention groups (Table S</w:t>
      </w:r>
      <w:r w:rsidRPr="004C744D">
        <w:rPr>
          <w:rFonts w:asciiTheme="minorHAnsi" w:hAnsiTheme="minorHAnsi" w:cs="Calibri"/>
          <w:sz w:val="22"/>
          <w:szCs w:val="22"/>
        </w:rPr>
        <w:t>15).</w:t>
      </w:r>
      <w:r>
        <w:rPr>
          <w:rFonts w:asciiTheme="minorHAnsi" w:hAnsiTheme="minorHAnsi" w:cs="Calibri"/>
          <w:sz w:val="22"/>
          <w:szCs w:val="22"/>
        </w:rPr>
        <w:t xml:space="preserve"> Disaggregated resource use and costs are presented in Tables S16-S17. Mean t</w:t>
      </w:r>
      <w:r w:rsidRPr="004C744D">
        <w:rPr>
          <w:rFonts w:asciiTheme="minorHAnsi" w:hAnsiTheme="minorHAnsi" w:cs="Calibri"/>
          <w:sz w:val="22"/>
          <w:szCs w:val="22"/>
        </w:rPr>
        <w:t>otal cost</w:t>
      </w:r>
      <w:r>
        <w:rPr>
          <w:rFonts w:asciiTheme="minorHAnsi" w:hAnsiTheme="minorHAnsi" w:cs="Calibri"/>
          <w:sz w:val="22"/>
          <w:szCs w:val="22"/>
        </w:rPr>
        <w:t>s</w:t>
      </w:r>
      <w:r w:rsidRPr="004C744D">
        <w:rPr>
          <w:rFonts w:asciiTheme="minorHAnsi" w:hAnsiTheme="minorHAnsi" w:cs="Calibri"/>
          <w:sz w:val="22"/>
          <w:szCs w:val="22"/>
        </w:rPr>
        <w:t xml:space="preserve"> </w:t>
      </w:r>
      <w:r>
        <w:rPr>
          <w:rFonts w:asciiTheme="minorHAnsi" w:hAnsiTheme="minorHAnsi" w:cs="Calibri"/>
          <w:sz w:val="22"/>
          <w:szCs w:val="22"/>
        </w:rPr>
        <w:t>were</w:t>
      </w:r>
      <w:r w:rsidRPr="004C744D">
        <w:rPr>
          <w:rFonts w:asciiTheme="minorHAnsi" w:hAnsiTheme="minorHAnsi" w:cs="Calibri"/>
          <w:sz w:val="22"/>
          <w:szCs w:val="22"/>
        </w:rPr>
        <w:t xml:space="preserve"> £18,707 (97</w:t>
      </w:r>
      <w:r>
        <w:rPr>
          <w:rFonts w:ascii="Calibri" w:hAnsi="Calibri" w:cs="Calibri"/>
          <w:sz w:val="22"/>
          <w:szCs w:val="22"/>
        </w:rPr>
        <w:t>·</w:t>
      </w:r>
      <w:r w:rsidRPr="004C744D">
        <w:rPr>
          <w:rFonts w:asciiTheme="minorHAnsi" w:hAnsiTheme="minorHAnsi" w:cs="Calibri"/>
          <w:sz w:val="22"/>
          <w:szCs w:val="22"/>
        </w:rPr>
        <w:t>5% CI</w:t>
      </w:r>
      <w:r>
        <w:rPr>
          <w:rFonts w:asciiTheme="minorHAnsi" w:hAnsiTheme="minorHAnsi" w:cs="Calibri"/>
          <w:sz w:val="22"/>
          <w:szCs w:val="22"/>
        </w:rPr>
        <w:t>:</w:t>
      </w:r>
      <w:r w:rsidRPr="004C744D">
        <w:rPr>
          <w:rFonts w:asciiTheme="minorHAnsi" w:hAnsiTheme="minorHAnsi" w:cs="Calibri"/>
          <w:sz w:val="22"/>
          <w:szCs w:val="22"/>
        </w:rPr>
        <w:t xml:space="preserve"> £13,888, £26,966) </w:t>
      </w:r>
      <w:r>
        <w:rPr>
          <w:rFonts w:asciiTheme="minorHAnsi" w:hAnsiTheme="minorHAnsi" w:cs="Calibri"/>
          <w:sz w:val="22"/>
          <w:szCs w:val="22"/>
        </w:rPr>
        <w:t>for</w:t>
      </w:r>
      <w:r w:rsidRPr="004C744D">
        <w:rPr>
          <w:rFonts w:asciiTheme="minorHAnsi" w:hAnsiTheme="minorHAnsi" w:cs="Calibri"/>
          <w:sz w:val="22"/>
          <w:szCs w:val="22"/>
        </w:rPr>
        <w:t xml:space="preserve"> standard </w:t>
      </w:r>
      <w:r>
        <w:rPr>
          <w:rFonts w:asciiTheme="minorHAnsi" w:hAnsiTheme="minorHAnsi" w:cs="Calibri"/>
          <w:sz w:val="22"/>
          <w:szCs w:val="22"/>
        </w:rPr>
        <w:t>shunts</w:t>
      </w:r>
      <w:r w:rsidRPr="004C744D">
        <w:rPr>
          <w:rFonts w:asciiTheme="minorHAnsi" w:hAnsiTheme="minorHAnsi" w:cs="Calibri"/>
          <w:sz w:val="22"/>
          <w:szCs w:val="22"/>
        </w:rPr>
        <w:t>, £14,192 (97</w:t>
      </w:r>
      <w:r>
        <w:rPr>
          <w:rFonts w:ascii="Calibri" w:hAnsi="Calibri" w:cs="Calibri"/>
          <w:sz w:val="22"/>
          <w:szCs w:val="22"/>
        </w:rPr>
        <w:t>·</w:t>
      </w:r>
      <w:r w:rsidRPr="004C744D">
        <w:rPr>
          <w:rFonts w:asciiTheme="minorHAnsi" w:hAnsiTheme="minorHAnsi" w:cs="Calibri"/>
          <w:sz w:val="22"/>
          <w:szCs w:val="22"/>
        </w:rPr>
        <w:t>5% CI</w:t>
      </w:r>
      <w:r>
        <w:rPr>
          <w:rFonts w:asciiTheme="minorHAnsi" w:hAnsiTheme="minorHAnsi" w:cs="Calibri"/>
          <w:sz w:val="22"/>
          <w:szCs w:val="22"/>
        </w:rPr>
        <w:t>:</w:t>
      </w:r>
      <w:r w:rsidRPr="004C744D">
        <w:rPr>
          <w:rFonts w:asciiTheme="minorHAnsi" w:hAnsiTheme="minorHAnsi" w:cs="Calibri"/>
          <w:sz w:val="22"/>
          <w:szCs w:val="22"/>
        </w:rPr>
        <w:t xml:space="preserve"> £12,450, £17,786) </w:t>
      </w:r>
      <w:r>
        <w:rPr>
          <w:rFonts w:asciiTheme="minorHAnsi" w:hAnsiTheme="minorHAnsi" w:cs="Calibri"/>
          <w:sz w:val="22"/>
          <w:szCs w:val="22"/>
        </w:rPr>
        <w:t>for</w:t>
      </w:r>
      <w:r w:rsidRPr="004C744D">
        <w:rPr>
          <w:rFonts w:asciiTheme="minorHAnsi" w:hAnsiTheme="minorHAnsi" w:cs="Calibri"/>
          <w:sz w:val="22"/>
          <w:szCs w:val="22"/>
        </w:rPr>
        <w:t xml:space="preserve"> antibiotic, and £17,385 (97</w:t>
      </w:r>
      <w:r>
        <w:rPr>
          <w:rFonts w:ascii="Calibri" w:hAnsi="Calibri" w:cs="Calibri"/>
          <w:sz w:val="22"/>
          <w:szCs w:val="22"/>
        </w:rPr>
        <w:t>·</w:t>
      </w:r>
      <w:r w:rsidRPr="004C744D">
        <w:rPr>
          <w:rFonts w:asciiTheme="minorHAnsi" w:hAnsiTheme="minorHAnsi" w:cs="Calibri"/>
          <w:sz w:val="22"/>
          <w:szCs w:val="22"/>
        </w:rPr>
        <w:t>5% CI</w:t>
      </w:r>
      <w:r>
        <w:rPr>
          <w:rFonts w:asciiTheme="minorHAnsi" w:hAnsiTheme="minorHAnsi" w:cs="Calibri"/>
          <w:sz w:val="22"/>
          <w:szCs w:val="22"/>
        </w:rPr>
        <w:t>:</w:t>
      </w:r>
      <w:r w:rsidRPr="004C744D">
        <w:rPr>
          <w:rFonts w:asciiTheme="minorHAnsi" w:hAnsiTheme="minorHAnsi" w:cs="Calibri"/>
          <w:sz w:val="22"/>
          <w:szCs w:val="22"/>
        </w:rPr>
        <w:t xml:space="preserve"> £14,649, £22,355) </w:t>
      </w:r>
      <w:r>
        <w:rPr>
          <w:rFonts w:asciiTheme="minorHAnsi" w:hAnsiTheme="minorHAnsi" w:cs="Calibri"/>
          <w:sz w:val="22"/>
          <w:szCs w:val="22"/>
        </w:rPr>
        <w:t>for</w:t>
      </w:r>
      <w:r w:rsidRPr="004C744D">
        <w:rPr>
          <w:rFonts w:asciiTheme="minorHAnsi" w:hAnsiTheme="minorHAnsi" w:cs="Calibri"/>
          <w:sz w:val="22"/>
          <w:szCs w:val="22"/>
        </w:rPr>
        <w:t xml:space="preserve"> silver</w:t>
      </w:r>
      <w:r>
        <w:rPr>
          <w:rFonts w:asciiTheme="minorHAnsi" w:hAnsiTheme="minorHAnsi" w:cs="Calibri"/>
          <w:sz w:val="22"/>
          <w:szCs w:val="22"/>
        </w:rPr>
        <w:t xml:space="preserve"> shunts (Table S18)</w:t>
      </w:r>
      <w:r w:rsidRPr="004C744D">
        <w:rPr>
          <w:rFonts w:asciiTheme="minorHAnsi" w:hAnsiTheme="minorHAnsi" w:cs="Calibri"/>
          <w:sz w:val="22"/>
          <w:szCs w:val="22"/>
        </w:rPr>
        <w:t>.</w:t>
      </w:r>
      <w:r>
        <w:rPr>
          <w:rFonts w:asciiTheme="minorHAnsi" w:hAnsiTheme="minorHAnsi" w:cs="Calibri"/>
          <w:sz w:val="22"/>
          <w:szCs w:val="22"/>
        </w:rPr>
        <w:t xml:space="preserve"> Responses to EQ-5D are presented in Tables S19-S21. </w:t>
      </w:r>
      <w:r w:rsidRPr="0052352E">
        <w:rPr>
          <w:rFonts w:asciiTheme="minorHAnsi" w:hAnsiTheme="minorHAnsi" w:cs="Calibri"/>
          <w:sz w:val="22"/>
          <w:szCs w:val="22"/>
        </w:rPr>
        <w:t xml:space="preserve">In the base-case analysis, </w:t>
      </w:r>
      <w:r>
        <w:rPr>
          <w:rFonts w:asciiTheme="minorHAnsi" w:hAnsiTheme="minorHAnsi" w:cs="Calibri"/>
          <w:sz w:val="22"/>
          <w:szCs w:val="22"/>
        </w:rPr>
        <w:t xml:space="preserve">the total costs relating to </w:t>
      </w:r>
      <w:r w:rsidRPr="0052352E">
        <w:rPr>
          <w:rFonts w:asciiTheme="minorHAnsi" w:hAnsiTheme="minorHAnsi" w:cs="Calibri"/>
          <w:sz w:val="22"/>
          <w:szCs w:val="22"/>
        </w:rPr>
        <w:t xml:space="preserve">both silver and antibiotic </w:t>
      </w:r>
      <w:r>
        <w:rPr>
          <w:rFonts w:asciiTheme="minorHAnsi" w:hAnsiTheme="minorHAnsi" w:cs="Calibri"/>
          <w:sz w:val="22"/>
          <w:szCs w:val="22"/>
        </w:rPr>
        <w:t>shunts</w:t>
      </w:r>
      <w:r w:rsidRPr="0052352E">
        <w:rPr>
          <w:rFonts w:asciiTheme="minorHAnsi" w:hAnsiTheme="minorHAnsi" w:cs="Calibri"/>
          <w:sz w:val="22"/>
          <w:szCs w:val="22"/>
        </w:rPr>
        <w:t xml:space="preserve"> were less </w:t>
      </w:r>
      <w:r>
        <w:rPr>
          <w:rFonts w:asciiTheme="minorHAnsi" w:hAnsiTheme="minorHAnsi" w:cs="Calibri"/>
          <w:sz w:val="22"/>
          <w:szCs w:val="22"/>
        </w:rPr>
        <w:t>than standard</w:t>
      </w:r>
      <w:r w:rsidRPr="0052352E">
        <w:rPr>
          <w:rFonts w:asciiTheme="minorHAnsi" w:hAnsiTheme="minorHAnsi" w:cs="Calibri"/>
          <w:sz w:val="22"/>
          <w:szCs w:val="22"/>
        </w:rPr>
        <w:t>.</w:t>
      </w:r>
      <w:r>
        <w:rPr>
          <w:rFonts w:asciiTheme="minorHAnsi" w:hAnsiTheme="minorHAnsi" w:cs="Calibri"/>
          <w:sz w:val="22"/>
          <w:szCs w:val="22"/>
        </w:rPr>
        <w:t xml:space="preserve"> </w:t>
      </w:r>
      <w:r w:rsidRPr="0052352E">
        <w:rPr>
          <w:rFonts w:asciiTheme="minorHAnsi" w:hAnsiTheme="minorHAnsi" w:cs="Calibri"/>
          <w:sz w:val="22"/>
          <w:szCs w:val="22"/>
        </w:rPr>
        <w:t>I</w:t>
      </w:r>
      <w:r>
        <w:rPr>
          <w:rFonts w:asciiTheme="minorHAnsi" w:hAnsiTheme="minorHAnsi" w:cs="Calibri"/>
          <w:sz w:val="22"/>
          <w:szCs w:val="22"/>
        </w:rPr>
        <w:t>ncrementally, silver</w:t>
      </w:r>
      <w:r w:rsidRPr="0052352E">
        <w:rPr>
          <w:rFonts w:asciiTheme="minorHAnsi" w:hAnsiTheme="minorHAnsi" w:cs="Calibri"/>
          <w:sz w:val="22"/>
          <w:szCs w:val="22"/>
        </w:rPr>
        <w:t xml:space="preserve"> </w:t>
      </w:r>
      <w:r>
        <w:rPr>
          <w:rFonts w:asciiTheme="minorHAnsi" w:hAnsiTheme="minorHAnsi" w:cs="Calibri"/>
          <w:sz w:val="22"/>
          <w:szCs w:val="22"/>
        </w:rPr>
        <w:t>shunts</w:t>
      </w:r>
      <w:r w:rsidRPr="0052352E">
        <w:rPr>
          <w:rFonts w:asciiTheme="minorHAnsi" w:hAnsiTheme="minorHAnsi" w:cs="Calibri"/>
          <w:sz w:val="22"/>
          <w:szCs w:val="22"/>
        </w:rPr>
        <w:t xml:space="preserve"> save</w:t>
      </w:r>
      <w:r>
        <w:rPr>
          <w:rFonts w:asciiTheme="minorHAnsi" w:hAnsiTheme="minorHAnsi" w:cs="Calibri"/>
          <w:sz w:val="22"/>
          <w:szCs w:val="22"/>
        </w:rPr>
        <w:t>d</w:t>
      </w:r>
      <w:r w:rsidRPr="0052352E">
        <w:rPr>
          <w:rFonts w:asciiTheme="minorHAnsi" w:hAnsiTheme="minorHAnsi" w:cs="Calibri"/>
          <w:sz w:val="22"/>
          <w:szCs w:val="22"/>
        </w:rPr>
        <w:t xml:space="preserve"> £62,358 for each additional first </w:t>
      </w:r>
      <w:r>
        <w:rPr>
          <w:rFonts w:asciiTheme="minorHAnsi" w:hAnsiTheme="minorHAnsi" w:cs="Calibri"/>
          <w:sz w:val="22"/>
          <w:szCs w:val="22"/>
        </w:rPr>
        <w:t>shunt</w:t>
      </w:r>
      <w:r w:rsidRPr="0052352E">
        <w:rPr>
          <w:rFonts w:asciiTheme="minorHAnsi" w:hAnsiTheme="minorHAnsi" w:cs="Calibri"/>
          <w:sz w:val="22"/>
          <w:szCs w:val="22"/>
        </w:rPr>
        <w:t xml:space="preserve"> failure due to any reason compared with standard; and antibiotic </w:t>
      </w:r>
      <w:r>
        <w:rPr>
          <w:rFonts w:asciiTheme="minorHAnsi" w:hAnsiTheme="minorHAnsi" w:cs="Calibri"/>
          <w:sz w:val="22"/>
          <w:szCs w:val="22"/>
        </w:rPr>
        <w:t>shunts</w:t>
      </w:r>
      <w:r w:rsidRPr="0052352E">
        <w:rPr>
          <w:rFonts w:asciiTheme="minorHAnsi" w:hAnsiTheme="minorHAnsi" w:cs="Calibri"/>
          <w:sz w:val="22"/>
          <w:szCs w:val="22"/>
        </w:rPr>
        <w:t xml:space="preserve"> save</w:t>
      </w:r>
      <w:r>
        <w:rPr>
          <w:rFonts w:asciiTheme="minorHAnsi" w:hAnsiTheme="minorHAnsi" w:cs="Calibri"/>
          <w:sz w:val="22"/>
          <w:szCs w:val="22"/>
        </w:rPr>
        <w:t>d</w:t>
      </w:r>
      <w:r w:rsidRPr="0052352E">
        <w:rPr>
          <w:rFonts w:asciiTheme="minorHAnsi" w:hAnsiTheme="minorHAnsi" w:cs="Calibri"/>
          <w:sz w:val="22"/>
          <w:szCs w:val="22"/>
        </w:rPr>
        <w:t xml:space="preserve"> £638,600 per additional failure in </w:t>
      </w:r>
      <w:r w:rsidRPr="00E67910">
        <w:rPr>
          <w:rFonts w:asciiTheme="minorHAnsi" w:hAnsiTheme="minorHAnsi" w:cs="Calibri"/>
          <w:sz w:val="22"/>
          <w:szCs w:val="22"/>
        </w:rPr>
        <w:t>comparison to silver (Table S</w:t>
      </w:r>
      <w:r>
        <w:rPr>
          <w:rFonts w:asciiTheme="minorHAnsi" w:hAnsiTheme="minorHAnsi" w:cs="Calibri"/>
          <w:sz w:val="22"/>
          <w:szCs w:val="22"/>
        </w:rPr>
        <w:t>22</w:t>
      </w:r>
      <w:r w:rsidRPr="00E67910">
        <w:rPr>
          <w:rFonts w:asciiTheme="minorHAnsi" w:hAnsiTheme="minorHAnsi" w:cs="Calibri"/>
          <w:sz w:val="22"/>
          <w:szCs w:val="22"/>
        </w:rPr>
        <w:t>). In sensitivity analyses, the incremental cost-effectiveness ratios were stable to changes in discount rate and choice of regression modelling but, based on observed data, antibiotic dominated silver shunts, and saved £56,771 for each additional failure compared with standard shunts. Antibiotic shunts were most cost-effective in paediatrics, with mean savings of £5,312 and 0</w:t>
      </w:r>
      <w:r w:rsidRPr="00E67910">
        <w:rPr>
          <w:rFonts w:ascii="Calibri" w:hAnsi="Calibri" w:cs="Calibri"/>
          <w:sz w:val="22"/>
          <w:szCs w:val="22"/>
        </w:rPr>
        <w:t>·</w:t>
      </w:r>
      <w:r w:rsidRPr="00E67910">
        <w:rPr>
          <w:rFonts w:asciiTheme="minorHAnsi" w:hAnsiTheme="minorHAnsi" w:cs="Calibri"/>
          <w:sz w:val="22"/>
          <w:szCs w:val="22"/>
        </w:rPr>
        <w:t>004 fewer shunt failures (Table S</w:t>
      </w:r>
      <w:r>
        <w:rPr>
          <w:rFonts w:asciiTheme="minorHAnsi" w:hAnsiTheme="minorHAnsi" w:cs="Calibri"/>
          <w:sz w:val="22"/>
          <w:szCs w:val="22"/>
        </w:rPr>
        <w:t>23</w:t>
      </w:r>
      <w:r w:rsidRPr="00E67910">
        <w:rPr>
          <w:rFonts w:asciiTheme="minorHAnsi" w:hAnsiTheme="minorHAnsi" w:cs="Calibri"/>
          <w:sz w:val="22"/>
          <w:szCs w:val="22"/>
        </w:rPr>
        <w:t xml:space="preserve">). </w:t>
      </w:r>
      <w:r w:rsidRPr="00E67910">
        <w:rPr>
          <w:rFonts w:asciiTheme="minorHAnsi" w:hAnsiTheme="minorHAnsi" w:cstheme="minorHAnsi"/>
          <w:sz w:val="22"/>
          <w:szCs w:val="22"/>
        </w:rPr>
        <w:t>A cost-effectiveness analysis based on the incremental cost per infection averted indicated that silver shunts were dominated by standard, whereas antibiotic shunts were dominant, saving £4,059 per 0</w:t>
      </w:r>
      <w:r w:rsidRPr="00E67910">
        <w:rPr>
          <w:rFonts w:ascii="Calibri" w:hAnsi="Calibri" w:cs="Calibri"/>
          <w:sz w:val="22"/>
          <w:szCs w:val="22"/>
        </w:rPr>
        <w:t>·</w:t>
      </w:r>
      <w:r w:rsidRPr="00E67910">
        <w:rPr>
          <w:rFonts w:asciiTheme="minorHAnsi" w:hAnsiTheme="minorHAnsi" w:cstheme="minorHAnsi"/>
          <w:sz w:val="22"/>
          <w:szCs w:val="22"/>
        </w:rPr>
        <w:t xml:space="preserve">030 fewer infection-related shunt failures </w:t>
      </w:r>
      <w:r w:rsidRPr="00E67910">
        <w:rPr>
          <w:rFonts w:asciiTheme="minorHAnsi" w:hAnsiTheme="minorHAnsi" w:cs="Calibri"/>
          <w:sz w:val="22"/>
          <w:szCs w:val="22"/>
        </w:rPr>
        <w:t xml:space="preserve">(Table </w:t>
      </w:r>
      <w:r>
        <w:rPr>
          <w:rFonts w:asciiTheme="minorHAnsi" w:hAnsiTheme="minorHAnsi" w:cs="Calibri"/>
          <w:sz w:val="22"/>
          <w:szCs w:val="22"/>
        </w:rPr>
        <w:t>S24</w:t>
      </w:r>
      <w:r w:rsidRPr="00E67910">
        <w:rPr>
          <w:rFonts w:asciiTheme="minorHAnsi" w:hAnsiTheme="minorHAnsi" w:cs="Calibri"/>
          <w:sz w:val="22"/>
          <w:szCs w:val="22"/>
        </w:rPr>
        <w:t>)</w:t>
      </w:r>
      <w:r w:rsidRPr="00E67910">
        <w:rPr>
          <w:rFonts w:asciiTheme="minorHAnsi" w:hAnsiTheme="minorHAnsi" w:cstheme="minorHAnsi"/>
          <w:sz w:val="22"/>
          <w:szCs w:val="22"/>
        </w:rPr>
        <w:t xml:space="preserve">. </w:t>
      </w:r>
      <w:r w:rsidRPr="00E67910">
        <w:rPr>
          <w:rFonts w:asciiTheme="minorHAnsi" w:hAnsiTheme="minorHAnsi" w:cs="Calibri"/>
          <w:color w:val="000000"/>
          <w:sz w:val="22"/>
          <w:szCs w:val="22"/>
        </w:rPr>
        <w:t>There were insufficient data to formally analyse Hydrocephalus Outcome Questionnaires</w:t>
      </w:r>
      <w:r>
        <w:rPr>
          <w:rFonts w:asciiTheme="minorHAnsi" w:hAnsiTheme="minorHAnsi" w:cs="Calibri"/>
          <w:color w:val="000000"/>
          <w:sz w:val="22"/>
          <w:szCs w:val="22"/>
        </w:rPr>
        <w:t xml:space="preserve"> </w:t>
      </w:r>
      <w:r>
        <w:rPr>
          <w:rFonts w:ascii="Calibri" w:hAnsi="Calibri" w:cs="Calibri"/>
          <w:color w:val="000000"/>
          <w:sz w:val="22"/>
          <w:szCs w:val="22"/>
        </w:rPr>
        <w:t>and results are therefore presented descriptively (</w:t>
      </w:r>
      <w:r>
        <w:rPr>
          <w:rFonts w:asciiTheme="minorHAnsi" w:hAnsiTheme="minorHAnsi"/>
          <w:sz w:val="22"/>
          <w:szCs w:val="22"/>
        </w:rPr>
        <w:t xml:space="preserve">Tables </w:t>
      </w:r>
      <w:r w:rsidRPr="002013A2">
        <w:rPr>
          <w:rFonts w:asciiTheme="minorHAnsi" w:hAnsiTheme="minorHAnsi"/>
          <w:sz w:val="22"/>
          <w:szCs w:val="22"/>
        </w:rPr>
        <w:t>S25</w:t>
      </w:r>
      <w:r>
        <w:rPr>
          <w:rFonts w:asciiTheme="minorHAnsi" w:hAnsiTheme="minorHAnsi"/>
          <w:sz w:val="22"/>
          <w:szCs w:val="22"/>
        </w:rPr>
        <w:t>-S26)</w:t>
      </w:r>
      <w:r w:rsidRPr="00E67910">
        <w:rPr>
          <w:rFonts w:asciiTheme="minorHAnsi" w:hAnsiTheme="minorHAnsi" w:cs="Calibri"/>
          <w:color w:val="000000"/>
          <w:sz w:val="22"/>
          <w:szCs w:val="22"/>
        </w:rPr>
        <w:t>. In the cost utility</w:t>
      </w:r>
      <w:r>
        <w:rPr>
          <w:rFonts w:asciiTheme="minorHAnsi" w:hAnsiTheme="minorHAnsi" w:cs="Calibri"/>
          <w:color w:val="000000"/>
          <w:sz w:val="22"/>
          <w:szCs w:val="22"/>
        </w:rPr>
        <w:t xml:space="preserve"> analysis</w:t>
      </w:r>
      <w:r w:rsidRPr="00876CBF">
        <w:rPr>
          <w:rFonts w:asciiTheme="minorHAnsi" w:hAnsiTheme="minorHAnsi" w:cs="Calibri"/>
          <w:color w:val="000000"/>
          <w:sz w:val="22"/>
          <w:szCs w:val="22"/>
        </w:rPr>
        <w:t>, antibiotic</w:t>
      </w:r>
      <w:r>
        <w:rPr>
          <w:rFonts w:asciiTheme="minorHAnsi" w:hAnsiTheme="minorHAnsi" w:cs="Calibri"/>
          <w:color w:val="000000"/>
          <w:sz w:val="22"/>
          <w:szCs w:val="22"/>
        </w:rPr>
        <w:t xml:space="preserve"> shunts</w:t>
      </w:r>
      <w:r w:rsidRPr="00876CBF">
        <w:rPr>
          <w:rFonts w:asciiTheme="minorHAnsi" w:hAnsiTheme="minorHAnsi" w:cs="Calibri"/>
          <w:color w:val="000000"/>
          <w:sz w:val="22"/>
          <w:szCs w:val="22"/>
        </w:rPr>
        <w:t xml:space="preserve"> were dominated by silver. Compared with standard, silver</w:t>
      </w:r>
      <w:r>
        <w:rPr>
          <w:rFonts w:asciiTheme="minorHAnsi" w:hAnsiTheme="minorHAnsi" w:cs="Calibri"/>
          <w:color w:val="000000"/>
          <w:sz w:val="22"/>
          <w:szCs w:val="22"/>
        </w:rPr>
        <w:t xml:space="preserve"> shunts</w:t>
      </w:r>
      <w:r w:rsidRPr="00876CBF">
        <w:rPr>
          <w:rFonts w:asciiTheme="minorHAnsi" w:hAnsiTheme="minorHAnsi" w:cs="Calibri"/>
          <w:color w:val="000000"/>
          <w:sz w:val="22"/>
          <w:szCs w:val="22"/>
        </w:rPr>
        <w:t xml:space="preserve"> </w:t>
      </w:r>
      <w:r>
        <w:rPr>
          <w:rFonts w:asciiTheme="minorHAnsi" w:hAnsiTheme="minorHAnsi" w:cs="Calibri"/>
          <w:color w:val="000000"/>
          <w:sz w:val="22"/>
          <w:szCs w:val="22"/>
        </w:rPr>
        <w:t>we</w:t>
      </w:r>
      <w:r w:rsidRPr="00876CBF">
        <w:rPr>
          <w:rFonts w:asciiTheme="minorHAnsi" w:hAnsiTheme="minorHAnsi" w:cs="Calibri"/>
          <w:color w:val="000000"/>
          <w:sz w:val="22"/>
          <w:szCs w:val="22"/>
        </w:rPr>
        <w:t>re £183 more costly, and yield</w:t>
      </w:r>
      <w:r>
        <w:rPr>
          <w:rFonts w:asciiTheme="minorHAnsi" w:hAnsiTheme="minorHAnsi" w:cs="Calibri"/>
          <w:color w:val="000000"/>
          <w:sz w:val="22"/>
          <w:szCs w:val="22"/>
        </w:rPr>
        <w:t>ed</w:t>
      </w:r>
      <w:r w:rsidRPr="00876CBF">
        <w:rPr>
          <w:rFonts w:asciiTheme="minorHAnsi" w:hAnsiTheme="minorHAnsi" w:cs="Calibri"/>
          <w:color w:val="000000"/>
          <w:sz w:val="22"/>
          <w:szCs w:val="22"/>
        </w:rPr>
        <w:t xml:space="preserve"> 0</w:t>
      </w:r>
      <w:r>
        <w:rPr>
          <w:rFonts w:ascii="Calibri" w:hAnsi="Calibri" w:cs="Calibri"/>
          <w:sz w:val="22"/>
          <w:szCs w:val="22"/>
        </w:rPr>
        <w:t>·</w:t>
      </w:r>
      <w:r w:rsidRPr="00876CBF">
        <w:rPr>
          <w:rFonts w:asciiTheme="minorHAnsi" w:hAnsiTheme="minorHAnsi" w:cs="Calibri"/>
          <w:color w:val="000000"/>
          <w:sz w:val="22"/>
          <w:szCs w:val="22"/>
        </w:rPr>
        <w:t xml:space="preserve">096 additional QALYs overall, resulting in an </w:t>
      </w:r>
      <w:r>
        <w:rPr>
          <w:rFonts w:asciiTheme="minorHAnsi" w:hAnsiTheme="minorHAnsi" w:cs="Calibri"/>
          <w:sz w:val="22"/>
          <w:szCs w:val="22"/>
        </w:rPr>
        <w:t>incremental cost-effectiveness ratio</w:t>
      </w:r>
      <w:r w:rsidRPr="0052352E">
        <w:rPr>
          <w:rFonts w:asciiTheme="minorHAnsi" w:hAnsiTheme="minorHAnsi" w:cs="Calibri"/>
          <w:sz w:val="22"/>
          <w:szCs w:val="22"/>
        </w:rPr>
        <w:t xml:space="preserve"> </w:t>
      </w:r>
      <w:r w:rsidRPr="00876CBF">
        <w:rPr>
          <w:rFonts w:asciiTheme="minorHAnsi" w:hAnsiTheme="minorHAnsi" w:cs="Calibri"/>
          <w:color w:val="000000"/>
          <w:sz w:val="22"/>
          <w:szCs w:val="22"/>
        </w:rPr>
        <w:t>of £1,904 per QALY gained</w:t>
      </w:r>
      <w:r>
        <w:rPr>
          <w:rFonts w:asciiTheme="minorHAnsi" w:hAnsiTheme="minorHAnsi" w:cs="Calibri"/>
          <w:color w:val="000000"/>
          <w:sz w:val="22"/>
          <w:szCs w:val="22"/>
        </w:rPr>
        <w:t>, and a probability of 0.52 of being cost-effective at a willingness to pay of £20,000 per QALY (Figure S5)</w:t>
      </w:r>
      <w:r w:rsidRPr="00876CBF">
        <w:rPr>
          <w:rFonts w:asciiTheme="minorHAnsi" w:hAnsiTheme="minorHAnsi" w:cs="Calibri"/>
          <w:color w:val="000000"/>
          <w:sz w:val="22"/>
          <w:szCs w:val="22"/>
        </w:rPr>
        <w:t>.</w:t>
      </w:r>
    </w:p>
    <w:p w:rsidR="00803D84" w:rsidRPr="009C1AFC" w:rsidRDefault="00803D84" w:rsidP="009C1AFC">
      <w:pPr>
        <w:spacing w:line="480" w:lineRule="auto"/>
        <w:jc w:val="both"/>
        <w:rPr>
          <w:rFonts w:asciiTheme="minorHAnsi" w:hAnsiTheme="minorHAnsi" w:cs="Calibri"/>
          <w:color w:val="000000"/>
          <w:sz w:val="22"/>
          <w:szCs w:val="22"/>
        </w:rPr>
      </w:pP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 xml:space="preserve">There were no serious adverse events. A total 654 adverse events were reported in 413 patients (25·8%, N=1601 who received a shunt). The proportion of patients experiencing an event was highest for silver </w:t>
      </w:r>
      <w:r>
        <w:rPr>
          <w:rFonts w:ascii="Calibri" w:hAnsi="Calibri" w:cs="Calibri"/>
          <w:sz w:val="22"/>
          <w:szCs w:val="22"/>
          <w:lang w:val="en-US"/>
        </w:rPr>
        <w:t>shunts</w:t>
      </w:r>
      <w:r>
        <w:rPr>
          <w:rFonts w:ascii="Calibri" w:hAnsi="Calibri" w:cs="Calibri"/>
          <w:sz w:val="22"/>
          <w:szCs w:val="22"/>
        </w:rPr>
        <w:t xml:space="preserve"> (Standard: 25·4%; Antibiotic: 23·3%; Silver: 36·4%, Table S11). Common adverse events were ventricular catheter obstruction (96 events in 79 patients); shunt valve obstruction (65 events in 52 patients); and valve change for symptomatic over drainage (54 events in 50). All of these were expected events in the context of re-admission for shunt revision.</w:t>
      </w:r>
    </w:p>
    <w:p w:rsidR="00803D84" w:rsidRPr="009D679F" w:rsidRDefault="00803D84" w:rsidP="00A262FE">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b/>
          <w:bCs/>
          <w:sz w:val="22"/>
          <w:szCs w:val="22"/>
        </w:rPr>
      </w:pPr>
      <w:r>
        <w:rPr>
          <w:rFonts w:ascii="Calibri" w:hAnsi="Calibri" w:cs="Calibri"/>
          <w:b/>
          <w:bCs/>
          <w:sz w:val="22"/>
          <w:szCs w:val="22"/>
        </w:rPr>
        <w:t>Discussion</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 xml:space="preserve">In this trial of patients with hydrocephalus undergoing insertion of a first permanent ventriculoperitoneal shunt the infection rates were 6·0% for those receiving standard shunts, 2·2% for antibiotic shunts and 5·9% for silver shunts. </w:t>
      </w:r>
      <w:r w:rsidRPr="00097242">
        <w:rPr>
          <w:rFonts w:ascii="Calibri" w:hAnsi="Calibri" w:cs="Calibri"/>
          <w:sz w:val="22"/>
          <w:szCs w:val="22"/>
        </w:rPr>
        <w:t xml:space="preserve">Compared to </w:t>
      </w:r>
      <w:r>
        <w:rPr>
          <w:rFonts w:ascii="Calibri" w:hAnsi="Calibri" w:cs="Calibri"/>
          <w:bCs/>
          <w:sz w:val="22"/>
          <w:szCs w:val="22"/>
        </w:rPr>
        <w:t>s</w:t>
      </w:r>
      <w:r w:rsidRPr="00097242">
        <w:rPr>
          <w:rFonts w:ascii="Calibri" w:hAnsi="Calibri" w:cs="Calibri"/>
          <w:bCs/>
          <w:sz w:val="22"/>
          <w:szCs w:val="22"/>
        </w:rPr>
        <w:t xml:space="preserve">tandard </w:t>
      </w:r>
      <w:r>
        <w:rPr>
          <w:rFonts w:ascii="Calibri" w:hAnsi="Calibri" w:cs="Calibri"/>
          <w:sz w:val="22"/>
          <w:szCs w:val="22"/>
          <w:lang w:val="en-US"/>
        </w:rPr>
        <w:t>shunts</w:t>
      </w:r>
      <w:r>
        <w:rPr>
          <w:rFonts w:ascii="Calibri" w:hAnsi="Calibri" w:cs="Calibri"/>
          <w:bCs/>
          <w:sz w:val="22"/>
          <w:szCs w:val="22"/>
        </w:rPr>
        <w:t>, a</w:t>
      </w:r>
      <w:r w:rsidRPr="00097242">
        <w:rPr>
          <w:rFonts w:ascii="Calibri" w:hAnsi="Calibri" w:cs="Calibri"/>
          <w:bCs/>
          <w:sz w:val="22"/>
          <w:szCs w:val="22"/>
        </w:rPr>
        <w:t>ntibiotic</w:t>
      </w:r>
      <w:r>
        <w:rPr>
          <w:rFonts w:ascii="Calibri" w:hAnsi="Calibri" w:cs="Calibri"/>
          <w:bCs/>
          <w:sz w:val="22"/>
          <w:szCs w:val="22"/>
        </w:rPr>
        <w:t xml:space="preserve"> shunts were</w:t>
      </w:r>
      <w:r w:rsidRPr="00097242">
        <w:rPr>
          <w:rFonts w:ascii="Calibri" w:hAnsi="Calibri" w:cs="Calibri"/>
          <w:sz w:val="22"/>
          <w:szCs w:val="22"/>
        </w:rPr>
        <w:t xml:space="preserve"> significantly associated with a lower rate of infection</w:t>
      </w:r>
      <w:r>
        <w:rPr>
          <w:rFonts w:ascii="Calibri" w:hAnsi="Calibri" w:cs="Calibri"/>
          <w:sz w:val="22"/>
          <w:szCs w:val="22"/>
        </w:rPr>
        <w:t xml:space="preserve"> while no such effect was evident for silver shunts. This effect was present across all age categories. The risk of shunt infection was highest in children</w:t>
      </w:r>
      <w:r w:rsidRPr="001D5A64">
        <w:rPr>
          <w:rFonts w:ascii="Calibri" w:hAnsi="Calibri" w:cs="Calibri"/>
          <w:sz w:val="22"/>
          <w:szCs w:val="22"/>
        </w:rPr>
        <w:t>,</w:t>
      </w:r>
      <w:r>
        <w:rPr>
          <w:rFonts w:ascii="Calibri" w:hAnsi="Calibri" w:cs="Calibri"/>
          <w:sz w:val="22"/>
          <w:szCs w:val="22"/>
        </w:rPr>
        <w:t xml:space="preserve"> reducing in adults and being particularly low in the elderly. There are significant economic benefits for every shunt infection averted, although cost-effectiveness is greatest among those at highest risk.</w:t>
      </w:r>
    </w:p>
    <w:p w:rsidR="00803D84" w:rsidRPr="00097242" w:rsidRDefault="00803D84" w:rsidP="00A262FE">
      <w:pPr>
        <w:spacing w:line="480" w:lineRule="auto"/>
        <w:jc w:val="both"/>
        <w:rPr>
          <w:rFonts w:ascii="Calibri" w:hAnsi="Calibri" w:cs="Calibri"/>
          <w:sz w:val="22"/>
          <w:szCs w:val="22"/>
        </w:rPr>
      </w:pPr>
    </w:p>
    <w:p w:rsidR="00803D84" w:rsidRDefault="00803D84" w:rsidP="001A1752">
      <w:pPr>
        <w:spacing w:line="480" w:lineRule="auto"/>
        <w:jc w:val="both"/>
        <w:rPr>
          <w:rFonts w:ascii="Calibri" w:hAnsi="Calibri" w:cs="Calibri"/>
          <w:sz w:val="22"/>
          <w:szCs w:val="22"/>
        </w:rPr>
      </w:pPr>
      <w:r>
        <w:rPr>
          <w:rFonts w:ascii="Calibri" w:hAnsi="Calibri" w:cs="Calibri"/>
          <w:sz w:val="22"/>
          <w:szCs w:val="22"/>
        </w:rPr>
        <w:t xml:space="preserve">The BASICS trial provides definitive evidence in the debate on use of using antibiotic or silver shunts to reduce infection. A previous randomised trial that was underpowered compared antibiotic to standard shunts, </w:t>
      </w:r>
      <w:r w:rsidRPr="009D679F">
        <w:rPr>
          <w:rFonts w:ascii="Calibri" w:hAnsi="Calibri" w:cs="Calibri"/>
          <w:sz w:val="22"/>
          <w:szCs w:val="22"/>
        </w:rPr>
        <w:t xml:space="preserve">but did not show a statistically significant difference </w:t>
      </w:r>
      <w:r>
        <w:rPr>
          <w:rFonts w:ascii="Calibri" w:hAnsi="Calibri" w:cs="Calibri"/>
          <w:sz w:val="22"/>
          <w:szCs w:val="22"/>
        </w:rPr>
        <w:t xml:space="preserve">in the risk of infection </w:t>
      </w:r>
      <w:r w:rsidRPr="009D679F">
        <w:rPr>
          <w:rFonts w:ascii="Calibri" w:hAnsi="Calibri" w:cs="Calibri"/>
          <w:sz w:val="22"/>
          <w:szCs w:val="22"/>
        </w:rPr>
        <w:t>(</w:t>
      </w:r>
      <w:r>
        <w:rPr>
          <w:rFonts w:ascii="Calibri" w:hAnsi="Calibri" w:cs="Calibri"/>
          <w:sz w:val="22"/>
          <w:szCs w:val="22"/>
        </w:rPr>
        <w:t>relative risk: 0·38 CI: 0·11, 1·30; p=0·</w:t>
      </w:r>
      <w:r w:rsidRPr="009D679F">
        <w:rPr>
          <w:rFonts w:ascii="Calibri" w:hAnsi="Calibri" w:cs="Calibri"/>
          <w:sz w:val="22"/>
          <w:szCs w:val="22"/>
        </w:rPr>
        <w:t>12)</w:t>
      </w:r>
      <w:r>
        <w:rPr>
          <w:rFonts w:ascii="Calibri" w:hAnsi="Calibri" w:cs="Calibri"/>
          <w:sz w:val="22"/>
          <w:szCs w:val="22"/>
        </w:rPr>
        <w:t>.</w:t>
      </w:r>
      <w:r w:rsidRPr="00187D7E">
        <w:rPr>
          <w:rFonts w:ascii="Calibri" w:hAnsi="Calibri" w:cs="Calibri"/>
          <w:noProof/>
          <w:sz w:val="22"/>
          <w:szCs w:val="22"/>
          <w:vertAlign w:val="superscript"/>
        </w:rPr>
        <w:t>22</w:t>
      </w:r>
      <w:r>
        <w:rPr>
          <w:rFonts w:ascii="Calibri" w:hAnsi="Calibri" w:cs="Calibri"/>
          <w:sz w:val="22"/>
          <w:szCs w:val="22"/>
        </w:rPr>
        <w:t xml:space="preserve">  Additionally, systematic reviews and meta-analyses did not find any high quality evidence to support the comparative effectiveness of antibiotic shunts at reducing infection.</w:t>
      </w:r>
      <w:r w:rsidRPr="00187D7E">
        <w:rPr>
          <w:rFonts w:ascii="Calibri" w:hAnsi="Calibri" w:cs="Calibri"/>
          <w:noProof/>
          <w:sz w:val="22"/>
          <w:szCs w:val="22"/>
          <w:vertAlign w:val="superscript"/>
        </w:rPr>
        <w:t>9,10</w:t>
      </w:r>
      <w:r>
        <w:rPr>
          <w:rFonts w:ascii="Calibri" w:hAnsi="Calibri" w:cs="Calibri"/>
          <w:sz w:val="22"/>
          <w:szCs w:val="22"/>
        </w:rPr>
        <w:t xml:space="preserve"> Silver catheters have only been evaluated for use in temporary external ventricular drains, not permanent implanted shunts. A randomised trial of external ventricular drains (silver versus standard) reported a reduction in </w:t>
      </w:r>
      <w:r w:rsidRPr="009D679F">
        <w:rPr>
          <w:rFonts w:ascii="Calibri" w:hAnsi="Calibri" w:cs="Calibri"/>
          <w:sz w:val="22"/>
          <w:szCs w:val="22"/>
        </w:rPr>
        <w:t>infection from</w:t>
      </w:r>
      <w:r>
        <w:rPr>
          <w:rFonts w:ascii="Calibri" w:hAnsi="Calibri" w:cs="Calibri"/>
          <w:sz w:val="22"/>
          <w:szCs w:val="22"/>
        </w:rPr>
        <w:t xml:space="preserve"> 21·4% (30/140) to 12·</w:t>
      </w:r>
      <w:r w:rsidRPr="009D679F">
        <w:rPr>
          <w:rFonts w:ascii="Calibri" w:hAnsi="Calibri" w:cs="Calibri"/>
          <w:sz w:val="22"/>
          <w:szCs w:val="22"/>
        </w:rPr>
        <w:t>3% (17/138) (</w:t>
      </w:r>
      <w:r>
        <w:rPr>
          <w:rFonts w:ascii="Calibri" w:hAnsi="Calibri" w:cs="Calibri"/>
          <w:sz w:val="22"/>
          <w:szCs w:val="22"/>
        </w:rPr>
        <w:t>p=0·</w:t>
      </w:r>
      <w:r w:rsidRPr="009D679F">
        <w:rPr>
          <w:rFonts w:ascii="Calibri" w:hAnsi="Calibri" w:cs="Calibri"/>
          <w:sz w:val="22"/>
          <w:szCs w:val="22"/>
        </w:rPr>
        <w:t>042)</w:t>
      </w:r>
      <w:r>
        <w:rPr>
          <w:rFonts w:ascii="Calibri" w:hAnsi="Calibri" w:cs="Calibri"/>
          <w:sz w:val="22"/>
          <w:szCs w:val="22"/>
        </w:rPr>
        <w:t>,</w:t>
      </w:r>
      <w:r w:rsidRPr="00187D7E">
        <w:rPr>
          <w:rFonts w:ascii="Calibri" w:hAnsi="Calibri" w:cs="Calibri"/>
          <w:noProof/>
          <w:sz w:val="22"/>
          <w:szCs w:val="22"/>
          <w:vertAlign w:val="superscript"/>
        </w:rPr>
        <w:t>23</w:t>
      </w:r>
      <w:r>
        <w:rPr>
          <w:rFonts w:ascii="Calibri" w:hAnsi="Calibri" w:cs="Calibri"/>
          <w:sz w:val="22"/>
          <w:szCs w:val="22"/>
        </w:rPr>
        <w:t xml:space="preserve"> although this is much higher than the UK national reported infection rate (9·3%).</w:t>
      </w:r>
      <w:r w:rsidRPr="00187D7E">
        <w:rPr>
          <w:rFonts w:ascii="Calibri" w:hAnsi="Calibri" w:cs="Calibri"/>
          <w:noProof/>
          <w:sz w:val="22"/>
          <w:szCs w:val="22"/>
          <w:vertAlign w:val="superscript"/>
        </w:rPr>
        <w:t>24</w:t>
      </w:r>
      <w:r>
        <w:rPr>
          <w:rFonts w:ascii="Calibri" w:hAnsi="Calibri" w:cs="Calibri"/>
          <w:sz w:val="22"/>
          <w:szCs w:val="22"/>
        </w:rPr>
        <w:t xml:space="preserve"> The BASICS trial was therefore conceived to evaluate both antibiotic and silver shunts, which might otherwise have been widely introduced into routine clinical practice despite a lack of firm evidence of their efficacy. The results of our trial show that antibiotic shunts are both clinically and cost effective and will inform neurosurgery practice and shunt choice for the benefit of patients.</w:t>
      </w:r>
    </w:p>
    <w:p w:rsidR="00803D84" w:rsidRDefault="00803D84" w:rsidP="001A1752">
      <w:pPr>
        <w:spacing w:line="480" w:lineRule="auto"/>
        <w:jc w:val="both"/>
        <w:rPr>
          <w:rFonts w:ascii="Calibri" w:hAnsi="Calibri" w:cs="Calibri"/>
          <w:sz w:val="22"/>
          <w:szCs w:val="22"/>
        </w:rPr>
      </w:pPr>
    </w:p>
    <w:p w:rsidR="00803D84" w:rsidRDefault="00803D84" w:rsidP="00A262FE">
      <w:pPr>
        <w:pStyle w:val="Default"/>
        <w:spacing w:line="480" w:lineRule="auto"/>
        <w:jc w:val="both"/>
        <w:rPr>
          <w:rFonts w:ascii="Calibri" w:hAnsi="Calibri" w:cs="Calibri"/>
          <w:sz w:val="22"/>
          <w:szCs w:val="22"/>
        </w:rPr>
      </w:pPr>
      <w:r>
        <w:rPr>
          <w:rFonts w:ascii="Calibri" w:hAnsi="Calibri" w:cs="Calibri"/>
          <w:sz w:val="22"/>
          <w:szCs w:val="22"/>
        </w:rPr>
        <w:t xml:space="preserve">Correctly diagnosing shunt infection when the CSF is culture positive is straightforward, however this only applies to around 70% of cases. When the CSF is culture negative the treating neurosurgeon must consider other parameters including, CSF white cell count, clinical symptoms and signs and prior treatment with antibiotics. In these circumstances removal of the shunt and antibiotic treatment often leads to resolution of the presumed infection and patient recovery. The classification of shunt infection in our study was determined by the central review committee (table 2), and the proportion of culture positive infections was 68·8% in standard shunts, 50·0% in antibiotic shunts and 80·6% in silver shunts. There was a lower rate of culture positive infection with antibiotic shunts. Our analysis allowed for culture negative infections to be included when there was sufficient supporting clinical evidence of shunt infection. This was because we postulated that the presence of antibiotic and possibly silver shunts might reduce the ability to culture organisms from infected shunts. Our study showed an even greater effect in favour of antibiotic shunts when only culture positive infections were analysed. The reduction of infections seen is consistent with the expected microbiological spectrum of the antibiotic shunts, which are especially active against gram-positive organisms, and were designed to prevent </w:t>
      </w:r>
      <w:r>
        <w:rPr>
          <w:rFonts w:ascii="Calibri" w:hAnsi="Calibri" w:cs="Calibri"/>
          <w:i/>
          <w:sz w:val="22"/>
          <w:szCs w:val="22"/>
        </w:rPr>
        <w:t>Staphylococcus</w:t>
      </w:r>
      <w:r>
        <w:rPr>
          <w:rFonts w:ascii="Calibri" w:hAnsi="Calibri" w:cs="Calibri"/>
          <w:sz w:val="22"/>
          <w:szCs w:val="22"/>
        </w:rPr>
        <w:t xml:space="preserve"> species infection. The culture results show a large reduction in staphylococcal infection compared to standard and silver shunts, which accounts for the majority of the reduction. All three shunt types had a similar number of gram-negative infections supporting the biological plausibility of our results.</w:t>
      </w:r>
    </w:p>
    <w:p w:rsidR="00803D84" w:rsidRDefault="00803D84" w:rsidP="00A262FE">
      <w:pPr>
        <w:pStyle w:val="Default"/>
        <w:spacing w:line="480" w:lineRule="auto"/>
        <w:jc w:val="both"/>
        <w:rPr>
          <w:rFonts w:ascii="Calibri" w:hAnsi="Calibri" w:cs="Calibri"/>
          <w:sz w:val="22"/>
          <w:szCs w:val="22"/>
        </w:rPr>
      </w:pPr>
    </w:p>
    <w:p w:rsidR="00803D84" w:rsidRPr="000830C9" w:rsidRDefault="00803D84" w:rsidP="000830C9">
      <w:pPr>
        <w:pStyle w:val="Default"/>
        <w:spacing w:before="100" w:after="200" w:line="480" w:lineRule="auto"/>
        <w:jc w:val="both"/>
        <w:rPr>
          <w:rFonts w:ascii="Calibri" w:hAnsi="Calibri" w:cs="Calibri"/>
          <w:sz w:val="22"/>
          <w:szCs w:val="22"/>
        </w:rPr>
      </w:pPr>
      <w:r w:rsidRPr="000830C9">
        <w:rPr>
          <w:rFonts w:ascii="Calibri" w:hAnsi="Calibri" w:cs="Calibri"/>
          <w:sz w:val="22"/>
          <w:szCs w:val="22"/>
        </w:rPr>
        <w:t xml:space="preserve">It should be noted that the overall </w:t>
      </w:r>
      <w:r>
        <w:rPr>
          <w:rFonts w:ascii="Calibri" w:hAnsi="Calibri" w:cs="Calibri"/>
          <w:sz w:val="22"/>
          <w:szCs w:val="22"/>
        </w:rPr>
        <w:t>shunt</w:t>
      </w:r>
      <w:r w:rsidRPr="000830C9">
        <w:rPr>
          <w:rFonts w:ascii="Calibri" w:hAnsi="Calibri" w:cs="Calibri"/>
          <w:sz w:val="22"/>
          <w:szCs w:val="22"/>
        </w:rPr>
        <w:t xml:space="preserve"> failure rate was the same for all groups even though infection was reduced in antibiotic </w:t>
      </w:r>
      <w:r>
        <w:rPr>
          <w:rFonts w:ascii="Calibri" w:hAnsi="Calibri" w:cs="Calibri"/>
          <w:sz w:val="22"/>
          <w:szCs w:val="22"/>
        </w:rPr>
        <w:t xml:space="preserve">shunts. </w:t>
      </w:r>
      <w:r w:rsidRPr="000830C9">
        <w:rPr>
          <w:rFonts w:ascii="Calibri" w:hAnsi="Calibri" w:cs="Calibri"/>
          <w:sz w:val="22"/>
          <w:szCs w:val="22"/>
        </w:rPr>
        <w:t xml:space="preserve">When one removes infection as a cause, the clean non-infected revision rates were slightly higher </w:t>
      </w:r>
      <w:r>
        <w:rPr>
          <w:rFonts w:ascii="Calibri" w:hAnsi="Calibri" w:cs="Calibri"/>
          <w:sz w:val="22"/>
          <w:szCs w:val="22"/>
        </w:rPr>
        <w:t xml:space="preserve">for </w:t>
      </w:r>
      <w:r w:rsidRPr="000830C9">
        <w:rPr>
          <w:rFonts w:ascii="Calibri" w:hAnsi="Calibri" w:cs="Calibri"/>
          <w:sz w:val="22"/>
          <w:szCs w:val="22"/>
        </w:rPr>
        <w:t xml:space="preserve">antibiotic </w:t>
      </w:r>
      <w:r>
        <w:rPr>
          <w:rFonts w:ascii="Calibri" w:hAnsi="Calibri" w:cs="Calibri"/>
          <w:sz w:val="22"/>
          <w:szCs w:val="22"/>
        </w:rPr>
        <w:t>shunts. The cause is unclear but o</w:t>
      </w:r>
      <w:r w:rsidRPr="000830C9">
        <w:rPr>
          <w:rFonts w:ascii="Calibri" w:hAnsi="Calibri" w:cs="Calibri"/>
          <w:sz w:val="22"/>
          <w:szCs w:val="22"/>
        </w:rPr>
        <w:t xml:space="preserve">ne hypothesis is that the antibiotic catheters </w:t>
      </w:r>
      <w:r>
        <w:rPr>
          <w:rFonts w:ascii="Calibri" w:hAnsi="Calibri" w:cs="Calibri"/>
          <w:sz w:val="22"/>
          <w:szCs w:val="22"/>
        </w:rPr>
        <w:t xml:space="preserve">may </w:t>
      </w:r>
      <w:r w:rsidRPr="000830C9">
        <w:rPr>
          <w:rFonts w:ascii="Calibri" w:hAnsi="Calibri" w:cs="Calibri"/>
          <w:sz w:val="22"/>
          <w:szCs w:val="22"/>
        </w:rPr>
        <w:t>convert a</w:t>
      </w:r>
      <w:r>
        <w:rPr>
          <w:rFonts w:ascii="Calibri" w:hAnsi="Calibri" w:cs="Calibri"/>
          <w:sz w:val="22"/>
          <w:szCs w:val="22"/>
        </w:rPr>
        <w:t>n</w:t>
      </w:r>
      <w:r w:rsidRPr="000830C9">
        <w:rPr>
          <w:rFonts w:ascii="Calibri" w:hAnsi="Calibri" w:cs="Calibri"/>
          <w:sz w:val="22"/>
          <w:szCs w:val="22"/>
        </w:rPr>
        <w:t xml:space="preserve"> ‘infected’ shunt revision into an apparently ‘clean’ shunt revision</w:t>
      </w:r>
      <w:r>
        <w:rPr>
          <w:rFonts w:ascii="Calibri" w:hAnsi="Calibri" w:cs="Calibri"/>
          <w:sz w:val="22"/>
          <w:szCs w:val="22"/>
        </w:rPr>
        <w:t xml:space="preserve">. This might occur because </w:t>
      </w:r>
      <w:r w:rsidRPr="000830C9">
        <w:rPr>
          <w:rFonts w:ascii="Calibri" w:hAnsi="Calibri" w:cs="Calibri"/>
          <w:sz w:val="22"/>
          <w:szCs w:val="22"/>
        </w:rPr>
        <w:t>low virulent pathogens are restricted to a biofilm in the valve</w:t>
      </w:r>
      <w:r>
        <w:rPr>
          <w:rFonts w:ascii="Calibri" w:hAnsi="Calibri" w:cs="Calibri"/>
          <w:sz w:val="22"/>
          <w:szCs w:val="22"/>
        </w:rPr>
        <w:t xml:space="preserve"> (which is not impregnated) that does not </w:t>
      </w:r>
      <w:r w:rsidRPr="000830C9">
        <w:rPr>
          <w:rFonts w:ascii="Calibri" w:hAnsi="Calibri" w:cs="Calibri"/>
          <w:sz w:val="22"/>
          <w:szCs w:val="22"/>
        </w:rPr>
        <w:t>caus</w:t>
      </w:r>
      <w:r>
        <w:rPr>
          <w:rFonts w:ascii="Calibri" w:hAnsi="Calibri" w:cs="Calibri"/>
          <w:sz w:val="22"/>
          <w:szCs w:val="22"/>
        </w:rPr>
        <w:t xml:space="preserve">e detectable changes </w:t>
      </w:r>
      <w:r w:rsidRPr="000830C9">
        <w:rPr>
          <w:rFonts w:ascii="Calibri" w:hAnsi="Calibri" w:cs="Calibri"/>
          <w:sz w:val="22"/>
          <w:szCs w:val="22"/>
        </w:rPr>
        <w:t>in</w:t>
      </w:r>
      <w:r>
        <w:rPr>
          <w:rFonts w:ascii="Calibri" w:hAnsi="Calibri" w:cs="Calibri"/>
          <w:sz w:val="22"/>
          <w:szCs w:val="22"/>
        </w:rPr>
        <w:t xml:space="preserve"> the </w:t>
      </w:r>
      <w:r w:rsidRPr="000830C9">
        <w:rPr>
          <w:rFonts w:ascii="Calibri" w:hAnsi="Calibri" w:cs="Calibri"/>
          <w:sz w:val="22"/>
          <w:szCs w:val="22"/>
        </w:rPr>
        <w:t xml:space="preserve">CSF </w:t>
      </w:r>
      <w:r>
        <w:rPr>
          <w:rFonts w:ascii="Calibri" w:hAnsi="Calibri" w:cs="Calibri"/>
          <w:sz w:val="22"/>
          <w:szCs w:val="22"/>
        </w:rPr>
        <w:t>(such as increased white cell count) as th</w:t>
      </w:r>
      <w:r w:rsidRPr="000830C9">
        <w:rPr>
          <w:rFonts w:ascii="Calibri" w:hAnsi="Calibri" w:cs="Calibri"/>
          <w:sz w:val="22"/>
          <w:szCs w:val="22"/>
        </w:rPr>
        <w:t xml:space="preserve">ere is no ventriculitis </w:t>
      </w:r>
      <w:r>
        <w:rPr>
          <w:rFonts w:ascii="Calibri" w:hAnsi="Calibri" w:cs="Calibri"/>
          <w:sz w:val="22"/>
          <w:szCs w:val="22"/>
        </w:rPr>
        <w:t xml:space="preserve">and the </w:t>
      </w:r>
      <w:r w:rsidRPr="000830C9">
        <w:rPr>
          <w:rFonts w:ascii="Calibri" w:hAnsi="Calibri" w:cs="Calibri"/>
          <w:sz w:val="22"/>
          <w:szCs w:val="22"/>
        </w:rPr>
        <w:t>bacteria are low in number or not able to grow in the presence of the eluted antibiotics</w:t>
      </w:r>
      <w:r>
        <w:rPr>
          <w:rFonts w:ascii="Calibri" w:hAnsi="Calibri" w:cs="Calibri"/>
          <w:sz w:val="22"/>
          <w:szCs w:val="22"/>
        </w:rPr>
        <w:t xml:space="preserve">. However, </w:t>
      </w:r>
      <w:r w:rsidRPr="000830C9">
        <w:rPr>
          <w:rFonts w:ascii="Calibri" w:hAnsi="Calibri" w:cs="Calibri"/>
          <w:sz w:val="22"/>
          <w:szCs w:val="22"/>
        </w:rPr>
        <w:t>change</w:t>
      </w:r>
      <w:r>
        <w:rPr>
          <w:rFonts w:ascii="Calibri" w:hAnsi="Calibri" w:cs="Calibri"/>
          <w:sz w:val="22"/>
          <w:szCs w:val="22"/>
        </w:rPr>
        <w:t>s</w:t>
      </w:r>
      <w:r w:rsidRPr="000830C9">
        <w:rPr>
          <w:rFonts w:ascii="Calibri" w:hAnsi="Calibri" w:cs="Calibri"/>
          <w:sz w:val="22"/>
          <w:szCs w:val="22"/>
        </w:rPr>
        <w:t xml:space="preserve"> in CSF composition and flow (such as debris or high protein) </w:t>
      </w:r>
      <w:r>
        <w:rPr>
          <w:rFonts w:ascii="Calibri" w:hAnsi="Calibri" w:cs="Calibri"/>
          <w:sz w:val="22"/>
          <w:szCs w:val="22"/>
        </w:rPr>
        <w:t>may lead to blockage of the intricate valve mechanism. Our</w:t>
      </w:r>
      <w:r w:rsidRPr="000830C9">
        <w:rPr>
          <w:rFonts w:ascii="Calibri" w:hAnsi="Calibri" w:cs="Calibri"/>
          <w:sz w:val="22"/>
          <w:szCs w:val="22"/>
        </w:rPr>
        <w:t xml:space="preserve"> study </w:t>
      </w:r>
      <w:r>
        <w:rPr>
          <w:rFonts w:ascii="Calibri" w:hAnsi="Calibri" w:cs="Calibri"/>
          <w:sz w:val="22"/>
          <w:szCs w:val="22"/>
        </w:rPr>
        <w:t xml:space="preserve">was </w:t>
      </w:r>
      <w:r w:rsidRPr="000830C9">
        <w:rPr>
          <w:rFonts w:ascii="Calibri" w:hAnsi="Calibri" w:cs="Calibri"/>
          <w:sz w:val="22"/>
          <w:szCs w:val="22"/>
        </w:rPr>
        <w:t>not powered or designed to answer this question directly, but it will serve as a futu</w:t>
      </w:r>
      <w:r>
        <w:rPr>
          <w:rFonts w:ascii="Calibri" w:hAnsi="Calibri" w:cs="Calibri"/>
          <w:sz w:val="22"/>
          <w:szCs w:val="22"/>
        </w:rPr>
        <w:t xml:space="preserve">re important research question. Nevertheless, </w:t>
      </w:r>
      <w:r w:rsidRPr="000830C9">
        <w:rPr>
          <w:rFonts w:ascii="Calibri" w:hAnsi="Calibri" w:cs="Calibri"/>
          <w:sz w:val="22"/>
          <w:szCs w:val="22"/>
        </w:rPr>
        <w:t xml:space="preserve">from </w:t>
      </w:r>
      <w:r>
        <w:rPr>
          <w:rFonts w:ascii="Calibri" w:hAnsi="Calibri" w:cs="Calibri"/>
          <w:sz w:val="22"/>
          <w:szCs w:val="22"/>
        </w:rPr>
        <w:t>the</w:t>
      </w:r>
      <w:r w:rsidRPr="000830C9">
        <w:rPr>
          <w:rFonts w:ascii="Calibri" w:hAnsi="Calibri" w:cs="Calibri"/>
          <w:sz w:val="22"/>
          <w:szCs w:val="22"/>
        </w:rPr>
        <w:t xml:space="preserve"> patient </w:t>
      </w:r>
      <w:r>
        <w:rPr>
          <w:rFonts w:ascii="Calibri" w:hAnsi="Calibri" w:cs="Calibri"/>
          <w:sz w:val="22"/>
          <w:szCs w:val="22"/>
        </w:rPr>
        <w:t>perspective</w:t>
      </w:r>
      <w:r w:rsidRPr="000830C9">
        <w:rPr>
          <w:rFonts w:ascii="Calibri" w:hAnsi="Calibri" w:cs="Calibri"/>
          <w:sz w:val="22"/>
          <w:szCs w:val="22"/>
        </w:rPr>
        <w:t xml:space="preserve">, </w:t>
      </w:r>
      <w:r>
        <w:rPr>
          <w:rFonts w:ascii="Calibri" w:hAnsi="Calibri" w:cs="Calibri"/>
          <w:sz w:val="22"/>
          <w:szCs w:val="22"/>
        </w:rPr>
        <w:t xml:space="preserve">whilst mechanical </w:t>
      </w:r>
      <w:r w:rsidRPr="000830C9">
        <w:rPr>
          <w:rFonts w:ascii="Calibri" w:hAnsi="Calibri" w:cs="Calibri"/>
          <w:sz w:val="22"/>
          <w:szCs w:val="22"/>
        </w:rPr>
        <w:t>shunt revision</w:t>
      </w:r>
      <w:r>
        <w:rPr>
          <w:rFonts w:ascii="Calibri" w:hAnsi="Calibri" w:cs="Calibri"/>
          <w:sz w:val="22"/>
          <w:szCs w:val="22"/>
        </w:rPr>
        <w:t xml:space="preserve"> still requires surgery which may impact on their quality of life, the hospital admission is short, prolonged antibiotics are not required and patients recover more quickly with fewer long-term neurological sequelae when compared to shunt infection.</w:t>
      </w:r>
      <w:r w:rsidRPr="00A341A4">
        <w:rPr>
          <w:rFonts w:ascii="Calibri" w:hAnsi="Calibri" w:cs="Calibri"/>
          <w:noProof/>
          <w:sz w:val="22"/>
          <w:szCs w:val="22"/>
          <w:vertAlign w:val="superscript"/>
        </w:rPr>
        <w:t>7,8</w:t>
      </w:r>
    </w:p>
    <w:p w:rsidR="00803D84" w:rsidRDefault="00803D84" w:rsidP="00005A39">
      <w:pPr>
        <w:pStyle w:val="Default"/>
        <w:spacing w:line="480" w:lineRule="auto"/>
        <w:jc w:val="both"/>
        <w:rPr>
          <w:rFonts w:ascii="Calibri" w:hAnsi="Calibri" w:cs="Calibri"/>
          <w:sz w:val="22"/>
          <w:szCs w:val="22"/>
        </w:rPr>
      </w:pPr>
    </w:p>
    <w:p w:rsidR="00803D84" w:rsidRDefault="00803D84" w:rsidP="00005A39">
      <w:pPr>
        <w:pStyle w:val="Default"/>
        <w:spacing w:line="480" w:lineRule="auto"/>
        <w:jc w:val="both"/>
        <w:rPr>
          <w:rFonts w:ascii="Calibri" w:hAnsi="Calibri" w:cs="Calibri"/>
          <w:sz w:val="22"/>
          <w:szCs w:val="22"/>
        </w:rPr>
      </w:pPr>
      <w:r>
        <w:rPr>
          <w:rFonts w:ascii="Calibri" w:hAnsi="Calibri" w:cs="Calibri"/>
          <w:sz w:val="22"/>
          <w:szCs w:val="22"/>
        </w:rPr>
        <w:t>Complications associated with shunt failures are expensive to manage.</w:t>
      </w:r>
      <w:r w:rsidRPr="00187D7E">
        <w:rPr>
          <w:rFonts w:ascii="Calibri" w:hAnsi="Calibri" w:cs="Calibri"/>
          <w:noProof/>
          <w:sz w:val="22"/>
          <w:szCs w:val="22"/>
          <w:vertAlign w:val="superscript"/>
        </w:rPr>
        <w:t>25-27</w:t>
      </w:r>
      <w:r w:rsidRPr="009D679F">
        <w:rPr>
          <w:rFonts w:ascii="Calibri" w:hAnsi="Calibri" w:cs="Calibri"/>
          <w:sz w:val="22"/>
          <w:szCs w:val="22"/>
        </w:rPr>
        <w:t xml:space="preserve"> </w:t>
      </w:r>
      <w:r>
        <w:rPr>
          <w:rFonts w:ascii="Calibri" w:hAnsi="Calibri" w:cs="Calibri"/>
          <w:sz w:val="22"/>
          <w:szCs w:val="22"/>
        </w:rPr>
        <w:t>Economic analyses suggest that the use of impregnated shunts that result in fewer complications, even if more expensive to purchase, could be cost-effective or yield cost savings.</w:t>
      </w:r>
      <w:r w:rsidRPr="00187D7E">
        <w:rPr>
          <w:rFonts w:ascii="Calibri" w:hAnsi="Calibri" w:cs="Calibri"/>
          <w:noProof/>
          <w:sz w:val="22"/>
          <w:szCs w:val="22"/>
          <w:vertAlign w:val="superscript"/>
        </w:rPr>
        <w:t>10,28,29</w:t>
      </w:r>
      <w:r>
        <w:rPr>
          <w:rFonts w:ascii="Calibri" w:hAnsi="Calibri" w:cs="Calibri"/>
          <w:sz w:val="22"/>
          <w:szCs w:val="22"/>
        </w:rPr>
        <w:t xml:space="preserve"> The cost-effectiveness analysis within BASICS estimated that while a</w:t>
      </w:r>
      <w:r w:rsidRPr="00831EDC">
        <w:rPr>
          <w:rFonts w:ascii="Calibri" w:hAnsi="Calibri" w:cs="Calibri"/>
          <w:sz w:val="22"/>
          <w:szCs w:val="22"/>
        </w:rPr>
        <w:t>ntibiotic</w:t>
      </w:r>
      <w:r>
        <w:rPr>
          <w:rFonts w:ascii="Calibri" w:hAnsi="Calibri" w:cs="Calibri"/>
          <w:sz w:val="22"/>
          <w:szCs w:val="22"/>
        </w:rPr>
        <w:t xml:space="preserve"> shunts </w:t>
      </w:r>
      <w:r w:rsidRPr="00831EDC">
        <w:rPr>
          <w:rFonts w:ascii="Calibri" w:hAnsi="Calibri" w:cs="Calibri"/>
          <w:sz w:val="22"/>
          <w:szCs w:val="22"/>
        </w:rPr>
        <w:t xml:space="preserve">are </w:t>
      </w:r>
      <w:r>
        <w:rPr>
          <w:rFonts w:ascii="Calibri" w:hAnsi="Calibri" w:cs="Calibri"/>
          <w:sz w:val="22"/>
          <w:szCs w:val="22"/>
        </w:rPr>
        <w:t>twice</w:t>
      </w:r>
      <w:r w:rsidRPr="00831EDC">
        <w:rPr>
          <w:rFonts w:ascii="Calibri" w:hAnsi="Calibri" w:cs="Calibri"/>
          <w:sz w:val="22"/>
          <w:szCs w:val="22"/>
        </w:rPr>
        <w:t xml:space="preserve"> the price of standard</w:t>
      </w:r>
      <w:r>
        <w:rPr>
          <w:rFonts w:ascii="Calibri" w:hAnsi="Calibri" w:cs="Calibri"/>
          <w:sz w:val="22"/>
          <w:szCs w:val="22"/>
        </w:rPr>
        <w:t>,</w:t>
      </w:r>
      <w:r w:rsidRPr="00831EDC">
        <w:rPr>
          <w:rFonts w:ascii="Calibri" w:hAnsi="Calibri" w:cs="Calibri"/>
          <w:sz w:val="22"/>
          <w:szCs w:val="22"/>
        </w:rPr>
        <w:t xml:space="preserve"> </w:t>
      </w:r>
      <w:r>
        <w:rPr>
          <w:rFonts w:ascii="Calibri" w:hAnsi="Calibri" w:cs="Calibri"/>
          <w:sz w:val="22"/>
          <w:szCs w:val="22"/>
        </w:rPr>
        <w:t xml:space="preserve">there are expected to be cost-savings overall; although, based on the </w:t>
      </w:r>
      <w:r w:rsidRPr="00CB7090">
        <w:rPr>
          <w:rFonts w:ascii="Calibri" w:hAnsi="Calibri" w:cs="Calibri"/>
          <w:sz w:val="22"/>
          <w:szCs w:val="22"/>
        </w:rPr>
        <w:t>primary economic outcome</w:t>
      </w:r>
      <w:r>
        <w:rPr>
          <w:rFonts w:ascii="Calibri" w:hAnsi="Calibri" w:cs="Calibri"/>
          <w:sz w:val="22"/>
          <w:szCs w:val="22"/>
        </w:rPr>
        <w:t xml:space="preserve"> this may be at the expense of </w:t>
      </w:r>
      <w:r w:rsidRPr="00CB7090">
        <w:rPr>
          <w:rFonts w:ascii="Calibri" w:hAnsi="Calibri" w:cs="Calibri"/>
          <w:sz w:val="22"/>
          <w:szCs w:val="22"/>
        </w:rPr>
        <w:t xml:space="preserve">additional cases of shunt failures </w:t>
      </w:r>
      <w:r>
        <w:rPr>
          <w:rFonts w:ascii="Calibri" w:hAnsi="Calibri" w:cs="Calibri"/>
          <w:sz w:val="22"/>
          <w:szCs w:val="22"/>
        </w:rPr>
        <w:t xml:space="preserve">(due to any cause) </w:t>
      </w:r>
      <w:r w:rsidRPr="00CB7090">
        <w:rPr>
          <w:rFonts w:ascii="Calibri" w:hAnsi="Calibri" w:cs="Calibri"/>
          <w:sz w:val="22"/>
          <w:szCs w:val="22"/>
        </w:rPr>
        <w:t>with silver and antibiotic compared to standard</w:t>
      </w:r>
      <w:r>
        <w:rPr>
          <w:rFonts w:ascii="Calibri" w:hAnsi="Calibri" w:cs="Calibri"/>
          <w:sz w:val="22"/>
          <w:szCs w:val="22"/>
        </w:rPr>
        <w:t xml:space="preserve">. The secondary economic outcome </w:t>
      </w:r>
      <w:r w:rsidRPr="009E1153">
        <w:rPr>
          <w:rFonts w:ascii="Calibri" w:hAnsi="Calibri" w:cs="Calibri"/>
          <w:sz w:val="22"/>
          <w:szCs w:val="22"/>
        </w:rPr>
        <w:t xml:space="preserve">based on the incremental cost per </w:t>
      </w:r>
      <w:r>
        <w:rPr>
          <w:rFonts w:ascii="Calibri" w:hAnsi="Calibri" w:cs="Calibri"/>
          <w:sz w:val="22"/>
          <w:szCs w:val="22"/>
        </w:rPr>
        <w:t>shunt</w:t>
      </w:r>
      <w:r w:rsidRPr="009E1153">
        <w:rPr>
          <w:rFonts w:ascii="Calibri" w:hAnsi="Calibri" w:cs="Calibri"/>
          <w:sz w:val="22"/>
          <w:szCs w:val="22"/>
        </w:rPr>
        <w:t xml:space="preserve"> infection averted </w:t>
      </w:r>
      <w:r>
        <w:rPr>
          <w:rFonts w:ascii="Calibri" w:hAnsi="Calibri" w:cs="Calibri"/>
          <w:sz w:val="22"/>
          <w:szCs w:val="22"/>
        </w:rPr>
        <w:t xml:space="preserve">is relevant as a reduced </w:t>
      </w:r>
      <w:r w:rsidRPr="00831EDC">
        <w:rPr>
          <w:rFonts w:ascii="Calibri" w:hAnsi="Calibri" w:cs="Calibri"/>
          <w:sz w:val="22"/>
          <w:szCs w:val="22"/>
        </w:rPr>
        <w:t xml:space="preserve">infection rate </w:t>
      </w:r>
      <w:r>
        <w:rPr>
          <w:rFonts w:ascii="Calibri" w:hAnsi="Calibri" w:cs="Calibri"/>
          <w:sz w:val="22"/>
          <w:szCs w:val="22"/>
        </w:rPr>
        <w:t>is expected to be</w:t>
      </w:r>
      <w:r w:rsidRPr="00831EDC">
        <w:rPr>
          <w:rFonts w:ascii="Calibri" w:hAnsi="Calibri" w:cs="Calibri"/>
          <w:sz w:val="22"/>
          <w:szCs w:val="22"/>
        </w:rPr>
        <w:t xml:space="preserve"> associated </w:t>
      </w:r>
      <w:r>
        <w:rPr>
          <w:rFonts w:ascii="Calibri" w:hAnsi="Calibri" w:cs="Calibri"/>
          <w:sz w:val="22"/>
          <w:szCs w:val="22"/>
        </w:rPr>
        <w:t xml:space="preserve">with reduced need </w:t>
      </w:r>
      <w:r w:rsidRPr="00831EDC">
        <w:rPr>
          <w:rFonts w:ascii="Calibri" w:hAnsi="Calibri" w:cs="Calibri"/>
          <w:sz w:val="22"/>
          <w:szCs w:val="22"/>
        </w:rPr>
        <w:t>of further surgery and prolonged hospital care</w:t>
      </w:r>
      <w:r>
        <w:rPr>
          <w:rFonts w:ascii="Calibri" w:hAnsi="Calibri" w:cs="Calibri"/>
          <w:sz w:val="22"/>
          <w:szCs w:val="22"/>
        </w:rPr>
        <w:t xml:space="preserve">. </w:t>
      </w:r>
      <w:r w:rsidRPr="009E1153">
        <w:rPr>
          <w:rFonts w:ascii="Calibri" w:hAnsi="Calibri" w:cs="Calibri"/>
          <w:sz w:val="22"/>
          <w:szCs w:val="22"/>
        </w:rPr>
        <w:t xml:space="preserve">Compared with standard, </w:t>
      </w:r>
      <w:r>
        <w:rPr>
          <w:rFonts w:ascii="Calibri" w:hAnsi="Calibri" w:cs="Calibri"/>
          <w:sz w:val="22"/>
          <w:szCs w:val="22"/>
        </w:rPr>
        <w:t xml:space="preserve">silver shunts were dominated, but </w:t>
      </w:r>
      <w:r w:rsidRPr="009E1153">
        <w:rPr>
          <w:rFonts w:ascii="Calibri" w:hAnsi="Calibri" w:cs="Calibri"/>
          <w:sz w:val="22"/>
          <w:szCs w:val="22"/>
        </w:rPr>
        <w:t>antibiotic</w:t>
      </w:r>
      <w:r>
        <w:rPr>
          <w:rFonts w:ascii="Calibri" w:hAnsi="Calibri" w:cs="Calibri"/>
          <w:sz w:val="22"/>
          <w:szCs w:val="22"/>
        </w:rPr>
        <w:t xml:space="preserve"> shunts</w:t>
      </w:r>
      <w:r w:rsidRPr="009E1153">
        <w:rPr>
          <w:rFonts w:ascii="Calibri" w:hAnsi="Calibri" w:cs="Calibri"/>
          <w:sz w:val="22"/>
          <w:szCs w:val="22"/>
        </w:rPr>
        <w:t xml:space="preserve"> wer</w:t>
      </w:r>
      <w:r>
        <w:rPr>
          <w:rFonts w:ascii="Calibri" w:hAnsi="Calibri" w:cs="Calibri"/>
          <w:sz w:val="22"/>
          <w:szCs w:val="22"/>
        </w:rPr>
        <w:t>e dominant, saving £4,059 per 0·</w:t>
      </w:r>
      <w:r w:rsidRPr="009E1153">
        <w:rPr>
          <w:rFonts w:ascii="Calibri" w:hAnsi="Calibri" w:cs="Calibri"/>
          <w:sz w:val="22"/>
          <w:szCs w:val="22"/>
        </w:rPr>
        <w:t xml:space="preserve">030 fewer infection-related </w:t>
      </w:r>
      <w:r>
        <w:rPr>
          <w:rFonts w:ascii="Calibri" w:hAnsi="Calibri" w:cs="Calibri"/>
          <w:sz w:val="22"/>
          <w:szCs w:val="22"/>
        </w:rPr>
        <w:t>f</w:t>
      </w:r>
      <w:r w:rsidRPr="009E1153">
        <w:rPr>
          <w:rFonts w:ascii="Calibri" w:hAnsi="Calibri" w:cs="Calibri"/>
          <w:sz w:val="22"/>
          <w:szCs w:val="22"/>
        </w:rPr>
        <w:t>ailures</w:t>
      </w:r>
      <w:r>
        <w:rPr>
          <w:rFonts w:ascii="Calibri" w:hAnsi="Calibri" w:cs="Calibri"/>
          <w:sz w:val="22"/>
          <w:szCs w:val="22"/>
        </w:rPr>
        <w:t xml:space="preserve">; equating to </w:t>
      </w:r>
      <w:r w:rsidRPr="009E1153">
        <w:rPr>
          <w:rFonts w:ascii="Calibri" w:hAnsi="Calibri" w:cs="Calibri"/>
          <w:sz w:val="22"/>
          <w:szCs w:val="22"/>
        </w:rPr>
        <w:t>£135,753 per infection avoided</w:t>
      </w:r>
      <w:r>
        <w:rPr>
          <w:rFonts w:ascii="Calibri" w:hAnsi="Calibri" w:cs="Calibri"/>
          <w:sz w:val="22"/>
          <w:szCs w:val="22"/>
        </w:rPr>
        <w:t>. T</w:t>
      </w:r>
      <w:r w:rsidRPr="006E4CF8">
        <w:rPr>
          <w:rFonts w:ascii="Calibri" w:hAnsi="Calibri" w:cs="Calibri"/>
          <w:sz w:val="22"/>
          <w:szCs w:val="22"/>
        </w:rPr>
        <w:t xml:space="preserve">he cost-utility analysis was limited with respect to missing data, and exclusion of participants who were at highest risk of </w:t>
      </w:r>
      <w:r>
        <w:rPr>
          <w:rFonts w:ascii="Calibri" w:hAnsi="Calibri" w:cs="Calibri"/>
          <w:sz w:val="22"/>
          <w:szCs w:val="22"/>
        </w:rPr>
        <w:t>shunt</w:t>
      </w:r>
      <w:r w:rsidRPr="006E4CF8">
        <w:rPr>
          <w:rFonts w:ascii="Calibri" w:hAnsi="Calibri" w:cs="Calibri"/>
          <w:sz w:val="22"/>
          <w:szCs w:val="22"/>
        </w:rPr>
        <w:t xml:space="preserve"> infections.</w:t>
      </w:r>
    </w:p>
    <w:p w:rsidR="00803D84" w:rsidRDefault="00803D84" w:rsidP="00191DF9">
      <w:pPr>
        <w:pStyle w:val="Default"/>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 xml:space="preserve">The strengths of this study are that: (i) </w:t>
      </w:r>
      <w:r w:rsidRPr="003427A0">
        <w:rPr>
          <w:rFonts w:ascii="Calibri" w:hAnsi="Calibri" w:cs="Calibri"/>
          <w:sz w:val="22"/>
          <w:szCs w:val="22"/>
        </w:rPr>
        <w:t xml:space="preserve">infections </w:t>
      </w:r>
      <w:r>
        <w:rPr>
          <w:rFonts w:ascii="Calibri" w:hAnsi="Calibri" w:cs="Calibri"/>
          <w:sz w:val="22"/>
          <w:szCs w:val="22"/>
        </w:rPr>
        <w:t xml:space="preserve">were centrally classified blind to treatment allocation </w:t>
      </w:r>
      <w:r w:rsidRPr="003427A0">
        <w:rPr>
          <w:rFonts w:ascii="Calibri" w:hAnsi="Calibri" w:cs="Calibri"/>
          <w:sz w:val="22"/>
          <w:szCs w:val="22"/>
        </w:rPr>
        <w:t xml:space="preserve">thereby removing </w:t>
      </w:r>
      <w:r>
        <w:rPr>
          <w:rFonts w:ascii="Calibri" w:hAnsi="Calibri" w:cs="Calibri"/>
          <w:sz w:val="22"/>
          <w:szCs w:val="22"/>
        </w:rPr>
        <w:t xml:space="preserve">the </w:t>
      </w:r>
      <w:r w:rsidRPr="003427A0">
        <w:rPr>
          <w:rFonts w:ascii="Calibri" w:hAnsi="Calibri" w:cs="Calibri"/>
          <w:sz w:val="22"/>
          <w:szCs w:val="22"/>
        </w:rPr>
        <w:t>risk of bias</w:t>
      </w:r>
      <w:r>
        <w:rPr>
          <w:rFonts w:ascii="Calibri" w:hAnsi="Calibri" w:cs="Calibri"/>
          <w:sz w:val="22"/>
          <w:szCs w:val="22"/>
        </w:rPr>
        <w:t xml:space="preserve"> by the treating neurosurgeon</w:t>
      </w:r>
      <w:r w:rsidRPr="003427A0">
        <w:rPr>
          <w:rFonts w:ascii="Calibri" w:hAnsi="Calibri" w:cs="Calibri"/>
          <w:sz w:val="22"/>
          <w:szCs w:val="22"/>
        </w:rPr>
        <w:t xml:space="preserve">; </w:t>
      </w:r>
      <w:r>
        <w:rPr>
          <w:rFonts w:ascii="Calibri" w:hAnsi="Calibri" w:cs="Calibri"/>
          <w:sz w:val="22"/>
          <w:szCs w:val="22"/>
        </w:rPr>
        <w:t xml:space="preserve">(ii) participant </w:t>
      </w:r>
      <w:r w:rsidRPr="003427A0">
        <w:rPr>
          <w:rFonts w:ascii="Calibri" w:hAnsi="Calibri" w:cs="Calibri"/>
          <w:sz w:val="22"/>
          <w:szCs w:val="22"/>
        </w:rPr>
        <w:t xml:space="preserve">retention </w:t>
      </w:r>
      <w:r>
        <w:rPr>
          <w:rFonts w:ascii="Calibri" w:hAnsi="Calibri" w:cs="Calibri"/>
          <w:sz w:val="22"/>
          <w:szCs w:val="22"/>
        </w:rPr>
        <w:t xml:space="preserve">was </w:t>
      </w:r>
      <w:r w:rsidRPr="003427A0">
        <w:rPr>
          <w:rFonts w:ascii="Calibri" w:hAnsi="Calibri" w:cs="Calibri"/>
          <w:sz w:val="22"/>
          <w:szCs w:val="22"/>
        </w:rPr>
        <w:t xml:space="preserve">very high due to </w:t>
      </w:r>
      <w:r>
        <w:rPr>
          <w:rFonts w:ascii="Calibri" w:hAnsi="Calibri" w:cs="Calibri"/>
          <w:sz w:val="22"/>
          <w:szCs w:val="22"/>
        </w:rPr>
        <w:t xml:space="preserve">the </w:t>
      </w:r>
      <w:r w:rsidRPr="003427A0">
        <w:rPr>
          <w:rFonts w:ascii="Calibri" w:hAnsi="Calibri" w:cs="Calibri"/>
          <w:sz w:val="22"/>
          <w:szCs w:val="22"/>
        </w:rPr>
        <w:t xml:space="preserve">nature of </w:t>
      </w:r>
      <w:r>
        <w:rPr>
          <w:rFonts w:ascii="Calibri" w:hAnsi="Calibri" w:cs="Calibri"/>
          <w:sz w:val="22"/>
          <w:szCs w:val="22"/>
        </w:rPr>
        <w:t xml:space="preserve">the </w:t>
      </w:r>
      <w:r w:rsidRPr="003427A0">
        <w:rPr>
          <w:rFonts w:ascii="Calibri" w:hAnsi="Calibri" w:cs="Calibri"/>
          <w:sz w:val="22"/>
          <w:szCs w:val="22"/>
        </w:rPr>
        <w:t xml:space="preserve">intervention and </w:t>
      </w:r>
      <w:r>
        <w:rPr>
          <w:rFonts w:ascii="Calibri" w:hAnsi="Calibri" w:cs="Calibri"/>
          <w:sz w:val="22"/>
          <w:szCs w:val="22"/>
        </w:rPr>
        <w:t xml:space="preserve">the </w:t>
      </w:r>
      <w:r w:rsidRPr="003427A0">
        <w:rPr>
          <w:rFonts w:ascii="Calibri" w:hAnsi="Calibri" w:cs="Calibri"/>
          <w:sz w:val="22"/>
          <w:szCs w:val="22"/>
        </w:rPr>
        <w:t>primary outcome (</w:t>
      </w:r>
      <w:r>
        <w:rPr>
          <w:rFonts w:ascii="Calibri" w:hAnsi="Calibri" w:cs="Calibri"/>
          <w:sz w:val="22"/>
          <w:szCs w:val="22"/>
        </w:rPr>
        <w:t>patients with infected shunts are always re-admitted to hospital); (iii) patient withdrawal was low (n=53, 3·3%) so it is unlikely events were missed; (iv) participants were recruited across the whole of the UK and Republic of Ireland to encompass all ages and socio-economic classes; (v) the study samples size was large; and (vi) the results have wide generalizability because we did not mandate a specific surgical shunt insertion technique.</w:t>
      </w:r>
    </w:p>
    <w:p w:rsidR="00803D84" w:rsidRDefault="00803D84" w:rsidP="00A262FE">
      <w:pPr>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sz w:val="22"/>
          <w:szCs w:val="22"/>
          <w:lang w:val="en-US"/>
        </w:rPr>
      </w:pPr>
      <w:r>
        <w:rPr>
          <w:rFonts w:ascii="Calibri" w:hAnsi="Calibri" w:cs="Calibri"/>
          <w:sz w:val="22"/>
          <w:szCs w:val="22"/>
        </w:rPr>
        <w:t xml:space="preserve">Some limitations of the trial should be noted. First it was not possible to blind the treating neurosurgeon to the shunt type because the physical appearance of the shunts is distinctive. Shunt type was blinded to the patient and not recorded in the patient records. </w:t>
      </w:r>
      <w:r w:rsidRPr="009D679F">
        <w:rPr>
          <w:rFonts w:ascii="Calibri" w:hAnsi="Calibri" w:cs="Calibri"/>
          <w:sz w:val="22"/>
          <w:szCs w:val="22"/>
          <w:lang w:val="en-US"/>
        </w:rPr>
        <w:t xml:space="preserve">The majority of </w:t>
      </w:r>
      <w:r>
        <w:rPr>
          <w:rFonts w:ascii="Calibri" w:hAnsi="Calibri" w:cs="Calibri"/>
          <w:sz w:val="22"/>
          <w:szCs w:val="22"/>
        </w:rPr>
        <w:t>shunt</w:t>
      </w:r>
      <w:r w:rsidRPr="009D679F">
        <w:rPr>
          <w:rFonts w:ascii="Calibri" w:hAnsi="Calibri" w:cs="Calibri"/>
          <w:sz w:val="22"/>
          <w:szCs w:val="22"/>
          <w:lang w:val="en-US"/>
        </w:rPr>
        <w:t xml:space="preserve"> revisions and</w:t>
      </w:r>
      <w:r>
        <w:rPr>
          <w:rFonts w:ascii="Calibri" w:hAnsi="Calibri" w:cs="Calibri"/>
          <w:sz w:val="22"/>
          <w:szCs w:val="22"/>
          <w:lang w:val="en-US"/>
        </w:rPr>
        <w:t xml:space="preserve"> </w:t>
      </w:r>
      <w:r w:rsidRPr="009D679F">
        <w:rPr>
          <w:rFonts w:ascii="Calibri" w:hAnsi="Calibri" w:cs="Calibri"/>
          <w:sz w:val="22"/>
          <w:szCs w:val="22"/>
          <w:lang w:val="en-US"/>
        </w:rPr>
        <w:t xml:space="preserve">removals for infection happen as emergencies and are managed by the </w:t>
      </w:r>
      <w:r>
        <w:rPr>
          <w:rFonts w:ascii="Calibri" w:hAnsi="Calibri" w:cs="Calibri"/>
          <w:sz w:val="22"/>
          <w:szCs w:val="22"/>
          <w:lang w:val="en-US"/>
        </w:rPr>
        <w:t>emergency neurosurgery</w:t>
      </w:r>
      <w:r w:rsidRPr="009D679F">
        <w:rPr>
          <w:rFonts w:ascii="Calibri" w:hAnsi="Calibri" w:cs="Calibri"/>
          <w:sz w:val="22"/>
          <w:szCs w:val="22"/>
          <w:lang w:val="en-US"/>
        </w:rPr>
        <w:t xml:space="preserve"> team</w:t>
      </w:r>
      <w:r>
        <w:rPr>
          <w:rFonts w:ascii="Calibri" w:hAnsi="Calibri" w:cs="Calibri"/>
          <w:sz w:val="22"/>
          <w:szCs w:val="22"/>
          <w:lang w:val="en-US"/>
        </w:rPr>
        <w:t xml:space="preserve">. </w:t>
      </w:r>
      <w:r w:rsidRPr="009D679F">
        <w:rPr>
          <w:rFonts w:ascii="Calibri" w:hAnsi="Calibri" w:cs="Calibri"/>
          <w:sz w:val="22"/>
          <w:szCs w:val="22"/>
          <w:lang w:val="en-US"/>
        </w:rPr>
        <w:t>The</w:t>
      </w:r>
      <w:r>
        <w:rPr>
          <w:rFonts w:ascii="Calibri" w:hAnsi="Calibri" w:cs="Calibri"/>
          <w:sz w:val="22"/>
          <w:szCs w:val="22"/>
          <w:lang w:val="en-US"/>
        </w:rPr>
        <w:t>refore, the</w:t>
      </w:r>
      <w:r w:rsidRPr="009D679F">
        <w:rPr>
          <w:rFonts w:ascii="Calibri" w:hAnsi="Calibri" w:cs="Calibri"/>
          <w:sz w:val="22"/>
          <w:szCs w:val="22"/>
          <w:lang w:val="en-US"/>
        </w:rPr>
        <w:t xml:space="preserve"> likelihood</w:t>
      </w:r>
      <w:r>
        <w:rPr>
          <w:rFonts w:ascii="Calibri" w:hAnsi="Calibri" w:cs="Calibri"/>
          <w:sz w:val="22"/>
          <w:szCs w:val="22"/>
          <w:lang w:val="en-US"/>
        </w:rPr>
        <w:t xml:space="preserve"> </w:t>
      </w:r>
      <w:r w:rsidRPr="009D679F">
        <w:rPr>
          <w:rFonts w:ascii="Calibri" w:hAnsi="Calibri" w:cs="Calibri"/>
          <w:sz w:val="22"/>
          <w:szCs w:val="22"/>
          <w:lang w:val="en-US"/>
        </w:rPr>
        <w:t xml:space="preserve">of the same </w:t>
      </w:r>
      <w:r>
        <w:rPr>
          <w:rFonts w:ascii="Calibri" w:hAnsi="Calibri" w:cs="Calibri"/>
          <w:sz w:val="22"/>
          <w:szCs w:val="22"/>
          <w:lang w:val="en-US"/>
        </w:rPr>
        <w:t>neuro</w:t>
      </w:r>
      <w:r w:rsidRPr="009D679F">
        <w:rPr>
          <w:rFonts w:ascii="Calibri" w:hAnsi="Calibri" w:cs="Calibri"/>
          <w:sz w:val="22"/>
          <w:szCs w:val="22"/>
          <w:lang w:val="en-US"/>
        </w:rPr>
        <w:t xml:space="preserve">surgeon who inserted the </w:t>
      </w:r>
      <w:r>
        <w:rPr>
          <w:rFonts w:ascii="Calibri" w:hAnsi="Calibri" w:cs="Calibri"/>
          <w:sz w:val="22"/>
          <w:szCs w:val="22"/>
        </w:rPr>
        <w:t>shunt</w:t>
      </w:r>
      <w:r w:rsidRPr="009D679F">
        <w:rPr>
          <w:rFonts w:ascii="Calibri" w:hAnsi="Calibri" w:cs="Calibri"/>
          <w:sz w:val="22"/>
          <w:szCs w:val="22"/>
          <w:lang w:val="en-US"/>
        </w:rPr>
        <w:t xml:space="preserve"> being involved</w:t>
      </w:r>
      <w:r>
        <w:rPr>
          <w:rFonts w:ascii="Calibri" w:hAnsi="Calibri" w:cs="Calibri"/>
          <w:sz w:val="22"/>
          <w:szCs w:val="22"/>
          <w:lang w:val="en-US"/>
        </w:rPr>
        <w:t xml:space="preserve"> in the decision to remove it</w:t>
      </w:r>
      <w:r w:rsidRPr="009D679F">
        <w:rPr>
          <w:rFonts w:ascii="Calibri" w:hAnsi="Calibri" w:cs="Calibri"/>
          <w:sz w:val="22"/>
          <w:szCs w:val="22"/>
          <w:lang w:val="en-US"/>
        </w:rPr>
        <w:t xml:space="preserve"> </w:t>
      </w:r>
      <w:r>
        <w:rPr>
          <w:rFonts w:ascii="Calibri" w:hAnsi="Calibri" w:cs="Calibri"/>
          <w:sz w:val="22"/>
          <w:szCs w:val="22"/>
          <w:lang w:val="en-US"/>
        </w:rPr>
        <w:t>wa</w:t>
      </w:r>
      <w:r w:rsidRPr="009D679F">
        <w:rPr>
          <w:rFonts w:ascii="Calibri" w:hAnsi="Calibri" w:cs="Calibri"/>
          <w:sz w:val="22"/>
          <w:szCs w:val="22"/>
          <w:lang w:val="en-US"/>
        </w:rPr>
        <w:t>s low</w:t>
      </w:r>
      <w:r>
        <w:rPr>
          <w:rFonts w:ascii="Calibri" w:hAnsi="Calibri" w:cs="Calibri"/>
          <w:sz w:val="22"/>
          <w:szCs w:val="22"/>
          <w:lang w:val="en-US"/>
        </w:rPr>
        <w:t xml:space="preserve"> </w:t>
      </w:r>
      <w:r w:rsidRPr="009D679F">
        <w:rPr>
          <w:rFonts w:ascii="Calibri" w:hAnsi="Calibri" w:cs="Calibri"/>
          <w:sz w:val="22"/>
          <w:szCs w:val="22"/>
          <w:lang w:val="en-US"/>
        </w:rPr>
        <w:t xml:space="preserve">given the work rotas of </w:t>
      </w:r>
      <w:r>
        <w:rPr>
          <w:rFonts w:ascii="Calibri" w:hAnsi="Calibri" w:cs="Calibri"/>
          <w:sz w:val="22"/>
          <w:szCs w:val="22"/>
          <w:lang w:val="en-US"/>
        </w:rPr>
        <w:t xml:space="preserve">neurosurgical staff. </w:t>
      </w:r>
      <w:r w:rsidRPr="00C44E27">
        <w:rPr>
          <w:rFonts w:asciiTheme="minorHAnsi" w:hAnsiTheme="minorHAnsi"/>
          <w:sz w:val="22"/>
          <w:szCs w:val="22"/>
        </w:rPr>
        <w:t xml:space="preserve">Furthermore, </w:t>
      </w:r>
      <w:r>
        <w:rPr>
          <w:rFonts w:asciiTheme="minorHAnsi" w:hAnsiTheme="minorHAnsi"/>
          <w:sz w:val="22"/>
          <w:szCs w:val="22"/>
        </w:rPr>
        <w:t xml:space="preserve">classification of </w:t>
      </w:r>
      <w:r>
        <w:rPr>
          <w:rFonts w:ascii="Calibri" w:hAnsi="Calibri" w:cs="Calibri"/>
          <w:sz w:val="22"/>
          <w:szCs w:val="22"/>
        </w:rPr>
        <w:t>shunt</w:t>
      </w:r>
      <w:r>
        <w:rPr>
          <w:rFonts w:asciiTheme="minorHAnsi" w:hAnsiTheme="minorHAnsi"/>
          <w:sz w:val="22"/>
          <w:szCs w:val="22"/>
        </w:rPr>
        <w:t xml:space="preserve"> infection </w:t>
      </w:r>
      <w:r w:rsidRPr="00C44E27">
        <w:rPr>
          <w:rFonts w:asciiTheme="minorHAnsi" w:hAnsiTheme="minorHAnsi"/>
          <w:sz w:val="22"/>
          <w:szCs w:val="22"/>
        </w:rPr>
        <w:t xml:space="preserve">between treating </w:t>
      </w:r>
      <w:r>
        <w:rPr>
          <w:rFonts w:asciiTheme="minorHAnsi" w:hAnsiTheme="minorHAnsi"/>
          <w:sz w:val="22"/>
          <w:szCs w:val="22"/>
        </w:rPr>
        <w:t>neuro</w:t>
      </w:r>
      <w:r w:rsidRPr="00C44E27">
        <w:rPr>
          <w:rFonts w:asciiTheme="minorHAnsi" w:hAnsiTheme="minorHAnsi"/>
          <w:sz w:val="22"/>
          <w:szCs w:val="22"/>
        </w:rPr>
        <w:t>surgeon and central as</w:t>
      </w:r>
      <w:r>
        <w:rPr>
          <w:rFonts w:asciiTheme="minorHAnsi" w:hAnsiTheme="minorHAnsi"/>
          <w:sz w:val="22"/>
          <w:szCs w:val="22"/>
        </w:rPr>
        <w:t>sessment had high agreement (95·</w:t>
      </w:r>
      <w:r w:rsidRPr="00C44E27">
        <w:rPr>
          <w:rFonts w:asciiTheme="minorHAnsi" w:hAnsiTheme="minorHAnsi"/>
          <w:sz w:val="22"/>
          <w:szCs w:val="22"/>
        </w:rPr>
        <w:t xml:space="preserve">7%), suggesting </w:t>
      </w:r>
      <w:r>
        <w:rPr>
          <w:rFonts w:asciiTheme="minorHAnsi" w:hAnsiTheme="minorHAnsi"/>
          <w:sz w:val="22"/>
          <w:szCs w:val="22"/>
        </w:rPr>
        <w:t xml:space="preserve">that </w:t>
      </w:r>
      <w:r w:rsidRPr="00C44E27">
        <w:rPr>
          <w:rFonts w:asciiTheme="minorHAnsi" w:hAnsiTheme="minorHAnsi"/>
          <w:sz w:val="22"/>
          <w:szCs w:val="22"/>
        </w:rPr>
        <w:t xml:space="preserve">any bias that the treating </w:t>
      </w:r>
      <w:r>
        <w:rPr>
          <w:rFonts w:asciiTheme="minorHAnsi" w:hAnsiTheme="minorHAnsi"/>
          <w:sz w:val="22"/>
          <w:szCs w:val="22"/>
        </w:rPr>
        <w:t>neuro</w:t>
      </w:r>
      <w:r w:rsidRPr="00C44E27">
        <w:rPr>
          <w:rFonts w:asciiTheme="minorHAnsi" w:hAnsiTheme="minorHAnsi"/>
          <w:sz w:val="22"/>
          <w:szCs w:val="22"/>
        </w:rPr>
        <w:t xml:space="preserve">surgeon may have had did not impact </w:t>
      </w:r>
      <w:r>
        <w:rPr>
          <w:rFonts w:asciiTheme="minorHAnsi" w:hAnsiTheme="minorHAnsi"/>
          <w:sz w:val="22"/>
          <w:szCs w:val="22"/>
        </w:rPr>
        <w:t xml:space="preserve">the study conclusion. </w:t>
      </w:r>
      <w:r>
        <w:rPr>
          <w:rFonts w:ascii="Calibri" w:hAnsi="Calibri" w:cs="Calibri"/>
          <w:sz w:val="22"/>
          <w:szCs w:val="22"/>
          <w:lang w:val="en-US"/>
        </w:rPr>
        <w:t xml:space="preserve">Second, ventriculoatrial and ventriculopleural </w:t>
      </w:r>
      <w:r>
        <w:rPr>
          <w:rFonts w:ascii="Calibri" w:hAnsi="Calibri" w:cs="Calibri"/>
          <w:sz w:val="22"/>
          <w:szCs w:val="22"/>
        </w:rPr>
        <w:t>shunts</w:t>
      </w:r>
      <w:r>
        <w:rPr>
          <w:rFonts w:ascii="Calibri" w:hAnsi="Calibri" w:cs="Calibri"/>
          <w:sz w:val="22"/>
          <w:szCs w:val="22"/>
          <w:lang w:val="en-US"/>
        </w:rPr>
        <w:t xml:space="preserve"> were excluded although we postulate the results are translatable to patients undergoing these procedures. Finally, the return rate for patient reported outcomes was low limiting the analysis of the impact of </w:t>
      </w:r>
      <w:r>
        <w:rPr>
          <w:rFonts w:ascii="Calibri" w:hAnsi="Calibri" w:cs="Calibri"/>
          <w:sz w:val="22"/>
          <w:szCs w:val="22"/>
        </w:rPr>
        <w:t>shunt</w:t>
      </w:r>
      <w:r>
        <w:rPr>
          <w:rFonts w:ascii="Calibri" w:hAnsi="Calibri" w:cs="Calibri"/>
          <w:sz w:val="22"/>
          <w:szCs w:val="22"/>
          <w:lang w:val="en-US"/>
        </w:rPr>
        <w:t xml:space="preserve"> infection on patients, and the reliability of the cost utility analysis.</w:t>
      </w:r>
    </w:p>
    <w:p w:rsidR="00803D84" w:rsidRDefault="00803D84" w:rsidP="00A262FE">
      <w:pPr>
        <w:spacing w:line="480" w:lineRule="auto"/>
        <w:jc w:val="both"/>
        <w:rPr>
          <w:rFonts w:ascii="Calibri" w:hAnsi="Calibri" w:cs="Calibri"/>
          <w:sz w:val="22"/>
          <w:szCs w:val="22"/>
          <w:lang w:val="en-US"/>
        </w:rPr>
      </w:pPr>
    </w:p>
    <w:p w:rsidR="00803D84" w:rsidRPr="00066FCD" w:rsidRDefault="00803D84" w:rsidP="00414C8B">
      <w:pPr>
        <w:spacing w:line="480" w:lineRule="auto"/>
        <w:jc w:val="both"/>
        <w:rPr>
          <w:rFonts w:asciiTheme="minorHAnsi" w:hAnsiTheme="minorHAnsi"/>
          <w:iCs/>
          <w:sz w:val="22"/>
          <w:szCs w:val="22"/>
        </w:rPr>
      </w:pPr>
      <w:r w:rsidRPr="00414C8B">
        <w:rPr>
          <w:rFonts w:asciiTheme="minorHAnsi" w:hAnsiTheme="minorHAnsi" w:cs="Calibri"/>
          <w:sz w:val="22"/>
          <w:szCs w:val="22"/>
          <w:lang w:val="en-US"/>
        </w:rPr>
        <w:t>The BASICS study is the largest prospective randomi</w:t>
      </w:r>
      <w:r>
        <w:rPr>
          <w:rFonts w:asciiTheme="minorHAnsi" w:hAnsiTheme="minorHAnsi" w:cs="Calibri"/>
          <w:sz w:val="22"/>
          <w:szCs w:val="22"/>
          <w:lang w:val="en-US"/>
        </w:rPr>
        <w:t>s</w:t>
      </w:r>
      <w:r w:rsidRPr="00414C8B">
        <w:rPr>
          <w:rFonts w:asciiTheme="minorHAnsi" w:hAnsiTheme="minorHAnsi" w:cs="Calibri"/>
          <w:sz w:val="22"/>
          <w:szCs w:val="22"/>
          <w:lang w:val="en-US"/>
        </w:rPr>
        <w:t>ed study for shunts in hydrocephalus worldwide</w:t>
      </w:r>
      <w:r>
        <w:rPr>
          <w:rFonts w:asciiTheme="minorHAnsi" w:hAnsiTheme="minorHAnsi" w:cs="Calibri"/>
          <w:sz w:val="22"/>
          <w:szCs w:val="22"/>
          <w:lang w:val="en-US"/>
        </w:rPr>
        <w:t xml:space="preserve">. The study collected </w:t>
      </w:r>
      <w:r>
        <w:rPr>
          <w:rFonts w:asciiTheme="minorHAnsi" w:hAnsiTheme="minorHAnsi"/>
          <w:sz w:val="22"/>
          <w:szCs w:val="22"/>
        </w:rPr>
        <w:t>b</w:t>
      </w:r>
      <w:r w:rsidRPr="00414C8B">
        <w:rPr>
          <w:rFonts w:asciiTheme="minorHAnsi" w:hAnsiTheme="minorHAnsi" w:cs="Calibri"/>
          <w:sz w:val="22"/>
          <w:szCs w:val="22"/>
          <w:lang w:val="en-US"/>
        </w:rPr>
        <w:t xml:space="preserve">lood and CSF samples from participants </w:t>
      </w:r>
      <w:r>
        <w:rPr>
          <w:rFonts w:asciiTheme="minorHAnsi" w:hAnsiTheme="minorHAnsi" w:cs="Calibri"/>
          <w:sz w:val="22"/>
          <w:szCs w:val="22"/>
          <w:lang w:val="en-US"/>
        </w:rPr>
        <w:t xml:space="preserve">that will be used for future research into biomarkers for infection and host response. </w:t>
      </w:r>
      <w:r>
        <w:rPr>
          <w:rFonts w:asciiTheme="minorHAnsi" w:hAnsiTheme="minorHAnsi"/>
          <w:iCs/>
          <w:sz w:val="22"/>
          <w:szCs w:val="22"/>
        </w:rPr>
        <w:t>D</w:t>
      </w:r>
      <w:r w:rsidRPr="00414C8B">
        <w:rPr>
          <w:rFonts w:asciiTheme="minorHAnsi" w:hAnsiTheme="minorHAnsi"/>
          <w:iCs/>
          <w:sz w:val="22"/>
          <w:szCs w:val="22"/>
        </w:rPr>
        <w:t xml:space="preserve">ata </w:t>
      </w:r>
      <w:r>
        <w:rPr>
          <w:rFonts w:asciiTheme="minorHAnsi" w:hAnsiTheme="minorHAnsi"/>
          <w:iCs/>
          <w:sz w:val="22"/>
          <w:szCs w:val="22"/>
        </w:rPr>
        <w:t xml:space="preserve">on hydrocephalus </w:t>
      </w:r>
      <w:r w:rsidRPr="00414C8B">
        <w:rPr>
          <w:rFonts w:asciiTheme="minorHAnsi" w:hAnsiTheme="minorHAnsi"/>
          <w:iCs/>
          <w:sz w:val="22"/>
          <w:szCs w:val="22"/>
        </w:rPr>
        <w:t xml:space="preserve">aetiology, surgical techniques, types of valves and technology used </w:t>
      </w:r>
      <w:r>
        <w:rPr>
          <w:rFonts w:asciiTheme="minorHAnsi" w:hAnsiTheme="minorHAnsi"/>
          <w:iCs/>
          <w:sz w:val="22"/>
          <w:szCs w:val="22"/>
        </w:rPr>
        <w:t>will be analysed and used to will be analysed and used to develop recommendations and healthcare policy for patients undergoing insertion of ventriculoperitoneal shunts.</w:t>
      </w:r>
    </w:p>
    <w:p w:rsidR="00803D84" w:rsidRPr="00414C8B" w:rsidRDefault="00803D84" w:rsidP="00414C8B">
      <w:pPr>
        <w:spacing w:line="480" w:lineRule="auto"/>
        <w:jc w:val="both"/>
        <w:rPr>
          <w:rFonts w:asciiTheme="minorHAnsi" w:hAnsiTheme="minorHAnsi" w:cs="Calibri"/>
          <w:sz w:val="22"/>
          <w:szCs w:val="22"/>
          <w:lang w:val="en-US"/>
        </w:rPr>
      </w:pP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In conclusion, antibiotic shunts significantly reduce the infection rate and probability of infection c</w:t>
      </w:r>
      <w:r w:rsidRPr="009C5EED">
        <w:rPr>
          <w:rFonts w:ascii="Calibri" w:hAnsi="Calibri" w:cs="Calibri"/>
          <w:sz w:val="22"/>
          <w:szCs w:val="22"/>
        </w:rPr>
        <w:t xml:space="preserve">ompared to </w:t>
      </w:r>
      <w:r>
        <w:rPr>
          <w:rFonts w:ascii="Calibri" w:hAnsi="Calibri" w:cs="Calibri"/>
          <w:sz w:val="22"/>
          <w:szCs w:val="22"/>
        </w:rPr>
        <w:t>standard shunts in all age groups, whereas s</w:t>
      </w:r>
      <w:r w:rsidRPr="009C5EED">
        <w:rPr>
          <w:rFonts w:ascii="Calibri" w:hAnsi="Calibri" w:cs="Calibri"/>
          <w:bCs/>
          <w:sz w:val="22"/>
          <w:szCs w:val="22"/>
        </w:rPr>
        <w:t>ilver</w:t>
      </w:r>
      <w:r>
        <w:rPr>
          <w:rFonts w:ascii="Calibri" w:hAnsi="Calibri" w:cs="Calibri"/>
          <w:bCs/>
          <w:sz w:val="22"/>
          <w:szCs w:val="22"/>
        </w:rPr>
        <w:t xml:space="preserve"> shunts do not</w:t>
      </w:r>
      <w:r>
        <w:rPr>
          <w:rFonts w:ascii="Calibri" w:hAnsi="Calibri" w:cs="Calibri"/>
          <w:sz w:val="22"/>
          <w:szCs w:val="22"/>
        </w:rPr>
        <w:t>. The routine use of these shunts would carry substantial costs savings. Antibiotic shunts should be the first choice for patients with hydrocephalus undergoing insertion of their first ventriculoperitoneal shunt.</w:t>
      </w:r>
    </w:p>
    <w:p w:rsidR="00803D84" w:rsidRDefault="00803D84" w:rsidP="00A262FE">
      <w:pPr>
        <w:spacing w:line="480" w:lineRule="auto"/>
        <w:jc w:val="both"/>
        <w:rPr>
          <w:rFonts w:ascii="Calibri" w:hAnsi="Calibri" w:cs="Calibri"/>
          <w:sz w:val="22"/>
          <w:szCs w:val="22"/>
        </w:rPr>
      </w:pPr>
    </w:p>
    <w:p w:rsidR="00803D84" w:rsidRPr="00380DD1" w:rsidRDefault="00803D84" w:rsidP="00A262FE">
      <w:pPr>
        <w:spacing w:line="480" w:lineRule="auto"/>
        <w:jc w:val="both"/>
        <w:rPr>
          <w:rFonts w:ascii="Calibri" w:hAnsi="Calibri" w:cs="Calibri"/>
          <w:b/>
          <w:sz w:val="22"/>
          <w:szCs w:val="22"/>
        </w:rPr>
      </w:pPr>
      <w:r w:rsidRPr="00380DD1">
        <w:rPr>
          <w:rFonts w:ascii="Calibri" w:hAnsi="Calibri" w:cs="Calibri"/>
          <w:b/>
          <w:sz w:val="22"/>
          <w:szCs w:val="22"/>
        </w:rPr>
        <w:t>Panel: Research in context</w:t>
      </w:r>
    </w:p>
    <w:p w:rsidR="00803D84" w:rsidRPr="00380DD1" w:rsidRDefault="00803D84" w:rsidP="00A262FE">
      <w:pPr>
        <w:spacing w:line="480" w:lineRule="auto"/>
        <w:jc w:val="both"/>
        <w:rPr>
          <w:rFonts w:ascii="Calibri" w:hAnsi="Calibri" w:cs="Calibri"/>
          <w:sz w:val="22"/>
          <w:szCs w:val="22"/>
          <w:u w:val="single"/>
        </w:rPr>
      </w:pPr>
      <w:r w:rsidRPr="00380DD1">
        <w:rPr>
          <w:rFonts w:ascii="Calibri" w:hAnsi="Calibri" w:cs="Calibri"/>
          <w:sz w:val="22"/>
          <w:szCs w:val="22"/>
          <w:u w:val="single"/>
        </w:rPr>
        <w:t>Evidence before this study</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A systematic review comparing antibiotic against standard shunts identified one randomised trial, one prospective cohort study and ten retrospective studies; none were adequately powered to detect a difference in infection rates. There were no randomised trials of silver versus standard shunts. Neurosurgeons were using antibiotic and silver shunts aiming to reduce infection despite a lack of firm evidence to support this and at increased financial cost.</w:t>
      </w:r>
    </w:p>
    <w:p w:rsidR="00803D84" w:rsidRDefault="00803D84" w:rsidP="00A262FE">
      <w:pPr>
        <w:spacing w:line="480" w:lineRule="auto"/>
        <w:jc w:val="both"/>
        <w:rPr>
          <w:rFonts w:ascii="Calibri" w:hAnsi="Calibri" w:cs="Calibri"/>
          <w:sz w:val="22"/>
          <w:szCs w:val="22"/>
        </w:rPr>
      </w:pPr>
    </w:p>
    <w:p w:rsidR="00803D84" w:rsidRPr="00380DD1" w:rsidRDefault="00803D84" w:rsidP="00A262FE">
      <w:pPr>
        <w:spacing w:line="480" w:lineRule="auto"/>
        <w:jc w:val="both"/>
        <w:rPr>
          <w:rFonts w:ascii="Calibri" w:hAnsi="Calibri" w:cs="Calibri"/>
          <w:sz w:val="22"/>
          <w:szCs w:val="22"/>
          <w:u w:val="single"/>
        </w:rPr>
      </w:pPr>
      <w:r w:rsidRPr="00380DD1">
        <w:rPr>
          <w:rFonts w:ascii="Calibri" w:hAnsi="Calibri" w:cs="Calibri"/>
          <w:sz w:val="22"/>
          <w:szCs w:val="22"/>
          <w:u w:val="single"/>
        </w:rPr>
        <w:t>Added value of this study</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This is the largest randomised trial for ventriculoperitoneal shunts in hydrocephalus. Antibiotic shunts significantly reduce the risk of infection compared to standard shunts in all ages. Silver shunts have the same infection rate as standard shunts. From the perspective of the NHS healthcare system antibiotic shunts save £135,753 per infection avoided.</w:t>
      </w:r>
    </w:p>
    <w:p w:rsidR="00803D84" w:rsidRDefault="00803D84" w:rsidP="00A262FE">
      <w:pPr>
        <w:spacing w:line="480" w:lineRule="auto"/>
        <w:jc w:val="both"/>
        <w:rPr>
          <w:rFonts w:ascii="Calibri" w:hAnsi="Calibri" w:cs="Calibri"/>
          <w:sz w:val="22"/>
          <w:szCs w:val="22"/>
        </w:rPr>
      </w:pPr>
    </w:p>
    <w:p w:rsidR="00803D84" w:rsidRPr="00380DD1" w:rsidRDefault="00803D84" w:rsidP="00A262FE">
      <w:pPr>
        <w:spacing w:line="480" w:lineRule="auto"/>
        <w:jc w:val="both"/>
        <w:rPr>
          <w:rFonts w:ascii="Calibri" w:hAnsi="Calibri" w:cs="Calibri"/>
          <w:sz w:val="22"/>
          <w:szCs w:val="22"/>
          <w:u w:val="single"/>
        </w:rPr>
      </w:pPr>
      <w:r w:rsidRPr="00380DD1">
        <w:rPr>
          <w:rFonts w:ascii="Calibri" w:hAnsi="Calibri" w:cs="Calibri"/>
          <w:sz w:val="22"/>
          <w:szCs w:val="22"/>
          <w:u w:val="single"/>
        </w:rPr>
        <w:t>Implications of the available evidence</w:t>
      </w:r>
    </w:p>
    <w:p w:rsidR="00803D84" w:rsidRDefault="00803D84" w:rsidP="00531DD3">
      <w:pPr>
        <w:spacing w:line="480" w:lineRule="auto"/>
        <w:jc w:val="both"/>
        <w:rPr>
          <w:rFonts w:ascii="Calibri" w:hAnsi="Calibri" w:cs="Calibri"/>
          <w:sz w:val="22"/>
          <w:szCs w:val="22"/>
        </w:rPr>
      </w:pPr>
      <w:r w:rsidRPr="00831EDC">
        <w:rPr>
          <w:rFonts w:ascii="Calibri" w:hAnsi="Calibri" w:cs="Calibri"/>
          <w:sz w:val="22"/>
          <w:szCs w:val="22"/>
          <w:lang w:val="en-US"/>
        </w:rPr>
        <w:t xml:space="preserve">From both </w:t>
      </w:r>
      <w:r>
        <w:rPr>
          <w:rFonts w:ascii="Calibri" w:hAnsi="Calibri" w:cs="Calibri"/>
          <w:sz w:val="22"/>
          <w:szCs w:val="22"/>
          <w:lang w:val="en-US"/>
        </w:rPr>
        <w:t>the</w:t>
      </w:r>
      <w:r w:rsidRPr="00831EDC">
        <w:rPr>
          <w:rFonts w:ascii="Calibri" w:hAnsi="Calibri" w:cs="Calibri"/>
          <w:sz w:val="22"/>
          <w:szCs w:val="22"/>
          <w:lang w:val="en-US"/>
        </w:rPr>
        <w:t xml:space="preserve"> patient perspective and that of the treating </w:t>
      </w:r>
      <w:r>
        <w:rPr>
          <w:rFonts w:ascii="Calibri" w:hAnsi="Calibri" w:cs="Calibri"/>
          <w:sz w:val="22"/>
          <w:szCs w:val="22"/>
          <w:lang w:val="en-US"/>
        </w:rPr>
        <w:t>neurosurgeon</w:t>
      </w:r>
      <w:r w:rsidRPr="00831EDC">
        <w:rPr>
          <w:rFonts w:ascii="Calibri" w:hAnsi="Calibri" w:cs="Calibri"/>
          <w:sz w:val="22"/>
          <w:szCs w:val="22"/>
          <w:lang w:val="en-US"/>
        </w:rPr>
        <w:t xml:space="preserve">, the hospital and the health service, every effort to reduce shunt infection should be made and health technologies such as </w:t>
      </w:r>
      <w:r>
        <w:rPr>
          <w:rFonts w:ascii="Calibri" w:hAnsi="Calibri" w:cs="Calibri"/>
          <w:sz w:val="22"/>
          <w:szCs w:val="22"/>
          <w:lang w:val="en-US"/>
        </w:rPr>
        <w:t>impreganted</w:t>
      </w:r>
      <w:r w:rsidRPr="00831EDC">
        <w:rPr>
          <w:rFonts w:ascii="Calibri" w:hAnsi="Calibri" w:cs="Calibri"/>
          <w:sz w:val="22"/>
          <w:szCs w:val="22"/>
          <w:lang w:val="en-US"/>
        </w:rPr>
        <w:t xml:space="preserve"> shunts with their potential to reduce such infections deserve proper evaluation through appropriately planned and powered trials</w:t>
      </w:r>
      <w:r>
        <w:rPr>
          <w:rFonts w:ascii="Calibri" w:hAnsi="Calibri" w:cs="Calibri"/>
          <w:sz w:val="22"/>
          <w:szCs w:val="22"/>
          <w:lang w:val="en-US"/>
        </w:rPr>
        <w:t xml:space="preserve">. </w:t>
      </w:r>
      <w:r w:rsidRPr="00831EDC">
        <w:rPr>
          <w:rFonts w:ascii="Calibri" w:hAnsi="Calibri" w:cs="Calibri"/>
          <w:sz w:val="22"/>
          <w:szCs w:val="22"/>
          <w:lang w:val="en-US"/>
        </w:rPr>
        <w:t xml:space="preserve">Having demonstrated a marked reduction in such infections, with all of the potentially catastrophic and life changing health sequalae that result from each infection, the BASICS trial has provided </w:t>
      </w:r>
      <w:r>
        <w:rPr>
          <w:rFonts w:ascii="Calibri" w:hAnsi="Calibri" w:cs="Calibri"/>
          <w:sz w:val="22"/>
          <w:szCs w:val="22"/>
          <w:lang w:val="en-US"/>
        </w:rPr>
        <w:t xml:space="preserve">definitive </w:t>
      </w:r>
      <w:r w:rsidRPr="00831EDC">
        <w:rPr>
          <w:rFonts w:ascii="Calibri" w:hAnsi="Calibri" w:cs="Calibri"/>
          <w:sz w:val="22"/>
          <w:szCs w:val="22"/>
          <w:lang w:val="en-US"/>
        </w:rPr>
        <w:t>evidence to supp</w:t>
      </w:r>
      <w:r>
        <w:rPr>
          <w:rFonts w:ascii="Calibri" w:hAnsi="Calibri" w:cs="Calibri"/>
          <w:sz w:val="22"/>
          <w:szCs w:val="22"/>
          <w:lang w:val="en-US"/>
        </w:rPr>
        <w:t>ort</w:t>
      </w:r>
      <w:r w:rsidRPr="00831EDC">
        <w:rPr>
          <w:rFonts w:ascii="Calibri" w:hAnsi="Calibri" w:cs="Calibri"/>
          <w:sz w:val="22"/>
          <w:szCs w:val="22"/>
          <w:lang w:val="en-US"/>
        </w:rPr>
        <w:t xml:space="preserve"> the adoption of antibiotic </w:t>
      </w:r>
      <w:r>
        <w:rPr>
          <w:rFonts w:ascii="Calibri" w:hAnsi="Calibri" w:cs="Calibri"/>
          <w:sz w:val="22"/>
          <w:szCs w:val="22"/>
          <w:lang w:val="en-US"/>
        </w:rPr>
        <w:t xml:space="preserve">shunts </w:t>
      </w:r>
      <w:r w:rsidRPr="00831EDC">
        <w:rPr>
          <w:rFonts w:ascii="Calibri" w:hAnsi="Calibri" w:cs="Calibri"/>
          <w:sz w:val="22"/>
          <w:szCs w:val="22"/>
          <w:lang w:val="en-US"/>
        </w:rPr>
        <w:t xml:space="preserve">in all patients having their first </w:t>
      </w:r>
      <w:r>
        <w:rPr>
          <w:rFonts w:ascii="Calibri" w:hAnsi="Calibri" w:cs="Calibri"/>
          <w:sz w:val="22"/>
          <w:szCs w:val="22"/>
          <w:lang w:val="en-US"/>
        </w:rPr>
        <w:t xml:space="preserve">ventriculoperitoneal </w:t>
      </w:r>
      <w:r w:rsidRPr="00831EDC">
        <w:rPr>
          <w:rFonts w:ascii="Calibri" w:hAnsi="Calibri" w:cs="Calibri"/>
          <w:sz w:val="22"/>
          <w:szCs w:val="22"/>
          <w:lang w:val="en-US"/>
        </w:rPr>
        <w:t>shunt in the UK</w:t>
      </w:r>
      <w:r>
        <w:rPr>
          <w:rFonts w:ascii="Calibri" w:hAnsi="Calibri" w:cs="Calibri"/>
          <w:sz w:val="22"/>
          <w:szCs w:val="22"/>
          <w:lang w:val="en-US"/>
        </w:rPr>
        <w:t xml:space="preserve">. </w:t>
      </w:r>
      <w:r w:rsidRPr="00831EDC">
        <w:rPr>
          <w:rFonts w:ascii="Calibri" w:hAnsi="Calibri" w:cs="Calibri"/>
          <w:sz w:val="22"/>
          <w:szCs w:val="22"/>
          <w:lang w:val="en-US"/>
        </w:rPr>
        <w:t xml:space="preserve">The increased up-front cost of the </w:t>
      </w:r>
      <w:r>
        <w:rPr>
          <w:rFonts w:ascii="Calibri" w:hAnsi="Calibri" w:cs="Calibri"/>
          <w:sz w:val="22"/>
          <w:szCs w:val="22"/>
          <w:lang w:val="en-US"/>
        </w:rPr>
        <w:t>antibiotic shunt</w:t>
      </w:r>
      <w:r w:rsidRPr="00831EDC">
        <w:rPr>
          <w:rFonts w:ascii="Calibri" w:hAnsi="Calibri" w:cs="Calibri"/>
          <w:sz w:val="22"/>
          <w:szCs w:val="22"/>
          <w:lang w:val="en-US"/>
        </w:rPr>
        <w:t xml:space="preserve"> is offset by the added health economic benefit</w:t>
      </w:r>
      <w:r>
        <w:rPr>
          <w:rFonts w:ascii="Calibri" w:hAnsi="Calibri" w:cs="Calibri"/>
          <w:sz w:val="22"/>
          <w:szCs w:val="22"/>
          <w:lang w:val="en-US"/>
        </w:rPr>
        <w:t xml:space="preserve">. </w:t>
      </w:r>
      <w:r w:rsidRPr="00831EDC">
        <w:rPr>
          <w:rFonts w:ascii="Calibri" w:hAnsi="Calibri" w:cs="Calibri"/>
          <w:sz w:val="22"/>
          <w:szCs w:val="22"/>
          <w:lang w:val="en-US"/>
        </w:rPr>
        <w:t>The benefits and implication</w:t>
      </w:r>
      <w:r>
        <w:rPr>
          <w:rFonts w:ascii="Calibri" w:hAnsi="Calibri" w:cs="Calibri"/>
          <w:sz w:val="22"/>
          <w:szCs w:val="22"/>
          <w:lang w:val="en-US"/>
        </w:rPr>
        <w:t>s</w:t>
      </w:r>
      <w:r w:rsidRPr="00831EDC">
        <w:rPr>
          <w:rFonts w:ascii="Calibri" w:hAnsi="Calibri" w:cs="Calibri"/>
          <w:sz w:val="22"/>
          <w:szCs w:val="22"/>
          <w:lang w:val="en-US"/>
        </w:rPr>
        <w:t xml:space="preserve"> both from an efficacy and health economic point of view are most pronounced the younger the patient</w:t>
      </w:r>
      <w:r>
        <w:rPr>
          <w:rFonts w:ascii="Calibri" w:hAnsi="Calibri" w:cs="Calibri"/>
          <w:sz w:val="22"/>
          <w:szCs w:val="22"/>
          <w:lang w:val="en-US"/>
        </w:rPr>
        <w:t>. The broader, global implications of these findings require consideration of generalizability across different healthcare systems.</w:t>
      </w:r>
    </w:p>
    <w:p w:rsidR="00803D84" w:rsidRDefault="00803D84" w:rsidP="00A262FE">
      <w:pPr>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sz w:val="22"/>
          <w:szCs w:val="22"/>
        </w:rPr>
      </w:pPr>
    </w:p>
    <w:p w:rsidR="00803D84" w:rsidRPr="009D679F" w:rsidRDefault="00803D84" w:rsidP="000830C9">
      <w:pPr>
        <w:spacing w:line="480" w:lineRule="auto"/>
        <w:jc w:val="both"/>
        <w:rPr>
          <w:rFonts w:ascii="Calibri" w:hAnsi="Calibri" w:cs="Calibri"/>
          <w:b/>
          <w:bCs/>
          <w:sz w:val="22"/>
          <w:szCs w:val="22"/>
        </w:rPr>
      </w:pPr>
      <w:r>
        <w:rPr>
          <w:rFonts w:ascii="Calibri" w:hAnsi="Calibri" w:cs="Calibri"/>
          <w:b/>
          <w:bCs/>
          <w:sz w:val="22"/>
          <w:szCs w:val="22"/>
        </w:rPr>
        <w:t>Contributors</w:t>
      </w:r>
    </w:p>
    <w:p w:rsidR="00803D84" w:rsidRPr="003E2CBD" w:rsidRDefault="00803D84" w:rsidP="003E2CBD">
      <w:pPr>
        <w:spacing w:line="480" w:lineRule="auto"/>
        <w:jc w:val="both"/>
        <w:rPr>
          <w:rFonts w:asciiTheme="minorHAnsi" w:hAnsiTheme="minorHAnsi" w:cstheme="minorHAnsi"/>
          <w:sz w:val="22"/>
          <w:szCs w:val="22"/>
        </w:rPr>
      </w:pPr>
      <w:r w:rsidRPr="003E2CBD">
        <w:rPr>
          <w:rFonts w:asciiTheme="minorHAnsi" w:hAnsiTheme="minorHAnsi" w:cstheme="minorHAnsi"/>
          <w:b/>
          <w:sz w:val="22"/>
          <w:szCs w:val="22"/>
        </w:rPr>
        <w:t xml:space="preserve">Conor L Mallucci </w:t>
      </w:r>
      <w:r w:rsidRPr="003E2CBD">
        <w:rPr>
          <w:rFonts w:asciiTheme="minorHAnsi" w:hAnsiTheme="minorHAnsi" w:cstheme="minorHAnsi"/>
          <w:sz w:val="22"/>
          <w:szCs w:val="22"/>
        </w:rPr>
        <w:t xml:space="preserve">(Chief Investigator and Consultant Neurosurgeon) </w:t>
      </w:r>
      <w:r>
        <w:rPr>
          <w:rFonts w:asciiTheme="minorHAnsi" w:hAnsiTheme="minorHAnsi" w:cstheme="minorHAnsi"/>
          <w:sz w:val="22"/>
          <w:szCs w:val="22"/>
        </w:rPr>
        <w:t xml:space="preserve">devised the study question and </w:t>
      </w:r>
      <w:r w:rsidRPr="003E2CBD">
        <w:rPr>
          <w:rFonts w:asciiTheme="minorHAnsi" w:hAnsiTheme="minorHAnsi" w:cstheme="minorHAnsi"/>
          <w:sz w:val="22"/>
          <w:szCs w:val="22"/>
        </w:rPr>
        <w:t>developed the study protocol in collaboration with co-investigators. He oversaw the delivery of the study, prepared study update reports, over saw clinical aspects of the statistical analysis plan and clinical interpretation of the study data. He co-led the preparation of the final report (drafting, reviewing and editing). He was Chairperson of the Trial Management Committee and member of the Central Review Panel.</w:t>
      </w:r>
      <w:r>
        <w:rPr>
          <w:rFonts w:asciiTheme="minorHAnsi" w:hAnsiTheme="minorHAnsi" w:cstheme="minorHAnsi"/>
          <w:sz w:val="22"/>
          <w:szCs w:val="22"/>
        </w:rPr>
        <w:t xml:space="preserve">  Joint first author.</w:t>
      </w:r>
    </w:p>
    <w:p w:rsidR="00803D84" w:rsidRPr="003E2CBD" w:rsidRDefault="00803D84" w:rsidP="003E2CBD">
      <w:pPr>
        <w:spacing w:line="480" w:lineRule="auto"/>
        <w:jc w:val="both"/>
        <w:rPr>
          <w:rFonts w:asciiTheme="minorHAnsi" w:hAnsiTheme="minorHAnsi" w:cstheme="minorHAnsi"/>
          <w:b/>
          <w:sz w:val="22"/>
          <w:szCs w:val="22"/>
        </w:rPr>
      </w:pPr>
      <w:r w:rsidRPr="003E2CBD">
        <w:rPr>
          <w:rFonts w:asciiTheme="minorHAnsi" w:hAnsiTheme="minorHAnsi" w:cstheme="minorHAnsi"/>
          <w:b/>
          <w:sz w:val="22"/>
          <w:szCs w:val="22"/>
        </w:rPr>
        <w:t xml:space="preserve">Michael D Jenkinson </w:t>
      </w:r>
      <w:r w:rsidRPr="003E2CBD">
        <w:rPr>
          <w:rFonts w:asciiTheme="minorHAnsi" w:hAnsiTheme="minorHAnsi" w:cstheme="minorHAnsi"/>
          <w:sz w:val="22"/>
          <w:szCs w:val="22"/>
        </w:rPr>
        <w:t xml:space="preserve">(co-Chief Investigator and Consultant Neurosurgeon) </w:t>
      </w:r>
      <w:r>
        <w:rPr>
          <w:rFonts w:asciiTheme="minorHAnsi" w:hAnsiTheme="minorHAnsi" w:cstheme="minorHAnsi"/>
          <w:sz w:val="22"/>
          <w:szCs w:val="22"/>
        </w:rPr>
        <w:t xml:space="preserve">devised the study question and </w:t>
      </w:r>
      <w:r w:rsidRPr="003E2CBD">
        <w:rPr>
          <w:rFonts w:asciiTheme="minorHAnsi" w:hAnsiTheme="minorHAnsi" w:cstheme="minorHAnsi"/>
          <w:sz w:val="22"/>
          <w:szCs w:val="22"/>
        </w:rPr>
        <w:t>developed the funding application and study protocol in collaboration with co-investigators. He was a member of the Trial Management Committee</w:t>
      </w:r>
      <w:r>
        <w:rPr>
          <w:rFonts w:asciiTheme="minorHAnsi" w:hAnsiTheme="minorHAnsi" w:cstheme="minorHAnsi"/>
          <w:sz w:val="22"/>
          <w:szCs w:val="22"/>
        </w:rPr>
        <w:t xml:space="preserve">. </w:t>
      </w:r>
      <w:r w:rsidRPr="003E2CBD">
        <w:rPr>
          <w:rFonts w:asciiTheme="minorHAnsi" w:hAnsiTheme="minorHAnsi" w:cstheme="minorHAnsi"/>
          <w:sz w:val="22"/>
          <w:szCs w:val="22"/>
        </w:rPr>
        <w:t>He contributed to clinical interpretation of the study data</w:t>
      </w:r>
      <w:r>
        <w:rPr>
          <w:rFonts w:asciiTheme="minorHAnsi" w:hAnsiTheme="minorHAnsi" w:cstheme="minorHAnsi"/>
          <w:sz w:val="22"/>
          <w:szCs w:val="22"/>
        </w:rPr>
        <w:t xml:space="preserve"> and co-led the </w:t>
      </w:r>
      <w:r w:rsidRPr="003E2CBD">
        <w:rPr>
          <w:rFonts w:asciiTheme="minorHAnsi" w:hAnsiTheme="minorHAnsi" w:cstheme="minorHAnsi"/>
          <w:sz w:val="22"/>
          <w:szCs w:val="22"/>
        </w:rPr>
        <w:t>preparation of the final report (drafting, reviewing and editing).</w:t>
      </w:r>
      <w:r>
        <w:rPr>
          <w:rFonts w:asciiTheme="minorHAnsi" w:hAnsiTheme="minorHAnsi" w:cstheme="minorHAnsi"/>
          <w:sz w:val="22"/>
          <w:szCs w:val="22"/>
        </w:rPr>
        <w:t xml:space="preserve">  Joint first author.</w:t>
      </w:r>
    </w:p>
    <w:p w:rsidR="00803D84" w:rsidRPr="003E2CBD" w:rsidRDefault="00803D84" w:rsidP="003E2CBD">
      <w:pPr>
        <w:spacing w:line="480" w:lineRule="auto"/>
        <w:jc w:val="both"/>
        <w:rPr>
          <w:rFonts w:asciiTheme="minorHAnsi" w:hAnsiTheme="minorHAnsi" w:cstheme="minorHAnsi"/>
          <w:sz w:val="22"/>
          <w:szCs w:val="22"/>
        </w:rPr>
      </w:pPr>
      <w:r w:rsidRPr="003E2CBD">
        <w:rPr>
          <w:rFonts w:asciiTheme="minorHAnsi" w:hAnsiTheme="minorHAnsi" w:cstheme="minorHAnsi"/>
          <w:b/>
          <w:sz w:val="22"/>
          <w:szCs w:val="22"/>
        </w:rPr>
        <w:t xml:space="preserve">Elizabeth J Conroy </w:t>
      </w:r>
      <w:r w:rsidRPr="003E2CBD">
        <w:rPr>
          <w:rFonts w:asciiTheme="minorHAnsi" w:hAnsiTheme="minorHAnsi" w:cstheme="minorHAnsi"/>
          <w:sz w:val="22"/>
          <w:szCs w:val="22"/>
        </w:rPr>
        <w:t>(Trial Statistician) contributed to protocol development and data capture methods, wrote the statistical analysis plan, undertook the final statistical analysis under the supervision of Carrol Gamble, prepared data for reports throughout the study, prepared data tables and figures for final report, and co-led the preparation of the final report. She was a member of the Trial Management Committee.</w:t>
      </w:r>
    </w:p>
    <w:p w:rsidR="00803D84" w:rsidRPr="003E2CBD" w:rsidRDefault="00803D84" w:rsidP="003E2CBD">
      <w:pPr>
        <w:spacing w:line="480" w:lineRule="auto"/>
        <w:jc w:val="both"/>
        <w:rPr>
          <w:rFonts w:asciiTheme="minorHAnsi" w:hAnsiTheme="minorHAnsi" w:cstheme="minorHAnsi"/>
          <w:sz w:val="22"/>
          <w:szCs w:val="22"/>
        </w:rPr>
      </w:pPr>
      <w:r w:rsidRPr="003E2CBD">
        <w:rPr>
          <w:rFonts w:asciiTheme="minorHAnsi" w:hAnsiTheme="minorHAnsi" w:cstheme="minorHAnsi"/>
          <w:b/>
          <w:sz w:val="22"/>
          <w:szCs w:val="22"/>
        </w:rPr>
        <w:t xml:space="preserve">John C Hartley </w:t>
      </w:r>
      <w:r w:rsidRPr="003E2CBD">
        <w:rPr>
          <w:rFonts w:asciiTheme="minorHAnsi" w:hAnsiTheme="minorHAnsi" w:cstheme="minorHAnsi"/>
          <w:sz w:val="22"/>
          <w:szCs w:val="22"/>
        </w:rPr>
        <w:t>(Study microbiologist) contributed to protocol development, data capture methods, central classification of infections, preparation and review of progress and final reports. He was a member of the Trial Management Committee.</w:t>
      </w:r>
    </w:p>
    <w:p w:rsidR="00803D84" w:rsidRPr="003E2CBD" w:rsidRDefault="00803D84" w:rsidP="003E2CBD">
      <w:pPr>
        <w:spacing w:line="480" w:lineRule="auto"/>
        <w:jc w:val="both"/>
        <w:rPr>
          <w:rFonts w:asciiTheme="minorHAnsi" w:hAnsiTheme="minorHAnsi" w:cstheme="minorHAnsi"/>
          <w:b/>
          <w:sz w:val="22"/>
          <w:szCs w:val="22"/>
        </w:rPr>
      </w:pPr>
      <w:r w:rsidRPr="003E2CBD">
        <w:rPr>
          <w:rFonts w:asciiTheme="minorHAnsi" w:hAnsiTheme="minorHAnsi" w:cstheme="minorHAnsi"/>
          <w:b/>
          <w:sz w:val="22"/>
          <w:szCs w:val="22"/>
        </w:rPr>
        <w:t xml:space="preserve">Michaela Brown </w:t>
      </w:r>
      <w:r w:rsidRPr="003E2CBD">
        <w:rPr>
          <w:rFonts w:asciiTheme="minorHAnsi" w:hAnsiTheme="minorHAnsi"/>
          <w:sz w:val="22"/>
        </w:rPr>
        <w:t>(Senior Statistician) contributed to protocol development and data capture methods, proposed statistical analysis methods and approved the statistical analysis plan, oversaw trial monitoring activities and was a member of the Trial Management Committee.</w:t>
      </w:r>
    </w:p>
    <w:p w:rsidR="00803D84" w:rsidRPr="003E2CBD" w:rsidRDefault="00803D84" w:rsidP="003E2CBD">
      <w:pPr>
        <w:spacing w:line="480" w:lineRule="auto"/>
        <w:jc w:val="both"/>
        <w:rPr>
          <w:rFonts w:asciiTheme="minorHAnsi" w:hAnsiTheme="minorHAnsi" w:cstheme="minorHAnsi"/>
          <w:b/>
          <w:sz w:val="22"/>
          <w:szCs w:val="22"/>
        </w:rPr>
      </w:pPr>
      <w:r w:rsidRPr="003E2CBD">
        <w:rPr>
          <w:rFonts w:asciiTheme="minorHAnsi" w:hAnsiTheme="minorHAnsi" w:cstheme="minorHAnsi"/>
          <w:b/>
          <w:sz w:val="22"/>
          <w:szCs w:val="22"/>
        </w:rPr>
        <w:t xml:space="preserve">Tracy Moitt </w:t>
      </w:r>
      <w:r w:rsidRPr="003E2CBD">
        <w:rPr>
          <w:rFonts w:asciiTheme="minorHAnsi" w:hAnsiTheme="minorHAnsi"/>
          <w:sz w:val="22"/>
        </w:rPr>
        <w:t>(Senior Trials Manager) contributed to protocol development, gave guidance and support on all aspects of governance and study delivery and supported the preparation of progress reports. She contributed to the final report (drafting and reviewer) and was a member of the Trial Management Committee.</w:t>
      </w:r>
    </w:p>
    <w:p w:rsidR="00803D84" w:rsidRPr="003E2CBD" w:rsidRDefault="00803D84" w:rsidP="003E2CBD">
      <w:pPr>
        <w:spacing w:line="480" w:lineRule="auto"/>
        <w:jc w:val="both"/>
        <w:rPr>
          <w:rFonts w:asciiTheme="minorHAnsi" w:hAnsiTheme="minorHAnsi" w:cstheme="minorHAnsi"/>
          <w:b/>
          <w:sz w:val="22"/>
          <w:szCs w:val="22"/>
        </w:rPr>
      </w:pPr>
      <w:r w:rsidRPr="003E2CBD">
        <w:rPr>
          <w:rFonts w:asciiTheme="minorHAnsi" w:hAnsiTheme="minorHAnsi" w:cstheme="minorHAnsi"/>
          <w:b/>
          <w:sz w:val="22"/>
          <w:szCs w:val="22"/>
        </w:rPr>
        <w:t>Joanne Dalton</w:t>
      </w:r>
      <w:r w:rsidRPr="003E2CBD">
        <w:rPr>
          <w:rFonts w:asciiTheme="minorHAnsi" w:hAnsiTheme="minorHAnsi" w:cstheme="minorHAnsi"/>
          <w:sz w:val="22"/>
          <w:szCs w:val="22"/>
        </w:rPr>
        <w:t xml:space="preserve"> (Data Manager)</w:t>
      </w:r>
      <w:r w:rsidRPr="003E2CBD">
        <w:rPr>
          <w:rFonts w:asciiTheme="minorHAnsi" w:hAnsiTheme="minorHAnsi" w:cstheme="minorHAnsi"/>
          <w:b/>
          <w:sz w:val="22"/>
          <w:szCs w:val="22"/>
        </w:rPr>
        <w:t xml:space="preserve"> </w:t>
      </w:r>
      <w:r w:rsidRPr="003E2CBD">
        <w:rPr>
          <w:rFonts w:asciiTheme="minorHAnsi" w:hAnsiTheme="minorHAnsi"/>
          <w:sz w:val="22"/>
        </w:rPr>
        <w:t>supported the Central Review Panel in their assessment and was a member of the Trial Management Committee.</w:t>
      </w:r>
    </w:p>
    <w:p w:rsidR="00803D84" w:rsidRPr="003E2CBD" w:rsidRDefault="00803D84" w:rsidP="003E2CBD">
      <w:pPr>
        <w:spacing w:line="480" w:lineRule="auto"/>
        <w:jc w:val="both"/>
        <w:rPr>
          <w:rFonts w:asciiTheme="minorHAnsi" w:hAnsiTheme="minorHAnsi" w:cstheme="minorHAnsi"/>
          <w:b/>
          <w:sz w:val="22"/>
          <w:szCs w:val="22"/>
        </w:rPr>
      </w:pPr>
      <w:r w:rsidRPr="003E2CBD">
        <w:rPr>
          <w:rFonts w:asciiTheme="minorHAnsi" w:hAnsiTheme="minorHAnsi" w:cstheme="minorHAnsi"/>
          <w:b/>
          <w:sz w:val="22"/>
          <w:szCs w:val="22"/>
        </w:rPr>
        <w:t xml:space="preserve">Tom Kearns </w:t>
      </w:r>
      <w:r w:rsidRPr="003E2CBD">
        <w:rPr>
          <w:rFonts w:asciiTheme="minorHAnsi" w:hAnsiTheme="minorHAnsi"/>
          <w:sz w:val="22"/>
        </w:rPr>
        <w:t>(Trial Co-ordinator) contributed to protocol development, all aspects of governance and study delivery and preparation of progress reports. He contributed to the final report (reviewer) and was a member of the Trial Management Committee.</w:t>
      </w:r>
    </w:p>
    <w:p w:rsidR="00803D84" w:rsidRPr="003E2CBD" w:rsidRDefault="00803D84" w:rsidP="003E2CBD">
      <w:pPr>
        <w:spacing w:line="480" w:lineRule="auto"/>
        <w:jc w:val="both"/>
        <w:rPr>
          <w:rFonts w:asciiTheme="minorHAnsi" w:hAnsiTheme="minorHAnsi" w:cstheme="minorHAnsi"/>
          <w:b/>
          <w:sz w:val="22"/>
          <w:szCs w:val="22"/>
          <w:lang w:val="de-DE"/>
        </w:rPr>
      </w:pPr>
      <w:r w:rsidRPr="003E2CBD">
        <w:rPr>
          <w:rFonts w:asciiTheme="minorHAnsi" w:hAnsiTheme="minorHAnsi" w:cstheme="minorHAnsi"/>
          <w:b/>
          <w:sz w:val="22"/>
          <w:szCs w:val="22"/>
          <w:lang w:val="de-DE"/>
        </w:rPr>
        <w:t xml:space="preserve">Michael J Griffiths </w:t>
      </w:r>
      <w:r w:rsidRPr="00213C5A">
        <w:rPr>
          <w:rFonts w:asciiTheme="minorHAnsi" w:hAnsiTheme="minorHAnsi" w:cstheme="minorHAnsi"/>
          <w:sz w:val="22"/>
          <w:szCs w:val="22"/>
          <w:lang w:val="de-DE"/>
        </w:rPr>
        <w:t>(Senior Lecturer in Paediatic Neurology)</w:t>
      </w:r>
      <w:r w:rsidRPr="00213C5A">
        <w:rPr>
          <w:rFonts w:asciiTheme="minorHAnsi" w:hAnsiTheme="minorHAnsi" w:cstheme="minorHAnsi"/>
          <w:sz w:val="22"/>
          <w:szCs w:val="22"/>
        </w:rPr>
        <w:t>,</w:t>
      </w:r>
      <w:r w:rsidRPr="003E2CBD">
        <w:rPr>
          <w:rFonts w:asciiTheme="minorHAnsi" w:hAnsiTheme="minorHAnsi" w:cstheme="minorHAnsi"/>
          <w:sz w:val="22"/>
          <w:szCs w:val="22"/>
        </w:rPr>
        <w:t xml:space="preserve"> coordinated and developed the sample collection sub-study, contributed to protocol development, oversaw sample recruitment, collection and storage, contributed to the preparation of the final report (reviewing, editing)</w:t>
      </w:r>
      <w:r>
        <w:rPr>
          <w:rFonts w:asciiTheme="minorHAnsi" w:hAnsiTheme="minorHAnsi" w:cstheme="minorHAnsi"/>
          <w:sz w:val="22"/>
          <w:szCs w:val="22"/>
        </w:rPr>
        <w:t xml:space="preserve">. </w:t>
      </w:r>
      <w:r w:rsidRPr="003E2CBD">
        <w:rPr>
          <w:rFonts w:asciiTheme="minorHAnsi" w:hAnsiTheme="minorHAnsi" w:cstheme="minorHAnsi"/>
          <w:sz w:val="22"/>
          <w:szCs w:val="22"/>
        </w:rPr>
        <w:t>He was a member of the Trial Management Committee.</w:t>
      </w:r>
    </w:p>
    <w:p w:rsidR="00803D84" w:rsidRPr="003E2CBD" w:rsidRDefault="00803D84" w:rsidP="003E2CBD">
      <w:pPr>
        <w:spacing w:line="480" w:lineRule="auto"/>
        <w:jc w:val="both"/>
        <w:rPr>
          <w:rFonts w:asciiTheme="minorHAnsi" w:hAnsiTheme="minorHAnsi" w:cstheme="minorHAnsi"/>
          <w:b/>
          <w:sz w:val="22"/>
          <w:szCs w:val="22"/>
        </w:rPr>
      </w:pPr>
      <w:r w:rsidRPr="003E2CBD">
        <w:rPr>
          <w:rFonts w:asciiTheme="minorHAnsi" w:hAnsiTheme="minorHAnsi" w:cstheme="minorHAnsi"/>
          <w:b/>
          <w:sz w:val="22"/>
          <w:szCs w:val="22"/>
        </w:rPr>
        <w:t xml:space="preserve">Giovanna Culeddu </w:t>
      </w:r>
      <w:r w:rsidRPr="003E2CBD">
        <w:rPr>
          <w:rFonts w:asciiTheme="minorHAnsi" w:hAnsiTheme="minorHAnsi" w:cstheme="minorHAnsi"/>
          <w:sz w:val="22"/>
          <w:szCs w:val="22"/>
        </w:rPr>
        <w:t xml:space="preserve">(Study Health Economist) contributed to protocol development and data capture methods, undertook the economic analysis under the supervision of Dyfrig Hughes, contributed to the </w:t>
      </w:r>
      <w:r w:rsidRPr="003E2CBD">
        <w:rPr>
          <w:rFonts w:asciiTheme="minorHAnsi" w:hAnsiTheme="minorHAnsi"/>
          <w:sz w:val="22"/>
        </w:rPr>
        <w:t>final report (drafting)</w:t>
      </w:r>
      <w:r w:rsidRPr="003E2CBD">
        <w:rPr>
          <w:rFonts w:asciiTheme="minorHAnsi" w:hAnsiTheme="minorHAnsi" w:cstheme="minorHAnsi"/>
          <w:sz w:val="22"/>
          <w:szCs w:val="22"/>
        </w:rPr>
        <w:t xml:space="preserve"> and was a member of the Trial Management Committee.</w:t>
      </w:r>
    </w:p>
    <w:p w:rsidR="00803D84" w:rsidRPr="003E2CBD" w:rsidRDefault="00803D84" w:rsidP="003E2CBD">
      <w:pPr>
        <w:spacing w:line="480" w:lineRule="auto"/>
        <w:jc w:val="both"/>
        <w:rPr>
          <w:rFonts w:asciiTheme="minorHAnsi" w:hAnsiTheme="minorHAnsi" w:cstheme="minorHAnsi"/>
          <w:b/>
          <w:sz w:val="22"/>
          <w:szCs w:val="22"/>
        </w:rPr>
      </w:pPr>
      <w:r w:rsidRPr="003E2CBD">
        <w:rPr>
          <w:rFonts w:asciiTheme="minorHAnsi" w:hAnsiTheme="minorHAnsi" w:cstheme="minorHAnsi"/>
          <w:b/>
          <w:sz w:val="22"/>
          <w:szCs w:val="22"/>
          <w:lang w:val="de-DE"/>
        </w:rPr>
        <w:t xml:space="preserve">Tom Solomon </w:t>
      </w:r>
      <w:r w:rsidRPr="003E2CBD">
        <w:rPr>
          <w:rFonts w:asciiTheme="minorHAnsi" w:hAnsiTheme="minorHAnsi" w:cstheme="minorHAnsi"/>
          <w:sz w:val="22"/>
          <w:szCs w:val="22"/>
          <w:lang w:val="de-DE"/>
        </w:rPr>
        <w:t xml:space="preserve">(Professor of Neurology), assisted with obtaining grant funding, </w:t>
      </w:r>
      <w:r w:rsidRPr="003E2CBD">
        <w:rPr>
          <w:rFonts w:asciiTheme="minorHAnsi" w:hAnsiTheme="minorHAnsi" w:cstheme="minorHAnsi"/>
          <w:sz w:val="22"/>
          <w:szCs w:val="22"/>
        </w:rPr>
        <w:t>was a member of the Trial Management Committee, and reviewed the final report</w:t>
      </w:r>
    </w:p>
    <w:p w:rsidR="00803D84" w:rsidRPr="003E2CBD" w:rsidRDefault="00803D84" w:rsidP="003E2CBD">
      <w:pPr>
        <w:spacing w:line="480" w:lineRule="auto"/>
        <w:jc w:val="both"/>
        <w:rPr>
          <w:rFonts w:asciiTheme="minorHAnsi" w:hAnsiTheme="minorHAnsi" w:cstheme="minorHAnsi"/>
          <w:sz w:val="22"/>
          <w:szCs w:val="22"/>
          <w:lang w:val="en-US"/>
        </w:rPr>
      </w:pPr>
      <w:r w:rsidRPr="003E2CBD">
        <w:rPr>
          <w:rFonts w:asciiTheme="minorHAnsi" w:hAnsiTheme="minorHAnsi" w:cstheme="minorHAnsi"/>
          <w:b/>
          <w:sz w:val="22"/>
          <w:szCs w:val="22"/>
        </w:rPr>
        <w:t>Dyfrig Hughes</w:t>
      </w:r>
      <w:r w:rsidRPr="003E2CBD">
        <w:rPr>
          <w:rFonts w:asciiTheme="minorHAnsi" w:hAnsiTheme="minorHAnsi" w:cstheme="minorHAnsi"/>
          <w:sz w:val="22"/>
          <w:szCs w:val="22"/>
        </w:rPr>
        <w:t xml:space="preserve"> (Senior Health Economist) led the economic evaluation, contributed to protocol development</w:t>
      </w:r>
      <w:r w:rsidRPr="003E2CBD">
        <w:rPr>
          <w:rFonts w:asciiTheme="minorHAnsi" w:hAnsiTheme="minorHAnsi"/>
          <w:sz w:val="22"/>
        </w:rPr>
        <w:t xml:space="preserve"> and data capture methods</w:t>
      </w:r>
      <w:r w:rsidRPr="003E2CBD">
        <w:rPr>
          <w:rFonts w:asciiTheme="minorHAnsi" w:hAnsiTheme="minorHAnsi" w:cstheme="minorHAnsi"/>
          <w:sz w:val="22"/>
          <w:szCs w:val="22"/>
        </w:rPr>
        <w:t xml:space="preserve">, contributed to the writing of the report (drafting, reviewing and editing) and </w:t>
      </w:r>
      <w:r w:rsidRPr="003E2CBD">
        <w:rPr>
          <w:rFonts w:asciiTheme="minorHAnsi" w:hAnsiTheme="minorHAnsi"/>
          <w:sz w:val="22"/>
        </w:rPr>
        <w:t>was a member of the Trial Management Committee</w:t>
      </w:r>
      <w:r w:rsidRPr="003E2CBD">
        <w:rPr>
          <w:rFonts w:asciiTheme="minorHAnsi" w:hAnsiTheme="minorHAnsi" w:cstheme="minorHAnsi"/>
          <w:sz w:val="22"/>
          <w:szCs w:val="22"/>
        </w:rPr>
        <w:t>.</w:t>
      </w:r>
    </w:p>
    <w:p w:rsidR="00803D84" w:rsidRPr="003E2CBD" w:rsidRDefault="00803D84" w:rsidP="003E2CBD">
      <w:pPr>
        <w:spacing w:line="480" w:lineRule="auto"/>
        <w:jc w:val="both"/>
        <w:rPr>
          <w:rFonts w:asciiTheme="minorHAnsi" w:hAnsiTheme="minorHAnsi" w:cstheme="minorHAnsi"/>
          <w:b/>
          <w:sz w:val="22"/>
          <w:szCs w:val="22"/>
        </w:rPr>
      </w:pPr>
      <w:r w:rsidRPr="003E2CBD">
        <w:rPr>
          <w:rFonts w:asciiTheme="minorHAnsi" w:hAnsiTheme="minorHAnsi" w:cstheme="minorHAnsi"/>
          <w:b/>
          <w:sz w:val="22"/>
          <w:szCs w:val="22"/>
        </w:rPr>
        <w:t xml:space="preserve">Carrol Gamble </w:t>
      </w:r>
      <w:r w:rsidRPr="003E2CBD">
        <w:rPr>
          <w:rFonts w:asciiTheme="minorHAnsi" w:hAnsiTheme="minorHAnsi" w:cstheme="minorHAnsi"/>
          <w:sz w:val="22"/>
          <w:szCs w:val="22"/>
        </w:rPr>
        <w:t>(Statistical lead)</w:t>
      </w:r>
      <w:r w:rsidRPr="003E2CBD">
        <w:rPr>
          <w:rFonts w:asciiTheme="minorHAnsi" w:hAnsiTheme="minorHAnsi" w:cstheme="minorHAnsi"/>
          <w:b/>
          <w:sz w:val="22"/>
          <w:szCs w:val="22"/>
        </w:rPr>
        <w:t xml:space="preserve"> </w:t>
      </w:r>
      <w:r w:rsidRPr="003E2CBD">
        <w:rPr>
          <w:rFonts w:asciiTheme="minorHAnsi" w:hAnsiTheme="minorHAnsi" w:cstheme="minorHAnsi"/>
          <w:sz w:val="22"/>
          <w:szCs w:val="22"/>
        </w:rPr>
        <w:t>led study design,</w:t>
      </w:r>
      <w:r w:rsidRPr="003E2CBD">
        <w:rPr>
          <w:rFonts w:asciiTheme="minorHAnsi" w:hAnsiTheme="minorHAnsi" w:cstheme="minorHAnsi"/>
          <w:b/>
          <w:sz w:val="22"/>
          <w:szCs w:val="22"/>
        </w:rPr>
        <w:t xml:space="preserve"> </w:t>
      </w:r>
      <w:r w:rsidRPr="003E2CBD">
        <w:rPr>
          <w:rFonts w:asciiTheme="minorHAnsi" w:hAnsiTheme="minorHAnsi" w:cstheme="minorHAnsi"/>
          <w:sz w:val="22"/>
          <w:szCs w:val="22"/>
        </w:rPr>
        <w:t xml:space="preserve">developed the funding application, study protocol and data capture methods in collaboration with co-investigators. CG led blind review of the data and supervised the final analysis. She contributed to the preparation of the final report (drafting, reviewing and editing) and </w:t>
      </w:r>
      <w:r w:rsidRPr="003E2CBD">
        <w:rPr>
          <w:rFonts w:asciiTheme="minorHAnsi" w:hAnsiTheme="minorHAnsi"/>
          <w:sz w:val="22"/>
        </w:rPr>
        <w:t>was a member of the Trial Management Committee</w:t>
      </w:r>
      <w:r w:rsidRPr="003E2CBD">
        <w:rPr>
          <w:rFonts w:asciiTheme="minorHAnsi" w:hAnsiTheme="minorHAnsi" w:cstheme="minorHAnsi"/>
          <w:sz w:val="22"/>
          <w:szCs w:val="22"/>
        </w:rPr>
        <w:t>.</w:t>
      </w:r>
    </w:p>
    <w:p w:rsidR="00803D84" w:rsidRPr="003E2CBD" w:rsidRDefault="00803D84" w:rsidP="003E2CBD">
      <w:pPr>
        <w:spacing w:line="480" w:lineRule="auto"/>
        <w:jc w:val="both"/>
        <w:rPr>
          <w:rFonts w:asciiTheme="minorHAnsi" w:hAnsiTheme="minorHAnsi" w:cs="Calibri"/>
          <w:sz w:val="22"/>
          <w:szCs w:val="22"/>
        </w:rPr>
      </w:pPr>
    </w:p>
    <w:p w:rsidR="00803D84" w:rsidRPr="009D679F" w:rsidRDefault="00803D84" w:rsidP="00A262FE">
      <w:pPr>
        <w:spacing w:line="480" w:lineRule="auto"/>
        <w:jc w:val="both"/>
        <w:rPr>
          <w:rFonts w:ascii="Calibri" w:hAnsi="Calibri" w:cs="Calibri"/>
          <w:b/>
          <w:bCs/>
          <w:sz w:val="22"/>
          <w:szCs w:val="22"/>
        </w:rPr>
      </w:pPr>
      <w:r>
        <w:rPr>
          <w:rFonts w:ascii="Calibri" w:hAnsi="Calibri" w:cs="Calibri"/>
          <w:b/>
          <w:bCs/>
          <w:sz w:val="22"/>
          <w:szCs w:val="22"/>
        </w:rPr>
        <w:t xml:space="preserve">Declaration of </w:t>
      </w:r>
      <w:r w:rsidRPr="009D679F">
        <w:rPr>
          <w:rFonts w:ascii="Calibri" w:hAnsi="Calibri" w:cs="Calibri"/>
          <w:b/>
          <w:bCs/>
          <w:sz w:val="22"/>
          <w:szCs w:val="22"/>
        </w:rPr>
        <w:t>interests</w:t>
      </w:r>
    </w:p>
    <w:p w:rsidR="00803D84" w:rsidRPr="009D679F" w:rsidRDefault="00803D84" w:rsidP="00A262FE">
      <w:pPr>
        <w:spacing w:line="480" w:lineRule="auto"/>
        <w:jc w:val="both"/>
        <w:rPr>
          <w:rFonts w:ascii="Calibri" w:hAnsi="Calibri" w:cs="Calibri"/>
          <w:sz w:val="22"/>
          <w:szCs w:val="22"/>
        </w:rPr>
      </w:pPr>
      <w:r>
        <w:rPr>
          <w:rFonts w:ascii="Calibri" w:hAnsi="Calibri" w:cs="Calibri"/>
          <w:sz w:val="22"/>
          <w:szCs w:val="22"/>
        </w:rPr>
        <w:t xml:space="preserve">MDJ receives grant funding from Vitaflo Ltd, has provided consultancy services and received honoraria from Brainlab. </w:t>
      </w:r>
      <w:r w:rsidRPr="00A11329">
        <w:rPr>
          <w:rFonts w:ascii="Calibri" w:hAnsi="Calibri" w:cs="Calibri"/>
          <w:sz w:val="22"/>
          <w:szCs w:val="22"/>
        </w:rPr>
        <w:t>TS is an advisor to the GSK Ebola Vaccine programme and chairs a Siemens Diagnostics Clinical Advisory Board</w:t>
      </w:r>
      <w:r>
        <w:rPr>
          <w:rFonts w:ascii="Calibri" w:hAnsi="Calibri" w:cs="Calibri"/>
          <w:sz w:val="22"/>
          <w:szCs w:val="22"/>
        </w:rPr>
        <w:t>. All other co-authors have no competing interests to declare.</w:t>
      </w:r>
    </w:p>
    <w:p w:rsidR="00803D84" w:rsidRPr="009D679F" w:rsidRDefault="00803D84" w:rsidP="00A262FE">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b/>
          <w:bCs/>
          <w:sz w:val="22"/>
          <w:szCs w:val="22"/>
        </w:rPr>
      </w:pPr>
      <w:r>
        <w:rPr>
          <w:rFonts w:ascii="Calibri" w:hAnsi="Calibri" w:cs="Calibri"/>
          <w:b/>
          <w:bCs/>
          <w:sz w:val="22"/>
          <w:szCs w:val="22"/>
        </w:rPr>
        <w:t>Role of funding source</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This study was funded by the National Institute for Health Research Health Technology Assessment programme (NIHR-HTA) under grant agreement 10/104/30.  The corresponding author had full access to the data and final responsibility to for the decision to submit the manuscript for publication.</w:t>
      </w:r>
    </w:p>
    <w:p w:rsidR="00803D84" w:rsidRDefault="00803D84" w:rsidP="00A262FE">
      <w:pPr>
        <w:spacing w:line="480" w:lineRule="auto"/>
        <w:jc w:val="both"/>
        <w:rPr>
          <w:rFonts w:ascii="Calibri" w:hAnsi="Calibri" w:cs="Calibri"/>
          <w:sz w:val="22"/>
          <w:szCs w:val="22"/>
        </w:rPr>
      </w:pPr>
    </w:p>
    <w:p w:rsidR="00803D84" w:rsidRPr="009D679F" w:rsidRDefault="00803D84" w:rsidP="008B7AC8">
      <w:pPr>
        <w:spacing w:line="480" w:lineRule="auto"/>
        <w:jc w:val="both"/>
        <w:rPr>
          <w:rFonts w:ascii="Calibri" w:hAnsi="Calibri" w:cs="Calibri"/>
          <w:b/>
          <w:bCs/>
          <w:sz w:val="22"/>
          <w:szCs w:val="22"/>
        </w:rPr>
      </w:pPr>
      <w:r>
        <w:rPr>
          <w:rFonts w:ascii="Calibri" w:hAnsi="Calibri" w:cs="Calibri"/>
          <w:b/>
          <w:bCs/>
          <w:sz w:val="22"/>
          <w:szCs w:val="22"/>
        </w:rPr>
        <w:t>Data sharing agreement</w:t>
      </w:r>
    </w:p>
    <w:p w:rsidR="00803D84" w:rsidRDefault="00803D84" w:rsidP="008B7AC8">
      <w:pPr>
        <w:spacing w:line="480" w:lineRule="auto"/>
        <w:jc w:val="both"/>
        <w:rPr>
          <w:rFonts w:ascii="Calibri" w:hAnsi="Calibri" w:cs="Calibri"/>
          <w:sz w:val="22"/>
          <w:szCs w:val="22"/>
        </w:rPr>
      </w:pPr>
      <w:r>
        <w:rPr>
          <w:rFonts w:ascii="Calibri" w:hAnsi="Calibri" w:cs="Calibri"/>
          <w:sz w:val="22"/>
          <w:szCs w:val="22"/>
        </w:rPr>
        <w:t>Individual participant data that underlie the results reported in this article, after deidentification, will be made available.  The study protocol, statistical analysis plan and consent forms will also be made available.  Data will be available beginning 9 months and ending 3 years after publication.  Data will be available to researchers whose proposed use of the data is approved by the original study investigators.  Proposals should be directed to the corresponding authors and requestors will need to sign a data access agreement.</w:t>
      </w:r>
    </w:p>
    <w:p w:rsidR="00803D84" w:rsidRDefault="00803D84" w:rsidP="008B7AC8">
      <w:pPr>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sz w:val="22"/>
          <w:szCs w:val="22"/>
        </w:rPr>
      </w:pPr>
      <w:r>
        <w:rPr>
          <w:rFonts w:ascii="Calibri" w:hAnsi="Calibri" w:cs="Calibri"/>
          <w:b/>
          <w:bCs/>
          <w:sz w:val="22"/>
          <w:szCs w:val="22"/>
        </w:rPr>
        <w:t>Disclaimer</w:t>
      </w:r>
    </w:p>
    <w:p w:rsidR="00803D84" w:rsidRDefault="00803D84" w:rsidP="00A262FE">
      <w:pPr>
        <w:spacing w:line="480" w:lineRule="auto"/>
        <w:jc w:val="both"/>
        <w:rPr>
          <w:rFonts w:ascii="Calibri" w:hAnsi="Calibri" w:cs="Calibri"/>
          <w:sz w:val="22"/>
          <w:szCs w:val="22"/>
        </w:rPr>
      </w:pPr>
      <w:r>
        <w:rPr>
          <w:rFonts w:ascii="Calibri" w:hAnsi="Calibri" w:cs="Calibri"/>
          <w:sz w:val="22"/>
          <w:szCs w:val="22"/>
        </w:rPr>
        <w:t>The views expressed are those of the authors and not necessarily those of the NHS, the NIHR or the Department of Health and Social Care.</w:t>
      </w:r>
    </w:p>
    <w:p w:rsidR="00803D84" w:rsidRPr="009D679F" w:rsidRDefault="00803D84" w:rsidP="00A262FE">
      <w:pPr>
        <w:spacing w:line="480" w:lineRule="auto"/>
        <w:jc w:val="both"/>
        <w:rPr>
          <w:rFonts w:ascii="Calibri" w:hAnsi="Calibri" w:cs="Calibri"/>
          <w:sz w:val="22"/>
          <w:szCs w:val="22"/>
        </w:rPr>
      </w:pPr>
      <w:r w:rsidRPr="009D679F">
        <w:rPr>
          <w:rFonts w:ascii="Calibri" w:hAnsi="Calibri" w:cs="Calibri"/>
          <w:sz w:val="22"/>
          <w:szCs w:val="22"/>
        </w:rPr>
        <w:br w:type="page"/>
      </w:r>
    </w:p>
    <w:p w:rsidR="00803D84" w:rsidRPr="006C6399" w:rsidRDefault="00803D84" w:rsidP="00F20DBB">
      <w:pPr>
        <w:spacing w:line="480" w:lineRule="auto"/>
        <w:jc w:val="both"/>
        <w:rPr>
          <w:rFonts w:asciiTheme="minorHAnsi" w:hAnsiTheme="minorHAnsi" w:cs="Calibri"/>
          <w:b/>
          <w:bCs/>
          <w:sz w:val="22"/>
          <w:szCs w:val="22"/>
        </w:rPr>
      </w:pPr>
      <w:r w:rsidRPr="009D679F">
        <w:rPr>
          <w:rFonts w:ascii="Calibri" w:hAnsi="Calibri" w:cs="Calibri"/>
          <w:b/>
          <w:bCs/>
          <w:sz w:val="22"/>
          <w:szCs w:val="22"/>
        </w:rPr>
        <w:t>References</w:t>
      </w:r>
    </w:p>
    <w:p w:rsidR="00803D84" w:rsidRPr="004023CD" w:rsidRDefault="00803D84" w:rsidP="004023CD">
      <w:pPr>
        <w:pStyle w:val="EndNoteBibliography"/>
        <w:rPr>
          <w:noProof/>
        </w:rPr>
      </w:pPr>
      <w:bookmarkStart w:id="0" w:name="_ENREF_1"/>
      <w:r w:rsidRPr="004023CD">
        <w:rPr>
          <w:noProof/>
        </w:rPr>
        <w:t>1.</w:t>
      </w:r>
      <w:r w:rsidRPr="004023CD">
        <w:rPr>
          <w:noProof/>
        </w:rPr>
        <w:tab/>
        <w:t xml:space="preserve">Dewan MC, Rattani A, Mekary R, et al. Global hydrocephalus epidemiology and incidence: systematic review and meta-analysis. </w:t>
      </w:r>
      <w:r w:rsidRPr="004023CD">
        <w:rPr>
          <w:i/>
          <w:noProof/>
        </w:rPr>
        <w:t>J Neurosurg</w:t>
      </w:r>
      <w:r w:rsidRPr="004023CD">
        <w:rPr>
          <w:noProof/>
        </w:rPr>
        <w:t xml:space="preserve"> 2018: 1-15.</w:t>
      </w:r>
      <w:bookmarkEnd w:id="0"/>
    </w:p>
    <w:p w:rsidR="00803D84" w:rsidRPr="004023CD" w:rsidRDefault="00803D84" w:rsidP="004023CD">
      <w:pPr>
        <w:pStyle w:val="EndNoteBibliography"/>
        <w:rPr>
          <w:noProof/>
        </w:rPr>
      </w:pPr>
      <w:bookmarkStart w:id="1" w:name="_ENREF_2"/>
      <w:r w:rsidRPr="004023CD">
        <w:rPr>
          <w:noProof/>
        </w:rPr>
        <w:t>2.</w:t>
      </w:r>
      <w:r w:rsidRPr="004023CD">
        <w:rPr>
          <w:noProof/>
        </w:rPr>
        <w:tab/>
        <w:t xml:space="preserve">Kahle KT, Kulkarni AV, Limbrick DD, Jr., Warf BC. Hydrocephalus in children. </w:t>
      </w:r>
      <w:r w:rsidRPr="004023CD">
        <w:rPr>
          <w:i/>
          <w:noProof/>
        </w:rPr>
        <w:t>Lancet</w:t>
      </w:r>
      <w:r w:rsidRPr="004023CD">
        <w:rPr>
          <w:noProof/>
        </w:rPr>
        <w:t xml:space="preserve"> 2016; </w:t>
      </w:r>
      <w:r w:rsidRPr="004023CD">
        <w:rPr>
          <w:b/>
          <w:noProof/>
        </w:rPr>
        <w:t>387</w:t>
      </w:r>
      <w:r w:rsidRPr="004023CD">
        <w:rPr>
          <w:noProof/>
        </w:rPr>
        <w:t>(10020): 788-99.</w:t>
      </w:r>
      <w:bookmarkEnd w:id="1"/>
    </w:p>
    <w:p w:rsidR="00803D84" w:rsidRPr="004023CD" w:rsidRDefault="00803D84" w:rsidP="004023CD">
      <w:pPr>
        <w:pStyle w:val="EndNoteBibliography"/>
        <w:rPr>
          <w:noProof/>
        </w:rPr>
      </w:pPr>
      <w:bookmarkStart w:id="2" w:name="_ENREF_3"/>
      <w:r w:rsidRPr="004023CD">
        <w:rPr>
          <w:noProof/>
        </w:rPr>
        <w:t>3.</w:t>
      </w:r>
      <w:r w:rsidRPr="004023CD">
        <w:rPr>
          <w:noProof/>
        </w:rPr>
        <w:tab/>
        <w:t xml:space="preserve">Isaacs AM, Riva-Cambrin J, Yavin D, et al. Age-specific global epidemiology of hydrocephalus: Systematic review, metanalysis and global birth surveillance. </w:t>
      </w:r>
      <w:r w:rsidRPr="004023CD">
        <w:rPr>
          <w:i/>
          <w:noProof/>
        </w:rPr>
        <w:t>PLoS One</w:t>
      </w:r>
      <w:r w:rsidRPr="004023CD">
        <w:rPr>
          <w:noProof/>
        </w:rPr>
        <w:t xml:space="preserve"> 2018; </w:t>
      </w:r>
      <w:r w:rsidRPr="004023CD">
        <w:rPr>
          <w:b/>
          <w:noProof/>
        </w:rPr>
        <w:t>13</w:t>
      </w:r>
      <w:r w:rsidRPr="004023CD">
        <w:rPr>
          <w:noProof/>
        </w:rPr>
        <w:t>(10): e0204926.</w:t>
      </w:r>
      <w:bookmarkEnd w:id="2"/>
    </w:p>
    <w:p w:rsidR="00803D84" w:rsidRPr="004023CD" w:rsidRDefault="00803D84" w:rsidP="004023CD">
      <w:pPr>
        <w:pStyle w:val="EndNoteBibliography"/>
        <w:rPr>
          <w:noProof/>
        </w:rPr>
      </w:pPr>
      <w:bookmarkStart w:id="3" w:name="_ENREF_4"/>
      <w:r w:rsidRPr="004023CD">
        <w:rPr>
          <w:noProof/>
        </w:rPr>
        <w:t>4.</w:t>
      </w:r>
      <w:r w:rsidRPr="004023CD">
        <w:rPr>
          <w:noProof/>
        </w:rPr>
        <w:tab/>
        <w:t xml:space="preserve">Richards HK, Seeley HM, Pickard JD. Efficacy of antibiotic-impregnated shunt catheters in reducing shunt infection: data from the United Kingdom Shunt Registry. </w:t>
      </w:r>
      <w:r w:rsidRPr="004023CD">
        <w:rPr>
          <w:i/>
          <w:noProof/>
        </w:rPr>
        <w:t>J Neurosurg Pediatr</w:t>
      </w:r>
      <w:r w:rsidRPr="004023CD">
        <w:rPr>
          <w:noProof/>
        </w:rPr>
        <w:t xml:space="preserve"> 2009; </w:t>
      </w:r>
      <w:r w:rsidRPr="004023CD">
        <w:rPr>
          <w:b/>
          <w:noProof/>
        </w:rPr>
        <w:t>4</w:t>
      </w:r>
      <w:r w:rsidRPr="004023CD">
        <w:rPr>
          <w:noProof/>
        </w:rPr>
        <w:t>(4): 389-93.</w:t>
      </w:r>
      <w:bookmarkEnd w:id="3"/>
    </w:p>
    <w:p w:rsidR="00803D84" w:rsidRPr="004023CD" w:rsidRDefault="00803D84" w:rsidP="004023CD">
      <w:pPr>
        <w:pStyle w:val="EndNoteBibliography"/>
        <w:rPr>
          <w:noProof/>
        </w:rPr>
      </w:pPr>
      <w:bookmarkStart w:id="4" w:name="_ENREF_5"/>
      <w:r w:rsidRPr="004023CD">
        <w:rPr>
          <w:noProof/>
        </w:rPr>
        <w:t>5.</w:t>
      </w:r>
      <w:r w:rsidRPr="004023CD">
        <w:rPr>
          <w:noProof/>
        </w:rPr>
        <w:tab/>
        <w:t xml:space="preserve">Drake JM, Kestle JR, Milner R, et al. Randomized trial of cerebrospinal fluid shunt valve design in pediatric hydrocephalus. </w:t>
      </w:r>
      <w:r w:rsidRPr="004023CD">
        <w:rPr>
          <w:i/>
          <w:noProof/>
        </w:rPr>
        <w:t>Neurosurgery</w:t>
      </w:r>
      <w:r w:rsidRPr="004023CD">
        <w:rPr>
          <w:noProof/>
        </w:rPr>
        <w:t xml:space="preserve"> 1998; </w:t>
      </w:r>
      <w:r w:rsidRPr="004023CD">
        <w:rPr>
          <w:b/>
          <w:noProof/>
        </w:rPr>
        <w:t>43</w:t>
      </w:r>
      <w:r w:rsidRPr="004023CD">
        <w:rPr>
          <w:noProof/>
        </w:rPr>
        <w:t>(2): 294-303; discussion 03-5.</w:t>
      </w:r>
      <w:bookmarkEnd w:id="4"/>
    </w:p>
    <w:p w:rsidR="00803D84" w:rsidRPr="004023CD" w:rsidRDefault="00803D84" w:rsidP="004023CD">
      <w:pPr>
        <w:pStyle w:val="EndNoteBibliography"/>
        <w:rPr>
          <w:noProof/>
        </w:rPr>
      </w:pPr>
      <w:bookmarkStart w:id="5" w:name="_ENREF_6"/>
      <w:r w:rsidRPr="004023CD">
        <w:rPr>
          <w:noProof/>
        </w:rPr>
        <w:t>6.</w:t>
      </w:r>
      <w:r w:rsidRPr="004023CD">
        <w:rPr>
          <w:noProof/>
        </w:rPr>
        <w:tab/>
        <w:t xml:space="preserve">Fernandez-Mendez R, Richards HK, Seeley HM, Pickard JD, Joannides AJ, collaborators U. Current epidemiology of cerebrospinal fluid shunt surgery in the UK and Ireland (2004-2013). </w:t>
      </w:r>
      <w:r w:rsidRPr="004023CD">
        <w:rPr>
          <w:i/>
          <w:noProof/>
        </w:rPr>
        <w:t>J Neurol Neurosurg Psychiatry</w:t>
      </w:r>
      <w:r w:rsidRPr="004023CD">
        <w:rPr>
          <w:noProof/>
        </w:rPr>
        <w:t xml:space="preserve"> 2019.</w:t>
      </w:r>
      <w:bookmarkEnd w:id="5"/>
    </w:p>
    <w:p w:rsidR="00803D84" w:rsidRPr="004023CD" w:rsidRDefault="00803D84" w:rsidP="004023CD">
      <w:pPr>
        <w:pStyle w:val="EndNoteBibliography"/>
        <w:rPr>
          <w:noProof/>
        </w:rPr>
      </w:pPr>
      <w:bookmarkStart w:id="6" w:name="_ENREF_7"/>
      <w:r w:rsidRPr="004023CD">
        <w:rPr>
          <w:noProof/>
        </w:rPr>
        <w:t>7.</w:t>
      </w:r>
      <w:r w:rsidRPr="004023CD">
        <w:rPr>
          <w:noProof/>
        </w:rPr>
        <w:tab/>
        <w:t xml:space="preserve">Vinchon M, Dhellemmes P. Cerebrospinal fluid shunt infection: risk factors and long-term follow-up. </w:t>
      </w:r>
      <w:r w:rsidRPr="004023CD">
        <w:rPr>
          <w:i/>
          <w:noProof/>
        </w:rPr>
        <w:t>Childs Nerv Syst</w:t>
      </w:r>
      <w:r w:rsidRPr="004023CD">
        <w:rPr>
          <w:noProof/>
        </w:rPr>
        <w:t xml:space="preserve"> 2006; </w:t>
      </w:r>
      <w:r w:rsidRPr="004023CD">
        <w:rPr>
          <w:b/>
          <w:noProof/>
        </w:rPr>
        <w:t>22</w:t>
      </w:r>
      <w:r w:rsidRPr="004023CD">
        <w:rPr>
          <w:noProof/>
        </w:rPr>
        <w:t>(7): 692-7.</w:t>
      </w:r>
      <w:bookmarkEnd w:id="6"/>
    </w:p>
    <w:p w:rsidR="00803D84" w:rsidRPr="004023CD" w:rsidRDefault="00803D84" w:rsidP="004023CD">
      <w:pPr>
        <w:pStyle w:val="EndNoteBibliography"/>
        <w:rPr>
          <w:noProof/>
        </w:rPr>
      </w:pPr>
      <w:bookmarkStart w:id="7" w:name="_ENREF_8"/>
      <w:r w:rsidRPr="004023CD">
        <w:rPr>
          <w:noProof/>
        </w:rPr>
        <w:t>8.</w:t>
      </w:r>
      <w:r w:rsidRPr="004023CD">
        <w:rPr>
          <w:noProof/>
        </w:rPr>
        <w:tab/>
        <w:t xml:space="preserve">Schreffler RT, Schreffler AJ, Wittler RR. Treatment of cerebrospinal fluid shunt infections: a decision analysis. </w:t>
      </w:r>
      <w:r w:rsidRPr="004023CD">
        <w:rPr>
          <w:i/>
          <w:noProof/>
        </w:rPr>
        <w:t>Pediatr Infect Dis J</w:t>
      </w:r>
      <w:r w:rsidRPr="004023CD">
        <w:rPr>
          <w:noProof/>
        </w:rPr>
        <w:t xml:space="preserve"> 2002; </w:t>
      </w:r>
      <w:r w:rsidRPr="004023CD">
        <w:rPr>
          <w:b/>
          <w:noProof/>
        </w:rPr>
        <w:t>21</w:t>
      </w:r>
      <w:r w:rsidRPr="004023CD">
        <w:rPr>
          <w:noProof/>
        </w:rPr>
        <w:t>(7): 632-6.</w:t>
      </w:r>
      <w:bookmarkEnd w:id="7"/>
    </w:p>
    <w:p w:rsidR="00803D84" w:rsidRPr="004023CD" w:rsidRDefault="00803D84" w:rsidP="004023CD">
      <w:pPr>
        <w:pStyle w:val="EndNoteBibliography"/>
        <w:rPr>
          <w:noProof/>
        </w:rPr>
      </w:pPr>
      <w:bookmarkStart w:id="8" w:name="_ENREF_9"/>
      <w:r w:rsidRPr="004023CD">
        <w:rPr>
          <w:noProof/>
        </w:rPr>
        <w:t>9.</w:t>
      </w:r>
      <w:r w:rsidRPr="004023CD">
        <w:rPr>
          <w:noProof/>
        </w:rPr>
        <w:tab/>
        <w:t xml:space="preserve">Thomas R, Lee S, Patole S, Rao S. Antibiotic-impregnated catheters for the prevention of CSF shunt infections: a systematic review and meta-analysis. </w:t>
      </w:r>
      <w:r w:rsidRPr="004023CD">
        <w:rPr>
          <w:i/>
          <w:noProof/>
        </w:rPr>
        <w:t>Br J Neurosurg</w:t>
      </w:r>
      <w:r w:rsidRPr="004023CD">
        <w:rPr>
          <w:noProof/>
        </w:rPr>
        <w:t xml:space="preserve"> 2012; </w:t>
      </w:r>
      <w:r w:rsidRPr="004023CD">
        <w:rPr>
          <w:b/>
          <w:noProof/>
        </w:rPr>
        <w:t>26</w:t>
      </w:r>
      <w:r w:rsidRPr="004023CD">
        <w:rPr>
          <w:noProof/>
        </w:rPr>
        <w:t>(2): 175-84.</w:t>
      </w:r>
      <w:bookmarkEnd w:id="8"/>
    </w:p>
    <w:p w:rsidR="00803D84" w:rsidRPr="004023CD" w:rsidRDefault="00803D84" w:rsidP="004023CD">
      <w:pPr>
        <w:pStyle w:val="EndNoteBibliography"/>
        <w:rPr>
          <w:noProof/>
        </w:rPr>
      </w:pPr>
      <w:bookmarkStart w:id="9" w:name="_ENREF_10"/>
      <w:r w:rsidRPr="004023CD">
        <w:rPr>
          <w:noProof/>
        </w:rPr>
        <w:t>10.</w:t>
      </w:r>
      <w:r w:rsidRPr="004023CD">
        <w:rPr>
          <w:noProof/>
        </w:rPr>
        <w:tab/>
        <w:t xml:space="preserve">Klimo P, Jr., Thompson CJ, Ragel BT, Boop FA. Antibiotic-impregnated shunt systems versus standard shunt systems: a meta- and cost-savings analysis. </w:t>
      </w:r>
      <w:r w:rsidRPr="004023CD">
        <w:rPr>
          <w:i/>
          <w:noProof/>
        </w:rPr>
        <w:t>J Neurosurg Pediatr</w:t>
      </w:r>
      <w:r w:rsidRPr="004023CD">
        <w:rPr>
          <w:noProof/>
        </w:rPr>
        <w:t xml:space="preserve"> 2011; </w:t>
      </w:r>
      <w:r w:rsidRPr="004023CD">
        <w:rPr>
          <w:b/>
          <w:noProof/>
        </w:rPr>
        <w:t>8</w:t>
      </w:r>
      <w:r w:rsidRPr="004023CD">
        <w:rPr>
          <w:noProof/>
        </w:rPr>
        <w:t>(6): 600-12.</w:t>
      </w:r>
      <w:bookmarkEnd w:id="9"/>
    </w:p>
    <w:p w:rsidR="00803D84" w:rsidRPr="004023CD" w:rsidRDefault="00803D84" w:rsidP="004023CD">
      <w:pPr>
        <w:pStyle w:val="EndNoteBibliography"/>
        <w:rPr>
          <w:noProof/>
        </w:rPr>
      </w:pPr>
      <w:bookmarkStart w:id="10" w:name="_ENREF_11"/>
      <w:r w:rsidRPr="004023CD">
        <w:rPr>
          <w:noProof/>
        </w:rPr>
        <w:t>11.</w:t>
      </w:r>
      <w:r w:rsidRPr="004023CD">
        <w:rPr>
          <w:noProof/>
        </w:rPr>
        <w:tab/>
        <w:t xml:space="preserve">Jenkinson MD, Gamble C, Hartley JC, et al. The British antibiotic and silver-impregnated catheters for ventriculoperitoneal shunts multi-centre randomised controlled trial (the BASICS trial): study protocol. </w:t>
      </w:r>
      <w:r w:rsidRPr="004023CD">
        <w:rPr>
          <w:i/>
          <w:noProof/>
        </w:rPr>
        <w:t>Trials</w:t>
      </w:r>
      <w:r w:rsidRPr="004023CD">
        <w:rPr>
          <w:noProof/>
        </w:rPr>
        <w:t xml:space="preserve"> 2014; </w:t>
      </w:r>
      <w:r w:rsidRPr="004023CD">
        <w:rPr>
          <w:b/>
          <w:noProof/>
        </w:rPr>
        <w:t>15</w:t>
      </w:r>
      <w:r w:rsidRPr="004023CD">
        <w:rPr>
          <w:noProof/>
        </w:rPr>
        <w:t>: 4.</w:t>
      </w:r>
      <w:bookmarkEnd w:id="10"/>
    </w:p>
    <w:p w:rsidR="00803D84" w:rsidRPr="004023CD" w:rsidRDefault="00803D84" w:rsidP="004023CD">
      <w:pPr>
        <w:pStyle w:val="EndNoteBibliography"/>
        <w:rPr>
          <w:noProof/>
        </w:rPr>
      </w:pPr>
      <w:bookmarkStart w:id="11" w:name="_ENREF_12"/>
      <w:r w:rsidRPr="004023CD">
        <w:rPr>
          <w:noProof/>
        </w:rPr>
        <w:t>12.</w:t>
      </w:r>
      <w:r w:rsidRPr="004023CD">
        <w:rPr>
          <w:noProof/>
        </w:rPr>
        <w:tab/>
        <w:t xml:space="preserve">Kulkarni AV, Drake JM, Rabin D. An instrument to measure the health status of children with hydrocephalus: The Hydrocephalus Outcome Questionnaire. </w:t>
      </w:r>
      <w:r w:rsidRPr="004023CD">
        <w:rPr>
          <w:i/>
          <w:noProof/>
        </w:rPr>
        <w:t>J Neurosurg: Pediatrics</w:t>
      </w:r>
      <w:r w:rsidRPr="004023CD">
        <w:rPr>
          <w:noProof/>
        </w:rPr>
        <w:t xml:space="preserve"> 2004; </w:t>
      </w:r>
      <w:r w:rsidRPr="004023CD">
        <w:rPr>
          <w:b/>
          <w:noProof/>
        </w:rPr>
        <w:t>101</w:t>
      </w:r>
      <w:r w:rsidRPr="004023CD">
        <w:rPr>
          <w:noProof/>
        </w:rPr>
        <w:t>: 134-40.</w:t>
      </w:r>
      <w:bookmarkEnd w:id="11"/>
    </w:p>
    <w:p w:rsidR="00803D84" w:rsidRPr="004023CD" w:rsidRDefault="00803D84" w:rsidP="004023CD">
      <w:pPr>
        <w:pStyle w:val="EndNoteBibliography"/>
        <w:rPr>
          <w:noProof/>
        </w:rPr>
      </w:pPr>
      <w:bookmarkStart w:id="12" w:name="_ENREF_13"/>
      <w:r w:rsidRPr="004023CD">
        <w:rPr>
          <w:noProof/>
        </w:rPr>
        <w:t>13.</w:t>
      </w:r>
      <w:r w:rsidRPr="004023CD">
        <w:rPr>
          <w:noProof/>
        </w:rPr>
        <w:tab/>
        <w:t xml:space="preserve">Pintilie M. Dealing with competing risks: testing covariates and calculating sample size. </w:t>
      </w:r>
      <w:r w:rsidRPr="004023CD">
        <w:rPr>
          <w:i/>
          <w:noProof/>
        </w:rPr>
        <w:t>Stat Med</w:t>
      </w:r>
      <w:r w:rsidRPr="004023CD">
        <w:rPr>
          <w:noProof/>
        </w:rPr>
        <w:t xml:space="preserve"> 2002; </w:t>
      </w:r>
      <w:r w:rsidRPr="004023CD">
        <w:rPr>
          <w:b/>
          <w:noProof/>
        </w:rPr>
        <w:t>21</w:t>
      </w:r>
      <w:r w:rsidRPr="004023CD">
        <w:rPr>
          <w:noProof/>
        </w:rPr>
        <w:t>(22): 3317-24.</w:t>
      </w:r>
      <w:bookmarkEnd w:id="12"/>
    </w:p>
    <w:p w:rsidR="00803D84" w:rsidRPr="004023CD" w:rsidRDefault="00803D84" w:rsidP="004023CD">
      <w:pPr>
        <w:pStyle w:val="EndNoteBibliography"/>
        <w:rPr>
          <w:noProof/>
        </w:rPr>
      </w:pPr>
      <w:bookmarkStart w:id="13" w:name="_ENREF_14"/>
      <w:r w:rsidRPr="004023CD">
        <w:rPr>
          <w:noProof/>
        </w:rPr>
        <w:t>14.</w:t>
      </w:r>
      <w:r w:rsidRPr="004023CD">
        <w:rPr>
          <w:noProof/>
        </w:rPr>
        <w:tab/>
        <w:t xml:space="preserve">Haybittle JL. Repeated assessment of results in clinical trials of cancer treatment. </w:t>
      </w:r>
      <w:r w:rsidRPr="004023CD">
        <w:rPr>
          <w:i/>
          <w:noProof/>
        </w:rPr>
        <w:t>The British journal of radiology</w:t>
      </w:r>
      <w:r w:rsidRPr="004023CD">
        <w:rPr>
          <w:noProof/>
        </w:rPr>
        <w:t xml:space="preserve"> 1971; </w:t>
      </w:r>
      <w:r w:rsidRPr="004023CD">
        <w:rPr>
          <w:b/>
          <w:noProof/>
        </w:rPr>
        <w:t>44</w:t>
      </w:r>
      <w:r w:rsidRPr="004023CD">
        <w:rPr>
          <w:noProof/>
        </w:rPr>
        <w:t>(526): 793-7.</w:t>
      </w:r>
      <w:bookmarkEnd w:id="13"/>
    </w:p>
    <w:p w:rsidR="00803D84" w:rsidRPr="004023CD" w:rsidRDefault="00803D84" w:rsidP="004023CD">
      <w:pPr>
        <w:pStyle w:val="EndNoteBibliography"/>
        <w:rPr>
          <w:noProof/>
        </w:rPr>
      </w:pPr>
      <w:bookmarkStart w:id="14" w:name="_ENREF_15"/>
      <w:r w:rsidRPr="004023CD">
        <w:rPr>
          <w:noProof/>
        </w:rPr>
        <w:t>15.</w:t>
      </w:r>
      <w:r w:rsidRPr="004023CD">
        <w:rPr>
          <w:noProof/>
        </w:rPr>
        <w:tab/>
        <w:t xml:space="preserve">Fine PF, Gray RJ. A proportional hazards model for the subdistribution of a competing risk. </w:t>
      </w:r>
      <w:r w:rsidRPr="004023CD">
        <w:rPr>
          <w:i/>
          <w:noProof/>
        </w:rPr>
        <w:t>J Am Stat Assoc</w:t>
      </w:r>
      <w:r w:rsidRPr="004023CD">
        <w:rPr>
          <w:noProof/>
        </w:rPr>
        <w:t xml:space="preserve"> 1999; </w:t>
      </w:r>
      <w:r w:rsidRPr="004023CD">
        <w:rPr>
          <w:b/>
          <w:noProof/>
        </w:rPr>
        <w:t>94</w:t>
      </w:r>
      <w:r w:rsidRPr="004023CD">
        <w:rPr>
          <w:noProof/>
        </w:rPr>
        <w:t>: 496-509.</w:t>
      </w:r>
      <w:bookmarkEnd w:id="14"/>
    </w:p>
    <w:p w:rsidR="00803D84" w:rsidRPr="004023CD" w:rsidRDefault="00803D84" w:rsidP="004023CD">
      <w:pPr>
        <w:pStyle w:val="EndNoteBibliography"/>
        <w:rPr>
          <w:noProof/>
        </w:rPr>
      </w:pPr>
      <w:bookmarkStart w:id="15" w:name="_ENREF_16"/>
      <w:r w:rsidRPr="004023CD">
        <w:rPr>
          <w:noProof/>
        </w:rPr>
        <w:t>16.</w:t>
      </w:r>
      <w:r w:rsidRPr="004023CD">
        <w:rPr>
          <w:noProof/>
        </w:rPr>
        <w:tab/>
        <w:t xml:space="preserve">Latouche A, Allignol A, Beyersmann J, Labopin M, Fine JP. A competing risks analysis should report results on all cause-specific hazards and cumulative incidence functions. </w:t>
      </w:r>
      <w:r w:rsidRPr="004023CD">
        <w:rPr>
          <w:i/>
          <w:noProof/>
        </w:rPr>
        <w:t>J Clin Epidemiol</w:t>
      </w:r>
      <w:r w:rsidRPr="004023CD">
        <w:rPr>
          <w:noProof/>
        </w:rPr>
        <w:t xml:space="preserve"> 2013; </w:t>
      </w:r>
      <w:r w:rsidRPr="004023CD">
        <w:rPr>
          <w:b/>
          <w:noProof/>
        </w:rPr>
        <w:t>66</w:t>
      </w:r>
      <w:r w:rsidRPr="004023CD">
        <w:rPr>
          <w:noProof/>
        </w:rPr>
        <w:t>(6): 648-53.</w:t>
      </w:r>
      <w:bookmarkEnd w:id="15"/>
    </w:p>
    <w:p w:rsidR="00803D84" w:rsidRPr="004023CD" w:rsidRDefault="00803D84" w:rsidP="004023CD">
      <w:pPr>
        <w:pStyle w:val="EndNoteBibliography"/>
        <w:rPr>
          <w:noProof/>
        </w:rPr>
      </w:pPr>
      <w:bookmarkStart w:id="16" w:name="_ENREF_17"/>
      <w:r w:rsidRPr="004023CD">
        <w:rPr>
          <w:noProof/>
        </w:rPr>
        <w:t>17.</w:t>
      </w:r>
      <w:r w:rsidRPr="004023CD">
        <w:rPr>
          <w:noProof/>
        </w:rPr>
        <w:tab/>
        <w:t xml:space="preserve">Austin PC, Fine JP. Practical recommendations for reporting Fine-Gray model analyses for competing risk data. </w:t>
      </w:r>
      <w:r w:rsidRPr="004023CD">
        <w:rPr>
          <w:i/>
          <w:noProof/>
        </w:rPr>
        <w:t>Stat Med</w:t>
      </w:r>
      <w:r w:rsidRPr="004023CD">
        <w:rPr>
          <w:noProof/>
        </w:rPr>
        <w:t xml:space="preserve"> 2017; </w:t>
      </w:r>
      <w:r w:rsidRPr="004023CD">
        <w:rPr>
          <w:b/>
          <w:noProof/>
        </w:rPr>
        <w:t>36</w:t>
      </w:r>
      <w:r w:rsidRPr="004023CD">
        <w:rPr>
          <w:noProof/>
        </w:rPr>
        <w:t>(27): 4391-400.</w:t>
      </w:r>
      <w:bookmarkEnd w:id="16"/>
    </w:p>
    <w:p w:rsidR="00803D84" w:rsidRPr="004023CD" w:rsidRDefault="00803D84" w:rsidP="004023CD">
      <w:pPr>
        <w:pStyle w:val="EndNoteBibliography"/>
        <w:rPr>
          <w:noProof/>
        </w:rPr>
      </w:pPr>
      <w:bookmarkStart w:id="17" w:name="_ENREF_18"/>
      <w:r w:rsidRPr="004023CD">
        <w:rPr>
          <w:noProof/>
        </w:rPr>
        <w:t>18.</w:t>
      </w:r>
      <w:r w:rsidRPr="004023CD">
        <w:rPr>
          <w:noProof/>
        </w:rPr>
        <w:tab/>
        <w:t xml:space="preserve">Curtis L. Unit Costs of Health and Social Care. 2017. </w:t>
      </w:r>
      <w:r w:rsidRPr="00803D84">
        <w:rPr>
          <w:noProof/>
          <w:lang w:val="en-GB"/>
        </w:rPr>
        <w:t>https://doi.org/10.22024/UniKent/01.02/65559</w:t>
      </w:r>
      <w:r w:rsidRPr="004023CD">
        <w:rPr>
          <w:noProof/>
        </w:rPr>
        <w:t xml:space="preserve"> (accessed 10 March 2019.</w:t>
      </w:r>
      <w:bookmarkEnd w:id="17"/>
    </w:p>
    <w:p w:rsidR="00803D84" w:rsidRPr="004023CD" w:rsidRDefault="00803D84" w:rsidP="004023CD">
      <w:pPr>
        <w:pStyle w:val="EndNoteBibliography"/>
        <w:rPr>
          <w:noProof/>
        </w:rPr>
      </w:pPr>
      <w:bookmarkStart w:id="18" w:name="_ENREF_19"/>
      <w:r w:rsidRPr="004023CD">
        <w:rPr>
          <w:noProof/>
        </w:rPr>
        <w:t>19.</w:t>
      </w:r>
      <w:r w:rsidRPr="004023CD">
        <w:rPr>
          <w:noProof/>
        </w:rPr>
        <w:tab/>
        <w:t xml:space="preserve">Department of Health and Social Care. NHS reference costs 2015 to 2016. </w:t>
      </w:r>
      <w:r w:rsidRPr="00803D84">
        <w:rPr>
          <w:noProof/>
          <w:lang w:val="en-GB"/>
        </w:rPr>
        <w:t>https://www.gov.uk/government/publications/nhs-reference-costs-2015-to-2016</w:t>
      </w:r>
      <w:r w:rsidRPr="004023CD">
        <w:rPr>
          <w:noProof/>
        </w:rPr>
        <w:t xml:space="preserve"> (accessed 10 March 2019.</w:t>
      </w:r>
      <w:bookmarkEnd w:id="18"/>
    </w:p>
    <w:p w:rsidR="00803D84" w:rsidRPr="004023CD" w:rsidRDefault="00803D84" w:rsidP="004023CD">
      <w:pPr>
        <w:pStyle w:val="EndNoteBibliography"/>
        <w:rPr>
          <w:noProof/>
        </w:rPr>
      </w:pPr>
      <w:bookmarkStart w:id="19" w:name="_ENREF_20"/>
      <w:r w:rsidRPr="004023CD">
        <w:rPr>
          <w:noProof/>
        </w:rPr>
        <w:t>20.</w:t>
      </w:r>
      <w:r w:rsidRPr="004023CD">
        <w:rPr>
          <w:noProof/>
        </w:rPr>
        <w:tab/>
        <w:t xml:space="preserve">NHS England. NHS national tariff payment system 2016/17. </w:t>
      </w:r>
      <w:r w:rsidRPr="00803D84">
        <w:rPr>
          <w:noProof/>
          <w:lang w:val="en-GB"/>
        </w:rPr>
        <w:t>https://www.gov.uk/government/publications/nhs-national-tariff-payment-system-201617</w:t>
      </w:r>
      <w:r w:rsidRPr="004023CD">
        <w:rPr>
          <w:noProof/>
        </w:rPr>
        <w:t xml:space="preserve"> (accessed 10 March 2019.</w:t>
      </w:r>
      <w:bookmarkEnd w:id="19"/>
    </w:p>
    <w:p w:rsidR="00803D84" w:rsidRPr="004023CD" w:rsidRDefault="00803D84" w:rsidP="004023CD">
      <w:pPr>
        <w:pStyle w:val="EndNoteBibliography"/>
        <w:rPr>
          <w:noProof/>
        </w:rPr>
      </w:pPr>
      <w:bookmarkStart w:id="20" w:name="_ENREF_21"/>
      <w:r w:rsidRPr="004023CD">
        <w:rPr>
          <w:noProof/>
        </w:rPr>
        <w:t>21.</w:t>
      </w:r>
      <w:r w:rsidRPr="004023CD">
        <w:rPr>
          <w:noProof/>
        </w:rPr>
        <w:tab/>
        <w:t>Joint Formulary Committee. British National Formulary (BNF). London: BMJ Group and Pharmaceutical Press; 2017.</w:t>
      </w:r>
      <w:bookmarkEnd w:id="20"/>
    </w:p>
    <w:p w:rsidR="00803D84" w:rsidRPr="004023CD" w:rsidRDefault="00803D84" w:rsidP="004023CD">
      <w:pPr>
        <w:pStyle w:val="EndNoteBibliography"/>
        <w:rPr>
          <w:noProof/>
        </w:rPr>
      </w:pPr>
      <w:bookmarkStart w:id="21" w:name="_ENREF_22"/>
      <w:r w:rsidRPr="004023CD">
        <w:rPr>
          <w:noProof/>
        </w:rPr>
        <w:t>22.</w:t>
      </w:r>
      <w:r w:rsidRPr="004023CD">
        <w:rPr>
          <w:noProof/>
        </w:rPr>
        <w:tab/>
        <w:t xml:space="preserve">Govender ST, Nathoo N, van Dellen JR. Evaluation of an antibiotic-impregnated shunt system for the treatment of hydrocephalus. </w:t>
      </w:r>
      <w:r w:rsidRPr="004023CD">
        <w:rPr>
          <w:i/>
          <w:noProof/>
        </w:rPr>
        <w:t>J Neurosurg</w:t>
      </w:r>
      <w:r w:rsidRPr="004023CD">
        <w:rPr>
          <w:noProof/>
        </w:rPr>
        <w:t xml:space="preserve"> 2003; </w:t>
      </w:r>
      <w:r w:rsidRPr="004023CD">
        <w:rPr>
          <w:b/>
          <w:noProof/>
        </w:rPr>
        <w:t>99</w:t>
      </w:r>
      <w:r w:rsidRPr="004023CD">
        <w:rPr>
          <w:noProof/>
        </w:rPr>
        <w:t>(5): 831-9.</w:t>
      </w:r>
      <w:bookmarkEnd w:id="21"/>
    </w:p>
    <w:p w:rsidR="00803D84" w:rsidRPr="004023CD" w:rsidRDefault="00803D84" w:rsidP="004023CD">
      <w:pPr>
        <w:pStyle w:val="EndNoteBibliography"/>
        <w:rPr>
          <w:noProof/>
        </w:rPr>
      </w:pPr>
      <w:bookmarkStart w:id="22" w:name="_ENREF_23"/>
      <w:r w:rsidRPr="004023CD">
        <w:rPr>
          <w:noProof/>
        </w:rPr>
        <w:t>23.</w:t>
      </w:r>
      <w:r w:rsidRPr="004023CD">
        <w:rPr>
          <w:noProof/>
        </w:rPr>
        <w:tab/>
        <w:t xml:space="preserve">Keong NC, Bulters DO, Richards HK, et al. The SILVER (Silver Impregnated Line Versus EVD Randomized trial): a double-blind, prospective, randomized, controlled trial of an intervention to reduce the rate of external ventricular drain infection. </w:t>
      </w:r>
      <w:r w:rsidRPr="004023CD">
        <w:rPr>
          <w:i/>
          <w:noProof/>
        </w:rPr>
        <w:t>Neurosurgery</w:t>
      </w:r>
      <w:r w:rsidRPr="004023CD">
        <w:rPr>
          <w:noProof/>
        </w:rPr>
        <w:t xml:space="preserve"> 2012; </w:t>
      </w:r>
      <w:r w:rsidRPr="004023CD">
        <w:rPr>
          <w:b/>
          <w:noProof/>
        </w:rPr>
        <w:t>71</w:t>
      </w:r>
      <w:r w:rsidRPr="004023CD">
        <w:rPr>
          <w:noProof/>
        </w:rPr>
        <w:t>(2): 394-403; discussion 03-4.</w:t>
      </w:r>
      <w:bookmarkEnd w:id="22"/>
    </w:p>
    <w:p w:rsidR="00803D84" w:rsidRPr="004023CD" w:rsidRDefault="00803D84" w:rsidP="004023CD">
      <w:pPr>
        <w:pStyle w:val="EndNoteBibliography"/>
        <w:rPr>
          <w:noProof/>
        </w:rPr>
      </w:pPr>
      <w:bookmarkStart w:id="23" w:name="_ENREF_24"/>
      <w:r w:rsidRPr="004023CD">
        <w:rPr>
          <w:noProof/>
        </w:rPr>
        <w:t>24.</w:t>
      </w:r>
      <w:r w:rsidRPr="004023CD">
        <w:rPr>
          <w:noProof/>
        </w:rPr>
        <w:tab/>
        <w:t xml:space="preserve">Jamjoom AAB, Joannides AJ, Poon MT, et al. Prospective, multicentre study of external ventricular drainage-related infections in the UK and Ireland. </w:t>
      </w:r>
      <w:r w:rsidRPr="004023CD">
        <w:rPr>
          <w:i/>
          <w:noProof/>
        </w:rPr>
        <w:t>J Neurol Neurosurg Psychiatry</w:t>
      </w:r>
      <w:r w:rsidRPr="004023CD">
        <w:rPr>
          <w:noProof/>
        </w:rPr>
        <w:t xml:space="preserve"> 2018; </w:t>
      </w:r>
      <w:r w:rsidRPr="004023CD">
        <w:rPr>
          <w:b/>
          <w:noProof/>
        </w:rPr>
        <w:t>89</w:t>
      </w:r>
      <w:r w:rsidRPr="004023CD">
        <w:rPr>
          <w:noProof/>
        </w:rPr>
        <w:t>(2): 120-26.</w:t>
      </w:r>
      <w:bookmarkEnd w:id="23"/>
    </w:p>
    <w:p w:rsidR="00803D84" w:rsidRPr="004023CD" w:rsidRDefault="00803D84" w:rsidP="004023CD">
      <w:pPr>
        <w:pStyle w:val="EndNoteBibliography"/>
        <w:rPr>
          <w:noProof/>
        </w:rPr>
      </w:pPr>
      <w:bookmarkStart w:id="24" w:name="_ENREF_25"/>
      <w:r w:rsidRPr="004023CD">
        <w:rPr>
          <w:noProof/>
        </w:rPr>
        <w:t>25.</w:t>
      </w:r>
      <w:r w:rsidRPr="004023CD">
        <w:rPr>
          <w:noProof/>
        </w:rPr>
        <w:tab/>
        <w:t xml:space="preserve">Attenello FJ, Garces-Ambrossi GL, Zaidi HA, Sciubba DM, Jallo GI. Hospital costs associated with shunt infections in patients receiving antibiotic-impregnated shunt catheters versus standard shunt catheters. </w:t>
      </w:r>
      <w:r w:rsidRPr="004023CD">
        <w:rPr>
          <w:i/>
          <w:noProof/>
        </w:rPr>
        <w:t>Neurosurgery</w:t>
      </w:r>
      <w:r w:rsidRPr="004023CD">
        <w:rPr>
          <w:noProof/>
        </w:rPr>
        <w:t xml:space="preserve"> 2010; </w:t>
      </w:r>
      <w:r w:rsidRPr="004023CD">
        <w:rPr>
          <w:b/>
          <w:noProof/>
        </w:rPr>
        <w:t>66</w:t>
      </w:r>
      <w:r w:rsidRPr="004023CD">
        <w:rPr>
          <w:noProof/>
        </w:rPr>
        <w:t>(2): 284-9; discussion 89.</w:t>
      </w:r>
      <w:bookmarkEnd w:id="24"/>
    </w:p>
    <w:p w:rsidR="00803D84" w:rsidRPr="004023CD" w:rsidRDefault="00803D84" w:rsidP="004023CD">
      <w:pPr>
        <w:pStyle w:val="EndNoteBibliography"/>
        <w:rPr>
          <w:noProof/>
        </w:rPr>
      </w:pPr>
      <w:bookmarkStart w:id="25" w:name="_ENREF_26"/>
      <w:r w:rsidRPr="004023CD">
        <w:rPr>
          <w:noProof/>
        </w:rPr>
        <w:t>26.</w:t>
      </w:r>
      <w:r w:rsidRPr="004023CD">
        <w:rPr>
          <w:noProof/>
        </w:rPr>
        <w:tab/>
        <w:t xml:space="preserve">Farber SH, Parker SL, Adogwa O, Rigamonti D, McGirt MJ. Cost analysis of antibiotic-impregnated catheters in the treatment of hydrocephalus in adult patients. </w:t>
      </w:r>
      <w:r w:rsidRPr="004023CD">
        <w:rPr>
          <w:i/>
          <w:noProof/>
        </w:rPr>
        <w:t>World Neurosurg</w:t>
      </w:r>
      <w:r w:rsidRPr="004023CD">
        <w:rPr>
          <w:noProof/>
        </w:rPr>
        <w:t xml:space="preserve"> 2010; </w:t>
      </w:r>
      <w:r w:rsidRPr="004023CD">
        <w:rPr>
          <w:b/>
          <w:noProof/>
        </w:rPr>
        <w:t>74</w:t>
      </w:r>
      <w:r w:rsidRPr="004023CD">
        <w:rPr>
          <w:noProof/>
        </w:rPr>
        <w:t>(4-5): 528-31.</w:t>
      </w:r>
      <w:bookmarkEnd w:id="25"/>
    </w:p>
    <w:p w:rsidR="00803D84" w:rsidRPr="004023CD" w:rsidRDefault="00803D84" w:rsidP="004023CD">
      <w:pPr>
        <w:pStyle w:val="EndNoteBibliography"/>
        <w:rPr>
          <w:noProof/>
        </w:rPr>
      </w:pPr>
      <w:bookmarkStart w:id="26" w:name="_ENREF_27"/>
      <w:r w:rsidRPr="004023CD">
        <w:rPr>
          <w:noProof/>
        </w:rPr>
        <w:t>27.</w:t>
      </w:r>
      <w:r w:rsidRPr="004023CD">
        <w:rPr>
          <w:noProof/>
        </w:rPr>
        <w:tab/>
        <w:t xml:space="preserve">Parker SL, McGirt MJ, Murphy JA, Megerian JT, Stout M, Engelhart L. Cost savings associated with antibiotic-impregnated shunt catheters in the treatment of adult and pediatric hydrocephalus. </w:t>
      </w:r>
      <w:r w:rsidRPr="004023CD">
        <w:rPr>
          <w:i/>
          <w:noProof/>
        </w:rPr>
        <w:t>World Neurosurg</w:t>
      </w:r>
      <w:r w:rsidRPr="004023CD">
        <w:rPr>
          <w:noProof/>
        </w:rPr>
        <w:t xml:space="preserve"> 2015; </w:t>
      </w:r>
      <w:r w:rsidRPr="004023CD">
        <w:rPr>
          <w:b/>
          <w:noProof/>
        </w:rPr>
        <w:t>83</w:t>
      </w:r>
      <w:r w:rsidRPr="004023CD">
        <w:rPr>
          <w:noProof/>
        </w:rPr>
        <w:t>(3): 382-6.</w:t>
      </w:r>
      <w:bookmarkEnd w:id="26"/>
    </w:p>
    <w:p w:rsidR="00803D84" w:rsidRPr="004023CD" w:rsidRDefault="00803D84" w:rsidP="004023CD">
      <w:pPr>
        <w:pStyle w:val="EndNoteBibliography"/>
        <w:rPr>
          <w:noProof/>
        </w:rPr>
      </w:pPr>
      <w:bookmarkStart w:id="27" w:name="_ENREF_28"/>
      <w:r w:rsidRPr="004023CD">
        <w:rPr>
          <w:noProof/>
        </w:rPr>
        <w:t>28.</w:t>
      </w:r>
      <w:r w:rsidRPr="004023CD">
        <w:rPr>
          <w:noProof/>
        </w:rPr>
        <w:tab/>
        <w:t xml:space="preserve">Edwards NC, Engelhart L, Casamento EM, McGirt MJ. Cost-consequence analysis of antibiotic-impregnated shunts and external ventricular drains in hydrocephalus. </w:t>
      </w:r>
      <w:r w:rsidRPr="004023CD">
        <w:rPr>
          <w:i/>
          <w:noProof/>
        </w:rPr>
        <w:t>J Neurosurg</w:t>
      </w:r>
      <w:r w:rsidRPr="004023CD">
        <w:rPr>
          <w:noProof/>
        </w:rPr>
        <w:t xml:space="preserve"> 2015; </w:t>
      </w:r>
      <w:r w:rsidRPr="004023CD">
        <w:rPr>
          <w:b/>
          <w:noProof/>
        </w:rPr>
        <w:t>122</w:t>
      </w:r>
      <w:r w:rsidRPr="004023CD">
        <w:rPr>
          <w:noProof/>
        </w:rPr>
        <w:t>(1): 139-47.</w:t>
      </w:r>
      <w:bookmarkEnd w:id="27"/>
    </w:p>
    <w:p w:rsidR="00803D84" w:rsidRPr="004023CD" w:rsidRDefault="00803D84" w:rsidP="004023CD">
      <w:pPr>
        <w:pStyle w:val="EndNoteBibliography"/>
        <w:rPr>
          <w:noProof/>
        </w:rPr>
      </w:pPr>
      <w:bookmarkStart w:id="28" w:name="_ENREF_29"/>
      <w:r w:rsidRPr="004023CD">
        <w:rPr>
          <w:noProof/>
        </w:rPr>
        <w:t>29.</w:t>
      </w:r>
      <w:r w:rsidRPr="004023CD">
        <w:rPr>
          <w:noProof/>
        </w:rPr>
        <w:tab/>
        <w:t xml:space="preserve">Root BK, Barrena BG, Mackenzie TA, Bauer DF. Antibiotic Impregnated External Ventricular Drains: Meta and Cost Analysis. </w:t>
      </w:r>
      <w:r w:rsidRPr="004023CD">
        <w:rPr>
          <w:i/>
          <w:noProof/>
        </w:rPr>
        <w:t>World Neurosurg</w:t>
      </w:r>
      <w:r w:rsidRPr="004023CD">
        <w:rPr>
          <w:noProof/>
        </w:rPr>
        <w:t xml:space="preserve"> 2016; </w:t>
      </w:r>
      <w:r w:rsidRPr="004023CD">
        <w:rPr>
          <w:b/>
          <w:noProof/>
        </w:rPr>
        <w:t>86</w:t>
      </w:r>
      <w:r w:rsidRPr="004023CD">
        <w:rPr>
          <w:noProof/>
        </w:rPr>
        <w:t>: 306-15.</w:t>
      </w:r>
      <w:bookmarkEnd w:id="28"/>
    </w:p>
    <w:p w:rsidR="00803D84" w:rsidRPr="009D679F" w:rsidRDefault="00803D84" w:rsidP="00F20DBB">
      <w:pPr>
        <w:spacing w:line="480" w:lineRule="auto"/>
        <w:jc w:val="both"/>
        <w:rPr>
          <w:rFonts w:ascii="Calibri" w:hAnsi="Calibri" w:cs="Calibri"/>
          <w:sz w:val="22"/>
          <w:szCs w:val="22"/>
        </w:rPr>
      </w:pPr>
    </w:p>
    <w:p w:rsidR="00803D84" w:rsidRPr="009D679F" w:rsidRDefault="00803D84" w:rsidP="00A262FE">
      <w:pPr>
        <w:spacing w:line="480" w:lineRule="auto"/>
        <w:jc w:val="both"/>
        <w:rPr>
          <w:rFonts w:ascii="Calibri" w:hAnsi="Calibri" w:cs="Calibri"/>
          <w:sz w:val="22"/>
          <w:szCs w:val="22"/>
        </w:rPr>
      </w:pPr>
    </w:p>
    <w:p w:rsidR="00803D84" w:rsidRDefault="00803D84" w:rsidP="00A262FE">
      <w:pPr>
        <w:spacing w:line="480" w:lineRule="auto"/>
        <w:jc w:val="both"/>
        <w:rPr>
          <w:rFonts w:ascii="Calibri" w:hAnsi="Calibri" w:cs="Calibri"/>
          <w:b/>
          <w:bCs/>
          <w:sz w:val="22"/>
          <w:szCs w:val="22"/>
        </w:rPr>
        <w:sectPr w:rsidR="00803D84" w:rsidSect="00D22100">
          <w:footerReference w:type="default" r:id="rId7"/>
          <w:pgSz w:w="11900" w:h="16840"/>
          <w:pgMar w:top="1440" w:right="1800" w:bottom="1440" w:left="1800" w:header="708" w:footer="708" w:gutter="0"/>
          <w:cols w:space="708"/>
          <w:docGrid w:linePitch="360"/>
        </w:sectPr>
      </w:pPr>
    </w:p>
    <w:p w:rsidR="00803D84" w:rsidRPr="0090646D" w:rsidRDefault="00803D84" w:rsidP="00A63E8E">
      <w:pPr>
        <w:spacing w:line="480" w:lineRule="auto"/>
        <w:jc w:val="both"/>
        <w:rPr>
          <w:rFonts w:ascii="Calibri" w:hAnsi="Calibri" w:cs="Calibri"/>
          <w:b/>
          <w:sz w:val="22"/>
          <w:szCs w:val="22"/>
        </w:rPr>
      </w:pPr>
      <w:r w:rsidRPr="0090646D">
        <w:rPr>
          <w:rFonts w:ascii="Calibri" w:hAnsi="Calibri" w:cs="Calibri"/>
          <w:b/>
          <w:sz w:val="22"/>
          <w:szCs w:val="22"/>
        </w:rPr>
        <w:t>Tables</w:t>
      </w:r>
    </w:p>
    <w:p w:rsidR="00803D84" w:rsidRDefault="00803D84" w:rsidP="00A63E8E">
      <w:pPr>
        <w:spacing w:line="480" w:lineRule="auto"/>
        <w:jc w:val="both"/>
        <w:rPr>
          <w:rFonts w:ascii="Calibri" w:hAnsi="Calibri" w:cs="Calibri"/>
          <w:sz w:val="22"/>
          <w:szCs w:val="22"/>
        </w:rPr>
      </w:pPr>
      <w:r>
        <w:rPr>
          <w:rFonts w:ascii="Calibri" w:hAnsi="Calibri" w:cs="Calibri"/>
          <w:sz w:val="22"/>
          <w:szCs w:val="22"/>
        </w:rPr>
        <w:t>Table 1</w:t>
      </w:r>
    </w:p>
    <w:p w:rsidR="00803D84" w:rsidRDefault="00803D84" w:rsidP="00A63E8E">
      <w:pPr>
        <w:spacing w:line="480" w:lineRule="auto"/>
        <w:jc w:val="both"/>
        <w:rPr>
          <w:rFonts w:ascii="Calibri" w:hAnsi="Calibri" w:cs="Calibri"/>
          <w:sz w:val="22"/>
          <w:szCs w:val="22"/>
        </w:rPr>
      </w:pPr>
      <w:r>
        <w:rPr>
          <w:rFonts w:ascii="Calibri" w:hAnsi="Calibri" w:cs="Calibri"/>
          <w:sz w:val="22"/>
          <w:szCs w:val="22"/>
        </w:rPr>
        <w:t xml:space="preserve"> Baseline patient characteristics and physical examination of the intention to treat population</w:t>
      </w:r>
    </w:p>
    <w:tbl>
      <w:tblPr>
        <w:tblW w:w="10314" w:type="dxa"/>
        <w:tblLook w:val="04A0" w:firstRow="1" w:lastRow="0" w:firstColumn="1" w:lastColumn="0" w:noHBand="0" w:noVBand="1"/>
      </w:tblPr>
      <w:tblGrid>
        <w:gridCol w:w="2802"/>
        <w:gridCol w:w="1842"/>
        <w:gridCol w:w="1843"/>
        <w:gridCol w:w="1843"/>
        <w:gridCol w:w="1984"/>
      </w:tblGrid>
      <w:tr w:rsidR="00803D84" w:rsidRPr="00811E53" w:rsidTr="00D36A18">
        <w:trPr>
          <w:tblHeader/>
        </w:trPr>
        <w:tc>
          <w:tcPr>
            <w:tcW w:w="28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3D84" w:rsidRPr="00F57586" w:rsidRDefault="00803D84" w:rsidP="00A63E8E">
            <w:pPr>
              <w:spacing w:line="480" w:lineRule="auto"/>
              <w:jc w:val="center"/>
              <w:rPr>
                <w:rFonts w:ascii="Arial" w:hAnsi="Arial" w:cs="Arial"/>
                <w:b/>
                <w:sz w:val="20"/>
                <w:szCs w:val="20"/>
              </w:rPr>
            </w:pPr>
            <w:r w:rsidRPr="00F57586">
              <w:rPr>
                <w:rFonts w:ascii="Arial" w:hAnsi="Arial" w:cs="Arial"/>
                <w:b/>
                <w:sz w:val="20"/>
                <w:szCs w:val="20"/>
              </w:rPr>
              <w:t>Baseline Characteristic</w:t>
            </w:r>
          </w:p>
        </w:tc>
        <w:tc>
          <w:tcPr>
            <w:tcW w:w="184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3D84" w:rsidRPr="00F57586" w:rsidRDefault="00803D84" w:rsidP="005B3425">
            <w:pPr>
              <w:spacing w:line="480" w:lineRule="auto"/>
              <w:jc w:val="center"/>
              <w:rPr>
                <w:rFonts w:ascii="Arial" w:hAnsi="Arial" w:cs="Arial"/>
                <w:b/>
                <w:sz w:val="20"/>
                <w:szCs w:val="20"/>
              </w:rPr>
            </w:pPr>
            <w:r w:rsidRPr="00F57586">
              <w:rPr>
                <w:rFonts w:ascii="Arial" w:hAnsi="Arial" w:cs="Arial"/>
                <w:b/>
                <w:sz w:val="20"/>
                <w:szCs w:val="20"/>
              </w:rPr>
              <w:t xml:space="preserve">Standard </w:t>
            </w:r>
            <w:r>
              <w:rPr>
                <w:rFonts w:ascii="Arial" w:hAnsi="Arial" w:cs="Arial"/>
                <w:b/>
                <w:sz w:val="20"/>
                <w:szCs w:val="20"/>
              </w:rPr>
              <w:t>shunt</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3D84" w:rsidRPr="00F57586" w:rsidRDefault="00803D84" w:rsidP="005B3425">
            <w:pPr>
              <w:spacing w:line="480" w:lineRule="auto"/>
              <w:jc w:val="center"/>
              <w:rPr>
                <w:rFonts w:ascii="Arial" w:hAnsi="Arial" w:cs="Arial"/>
                <w:b/>
                <w:sz w:val="20"/>
                <w:szCs w:val="20"/>
              </w:rPr>
            </w:pPr>
            <w:r w:rsidRPr="00F57586">
              <w:rPr>
                <w:rFonts w:ascii="Arial" w:hAnsi="Arial" w:cs="Arial"/>
                <w:b/>
                <w:sz w:val="20"/>
                <w:szCs w:val="20"/>
              </w:rPr>
              <w:t xml:space="preserve">Antibiotic </w:t>
            </w:r>
            <w:r>
              <w:rPr>
                <w:rFonts w:ascii="Arial" w:hAnsi="Arial" w:cs="Arial"/>
                <w:b/>
                <w:sz w:val="20"/>
                <w:szCs w:val="20"/>
              </w:rPr>
              <w:t>shunt</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3D84" w:rsidRPr="00F57586" w:rsidRDefault="00803D84" w:rsidP="005B3425">
            <w:pPr>
              <w:spacing w:line="480" w:lineRule="auto"/>
              <w:jc w:val="center"/>
              <w:rPr>
                <w:rFonts w:ascii="Arial" w:hAnsi="Arial" w:cs="Arial"/>
                <w:b/>
                <w:sz w:val="20"/>
                <w:szCs w:val="20"/>
              </w:rPr>
            </w:pPr>
            <w:r w:rsidRPr="00F57586">
              <w:rPr>
                <w:rFonts w:ascii="Arial" w:hAnsi="Arial" w:cs="Arial"/>
                <w:b/>
                <w:sz w:val="20"/>
                <w:szCs w:val="20"/>
              </w:rPr>
              <w:t xml:space="preserve">Silver </w:t>
            </w:r>
            <w:r>
              <w:rPr>
                <w:rFonts w:ascii="Arial" w:hAnsi="Arial" w:cs="Arial"/>
                <w:b/>
                <w:sz w:val="20"/>
                <w:szCs w:val="20"/>
              </w:rPr>
              <w:t>shunt</w:t>
            </w: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03D84" w:rsidRPr="00F57586" w:rsidRDefault="00803D84" w:rsidP="00A63E8E">
            <w:pPr>
              <w:spacing w:line="480" w:lineRule="auto"/>
              <w:jc w:val="center"/>
              <w:rPr>
                <w:rFonts w:ascii="Arial" w:hAnsi="Arial" w:cs="Arial"/>
                <w:b/>
                <w:sz w:val="20"/>
                <w:szCs w:val="20"/>
              </w:rPr>
            </w:pPr>
            <w:r w:rsidRPr="00F57586">
              <w:rPr>
                <w:rFonts w:ascii="Arial" w:hAnsi="Arial" w:cs="Arial"/>
                <w:b/>
                <w:sz w:val="20"/>
                <w:szCs w:val="20"/>
              </w:rPr>
              <w:t>Total</w:t>
            </w:r>
          </w:p>
        </w:tc>
      </w:tr>
      <w:tr w:rsidR="00803D84" w:rsidRPr="00811E53" w:rsidTr="000F0C69">
        <w:trPr>
          <w:tblHeader/>
        </w:trPr>
        <w:tc>
          <w:tcPr>
            <w:tcW w:w="2802" w:type="dxa"/>
            <w:tcBorders>
              <w:top w:val="single" w:sz="4" w:space="0" w:color="auto"/>
              <w:left w:val="single" w:sz="4" w:space="0" w:color="auto"/>
              <w:bottom w:val="single" w:sz="4" w:space="0" w:color="auto"/>
              <w:right w:val="single" w:sz="4" w:space="0" w:color="auto"/>
            </w:tcBorders>
          </w:tcPr>
          <w:p w:rsidR="00803D84" w:rsidRPr="00F57586" w:rsidRDefault="00803D84" w:rsidP="00A63E8E">
            <w:pPr>
              <w:spacing w:line="480" w:lineRule="auto"/>
              <w:rPr>
                <w:rFonts w:ascii="Arial" w:hAnsi="Arial" w:cs="Arial"/>
                <w:sz w:val="20"/>
                <w:szCs w:val="20"/>
              </w:rPr>
            </w:pPr>
            <w:r w:rsidRPr="00F57586">
              <w:rPr>
                <w:rFonts w:ascii="Arial" w:hAnsi="Arial" w:cs="Arial"/>
                <w:sz w:val="20"/>
                <w:szCs w:val="20"/>
              </w:rPr>
              <w:t xml:space="preserve">Patients randomised </w:t>
            </w:r>
          </w:p>
        </w:tc>
        <w:tc>
          <w:tcPr>
            <w:tcW w:w="1842" w:type="dxa"/>
            <w:tcBorders>
              <w:top w:val="single" w:sz="4" w:space="0" w:color="auto"/>
              <w:left w:val="single" w:sz="4" w:space="0" w:color="auto"/>
              <w:bottom w:val="single" w:sz="4" w:space="0" w:color="auto"/>
              <w:right w:val="single" w:sz="4" w:space="0" w:color="auto"/>
            </w:tcBorders>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536</w:t>
            </w:r>
          </w:p>
        </w:tc>
        <w:tc>
          <w:tcPr>
            <w:tcW w:w="1843" w:type="dxa"/>
            <w:tcBorders>
              <w:top w:val="single" w:sz="4" w:space="0" w:color="auto"/>
              <w:left w:val="single" w:sz="4" w:space="0" w:color="auto"/>
              <w:bottom w:val="single" w:sz="4" w:space="0" w:color="auto"/>
              <w:right w:val="single" w:sz="4" w:space="0" w:color="auto"/>
            </w:tcBorders>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538</w:t>
            </w:r>
          </w:p>
        </w:tc>
        <w:tc>
          <w:tcPr>
            <w:tcW w:w="1843" w:type="dxa"/>
            <w:tcBorders>
              <w:top w:val="single" w:sz="4" w:space="0" w:color="auto"/>
              <w:left w:val="single" w:sz="4" w:space="0" w:color="auto"/>
              <w:bottom w:val="single" w:sz="4" w:space="0" w:color="auto"/>
              <w:right w:val="single" w:sz="4" w:space="0" w:color="auto"/>
            </w:tcBorders>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531</w:t>
            </w:r>
          </w:p>
        </w:tc>
        <w:tc>
          <w:tcPr>
            <w:tcW w:w="1984" w:type="dxa"/>
            <w:tcBorders>
              <w:top w:val="single" w:sz="4" w:space="0" w:color="auto"/>
              <w:left w:val="single" w:sz="4" w:space="0" w:color="auto"/>
              <w:bottom w:val="single" w:sz="4" w:space="0" w:color="auto"/>
              <w:right w:val="single" w:sz="4" w:space="0" w:color="auto"/>
            </w:tcBorders>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1605</w:t>
            </w:r>
          </w:p>
        </w:tc>
      </w:tr>
      <w:tr w:rsidR="00803D84" w:rsidRPr="00811E53" w:rsidTr="00D36A18">
        <w:tc>
          <w:tcPr>
            <w:tcW w:w="2802" w:type="dxa"/>
            <w:tcBorders>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rPr>
                <w:rFonts w:ascii="Arial" w:hAnsi="Arial" w:cs="Arial"/>
                <w:sz w:val="20"/>
                <w:szCs w:val="20"/>
              </w:rPr>
            </w:pPr>
            <w:r w:rsidRPr="00F57586">
              <w:rPr>
                <w:rFonts w:ascii="Arial" w:hAnsi="Arial" w:cs="Arial"/>
                <w:sz w:val="20"/>
                <w:szCs w:val="20"/>
              </w:rPr>
              <w:t>Age</w:t>
            </w:r>
            <w:r>
              <w:rPr>
                <w:rFonts w:ascii="Arial" w:hAnsi="Arial" w:cs="Arial"/>
                <w:sz w:val="20"/>
                <w:szCs w:val="20"/>
              </w:rPr>
              <w:t xml:space="preserve"> at randomisation</w:t>
            </w:r>
            <w:r w:rsidRPr="00F57586">
              <w:rPr>
                <w:rFonts w:ascii="Arial" w:hAnsi="Arial" w:cs="Arial"/>
                <w:sz w:val="20"/>
                <w:szCs w:val="20"/>
              </w:rPr>
              <w:t xml:space="preserve"> (years)</w:t>
            </w:r>
          </w:p>
        </w:tc>
        <w:tc>
          <w:tcPr>
            <w:tcW w:w="1842" w:type="dxa"/>
            <w:tcBorders>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c>
          <w:tcPr>
            <w:tcW w:w="1843" w:type="dxa"/>
            <w:tcBorders>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c>
          <w:tcPr>
            <w:tcW w:w="1843" w:type="dxa"/>
            <w:tcBorders>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c>
          <w:tcPr>
            <w:tcW w:w="1984" w:type="dxa"/>
            <w:tcBorders>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r>
      <w:tr w:rsidR="00803D84" w:rsidRPr="00811E53" w:rsidTr="00D36A18">
        <w:tc>
          <w:tcPr>
            <w:tcW w:w="280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color w:val="000000"/>
                <w:sz w:val="20"/>
                <w:szCs w:val="20"/>
              </w:rPr>
            </w:pPr>
            <w:r w:rsidRPr="00F57586">
              <w:rPr>
                <w:rFonts w:ascii="Arial" w:hAnsi="Arial" w:cs="Arial"/>
                <w:color w:val="000000"/>
                <w:sz w:val="20"/>
                <w:szCs w:val="20"/>
              </w:rPr>
              <w:t>N</w:t>
            </w:r>
          </w:p>
        </w:tc>
        <w:tc>
          <w:tcPr>
            <w:tcW w:w="184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color w:val="000000"/>
                <w:sz w:val="20"/>
                <w:szCs w:val="20"/>
              </w:rPr>
            </w:pPr>
            <w:r w:rsidRPr="00F57586">
              <w:rPr>
                <w:rFonts w:ascii="Arial" w:hAnsi="Arial" w:cs="Arial"/>
                <w:color w:val="000000"/>
                <w:sz w:val="20"/>
                <w:szCs w:val="20"/>
              </w:rPr>
              <w:t>536</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color w:val="000000"/>
                <w:sz w:val="20"/>
                <w:szCs w:val="20"/>
              </w:rPr>
            </w:pPr>
            <w:r w:rsidRPr="00F57586">
              <w:rPr>
                <w:rFonts w:ascii="Arial" w:hAnsi="Arial" w:cs="Arial"/>
                <w:color w:val="000000"/>
                <w:sz w:val="20"/>
                <w:szCs w:val="20"/>
              </w:rPr>
              <w:t>538</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color w:val="000000"/>
                <w:sz w:val="20"/>
                <w:szCs w:val="20"/>
              </w:rPr>
            </w:pPr>
            <w:r w:rsidRPr="00F57586">
              <w:rPr>
                <w:rFonts w:ascii="Arial" w:hAnsi="Arial" w:cs="Arial"/>
                <w:color w:val="000000"/>
                <w:sz w:val="20"/>
                <w:szCs w:val="20"/>
              </w:rPr>
              <w:t>531</w:t>
            </w:r>
          </w:p>
        </w:tc>
        <w:tc>
          <w:tcPr>
            <w:tcW w:w="1984"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color w:val="000000"/>
                <w:sz w:val="20"/>
                <w:szCs w:val="20"/>
              </w:rPr>
            </w:pPr>
            <w:r w:rsidRPr="00F57586">
              <w:rPr>
                <w:rFonts w:ascii="Arial" w:hAnsi="Arial" w:cs="Arial"/>
                <w:color w:val="000000"/>
                <w:sz w:val="20"/>
                <w:szCs w:val="20"/>
              </w:rPr>
              <w:t>1605</w:t>
            </w:r>
          </w:p>
        </w:tc>
      </w:tr>
      <w:tr w:rsidR="00803D84" w:rsidRPr="00811E53" w:rsidTr="00D36A18">
        <w:tc>
          <w:tcPr>
            <w:tcW w:w="2802" w:type="dxa"/>
            <w:tcBorders>
              <w:top w:val="nil"/>
              <w:left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Med (LQ - UQ)</w:t>
            </w:r>
          </w:p>
        </w:tc>
        <w:tc>
          <w:tcPr>
            <w:tcW w:w="1842" w:type="dxa"/>
            <w:tcBorders>
              <w:top w:val="nil"/>
              <w:left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42·</w:t>
            </w:r>
            <w:r w:rsidRPr="00F57586">
              <w:rPr>
                <w:rFonts w:ascii="Arial" w:hAnsi="Arial" w:cs="Arial"/>
                <w:color w:val="000000"/>
                <w:sz w:val="20"/>
                <w:szCs w:val="20"/>
              </w:rPr>
              <w:t>5</w:t>
            </w:r>
            <w:r>
              <w:rPr>
                <w:rFonts w:ascii="Arial" w:hAnsi="Arial" w:cs="Arial"/>
                <w:color w:val="000000"/>
                <w:sz w:val="20"/>
                <w:szCs w:val="20"/>
              </w:rPr>
              <w:t xml:space="preserve"> (0·</w:t>
            </w:r>
            <w:r w:rsidRPr="00E45928">
              <w:rPr>
                <w:rFonts w:ascii="Arial" w:hAnsi="Arial" w:cs="Arial"/>
                <w:color w:val="000000"/>
                <w:sz w:val="20"/>
                <w:szCs w:val="20"/>
              </w:rPr>
              <w:t>8</w:t>
            </w:r>
            <w:r>
              <w:rPr>
                <w:rFonts w:ascii="Arial" w:hAnsi="Arial" w:cs="Arial"/>
                <w:color w:val="000000"/>
                <w:sz w:val="20"/>
                <w:szCs w:val="20"/>
              </w:rPr>
              <w:t xml:space="preserve"> – 69·</w:t>
            </w:r>
            <w:r w:rsidRPr="00E45928">
              <w:rPr>
                <w:rFonts w:ascii="Arial" w:hAnsi="Arial" w:cs="Arial"/>
                <w:color w:val="000000"/>
                <w:sz w:val="20"/>
                <w:szCs w:val="20"/>
              </w:rPr>
              <w:t>7</w:t>
            </w:r>
            <w:r>
              <w:rPr>
                <w:rFonts w:ascii="Arial" w:hAnsi="Arial" w:cs="Arial"/>
                <w:color w:val="000000"/>
                <w:sz w:val="20"/>
                <w:szCs w:val="20"/>
              </w:rPr>
              <w:t>)</w:t>
            </w:r>
          </w:p>
        </w:tc>
        <w:tc>
          <w:tcPr>
            <w:tcW w:w="1843" w:type="dxa"/>
            <w:tcBorders>
              <w:top w:val="nil"/>
              <w:left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43·</w:t>
            </w:r>
            <w:r w:rsidRPr="00F57586">
              <w:rPr>
                <w:rFonts w:ascii="Arial" w:hAnsi="Arial" w:cs="Arial"/>
                <w:color w:val="000000"/>
                <w:sz w:val="20"/>
                <w:szCs w:val="20"/>
              </w:rPr>
              <w:t>9</w:t>
            </w:r>
            <w:r>
              <w:rPr>
                <w:rFonts w:ascii="Arial" w:hAnsi="Arial" w:cs="Arial"/>
                <w:color w:val="000000"/>
                <w:sz w:val="20"/>
                <w:szCs w:val="20"/>
              </w:rPr>
              <w:t>(1·</w:t>
            </w:r>
            <w:r w:rsidRPr="00E45928">
              <w:rPr>
                <w:rFonts w:ascii="Arial" w:hAnsi="Arial" w:cs="Arial"/>
                <w:color w:val="000000"/>
                <w:sz w:val="20"/>
                <w:szCs w:val="20"/>
              </w:rPr>
              <w:t>1</w:t>
            </w:r>
            <w:r>
              <w:rPr>
                <w:rFonts w:ascii="Arial" w:hAnsi="Arial" w:cs="Arial"/>
                <w:color w:val="000000"/>
                <w:sz w:val="20"/>
                <w:szCs w:val="20"/>
              </w:rPr>
              <w:t xml:space="preserve"> – 70·8)</w:t>
            </w:r>
          </w:p>
        </w:tc>
        <w:tc>
          <w:tcPr>
            <w:tcW w:w="1843" w:type="dxa"/>
            <w:tcBorders>
              <w:top w:val="nil"/>
              <w:left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41·</w:t>
            </w:r>
            <w:r w:rsidRPr="00F57586">
              <w:rPr>
                <w:rFonts w:ascii="Arial" w:hAnsi="Arial" w:cs="Arial"/>
                <w:color w:val="000000"/>
                <w:sz w:val="20"/>
                <w:szCs w:val="20"/>
              </w:rPr>
              <w:t>1</w:t>
            </w:r>
            <w:r>
              <w:rPr>
                <w:rFonts w:ascii="Arial" w:hAnsi="Arial" w:cs="Arial"/>
                <w:color w:val="000000"/>
                <w:sz w:val="20"/>
                <w:szCs w:val="20"/>
              </w:rPr>
              <w:t xml:space="preserve"> (0·5 – 68·8)</w:t>
            </w:r>
          </w:p>
        </w:tc>
        <w:tc>
          <w:tcPr>
            <w:tcW w:w="1984" w:type="dxa"/>
            <w:tcBorders>
              <w:top w:val="nil"/>
              <w:left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42·</w:t>
            </w:r>
            <w:r w:rsidRPr="00F57586">
              <w:rPr>
                <w:rFonts w:ascii="Arial" w:hAnsi="Arial" w:cs="Arial"/>
                <w:color w:val="000000"/>
                <w:sz w:val="20"/>
                <w:szCs w:val="20"/>
              </w:rPr>
              <w:t>5</w:t>
            </w:r>
            <w:r>
              <w:rPr>
                <w:rFonts w:ascii="Arial" w:hAnsi="Arial" w:cs="Arial"/>
                <w:color w:val="000000"/>
                <w:sz w:val="20"/>
                <w:szCs w:val="20"/>
              </w:rPr>
              <w:t xml:space="preserve"> (0·8 – 69·6)</w:t>
            </w:r>
          </w:p>
        </w:tc>
      </w:tr>
      <w:tr w:rsidR="00803D84" w:rsidRPr="00811E53" w:rsidTr="00D36A18">
        <w:tc>
          <w:tcPr>
            <w:tcW w:w="2802" w:type="dxa"/>
            <w:tcBorders>
              <w:top w:val="nil"/>
              <w:left w:val="single" w:sz="4" w:space="0" w:color="auto"/>
              <w:bottom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w:t>
            </w:r>
            <w:r w:rsidRPr="00F57586">
              <w:rPr>
                <w:rFonts w:ascii="Arial" w:hAnsi="Arial" w:cs="Arial"/>
                <w:color w:val="000000"/>
                <w:sz w:val="20"/>
                <w:szCs w:val="20"/>
              </w:rPr>
              <w:t>Min</w:t>
            </w:r>
            <w:r>
              <w:rPr>
                <w:rFonts w:ascii="Arial" w:hAnsi="Arial" w:cs="Arial"/>
                <w:color w:val="000000"/>
                <w:sz w:val="20"/>
                <w:szCs w:val="20"/>
              </w:rPr>
              <w:t>, Max)</w:t>
            </w:r>
          </w:p>
        </w:tc>
        <w:tc>
          <w:tcPr>
            <w:tcW w:w="1842" w:type="dxa"/>
            <w:tcBorders>
              <w:top w:val="nil"/>
              <w:left w:val="single" w:sz="4" w:space="0" w:color="auto"/>
              <w:bottom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(0·</w:t>
            </w:r>
            <w:r w:rsidRPr="00F57586">
              <w:rPr>
                <w:rFonts w:ascii="Arial" w:hAnsi="Arial" w:cs="Arial"/>
                <w:color w:val="000000"/>
                <w:sz w:val="20"/>
                <w:szCs w:val="20"/>
              </w:rPr>
              <w:t>0</w:t>
            </w:r>
            <w:r>
              <w:rPr>
                <w:rFonts w:ascii="Arial" w:hAnsi="Arial" w:cs="Arial"/>
                <w:color w:val="000000"/>
                <w:sz w:val="20"/>
                <w:szCs w:val="20"/>
              </w:rPr>
              <w:t>, 90·3)</w:t>
            </w:r>
          </w:p>
        </w:tc>
        <w:tc>
          <w:tcPr>
            <w:tcW w:w="1843" w:type="dxa"/>
            <w:tcBorders>
              <w:top w:val="nil"/>
              <w:left w:val="single" w:sz="4" w:space="0" w:color="auto"/>
              <w:bottom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(0·</w:t>
            </w:r>
            <w:r w:rsidRPr="00F57586">
              <w:rPr>
                <w:rFonts w:ascii="Arial" w:hAnsi="Arial" w:cs="Arial"/>
                <w:color w:val="000000"/>
                <w:sz w:val="20"/>
                <w:szCs w:val="20"/>
              </w:rPr>
              <w:t>0</w:t>
            </w:r>
            <w:r>
              <w:rPr>
                <w:rFonts w:ascii="Arial" w:hAnsi="Arial" w:cs="Arial"/>
                <w:color w:val="000000"/>
                <w:sz w:val="20"/>
                <w:szCs w:val="20"/>
              </w:rPr>
              <w:t>, 88·9)</w:t>
            </w:r>
          </w:p>
        </w:tc>
        <w:tc>
          <w:tcPr>
            <w:tcW w:w="1843" w:type="dxa"/>
            <w:tcBorders>
              <w:top w:val="nil"/>
              <w:left w:val="single" w:sz="4" w:space="0" w:color="auto"/>
              <w:bottom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(0·</w:t>
            </w:r>
            <w:r w:rsidRPr="00F57586">
              <w:rPr>
                <w:rFonts w:ascii="Arial" w:hAnsi="Arial" w:cs="Arial"/>
                <w:color w:val="000000"/>
                <w:sz w:val="20"/>
                <w:szCs w:val="20"/>
              </w:rPr>
              <w:t>0</w:t>
            </w:r>
            <w:r>
              <w:rPr>
                <w:rFonts w:ascii="Arial" w:hAnsi="Arial" w:cs="Arial"/>
                <w:color w:val="000000"/>
                <w:sz w:val="20"/>
                <w:szCs w:val="20"/>
              </w:rPr>
              <w:t>, 91·1)</w:t>
            </w:r>
          </w:p>
        </w:tc>
        <w:tc>
          <w:tcPr>
            <w:tcW w:w="1984" w:type="dxa"/>
            <w:tcBorders>
              <w:top w:val="nil"/>
              <w:left w:val="single" w:sz="4" w:space="0" w:color="auto"/>
              <w:bottom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(0·</w:t>
            </w:r>
            <w:r w:rsidRPr="00F57586">
              <w:rPr>
                <w:rFonts w:ascii="Arial" w:hAnsi="Arial" w:cs="Arial"/>
                <w:color w:val="000000"/>
                <w:sz w:val="20"/>
                <w:szCs w:val="20"/>
              </w:rPr>
              <w:t>0</w:t>
            </w:r>
            <w:r>
              <w:rPr>
                <w:rFonts w:ascii="Arial" w:hAnsi="Arial" w:cs="Arial"/>
                <w:color w:val="000000"/>
                <w:sz w:val="20"/>
                <w:szCs w:val="20"/>
              </w:rPr>
              <w:t>, 91·1)</w:t>
            </w:r>
          </w:p>
        </w:tc>
      </w:tr>
      <w:tr w:rsidR="00803D84" w:rsidRPr="00811E53" w:rsidTr="00D36A18">
        <w:tc>
          <w:tcPr>
            <w:tcW w:w="2802" w:type="dxa"/>
            <w:tcBorders>
              <w:top w:val="single" w:sz="4" w:space="0" w:color="auto"/>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rPr>
                <w:rFonts w:ascii="Arial" w:hAnsi="Arial" w:cs="Arial"/>
                <w:sz w:val="20"/>
                <w:szCs w:val="20"/>
              </w:rPr>
            </w:pPr>
            <w:r w:rsidRPr="00F57586">
              <w:rPr>
                <w:rFonts w:ascii="Arial" w:hAnsi="Arial" w:cs="Arial"/>
                <w:sz w:val="20"/>
                <w:szCs w:val="20"/>
              </w:rPr>
              <w:t xml:space="preserve">Age </w:t>
            </w:r>
            <w:r>
              <w:rPr>
                <w:rFonts w:ascii="Arial" w:hAnsi="Arial" w:cs="Arial"/>
                <w:sz w:val="20"/>
                <w:szCs w:val="20"/>
              </w:rPr>
              <w:t>category</w:t>
            </w:r>
            <w:r w:rsidRPr="00F57586">
              <w:rPr>
                <w:rFonts w:ascii="Arial" w:hAnsi="Arial" w:cs="Arial"/>
                <w:sz w:val="20"/>
                <w:szCs w:val="20"/>
              </w:rPr>
              <w:t>, n (%)</w:t>
            </w:r>
          </w:p>
        </w:tc>
        <w:tc>
          <w:tcPr>
            <w:tcW w:w="1842" w:type="dxa"/>
            <w:tcBorders>
              <w:top w:val="single" w:sz="4" w:space="0" w:color="auto"/>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c>
          <w:tcPr>
            <w:tcW w:w="1843" w:type="dxa"/>
            <w:tcBorders>
              <w:top w:val="single" w:sz="4" w:space="0" w:color="auto"/>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c>
          <w:tcPr>
            <w:tcW w:w="1843" w:type="dxa"/>
            <w:tcBorders>
              <w:top w:val="single" w:sz="4" w:space="0" w:color="auto"/>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c>
          <w:tcPr>
            <w:tcW w:w="1984" w:type="dxa"/>
            <w:tcBorders>
              <w:top w:val="single" w:sz="4" w:space="0" w:color="auto"/>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color w:val="000000"/>
                <w:sz w:val="20"/>
                <w:szCs w:val="20"/>
              </w:rPr>
            </w:pPr>
          </w:p>
        </w:tc>
      </w:tr>
      <w:tr w:rsidR="00803D84" w:rsidRPr="00811E53" w:rsidTr="00D36A18">
        <w:tc>
          <w:tcPr>
            <w:tcW w:w="280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sz w:val="20"/>
                <w:szCs w:val="20"/>
              </w:rPr>
              <w:t>Paediatric</w:t>
            </w:r>
          </w:p>
        </w:tc>
        <w:tc>
          <w:tcPr>
            <w:tcW w:w="184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color w:val="000000"/>
                <w:sz w:val="20"/>
                <w:szCs w:val="20"/>
              </w:rPr>
            </w:pPr>
            <w:r>
              <w:rPr>
                <w:rFonts w:ascii="Arial" w:hAnsi="Arial" w:cs="Arial"/>
                <w:color w:val="000000"/>
                <w:sz w:val="20"/>
                <w:szCs w:val="20"/>
              </w:rPr>
              <w:t>200 (37·</w:t>
            </w:r>
            <w:r w:rsidRPr="00F57586">
              <w:rPr>
                <w:rFonts w:ascii="Arial" w:hAnsi="Arial" w:cs="Arial"/>
                <w:color w:val="000000"/>
                <w:sz w:val="20"/>
                <w:szCs w:val="20"/>
              </w:rPr>
              <w:t>3)</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color w:val="000000"/>
                <w:sz w:val="20"/>
                <w:szCs w:val="20"/>
              </w:rPr>
            </w:pPr>
            <w:r w:rsidRPr="00F57586">
              <w:rPr>
                <w:rFonts w:ascii="Arial" w:hAnsi="Arial" w:cs="Arial"/>
                <w:color w:val="000000"/>
                <w:sz w:val="20"/>
                <w:szCs w:val="20"/>
              </w:rPr>
              <w:t>201 (3</w:t>
            </w:r>
            <w:r>
              <w:rPr>
                <w:rFonts w:ascii="Arial" w:hAnsi="Arial" w:cs="Arial"/>
                <w:color w:val="000000"/>
                <w:sz w:val="20"/>
                <w:szCs w:val="20"/>
              </w:rPr>
              <w:t>7·</w:t>
            </w:r>
            <w:r w:rsidRPr="00F57586">
              <w:rPr>
                <w:rFonts w:ascii="Arial" w:hAnsi="Arial" w:cs="Arial"/>
                <w:color w:val="000000"/>
                <w:sz w:val="20"/>
                <w:szCs w:val="20"/>
              </w:rPr>
              <w:t>4)</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color w:val="000000"/>
                <w:sz w:val="20"/>
                <w:szCs w:val="20"/>
              </w:rPr>
            </w:pPr>
            <w:r>
              <w:rPr>
                <w:rFonts w:ascii="Arial" w:hAnsi="Arial" w:cs="Arial"/>
                <w:color w:val="000000"/>
                <w:sz w:val="20"/>
                <w:szCs w:val="20"/>
              </w:rPr>
              <w:t>198 (37·</w:t>
            </w:r>
            <w:r w:rsidRPr="00F57586">
              <w:rPr>
                <w:rFonts w:ascii="Arial" w:hAnsi="Arial" w:cs="Arial"/>
                <w:color w:val="000000"/>
                <w:sz w:val="20"/>
                <w:szCs w:val="20"/>
              </w:rPr>
              <w:t>3)</w:t>
            </w:r>
          </w:p>
        </w:tc>
        <w:tc>
          <w:tcPr>
            <w:tcW w:w="1984"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color w:val="000000"/>
                <w:sz w:val="20"/>
                <w:szCs w:val="20"/>
              </w:rPr>
            </w:pPr>
            <w:r>
              <w:rPr>
                <w:rFonts w:ascii="Arial" w:hAnsi="Arial" w:cs="Arial"/>
                <w:color w:val="000000"/>
                <w:sz w:val="20"/>
                <w:szCs w:val="20"/>
              </w:rPr>
              <w:t>599 (37·</w:t>
            </w:r>
            <w:r w:rsidRPr="00F57586">
              <w:rPr>
                <w:rFonts w:ascii="Arial" w:hAnsi="Arial" w:cs="Arial"/>
                <w:color w:val="000000"/>
                <w:sz w:val="20"/>
                <w:szCs w:val="20"/>
              </w:rPr>
              <w:t>3)</w:t>
            </w:r>
          </w:p>
        </w:tc>
      </w:tr>
      <w:tr w:rsidR="00803D84" w:rsidRPr="00811E53" w:rsidTr="00D36A18">
        <w:tc>
          <w:tcPr>
            <w:tcW w:w="280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sz w:val="20"/>
                <w:szCs w:val="20"/>
              </w:rPr>
              <w:t>Adult (&lt;65 years)</w:t>
            </w:r>
          </w:p>
        </w:tc>
        <w:tc>
          <w:tcPr>
            <w:tcW w:w="184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174</w:t>
            </w:r>
            <w:r w:rsidRPr="00F57586">
              <w:rPr>
                <w:rFonts w:ascii="Arial" w:hAnsi="Arial" w:cs="Arial"/>
                <w:sz w:val="20"/>
                <w:szCs w:val="20"/>
              </w:rPr>
              <w:t xml:space="preserve"> </w:t>
            </w:r>
            <w:r>
              <w:rPr>
                <w:rFonts w:ascii="Arial" w:hAnsi="Arial" w:cs="Arial"/>
                <w:color w:val="000000"/>
                <w:sz w:val="20"/>
                <w:szCs w:val="20"/>
              </w:rPr>
              <w:t>(32·</w:t>
            </w:r>
            <w:r w:rsidRPr="00F57586">
              <w:rPr>
                <w:rFonts w:ascii="Arial" w:hAnsi="Arial" w:cs="Arial"/>
                <w:color w:val="000000"/>
                <w:sz w:val="20"/>
                <w:szCs w:val="20"/>
              </w:rPr>
              <w:t>5)</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156</w:t>
            </w:r>
            <w:r w:rsidRPr="00F57586">
              <w:rPr>
                <w:rFonts w:ascii="Arial" w:hAnsi="Arial" w:cs="Arial"/>
                <w:sz w:val="20"/>
                <w:szCs w:val="20"/>
              </w:rPr>
              <w:t xml:space="preserve"> </w:t>
            </w:r>
            <w:r>
              <w:rPr>
                <w:rFonts w:ascii="Arial" w:hAnsi="Arial" w:cs="Arial"/>
                <w:color w:val="000000"/>
                <w:sz w:val="20"/>
                <w:szCs w:val="20"/>
              </w:rPr>
              <w:t>(29·</w:t>
            </w:r>
            <w:r w:rsidRPr="00F57586">
              <w:rPr>
                <w:rFonts w:ascii="Arial" w:hAnsi="Arial" w:cs="Arial"/>
                <w:color w:val="000000"/>
                <w:sz w:val="20"/>
                <w:szCs w:val="20"/>
              </w:rPr>
              <w:t>0)</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172</w:t>
            </w:r>
            <w:r w:rsidRPr="00F57586">
              <w:rPr>
                <w:rFonts w:ascii="Arial" w:hAnsi="Arial" w:cs="Arial"/>
                <w:sz w:val="20"/>
                <w:szCs w:val="20"/>
              </w:rPr>
              <w:t xml:space="preserve"> </w:t>
            </w:r>
            <w:r>
              <w:rPr>
                <w:rFonts w:ascii="Arial" w:hAnsi="Arial" w:cs="Arial"/>
                <w:color w:val="000000"/>
                <w:sz w:val="20"/>
                <w:szCs w:val="20"/>
              </w:rPr>
              <w:t>(32·</w:t>
            </w:r>
            <w:r w:rsidRPr="00F57586">
              <w:rPr>
                <w:rFonts w:ascii="Arial" w:hAnsi="Arial" w:cs="Arial"/>
                <w:color w:val="000000"/>
                <w:sz w:val="20"/>
                <w:szCs w:val="20"/>
              </w:rPr>
              <w:t>4)</w:t>
            </w:r>
          </w:p>
        </w:tc>
        <w:tc>
          <w:tcPr>
            <w:tcW w:w="1984"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502</w:t>
            </w:r>
            <w:r w:rsidRPr="00F57586">
              <w:rPr>
                <w:rFonts w:ascii="Arial" w:hAnsi="Arial" w:cs="Arial"/>
                <w:sz w:val="20"/>
                <w:szCs w:val="20"/>
              </w:rPr>
              <w:t xml:space="preserve"> </w:t>
            </w:r>
            <w:r>
              <w:rPr>
                <w:rFonts w:ascii="Arial" w:hAnsi="Arial" w:cs="Arial"/>
                <w:color w:val="000000"/>
                <w:sz w:val="20"/>
                <w:szCs w:val="20"/>
              </w:rPr>
              <w:t>(31·</w:t>
            </w:r>
            <w:r w:rsidRPr="00F57586">
              <w:rPr>
                <w:rFonts w:ascii="Arial" w:hAnsi="Arial" w:cs="Arial"/>
                <w:color w:val="000000"/>
                <w:sz w:val="20"/>
                <w:szCs w:val="20"/>
              </w:rPr>
              <w:t>3)</w:t>
            </w:r>
          </w:p>
        </w:tc>
      </w:tr>
      <w:tr w:rsidR="00803D84" w:rsidRPr="00811E53" w:rsidTr="00D36A18">
        <w:tc>
          <w:tcPr>
            <w:tcW w:w="2802" w:type="dxa"/>
            <w:tcBorders>
              <w:top w:val="nil"/>
              <w:left w:val="single" w:sz="4" w:space="0" w:color="auto"/>
              <w:bottom w:val="nil"/>
              <w:right w:val="single" w:sz="4" w:space="0" w:color="auto"/>
            </w:tcBorders>
            <w:shd w:val="clear" w:color="auto" w:fill="FFFFFF" w:themeFill="background1"/>
          </w:tcPr>
          <w:p w:rsidR="00803D84" w:rsidRPr="00F57586" w:rsidRDefault="00803D84" w:rsidP="00600374">
            <w:pPr>
              <w:spacing w:line="480" w:lineRule="auto"/>
              <w:jc w:val="right"/>
              <w:rPr>
                <w:rFonts w:ascii="Arial" w:hAnsi="Arial" w:cs="Arial"/>
                <w:sz w:val="20"/>
                <w:szCs w:val="20"/>
              </w:rPr>
            </w:pPr>
            <w:r w:rsidRPr="00F57586">
              <w:rPr>
                <w:rFonts w:ascii="Arial" w:hAnsi="Arial" w:cs="Arial"/>
                <w:sz w:val="20"/>
                <w:szCs w:val="20"/>
              </w:rPr>
              <w:t>Adult (</w:t>
            </w:r>
            <w:r w:rsidRPr="00600374">
              <w:rPr>
                <w:rFonts w:ascii="Arial" w:eastAsia="MS Gothic" w:hAnsi="Arial" w:cs="Arial"/>
                <w:color w:val="000000"/>
              </w:rPr>
              <w:t>≥</w:t>
            </w:r>
            <w:r w:rsidRPr="00F57586">
              <w:rPr>
                <w:rFonts w:ascii="Arial" w:hAnsi="Arial" w:cs="Arial"/>
                <w:sz w:val="20"/>
                <w:szCs w:val="20"/>
              </w:rPr>
              <w:t>65 years)</w:t>
            </w:r>
          </w:p>
        </w:tc>
        <w:tc>
          <w:tcPr>
            <w:tcW w:w="184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162</w:t>
            </w:r>
            <w:r w:rsidRPr="00F57586">
              <w:rPr>
                <w:rFonts w:ascii="Arial" w:hAnsi="Arial" w:cs="Arial"/>
                <w:sz w:val="20"/>
                <w:szCs w:val="20"/>
              </w:rPr>
              <w:t xml:space="preserve"> </w:t>
            </w:r>
            <w:r>
              <w:rPr>
                <w:rFonts w:ascii="Arial" w:hAnsi="Arial" w:cs="Arial"/>
                <w:color w:val="000000"/>
                <w:sz w:val="20"/>
                <w:szCs w:val="20"/>
              </w:rPr>
              <w:t>(30·</w:t>
            </w:r>
            <w:r w:rsidRPr="00F57586">
              <w:rPr>
                <w:rFonts w:ascii="Arial" w:hAnsi="Arial" w:cs="Arial"/>
                <w:color w:val="000000"/>
                <w:sz w:val="20"/>
                <w:szCs w:val="20"/>
              </w:rPr>
              <w:t>2)</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181 (33·</w:t>
            </w:r>
            <w:r w:rsidRPr="00F57586">
              <w:rPr>
                <w:rFonts w:ascii="Arial" w:hAnsi="Arial" w:cs="Arial"/>
                <w:color w:val="000000"/>
                <w:sz w:val="20"/>
                <w:szCs w:val="20"/>
              </w:rPr>
              <w:t>6)</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161</w:t>
            </w:r>
            <w:r w:rsidRPr="00F57586">
              <w:rPr>
                <w:rFonts w:ascii="Arial" w:hAnsi="Arial" w:cs="Arial"/>
                <w:sz w:val="20"/>
                <w:szCs w:val="20"/>
              </w:rPr>
              <w:t xml:space="preserve"> </w:t>
            </w:r>
            <w:r>
              <w:rPr>
                <w:rFonts w:ascii="Arial" w:hAnsi="Arial" w:cs="Arial"/>
                <w:color w:val="000000"/>
                <w:sz w:val="20"/>
                <w:szCs w:val="20"/>
              </w:rPr>
              <w:t>(30·</w:t>
            </w:r>
            <w:r w:rsidRPr="00F57586">
              <w:rPr>
                <w:rFonts w:ascii="Arial" w:hAnsi="Arial" w:cs="Arial"/>
                <w:color w:val="000000"/>
                <w:sz w:val="20"/>
                <w:szCs w:val="20"/>
              </w:rPr>
              <w:t>3)</w:t>
            </w:r>
          </w:p>
        </w:tc>
        <w:tc>
          <w:tcPr>
            <w:tcW w:w="1984"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504</w:t>
            </w:r>
            <w:r w:rsidRPr="00F57586">
              <w:rPr>
                <w:rFonts w:ascii="Arial" w:hAnsi="Arial" w:cs="Arial"/>
                <w:sz w:val="20"/>
                <w:szCs w:val="20"/>
              </w:rPr>
              <w:t xml:space="preserve"> </w:t>
            </w:r>
            <w:r>
              <w:rPr>
                <w:rFonts w:ascii="Arial" w:hAnsi="Arial" w:cs="Arial"/>
                <w:color w:val="000000"/>
                <w:sz w:val="20"/>
                <w:szCs w:val="20"/>
              </w:rPr>
              <w:t>(31·</w:t>
            </w:r>
            <w:r w:rsidRPr="00F57586">
              <w:rPr>
                <w:rFonts w:ascii="Arial" w:hAnsi="Arial" w:cs="Arial"/>
                <w:color w:val="000000"/>
                <w:sz w:val="20"/>
                <w:szCs w:val="20"/>
              </w:rPr>
              <w:t>4)</w:t>
            </w:r>
          </w:p>
        </w:tc>
      </w:tr>
      <w:tr w:rsidR="00803D84" w:rsidRPr="00811E53" w:rsidTr="00D36A18">
        <w:tc>
          <w:tcPr>
            <w:tcW w:w="2802" w:type="dxa"/>
            <w:tcBorders>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rPr>
                <w:rFonts w:ascii="Arial" w:hAnsi="Arial" w:cs="Arial"/>
                <w:sz w:val="20"/>
                <w:szCs w:val="20"/>
              </w:rPr>
            </w:pPr>
            <w:r w:rsidRPr="00F57586">
              <w:rPr>
                <w:rFonts w:ascii="Arial" w:hAnsi="Arial" w:cs="Arial"/>
                <w:sz w:val="20"/>
                <w:szCs w:val="20"/>
              </w:rPr>
              <w:t>Gender, n (%)</w:t>
            </w:r>
          </w:p>
        </w:tc>
        <w:tc>
          <w:tcPr>
            <w:tcW w:w="1842" w:type="dxa"/>
            <w:tcBorders>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c>
          <w:tcPr>
            <w:tcW w:w="1843" w:type="dxa"/>
            <w:tcBorders>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c>
          <w:tcPr>
            <w:tcW w:w="1843" w:type="dxa"/>
            <w:tcBorders>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c>
          <w:tcPr>
            <w:tcW w:w="1984" w:type="dxa"/>
            <w:tcBorders>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p>
        </w:tc>
      </w:tr>
      <w:tr w:rsidR="00803D84" w:rsidRPr="00811E53" w:rsidTr="00D36A18">
        <w:tc>
          <w:tcPr>
            <w:tcW w:w="280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Female</w:t>
            </w:r>
          </w:p>
        </w:tc>
        <w:tc>
          <w:tcPr>
            <w:tcW w:w="184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246 (46·</w:t>
            </w:r>
            <w:r w:rsidRPr="00F57586">
              <w:rPr>
                <w:rFonts w:ascii="Arial" w:hAnsi="Arial" w:cs="Arial"/>
                <w:color w:val="000000"/>
                <w:sz w:val="20"/>
                <w:szCs w:val="20"/>
              </w:rPr>
              <w:t>0)</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260 (48·</w:t>
            </w:r>
            <w:r w:rsidRPr="00F57586">
              <w:rPr>
                <w:rFonts w:ascii="Arial" w:hAnsi="Arial" w:cs="Arial"/>
                <w:color w:val="000000"/>
                <w:sz w:val="20"/>
                <w:szCs w:val="20"/>
              </w:rPr>
              <w:t>3)</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282 (53·</w:t>
            </w:r>
            <w:r w:rsidRPr="00F57586">
              <w:rPr>
                <w:rFonts w:ascii="Arial" w:hAnsi="Arial" w:cs="Arial"/>
                <w:color w:val="000000"/>
                <w:sz w:val="20"/>
                <w:szCs w:val="20"/>
              </w:rPr>
              <w:t>1)</w:t>
            </w:r>
          </w:p>
        </w:tc>
        <w:tc>
          <w:tcPr>
            <w:tcW w:w="1984"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788</w:t>
            </w:r>
            <w:r w:rsidRPr="00F57586">
              <w:rPr>
                <w:rFonts w:ascii="Arial" w:hAnsi="Arial" w:cs="Arial"/>
                <w:sz w:val="20"/>
                <w:szCs w:val="20"/>
              </w:rPr>
              <w:t xml:space="preserve"> </w:t>
            </w:r>
            <w:r>
              <w:rPr>
                <w:rFonts w:ascii="Arial" w:hAnsi="Arial" w:cs="Arial"/>
                <w:color w:val="000000"/>
                <w:sz w:val="20"/>
                <w:szCs w:val="20"/>
              </w:rPr>
              <w:t>(49·</w:t>
            </w:r>
            <w:r w:rsidRPr="00F57586">
              <w:rPr>
                <w:rFonts w:ascii="Arial" w:hAnsi="Arial" w:cs="Arial"/>
                <w:color w:val="000000"/>
                <w:sz w:val="20"/>
                <w:szCs w:val="20"/>
              </w:rPr>
              <w:t>1)</w:t>
            </w:r>
          </w:p>
        </w:tc>
      </w:tr>
      <w:tr w:rsidR="00803D84" w:rsidRPr="00811E53" w:rsidTr="00D36A18">
        <w:tc>
          <w:tcPr>
            <w:tcW w:w="280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Male</w:t>
            </w:r>
          </w:p>
        </w:tc>
        <w:tc>
          <w:tcPr>
            <w:tcW w:w="1842"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Pr>
                <w:rFonts w:ascii="Arial" w:hAnsi="Arial" w:cs="Arial"/>
                <w:color w:val="000000"/>
                <w:sz w:val="20"/>
                <w:szCs w:val="20"/>
              </w:rPr>
              <w:t>289 (54·</w:t>
            </w:r>
            <w:r w:rsidRPr="00F57586">
              <w:rPr>
                <w:rFonts w:ascii="Arial" w:hAnsi="Arial" w:cs="Arial"/>
                <w:color w:val="000000"/>
                <w:sz w:val="20"/>
                <w:szCs w:val="20"/>
              </w:rPr>
              <w:t>0)</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278</w:t>
            </w:r>
            <w:r w:rsidRPr="00F57586">
              <w:rPr>
                <w:rFonts w:ascii="Arial" w:hAnsi="Arial" w:cs="Arial"/>
                <w:sz w:val="20"/>
                <w:szCs w:val="20"/>
              </w:rPr>
              <w:t xml:space="preserve"> </w:t>
            </w:r>
            <w:r>
              <w:rPr>
                <w:rFonts w:ascii="Arial" w:hAnsi="Arial" w:cs="Arial"/>
                <w:color w:val="000000"/>
                <w:sz w:val="20"/>
                <w:szCs w:val="20"/>
              </w:rPr>
              <w:t>(51·</w:t>
            </w:r>
            <w:r w:rsidRPr="00F57586">
              <w:rPr>
                <w:rFonts w:ascii="Arial" w:hAnsi="Arial" w:cs="Arial"/>
                <w:color w:val="000000"/>
                <w:sz w:val="20"/>
                <w:szCs w:val="20"/>
              </w:rPr>
              <w:t>7)</w:t>
            </w:r>
          </w:p>
        </w:tc>
        <w:tc>
          <w:tcPr>
            <w:tcW w:w="1843"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249</w:t>
            </w:r>
            <w:r w:rsidRPr="00F57586">
              <w:rPr>
                <w:rFonts w:ascii="Arial" w:hAnsi="Arial" w:cs="Arial"/>
                <w:sz w:val="20"/>
                <w:szCs w:val="20"/>
              </w:rPr>
              <w:t xml:space="preserve"> </w:t>
            </w:r>
            <w:r>
              <w:rPr>
                <w:rFonts w:ascii="Arial" w:hAnsi="Arial" w:cs="Arial"/>
                <w:color w:val="000000"/>
                <w:sz w:val="20"/>
                <w:szCs w:val="20"/>
              </w:rPr>
              <w:t>(46·</w:t>
            </w:r>
            <w:r w:rsidRPr="00F57586">
              <w:rPr>
                <w:rFonts w:ascii="Arial" w:hAnsi="Arial" w:cs="Arial"/>
                <w:color w:val="000000"/>
                <w:sz w:val="20"/>
                <w:szCs w:val="20"/>
              </w:rPr>
              <w:t>9)</w:t>
            </w:r>
          </w:p>
        </w:tc>
        <w:tc>
          <w:tcPr>
            <w:tcW w:w="1984" w:type="dxa"/>
            <w:tcBorders>
              <w:top w:val="nil"/>
              <w:left w:val="single" w:sz="4" w:space="0" w:color="auto"/>
              <w:bottom w:val="nil"/>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816</w:t>
            </w:r>
            <w:r w:rsidRPr="00F57586">
              <w:rPr>
                <w:rFonts w:ascii="Arial" w:hAnsi="Arial" w:cs="Arial"/>
                <w:sz w:val="20"/>
                <w:szCs w:val="20"/>
              </w:rPr>
              <w:t xml:space="preserve"> </w:t>
            </w:r>
            <w:r>
              <w:rPr>
                <w:rFonts w:ascii="Arial" w:hAnsi="Arial" w:cs="Arial"/>
                <w:color w:val="000000"/>
                <w:sz w:val="20"/>
                <w:szCs w:val="20"/>
              </w:rPr>
              <w:t>(50·</w:t>
            </w:r>
            <w:r w:rsidRPr="00F57586">
              <w:rPr>
                <w:rFonts w:ascii="Arial" w:hAnsi="Arial" w:cs="Arial"/>
                <w:color w:val="000000"/>
                <w:sz w:val="20"/>
                <w:szCs w:val="20"/>
              </w:rPr>
              <w:t>9)</w:t>
            </w:r>
          </w:p>
        </w:tc>
      </w:tr>
      <w:tr w:rsidR="00803D84" w:rsidRPr="00811E53" w:rsidTr="00D36A18">
        <w:tc>
          <w:tcPr>
            <w:tcW w:w="2802" w:type="dxa"/>
            <w:tcBorders>
              <w:top w:val="nil"/>
              <w:left w:val="single" w:sz="4" w:space="0" w:color="auto"/>
              <w:bottom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Missing</w:t>
            </w:r>
          </w:p>
        </w:tc>
        <w:tc>
          <w:tcPr>
            <w:tcW w:w="1842" w:type="dxa"/>
            <w:tcBorders>
              <w:top w:val="nil"/>
              <w:left w:val="single" w:sz="4" w:space="0" w:color="auto"/>
              <w:bottom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1</w:t>
            </w:r>
          </w:p>
        </w:tc>
        <w:tc>
          <w:tcPr>
            <w:tcW w:w="1843" w:type="dxa"/>
            <w:tcBorders>
              <w:top w:val="nil"/>
              <w:left w:val="single" w:sz="4" w:space="0" w:color="auto"/>
              <w:bottom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0</w:t>
            </w:r>
          </w:p>
        </w:tc>
        <w:tc>
          <w:tcPr>
            <w:tcW w:w="1843" w:type="dxa"/>
            <w:tcBorders>
              <w:top w:val="nil"/>
              <w:left w:val="single" w:sz="4" w:space="0" w:color="auto"/>
              <w:bottom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0</w:t>
            </w:r>
          </w:p>
        </w:tc>
        <w:tc>
          <w:tcPr>
            <w:tcW w:w="1984" w:type="dxa"/>
            <w:tcBorders>
              <w:top w:val="nil"/>
              <w:left w:val="single" w:sz="4" w:space="0" w:color="auto"/>
              <w:bottom w:val="single" w:sz="4" w:space="0" w:color="auto"/>
              <w:right w:val="single" w:sz="4" w:space="0" w:color="auto"/>
            </w:tcBorders>
            <w:shd w:val="clear" w:color="auto" w:fill="FFFFFF" w:themeFill="background1"/>
          </w:tcPr>
          <w:p w:rsidR="00803D84" w:rsidRPr="00F57586" w:rsidRDefault="00803D84" w:rsidP="00A63E8E">
            <w:pPr>
              <w:spacing w:line="480" w:lineRule="auto"/>
              <w:jc w:val="right"/>
              <w:rPr>
                <w:rFonts w:ascii="Arial" w:hAnsi="Arial" w:cs="Arial"/>
                <w:sz w:val="20"/>
                <w:szCs w:val="20"/>
              </w:rPr>
            </w:pPr>
            <w:r w:rsidRPr="00F57586">
              <w:rPr>
                <w:rFonts w:ascii="Arial" w:hAnsi="Arial" w:cs="Arial"/>
                <w:color w:val="000000"/>
                <w:sz w:val="20"/>
                <w:szCs w:val="20"/>
              </w:rPr>
              <w:t>1</w:t>
            </w:r>
          </w:p>
        </w:tc>
      </w:tr>
    </w:tbl>
    <w:p w:rsidR="00803D84" w:rsidRDefault="00803D84" w:rsidP="00A63E8E">
      <w:pPr>
        <w:spacing w:line="480" w:lineRule="auto"/>
        <w:jc w:val="both"/>
        <w:rPr>
          <w:rFonts w:ascii="Calibri" w:hAnsi="Calibri" w:cs="Calibri"/>
          <w:sz w:val="22"/>
          <w:szCs w:val="22"/>
        </w:rPr>
      </w:pPr>
      <w:r>
        <w:rPr>
          <w:rFonts w:ascii="Calibri" w:hAnsi="Calibri" w:cs="Calibri"/>
          <w:b/>
          <w:sz w:val="22"/>
          <w:szCs w:val="22"/>
        </w:rPr>
        <w:t xml:space="preserve">Note: </w:t>
      </w:r>
      <w:r>
        <w:rPr>
          <w:rFonts w:ascii="Calibri" w:hAnsi="Calibri" w:cs="Calibri"/>
          <w:sz w:val="22"/>
          <w:szCs w:val="22"/>
        </w:rPr>
        <w:t>Med: Median; LQ: Lower Quartile; UQ: Upper Quartile; Min: Minimum; Max: Maximum</w:t>
      </w:r>
    </w:p>
    <w:p w:rsidR="00803D84" w:rsidRDefault="00803D84" w:rsidP="00A63E8E">
      <w:pPr>
        <w:spacing w:line="480" w:lineRule="auto"/>
        <w:jc w:val="both"/>
        <w:rPr>
          <w:rFonts w:ascii="Calibri" w:hAnsi="Calibri" w:cs="Calibri"/>
          <w:sz w:val="22"/>
          <w:szCs w:val="22"/>
        </w:rPr>
      </w:pPr>
    </w:p>
    <w:p w:rsidR="00803D84" w:rsidRPr="00FB5E12" w:rsidRDefault="00803D84" w:rsidP="00A63E8E">
      <w:pPr>
        <w:spacing w:line="480" w:lineRule="auto"/>
        <w:jc w:val="both"/>
        <w:rPr>
          <w:rFonts w:ascii="Calibri" w:hAnsi="Calibri" w:cs="Calibri"/>
        </w:rPr>
      </w:pPr>
      <w:r w:rsidRPr="00FB5E12">
        <w:rPr>
          <w:rFonts w:ascii="Calibri" w:hAnsi="Calibri" w:cs="Calibri"/>
        </w:rPr>
        <w:t>Table 2</w:t>
      </w:r>
    </w:p>
    <w:p w:rsidR="00803D84" w:rsidRPr="00FB5E12" w:rsidRDefault="00803D84" w:rsidP="00A63E8E">
      <w:pPr>
        <w:spacing w:line="480" w:lineRule="auto"/>
        <w:jc w:val="both"/>
        <w:rPr>
          <w:rFonts w:ascii="Calibri" w:hAnsi="Calibri" w:cs="Calibri"/>
        </w:rPr>
      </w:pPr>
      <w:r w:rsidRPr="00FB5E12">
        <w:rPr>
          <w:rFonts w:ascii="Calibri" w:hAnsi="Calibri" w:cs="Calibri"/>
        </w:rPr>
        <w:t xml:space="preserve">Summary of revisions, and reasons for revision, of first </w:t>
      </w:r>
      <w:r>
        <w:rPr>
          <w:rFonts w:ascii="Calibri" w:hAnsi="Calibri" w:cs="Calibri"/>
        </w:rPr>
        <w:t>shunt</w:t>
      </w:r>
      <w:r w:rsidRPr="00FB5E12">
        <w:rPr>
          <w:rFonts w:ascii="Calibri" w:hAnsi="Calibri" w:cs="Calibri"/>
        </w:rPr>
        <w:t xml:space="preserve"> according to catheter type and assessor</w:t>
      </w:r>
    </w:p>
    <w:tbl>
      <w:tblPr>
        <w:tblStyle w:val="TableGrid"/>
        <w:tblW w:w="11624" w:type="dxa"/>
        <w:tblInd w:w="108" w:type="dxa"/>
        <w:tblLook w:val="04A0" w:firstRow="1" w:lastRow="0" w:firstColumn="1" w:lastColumn="0" w:noHBand="0" w:noVBand="1"/>
      </w:tblPr>
      <w:tblGrid>
        <w:gridCol w:w="2943"/>
        <w:gridCol w:w="1134"/>
        <w:gridCol w:w="1134"/>
        <w:gridCol w:w="1134"/>
        <w:gridCol w:w="1134"/>
        <w:gridCol w:w="993"/>
        <w:gridCol w:w="992"/>
        <w:gridCol w:w="992"/>
        <w:gridCol w:w="1168"/>
      </w:tblGrid>
      <w:tr w:rsidR="00803D84" w:rsidRPr="00680FC7" w:rsidTr="008F1F99">
        <w:tc>
          <w:tcPr>
            <w:tcW w:w="2943" w:type="dxa"/>
            <w:tcBorders>
              <w:top w:val="nil"/>
              <w:left w:val="nil"/>
              <w:bottom w:val="nil"/>
            </w:tcBorders>
          </w:tcPr>
          <w:p w:rsidR="00803D84" w:rsidRPr="00F57586" w:rsidRDefault="00803D84" w:rsidP="00A63E8E">
            <w:pPr>
              <w:spacing w:line="480" w:lineRule="auto"/>
              <w:rPr>
                <w:rFonts w:ascii="Arial" w:hAnsi="Arial" w:cs="Arial"/>
                <w:b/>
              </w:rPr>
            </w:pPr>
          </w:p>
        </w:tc>
        <w:tc>
          <w:tcPr>
            <w:tcW w:w="2268" w:type="dxa"/>
            <w:gridSpan w:val="2"/>
            <w:tcBorders>
              <w:bottom w:val="single" w:sz="4" w:space="0" w:color="auto"/>
            </w:tcBorders>
            <w:shd w:val="clear" w:color="auto" w:fill="DDD9C3" w:themeFill="background2" w:themeFillShade="E6"/>
          </w:tcPr>
          <w:p w:rsidR="00803D84" w:rsidRPr="00F57586" w:rsidRDefault="00803D84" w:rsidP="005B3425">
            <w:pPr>
              <w:pStyle w:val="Default"/>
              <w:spacing w:line="480" w:lineRule="auto"/>
              <w:jc w:val="center"/>
              <w:rPr>
                <w:b/>
              </w:rPr>
            </w:pPr>
            <w:r w:rsidRPr="00D52473">
              <w:rPr>
                <w:b/>
              </w:rPr>
              <w:t xml:space="preserve">Standard </w:t>
            </w:r>
            <w:r>
              <w:rPr>
                <w:b/>
              </w:rPr>
              <w:t>shunt</w:t>
            </w:r>
          </w:p>
        </w:tc>
        <w:tc>
          <w:tcPr>
            <w:tcW w:w="2268" w:type="dxa"/>
            <w:gridSpan w:val="2"/>
            <w:tcBorders>
              <w:bottom w:val="single" w:sz="4" w:space="0" w:color="auto"/>
            </w:tcBorders>
            <w:shd w:val="clear" w:color="auto" w:fill="DDD9C3" w:themeFill="background2" w:themeFillShade="E6"/>
          </w:tcPr>
          <w:p w:rsidR="00803D84" w:rsidRPr="00F57586" w:rsidRDefault="00803D84" w:rsidP="005B3425">
            <w:pPr>
              <w:spacing w:line="480" w:lineRule="auto"/>
              <w:jc w:val="center"/>
              <w:rPr>
                <w:rFonts w:ascii="Arial" w:hAnsi="Arial" w:cs="Arial"/>
                <w:b/>
              </w:rPr>
            </w:pPr>
            <w:r w:rsidRPr="00F57586">
              <w:rPr>
                <w:rFonts w:ascii="Arial" w:hAnsi="Arial" w:cs="Arial"/>
                <w:b/>
              </w:rPr>
              <w:t xml:space="preserve">Antibiotic </w:t>
            </w:r>
            <w:r>
              <w:rPr>
                <w:rFonts w:ascii="Arial" w:hAnsi="Arial" w:cs="Arial"/>
                <w:b/>
              </w:rPr>
              <w:t>shunt</w:t>
            </w:r>
          </w:p>
        </w:tc>
        <w:tc>
          <w:tcPr>
            <w:tcW w:w="1985" w:type="dxa"/>
            <w:gridSpan w:val="2"/>
            <w:tcBorders>
              <w:bottom w:val="single" w:sz="4" w:space="0" w:color="auto"/>
            </w:tcBorders>
            <w:shd w:val="clear" w:color="auto" w:fill="DDD9C3" w:themeFill="background2" w:themeFillShade="E6"/>
          </w:tcPr>
          <w:p w:rsidR="00803D84" w:rsidRPr="00F57586" w:rsidRDefault="00803D84" w:rsidP="005B3425">
            <w:pPr>
              <w:spacing w:line="480" w:lineRule="auto"/>
              <w:jc w:val="center"/>
              <w:rPr>
                <w:rFonts w:ascii="Arial" w:hAnsi="Arial" w:cs="Arial"/>
                <w:b/>
              </w:rPr>
            </w:pPr>
            <w:r w:rsidRPr="00F57586">
              <w:rPr>
                <w:rFonts w:ascii="Arial" w:hAnsi="Arial" w:cs="Arial"/>
                <w:b/>
              </w:rPr>
              <w:t xml:space="preserve">Silver </w:t>
            </w:r>
            <w:r>
              <w:rPr>
                <w:rFonts w:ascii="Arial" w:hAnsi="Arial" w:cs="Arial"/>
                <w:b/>
              </w:rPr>
              <w:t>shunt</w:t>
            </w:r>
          </w:p>
        </w:tc>
        <w:tc>
          <w:tcPr>
            <w:tcW w:w="2160" w:type="dxa"/>
            <w:gridSpan w:val="2"/>
            <w:tcBorders>
              <w:bottom w:val="single" w:sz="4" w:space="0" w:color="auto"/>
            </w:tcBorders>
            <w:shd w:val="clear" w:color="auto" w:fill="DDD9C3" w:themeFill="background2" w:themeFillShade="E6"/>
          </w:tcPr>
          <w:p w:rsidR="00803D84" w:rsidRPr="00F57586" w:rsidRDefault="00803D84" w:rsidP="00A63E8E">
            <w:pPr>
              <w:spacing w:line="480" w:lineRule="auto"/>
              <w:jc w:val="center"/>
              <w:rPr>
                <w:rFonts w:ascii="Arial" w:hAnsi="Arial" w:cs="Arial"/>
                <w:b/>
              </w:rPr>
            </w:pPr>
            <w:r w:rsidRPr="00F57586">
              <w:rPr>
                <w:rFonts w:ascii="Arial" w:hAnsi="Arial" w:cs="Arial"/>
                <w:b/>
              </w:rPr>
              <w:t>Total</w:t>
            </w:r>
          </w:p>
        </w:tc>
      </w:tr>
      <w:tr w:rsidR="00803D84" w:rsidRPr="00680FC7" w:rsidTr="000F0C69">
        <w:tc>
          <w:tcPr>
            <w:tcW w:w="2943" w:type="dxa"/>
            <w:tcBorders>
              <w:top w:val="nil"/>
              <w:left w:val="nil"/>
              <w:bottom w:val="nil"/>
            </w:tcBorders>
          </w:tcPr>
          <w:p w:rsidR="00803D84" w:rsidRPr="00F57586" w:rsidRDefault="00803D84" w:rsidP="00A63E8E">
            <w:pPr>
              <w:spacing w:line="480" w:lineRule="auto"/>
              <w:rPr>
                <w:rFonts w:ascii="Arial" w:hAnsi="Arial" w:cs="Arial"/>
                <w:b/>
              </w:rPr>
            </w:pPr>
          </w:p>
        </w:tc>
        <w:tc>
          <w:tcPr>
            <w:tcW w:w="1134" w:type="dxa"/>
            <w:tcBorders>
              <w:bottom w:val="single" w:sz="4" w:space="0" w:color="auto"/>
            </w:tcBorders>
            <w:shd w:val="clear" w:color="auto" w:fill="auto"/>
          </w:tcPr>
          <w:p w:rsidR="00803D84" w:rsidRPr="00F57586" w:rsidRDefault="00803D84" w:rsidP="00A63E8E">
            <w:pPr>
              <w:spacing w:line="480" w:lineRule="auto"/>
              <w:jc w:val="center"/>
              <w:rPr>
                <w:rFonts w:ascii="Arial" w:hAnsi="Arial" w:cs="Arial"/>
                <w:b/>
              </w:rPr>
            </w:pPr>
            <w:r w:rsidRPr="00D52473">
              <w:rPr>
                <w:rFonts w:ascii="Arial" w:hAnsi="Arial" w:cs="Arial"/>
                <w:b/>
              </w:rPr>
              <w:t>N</w:t>
            </w:r>
          </w:p>
        </w:tc>
        <w:tc>
          <w:tcPr>
            <w:tcW w:w="1134" w:type="dxa"/>
            <w:tcBorders>
              <w:bottom w:val="single" w:sz="4" w:space="0" w:color="auto"/>
            </w:tcBorders>
          </w:tcPr>
          <w:p w:rsidR="00803D84" w:rsidRPr="00F57586" w:rsidRDefault="00803D84" w:rsidP="00A63E8E">
            <w:pPr>
              <w:spacing w:line="480" w:lineRule="auto"/>
              <w:jc w:val="center"/>
              <w:rPr>
                <w:rFonts w:ascii="Arial" w:hAnsi="Arial" w:cs="Arial"/>
                <w:b/>
              </w:rPr>
            </w:pPr>
            <w:r w:rsidRPr="00F57586">
              <w:rPr>
                <w:rFonts w:ascii="Arial" w:hAnsi="Arial" w:cs="Arial"/>
                <w:b/>
              </w:rPr>
              <w:t>%</w:t>
            </w:r>
          </w:p>
        </w:tc>
        <w:tc>
          <w:tcPr>
            <w:tcW w:w="1134" w:type="dxa"/>
            <w:tcBorders>
              <w:bottom w:val="single" w:sz="4" w:space="0" w:color="auto"/>
            </w:tcBorders>
          </w:tcPr>
          <w:p w:rsidR="00803D84" w:rsidRPr="00F57586" w:rsidRDefault="00803D84" w:rsidP="00A63E8E">
            <w:pPr>
              <w:spacing w:line="480" w:lineRule="auto"/>
              <w:jc w:val="center"/>
              <w:rPr>
                <w:rFonts w:ascii="Arial" w:hAnsi="Arial" w:cs="Arial"/>
                <w:b/>
              </w:rPr>
            </w:pPr>
            <w:r>
              <w:rPr>
                <w:rFonts w:ascii="Arial" w:hAnsi="Arial" w:cs="Arial"/>
                <w:b/>
              </w:rPr>
              <w:t>N</w:t>
            </w:r>
          </w:p>
        </w:tc>
        <w:tc>
          <w:tcPr>
            <w:tcW w:w="1134" w:type="dxa"/>
            <w:tcBorders>
              <w:bottom w:val="single" w:sz="4" w:space="0" w:color="auto"/>
            </w:tcBorders>
          </w:tcPr>
          <w:p w:rsidR="00803D84" w:rsidRPr="00F57586" w:rsidRDefault="00803D84" w:rsidP="00A63E8E">
            <w:pPr>
              <w:spacing w:line="480" w:lineRule="auto"/>
              <w:jc w:val="center"/>
              <w:rPr>
                <w:rFonts w:ascii="Arial" w:hAnsi="Arial" w:cs="Arial"/>
                <w:b/>
              </w:rPr>
            </w:pPr>
            <w:r w:rsidRPr="00F57586">
              <w:rPr>
                <w:rFonts w:ascii="Arial" w:hAnsi="Arial" w:cs="Arial"/>
                <w:b/>
              </w:rPr>
              <w:t>%</w:t>
            </w:r>
          </w:p>
        </w:tc>
        <w:tc>
          <w:tcPr>
            <w:tcW w:w="993" w:type="dxa"/>
            <w:tcBorders>
              <w:bottom w:val="single" w:sz="4" w:space="0" w:color="auto"/>
            </w:tcBorders>
          </w:tcPr>
          <w:p w:rsidR="00803D84" w:rsidRPr="00F57586" w:rsidRDefault="00803D84" w:rsidP="00A63E8E">
            <w:pPr>
              <w:spacing w:line="480" w:lineRule="auto"/>
              <w:jc w:val="center"/>
              <w:rPr>
                <w:rFonts w:ascii="Arial" w:hAnsi="Arial" w:cs="Arial"/>
                <w:b/>
              </w:rPr>
            </w:pPr>
            <w:r w:rsidRPr="00F57586">
              <w:rPr>
                <w:rFonts w:ascii="Arial" w:hAnsi="Arial" w:cs="Arial"/>
                <w:b/>
              </w:rPr>
              <w:t>N</w:t>
            </w:r>
          </w:p>
        </w:tc>
        <w:tc>
          <w:tcPr>
            <w:tcW w:w="992" w:type="dxa"/>
            <w:tcBorders>
              <w:bottom w:val="single" w:sz="4" w:space="0" w:color="auto"/>
            </w:tcBorders>
          </w:tcPr>
          <w:p w:rsidR="00803D84" w:rsidRPr="00F57586" w:rsidRDefault="00803D84" w:rsidP="00A63E8E">
            <w:pPr>
              <w:spacing w:line="480" w:lineRule="auto"/>
              <w:jc w:val="center"/>
              <w:rPr>
                <w:rFonts w:ascii="Arial" w:hAnsi="Arial" w:cs="Arial"/>
                <w:b/>
              </w:rPr>
            </w:pPr>
            <w:r w:rsidRPr="00F57586">
              <w:rPr>
                <w:rFonts w:ascii="Arial" w:hAnsi="Arial" w:cs="Arial"/>
                <w:b/>
              </w:rPr>
              <w:t>%</w:t>
            </w:r>
          </w:p>
        </w:tc>
        <w:tc>
          <w:tcPr>
            <w:tcW w:w="992" w:type="dxa"/>
            <w:tcBorders>
              <w:bottom w:val="single" w:sz="4" w:space="0" w:color="auto"/>
            </w:tcBorders>
          </w:tcPr>
          <w:p w:rsidR="00803D84" w:rsidRPr="00F57586" w:rsidRDefault="00803D84" w:rsidP="00A63E8E">
            <w:pPr>
              <w:spacing w:line="480" w:lineRule="auto"/>
              <w:jc w:val="center"/>
              <w:rPr>
                <w:rFonts w:ascii="Arial" w:hAnsi="Arial" w:cs="Arial"/>
                <w:b/>
              </w:rPr>
            </w:pPr>
            <w:r w:rsidRPr="00F57586">
              <w:rPr>
                <w:rFonts w:ascii="Arial" w:hAnsi="Arial" w:cs="Arial"/>
                <w:b/>
              </w:rPr>
              <w:t>N</w:t>
            </w:r>
          </w:p>
        </w:tc>
        <w:tc>
          <w:tcPr>
            <w:tcW w:w="1168" w:type="dxa"/>
            <w:tcBorders>
              <w:bottom w:val="single" w:sz="4" w:space="0" w:color="auto"/>
            </w:tcBorders>
          </w:tcPr>
          <w:p w:rsidR="00803D84" w:rsidRPr="00F57586" w:rsidRDefault="00803D84" w:rsidP="00A63E8E">
            <w:pPr>
              <w:spacing w:line="480" w:lineRule="auto"/>
              <w:jc w:val="center"/>
              <w:rPr>
                <w:rFonts w:ascii="Arial" w:hAnsi="Arial" w:cs="Arial"/>
                <w:b/>
              </w:rPr>
            </w:pPr>
            <w:r w:rsidRPr="00F57586">
              <w:rPr>
                <w:rFonts w:ascii="Arial" w:hAnsi="Arial" w:cs="Arial"/>
                <w:b/>
              </w:rPr>
              <w:t>%</w:t>
            </w:r>
          </w:p>
        </w:tc>
      </w:tr>
      <w:tr w:rsidR="00803D84" w:rsidRPr="00680FC7" w:rsidTr="008F1F99">
        <w:tc>
          <w:tcPr>
            <w:tcW w:w="2943" w:type="dxa"/>
            <w:tcBorders>
              <w:bottom w:val="single" w:sz="4" w:space="0" w:color="auto"/>
              <w:right w:val="nil"/>
            </w:tcBorders>
            <w:shd w:val="clear" w:color="auto" w:fill="DDD9C3" w:themeFill="background2" w:themeFillShade="E6"/>
          </w:tcPr>
          <w:p w:rsidR="00803D84" w:rsidRPr="00F57586" w:rsidRDefault="00803D84" w:rsidP="00A63E8E">
            <w:pPr>
              <w:spacing w:line="480" w:lineRule="auto"/>
              <w:rPr>
                <w:rFonts w:ascii="Arial" w:hAnsi="Arial" w:cs="Arial"/>
                <w:b/>
              </w:rPr>
            </w:pPr>
            <w:r w:rsidRPr="00F57586">
              <w:rPr>
                <w:rFonts w:ascii="Arial" w:hAnsi="Arial" w:cs="Arial"/>
                <w:b/>
              </w:rPr>
              <w:t>Summary of surgeries</w:t>
            </w:r>
          </w:p>
        </w:tc>
        <w:tc>
          <w:tcPr>
            <w:tcW w:w="1134" w:type="dxa"/>
            <w:tcBorders>
              <w:left w:val="nil"/>
              <w:bottom w:val="single" w:sz="4" w:space="0" w:color="auto"/>
              <w:right w:val="nil"/>
            </w:tcBorders>
            <w:shd w:val="clear" w:color="auto" w:fill="DDD9C3" w:themeFill="background2" w:themeFillShade="E6"/>
          </w:tcPr>
          <w:p w:rsidR="00803D84" w:rsidRPr="00F57586" w:rsidRDefault="00803D84" w:rsidP="00A63E8E">
            <w:pPr>
              <w:spacing w:line="480" w:lineRule="auto"/>
              <w:jc w:val="center"/>
              <w:rPr>
                <w:rFonts w:ascii="Arial" w:hAnsi="Arial" w:cs="Arial"/>
                <w:b/>
              </w:rPr>
            </w:pPr>
          </w:p>
        </w:tc>
        <w:tc>
          <w:tcPr>
            <w:tcW w:w="1134" w:type="dxa"/>
            <w:tcBorders>
              <w:left w:val="nil"/>
              <w:bottom w:val="single" w:sz="4" w:space="0" w:color="auto"/>
              <w:right w:val="nil"/>
            </w:tcBorders>
            <w:shd w:val="clear" w:color="auto" w:fill="DDD9C3" w:themeFill="background2" w:themeFillShade="E6"/>
          </w:tcPr>
          <w:p w:rsidR="00803D84" w:rsidRPr="00F57586" w:rsidRDefault="00803D84" w:rsidP="00A63E8E">
            <w:pPr>
              <w:spacing w:line="480" w:lineRule="auto"/>
              <w:jc w:val="center"/>
              <w:rPr>
                <w:rFonts w:ascii="Arial" w:hAnsi="Arial" w:cs="Arial"/>
                <w:b/>
              </w:rPr>
            </w:pPr>
          </w:p>
        </w:tc>
        <w:tc>
          <w:tcPr>
            <w:tcW w:w="1134" w:type="dxa"/>
            <w:tcBorders>
              <w:left w:val="nil"/>
              <w:bottom w:val="single" w:sz="4" w:space="0" w:color="auto"/>
              <w:right w:val="nil"/>
            </w:tcBorders>
            <w:shd w:val="clear" w:color="auto" w:fill="DDD9C3" w:themeFill="background2" w:themeFillShade="E6"/>
          </w:tcPr>
          <w:p w:rsidR="00803D84" w:rsidRPr="00F57586" w:rsidRDefault="00803D84" w:rsidP="00A63E8E">
            <w:pPr>
              <w:spacing w:line="480" w:lineRule="auto"/>
              <w:jc w:val="center"/>
              <w:rPr>
                <w:rFonts w:ascii="Arial" w:hAnsi="Arial" w:cs="Arial"/>
                <w:b/>
              </w:rPr>
            </w:pPr>
          </w:p>
        </w:tc>
        <w:tc>
          <w:tcPr>
            <w:tcW w:w="1134" w:type="dxa"/>
            <w:tcBorders>
              <w:left w:val="nil"/>
              <w:bottom w:val="single" w:sz="4" w:space="0" w:color="auto"/>
              <w:right w:val="nil"/>
            </w:tcBorders>
            <w:shd w:val="clear" w:color="auto" w:fill="DDD9C3" w:themeFill="background2" w:themeFillShade="E6"/>
          </w:tcPr>
          <w:p w:rsidR="00803D84" w:rsidRPr="00F57586" w:rsidRDefault="00803D84" w:rsidP="00A63E8E">
            <w:pPr>
              <w:spacing w:line="480" w:lineRule="auto"/>
              <w:jc w:val="center"/>
              <w:rPr>
                <w:rFonts w:ascii="Arial" w:hAnsi="Arial" w:cs="Arial"/>
                <w:b/>
              </w:rPr>
            </w:pPr>
          </w:p>
        </w:tc>
        <w:tc>
          <w:tcPr>
            <w:tcW w:w="993" w:type="dxa"/>
            <w:tcBorders>
              <w:left w:val="nil"/>
              <w:bottom w:val="single" w:sz="4" w:space="0" w:color="auto"/>
              <w:right w:val="nil"/>
            </w:tcBorders>
            <w:shd w:val="clear" w:color="auto" w:fill="DDD9C3" w:themeFill="background2" w:themeFillShade="E6"/>
          </w:tcPr>
          <w:p w:rsidR="00803D84" w:rsidRPr="00F57586" w:rsidRDefault="00803D84" w:rsidP="00A63E8E">
            <w:pPr>
              <w:spacing w:line="480" w:lineRule="auto"/>
              <w:jc w:val="center"/>
              <w:rPr>
                <w:rFonts w:ascii="Arial" w:hAnsi="Arial" w:cs="Arial"/>
                <w:b/>
              </w:rPr>
            </w:pPr>
          </w:p>
        </w:tc>
        <w:tc>
          <w:tcPr>
            <w:tcW w:w="992" w:type="dxa"/>
            <w:tcBorders>
              <w:left w:val="nil"/>
              <w:bottom w:val="single" w:sz="4" w:space="0" w:color="auto"/>
              <w:right w:val="nil"/>
            </w:tcBorders>
            <w:shd w:val="clear" w:color="auto" w:fill="DDD9C3" w:themeFill="background2" w:themeFillShade="E6"/>
          </w:tcPr>
          <w:p w:rsidR="00803D84" w:rsidRPr="00F57586" w:rsidRDefault="00803D84" w:rsidP="00A63E8E">
            <w:pPr>
              <w:spacing w:line="480" w:lineRule="auto"/>
              <w:jc w:val="center"/>
              <w:rPr>
                <w:rFonts w:ascii="Arial" w:hAnsi="Arial" w:cs="Arial"/>
                <w:b/>
              </w:rPr>
            </w:pPr>
          </w:p>
        </w:tc>
        <w:tc>
          <w:tcPr>
            <w:tcW w:w="992" w:type="dxa"/>
            <w:tcBorders>
              <w:left w:val="nil"/>
              <w:bottom w:val="single" w:sz="4" w:space="0" w:color="auto"/>
              <w:right w:val="nil"/>
            </w:tcBorders>
            <w:shd w:val="clear" w:color="auto" w:fill="DDD9C3" w:themeFill="background2" w:themeFillShade="E6"/>
          </w:tcPr>
          <w:p w:rsidR="00803D84" w:rsidRPr="00F57586" w:rsidRDefault="00803D84" w:rsidP="00A63E8E">
            <w:pPr>
              <w:spacing w:line="480" w:lineRule="auto"/>
              <w:jc w:val="center"/>
              <w:rPr>
                <w:rFonts w:ascii="Arial" w:hAnsi="Arial" w:cs="Arial"/>
                <w:b/>
              </w:rPr>
            </w:pPr>
          </w:p>
        </w:tc>
        <w:tc>
          <w:tcPr>
            <w:tcW w:w="1168" w:type="dxa"/>
            <w:tcBorders>
              <w:left w:val="nil"/>
              <w:bottom w:val="single" w:sz="4" w:space="0" w:color="auto"/>
              <w:right w:val="single" w:sz="4" w:space="0" w:color="auto"/>
            </w:tcBorders>
            <w:shd w:val="clear" w:color="auto" w:fill="DDD9C3" w:themeFill="background2" w:themeFillShade="E6"/>
          </w:tcPr>
          <w:p w:rsidR="00803D84" w:rsidRPr="00F57586" w:rsidRDefault="00803D84" w:rsidP="00A63E8E">
            <w:pPr>
              <w:spacing w:line="480" w:lineRule="auto"/>
              <w:jc w:val="center"/>
              <w:rPr>
                <w:rFonts w:ascii="Arial" w:hAnsi="Arial" w:cs="Arial"/>
                <w:b/>
              </w:rPr>
            </w:pPr>
          </w:p>
        </w:tc>
      </w:tr>
      <w:tr w:rsidR="00803D84" w:rsidRPr="00680FC7" w:rsidTr="000F0C69">
        <w:tc>
          <w:tcPr>
            <w:tcW w:w="2943" w:type="dxa"/>
            <w:tcBorders>
              <w:bottom w:val="nil"/>
            </w:tcBorders>
          </w:tcPr>
          <w:p w:rsidR="00803D84" w:rsidRPr="00F57586" w:rsidRDefault="00803D84" w:rsidP="00A63E8E">
            <w:pPr>
              <w:spacing w:line="480" w:lineRule="auto"/>
              <w:rPr>
                <w:rFonts w:ascii="Arial" w:hAnsi="Arial" w:cs="Arial"/>
              </w:rPr>
            </w:pPr>
            <w:r w:rsidRPr="00F57586">
              <w:rPr>
                <w:rFonts w:ascii="Arial" w:hAnsi="Arial" w:cs="Arial"/>
              </w:rPr>
              <w:t>Randomised</w:t>
            </w:r>
          </w:p>
        </w:tc>
        <w:tc>
          <w:tcPr>
            <w:tcW w:w="1134" w:type="dxa"/>
            <w:tcBorders>
              <w:bottom w:val="nil"/>
            </w:tcBorders>
            <w:shd w:val="clear" w:color="auto" w:fill="auto"/>
          </w:tcPr>
          <w:p w:rsidR="00803D84" w:rsidRPr="00F57586" w:rsidRDefault="00803D84" w:rsidP="00A63E8E">
            <w:pPr>
              <w:spacing w:line="480" w:lineRule="auto"/>
              <w:jc w:val="center"/>
              <w:rPr>
                <w:rFonts w:ascii="Arial" w:hAnsi="Arial" w:cs="Arial"/>
              </w:rPr>
            </w:pPr>
            <w:r w:rsidRPr="00F57586">
              <w:rPr>
                <w:rFonts w:ascii="Arial" w:hAnsi="Arial" w:cs="Arial"/>
                <w:color w:val="000000"/>
              </w:rPr>
              <w:t>536</w:t>
            </w:r>
          </w:p>
        </w:tc>
        <w:tc>
          <w:tcPr>
            <w:tcW w:w="1134" w:type="dxa"/>
            <w:tcBorders>
              <w:bottom w:val="nil"/>
            </w:tcBorders>
          </w:tcPr>
          <w:p w:rsidR="00803D84" w:rsidRPr="00F57586" w:rsidRDefault="00803D84" w:rsidP="00A63E8E">
            <w:pPr>
              <w:spacing w:line="480" w:lineRule="auto"/>
              <w:jc w:val="center"/>
              <w:rPr>
                <w:rFonts w:ascii="Arial" w:hAnsi="Arial" w:cs="Arial"/>
              </w:rPr>
            </w:pPr>
          </w:p>
        </w:tc>
        <w:tc>
          <w:tcPr>
            <w:tcW w:w="1134" w:type="dxa"/>
            <w:tcBorders>
              <w:bottom w:val="nil"/>
            </w:tcBorders>
          </w:tcPr>
          <w:p w:rsidR="00803D84" w:rsidRPr="00F57586" w:rsidRDefault="00803D84" w:rsidP="00A63E8E">
            <w:pPr>
              <w:spacing w:line="480" w:lineRule="auto"/>
              <w:jc w:val="center"/>
              <w:rPr>
                <w:rFonts w:ascii="Arial" w:hAnsi="Arial" w:cs="Arial"/>
              </w:rPr>
            </w:pPr>
            <w:r w:rsidRPr="00F57586">
              <w:rPr>
                <w:rFonts w:ascii="Arial" w:hAnsi="Arial" w:cs="Arial"/>
                <w:color w:val="000000"/>
              </w:rPr>
              <w:t>538</w:t>
            </w:r>
          </w:p>
        </w:tc>
        <w:tc>
          <w:tcPr>
            <w:tcW w:w="1134" w:type="dxa"/>
            <w:tcBorders>
              <w:bottom w:val="nil"/>
            </w:tcBorders>
          </w:tcPr>
          <w:p w:rsidR="00803D84" w:rsidRPr="00F57586" w:rsidRDefault="00803D84" w:rsidP="00A63E8E">
            <w:pPr>
              <w:spacing w:line="480" w:lineRule="auto"/>
              <w:jc w:val="center"/>
              <w:rPr>
                <w:rFonts w:ascii="Arial" w:hAnsi="Arial" w:cs="Arial"/>
              </w:rPr>
            </w:pPr>
          </w:p>
        </w:tc>
        <w:tc>
          <w:tcPr>
            <w:tcW w:w="993" w:type="dxa"/>
            <w:tcBorders>
              <w:bottom w:val="nil"/>
            </w:tcBorders>
          </w:tcPr>
          <w:p w:rsidR="00803D84" w:rsidRPr="00F57586" w:rsidRDefault="00803D84" w:rsidP="00A63E8E">
            <w:pPr>
              <w:spacing w:line="480" w:lineRule="auto"/>
              <w:jc w:val="center"/>
              <w:rPr>
                <w:rFonts w:ascii="Arial" w:hAnsi="Arial" w:cs="Arial"/>
              </w:rPr>
            </w:pPr>
            <w:r w:rsidRPr="00F57586">
              <w:rPr>
                <w:rFonts w:ascii="Arial" w:hAnsi="Arial" w:cs="Arial"/>
                <w:color w:val="000000"/>
              </w:rPr>
              <w:t>531</w:t>
            </w:r>
          </w:p>
        </w:tc>
        <w:tc>
          <w:tcPr>
            <w:tcW w:w="992" w:type="dxa"/>
            <w:tcBorders>
              <w:bottom w:val="nil"/>
            </w:tcBorders>
          </w:tcPr>
          <w:p w:rsidR="00803D84" w:rsidRPr="00F57586" w:rsidRDefault="00803D84" w:rsidP="00A63E8E">
            <w:pPr>
              <w:spacing w:line="480" w:lineRule="auto"/>
              <w:jc w:val="center"/>
              <w:rPr>
                <w:rFonts w:ascii="Arial" w:hAnsi="Arial" w:cs="Arial"/>
              </w:rPr>
            </w:pPr>
          </w:p>
        </w:tc>
        <w:tc>
          <w:tcPr>
            <w:tcW w:w="992" w:type="dxa"/>
            <w:tcBorders>
              <w:bottom w:val="nil"/>
            </w:tcBorders>
          </w:tcPr>
          <w:p w:rsidR="00803D84" w:rsidRPr="00F57586" w:rsidRDefault="00803D84" w:rsidP="00A63E8E">
            <w:pPr>
              <w:spacing w:line="480" w:lineRule="auto"/>
              <w:jc w:val="center"/>
              <w:rPr>
                <w:rFonts w:ascii="Arial" w:hAnsi="Arial" w:cs="Arial"/>
              </w:rPr>
            </w:pPr>
            <w:r w:rsidRPr="00F57586">
              <w:rPr>
                <w:rFonts w:ascii="Arial" w:hAnsi="Arial" w:cs="Arial"/>
                <w:color w:val="000000"/>
              </w:rPr>
              <w:t>1605</w:t>
            </w:r>
          </w:p>
        </w:tc>
        <w:tc>
          <w:tcPr>
            <w:tcW w:w="1168" w:type="dxa"/>
            <w:tcBorders>
              <w:bottom w:val="nil"/>
            </w:tcBorders>
          </w:tcPr>
          <w:p w:rsidR="00803D84" w:rsidRPr="00F57586" w:rsidRDefault="00803D84" w:rsidP="00A63E8E">
            <w:pPr>
              <w:spacing w:line="480" w:lineRule="auto"/>
              <w:jc w:val="center"/>
              <w:rPr>
                <w:rFonts w:ascii="Arial" w:hAnsi="Arial" w:cs="Arial"/>
              </w:rPr>
            </w:pPr>
          </w:p>
        </w:tc>
      </w:tr>
      <w:tr w:rsidR="00803D84" w:rsidRPr="00680FC7" w:rsidTr="000F0C69">
        <w:tc>
          <w:tcPr>
            <w:tcW w:w="2943" w:type="dxa"/>
            <w:tcBorders>
              <w:top w:val="nil"/>
              <w:bottom w:val="nil"/>
            </w:tcBorders>
          </w:tcPr>
          <w:p w:rsidR="00803D84" w:rsidRPr="00F57586" w:rsidRDefault="00803D84" w:rsidP="00A63E8E">
            <w:pPr>
              <w:spacing w:line="480" w:lineRule="auto"/>
              <w:rPr>
                <w:rFonts w:ascii="Arial" w:hAnsi="Arial" w:cs="Arial"/>
                <w:color w:val="000000"/>
                <w:vertAlign w:val="superscript"/>
              </w:rPr>
            </w:pPr>
            <w:r>
              <w:rPr>
                <w:rFonts w:ascii="Arial" w:hAnsi="Arial" w:cs="Arial"/>
                <w:color w:val="000000"/>
              </w:rPr>
              <w:t xml:space="preserve">Eligible for primary outcome </w:t>
            </w:r>
            <w:r>
              <w:rPr>
                <w:rFonts w:ascii="Arial" w:hAnsi="Arial" w:cs="Arial"/>
                <w:color w:val="000000"/>
                <w:vertAlign w:val="superscript"/>
              </w:rPr>
              <w:t>(1)</w:t>
            </w:r>
          </w:p>
        </w:tc>
        <w:tc>
          <w:tcPr>
            <w:tcW w:w="1134" w:type="dxa"/>
            <w:tcBorders>
              <w:top w:val="nil"/>
              <w:bottom w:val="nil"/>
            </w:tcBorders>
            <w:shd w:val="clear" w:color="auto" w:fill="auto"/>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533</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99·</w:t>
            </w:r>
            <w:r w:rsidRPr="00F57586">
              <w:rPr>
                <w:rFonts w:ascii="Arial" w:hAnsi="Arial" w:cs="Arial"/>
                <w:color w:val="000000"/>
              </w:rPr>
              <w:t>4</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535</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99·</w:t>
            </w:r>
            <w:r w:rsidRPr="00F57586">
              <w:rPr>
                <w:rFonts w:ascii="Arial" w:hAnsi="Arial" w:cs="Arial"/>
                <w:color w:val="000000"/>
              </w:rPr>
              <w:t>8</w:t>
            </w:r>
          </w:p>
        </w:tc>
        <w:tc>
          <w:tcPr>
            <w:tcW w:w="993"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526</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99·</w:t>
            </w:r>
            <w:r w:rsidRPr="00F57586">
              <w:rPr>
                <w:rFonts w:ascii="Arial" w:hAnsi="Arial" w:cs="Arial"/>
                <w:color w:val="000000"/>
              </w:rPr>
              <w:t>4</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1594</w:t>
            </w:r>
          </w:p>
        </w:tc>
        <w:tc>
          <w:tcPr>
            <w:tcW w:w="1168"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99·</w:t>
            </w:r>
            <w:r w:rsidRPr="00F57586">
              <w:rPr>
                <w:rFonts w:ascii="Arial" w:hAnsi="Arial" w:cs="Arial"/>
                <w:color w:val="000000"/>
              </w:rPr>
              <w:t>6</w:t>
            </w:r>
          </w:p>
        </w:tc>
      </w:tr>
      <w:tr w:rsidR="00803D84" w:rsidRPr="00680FC7" w:rsidTr="000F0C69">
        <w:tc>
          <w:tcPr>
            <w:tcW w:w="2943" w:type="dxa"/>
            <w:tcBorders>
              <w:top w:val="nil"/>
              <w:bottom w:val="nil"/>
            </w:tcBorders>
          </w:tcPr>
          <w:p w:rsidR="00803D84" w:rsidRPr="00F57586" w:rsidRDefault="00803D84" w:rsidP="005B3425">
            <w:pPr>
              <w:spacing w:line="480" w:lineRule="auto"/>
              <w:rPr>
                <w:rFonts w:ascii="Arial" w:hAnsi="Arial" w:cs="Arial"/>
                <w:color w:val="000000"/>
              </w:rPr>
            </w:pPr>
            <w:r>
              <w:rPr>
                <w:rFonts w:ascii="Arial" w:hAnsi="Arial" w:cs="Arial"/>
                <w:color w:val="000000"/>
              </w:rPr>
              <w:t xml:space="preserve">   </w:t>
            </w:r>
            <w:r w:rsidRPr="00F57586">
              <w:rPr>
                <w:rFonts w:ascii="Arial" w:hAnsi="Arial" w:cs="Arial"/>
                <w:color w:val="000000"/>
              </w:rPr>
              <w:t xml:space="preserve">No </w:t>
            </w:r>
            <w:r>
              <w:rPr>
                <w:rFonts w:ascii="Arial" w:hAnsi="Arial" w:cs="Arial"/>
                <w:color w:val="000000"/>
              </w:rPr>
              <w:t>shunt</w:t>
            </w:r>
            <w:r w:rsidRPr="00F57586">
              <w:rPr>
                <w:rFonts w:ascii="Arial" w:hAnsi="Arial" w:cs="Arial"/>
                <w:color w:val="000000"/>
              </w:rPr>
              <w:t xml:space="preserve"> removal/revision</w:t>
            </w:r>
          </w:p>
        </w:tc>
        <w:tc>
          <w:tcPr>
            <w:tcW w:w="1134" w:type="dxa"/>
            <w:tcBorders>
              <w:top w:val="nil"/>
              <w:bottom w:val="nil"/>
            </w:tcBorders>
            <w:shd w:val="clear" w:color="auto" w:fill="auto"/>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403</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75·</w:t>
            </w:r>
            <w:r w:rsidRPr="00F57586">
              <w:rPr>
                <w:rFonts w:ascii="Arial" w:hAnsi="Arial" w:cs="Arial"/>
                <w:color w:val="000000"/>
              </w:rPr>
              <w:t>6</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403</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75·</w:t>
            </w:r>
            <w:r w:rsidRPr="00F57586">
              <w:rPr>
                <w:rFonts w:ascii="Arial" w:hAnsi="Arial" w:cs="Arial"/>
                <w:color w:val="000000"/>
              </w:rPr>
              <w:t>3</w:t>
            </w:r>
          </w:p>
        </w:tc>
        <w:tc>
          <w:tcPr>
            <w:tcW w:w="993"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390</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74·</w:t>
            </w:r>
            <w:r w:rsidRPr="00F57586">
              <w:rPr>
                <w:rFonts w:ascii="Arial" w:hAnsi="Arial" w:cs="Arial"/>
                <w:color w:val="000000"/>
              </w:rPr>
              <w:t>1</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1196</w:t>
            </w:r>
          </w:p>
        </w:tc>
        <w:tc>
          <w:tcPr>
            <w:tcW w:w="1168"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75·</w:t>
            </w:r>
            <w:r w:rsidRPr="00F57586">
              <w:rPr>
                <w:rFonts w:ascii="Arial" w:hAnsi="Arial" w:cs="Arial"/>
                <w:color w:val="000000"/>
              </w:rPr>
              <w:t>0</w:t>
            </w:r>
          </w:p>
        </w:tc>
      </w:tr>
      <w:tr w:rsidR="00803D84" w:rsidRPr="00680FC7" w:rsidTr="000F0C69">
        <w:tc>
          <w:tcPr>
            <w:tcW w:w="2943" w:type="dxa"/>
            <w:tcBorders>
              <w:top w:val="nil"/>
              <w:bottom w:val="single" w:sz="4" w:space="0" w:color="auto"/>
            </w:tcBorders>
          </w:tcPr>
          <w:p w:rsidR="00803D84" w:rsidRPr="00F57586" w:rsidRDefault="00803D84" w:rsidP="005B3425">
            <w:pPr>
              <w:spacing w:line="480" w:lineRule="auto"/>
              <w:rPr>
                <w:rFonts w:ascii="Arial" w:hAnsi="Arial" w:cs="Arial"/>
                <w:color w:val="000000"/>
              </w:rPr>
            </w:pPr>
            <w:r>
              <w:rPr>
                <w:rFonts w:ascii="Arial" w:hAnsi="Arial" w:cs="Arial"/>
                <w:color w:val="000000"/>
              </w:rPr>
              <w:t xml:space="preserve">   Shunt</w:t>
            </w:r>
            <w:r w:rsidRPr="00F57586">
              <w:rPr>
                <w:rFonts w:ascii="Arial" w:hAnsi="Arial" w:cs="Arial"/>
                <w:color w:val="000000"/>
              </w:rPr>
              <w:t xml:space="preserve"> removal/revision</w:t>
            </w:r>
            <w:r>
              <w:rPr>
                <w:rFonts w:ascii="Arial" w:hAnsi="Arial" w:cs="Arial"/>
                <w:color w:val="000000"/>
              </w:rPr>
              <w:t xml:space="preserve"> (for any cause)</w:t>
            </w:r>
          </w:p>
        </w:tc>
        <w:tc>
          <w:tcPr>
            <w:tcW w:w="1134" w:type="dxa"/>
            <w:tcBorders>
              <w:top w:val="nil"/>
              <w:bottom w:val="single" w:sz="4" w:space="0" w:color="auto"/>
            </w:tcBorders>
            <w:shd w:val="clear" w:color="auto" w:fill="auto"/>
          </w:tcPr>
          <w:p w:rsidR="00803D84" w:rsidRPr="00F57586" w:rsidRDefault="00803D84" w:rsidP="00A63E8E">
            <w:pPr>
              <w:spacing w:line="480" w:lineRule="auto"/>
              <w:jc w:val="center"/>
              <w:rPr>
                <w:rFonts w:ascii="Arial" w:hAnsi="Arial" w:cs="Arial"/>
                <w:color w:val="000000"/>
                <w:vertAlign w:val="superscript"/>
              </w:rPr>
            </w:pPr>
            <w:r w:rsidRPr="00F57586">
              <w:rPr>
                <w:rFonts w:ascii="Arial" w:hAnsi="Arial" w:cs="Arial"/>
                <w:color w:val="000000"/>
              </w:rPr>
              <w:t>130</w:t>
            </w:r>
          </w:p>
        </w:tc>
        <w:tc>
          <w:tcPr>
            <w:tcW w:w="1134"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24·</w:t>
            </w:r>
            <w:r w:rsidRPr="00F57586">
              <w:rPr>
                <w:rFonts w:ascii="Arial" w:hAnsi="Arial" w:cs="Arial"/>
                <w:color w:val="000000"/>
              </w:rPr>
              <w:t>4</w:t>
            </w:r>
          </w:p>
        </w:tc>
        <w:tc>
          <w:tcPr>
            <w:tcW w:w="1134"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132</w:t>
            </w:r>
          </w:p>
        </w:tc>
        <w:tc>
          <w:tcPr>
            <w:tcW w:w="1134"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24·</w:t>
            </w:r>
            <w:r w:rsidRPr="00F57586">
              <w:rPr>
                <w:rFonts w:ascii="Arial" w:hAnsi="Arial" w:cs="Arial"/>
                <w:color w:val="000000"/>
              </w:rPr>
              <w:t>7</w:t>
            </w:r>
          </w:p>
        </w:tc>
        <w:tc>
          <w:tcPr>
            <w:tcW w:w="993"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136</w:t>
            </w:r>
          </w:p>
        </w:tc>
        <w:tc>
          <w:tcPr>
            <w:tcW w:w="992"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25·</w:t>
            </w:r>
            <w:r w:rsidRPr="00F57586">
              <w:rPr>
                <w:rFonts w:ascii="Arial" w:hAnsi="Arial" w:cs="Arial"/>
                <w:color w:val="000000"/>
              </w:rPr>
              <w:t>9</w:t>
            </w:r>
          </w:p>
        </w:tc>
        <w:tc>
          <w:tcPr>
            <w:tcW w:w="992"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398</w:t>
            </w:r>
          </w:p>
        </w:tc>
        <w:tc>
          <w:tcPr>
            <w:tcW w:w="1168"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25·</w:t>
            </w:r>
            <w:r w:rsidRPr="00F57586">
              <w:rPr>
                <w:rFonts w:ascii="Arial" w:hAnsi="Arial" w:cs="Arial"/>
                <w:color w:val="000000"/>
              </w:rPr>
              <w:t>0</w:t>
            </w:r>
          </w:p>
        </w:tc>
      </w:tr>
      <w:tr w:rsidR="00803D84" w:rsidRPr="00680FC7" w:rsidTr="000F0C69">
        <w:tc>
          <w:tcPr>
            <w:tcW w:w="2943" w:type="dxa"/>
            <w:tcBorders>
              <w:left w:val="nil"/>
              <w:bottom w:val="single" w:sz="4" w:space="0" w:color="auto"/>
              <w:right w:val="nil"/>
            </w:tcBorders>
          </w:tcPr>
          <w:p w:rsidR="00803D84" w:rsidRPr="00F57586" w:rsidRDefault="00803D84" w:rsidP="00A63E8E">
            <w:pPr>
              <w:spacing w:line="480" w:lineRule="auto"/>
              <w:rPr>
                <w:rFonts w:ascii="Arial" w:hAnsi="Arial" w:cs="Arial"/>
              </w:rPr>
            </w:pPr>
          </w:p>
        </w:tc>
        <w:tc>
          <w:tcPr>
            <w:tcW w:w="1134" w:type="dxa"/>
            <w:tcBorders>
              <w:left w:val="nil"/>
              <w:bottom w:val="single" w:sz="4" w:space="0" w:color="auto"/>
              <w:right w:val="nil"/>
            </w:tcBorders>
            <w:shd w:val="clear" w:color="auto" w:fill="auto"/>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993" w:type="dxa"/>
            <w:tcBorders>
              <w:left w:val="nil"/>
              <w:right w:val="nil"/>
            </w:tcBorders>
          </w:tcPr>
          <w:p w:rsidR="00803D84" w:rsidRPr="00F57586" w:rsidRDefault="00803D84" w:rsidP="00A63E8E">
            <w:pPr>
              <w:spacing w:line="480" w:lineRule="auto"/>
              <w:jc w:val="center"/>
              <w:rPr>
                <w:rFonts w:ascii="Arial" w:hAnsi="Arial" w:cs="Arial"/>
              </w:rPr>
            </w:pPr>
          </w:p>
        </w:tc>
        <w:tc>
          <w:tcPr>
            <w:tcW w:w="992" w:type="dxa"/>
            <w:tcBorders>
              <w:left w:val="nil"/>
              <w:right w:val="nil"/>
            </w:tcBorders>
          </w:tcPr>
          <w:p w:rsidR="00803D84" w:rsidRPr="00F57586" w:rsidRDefault="00803D84" w:rsidP="00A63E8E">
            <w:pPr>
              <w:spacing w:line="480" w:lineRule="auto"/>
              <w:jc w:val="center"/>
              <w:rPr>
                <w:rFonts w:ascii="Arial" w:hAnsi="Arial" w:cs="Arial"/>
              </w:rPr>
            </w:pPr>
          </w:p>
        </w:tc>
        <w:tc>
          <w:tcPr>
            <w:tcW w:w="992" w:type="dxa"/>
            <w:tcBorders>
              <w:left w:val="nil"/>
              <w:right w:val="nil"/>
            </w:tcBorders>
          </w:tcPr>
          <w:p w:rsidR="00803D84" w:rsidRPr="00F57586" w:rsidRDefault="00803D84" w:rsidP="00A63E8E">
            <w:pPr>
              <w:spacing w:line="480" w:lineRule="auto"/>
              <w:jc w:val="center"/>
              <w:rPr>
                <w:rFonts w:ascii="Arial" w:hAnsi="Arial" w:cs="Arial"/>
              </w:rPr>
            </w:pPr>
          </w:p>
        </w:tc>
        <w:tc>
          <w:tcPr>
            <w:tcW w:w="1168"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r>
      <w:tr w:rsidR="00803D84" w:rsidRPr="00680FC7" w:rsidTr="008F1F99">
        <w:tc>
          <w:tcPr>
            <w:tcW w:w="7479" w:type="dxa"/>
            <w:gridSpan w:val="5"/>
            <w:tcBorders>
              <w:left w:val="single" w:sz="4" w:space="0" w:color="auto"/>
              <w:bottom w:val="single" w:sz="4" w:space="0" w:color="auto"/>
              <w:right w:val="nil"/>
            </w:tcBorders>
            <w:shd w:val="clear" w:color="auto" w:fill="DDD9C3" w:themeFill="background2" w:themeFillShade="E6"/>
          </w:tcPr>
          <w:p w:rsidR="00803D84" w:rsidRPr="00D52473" w:rsidRDefault="00803D84" w:rsidP="00A63E8E">
            <w:pPr>
              <w:spacing w:line="480" w:lineRule="auto"/>
              <w:rPr>
                <w:rFonts w:ascii="Arial" w:hAnsi="Arial" w:cs="Arial"/>
              </w:rPr>
            </w:pPr>
            <w:r>
              <w:rPr>
                <w:rFonts w:ascii="Arial" w:hAnsi="Arial" w:cs="Arial"/>
                <w:b/>
              </w:rPr>
              <w:t>Reason for revision as classified by central review</w:t>
            </w:r>
          </w:p>
        </w:tc>
        <w:tc>
          <w:tcPr>
            <w:tcW w:w="993" w:type="dxa"/>
            <w:tcBorders>
              <w:left w:val="nil"/>
              <w:right w:val="nil"/>
            </w:tcBorders>
            <w:shd w:val="clear" w:color="auto" w:fill="DDD9C3" w:themeFill="background2" w:themeFillShade="E6"/>
          </w:tcPr>
          <w:p w:rsidR="00803D84" w:rsidRPr="00D52473" w:rsidRDefault="00803D84" w:rsidP="00A63E8E">
            <w:pPr>
              <w:spacing w:line="480" w:lineRule="auto"/>
              <w:jc w:val="center"/>
              <w:rPr>
                <w:rFonts w:ascii="Arial" w:hAnsi="Arial" w:cs="Arial"/>
              </w:rPr>
            </w:pPr>
          </w:p>
        </w:tc>
        <w:tc>
          <w:tcPr>
            <w:tcW w:w="992" w:type="dxa"/>
            <w:tcBorders>
              <w:left w:val="nil"/>
              <w:right w:val="nil"/>
            </w:tcBorders>
            <w:shd w:val="clear" w:color="auto" w:fill="DDD9C3" w:themeFill="background2" w:themeFillShade="E6"/>
          </w:tcPr>
          <w:p w:rsidR="00803D84" w:rsidRPr="00D52473" w:rsidRDefault="00803D84" w:rsidP="00A63E8E">
            <w:pPr>
              <w:spacing w:line="480" w:lineRule="auto"/>
              <w:jc w:val="center"/>
              <w:rPr>
                <w:rFonts w:ascii="Arial" w:hAnsi="Arial" w:cs="Arial"/>
              </w:rPr>
            </w:pPr>
          </w:p>
        </w:tc>
        <w:tc>
          <w:tcPr>
            <w:tcW w:w="992" w:type="dxa"/>
            <w:tcBorders>
              <w:left w:val="nil"/>
              <w:right w:val="nil"/>
            </w:tcBorders>
            <w:shd w:val="clear" w:color="auto" w:fill="DDD9C3" w:themeFill="background2" w:themeFillShade="E6"/>
          </w:tcPr>
          <w:p w:rsidR="00803D84" w:rsidRPr="00D52473" w:rsidRDefault="00803D84" w:rsidP="00A63E8E">
            <w:pPr>
              <w:spacing w:line="480" w:lineRule="auto"/>
              <w:jc w:val="center"/>
              <w:rPr>
                <w:rFonts w:ascii="Arial" w:hAnsi="Arial" w:cs="Arial"/>
              </w:rPr>
            </w:pPr>
          </w:p>
        </w:tc>
        <w:tc>
          <w:tcPr>
            <w:tcW w:w="1168" w:type="dxa"/>
            <w:tcBorders>
              <w:left w:val="nil"/>
              <w:bottom w:val="single" w:sz="4" w:space="0" w:color="auto"/>
              <w:right w:val="single" w:sz="4" w:space="0" w:color="auto"/>
            </w:tcBorders>
            <w:shd w:val="clear" w:color="auto" w:fill="DDD9C3" w:themeFill="background2" w:themeFillShade="E6"/>
          </w:tcPr>
          <w:p w:rsidR="00803D84" w:rsidRPr="00D52473" w:rsidRDefault="00803D84" w:rsidP="00A63E8E">
            <w:pPr>
              <w:spacing w:line="480" w:lineRule="auto"/>
              <w:jc w:val="center"/>
              <w:rPr>
                <w:rFonts w:ascii="Arial" w:hAnsi="Arial" w:cs="Arial"/>
              </w:rPr>
            </w:pPr>
          </w:p>
        </w:tc>
      </w:tr>
      <w:tr w:rsidR="00803D84" w:rsidRPr="00680FC7" w:rsidTr="000F0C69">
        <w:tc>
          <w:tcPr>
            <w:tcW w:w="2943" w:type="dxa"/>
            <w:tcBorders>
              <w:bottom w:val="single" w:sz="4" w:space="0" w:color="auto"/>
              <w:right w:val="nil"/>
            </w:tcBorders>
          </w:tcPr>
          <w:p w:rsidR="00803D84" w:rsidRPr="00F57586" w:rsidRDefault="00803D84" w:rsidP="00A63E8E">
            <w:pPr>
              <w:spacing w:line="480" w:lineRule="auto"/>
              <w:rPr>
                <w:rFonts w:ascii="Arial" w:hAnsi="Arial" w:cs="Arial"/>
                <w:b/>
                <w:i/>
              </w:rPr>
            </w:pPr>
            <w:r>
              <w:rPr>
                <w:rFonts w:ascii="Arial" w:hAnsi="Arial" w:cs="Arial"/>
                <w:b/>
                <w:i/>
              </w:rPr>
              <w:t>Reason for revision</w:t>
            </w:r>
          </w:p>
        </w:tc>
        <w:tc>
          <w:tcPr>
            <w:tcW w:w="1134" w:type="dxa"/>
            <w:tcBorders>
              <w:left w:val="nil"/>
              <w:bottom w:val="single" w:sz="4" w:space="0" w:color="auto"/>
              <w:right w:val="nil"/>
            </w:tcBorders>
            <w:shd w:val="clear" w:color="auto" w:fill="auto"/>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993"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992"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992"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68" w:type="dxa"/>
            <w:tcBorders>
              <w:left w:val="nil"/>
              <w:bottom w:val="single" w:sz="4" w:space="0" w:color="auto"/>
              <w:right w:val="single" w:sz="4" w:space="0" w:color="auto"/>
            </w:tcBorders>
          </w:tcPr>
          <w:p w:rsidR="00803D84" w:rsidRPr="00F57586" w:rsidRDefault="00803D84" w:rsidP="00A63E8E">
            <w:pPr>
              <w:spacing w:line="480" w:lineRule="auto"/>
              <w:jc w:val="center"/>
              <w:rPr>
                <w:rFonts w:ascii="Arial" w:hAnsi="Arial" w:cs="Arial"/>
              </w:rPr>
            </w:pPr>
          </w:p>
        </w:tc>
      </w:tr>
      <w:tr w:rsidR="00803D84" w:rsidRPr="00680FC7" w:rsidTr="000F0C69">
        <w:tc>
          <w:tcPr>
            <w:tcW w:w="2943" w:type="dxa"/>
            <w:tcBorders>
              <w:bottom w:val="nil"/>
            </w:tcBorders>
          </w:tcPr>
          <w:p w:rsidR="00803D84" w:rsidRPr="00F57586" w:rsidRDefault="00803D84" w:rsidP="00A63E8E">
            <w:pPr>
              <w:spacing w:line="480" w:lineRule="auto"/>
              <w:rPr>
                <w:rFonts w:ascii="Arial" w:hAnsi="Arial" w:cs="Arial"/>
                <w:color w:val="000000"/>
              </w:rPr>
            </w:pPr>
            <w:r>
              <w:rPr>
                <w:rFonts w:ascii="Arial" w:hAnsi="Arial" w:cs="Arial"/>
                <w:color w:val="000000"/>
              </w:rPr>
              <w:t xml:space="preserve">   Revision for</w:t>
            </w:r>
            <w:r w:rsidRPr="00F57586">
              <w:rPr>
                <w:rFonts w:ascii="Arial" w:hAnsi="Arial" w:cs="Arial"/>
                <w:color w:val="000000"/>
              </w:rPr>
              <w:t xml:space="preserve"> infection</w:t>
            </w:r>
          </w:p>
        </w:tc>
        <w:tc>
          <w:tcPr>
            <w:tcW w:w="1134" w:type="dxa"/>
            <w:tcBorders>
              <w:bottom w:val="nil"/>
            </w:tcBorders>
            <w:shd w:val="clear" w:color="auto" w:fill="auto"/>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32</w:t>
            </w:r>
          </w:p>
        </w:tc>
        <w:tc>
          <w:tcPr>
            <w:tcW w:w="1134" w:type="dxa"/>
            <w:tcBorders>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6·</w:t>
            </w:r>
            <w:r w:rsidRPr="00F57586">
              <w:rPr>
                <w:rFonts w:ascii="Arial" w:hAnsi="Arial" w:cs="Arial"/>
                <w:color w:val="000000"/>
              </w:rPr>
              <w:t>0</w:t>
            </w:r>
          </w:p>
        </w:tc>
        <w:tc>
          <w:tcPr>
            <w:tcW w:w="1134" w:type="dxa"/>
            <w:tcBorders>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12</w:t>
            </w:r>
          </w:p>
        </w:tc>
        <w:tc>
          <w:tcPr>
            <w:tcW w:w="1134" w:type="dxa"/>
            <w:tcBorders>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w:t>
            </w:r>
            <w:r w:rsidRPr="00F57586">
              <w:rPr>
                <w:rFonts w:ascii="Arial" w:hAnsi="Arial" w:cs="Arial"/>
                <w:color w:val="000000"/>
              </w:rPr>
              <w:t>2</w:t>
            </w:r>
          </w:p>
        </w:tc>
        <w:tc>
          <w:tcPr>
            <w:tcW w:w="993" w:type="dxa"/>
            <w:tcBorders>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31</w:t>
            </w:r>
          </w:p>
        </w:tc>
        <w:tc>
          <w:tcPr>
            <w:tcW w:w="992" w:type="dxa"/>
            <w:tcBorders>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5·</w:t>
            </w:r>
            <w:r w:rsidRPr="00F57586">
              <w:rPr>
                <w:rFonts w:ascii="Arial" w:hAnsi="Arial" w:cs="Arial"/>
                <w:color w:val="000000"/>
              </w:rPr>
              <w:t>9</w:t>
            </w:r>
          </w:p>
        </w:tc>
        <w:tc>
          <w:tcPr>
            <w:tcW w:w="992" w:type="dxa"/>
            <w:tcBorders>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75</w:t>
            </w:r>
          </w:p>
        </w:tc>
        <w:tc>
          <w:tcPr>
            <w:tcW w:w="1168" w:type="dxa"/>
            <w:tcBorders>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4·</w:t>
            </w:r>
            <w:r w:rsidRPr="00F57586">
              <w:rPr>
                <w:rFonts w:ascii="Arial" w:hAnsi="Arial" w:cs="Arial"/>
                <w:color w:val="000000"/>
              </w:rPr>
              <w:t>7</w:t>
            </w:r>
          </w:p>
        </w:tc>
      </w:tr>
      <w:tr w:rsidR="00803D84" w:rsidRPr="00680FC7" w:rsidTr="000F0C69">
        <w:tc>
          <w:tcPr>
            <w:tcW w:w="2943" w:type="dxa"/>
            <w:tcBorders>
              <w:top w:val="nil"/>
              <w:bottom w:val="single" w:sz="4" w:space="0" w:color="auto"/>
            </w:tcBorders>
          </w:tcPr>
          <w:p w:rsidR="00803D84" w:rsidRPr="00F57586" w:rsidRDefault="00803D84" w:rsidP="00A63E8E">
            <w:pPr>
              <w:spacing w:line="480" w:lineRule="auto"/>
              <w:rPr>
                <w:rFonts w:ascii="Arial" w:hAnsi="Arial" w:cs="Arial"/>
                <w:color w:val="000000"/>
                <w:vertAlign w:val="superscript"/>
              </w:rPr>
            </w:pPr>
            <w:r>
              <w:rPr>
                <w:rFonts w:ascii="Arial" w:hAnsi="Arial" w:cs="Arial"/>
                <w:color w:val="000000"/>
              </w:rPr>
              <w:t xml:space="preserve">   Revision for other reason (no infection)</w:t>
            </w:r>
          </w:p>
        </w:tc>
        <w:tc>
          <w:tcPr>
            <w:tcW w:w="1134" w:type="dxa"/>
            <w:tcBorders>
              <w:top w:val="nil"/>
              <w:bottom w:val="single" w:sz="4" w:space="0" w:color="auto"/>
            </w:tcBorders>
            <w:shd w:val="clear" w:color="auto" w:fill="auto"/>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98</w:t>
            </w:r>
          </w:p>
        </w:tc>
        <w:tc>
          <w:tcPr>
            <w:tcW w:w="1134" w:type="dxa"/>
            <w:tcBorders>
              <w:top w:val="nil"/>
              <w:bottom w:val="single" w:sz="4" w:space="0" w:color="auto"/>
            </w:tcBorders>
          </w:tcPr>
          <w:p w:rsidR="00803D84" w:rsidRPr="00F57586" w:rsidRDefault="00803D84" w:rsidP="00A63E8E">
            <w:pPr>
              <w:spacing w:line="480" w:lineRule="auto"/>
              <w:jc w:val="center"/>
              <w:rPr>
                <w:rFonts w:ascii="Arial" w:hAnsi="Arial" w:cs="Arial"/>
                <w:b/>
                <w:bCs/>
                <w:color w:val="000000"/>
              </w:rPr>
            </w:pPr>
            <w:r>
              <w:rPr>
                <w:rFonts w:ascii="Arial" w:hAnsi="Arial" w:cs="Arial"/>
                <w:color w:val="000000"/>
              </w:rPr>
              <w:t>18·4</w:t>
            </w:r>
          </w:p>
        </w:tc>
        <w:tc>
          <w:tcPr>
            <w:tcW w:w="1134"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120</w:t>
            </w:r>
          </w:p>
        </w:tc>
        <w:tc>
          <w:tcPr>
            <w:tcW w:w="1134"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22·</w:t>
            </w:r>
            <w:r w:rsidRPr="00F57586">
              <w:rPr>
                <w:rFonts w:ascii="Arial" w:hAnsi="Arial" w:cs="Arial"/>
                <w:color w:val="000000"/>
              </w:rPr>
              <w:t>4</w:t>
            </w:r>
          </w:p>
        </w:tc>
        <w:tc>
          <w:tcPr>
            <w:tcW w:w="993"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105</w:t>
            </w:r>
          </w:p>
        </w:tc>
        <w:tc>
          <w:tcPr>
            <w:tcW w:w="992"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20·0</w:t>
            </w:r>
          </w:p>
        </w:tc>
        <w:tc>
          <w:tcPr>
            <w:tcW w:w="992"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323</w:t>
            </w:r>
          </w:p>
        </w:tc>
        <w:tc>
          <w:tcPr>
            <w:tcW w:w="1168" w:type="dxa"/>
            <w:tcBorders>
              <w:top w:val="nil"/>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20·3</w:t>
            </w:r>
          </w:p>
        </w:tc>
      </w:tr>
      <w:tr w:rsidR="00803D84" w:rsidRPr="008E3E78" w:rsidTr="000F0C69">
        <w:tc>
          <w:tcPr>
            <w:tcW w:w="6345" w:type="dxa"/>
            <w:gridSpan w:val="4"/>
            <w:tcBorders>
              <w:bottom w:val="single" w:sz="4" w:space="0" w:color="auto"/>
              <w:right w:val="nil"/>
            </w:tcBorders>
          </w:tcPr>
          <w:p w:rsidR="00803D84" w:rsidRPr="00F57586" w:rsidRDefault="00803D84" w:rsidP="00A63E8E">
            <w:pPr>
              <w:spacing w:line="480" w:lineRule="auto"/>
              <w:rPr>
                <w:rFonts w:ascii="Arial" w:hAnsi="Arial" w:cs="Arial"/>
                <w:i/>
              </w:rPr>
            </w:pPr>
            <w:r>
              <w:rPr>
                <w:rFonts w:ascii="Arial" w:hAnsi="Arial" w:cs="Arial"/>
                <w:b/>
                <w:i/>
              </w:rPr>
              <w:t>Type of infection</w:t>
            </w:r>
          </w:p>
        </w:tc>
        <w:tc>
          <w:tcPr>
            <w:tcW w:w="1134" w:type="dxa"/>
            <w:tcBorders>
              <w:left w:val="nil"/>
              <w:right w:val="nil"/>
            </w:tcBorders>
          </w:tcPr>
          <w:p w:rsidR="00803D84" w:rsidRPr="00F57586" w:rsidRDefault="00803D84" w:rsidP="00A63E8E">
            <w:pPr>
              <w:spacing w:line="480" w:lineRule="auto"/>
              <w:jc w:val="center"/>
              <w:rPr>
                <w:rFonts w:ascii="Arial" w:hAnsi="Arial" w:cs="Arial"/>
                <w:i/>
              </w:rPr>
            </w:pPr>
          </w:p>
        </w:tc>
        <w:tc>
          <w:tcPr>
            <w:tcW w:w="993" w:type="dxa"/>
            <w:tcBorders>
              <w:left w:val="nil"/>
              <w:right w:val="nil"/>
            </w:tcBorders>
          </w:tcPr>
          <w:p w:rsidR="00803D84" w:rsidRPr="00F57586" w:rsidRDefault="00803D84" w:rsidP="00A63E8E">
            <w:pPr>
              <w:spacing w:line="480" w:lineRule="auto"/>
              <w:jc w:val="center"/>
              <w:rPr>
                <w:rFonts w:ascii="Arial" w:hAnsi="Arial" w:cs="Arial"/>
                <w:i/>
              </w:rPr>
            </w:pPr>
          </w:p>
        </w:tc>
        <w:tc>
          <w:tcPr>
            <w:tcW w:w="992" w:type="dxa"/>
            <w:tcBorders>
              <w:left w:val="nil"/>
              <w:right w:val="nil"/>
            </w:tcBorders>
          </w:tcPr>
          <w:p w:rsidR="00803D84" w:rsidRPr="00F57586" w:rsidRDefault="00803D84" w:rsidP="00A63E8E">
            <w:pPr>
              <w:spacing w:line="480" w:lineRule="auto"/>
              <w:jc w:val="center"/>
              <w:rPr>
                <w:rFonts w:ascii="Arial" w:hAnsi="Arial" w:cs="Arial"/>
                <w:i/>
              </w:rPr>
            </w:pPr>
          </w:p>
        </w:tc>
        <w:tc>
          <w:tcPr>
            <w:tcW w:w="992" w:type="dxa"/>
            <w:tcBorders>
              <w:left w:val="nil"/>
              <w:right w:val="nil"/>
            </w:tcBorders>
          </w:tcPr>
          <w:p w:rsidR="00803D84" w:rsidRPr="00F57586" w:rsidRDefault="00803D84" w:rsidP="00A63E8E">
            <w:pPr>
              <w:spacing w:line="480" w:lineRule="auto"/>
              <w:jc w:val="center"/>
              <w:rPr>
                <w:rFonts w:ascii="Arial" w:hAnsi="Arial" w:cs="Arial"/>
                <w:i/>
              </w:rPr>
            </w:pPr>
          </w:p>
        </w:tc>
        <w:tc>
          <w:tcPr>
            <w:tcW w:w="1168" w:type="dxa"/>
            <w:tcBorders>
              <w:left w:val="nil"/>
              <w:right w:val="single" w:sz="4" w:space="0" w:color="auto"/>
            </w:tcBorders>
          </w:tcPr>
          <w:p w:rsidR="00803D84" w:rsidRPr="00F57586" w:rsidRDefault="00803D84" w:rsidP="00A63E8E">
            <w:pPr>
              <w:spacing w:line="480" w:lineRule="auto"/>
              <w:jc w:val="center"/>
              <w:rPr>
                <w:rFonts w:ascii="Arial" w:hAnsi="Arial" w:cs="Arial"/>
                <w:i/>
              </w:rPr>
            </w:pPr>
          </w:p>
        </w:tc>
      </w:tr>
      <w:tr w:rsidR="00803D84" w:rsidRPr="004C51B9" w:rsidTr="000F0C69">
        <w:tc>
          <w:tcPr>
            <w:tcW w:w="2943" w:type="dxa"/>
            <w:tcBorders>
              <w:bottom w:val="single" w:sz="4" w:space="0" w:color="auto"/>
              <w:right w:val="nil"/>
            </w:tcBorders>
          </w:tcPr>
          <w:p w:rsidR="00803D84" w:rsidRPr="00F57586" w:rsidRDefault="00803D84" w:rsidP="002B7026">
            <w:pPr>
              <w:spacing w:line="480" w:lineRule="auto"/>
              <w:rPr>
                <w:rFonts w:ascii="Arial" w:hAnsi="Arial" w:cs="Arial"/>
                <w:i/>
              </w:rPr>
            </w:pPr>
            <w:r>
              <w:rPr>
                <w:rFonts w:ascii="Arial" w:hAnsi="Arial" w:cs="Arial"/>
                <w:i/>
              </w:rPr>
              <w:t>Shunt</w:t>
            </w:r>
            <w:r w:rsidRPr="00F57586">
              <w:rPr>
                <w:rFonts w:ascii="Arial" w:hAnsi="Arial" w:cs="Arial"/>
                <w:i/>
              </w:rPr>
              <w:t xml:space="preserve"> CSF or peritoneal infection</w:t>
            </w:r>
          </w:p>
        </w:tc>
        <w:tc>
          <w:tcPr>
            <w:tcW w:w="1134" w:type="dxa"/>
            <w:tcBorders>
              <w:left w:val="nil"/>
              <w:bottom w:val="single" w:sz="4" w:space="0" w:color="auto"/>
              <w:right w:val="nil"/>
            </w:tcBorders>
            <w:shd w:val="clear" w:color="auto" w:fill="auto"/>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993"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992"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992"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68" w:type="dxa"/>
            <w:tcBorders>
              <w:left w:val="nil"/>
              <w:bottom w:val="single" w:sz="4" w:space="0" w:color="auto"/>
              <w:right w:val="single" w:sz="4" w:space="0" w:color="auto"/>
            </w:tcBorders>
          </w:tcPr>
          <w:p w:rsidR="00803D84" w:rsidRPr="00F57586" w:rsidRDefault="00803D84" w:rsidP="00A63E8E">
            <w:pPr>
              <w:spacing w:line="480" w:lineRule="auto"/>
              <w:jc w:val="center"/>
              <w:rPr>
                <w:rFonts w:ascii="Arial" w:hAnsi="Arial" w:cs="Arial"/>
              </w:rPr>
            </w:pPr>
          </w:p>
        </w:tc>
      </w:tr>
      <w:tr w:rsidR="00803D84" w:rsidRPr="00680FC7" w:rsidTr="000F0C69">
        <w:tc>
          <w:tcPr>
            <w:tcW w:w="2943" w:type="dxa"/>
            <w:tcBorders>
              <w:top w:val="single" w:sz="4" w:space="0" w:color="auto"/>
              <w:bottom w:val="nil"/>
            </w:tcBorders>
          </w:tcPr>
          <w:p w:rsidR="00803D84" w:rsidRPr="00F57586" w:rsidRDefault="00803D84" w:rsidP="00A63E8E">
            <w:pPr>
              <w:spacing w:line="480" w:lineRule="auto"/>
              <w:rPr>
                <w:rFonts w:ascii="Arial" w:hAnsi="Arial" w:cs="Arial"/>
                <w:color w:val="000000"/>
              </w:rPr>
            </w:pPr>
            <w:r>
              <w:rPr>
                <w:rFonts w:ascii="Arial" w:hAnsi="Arial" w:cs="Arial"/>
                <w:color w:val="000000"/>
              </w:rPr>
              <w:t xml:space="preserve">   </w:t>
            </w:r>
            <w:r w:rsidRPr="00F57586">
              <w:rPr>
                <w:rFonts w:ascii="Arial" w:hAnsi="Arial" w:cs="Arial"/>
                <w:color w:val="000000"/>
              </w:rPr>
              <w:t xml:space="preserve">Definite – Culture </w:t>
            </w:r>
            <w:r w:rsidRPr="00D52473">
              <w:rPr>
                <w:rFonts w:ascii="Arial" w:hAnsi="Arial" w:cs="Arial"/>
                <w:color w:val="000000"/>
              </w:rPr>
              <w:t>positive</w:t>
            </w:r>
          </w:p>
        </w:tc>
        <w:tc>
          <w:tcPr>
            <w:tcW w:w="1134" w:type="dxa"/>
            <w:tcBorders>
              <w:top w:val="single" w:sz="4" w:space="0" w:color="auto"/>
              <w:bottom w:val="nil"/>
            </w:tcBorders>
            <w:shd w:val="clear" w:color="auto" w:fill="auto"/>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22</w:t>
            </w:r>
          </w:p>
        </w:tc>
        <w:tc>
          <w:tcPr>
            <w:tcW w:w="1134" w:type="dxa"/>
            <w:tcBorders>
              <w:top w:val="single" w:sz="4" w:space="0" w:color="auto"/>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68·8</w:t>
            </w:r>
          </w:p>
        </w:tc>
        <w:tc>
          <w:tcPr>
            <w:tcW w:w="1134" w:type="dxa"/>
            <w:tcBorders>
              <w:top w:val="single" w:sz="4" w:space="0" w:color="auto"/>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6</w:t>
            </w:r>
          </w:p>
        </w:tc>
        <w:tc>
          <w:tcPr>
            <w:tcW w:w="1134" w:type="dxa"/>
            <w:tcBorders>
              <w:top w:val="single" w:sz="4" w:space="0" w:color="auto"/>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50·0</w:t>
            </w:r>
          </w:p>
        </w:tc>
        <w:tc>
          <w:tcPr>
            <w:tcW w:w="993" w:type="dxa"/>
            <w:tcBorders>
              <w:top w:val="single" w:sz="4" w:space="0" w:color="auto"/>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25</w:t>
            </w:r>
          </w:p>
        </w:tc>
        <w:tc>
          <w:tcPr>
            <w:tcW w:w="992" w:type="dxa"/>
            <w:tcBorders>
              <w:top w:val="single" w:sz="4" w:space="0" w:color="auto"/>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80·6</w:t>
            </w:r>
          </w:p>
        </w:tc>
        <w:tc>
          <w:tcPr>
            <w:tcW w:w="992" w:type="dxa"/>
            <w:tcBorders>
              <w:top w:val="single" w:sz="4" w:space="0" w:color="auto"/>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53</w:t>
            </w:r>
          </w:p>
        </w:tc>
        <w:tc>
          <w:tcPr>
            <w:tcW w:w="1168" w:type="dxa"/>
            <w:tcBorders>
              <w:top w:val="single" w:sz="4" w:space="0" w:color="auto"/>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70·7</w:t>
            </w:r>
          </w:p>
        </w:tc>
      </w:tr>
      <w:tr w:rsidR="00803D84" w:rsidRPr="00680FC7" w:rsidTr="000F0C69">
        <w:tc>
          <w:tcPr>
            <w:tcW w:w="2943" w:type="dxa"/>
            <w:tcBorders>
              <w:top w:val="nil"/>
              <w:bottom w:val="nil"/>
            </w:tcBorders>
          </w:tcPr>
          <w:p w:rsidR="00803D84" w:rsidRPr="00F57586" w:rsidRDefault="00803D84" w:rsidP="00A63E8E">
            <w:pPr>
              <w:spacing w:line="480" w:lineRule="auto"/>
              <w:rPr>
                <w:rFonts w:ascii="Arial" w:hAnsi="Arial" w:cs="Arial"/>
                <w:color w:val="000000"/>
              </w:rPr>
            </w:pPr>
            <w:r>
              <w:rPr>
                <w:rFonts w:ascii="Arial" w:hAnsi="Arial" w:cs="Arial"/>
                <w:color w:val="000000"/>
              </w:rPr>
              <w:t xml:space="preserve">   </w:t>
            </w:r>
            <w:r w:rsidRPr="00F57586">
              <w:rPr>
                <w:rFonts w:ascii="Arial" w:hAnsi="Arial" w:cs="Arial"/>
                <w:color w:val="000000"/>
              </w:rPr>
              <w:t>Probable – Culture uncertain</w:t>
            </w:r>
          </w:p>
        </w:tc>
        <w:tc>
          <w:tcPr>
            <w:tcW w:w="1134" w:type="dxa"/>
            <w:tcBorders>
              <w:top w:val="nil"/>
              <w:bottom w:val="nil"/>
            </w:tcBorders>
            <w:shd w:val="clear" w:color="auto" w:fill="auto"/>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3·1</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0</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0·</w:t>
            </w:r>
            <w:r w:rsidRPr="00F57586">
              <w:rPr>
                <w:rFonts w:ascii="Arial" w:hAnsi="Arial" w:cs="Arial"/>
                <w:color w:val="000000"/>
              </w:rPr>
              <w:t>0</w:t>
            </w:r>
          </w:p>
        </w:tc>
        <w:tc>
          <w:tcPr>
            <w:tcW w:w="993"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2</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6·5</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3</w:t>
            </w:r>
          </w:p>
        </w:tc>
        <w:tc>
          <w:tcPr>
            <w:tcW w:w="1168"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4·0</w:t>
            </w:r>
          </w:p>
        </w:tc>
      </w:tr>
      <w:tr w:rsidR="00803D84" w:rsidRPr="00680FC7" w:rsidTr="000F0C69">
        <w:tc>
          <w:tcPr>
            <w:tcW w:w="2943" w:type="dxa"/>
            <w:tcBorders>
              <w:top w:val="nil"/>
              <w:bottom w:val="nil"/>
            </w:tcBorders>
          </w:tcPr>
          <w:p w:rsidR="00803D84" w:rsidRPr="00F57586" w:rsidRDefault="00803D84" w:rsidP="00A63E8E">
            <w:pPr>
              <w:spacing w:line="480" w:lineRule="auto"/>
              <w:rPr>
                <w:rFonts w:ascii="Arial" w:hAnsi="Arial" w:cs="Arial"/>
                <w:color w:val="000000"/>
              </w:rPr>
            </w:pPr>
            <w:r>
              <w:rPr>
                <w:rFonts w:ascii="Arial" w:hAnsi="Arial" w:cs="Arial"/>
                <w:color w:val="000000"/>
              </w:rPr>
              <w:t xml:space="preserve">   </w:t>
            </w:r>
            <w:r w:rsidRPr="00F57586">
              <w:rPr>
                <w:rFonts w:ascii="Arial" w:hAnsi="Arial" w:cs="Arial"/>
                <w:color w:val="000000"/>
              </w:rPr>
              <w:t>Probable – Culture negative</w:t>
            </w:r>
          </w:p>
        </w:tc>
        <w:tc>
          <w:tcPr>
            <w:tcW w:w="1134" w:type="dxa"/>
            <w:tcBorders>
              <w:top w:val="nil"/>
              <w:bottom w:val="nil"/>
            </w:tcBorders>
            <w:shd w:val="clear" w:color="auto" w:fill="auto"/>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3</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9·4</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3</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25·0</w:t>
            </w:r>
          </w:p>
        </w:tc>
        <w:tc>
          <w:tcPr>
            <w:tcW w:w="993"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3·2</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7</w:t>
            </w:r>
          </w:p>
        </w:tc>
        <w:tc>
          <w:tcPr>
            <w:tcW w:w="1168"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9·3</w:t>
            </w:r>
          </w:p>
        </w:tc>
      </w:tr>
      <w:tr w:rsidR="00803D84" w:rsidRPr="00680FC7" w:rsidTr="000F0C69">
        <w:tc>
          <w:tcPr>
            <w:tcW w:w="2943" w:type="dxa"/>
            <w:tcBorders>
              <w:top w:val="nil"/>
              <w:bottom w:val="nil"/>
            </w:tcBorders>
          </w:tcPr>
          <w:p w:rsidR="00803D84" w:rsidRPr="00F57586" w:rsidRDefault="00803D84" w:rsidP="00A63E8E">
            <w:pPr>
              <w:spacing w:line="480" w:lineRule="auto"/>
              <w:rPr>
                <w:rFonts w:ascii="Arial" w:hAnsi="Arial" w:cs="Arial"/>
                <w:color w:val="000000"/>
              </w:rPr>
            </w:pPr>
            <w:r>
              <w:rPr>
                <w:rFonts w:ascii="Arial" w:hAnsi="Arial" w:cs="Arial"/>
                <w:color w:val="000000"/>
              </w:rPr>
              <w:t xml:space="preserve">   </w:t>
            </w:r>
            <w:r w:rsidRPr="00F57586">
              <w:rPr>
                <w:rFonts w:ascii="Arial" w:hAnsi="Arial" w:cs="Arial"/>
                <w:color w:val="000000"/>
              </w:rPr>
              <w:t>Possible – Culture uncertain</w:t>
            </w:r>
          </w:p>
        </w:tc>
        <w:tc>
          <w:tcPr>
            <w:tcW w:w="1134" w:type="dxa"/>
            <w:tcBorders>
              <w:top w:val="nil"/>
              <w:bottom w:val="nil"/>
            </w:tcBorders>
            <w:shd w:val="clear" w:color="auto" w:fill="auto"/>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3·</w:t>
            </w:r>
            <w:r w:rsidRPr="004837FB">
              <w:rPr>
                <w:rFonts w:ascii="Arial" w:hAnsi="Arial" w:cs="Arial"/>
                <w:color w:val="000000"/>
              </w:rPr>
              <w:t>1</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0</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0·</w:t>
            </w:r>
            <w:r w:rsidRPr="00F57586">
              <w:rPr>
                <w:rFonts w:ascii="Arial" w:hAnsi="Arial" w:cs="Arial"/>
                <w:color w:val="000000"/>
              </w:rPr>
              <w:t>0</w:t>
            </w:r>
          </w:p>
        </w:tc>
        <w:tc>
          <w:tcPr>
            <w:tcW w:w="993"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3·</w:t>
            </w:r>
            <w:r w:rsidRPr="004837FB">
              <w:rPr>
                <w:rFonts w:ascii="Arial" w:hAnsi="Arial" w:cs="Arial"/>
                <w:color w:val="000000"/>
              </w:rPr>
              <w:t>2</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2</w:t>
            </w:r>
          </w:p>
        </w:tc>
        <w:tc>
          <w:tcPr>
            <w:tcW w:w="1168"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2·7</w:t>
            </w:r>
          </w:p>
        </w:tc>
      </w:tr>
      <w:tr w:rsidR="00803D84" w:rsidRPr="00680FC7" w:rsidTr="000F0C69">
        <w:tc>
          <w:tcPr>
            <w:tcW w:w="2943" w:type="dxa"/>
            <w:tcBorders>
              <w:top w:val="nil"/>
              <w:bottom w:val="nil"/>
            </w:tcBorders>
          </w:tcPr>
          <w:p w:rsidR="00803D84" w:rsidRPr="00F57586" w:rsidRDefault="00803D84" w:rsidP="00A63E8E">
            <w:pPr>
              <w:spacing w:line="480" w:lineRule="auto"/>
              <w:rPr>
                <w:rFonts w:ascii="Arial" w:hAnsi="Arial" w:cs="Arial"/>
                <w:color w:val="000000"/>
                <w:vertAlign w:val="superscript"/>
              </w:rPr>
            </w:pPr>
            <w:r>
              <w:rPr>
                <w:rFonts w:ascii="Arial" w:hAnsi="Arial" w:cs="Arial"/>
                <w:color w:val="000000"/>
              </w:rPr>
              <w:t xml:space="preserve">   </w:t>
            </w:r>
            <w:r w:rsidRPr="00F57586">
              <w:rPr>
                <w:rFonts w:ascii="Arial" w:hAnsi="Arial" w:cs="Arial"/>
                <w:color w:val="000000"/>
              </w:rPr>
              <w:t>Clinically classified infection</w:t>
            </w:r>
            <w:r>
              <w:rPr>
                <w:rFonts w:ascii="Arial" w:hAnsi="Arial" w:cs="Arial"/>
                <w:color w:val="000000"/>
              </w:rPr>
              <w:t xml:space="preserve"> </w:t>
            </w:r>
            <w:r>
              <w:rPr>
                <w:rFonts w:ascii="Arial" w:hAnsi="Arial" w:cs="Arial"/>
                <w:color w:val="000000"/>
                <w:vertAlign w:val="superscript"/>
              </w:rPr>
              <w:t>(2)</w:t>
            </w:r>
          </w:p>
        </w:tc>
        <w:tc>
          <w:tcPr>
            <w:tcW w:w="1134" w:type="dxa"/>
            <w:tcBorders>
              <w:top w:val="nil"/>
              <w:bottom w:val="nil"/>
            </w:tcBorders>
            <w:shd w:val="clear" w:color="auto" w:fill="auto"/>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3·</w:t>
            </w:r>
            <w:r w:rsidRPr="004837FB">
              <w:rPr>
                <w:rFonts w:ascii="Arial" w:hAnsi="Arial" w:cs="Arial"/>
                <w:color w:val="000000"/>
              </w:rPr>
              <w:t>1</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0</w:t>
            </w:r>
          </w:p>
        </w:tc>
        <w:tc>
          <w:tcPr>
            <w:tcW w:w="1134"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0·</w:t>
            </w:r>
            <w:r w:rsidRPr="00F57586">
              <w:rPr>
                <w:rFonts w:ascii="Arial" w:hAnsi="Arial" w:cs="Arial"/>
                <w:color w:val="000000"/>
              </w:rPr>
              <w:t>0</w:t>
            </w:r>
          </w:p>
        </w:tc>
        <w:tc>
          <w:tcPr>
            <w:tcW w:w="993"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0</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0·</w:t>
            </w:r>
            <w:r w:rsidRPr="00F57586">
              <w:rPr>
                <w:rFonts w:ascii="Arial" w:hAnsi="Arial" w:cs="Arial"/>
                <w:color w:val="000000"/>
              </w:rPr>
              <w:t>0</w:t>
            </w:r>
          </w:p>
        </w:tc>
        <w:tc>
          <w:tcPr>
            <w:tcW w:w="992" w:type="dxa"/>
            <w:tcBorders>
              <w:top w:val="nil"/>
              <w:bottom w:val="nil"/>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1</w:t>
            </w:r>
          </w:p>
        </w:tc>
        <w:tc>
          <w:tcPr>
            <w:tcW w:w="1168" w:type="dxa"/>
            <w:tcBorders>
              <w:top w:val="nil"/>
              <w:bottom w:val="nil"/>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1·3</w:t>
            </w:r>
          </w:p>
        </w:tc>
      </w:tr>
      <w:tr w:rsidR="00803D84" w:rsidRPr="004C51B9" w:rsidTr="000F0C69">
        <w:tc>
          <w:tcPr>
            <w:tcW w:w="2943" w:type="dxa"/>
            <w:tcBorders>
              <w:bottom w:val="single" w:sz="4" w:space="0" w:color="auto"/>
              <w:right w:val="nil"/>
            </w:tcBorders>
          </w:tcPr>
          <w:p w:rsidR="00803D84" w:rsidRPr="00F57586" w:rsidRDefault="00803D84" w:rsidP="002B7026">
            <w:pPr>
              <w:spacing w:line="480" w:lineRule="auto"/>
              <w:rPr>
                <w:rFonts w:ascii="Arial" w:hAnsi="Arial" w:cs="Arial"/>
              </w:rPr>
            </w:pPr>
            <w:r>
              <w:rPr>
                <w:rFonts w:ascii="Arial" w:hAnsi="Arial" w:cs="Arial"/>
                <w:i/>
              </w:rPr>
              <w:t>Shunt</w:t>
            </w:r>
            <w:r w:rsidRPr="00F57586">
              <w:rPr>
                <w:rFonts w:ascii="Arial" w:hAnsi="Arial" w:cs="Arial"/>
                <w:i/>
              </w:rPr>
              <w:t xml:space="preserve"> deep incisional infection</w:t>
            </w:r>
          </w:p>
        </w:tc>
        <w:tc>
          <w:tcPr>
            <w:tcW w:w="1134" w:type="dxa"/>
            <w:tcBorders>
              <w:left w:val="nil"/>
              <w:bottom w:val="single" w:sz="4" w:space="0" w:color="auto"/>
              <w:right w:val="nil"/>
            </w:tcBorders>
            <w:shd w:val="clear" w:color="auto" w:fill="auto"/>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34"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993"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992"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992" w:type="dxa"/>
            <w:tcBorders>
              <w:left w:val="nil"/>
              <w:bottom w:val="single" w:sz="4" w:space="0" w:color="auto"/>
              <w:right w:val="nil"/>
            </w:tcBorders>
          </w:tcPr>
          <w:p w:rsidR="00803D84" w:rsidRPr="00F57586" w:rsidRDefault="00803D84" w:rsidP="00A63E8E">
            <w:pPr>
              <w:spacing w:line="480" w:lineRule="auto"/>
              <w:jc w:val="center"/>
              <w:rPr>
                <w:rFonts w:ascii="Arial" w:hAnsi="Arial" w:cs="Arial"/>
              </w:rPr>
            </w:pPr>
          </w:p>
        </w:tc>
        <w:tc>
          <w:tcPr>
            <w:tcW w:w="1168" w:type="dxa"/>
            <w:tcBorders>
              <w:left w:val="nil"/>
              <w:bottom w:val="single" w:sz="4" w:space="0" w:color="auto"/>
              <w:right w:val="single" w:sz="4" w:space="0" w:color="auto"/>
            </w:tcBorders>
          </w:tcPr>
          <w:p w:rsidR="00803D84" w:rsidRPr="00F57586" w:rsidRDefault="00803D84" w:rsidP="00A63E8E">
            <w:pPr>
              <w:spacing w:line="480" w:lineRule="auto"/>
              <w:jc w:val="center"/>
              <w:rPr>
                <w:rFonts w:ascii="Arial" w:hAnsi="Arial" w:cs="Arial"/>
              </w:rPr>
            </w:pPr>
          </w:p>
        </w:tc>
      </w:tr>
      <w:tr w:rsidR="00803D84" w:rsidRPr="00680FC7" w:rsidTr="000F0C69">
        <w:tc>
          <w:tcPr>
            <w:tcW w:w="2943" w:type="dxa"/>
            <w:tcBorders>
              <w:bottom w:val="single" w:sz="4" w:space="0" w:color="auto"/>
            </w:tcBorders>
          </w:tcPr>
          <w:p w:rsidR="00803D84" w:rsidRPr="00F57586" w:rsidRDefault="00803D84" w:rsidP="002B7026">
            <w:pPr>
              <w:spacing w:line="480" w:lineRule="auto"/>
              <w:rPr>
                <w:rFonts w:ascii="Arial" w:hAnsi="Arial" w:cs="Arial"/>
                <w:color w:val="000000"/>
              </w:rPr>
            </w:pPr>
            <w:r>
              <w:rPr>
                <w:rFonts w:ascii="Arial" w:hAnsi="Arial" w:cs="Arial"/>
                <w:color w:val="000000"/>
              </w:rPr>
              <w:t xml:space="preserve">   Shunt</w:t>
            </w:r>
            <w:r w:rsidRPr="00F57586">
              <w:rPr>
                <w:rFonts w:ascii="Arial" w:hAnsi="Arial" w:cs="Arial"/>
                <w:color w:val="000000"/>
              </w:rPr>
              <w:t xml:space="preserve"> deep incisional infection</w:t>
            </w:r>
          </w:p>
        </w:tc>
        <w:tc>
          <w:tcPr>
            <w:tcW w:w="1134" w:type="dxa"/>
            <w:tcBorders>
              <w:bottom w:val="single" w:sz="4" w:space="0" w:color="auto"/>
            </w:tcBorders>
            <w:shd w:val="clear" w:color="auto" w:fill="auto"/>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4</w:t>
            </w:r>
          </w:p>
        </w:tc>
        <w:tc>
          <w:tcPr>
            <w:tcW w:w="1134" w:type="dxa"/>
            <w:tcBorders>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12·5</w:t>
            </w:r>
          </w:p>
        </w:tc>
        <w:tc>
          <w:tcPr>
            <w:tcW w:w="1134" w:type="dxa"/>
            <w:tcBorders>
              <w:bottom w:val="single" w:sz="4" w:space="0" w:color="auto"/>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3</w:t>
            </w:r>
          </w:p>
        </w:tc>
        <w:tc>
          <w:tcPr>
            <w:tcW w:w="1134" w:type="dxa"/>
            <w:tcBorders>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25·0</w:t>
            </w:r>
          </w:p>
        </w:tc>
        <w:tc>
          <w:tcPr>
            <w:tcW w:w="993" w:type="dxa"/>
            <w:tcBorders>
              <w:bottom w:val="single" w:sz="4" w:space="0" w:color="auto"/>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2</w:t>
            </w:r>
          </w:p>
        </w:tc>
        <w:tc>
          <w:tcPr>
            <w:tcW w:w="992" w:type="dxa"/>
            <w:tcBorders>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6·5</w:t>
            </w:r>
          </w:p>
        </w:tc>
        <w:tc>
          <w:tcPr>
            <w:tcW w:w="992" w:type="dxa"/>
            <w:tcBorders>
              <w:bottom w:val="single" w:sz="4" w:space="0" w:color="auto"/>
            </w:tcBorders>
          </w:tcPr>
          <w:p w:rsidR="00803D84" w:rsidRPr="00F57586" w:rsidRDefault="00803D84" w:rsidP="00A63E8E">
            <w:pPr>
              <w:spacing w:line="480" w:lineRule="auto"/>
              <w:jc w:val="center"/>
              <w:rPr>
                <w:rFonts w:ascii="Arial" w:hAnsi="Arial" w:cs="Arial"/>
                <w:color w:val="000000"/>
              </w:rPr>
            </w:pPr>
            <w:r w:rsidRPr="00F57586">
              <w:rPr>
                <w:rFonts w:ascii="Arial" w:hAnsi="Arial" w:cs="Arial"/>
                <w:color w:val="000000"/>
              </w:rPr>
              <w:t>9</w:t>
            </w:r>
          </w:p>
        </w:tc>
        <w:tc>
          <w:tcPr>
            <w:tcW w:w="1168" w:type="dxa"/>
            <w:tcBorders>
              <w:bottom w:val="single" w:sz="4" w:space="0" w:color="auto"/>
            </w:tcBorders>
          </w:tcPr>
          <w:p w:rsidR="00803D84" w:rsidRPr="00F57586" w:rsidRDefault="00803D84" w:rsidP="00A63E8E">
            <w:pPr>
              <w:spacing w:line="480" w:lineRule="auto"/>
              <w:jc w:val="center"/>
              <w:rPr>
                <w:rFonts w:ascii="Arial" w:hAnsi="Arial" w:cs="Arial"/>
                <w:color w:val="000000"/>
              </w:rPr>
            </w:pPr>
            <w:r>
              <w:rPr>
                <w:rFonts w:ascii="Arial" w:hAnsi="Arial" w:cs="Arial"/>
                <w:color w:val="000000"/>
              </w:rPr>
              <w:t>12·0</w:t>
            </w:r>
          </w:p>
        </w:tc>
      </w:tr>
      <w:tr w:rsidR="00803D84" w:rsidRPr="00680FC7" w:rsidTr="000F0C69">
        <w:tc>
          <w:tcPr>
            <w:tcW w:w="2943" w:type="dxa"/>
            <w:tcBorders>
              <w:top w:val="single" w:sz="4" w:space="0" w:color="auto"/>
              <w:left w:val="nil"/>
              <w:bottom w:val="single" w:sz="4" w:space="0" w:color="auto"/>
              <w:right w:val="nil"/>
            </w:tcBorders>
          </w:tcPr>
          <w:p w:rsidR="00803D84" w:rsidRDefault="00803D84" w:rsidP="00A63E8E">
            <w:pPr>
              <w:spacing w:line="480" w:lineRule="auto"/>
              <w:rPr>
                <w:rFonts w:ascii="Arial" w:hAnsi="Arial" w:cs="Arial"/>
                <w:color w:val="000000"/>
              </w:rPr>
            </w:pPr>
          </w:p>
        </w:tc>
        <w:tc>
          <w:tcPr>
            <w:tcW w:w="1134" w:type="dxa"/>
            <w:tcBorders>
              <w:top w:val="single" w:sz="4" w:space="0" w:color="auto"/>
              <w:left w:val="nil"/>
              <w:bottom w:val="single" w:sz="4" w:space="0" w:color="auto"/>
              <w:right w:val="nil"/>
            </w:tcBorders>
            <w:shd w:val="clear" w:color="auto" w:fill="auto"/>
          </w:tcPr>
          <w:p w:rsidR="00803D84" w:rsidRPr="00D52473" w:rsidRDefault="00803D84" w:rsidP="00A63E8E">
            <w:pPr>
              <w:spacing w:line="480" w:lineRule="auto"/>
              <w:jc w:val="center"/>
              <w:rPr>
                <w:rFonts w:ascii="Arial" w:hAnsi="Arial" w:cs="Arial"/>
                <w:color w:val="000000"/>
              </w:rPr>
            </w:pPr>
          </w:p>
        </w:tc>
        <w:tc>
          <w:tcPr>
            <w:tcW w:w="1134" w:type="dxa"/>
            <w:tcBorders>
              <w:top w:val="single" w:sz="4" w:space="0" w:color="auto"/>
              <w:left w:val="nil"/>
              <w:bottom w:val="single" w:sz="4" w:space="0" w:color="auto"/>
              <w:right w:val="nil"/>
            </w:tcBorders>
          </w:tcPr>
          <w:p w:rsidR="00803D84" w:rsidRPr="00D52473" w:rsidRDefault="00803D84" w:rsidP="00A63E8E">
            <w:pPr>
              <w:spacing w:line="480" w:lineRule="auto"/>
              <w:jc w:val="center"/>
              <w:rPr>
                <w:rFonts w:ascii="Arial" w:hAnsi="Arial" w:cs="Arial"/>
                <w:color w:val="000000"/>
              </w:rPr>
            </w:pPr>
          </w:p>
        </w:tc>
        <w:tc>
          <w:tcPr>
            <w:tcW w:w="1134" w:type="dxa"/>
            <w:tcBorders>
              <w:top w:val="single" w:sz="4" w:space="0" w:color="auto"/>
              <w:left w:val="nil"/>
              <w:bottom w:val="single" w:sz="4" w:space="0" w:color="auto"/>
              <w:right w:val="nil"/>
            </w:tcBorders>
          </w:tcPr>
          <w:p w:rsidR="00803D84" w:rsidRPr="00D52473" w:rsidRDefault="00803D84" w:rsidP="00A63E8E">
            <w:pPr>
              <w:spacing w:line="480" w:lineRule="auto"/>
              <w:jc w:val="center"/>
              <w:rPr>
                <w:rFonts w:ascii="Arial" w:hAnsi="Arial" w:cs="Arial"/>
                <w:color w:val="000000"/>
              </w:rPr>
            </w:pPr>
          </w:p>
        </w:tc>
        <w:tc>
          <w:tcPr>
            <w:tcW w:w="1134" w:type="dxa"/>
            <w:tcBorders>
              <w:top w:val="single" w:sz="4" w:space="0" w:color="auto"/>
              <w:left w:val="nil"/>
              <w:bottom w:val="single" w:sz="4" w:space="0" w:color="auto"/>
              <w:right w:val="nil"/>
            </w:tcBorders>
          </w:tcPr>
          <w:p w:rsidR="00803D84" w:rsidRPr="00D52473" w:rsidRDefault="00803D84" w:rsidP="00A63E8E">
            <w:pPr>
              <w:spacing w:line="480" w:lineRule="auto"/>
              <w:jc w:val="center"/>
              <w:rPr>
                <w:rFonts w:ascii="Arial" w:hAnsi="Arial" w:cs="Arial"/>
                <w:color w:val="000000"/>
              </w:rPr>
            </w:pPr>
          </w:p>
        </w:tc>
        <w:tc>
          <w:tcPr>
            <w:tcW w:w="993" w:type="dxa"/>
            <w:tcBorders>
              <w:top w:val="single" w:sz="4" w:space="0" w:color="auto"/>
              <w:left w:val="nil"/>
              <w:bottom w:val="single" w:sz="4" w:space="0" w:color="auto"/>
              <w:right w:val="nil"/>
            </w:tcBorders>
          </w:tcPr>
          <w:p w:rsidR="00803D84" w:rsidRPr="00D52473" w:rsidRDefault="00803D84" w:rsidP="00A63E8E">
            <w:pPr>
              <w:spacing w:line="480" w:lineRule="auto"/>
              <w:jc w:val="center"/>
              <w:rPr>
                <w:rFonts w:ascii="Arial" w:hAnsi="Arial" w:cs="Arial"/>
                <w:color w:val="000000"/>
              </w:rPr>
            </w:pPr>
          </w:p>
        </w:tc>
        <w:tc>
          <w:tcPr>
            <w:tcW w:w="992" w:type="dxa"/>
            <w:tcBorders>
              <w:top w:val="single" w:sz="4" w:space="0" w:color="auto"/>
              <w:left w:val="nil"/>
              <w:bottom w:val="single" w:sz="4" w:space="0" w:color="auto"/>
              <w:right w:val="nil"/>
            </w:tcBorders>
          </w:tcPr>
          <w:p w:rsidR="00803D84" w:rsidRPr="00D52473" w:rsidRDefault="00803D84" w:rsidP="00A63E8E">
            <w:pPr>
              <w:spacing w:line="480" w:lineRule="auto"/>
              <w:jc w:val="center"/>
              <w:rPr>
                <w:rFonts w:ascii="Arial" w:hAnsi="Arial" w:cs="Arial"/>
                <w:color w:val="000000"/>
              </w:rPr>
            </w:pPr>
          </w:p>
        </w:tc>
        <w:tc>
          <w:tcPr>
            <w:tcW w:w="992" w:type="dxa"/>
            <w:tcBorders>
              <w:top w:val="single" w:sz="4" w:space="0" w:color="auto"/>
              <w:left w:val="nil"/>
              <w:bottom w:val="single" w:sz="4" w:space="0" w:color="auto"/>
              <w:right w:val="nil"/>
            </w:tcBorders>
          </w:tcPr>
          <w:p w:rsidR="00803D84" w:rsidRPr="00D52473" w:rsidRDefault="00803D84" w:rsidP="00A63E8E">
            <w:pPr>
              <w:spacing w:line="480" w:lineRule="auto"/>
              <w:jc w:val="center"/>
              <w:rPr>
                <w:rFonts w:ascii="Arial" w:hAnsi="Arial" w:cs="Arial"/>
                <w:color w:val="000000"/>
              </w:rPr>
            </w:pPr>
          </w:p>
        </w:tc>
        <w:tc>
          <w:tcPr>
            <w:tcW w:w="1168" w:type="dxa"/>
            <w:tcBorders>
              <w:top w:val="single" w:sz="4" w:space="0" w:color="auto"/>
              <w:left w:val="nil"/>
              <w:bottom w:val="single" w:sz="4" w:space="0" w:color="auto"/>
              <w:right w:val="nil"/>
            </w:tcBorders>
          </w:tcPr>
          <w:p w:rsidR="00803D84" w:rsidRPr="00D52473" w:rsidRDefault="00803D84" w:rsidP="00A63E8E">
            <w:pPr>
              <w:spacing w:line="480" w:lineRule="auto"/>
              <w:jc w:val="center"/>
              <w:rPr>
                <w:rFonts w:ascii="Arial" w:hAnsi="Arial" w:cs="Arial"/>
                <w:color w:val="000000"/>
              </w:rPr>
            </w:pPr>
          </w:p>
        </w:tc>
      </w:tr>
      <w:tr w:rsidR="00803D84" w:rsidRPr="00680FC7" w:rsidTr="000F0C69">
        <w:tc>
          <w:tcPr>
            <w:tcW w:w="11624" w:type="dxa"/>
            <w:gridSpan w:val="9"/>
            <w:tcBorders>
              <w:top w:val="single" w:sz="4" w:space="0" w:color="auto"/>
              <w:bottom w:val="nil"/>
            </w:tcBorders>
            <w:shd w:val="clear" w:color="auto" w:fill="DDD9C3" w:themeFill="background2" w:themeFillShade="E6"/>
          </w:tcPr>
          <w:p w:rsidR="00803D84" w:rsidRPr="00F57586" w:rsidRDefault="00803D84" w:rsidP="00A63E8E">
            <w:pPr>
              <w:spacing w:line="480" w:lineRule="auto"/>
              <w:rPr>
                <w:rFonts w:ascii="Arial" w:hAnsi="Arial" w:cs="Arial"/>
                <w:b/>
                <w:color w:val="000000"/>
              </w:rPr>
            </w:pPr>
            <w:r>
              <w:rPr>
                <w:rFonts w:ascii="Arial" w:hAnsi="Arial" w:cs="Arial"/>
                <w:b/>
                <w:color w:val="000000"/>
              </w:rPr>
              <w:t xml:space="preserve">Reason for shunt revision as classified by treating neurosurgeon </w:t>
            </w:r>
          </w:p>
        </w:tc>
      </w:tr>
      <w:tr w:rsidR="00803D84" w:rsidRPr="00680FC7" w:rsidTr="000F0C69">
        <w:tc>
          <w:tcPr>
            <w:tcW w:w="2943" w:type="dxa"/>
            <w:tcBorders>
              <w:bottom w:val="nil"/>
            </w:tcBorders>
          </w:tcPr>
          <w:p w:rsidR="00803D84" w:rsidRDefault="00803D84" w:rsidP="00A63E8E">
            <w:pPr>
              <w:spacing w:line="480" w:lineRule="auto"/>
              <w:rPr>
                <w:rFonts w:ascii="Arial" w:hAnsi="Arial" w:cs="Arial"/>
                <w:color w:val="000000"/>
              </w:rPr>
            </w:pPr>
            <w:r>
              <w:rPr>
                <w:rFonts w:ascii="Arial" w:hAnsi="Arial" w:cs="Arial"/>
                <w:color w:val="000000"/>
              </w:rPr>
              <w:t xml:space="preserve">   Suspected </w:t>
            </w:r>
            <w:r w:rsidRPr="00E45928">
              <w:rPr>
                <w:rFonts w:ascii="Arial" w:hAnsi="Arial" w:cs="Arial"/>
                <w:color w:val="000000"/>
              </w:rPr>
              <w:t>infection</w:t>
            </w:r>
          </w:p>
        </w:tc>
        <w:tc>
          <w:tcPr>
            <w:tcW w:w="1134" w:type="dxa"/>
            <w:tcBorders>
              <w:bottom w:val="nil"/>
            </w:tcBorders>
            <w:shd w:val="clear" w:color="auto" w:fill="auto"/>
          </w:tcPr>
          <w:p w:rsidR="00803D84" w:rsidRPr="00766BD1" w:rsidRDefault="00803D84" w:rsidP="00A63E8E">
            <w:pPr>
              <w:spacing w:line="480" w:lineRule="auto"/>
              <w:jc w:val="center"/>
              <w:rPr>
                <w:rFonts w:ascii="Arial" w:hAnsi="Arial" w:cs="Arial"/>
                <w:color w:val="000000"/>
              </w:rPr>
            </w:pPr>
            <w:r w:rsidRPr="00F57586">
              <w:rPr>
                <w:rFonts w:ascii="Arial" w:hAnsi="Arial" w:cs="Arial"/>
                <w:color w:val="000000"/>
              </w:rPr>
              <w:t>33</w:t>
            </w:r>
          </w:p>
        </w:tc>
        <w:tc>
          <w:tcPr>
            <w:tcW w:w="1134" w:type="dxa"/>
            <w:tcBorders>
              <w:bottom w:val="nil"/>
            </w:tcBorders>
          </w:tcPr>
          <w:p w:rsidR="00803D84" w:rsidRPr="00766BD1" w:rsidRDefault="00803D84" w:rsidP="00A63E8E">
            <w:pPr>
              <w:spacing w:line="480" w:lineRule="auto"/>
              <w:jc w:val="center"/>
              <w:rPr>
                <w:rFonts w:ascii="Arial" w:hAnsi="Arial" w:cs="Arial"/>
                <w:color w:val="000000"/>
              </w:rPr>
            </w:pPr>
            <w:r>
              <w:rPr>
                <w:rFonts w:ascii="Arial" w:hAnsi="Arial" w:cs="Arial"/>
                <w:color w:val="000000"/>
              </w:rPr>
              <w:t>6·</w:t>
            </w:r>
            <w:r w:rsidRPr="00F57586">
              <w:rPr>
                <w:rFonts w:ascii="Arial" w:hAnsi="Arial" w:cs="Arial"/>
                <w:color w:val="000000"/>
              </w:rPr>
              <w:t>2</w:t>
            </w:r>
          </w:p>
        </w:tc>
        <w:tc>
          <w:tcPr>
            <w:tcW w:w="1134" w:type="dxa"/>
            <w:tcBorders>
              <w:bottom w:val="nil"/>
            </w:tcBorders>
          </w:tcPr>
          <w:p w:rsidR="00803D84" w:rsidRPr="00766BD1" w:rsidRDefault="00803D84" w:rsidP="00A63E8E">
            <w:pPr>
              <w:spacing w:line="480" w:lineRule="auto"/>
              <w:jc w:val="center"/>
              <w:rPr>
                <w:rFonts w:ascii="Arial" w:hAnsi="Arial" w:cs="Arial"/>
                <w:color w:val="000000"/>
              </w:rPr>
            </w:pPr>
            <w:r w:rsidRPr="00F57586">
              <w:rPr>
                <w:rFonts w:ascii="Arial" w:hAnsi="Arial" w:cs="Arial"/>
                <w:color w:val="000000"/>
              </w:rPr>
              <w:t>15</w:t>
            </w:r>
          </w:p>
        </w:tc>
        <w:tc>
          <w:tcPr>
            <w:tcW w:w="1134" w:type="dxa"/>
            <w:tcBorders>
              <w:bottom w:val="nil"/>
            </w:tcBorders>
          </w:tcPr>
          <w:p w:rsidR="00803D84" w:rsidRPr="00766BD1" w:rsidRDefault="00803D84" w:rsidP="00A63E8E">
            <w:pPr>
              <w:spacing w:line="480" w:lineRule="auto"/>
              <w:jc w:val="center"/>
              <w:rPr>
                <w:rFonts w:ascii="Arial" w:hAnsi="Arial" w:cs="Arial"/>
                <w:color w:val="000000"/>
              </w:rPr>
            </w:pPr>
            <w:r>
              <w:rPr>
                <w:rFonts w:ascii="Arial" w:hAnsi="Arial" w:cs="Arial"/>
                <w:color w:val="000000"/>
              </w:rPr>
              <w:t>2·</w:t>
            </w:r>
            <w:r w:rsidRPr="00F57586">
              <w:rPr>
                <w:rFonts w:ascii="Arial" w:hAnsi="Arial" w:cs="Arial"/>
                <w:color w:val="000000"/>
              </w:rPr>
              <w:t>8</w:t>
            </w:r>
          </w:p>
        </w:tc>
        <w:tc>
          <w:tcPr>
            <w:tcW w:w="993" w:type="dxa"/>
            <w:tcBorders>
              <w:bottom w:val="nil"/>
            </w:tcBorders>
          </w:tcPr>
          <w:p w:rsidR="00803D84" w:rsidRPr="00766BD1" w:rsidRDefault="00803D84" w:rsidP="00A63E8E">
            <w:pPr>
              <w:spacing w:line="480" w:lineRule="auto"/>
              <w:jc w:val="center"/>
              <w:rPr>
                <w:rFonts w:ascii="Arial" w:hAnsi="Arial" w:cs="Arial"/>
                <w:color w:val="000000"/>
              </w:rPr>
            </w:pPr>
            <w:r w:rsidRPr="00F57586">
              <w:rPr>
                <w:rFonts w:ascii="Arial" w:hAnsi="Arial" w:cs="Arial"/>
                <w:color w:val="000000"/>
              </w:rPr>
              <w:t>30</w:t>
            </w:r>
          </w:p>
        </w:tc>
        <w:tc>
          <w:tcPr>
            <w:tcW w:w="992" w:type="dxa"/>
            <w:tcBorders>
              <w:bottom w:val="nil"/>
            </w:tcBorders>
          </w:tcPr>
          <w:p w:rsidR="00803D84" w:rsidRPr="00766BD1" w:rsidRDefault="00803D84" w:rsidP="00A63E8E">
            <w:pPr>
              <w:spacing w:line="480" w:lineRule="auto"/>
              <w:jc w:val="center"/>
              <w:rPr>
                <w:rFonts w:ascii="Arial" w:hAnsi="Arial" w:cs="Arial"/>
                <w:color w:val="000000"/>
              </w:rPr>
            </w:pPr>
            <w:r>
              <w:rPr>
                <w:rFonts w:ascii="Arial" w:hAnsi="Arial" w:cs="Arial"/>
                <w:color w:val="000000"/>
              </w:rPr>
              <w:t>5·</w:t>
            </w:r>
            <w:r w:rsidRPr="00F57586">
              <w:rPr>
                <w:rFonts w:ascii="Arial" w:hAnsi="Arial" w:cs="Arial"/>
                <w:color w:val="000000"/>
              </w:rPr>
              <w:t>7</w:t>
            </w:r>
          </w:p>
        </w:tc>
        <w:tc>
          <w:tcPr>
            <w:tcW w:w="992" w:type="dxa"/>
            <w:tcBorders>
              <w:bottom w:val="nil"/>
            </w:tcBorders>
          </w:tcPr>
          <w:p w:rsidR="00803D84" w:rsidRPr="00766BD1" w:rsidRDefault="00803D84" w:rsidP="00A63E8E">
            <w:pPr>
              <w:spacing w:line="480" w:lineRule="auto"/>
              <w:jc w:val="center"/>
              <w:rPr>
                <w:rFonts w:ascii="Arial" w:hAnsi="Arial" w:cs="Arial"/>
                <w:color w:val="000000"/>
              </w:rPr>
            </w:pPr>
            <w:r w:rsidRPr="00F57586">
              <w:rPr>
                <w:rFonts w:ascii="Arial" w:hAnsi="Arial" w:cs="Arial"/>
                <w:color w:val="000000"/>
              </w:rPr>
              <w:t>78</w:t>
            </w:r>
          </w:p>
        </w:tc>
        <w:tc>
          <w:tcPr>
            <w:tcW w:w="1168" w:type="dxa"/>
            <w:tcBorders>
              <w:bottom w:val="nil"/>
            </w:tcBorders>
          </w:tcPr>
          <w:p w:rsidR="00803D84" w:rsidRPr="00766BD1" w:rsidRDefault="00803D84" w:rsidP="00A63E8E">
            <w:pPr>
              <w:spacing w:line="480" w:lineRule="auto"/>
              <w:jc w:val="center"/>
              <w:rPr>
                <w:rFonts w:ascii="Arial" w:hAnsi="Arial" w:cs="Arial"/>
                <w:color w:val="000000"/>
              </w:rPr>
            </w:pPr>
            <w:r>
              <w:rPr>
                <w:rFonts w:ascii="Arial" w:hAnsi="Arial" w:cs="Arial"/>
                <w:color w:val="000000"/>
              </w:rPr>
              <w:t>4·</w:t>
            </w:r>
            <w:r w:rsidRPr="00F57586">
              <w:rPr>
                <w:rFonts w:ascii="Arial" w:hAnsi="Arial" w:cs="Arial"/>
                <w:color w:val="000000"/>
              </w:rPr>
              <w:t>9</w:t>
            </w:r>
          </w:p>
        </w:tc>
      </w:tr>
      <w:tr w:rsidR="00803D84" w:rsidRPr="00680FC7" w:rsidTr="000F0C69">
        <w:tc>
          <w:tcPr>
            <w:tcW w:w="2943" w:type="dxa"/>
            <w:tcBorders>
              <w:top w:val="nil"/>
              <w:bottom w:val="nil"/>
            </w:tcBorders>
          </w:tcPr>
          <w:p w:rsidR="00803D84" w:rsidRDefault="00803D84" w:rsidP="00A63E8E">
            <w:pPr>
              <w:spacing w:line="480" w:lineRule="auto"/>
              <w:rPr>
                <w:rFonts w:ascii="Arial" w:hAnsi="Arial" w:cs="Arial"/>
                <w:color w:val="000000"/>
              </w:rPr>
            </w:pPr>
            <w:r>
              <w:rPr>
                <w:rFonts w:ascii="Arial" w:hAnsi="Arial" w:cs="Arial"/>
                <w:color w:val="000000"/>
              </w:rPr>
              <w:t xml:space="preserve">   Revision for other reason (no infection)</w:t>
            </w:r>
          </w:p>
        </w:tc>
        <w:tc>
          <w:tcPr>
            <w:tcW w:w="1134" w:type="dxa"/>
            <w:tcBorders>
              <w:top w:val="nil"/>
              <w:bottom w:val="nil"/>
            </w:tcBorders>
            <w:shd w:val="clear" w:color="auto" w:fill="auto"/>
          </w:tcPr>
          <w:p w:rsidR="00803D84" w:rsidRPr="00196C93" w:rsidRDefault="00803D84" w:rsidP="00A63E8E">
            <w:pPr>
              <w:spacing w:line="480" w:lineRule="auto"/>
              <w:jc w:val="center"/>
              <w:rPr>
                <w:rFonts w:ascii="Arial" w:hAnsi="Arial" w:cs="Arial"/>
                <w:color w:val="000000"/>
              </w:rPr>
            </w:pPr>
            <w:r w:rsidRPr="00F57586">
              <w:rPr>
                <w:rFonts w:ascii="Arial" w:hAnsi="Arial" w:cs="Arial"/>
                <w:color w:val="000000"/>
              </w:rPr>
              <w:t>97</w:t>
            </w:r>
          </w:p>
        </w:tc>
        <w:tc>
          <w:tcPr>
            <w:tcW w:w="1134" w:type="dxa"/>
            <w:tcBorders>
              <w:top w:val="nil"/>
              <w:bottom w:val="nil"/>
            </w:tcBorders>
          </w:tcPr>
          <w:p w:rsidR="00803D84" w:rsidRPr="00196C93" w:rsidRDefault="00803D84" w:rsidP="00A63E8E">
            <w:pPr>
              <w:spacing w:line="480" w:lineRule="auto"/>
              <w:jc w:val="center"/>
              <w:rPr>
                <w:rFonts w:ascii="Arial" w:hAnsi="Arial" w:cs="Arial"/>
                <w:color w:val="000000"/>
              </w:rPr>
            </w:pPr>
            <w:r>
              <w:rPr>
                <w:rFonts w:ascii="Arial" w:hAnsi="Arial" w:cs="Arial"/>
                <w:color w:val="000000"/>
              </w:rPr>
              <w:t>18·</w:t>
            </w:r>
            <w:r w:rsidRPr="00F57586">
              <w:rPr>
                <w:rFonts w:ascii="Arial" w:hAnsi="Arial" w:cs="Arial"/>
                <w:color w:val="000000"/>
              </w:rPr>
              <w:t>2</w:t>
            </w:r>
          </w:p>
        </w:tc>
        <w:tc>
          <w:tcPr>
            <w:tcW w:w="1134" w:type="dxa"/>
            <w:tcBorders>
              <w:top w:val="nil"/>
              <w:bottom w:val="nil"/>
            </w:tcBorders>
          </w:tcPr>
          <w:p w:rsidR="00803D84" w:rsidRPr="00196C93" w:rsidRDefault="00803D84" w:rsidP="00A63E8E">
            <w:pPr>
              <w:spacing w:line="480" w:lineRule="auto"/>
              <w:jc w:val="center"/>
              <w:rPr>
                <w:rFonts w:ascii="Arial" w:hAnsi="Arial" w:cs="Arial"/>
                <w:color w:val="000000"/>
              </w:rPr>
            </w:pPr>
            <w:r w:rsidRPr="00F57586">
              <w:rPr>
                <w:rFonts w:ascii="Arial" w:hAnsi="Arial" w:cs="Arial"/>
                <w:color w:val="000000"/>
              </w:rPr>
              <w:t>117</w:t>
            </w:r>
          </w:p>
        </w:tc>
        <w:tc>
          <w:tcPr>
            <w:tcW w:w="1134" w:type="dxa"/>
            <w:tcBorders>
              <w:top w:val="nil"/>
              <w:bottom w:val="nil"/>
            </w:tcBorders>
          </w:tcPr>
          <w:p w:rsidR="00803D84" w:rsidRPr="00196C93" w:rsidRDefault="00803D84" w:rsidP="00A63E8E">
            <w:pPr>
              <w:spacing w:line="480" w:lineRule="auto"/>
              <w:jc w:val="center"/>
              <w:rPr>
                <w:rFonts w:ascii="Arial" w:hAnsi="Arial" w:cs="Arial"/>
                <w:color w:val="000000"/>
              </w:rPr>
            </w:pPr>
            <w:r>
              <w:rPr>
                <w:rFonts w:ascii="Arial" w:hAnsi="Arial" w:cs="Arial"/>
                <w:color w:val="000000"/>
              </w:rPr>
              <w:t>21·</w:t>
            </w:r>
            <w:r w:rsidRPr="00F57586">
              <w:rPr>
                <w:rFonts w:ascii="Arial" w:hAnsi="Arial" w:cs="Arial"/>
                <w:color w:val="000000"/>
              </w:rPr>
              <w:t>9</w:t>
            </w:r>
          </w:p>
        </w:tc>
        <w:tc>
          <w:tcPr>
            <w:tcW w:w="993" w:type="dxa"/>
            <w:tcBorders>
              <w:top w:val="nil"/>
              <w:bottom w:val="nil"/>
            </w:tcBorders>
          </w:tcPr>
          <w:p w:rsidR="00803D84" w:rsidRPr="00196C93" w:rsidRDefault="00803D84" w:rsidP="00A63E8E">
            <w:pPr>
              <w:spacing w:line="480" w:lineRule="auto"/>
              <w:jc w:val="center"/>
              <w:rPr>
                <w:rFonts w:ascii="Arial" w:hAnsi="Arial" w:cs="Arial"/>
                <w:color w:val="000000"/>
              </w:rPr>
            </w:pPr>
            <w:r w:rsidRPr="00F57586">
              <w:rPr>
                <w:rFonts w:ascii="Arial" w:hAnsi="Arial" w:cs="Arial"/>
                <w:color w:val="000000"/>
              </w:rPr>
              <w:t>106</w:t>
            </w:r>
          </w:p>
        </w:tc>
        <w:tc>
          <w:tcPr>
            <w:tcW w:w="992" w:type="dxa"/>
            <w:tcBorders>
              <w:top w:val="nil"/>
              <w:bottom w:val="nil"/>
            </w:tcBorders>
          </w:tcPr>
          <w:p w:rsidR="00803D84" w:rsidRPr="00196C93" w:rsidRDefault="00803D84" w:rsidP="00A63E8E">
            <w:pPr>
              <w:spacing w:line="480" w:lineRule="auto"/>
              <w:jc w:val="center"/>
              <w:rPr>
                <w:rFonts w:ascii="Arial" w:hAnsi="Arial" w:cs="Arial"/>
                <w:color w:val="000000"/>
              </w:rPr>
            </w:pPr>
            <w:r>
              <w:rPr>
                <w:rFonts w:ascii="Arial" w:hAnsi="Arial" w:cs="Arial"/>
                <w:color w:val="000000"/>
              </w:rPr>
              <w:t>20·</w:t>
            </w:r>
            <w:r w:rsidRPr="00F57586">
              <w:rPr>
                <w:rFonts w:ascii="Arial" w:hAnsi="Arial" w:cs="Arial"/>
                <w:color w:val="000000"/>
              </w:rPr>
              <w:t>2</w:t>
            </w:r>
          </w:p>
        </w:tc>
        <w:tc>
          <w:tcPr>
            <w:tcW w:w="992" w:type="dxa"/>
            <w:tcBorders>
              <w:top w:val="nil"/>
              <w:bottom w:val="nil"/>
            </w:tcBorders>
          </w:tcPr>
          <w:p w:rsidR="00803D84" w:rsidRPr="00196C93" w:rsidRDefault="00803D84" w:rsidP="00A63E8E">
            <w:pPr>
              <w:spacing w:line="480" w:lineRule="auto"/>
              <w:jc w:val="center"/>
              <w:rPr>
                <w:rFonts w:ascii="Arial" w:hAnsi="Arial" w:cs="Arial"/>
                <w:color w:val="000000"/>
              </w:rPr>
            </w:pPr>
            <w:r w:rsidRPr="00F57586">
              <w:rPr>
                <w:rFonts w:ascii="Arial" w:hAnsi="Arial" w:cs="Arial"/>
                <w:color w:val="000000"/>
              </w:rPr>
              <w:t>320</w:t>
            </w:r>
          </w:p>
        </w:tc>
        <w:tc>
          <w:tcPr>
            <w:tcW w:w="1168" w:type="dxa"/>
            <w:tcBorders>
              <w:top w:val="nil"/>
              <w:bottom w:val="nil"/>
            </w:tcBorders>
          </w:tcPr>
          <w:p w:rsidR="00803D84" w:rsidRPr="00196C93" w:rsidRDefault="00803D84" w:rsidP="00A63E8E">
            <w:pPr>
              <w:spacing w:line="480" w:lineRule="auto"/>
              <w:jc w:val="center"/>
              <w:rPr>
                <w:rFonts w:ascii="Arial" w:hAnsi="Arial" w:cs="Arial"/>
                <w:color w:val="000000"/>
              </w:rPr>
            </w:pPr>
            <w:r>
              <w:rPr>
                <w:rFonts w:ascii="Arial" w:hAnsi="Arial" w:cs="Arial"/>
                <w:color w:val="000000"/>
              </w:rPr>
              <w:t>20·</w:t>
            </w:r>
            <w:r w:rsidRPr="00F57586">
              <w:rPr>
                <w:rFonts w:ascii="Arial" w:hAnsi="Arial" w:cs="Arial"/>
                <w:color w:val="000000"/>
              </w:rPr>
              <w:t>1</w:t>
            </w:r>
          </w:p>
        </w:tc>
      </w:tr>
      <w:tr w:rsidR="00803D84" w:rsidRPr="00FB5E12" w:rsidTr="000F0C69">
        <w:trPr>
          <w:trHeight w:val="149"/>
        </w:trPr>
        <w:tc>
          <w:tcPr>
            <w:tcW w:w="11624" w:type="dxa"/>
            <w:gridSpan w:val="9"/>
            <w:tcBorders>
              <w:top w:val="single" w:sz="4" w:space="0" w:color="auto"/>
              <w:left w:val="nil"/>
              <w:bottom w:val="nil"/>
              <w:right w:val="nil"/>
            </w:tcBorders>
          </w:tcPr>
          <w:p w:rsidR="00803D84" w:rsidRPr="00FB5E12" w:rsidRDefault="00803D84" w:rsidP="00A63E8E">
            <w:pPr>
              <w:spacing w:line="480" w:lineRule="auto"/>
              <w:rPr>
                <w:rFonts w:ascii="Arial" w:hAnsi="Arial" w:cs="Arial"/>
                <w:color w:val="000000"/>
              </w:rPr>
            </w:pPr>
            <w:r w:rsidRPr="00FB5E12">
              <w:rPr>
                <w:rFonts w:ascii="Arial" w:hAnsi="Arial" w:cs="Arial"/>
                <w:color w:val="000000"/>
                <w:vertAlign w:val="superscript"/>
              </w:rPr>
              <w:t xml:space="preserve">1 </w:t>
            </w:r>
            <w:r w:rsidRPr="00FB5E12">
              <w:rPr>
                <w:rFonts w:ascii="Arial" w:hAnsi="Arial" w:cs="Arial"/>
                <w:color w:val="000000"/>
              </w:rPr>
              <w:t>Randomi</w:t>
            </w:r>
            <w:r>
              <w:rPr>
                <w:rFonts w:ascii="Arial" w:hAnsi="Arial" w:cs="Arial"/>
                <w:color w:val="000000"/>
              </w:rPr>
              <w:t>s</w:t>
            </w:r>
            <w:r w:rsidRPr="00FB5E12">
              <w:rPr>
                <w:rFonts w:ascii="Arial" w:hAnsi="Arial" w:cs="Arial"/>
                <w:color w:val="000000"/>
              </w:rPr>
              <w:t xml:space="preserve">ed participants that did not receive a </w:t>
            </w:r>
            <w:r>
              <w:rPr>
                <w:rFonts w:ascii="Arial" w:hAnsi="Arial" w:cs="Arial"/>
                <w:color w:val="000000"/>
              </w:rPr>
              <w:t xml:space="preserve">shunt </w:t>
            </w:r>
            <w:r w:rsidRPr="00FB5E12">
              <w:rPr>
                <w:rFonts w:ascii="Arial" w:hAnsi="Arial" w:cs="Arial"/>
                <w:color w:val="000000"/>
              </w:rPr>
              <w:t xml:space="preserve">(n=4) and had infection at time of insertion (n=7) were excluded from the primary outcome set, see Figure 2. </w:t>
            </w:r>
          </w:p>
          <w:p w:rsidR="00803D84" w:rsidRPr="00FB5E12" w:rsidRDefault="00803D84" w:rsidP="002B7026">
            <w:pPr>
              <w:spacing w:line="480" w:lineRule="auto"/>
              <w:rPr>
                <w:rFonts w:ascii="Arial" w:hAnsi="Arial" w:cs="Arial"/>
                <w:color w:val="000000"/>
              </w:rPr>
            </w:pPr>
            <w:r w:rsidRPr="00FB5E12">
              <w:rPr>
                <w:rFonts w:ascii="Arial" w:hAnsi="Arial" w:cs="Arial"/>
                <w:color w:val="000000"/>
                <w:vertAlign w:val="superscript"/>
              </w:rPr>
              <w:t xml:space="preserve">2 </w:t>
            </w:r>
            <w:r w:rsidRPr="00FB5E12">
              <w:rPr>
                <w:rFonts w:ascii="Arial" w:hAnsi="Arial" w:cs="Arial"/>
                <w:color w:val="000000"/>
              </w:rPr>
              <w:t xml:space="preserve">Where the committee </w:t>
            </w:r>
            <w:r>
              <w:rPr>
                <w:rFonts w:ascii="Arial" w:hAnsi="Arial" w:cs="Arial"/>
                <w:color w:val="000000"/>
              </w:rPr>
              <w:t>wa</w:t>
            </w:r>
            <w:r w:rsidRPr="00FB5E12">
              <w:rPr>
                <w:rFonts w:ascii="Arial" w:hAnsi="Arial" w:cs="Arial"/>
                <w:color w:val="000000"/>
              </w:rPr>
              <w:t xml:space="preserve">s unable to classify an infection, an infection </w:t>
            </w:r>
            <w:r>
              <w:rPr>
                <w:rFonts w:ascii="Arial" w:hAnsi="Arial" w:cs="Arial"/>
                <w:color w:val="000000"/>
              </w:rPr>
              <w:t>wa</w:t>
            </w:r>
            <w:r w:rsidRPr="00FB5E12">
              <w:rPr>
                <w:rFonts w:ascii="Arial" w:hAnsi="Arial" w:cs="Arial"/>
                <w:color w:val="000000"/>
              </w:rPr>
              <w:t xml:space="preserve">s identified as reported on the case report forms. There was one case where the committee was unable to classify and this was clinically classified as an infection. </w:t>
            </w:r>
          </w:p>
        </w:tc>
      </w:tr>
    </w:tbl>
    <w:p w:rsidR="00803D84" w:rsidRDefault="00803D84" w:rsidP="00A63E8E">
      <w:pPr>
        <w:spacing w:line="480" w:lineRule="auto"/>
        <w:rPr>
          <w:rFonts w:ascii="Calibri" w:hAnsi="Calibri" w:cs="Calibri"/>
          <w:sz w:val="22"/>
          <w:szCs w:val="22"/>
        </w:rPr>
      </w:pPr>
      <w:r>
        <w:rPr>
          <w:rFonts w:ascii="Calibri" w:hAnsi="Calibri" w:cs="Calibri"/>
          <w:sz w:val="22"/>
          <w:szCs w:val="22"/>
        </w:rPr>
        <w:br w:type="page"/>
      </w:r>
    </w:p>
    <w:p w:rsidR="00803D84" w:rsidRPr="00FB5E12" w:rsidRDefault="00803D84" w:rsidP="00406740">
      <w:pPr>
        <w:spacing w:line="480" w:lineRule="auto"/>
        <w:jc w:val="both"/>
        <w:rPr>
          <w:rFonts w:ascii="Arial" w:hAnsi="Arial" w:cs="Arial"/>
        </w:rPr>
      </w:pPr>
      <w:r w:rsidRPr="00FB5E12">
        <w:rPr>
          <w:rFonts w:ascii="Calibri" w:hAnsi="Calibri" w:cs="Calibri"/>
        </w:rPr>
        <w:t>Table 3</w:t>
      </w:r>
      <w:r>
        <w:rPr>
          <w:rFonts w:ascii="Calibri" w:hAnsi="Calibri" w:cs="Calibri"/>
        </w:rPr>
        <w:t xml:space="preserve">: </w:t>
      </w:r>
      <w:r w:rsidRPr="00FB5E12">
        <w:rPr>
          <w:rFonts w:ascii="Arial" w:hAnsi="Arial" w:cs="Arial"/>
        </w:rPr>
        <w:t xml:space="preserve">Hazard ratio estimates from multivariate regression modelling </w:t>
      </w:r>
    </w:p>
    <w:tbl>
      <w:tblPr>
        <w:tblW w:w="15034" w:type="dxa"/>
        <w:tblInd w:w="10" w:type="dxa"/>
        <w:tblLayout w:type="fixed"/>
        <w:tblCellMar>
          <w:left w:w="0" w:type="dxa"/>
          <w:right w:w="0" w:type="dxa"/>
        </w:tblCellMar>
        <w:tblLook w:val="04A0" w:firstRow="1" w:lastRow="0" w:firstColumn="1" w:lastColumn="0" w:noHBand="0" w:noVBand="1"/>
      </w:tblPr>
      <w:tblGrid>
        <w:gridCol w:w="2804"/>
        <w:gridCol w:w="1131"/>
        <w:gridCol w:w="2597"/>
        <w:gridCol w:w="1087"/>
        <w:gridCol w:w="1087"/>
        <w:gridCol w:w="1276"/>
        <w:gridCol w:w="1134"/>
        <w:gridCol w:w="992"/>
        <w:gridCol w:w="1559"/>
        <w:gridCol w:w="1367"/>
      </w:tblGrid>
      <w:tr w:rsidR="00803D84" w:rsidRPr="001D5EA9" w:rsidTr="00340E61">
        <w:tc>
          <w:tcPr>
            <w:tcW w:w="2804" w:type="dxa"/>
            <w:tcBorders>
              <w:top w:val="single" w:sz="4" w:space="0" w:color="auto"/>
              <w:left w:val="single" w:sz="4" w:space="0" w:color="auto"/>
              <w:bottom w:val="single" w:sz="4" w:space="0" w:color="auto"/>
            </w:tcBorders>
            <w:shd w:val="clear" w:color="auto" w:fill="DDD9C3" w:themeFill="background2" w:themeFillShade="E6"/>
          </w:tcPr>
          <w:p w:rsidR="00803D84" w:rsidRPr="004837FB" w:rsidRDefault="00803D84" w:rsidP="00A63E8E">
            <w:pPr>
              <w:spacing w:line="480" w:lineRule="auto"/>
              <w:rPr>
                <w:rFonts w:ascii="Arial" w:hAnsi="Arial" w:cs="Arial"/>
                <w:bCs/>
                <w:i/>
                <w:sz w:val="20"/>
                <w:szCs w:val="20"/>
                <w:lang w:eastAsia="en-GB"/>
              </w:rPr>
            </w:pPr>
            <w:r w:rsidRPr="004837FB">
              <w:rPr>
                <w:rFonts w:ascii="Arial" w:hAnsi="Arial" w:cs="Arial"/>
                <w:bCs/>
                <w:i/>
                <w:sz w:val="20"/>
                <w:szCs w:val="20"/>
                <w:lang w:eastAsia="en-GB"/>
              </w:rPr>
              <w:t>Primary outcome</w:t>
            </w:r>
          </w:p>
        </w:tc>
        <w:tc>
          <w:tcPr>
            <w:tcW w:w="1131" w:type="dxa"/>
            <w:tcBorders>
              <w:top w:val="single" w:sz="4" w:space="0" w:color="auto"/>
              <w:bottom w:val="single" w:sz="4" w:space="0" w:color="auto"/>
            </w:tcBorders>
            <w:shd w:val="clear" w:color="auto" w:fill="DDD9C3" w:themeFill="background2" w:themeFillShade="E6"/>
          </w:tcPr>
          <w:p w:rsidR="00803D84" w:rsidRPr="00893D85" w:rsidRDefault="00803D84" w:rsidP="00A63E8E">
            <w:pPr>
              <w:spacing w:line="480" w:lineRule="auto"/>
              <w:rPr>
                <w:rFonts w:ascii="Arial" w:hAnsi="Arial" w:cs="Arial"/>
                <w:b/>
                <w:bCs/>
                <w:sz w:val="20"/>
                <w:szCs w:val="20"/>
                <w:lang w:eastAsia="en-GB"/>
              </w:rPr>
            </w:pPr>
          </w:p>
        </w:tc>
        <w:tc>
          <w:tcPr>
            <w:tcW w:w="2597" w:type="dxa"/>
            <w:tcBorders>
              <w:top w:val="single" w:sz="4" w:space="0" w:color="auto"/>
              <w:bottom w:val="single" w:sz="4" w:space="0" w:color="auto"/>
            </w:tcBorders>
            <w:shd w:val="clear" w:color="auto" w:fill="DDD9C3" w:themeFill="background2" w:themeFillShade="E6"/>
            <w:tcMar>
              <w:top w:w="0" w:type="dxa"/>
              <w:left w:w="108" w:type="dxa"/>
              <w:bottom w:w="0" w:type="dxa"/>
              <w:right w:w="108" w:type="dxa"/>
            </w:tcMar>
          </w:tcPr>
          <w:p w:rsidR="00803D84" w:rsidRPr="001D5EA9" w:rsidRDefault="00803D84" w:rsidP="00A63E8E">
            <w:pPr>
              <w:spacing w:line="480" w:lineRule="auto"/>
              <w:rPr>
                <w:rFonts w:ascii="Arial" w:hAnsi="Arial" w:cs="Arial"/>
                <w:b/>
                <w:bCs/>
                <w:sz w:val="20"/>
                <w:szCs w:val="20"/>
                <w:lang w:eastAsia="en-GB"/>
              </w:rPr>
            </w:pPr>
          </w:p>
        </w:tc>
        <w:tc>
          <w:tcPr>
            <w:tcW w:w="1087" w:type="dxa"/>
            <w:tcBorders>
              <w:top w:val="single" w:sz="4" w:space="0" w:color="auto"/>
              <w:bottom w:val="single" w:sz="4" w:space="0" w:color="auto"/>
              <w:right w:val="nil"/>
            </w:tcBorders>
            <w:shd w:val="clear" w:color="auto" w:fill="DDD9C3" w:themeFill="background2" w:themeFillShade="E6"/>
          </w:tcPr>
          <w:p w:rsidR="00803D84" w:rsidRPr="004837FB" w:rsidRDefault="00803D84" w:rsidP="00A63E8E">
            <w:pPr>
              <w:spacing w:line="480" w:lineRule="auto"/>
              <w:jc w:val="center"/>
              <w:rPr>
                <w:rFonts w:ascii="Arial" w:hAnsi="Arial" w:cs="Arial"/>
                <w:b/>
                <w:bCs/>
                <w:sz w:val="20"/>
                <w:szCs w:val="20"/>
                <w:vertAlign w:val="subscript"/>
                <w:lang w:eastAsia="en-GB"/>
              </w:rPr>
            </w:pPr>
          </w:p>
        </w:tc>
        <w:tc>
          <w:tcPr>
            <w:tcW w:w="1087" w:type="dxa"/>
            <w:tcBorders>
              <w:top w:val="single" w:sz="4" w:space="0" w:color="auto"/>
              <w:left w:val="nil"/>
              <w:bottom w:val="single" w:sz="4" w:space="0" w:color="auto"/>
            </w:tcBorders>
            <w:shd w:val="clear" w:color="auto" w:fill="DDD9C3" w:themeFill="background2" w:themeFillShade="E6"/>
            <w:tcMar>
              <w:top w:w="0" w:type="dxa"/>
              <w:left w:w="108" w:type="dxa"/>
              <w:bottom w:w="0" w:type="dxa"/>
              <w:right w:w="108" w:type="dxa"/>
            </w:tcMar>
          </w:tcPr>
          <w:p w:rsidR="00803D84" w:rsidRPr="004837FB" w:rsidRDefault="00803D84" w:rsidP="00A63E8E">
            <w:pPr>
              <w:spacing w:line="480" w:lineRule="auto"/>
              <w:jc w:val="center"/>
              <w:rPr>
                <w:rFonts w:ascii="Arial" w:hAnsi="Arial" w:cs="Arial"/>
                <w:b/>
                <w:bCs/>
                <w:sz w:val="20"/>
                <w:szCs w:val="20"/>
                <w:vertAlign w:val="subscript"/>
                <w:lang w:eastAsia="en-GB"/>
              </w:rPr>
            </w:pPr>
          </w:p>
        </w:tc>
        <w:tc>
          <w:tcPr>
            <w:tcW w:w="1276" w:type="dxa"/>
            <w:tcBorders>
              <w:top w:val="single" w:sz="4" w:space="0" w:color="auto"/>
              <w:left w:val="nil"/>
              <w:bottom w:val="single" w:sz="4" w:space="0" w:color="auto"/>
            </w:tcBorders>
            <w:shd w:val="clear" w:color="auto" w:fill="DDD9C3" w:themeFill="background2" w:themeFillShade="E6"/>
          </w:tcPr>
          <w:p w:rsidR="00803D84" w:rsidRPr="001D5EA9" w:rsidRDefault="00803D84" w:rsidP="00A63E8E">
            <w:pPr>
              <w:spacing w:line="480" w:lineRule="auto"/>
              <w:jc w:val="center"/>
              <w:rPr>
                <w:rFonts w:ascii="Arial" w:hAnsi="Arial" w:cs="Arial"/>
                <w:b/>
                <w:bCs/>
                <w:sz w:val="20"/>
                <w:szCs w:val="20"/>
                <w:lang w:eastAsia="en-GB"/>
              </w:rPr>
            </w:pPr>
          </w:p>
        </w:tc>
        <w:tc>
          <w:tcPr>
            <w:tcW w:w="1134" w:type="dxa"/>
            <w:tcBorders>
              <w:top w:val="single" w:sz="4" w:space="0" w:color="auto"/>
              <w:left w:val="nil"/>
              <w:bottom w:val="single" w:sz="4" w:space="0" w:color="auto"/>
            </w:tcBorders>
            <w:shd w:val="clear" w:color="auto" w:fill="DDD9C3" w:themeFill="background2" w:themeFillShade="E6"/>
            <w:tcMar>
              <w:top w:w="0" w:type="dxa"/>
              <w:left w:w="108" w:type="dxa"/>
              <w:bottom w:w="0" w:type="dxa"/>
              <w:right w:w="108" w:type="dxa"/>
            </w:tcMar>
          </w:tcPr>
          <w:p w:rsidR="00803D84" w:rsidRPr="004837FB" w:rsidRDefault="00803D84" w:rsidP="00A63E8E">
            <w:pPr>
              <w:spacing w:line="480" w:lineRule="auto"/>
              <w:jc w:val="center"/>
              <w:rPr>
                <w:rFonts w:ascii="Arial" w:hAnsi="Arial" w:cs="Arial"/>
                <w:b/>
                <w:bCs/>
                <w:i/>
                <w:sz w:val="20"/>
                <w:szCs w:val="20"/>
                <w:lang w:eastAsia="en-GB"/>
              </w:rPr>
            </w:pPr>
          </w:p>
        </w:tc>
        <w:tc>
          <w:tcPr>
            <w:tcW w:w="992" w:type="dxa"/>
            <w:tcBorders>
              <w:top w:val="single" w:sz="4" w:space="0" w:color="auto"/>
              <w:bottom w:val="single" w:sz="4" w:space="0" w:color="auto"/>
            </w:tcBorders>
            <w:shd w:val="clear" w:color="auto" w:fill="DDD9C3" w:themeFill="background2" w:themeFillShade="E6"/>
            <w:tcMar>
              <w:top w:w="0" w:type="dxa"/>
              <w:left w:w="108" w:type="dxa"/>
              <w:bottom w:w="0" w:type="dxa"/>
              <w:right w:w="108" w:type="dxa"/>
            </w:tcMar>
          </w:tcPr>
          <w:p w:rsidR="00803D84" w:rsidRDefault="00803D84" w:rsidP="00A63E8E">
            <w:pPr>
              <w:spacing w:line="480" w:lineRule="auto"/>
              <w:jc w:val="center"/>
              <w:rPr>
                <w:rFonts w:ascii="Arial" w:hAnsi="Arial" w:cs="Arial"/>
                <w:b/>
                <w:bCs/>
                <w:sz w:val="20"/>
                <w:szCs w:val="20"/>
                <w:lang w:eastAsia="en-GB"/>
              </w:rPr>
            </w:pPr>
          </w:p>
        </w:tc>
        <w:tc>
          <w:tcPr>
            <w:tcW w:w="1559" w:type="dxa"/>
            <w:tcBorders>
              <w:top w:val="single" w:sz="4" w:space="0" w:color="auto"/>
              <w:left w:val="nil"/>
              <w:bottom w:val="single" w:sz="4" w:space="0" w:color="auto"/>
            </w:tcBorders>
            <w:shd w:val="clear" w:color="auto" w:fill="DDD9C3" w:themeFill="background2" w:themeFillShade="E6"/>
          </w:tcPr>
          <w:p w:rsidR="00803D84" w:rsidRPr="001D5EA9" w:rsidRDefault="00803D84" w:rsidP="00A63E8E">
            <w:pPr>
              <w:spacing w:line="480" w:lineRule="auto"/>
              <w:jc w:val="center"/>
              <w:rPr>
                <w:rFonts w:ascii="Arial" w:hAnsi="Arial" w:cs="Arial"/>
                <w:b/>
                <w:bCs/>
                <w:sz w:val="20"/>
                <w:szCs w:val="20"/>
                <w:lang w:eastAsia="en-GB"/>
              </w:rPr>
            </w:pPr>
          </w:p>
        </w:tc>
        <w:tc>
          <w:tcPr>
            <w:tcW w:w="1367" w:type="dxa"/>
            <w:tcBorders>
              <w:top w:val="single" w:sz="4" w:space="0" w:color="auto"/>
              <w:left w:val="nil"/>
              <w:bottom w:val="single" w:sz="4" w:space="0" w:color="auto"/>
              <w:right w:val="single" w:sz="4" w:space="0" w:color="auto"/>
            </w:tcBorders>
            <w:shd w:val="clear" w:color="auto" w:fill="DDD9C3" w:themeFill="background2" w:themeFillShade="E6"/>
            <w:tcMar>
              <w:top w:w="0" w:type="dxa"/>
              <w:left w:w="108" w:type="dxa"/>
              <w:bottom w:w="0" w:type="dxa"/>
              <w:right w:w="108" w:type="dxa"/>
            </w:tcMar>
          </w:tcPr>
          <w:p w:rsidR="00803D84" w:rsidRPr="001D5EA9" w:rsidRDefault="00803D84" w:rsidP="00A63E8E">
            <w:pPr>
              <w:spacing w:line="480" w:lineRule="auto"/>
              <w:jc w:val="center"/>
              <w:rPr>
                <w:rFonts w:ascii="Arial" w:hAnsi="Arial" w:cs="Arial"/>
                <w:b/>
                <w:bCs/>
                <w:sz w:val="20"/>
                <w:szCs w:val="20"/>
                <w:lang w:eastAsia="en-GB"/>
              </w:rPr>
            </w:pPr>
          </w:p>
        </w:tc>
      </w:tr>
      <w:tr w:rsidR="00803D84" w:rsidRPr="001D5EA9" w:rsidTr="00340E61">
        <w:tc>
          <w:tcPr>
            <w:tcW w:w="2804" w:type="dxa"/>
            <w:vMerge w:val="restart"/>
            <w:tcBorders>
              <w:top w:val="single" w:sz="4" w:space="0" w:color="auto"/>
              <w:left w:val="single" w:sz="4" w:space="0" w:color="auto"/>
              <w:bottom w:val="single" w:sz="4" w:space="0" w:color="auto"/>
              <w:right w:val="single" w:sz="4" w:space="0" w:color="auto"/>
            </w:tcBorders>
          </w:tcPr>
          <w:p w:rsidR="00803D84" w:rsidRPr="003540E7" w:rsidRDefault="00803D84" w:rsidP="002B7026">
            <w:pPr>
              <w:spacing w:line="480" w:lineRule="auto"/>
              <w:rPr>
                <w:rFonts w:ascii="Arial" w:hAnsi="Arial" w:cs="Arial"/>
                <w:bCs/>
                <w:i/>
                <w:sz w:val="20"/>
                <w:szCs w:val="20"/>
                <w:lang w:eastAsia="en-GB"/>
              </w:rPr>
            </w:pPr>
            <w:r w:rsidRPr="004837FB">
              <w:rPr>
                <w:rFonts w:ascii="Arial" w:hAnsi="Arial" w:cs="Arial"/>
                <w:color w:val="000000"/>
                <w:sz w:val="20"/>
                <w:szCs w:val="20"/>
              </w:rPr>
              <w:t xml:space="preserve">Time to removal of the first </w:t>
            </w:r>
            <w:r>
              <w:rPr>
                <w:rFonts w:ascii="Arial" w:hAnsi="Arial" w:cs="Arial"/>
                <w:color w:val="000000"/>
                <w:sz w:val="20"/>
                <w:szCs w:val="20"/>
              </w:rPr>
              <w:t xml:space="preserve">shunt </w:t>
            </w:r>
            <w:r w:rsidRPr="004837FB">
              <w:rPr>
                <w:rFonts w:ascii="Arial" w:hAnsi="Arial" w:cs="Arial"/>
                <w:color w:val="000000"/>
                <w:sz w:val="20"/>
                <w:szCs w:val="20"/>
              </w:rPr>
              <w:t>due to infection, as assessed by central review</w:t>
            </w:r>
            <w:r>
              <w:rPr>
                <w:rFonts w:ascii="Arial" w:hAnsi="Arial" w:cs="Arial"/>
                <w:color w:val="000000"/>
                <w:sz w:val="20"/>
                <w:szCs w:val="20"/>
              </w:rPr>
              <w:t xml:space="preserve"> </w:t>
            </w:r>
            <w:r>
              <w:rPr>
                <w:rFonts w:ascii="Arial" w:hAnsi="Arial" w:cs="Arial"/>
                <w:color w:val="000000"/>
                <w:sz w:val="20"/>
                <w:szCs w:val="20"/>
                <w:vertAlign w:val="superscript"/>
              </w:rPr>
              <w:t>(1)</w:t>
            </w:r>
          </w:p>
        </w:tc>
        <w:tc>
          <w:tcPr>
            <w:tcW w:w="3728" w:type="dxa"/>
            <w:gridSpan w:val="2"/>
            <w:tcBorders>
              <w:top w:val="single" w:sz="4" w:space="0" w:color="auto"/>
              <w:left w:val="single" w:sz="4" w:space="0" w:color="auto"/>
              <w:bottom w:val="single" w:sz="4" w:space="0" w:color="auto"/>
              <w:right w:val="single" w:sz="4" w:space="0" w:color="auto"/>
            </w:tcBorders>
          </w:tcPr>
          <w:p w:rsidR="00803D84" w:rsidRPr="004837FB" w:rsidRDefault="00803D84" w:rsidP="00A63E8E">
            <w:pPr>
              <w:spacing w:line="480" w:lineRule="auto"/>
              <w:rPr>
                <w:rFonts w:ascii="Arial" w:hAnsi="Arial" w:cs="Arial"/>
                <w:bCs/>
                <w:i/>
                <w:sz w:val="20"/>
                <w:szCs w:val="20"/>
                <w:lang w:eastAsia="en-GB"/>
              </w:rPr>
            </w:pPr>
            <w:r w:rsidRPr="004837FB">
              <w:rPr>
                <w:rFonts w:ascii="Arial" w:hAnsi="Arial" w:cs="Arial"/>
                <w:bCs/>
                <w:i/>
                <w:sz w:val="20"/>
                <w:szCs w:val="20"/>
                <w:lang w:eastAsia="en-GB"/>
              </w:rPr>
              <w:t>Model estimate</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A63E8E">
            <w:pPr>
              <w:spacing w:line="480" w:lineRule="auto"/>
              <w:jc w:val="center"/>
              <w:rPr>
                <w:rFonts w:ascii="Arial" w:hAnsi="Arial" w:cs="Arial"/>
                <w:bCs/>
                <w:i/>
                <w:sz w:val="20"/>
                <w:szCs w:val="20"/>
                <w:lang w:eastAsia="en-GB"/>
              </w:rPr>
            </w:pPr>
            <w:r>
              <w:rPr>
                <w:rFonts w:ascii="Arial" w:hAnsi="Arial" w:cs="Arial"/>
                <w:bCs/>
                <w:i/>
                <w:sz w:val="20"/>
                <w:szCs w:val="20"/>
                <w:lang w:eastAsia="en-GB"/>
              </w:rPr>
              <w:t>N events</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Cs/>
                <w:i/>
                <w:sz w:val="20"/>
                <w:szCs w:val="20"/>
                <w:lang w:eastAsia="en-GB"/>
              </w:rPr>
            </w:pPr>
            <w:r>
              <w:rPr>
                <w:rFonts w:ascii="Arial" w:hAnsi="Arial" w:cs="Arial"/>
                <w:bCs/>
                <w:i/>
                <w:sz w:val="20"/>
                <w:szCs w:val="20"/>
                <w:lang w:eastAsia="en-GB"/>
              </w:rPr>
              <w:t>c</w:t>
            </w:r>
            <w:r w:rsidRPr="004837FB">
              <w:rPr>
                <w:rFonts w:ascii="Arial" w:hAnsi="Arial" w:cs="Arial"/>
                <w:bCs/>
                <w:i/>
                <w:sz w:val="20"/>
                <w:szCs w:val="20"/>
                <w:lang w:eastAsia="en-GB"/>
              </w:rPr>
              <w:t>s</w:t>
            </w:r>
            <w:r>
              <w:rPr>
                <w:rFonts w:ascii="Arial" w:hAnsi="Arial" w:cs="Arial"/>
                <w:bCs/>
                <w:i/>
                <w:sz w:val="20"/>
                <w:szCs w:val="20"/>
                <w:lang w:eastAsia="en-GB"/>
              </w:rPr>
              <w:t>HR</w:t>
            </w:r>
          </w:p>
        </w:tc>
        <w:tc>
          <w:tcPr>
            <w:tcW w:w="1276"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bCs/>
                <w:i/>
                <w:sz w:val="20"/>
                <w:szCs w:val="20"/>
                <w:lang w:eastAsia="en-GB"/>
              </w:rPr>
            </w:pPr>
            <w:r>
              <w:rPr>
                <w:rFonts w:ascii="Arial" w:hAnsi="Arial" w:cs="Arial"/>
                <w:bCs/>
                <w:i/>
                <w:sz w:val="20"/>
                <w:szCs w:val="20"/>
                <w:lang w:eastAsia="en-GB"/>
              </w:rPr>
              <w:t>(97·</w:t>
            </w:r>
            <w:r w:rsidRPr="004837FB">
              <w:rPr>
                <w:rFonts w:ascii="Arial" w:hAnsi="Arial" w:cs="Arial"/>
                <w:bCs/>
                <w:i/>
                <w:sz w:val="20"/>
                <w:szCs w:val="20"/>
                <w:lang w:eastAsia="en-GB"/>
              </w:rPr>
              <w:t>5% CI)</w:t>
            </w:r>
          </w:p>
        </w:tc>
        <w:tc>
          <w:tcPr>
            <w:tcW w:w="1134" w:type="dxa"/>
            <w:tcBorders>
              <w:top w:val="single" w:sz="4" w:space="0" w:color="auto"/>
              <w:left w:val="nil"/>
              <w:bottom w:val="single" w:sz="4" w:space="0" w:color="auto"/>
              <w:right w:val="single" w:sz="2"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Cs/>
                <w:i/>
                <w:sz w:val="20"/>
                <w:szCs w:val="20"/>
                <w:lang w:eastAsia="en-GB"/>
              </w:rPr>
            </w:pPr>
            <w:r w:rsidRPr="004837FB">
              <w:rPr>
                <w:rFonts w:ascii="Arial" w:hAnsi="Arial" w:cs="Arial"/>
                <w:bCs/>
                <w:i/>
                <w:sz w:val="20"/>
                <w:szCs w:val="20"/>
                <w:lang w:eastAsia="en-GB"/>
              </w:rPr>
              <w:t>P-value</w:t>
            </w:r>
          </w:p>
        </w:tc>
        <w:tc>
          <w:tcPr>
            <w:tcW w:w="992" w:type="dxa"/>
            <w:tcBorders>
              <w:top w:val="single" w:sz="4" w:space="0" w:color="auto"/>
              <w:left w:val="single" w:sz="2" w:space="0" w:color="auto"/>
              <w:bottom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Cs/>
                <w:i/>
                <w:sz w:val="20"/>
                <w:szCs w:val="20"/>
                <w:lang w:eastAsia="en-GB"/>
              </w:rPr>
            </w:pPr>
            <w:r>
              <w:rPr>
                <w:rFonts w:ascii="Arial" w:hAnsi="Arial" w:cs="Arial"/>
                <w:bCs/>
                <w:i/>
                <w:sz w:val="20"/>
                <w:szCs w:val="20"/>
                <w:lang w:eastAsia="en-GB"/>
              </w:rPr>
              <w:t>sHR</w:t>
            </w:r>
          </w:p>
        </w:tc>
        <w:tc>
          <w:tcPr>
            <w:tcW w:w="1559"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bCs/>
                <w:i/>
                <w:sz w:val="20"/>
                <w:szCs w:val="20"/>
                <w:lang w:eastAsia="en-GB"/>
              </w:rPr>
            </w:pPr>
            <w:r>
              <w:rPr>
                <w:rFonts w:ascii="Arial" w:hAnsi="Arial" w:cs="Arial"/>
                <w:bCs/>
                <w:i/>
                <w:sz w:val="20"/>
                <w:szCs w:val="20"/>
                <w:lang w:eastAsia="en-GB"/>
              </w:rPr>
              <w:t>(97·</w:t>
            </w:r>
            <w:r w:rsidRPr="004837FB">
              <w:rPr>
                <w:rFonts w:ascii="Arial" w:hAnsi="Arial" w:cs="Arial"/>
                <w:bCs/>
                <w:i/>
                <w:sz w:val="20"/>
                <w:szCs w:val="20"/>
                <w:lang w:eastAsia="en-GB"/>
              </w:rPr>
              <w:t>5% CI)</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Cs/>
                <w:i/>
                <w:sz w:val="20"/>
                <w:szCs w:val="20"/>
                <w:lang w:eastAsia="en-GB"/>
              </w:rPr>
            </w:pPr>
            <w:r w:rsidRPr="004837FB">
              <w:rPr>
                <w:rFonts w:ascii="Arial" w:hAnsi="Arial" w:cs="Arial"/>
                <w:bCs/>
                <w:i/>
                <w:sz w:val="20"/>
                <w:szCs w:val="20"/>
                <w:lang w:eastAsia="en-GB"/>
              </w:rPr>
              <w:t>P-value</w:t>
            </w:r>
          </w:p>
        </w:tc>
      </w:tr>
      <w:tr w:rsidR="00803D84" w:rsidRPr="001D5EA9" w:rsidTr="00340E61">
        <w:tc>
          <w:tcPr>
            <w:tcW w:w="2804" w:type="dxa"/>
            <w:vMerge/>
            <w:tcBorders>
              <w:left w:val="single" w:sz="4" w:space="0" w:color="auto"/>
              <w:bottom w:val="single" w:sz="4" w:space="0" w:color="auto"/>
              <w:right w:val="single" w:sz="4" w:space="0" w:color="auto"/>
            </w:tcBorders>
          </w:tcPr>
          <w:p w:rsidR="00803D84" w:rsidRPr="004837FB" w:rsidRDefault="00803D84" w:rsidP="00A63E8E">
            <w:pPr>
              <w:spacing w:line="480" w:lineRule="auto"/>
              <w:rPr>
                <w:rFonts w:ascii="Arial" w:hAnsi="Arial" w:cs="Arial"/>
                <w:b/>
                <w:bCs/>
                <w:sz w:val="20"/>
                <w:szCs w:val="20"/>
                <w:vertAlign w:val="superscript"/>
              </w:rPr>
            </w:pPr>
          </w:p>
        </w:tc>
        <w:tc>
          <w:tcPr>
            <w:tcW w:w="1131" w:type="dxa"/>
            <w:tcBorders>
              <w:top w:val="single" w:sz="4" w:space="0" w:color="auto"/>
              <w:left w:val="single" w:sz="4" w:space="0" w:color="auto"/>
              <w:right w:val="single" w:sz="4" w:space="0" w:color="auto"/>
            </w:tcBorders>
          </w:tcPr>
          <w:p w:rsidR="00803D84" w:rsidRPr="004837FB" w:rsidRDefault="00803D84" w:rsidP="00624F47">
            <w:pPr>
              <w:spacing w:line="480" w:lineRule="auto"/>
              <w:rPr>
                <w:rFonts w:ascii="Arial" w:hAnsi="Arial" w:cs="Arial"/>
                <w:bCs/>
                <w:sz w:val="20"/>
                <w:szCs w:val="20"/>
                <w:lang w:eastAsia="en-GB"/>
              </w:rPr>
            </w:pPr>
            <w:r>
              <w:rPr>
                <w:rFonts w:ascii="Arial" w:hAnsi="Arial" w:cs="Arial"/>
                <w:bCs/>
                <w:sz w:val="20"/>
                <w:szCs w:val="20"/>
              </w:rPr>
              <w:t>Shunt</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rPr>
                <w:rFonts w:ascii="Arial" w:hAnsi="Arial" w:cs="Arial"/>
                <w:b/>
                <w:bCs/>
                <w:sz w:val="20"/>
                <w:szCs w:val="20"/>
                <w:lang w:eastAsia="en-GB"/>
              </w:rPr>
            </w:pPr>
            <w:r w:rsidRPr="004837FB">
              <w:rPr>
                <w:rFonts w:ascii="Arial" w:hAnsi="Arial" w:cs="Arial"/>
                <w:sz w:val="20"/>
                <w:szCs w:val="20"/>
              </w:rPr>
              <w:t>Standard</w:t>
            </w:r>
          </w:p>
        </w:tc>
        <w:tc>
          <w:tcPr>
            <w:tcW w:w="1087" w:type="dxa"/>
            <w:tcBorders>
              <w:top w:val="single" w:sz="4" w:space="0" w:color="auto"/>
              <w:left w:val="single" w:sz="4" w:space="0" w:color="auto"/>
              <w:bottom w:val="single" w:sz="4" w:space="0" w:color="auto"/>
              <w:right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sz w:val="20"/>
                <w:szCs w:val="20"/>
                <w:lang w:eastAsia="en-GB"/>
              </w:rPr>
              <w:t>32</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
                <w:bCs/>
                <w:sz w:val="20"/>
                <w:szCs w:val="20"/>
                <w:lang w:eastAsia="en-GB"/>
              </w:rPr>
            </w:pPr>
            <w:r w:rsidRPr="004837FB">
              <w:rPr>
                <w:rFonts w:ascii="Arial" w:hAnsi="Arial" w:cs="Arial"/>
                <w:sz w:val="20"/>
                <w:szCs w:val="20"/>
                <w:lang w:eastAsia="en-GB"/>
              </w:rPr>
              <w:t>-</w:t>
            </w:r>
          </w:p>
        </w:tc>
        <w:tc>
          <w:tcPr>
            <w:tcW w:w="1276"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sidRPr="004837FB">
              <w:rPr>
                <w:rFonts w:ascii="Arial" w:hAnsi="Arial" w:cs="Arial"/>
                <w:sz w:val="20"/>
                <w:szCs w:val="20"/>
                <w:lang w:eastAsia="en-GB"/>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
                <w:bCs/>
                <w:sz w:val="20"/>
                <w:szCs w:val="20"/>
                <w:lang w:eastAsia="en-GB"/>
              </w:rPr>
            </w:pPr>
            <w:r w:rsidRPr="004837FB">
              <w:rPr>
                <w:rFonts w:ascii="Arial" w:hAnsi="Arial" w:cs="Arial"/>
                <w:sz w:val="20"/>
                <w:szCs w:val="20"/>
                <w:lang w:eastAsia="en-GB"/>
              </w:rPr>
              <w:t>-</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
                <w:bCs/>
                <w:sz w:val="20"/>
                <w:szCs w:val="20"/>
                <w:lang w:eastAsia="en-GB"/>
              </w:rPr>
            </w:pPr>
            <w:r w:rsidRPr="004837FB">
              <w:rPr>
                <w:rFonts w:ascii="Arial" w:hAnsi="Arial" w:cs="Arial"/>
                <w:sz w:val="20"/>
                <w:szCs w:val="20"/>
                <w:lang w:eastAsia="en-GB"/>
              </w:rPr>
              <w:t>-</w:t>
            </w:r>
          </w:p>
        </w:tc>
        <w:tc>
          <w:tcPr>
            <w:tcW w:w="1559"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sidRPr="004837FB">
              <w:rPr>
                <w:rFonts w:ascii="Arial" w:hAnsi="Arial" w:cs="Arial"/>
                <w:sz w:val="20"/>
                <w:szCs w:val="20"/>
                <w:lang w:eastAsia="en-GB"/>
              </w:rPr>
              <w:t>-</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
                <w:bCs/>
                <w:sz w:val="20"/>
                <w:szCs w:val="20"/>
                <w:lang w:eastAsia="en-GB"/>
              </w:rPr>
            </w:pPr>
            <w:r w:rsidRPr="004837FB">
              <w:rPr>
                <w:rFonts w:ascii="Arial" w:hAnsi="Arial" w:cs="Arial"/>
                <w:sz w:val="20"/>
                <w:szCs w:val="20"/>
                <w:lang w:eastAsia="en-GB"/>
              </w:rPr>
              <w:t>-</w:t>
            </w:r>
          </w:p>
        </w:tc>
      </w:tr>
      <w:tr w:rsidR="00803D84" w:rsidRPr="001D5EA9" w:rsidTr="00340E61">
        <w:tc>
          <w:tcPr>
            <w:tcW w:w="2804" w:type="dxa"/>
            <w:vMerge/>
            <w:tcBorders>
              <w:left w:val="single" w:sz="4" w:space="0" w:color="auto"/>
              <w:bottom w:val="single" w:sz="4" w:space="0" w:color="auto"/>
              <w:right w:val="single" w:sz="4" w:space="0" w:color="auto"/>
            </w:tcBorders>
          </w:tcPr>
          <w:p w:rsidR="00803D84" w:rsidRPr="004837FB" w:rsidRDefault="00803D84" w:rsidP="00A63E8E">
            <w:pPr>
              <w:spacing w:line="480" w:lineRule="auto"/>
              <w:rPr>
                <w:rFonts w:ascii="Arial" w:hAnsi="Arial" w:cs="Arial"/>
                <w:b/>
                <w:bCs/>
                <w:sz w:val="20"/>
                <w:szCs w:val="20"/>
                <w:lang w:eastAsia="en-GB"/>
              </w:rPr>
            </w:pPr>
          </w:p>
        </w:tc>
        <w:tc>
          <w:tcPr>
            <w:tcW w:w="1131" w:type="dxa"/>
            <w:tcBorders>
              <w:left w:val="single" w:sz="4" w:space="0" w:color="auto"/>
              <w:right w:val="single" w:sz="4" w:space="0" w:color="auto"/>
            </w:tcBorders>
          </w:tcPr>
          <w:p w:rsidR="00803D84" w:rsidRPr="004837FB" w:rsidRDefault="00803D84" w:rsidP="00A63E8E">
            <w:pPr>
              <w:spacing w:line="480" w:lineRule="auto"/>
              <w:rPr>
                <w:rFonts w:ascii="Arial" w:hAnsi="Arial" w:cs="Arial"/>
                <w:bCs/>
                <w:sz w:val="20"/>
                <w:szCs w:val="20"/>
                <w:lang w:eastAsia="en-GB"/>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rPr>
                <w:rFonts w:ascii="Arial" w:hAnsi="Arial" w:cs="Arial"/>
                <w:b/>
                <w:bCs/>
                <w:sz w:val="20"/>
                <w:szCs w:val="20"/>
                <w:lang w:eastAsia="en-GB"/>
              </w:rPr>
            </w:pPr>
            <w:r w:rsidRPr="004837FB">
              <w:rPr>
                <w:rFonts w:ascii="Arial" w:hAnsi="Arial" w:cs="Arial"/>
                <w:sz w:val="20"/>
                <w:szCs w:val="20"/>
              </w:rPr>
              <w:t>Antibiotic</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A63E8E">
            <w:pPr>
              <w:spacing w:line="480" w:lineRule="auto"/>
              <w:jc w:val="center"/>
              <w:rPr>
                <w:rFonts w:ascii="Arial" w:hAnsi="Arial" w:cs="Arial"/>
                <w:color w:val="000000"/>
                <w:sz w:val="20"/>
                <w:szCs w:val="20"/>
              </w:rPr>
            </w:pPr>
            <w:r>
              <w:rPr>
                <w:rFonts w:ascii="Arial" w:hAnsi="Arial" w:cs="Arial"/>
                <w:color w:val="000000"/>
                <w:sz w:val="20"/>
                <w:szCs w:val="20"/>
              </w:rPr>
              <w:t>12</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
                <w:bCs/>
                <w:sz w:val="20"/>
                <w:szCs w:val="20"/>
                <w:lang w:eastAsia="en-GB"/>
              </w:rPr>
            </w:pPr>
            <w:r>
              <w:rPr>
                <w:rFonts w:ascii="Arial" w:hAnsi="Arial" w:cs="Arial"/>
                <w:color w:val="000000"/>
                <w:sz w:val="20"/>
                <w:szCs w:val="20"/>
              </w:rPr>
              <w:t>0·</w:t>
            </w:r>
            <w:r w:rsidRPr="004837FB">
              <w:rPr>
                <w:rFonts w:ascii="Arial" w:hAnsi="Arial" w:cs="Arial"/>
                <w:color w:val="000000"/>
                <w:sz w:val="20"/>
                <w:szCs w:val="20"/>
              </w:rPr>
              <w:t>38</w:t>
            </w:r>
          </w:p>
        </w:tc>
        <w:tc>
          <w:tcPr>
            <w:tcW w:w="1276"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(0·18, 0·</w:t>
            </w:r>
            <w:r w:rsidRPr="004837FB">
              <w:rPr>
                <w:rFonts w:ascii="Arial" w:hAnsi="Arial" w:cs="Arial"/>
                <w:color w:val="000000"/>
                <w:sz w:val="20"/>
                <w:szCs w:val="20"/>
              </w:rPr>
              <w:t>80)</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
                <w:bCs/>
                <w:sz w:val="20"/>
                <w:szCs w:val="20"/>
                <w:lang w:eastAsia="en-GB"/>
              </w:rPr>
            </w:pPr>
            <w:r>
              <w:rPr>
                <w:rFonts w:ascii="Arial" w:hAnsi="Arial" w:cs="Arial"/>
                <w:color w:val="000000"/>
                <w:sz w:val="20"/>
                <w:szCs w:val="20"/>
              </w:rPr>
              <w:t>&lt;0·</w:t>
            </w:r>
            <w:r w:rsidRPr="004837FB">
              <w:rPr>
                <w:rFonts w:ascii="Arial" w:hAnsi="Arial" w:cs="Arial"/>
                <w:color w:val="000000"/>
                <w:sz w:val="20"/>
                <w:szCs w:val="20"/>
              </w:rPr>
              <w:t>01</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
                <w:bCs/>
                <w:sz w:val="20"/>
                <w:szCs w:val="20"/>
                <w:lang w:eastAsia="en-GB"/>
              </w:rPr>
            </w:pPr>
            <w:r>
              <w:rPr>
                <w:rFonts w:ascii="Arial" w:hAnsi="Arial" w:cs="Arial"/>
                <w:color w:val="000000"/>
                <w:sz w:val="20"/>
                <w:szCs w:val="20"/>
              </w:rPr>
              <w:t>0·</w:t>
            </w:r>
            <w:r w:rsidRPr="004837FB">
              <w:rPr>
                <w:rFonts w:ascii="Arial" w:hAnsi="Arial" w:cs="Arial"/>
                <w:color w:val="000000"/>
                <w:sz w:val="20"/>
                <w:szCs w:val="20"/>
              </w:rPr>
              <w:t>38</w:t>
            </w:r>
          </w:p>
        </w:tc>
        <w:tc>
          <w:tcPr>
            <w:tcW w:w="1559"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(0·18, 0·</w:t>
            </w:r>
            <w:r w:rsidRPr="004837FB">
              <w:rPr>
                <w:rFonts w:ascii="Arial" w:hAnsi="Arial" w:cs="Arial"/>
                <w:color w:val="000000"/>
                <w:sz w:val="20"/>
                <w:szCs w:val="20"/>
              </w:rPr>
              <w:t>80)</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b/>
                <w:bCs/>
                <w:sz w:val="20"/>
                <w:szCs w:val="20"/>
                <w:lang w:eastAsia="en-GB"/>
              </w:rPr>
            </w:pPr>
            <w:r>
              <w:rPr>
                <w:rFonts w:ascii="Arial" w:hAnsi="Arial" w:cs="Arial"/>
                <w:color w:val="000000"/>
                <w:sz w:val="20"/>
                <w:szCs w:val="20"/>
              </w:rPr>
              <w:t>&lt;0·</w:t>
            </w:r>
            <w:r w:rsidRPr="004837FB">
              <w:rPr>
                <w:rFonts w:ascii="Arial" w:hAnsi="Arial" w:cs="Arial"/>
                <w:color w:val="000000"/>
                <w:sz w:val="20"/>
                <w:szCs w:val="20"/>
              </w:rPr>
              <w:t>01</w:t>
            </w:r>
          </w:p>
        </w:tc>
      </w:tr>
      <w:tr w:rsidR="00803D84" w:rsidRPr="001D5EA9" w:rsidTr="00340E61">
        <w:tc>
          <w:tcPr>
            <w:tcW w:w="2804" w:type="dxa"/>
            <w:vMerge/>
            <w:tcBorders>
              <w:left w:val="single" w:sz="4" w:space="0" w:color="auto"/>
              <w:bottom w:val="single" w:sz="4" w:space="0" w:color="auto"/>
              <w:right w:val="single" w:sz="4" w:space="0" w:color="auto"/>
            </w:tcBorders>
          </w:tcPr>
          <w:p w:rsidR="00803D84" w:rsidRPr="004837FB" w:rsidRDefault="00803D84" w:rsidP="00A63E8E">
            <w:pPr>
              <w:pStyle w:val="Default"/>
              <w:spacing w:line="480" w:lineRule="auto"/>
              <w:rPr>
                <w:b/>
                <w:sz w:val="20"/>
                <w:szCs w:val="20"/>
              </w:rPr>
            </w:pPr>
          </w:p>
        </w:tc>
        <w:tc>
          <w:tcPr>
            <w:tcW w:w="1131" w:type="dxa"/>
            <w:tcBorders>
              <w:left w:val="single" w:sz="4" w:space="0" w:color="auto"/>
              <w:bottom w:val="single" w:sz="4" w:space="0" w:color="auto"/>
              <w:right w:val="single" w:sz="4" w:space="0" w:color="auto"/>
            </w:tcBorders>
          </w:tcPr>
          <w:p w:rsidR="00803D84" w:rsidRPr="004837FB" w:rsidRDefault="00803D84" w:rsidP="00A63E8E">
            <w:pPr>
              <w:pStyle w:val="Default"/>
              <w:spacing w:line="480" w:lineRule="auto"/>
              <w:rPr>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03D84" w:rsidRPr="004837FB" w:rsidRDefault="00803D84" w:rsidP="002B7026">
            <w:pPr>
              <w:pStyle w:val="Default"/>
              <w:spacing w:line="480" w:lineRule="auto"/>
              <w:rPr>
                <w:sz w:val="20"/>
                <w:szCs w:val="20"/>
              </w:rPr>
            </w:pPr>
            <w:r>
              <w:rPr>
                <w:sz w:val="20"/>
                <w:szCs w:val="20"/>
              </w:rPr>
              <w:t>Silver</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A63E8E">
            <w:pPr>
              <w:spacing w:line="480" w:lineRule="auto"/>
              <w:jc w:val="center"/>
              <w:rPr>
                <w:rFonts w:ascii="Arial" w:hAnsi="Arial" w:cs="Arial"/>
                <w:color w:val="000000"/>
                <w:sz w:val="20"/>
                <w:szCs w:val="20"/>
              </w:rPr>
            </w:pPr>
            <w:r>
              <w:rPr>
                <w:rFonts w:ascii="Arial" w:hAnsi="Arial" w:cs="Arial"/>
                <w:color w:val="000000"/>
                <w:sz w:val="20"/>
                <w:szCs w:val="20"/>
              </w:rPr>
              <w:t>31</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hideMark/>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w:t>
            </w:r>
            <w:r w:rsidRPr="004837FB">
              <w:rPr>
                <w:rFonts w:ascii="Arial" w:hAnsi="Arial" w:cs="Arial"/>
                <w:color w:val="000000"/>
                <w:sz w:val="20"/>
                <w:szCs w:val="20"/>
              </w:rPr>
              <w:t>99</w:t>
            </w:r>
          </w:p>
        </w:tc>
        <w:tc>
          <w:tcPr>
            <w:tcW w:w="1276"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(0·56, 1·</w:t>
            </w:r>
            <w:r w:rsidRPr="004837FB">
              <w:rPr>
                <w:rFonts w:ascii="Arial" w:hAnsi="Arial" w:cs="Arial"/>
                <w:color w:val="000000"/>
                <w:sz w:val="20"/>
                <w:szCs w:val="20"/>
              </w:rPr>
              <w:t>74)</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w:t>
            </w:r>
            <w:r w:rsidRPr="004837FB">
              <w:rPr>
                <w:rFonts w:ascii="Arial" w:hAnsi="Arial" w:cs="Arial"/>
                <w:color w:val="000000"/>
                <w:sz w:val="20"/>
                <w:szCs w:val="20"/>
              </w:rPr>
              <w:t>96</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hideMark/>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w:t>
            </w:r>
            <w:r w:rsidRPr="004837FB">
              <w:rPr>
                <w:rFonts w:ascii="Arial" w:hAnsi="Arial" w:cs="Arial"/>
                <w:color w:val="000000"/>
                <w:sz w:val="20"/>
                <w:szCs w:val="20"/>
              </w:rPr>
              <w:t>99</w:t>
            </w:r>
          </w:p>
        </w:tc>
        <w:tc>
          <w:tcPr>
            <w:tcW w:w="1559"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(0·56, 1·</w:t>
            </w:r>
            <w:r w:rsidRPr="004837FB">
              <w:rPr>
                <w:rFonts w:ascii="Arial" w:hAnsi="Arial" w:cs="Arial"/>
                <w:color w:val="000000"/>
                <w:sz w:val="20"/>
                <w:szCs w:val="20"/>
              </w:rPr>
              <w:t>72)</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w:t>
            </w:r>
            <w:r w:rsidRPr="004837FB">
              <w:rPr>
                <w:rFonts w:ascii="Arial" w:hAnsi="Arial" w:cs="Arial"/>
                <w:color w:val="000000"/>
                <w:sz w:val="20"/>
                <w:szCs w:val="20"/>
              </w:rPr>
              <w:t>95</w:t>
            </w:r>
          </w:p>
        </w:tc>
      </w:tr>
      <w:tr w:rsidR="00803D84" w:rsidRPr="001D5EA9" w:rsidTr="00340E61">
        <w:tc>
          <w:tcPr>
            <w:tcW w:w="2804" w:type="dxa"/>
            <w:vMerge/>
            <w:tcBorders>
              <w:left w:val="single" w:sz="4" w:space="0" w:color="auto"/>
              <w:bottom w:val="single" w:sz="4" w:space="0" w:color="auto"/>
              <w:right w:val="single" w:sz="4" w:space="0" w:color="auto"/>
            </w:tcBorders>
          </w:tcPr>
          <w:p w:rsidR="00803D84" w:rsidRPr="004837FB" w:rsidRDefault="00803D84" w:rsidP="00A63E8E">
            <w:pPr>
              <w:spacing w:line="480" w:lineRule="auto"/>
              <w:rPr>
                <w:rFonts w:ascii="Arial" w:hAnsi="Arial" w:cs="Arial"/>
                <w:b/>
                <w:sz w:val="20"/>
                <w:szCs w:val="20"/>
              </w:rPr>
            </w:pPr>
          </w:p>
        </w:tc>
        <w:tc>
          <w:tcPr>
            <w:tcW w:w="1131" w:type="dxa"/>
            <w:tcBorders>
              <w:top w:val="single" w:sz="4" w:space="0" w:color="auto"/>
              <w:left w:val="single" w:sz="4" w:space="0" w:color="auto"/>
              <w:right w:val="single" w:sz="4" w:space="0" w:color="auto"/>
            </w:tcBorders>
          </w:tcPr>
          <w:p w:rsidR="00803D84" w:rsidRPr="004837FB" w:rsidRDefault="00803D84" w:rsidP="00A63E8E">
            <w:pPr>
              <w:spacing w:line="480" w:lineRule="auto"/>
              <w:rPr>
                <w:rFonts w:ascii="Arial" w:hAnsi="Arial" w:cs="Arial"/>
                <w:sz w:val="20"/>
                <w:szCs w:val="20"/>
              </w:rPr>
            </w:pPr>
            <w:r w:rsidRPr="004837FB">
              <w:rPr>
                <w:rFonts w:ascii="Arial" w:hAnsi="Arial" w:cs="Arial"/>
                <w:sz w:val="20"/>
                <w:szCs w:val="20"/>
              </w:rPr>
              <w:t>Age group</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rPr>
                <w:rFonts w:ascii="Arial" w:hAnsi="Arial" w:cs="Arial"/>
                <w:sz w:val="20"/>
                <w:szCs w:val="20"/>
                <w:lang w:eastAsia="en-GB"/>
              </w:rPr>
            </w:pPr>
            <w:r w:rsidRPr="004837FB">
              <w:rPr>
                <w:rFonts w:ascii="Arial" w:hAnsi="Arial" w:cs="Arial"/>
                <w:sz w:val="20"/>
                <w:szCs w:val="20"/>
              </w:rPr>
              <w:t>Paediatric</w:t>
            </w:r>
          </w:p>
        </w:tc>
        <w:tc>
          <w:tcPr>
            <w:tcW w:w="1087" w:type="dxa"/>
            <w:tcBorders>
              <w:top w:val="single" w:sz="4" w:space="0" w:color="auto"/>
              <w:left w:val="single" w:sz="4" w:space="0" w:color="auto"/>
              <w:bottom w:val="single" w:sz="4" w:space="0" w:color="auto"/>
              <w:right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sz w:val="20"/>
                <w:szCs w:val="20"/>
                <w:lang w:eastAsia="en-GB"/>
              </w:rPr>
              <w:t>47</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sz w:val="20"/>
                <w:szCs w:val="20"/>
                <w:lang w:eastAsia="en-GB"/>
              </w:rPr>
            </w:pPr>
            <w:r w:rsidRPr="004837FB">
              <w:rPr>
                <w:rFonts w:ascii="Arial" w:hAnsi="Arial" w:cs="Arial"/>
                <w:sz w:val="20"/>
                <w:szCs w:val="20"/>
                <w:lang w:eastAsia="en-GB"/>
              </w:rPr>
              <w:t>-</w:t>
            </w:r>
          </w:p>
        </w:tc>
        <w:tc>
          <w:tcPr>
            <w:tcW w:w="1276"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sidRPr="004837FB">
              <w:rPr>
                <w:rFonts w:ascii="Arial" w:hAnsi="Arial" w:cs="Arial"/>
                <w:sz w:val="20"/>
                <w:szCs w:val="20"/>
                <w:lang w:eastAsia="en-GB"/>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sz w:val="20"/>
                <w:szCs w:val="20"/>
                <w:lang w:eastAsia="en-GB"/>
              </w:rPr>
            </w:pPr>
            <w:r w:rsidRPr="004837FB">
              <w:rPr>
                <w:rFonts w:ascii="Arial" w:hAnsi="Arial" w:cs="Arial"/>
                <w:sz w:val="20"/>
                <w:szCs w:val="20"/>
                <w:lang w:eastAsia="en-GB"/>
              </w:rPr>
              <w:t>-</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sz w:val="20"/>
                <w:szCs w:val="20"/>
                <w:lang w:eastAsia="en-GB"/>
              </w:rPr>
            </w:pPr>
            <w:r w:rsidRPr="004837FB">
              <w:rPr>
                <w:rFonts w:ascii="Arial" w:hAnsi="Arial" w:cs="Arial"/>
                <w:sz w:val="20"/>
                <w:szCs w:val="20"/>
                <w:lang w:eastAsia="en-GB"/>
              </w:rPr>
              <w:t>-</w:t>
            </w:r>
          </w:p>
        </w:tc>
        <w:tc>
          <w:tcPr>
            <w:tcW w:w="1559"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sidRPr="004837FB">
              <w:rPr>
                <w:rFonts w:ascii="Arial" w:hAnsi="Arial" w:cs="Arial"/>
                <w:sz w:val="20"/>
                <w:szCs w:val="20"/>
                <w:lang w:eastAsia="en-GB"/>
              </w:rPr>
              <w:t>-</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sz w:val="20"/>
                <w:szCs w:val="20"/>
                <w:lang w:eastAsia="en-GB"/>
              </w:rPr>
            </w:pPr>
            <w:r w:rsidRPr="004837FB">
              <w:rPr>
                <w:rFonts w:ascii="Arial" w:hAnsi="Arial" w:cs="Arial"/>
                <w:sz w:val="20"/>
                <w:szCs w:val="20"/>
                <w:lang w:eastAsia="en-GB"/>
              </w:rPr>
              <w:t>-</w:t>
            </w:r>
          </w:p>
        </w:tc>
      </w:tr>
      <w:tr w:rsidR="00803D84" w:rsidRPr="001D5EA9" w:rsidTr="00340E61">
        <w:tc>
          <w:tcPr>
            <w:tcW w:w="2804" w:type="dxa"/>
            <w:vMerge/>
            <w:tcBorders>
              <w:left w:val="single" w:sz="4" w:space="0" w:color="auto"/>
              <w:bottom w:val="single" w:sz="4" w:space="0" w:color="auto"/>
              <w:right w:val="single" w:sz="4" w:space="0" w:color="auto"/>
            </w:tcBorders>
          </w:tcPr>
          <w:p w:rsidR="00803D84" w:rsidRPr="004837FB" w:rsidRDefault="00803D84" w:rsidP="00A63E8E">
            <w:pPr>
              <w:spacing w:line="480" w:lineRule="auto"/>
              <w:rPr>
                <w:rFonts w:ascii="Arial" w:hAnsi="Arial" w:cs="Arial"/>
                <w:b/>
                <w:sz w:val="20"/>
                <w:szCs w:val="20"/>
              </w:rPr>
            </w:pPr>
          </w:p>
        </w:tc>
        <w:tc>
          <w:tcPr>
            <w:tcW w:w="1131" w:type="dxa"/>
            <w:tcBorders>
              <w:left w:val="single" w:sz="4" w:space="0" w:color="auto"/>
              <w:right w:val="single" w:sz="4" w:space="0" w:color="auto"/>
            </w:tcBorders>
          </w:tcPr>
          <w:p w:rsidR="00803D84" w:rsidRPr="004837FB" w:rsidRDefault="00803D84" w:rsidP="00A63E8E">
            <w:pPr>
              <w:spacing w:line="480" w:lineRule="auto"/>
              <w:rPr>
                <w:rFonts w:ascii="Arial" w:hAnsi="Arial" w:cs="Arial"/>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rPr>
                <w:rFonts w:ascii="Arial" w:hAnsi="Arial" w:cs="Arial"/>
                <w:sz w:val="20"/>
                <w:szCs w:val="20"/>
              </w:rPr>
            </w:pPr>
            <w:r w:rsidRPr="004837FB">
              <w:rPr>
                <w:rFonts w:ascii="Arial" w:hAnsi="Arial" w:cs="Arial"/>
                <w:sz w:val="20"/>
                <w:szCs w:val="20"/>
              </w:rPr>
              <w:t>Adult (&lt;65 years)</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A63E8E">
            <w:pPr>
              <w:spacing w:line="480" w:lineRule="auto"/>
              <w:jc w:val="center"/>
              <w:rPr>
                <w:rFonts w:ascii="Arial" w:hAnsi="Arial" w:cs="Arial"/>
                <w:color w:val="000000"/>
                <w:sz w:val="20"/>
                <w:szCs w:val="20"/>
              </w:rPr>
            </w:pPr>
            <w:r>
              <w:rPr>
                <w:rFonts w:ascii="Arial" w:hAnsi="Arial" w:cs="Arial"/>
                <w:color w:val="000000"/>
                <w:sz w:val="20"/>
                <w:szCs w:val="20"/>
              </w:rPr>
              <w:t>23</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w:t>
            </w:r>
            <w:r w:rsidRPr="004837FB">
              <w:rPr>
                <w:rFonts w:ascii="Arial" w:hAnsi="Arial" w:cs="Arial"/>
                <w:color w:val="000000"/>
                <w:sz w:val="20"/>
                <w:szCs w:val="20"/>
              </w:rPr>
              <w:t>5</w:t>
            </w:r>
            <w:r>
              <w:rPr>
                <w:rFonts w:ascii="Arial" w:hAnsi="Arial" w:cs="Arial"/>
                <w:color w:val="000000"/>
                <w:sz w:val="20"/>
                <w:szCs w:val="20"/>
              </w:rPr>
              <w:t>5</w:t>
            </w:r>
          </w:p>
        </w:tc>
        <w:tc>
          <w:tcPr>
            <w:tcW w:w="1276"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(0·31, 0·</w:t>
            </w:r>
            <w:r w:rsidRPr="004837FB">
              <w:rPr>
                <w:rFonts w:ascii="Arial" w:hAnsi="Arial" w:cs="Arial"/>
                <w:color w:val="000000"/>
                <w:sz w:val="20"/>
                <w:szCs w:val="20"/>
              </w:rPr>
              <w:t>97)</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w:t>
            </w:r>
            <w:r w:rsidRPr="004837FB">
              <w:rPr>
                <w:rFonts w:ascii="Arial" w:hAnsi="Arial" w:cs="Arial"/>
                <w:color w:val="000000"/>
                <w:sz w:val="20"/>
                <w:szCs w:val="20"/>
              </w:rPr>
              <w:t>02</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w:t>
            </w:r>
            <w:r w:rsidRPr="004837FB">
              <w:rPr>
                <w:rFonts w:ascii="Arial" w:hAnsi="Arial" w:cs="Arial"/>
                <w:color w:val="000000"/>
                <w:sz w:val="20"/>
                <w:szCs w:val="20"/>
              </w:rPr>
              <w:t>56</w:t>
            </w:r>
          </w:p>
        </w:tc>
        <w:tc>
          <w:tcPr>
            <w:tcW w:w="1559"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(0·32, 0·</w:t>
            </w:r>
            <w:r w:rsidRPr="004837FB">
              <w:rPr>
                <w:rFonts w:ascii="Arial" w:hAnsi="Arial" w:cs="Arial"/>
                <w:color w:val="000000"/>
                <w:sz w:val="20"/>
                <w:szCs w:val="20"/>
              </w:rPr>
              <w:t>99)</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w:t>
            </w:r>
            <w:r w:rsidRPr="004837FB">
              <w:rPr>
                <w:rFonts w:ascii="Arial" w:hAnsi="Arial" w:cs="Arial"/>
                <w:color w:val="000000"/>
                <w:sz w:val="20"/>
                <w:szCs w:val="20"/>
              </w:rPr>
              <w:t>02</w:t>
            </w:r>
          </w:p>
        </w:tc>
      </w:tr>
      <w:tr w:rsidR="00803D84" w:rsidRPr="001D5EA9" w:rsidTr="00340E61">
        <w:tc>
          <w:tcPr>
            <w:tcW w:w="2804" w:type="dxa"/>
            <w:vMerge/>
            <w:tcBorders>
              <w:left w:val="single" w:sz="4" w:space="0" w:color="auto"/>
              <w:bottom w:val="single" w:sz="4" w:space="0" w:color="auto"/>
              <w:right w:val="single" w:sz="4" w:space="0" w:color="auto"/>
            </w:tcBorders>
          </w:tcPr>
          <w:p w:rsidR="00803D84" w:rsidRPr="004837FB" w:rsidRDefault="00803D84" w:rsidP="00A63E8E">
            <w:pPr>
              <w:spacing w:line="480" w:lineRule="auto"/>
              <w:rPr>
                <w:rFonts w:ascii="Arial" w:hAnsi="Arial" w:cs="Arial"/>
                <w:b/>
                <w:sz w:val="20"/>
                <w:szCs w:val="20"/>
              </w:rPr>
            </w:pPr>
          </w:p>
        </w:tc>
        <w:tc>
          <w:tcPr>
            <w:tcW w:w="1131" w:type="dxa"/>
            <w:tcBorders>
              <w:left w:val="single" w:sz="4" w:space="0" w:color="auto"/>
              <w:bottom w:val="single" w:sz="4" w:space="0" w:color="auto"/>
              <w:right w:val="single" w:sz="4" w:space="0" w:color="auto"/>
            </w:tcBorders>
          </w:tcPr>
          <w:p w:rsidR="00803D84" w:rsidRPr="004837FB" w:rsidRDefault="00803D84" w:rsidP="00A63E8E">
            <w:pPr>
              <w:spacing w:line="480" w:lineRule="auto"/>
              <w:rPr>
                <w:rFonts w:ascii="Arial" w:hAnsi="Arial" w:cs="Arial"/>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03D84" w:rsidRPr="004837FB" w:rsidRDefault="00803D84" w:rsidP="00A63E8E">
            <w:pPr>
              <w:spacing w:line="480" w:lineRule="auto"/>
              <w:rPr>
                <w:rFonts w:ascii="Arial" w:hAnsi="Arial" w:cs="Arial"/>
                <w:sz w:val="20"/>
                <w:szCs w:val="20"/>
                <w:lang w:eastAsia="en-GB"/>
              </w:rPr>
            </w:pPr>
            <w:r w:rsidRPr="004837FB">
              <w:rPr>
                <w:rFonts w:ascii="Arial" w:hAnsi="Arial" w:cs="Arial"/>
                <w:sz w:val="20"/>
                <w:szCs w:val="20"/>
              </w:rPr>
              <w:t>Adult (</w:t>
            </w:r>
            <w:r w:rsidRPr="00600374">
              <w:rPr>
                <w:rFonts w:ascii="Arial" w:eastAsia="MS Gothic" w:hAnsi="Arial" w:cs="Arial"/>
                <w:color w:val="000000"/>
              </w:rPr>
              <w:t>≥</w:t>
            </w:r>
            <w:r w:rsidRPr="004837FB">
              <w:rPr>
                <w:rFonts w:ascii="Arial" w:hAnsi="Arial" w:cs="Arial"/>
                <w:sz w:val="20"/>
                <w:szCs w:val="20"/>
              </w:rPr>
              <w:t>65 years)</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A63E8E">
            <w:pPr>
              <w:spacing w:line="480" w:lineRule="auto"/>
              <w:jc w:val="center"/>
              <w:rPr>
                <w:rFonts w:ascii="Arial" w:hAnsi="Arial" w:cs="Arial"/>
                <w:color w:val="000000"/>
                <w:sz w:val="20"/>
                <w:szCs w:val="20"/>
              </w:rPr>
            </w:pPr>
            <w:r>
              <w:rPr>
                <w:rFonts w:ascii="Arial" w:hAnsi="Arial" w:cs="Arial"/>
                <w:color w:val="000000"/>
                <w:sz w:val="20"/>
                <w:szCs w:val="20"/>
              </w:rPr>
              <w:t>5</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hideMark/>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w:t>
            </w:r>
            <w:r w:rsidRPr="004837FB">
              <w:rPr>
                <w:rFonts w:ascii="Arial" w:hAnsi="Arial" w:cs="Arial"/>
                <w:color w:val="000000"/>
                <w:sz w:val="20"/>
                <w:szCs w:val="20"/>
              </w:rPr>
              <w:t>12</w:t>
            </w:r>
          </w:p>
        </w:tc>
        <w:tc>
          <w:tcPr>
            <w:tcW w:w="1276"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(0·04, 0·</w:t>
            </w:r>
            <w:r w:rsidRPr="004837FB">
              <w:rPr>
                <w:rFonts w:ascii="Arial" w:hAnsi="Arial" w:cs="Arial"/>
                <w:color w:val="000000"/>
                <w:sz w:val="20"/>
                <w:szCs w:val="20"/>
              </w:rPr>
              <w:t>34)</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&lt;0·</w:t>
            </w:r>
            <w:r w:rsidRPr="004837FB">
              <w:rPr>
                <w:rFonts w:ascii="Arial" w:hAnsi="Arial" w:cs="Arial"/>
                <w:color w:val="000000"/>
                <w:sz w:val="20"/>
                <w:szCs w:val="20"/>
              </w:rPr>
              <w:t>01</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hideMark/>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w:t>
            </w:r>
            <w:r w:rsidRPr="004837FB">
              <w:rPr>
                <w:rFonts w:ascii="Arial" w:hAnsi="Arial" w:cs="Arial"/>
                <w:color w:val="000000"/>
                <w:sz w:val="20"/>
                <w:szCs w:val="20"/>
              </w:rPr>
              <w:t>12</w:t>
            </w:r>
          </w:p>
        </w:tc>
        <w:tc>
          <w:tcPr>
            <w:tcW w:w="1559" w:type="dxa"/>
            <w:tcBorders>
              <w:top w:val="single" w:sz="4" w:space="0" w:color="auto"/>
              <w:left w:val="nil"/>
              <w:bottom w:val="single" w:sz="4" w:space="0" w:color="auto"/>
            </w:tcBorders>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(0·04, 0·</w:t>
            </w:r>
            <w:r w:rsidRPr="004837FB">
              <w:rPr>
                <w:rFonts w:ascii="Arial" w:hAnsi="Arial" w:cs="Arial"/>
                <w:color w:val="000000"/>
                <w:sz w:val="20"/>
                <w:szCs w:val="20"/>
              </w:rPr>
              <w:t>35)</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03D84" w:rsidRPr="004837FB" w:rsidRDefault="00803D84" w:rsidP="00A63E8E">
            <w:pPr>
              <w:spacing w:line="480" w:lineRule="auto"/>
              <w:jc w:val="center"/>
              <w:rPr>
                <w:rFonts w:ascii="Arial" w:hAnsi="Arial" w:cs="Arial"/>
                <w:sz w:val="20"/>
                <w:szCs w:val="20"/>
                <w:lang w:eastAsia="en-GB"/>
              </w:rPr>
            </w:pPr>
            <w:r>
              <w:rPr>
                <w:rFonts w:ascii="Arial" w:hAnsi="Arial" w:cs="Arial"/>
                <w:color w:val="000000"/>
                <w:sz w:val="20"/>
                <w:szCs w:val="20"/>
              </w:rPr>
              <w:t>&lt;0·</w:t>
            </w:r>
            <w:r w:rsidRPr="004837FB">
              <w:rPr>
                <w:rFonts w:ascii="Arial" w:hAnsi="Arial" w:cs="Arial"/>
                <w:color w:val="000000"/>
                <w:sz w:val="20"/>
                <w:szCs w:val="20"/>
              </w:rPr>
              <w:t>01</w:t>
            </w:r>
          </w:p>
        </w:tc>
      </w:tr>
      <w:tr w:rsidR="00803D84" w:rsidRPr="001D5EA9" w:rsidTr="000F0C69">
        <w:tc>
          <w:tcPr>
            <w:tcW w:w="2804" w:type="dxa"/>
            <w:tcBorders>
              <w:top w:val="single" w:sz="4" w:space="0" w:color="auto"/>
              <w:bottom w:val="single" w:sz="4" w:space="0" w:color="auto"/>
            </w:tcBorders>
          </w:tcPr>
          <w:p w:rsidR="00803D84" w:rsidRDefault="00803D84" w:rsidP="00A63E8E">
            <w:pPr>
              <w:spacing w:line="480" w:lineRule="auto"/>
              <w:rPr>
                <w:rFonts w:ascii="Arial" w:hAnsi="Arial" w:cs="Arial"/>
                <w:i/>
                <w:color w:val="000000"/>
                <w:sz w:val="20"/>
                <w:szCs w:val="20"/>
              </w:rPr>
            </w:pPr>
          </w:p>
        </w:tc>
        <w:tc>
          <w:tcPr>
            <w:tcW w:w="1131" w:type="dxa"/>
            <w:tcBorders>
              <w:top w:val="single" w:sz="4" w:space="0" w:color="auto"/>
              <w:bottom w:val="single" w:sz="4" w:space="0" w:color="auto"/>
            </w:tcBorders>
          </w:tcPr>
          <w:p w:rsidR="00803D84" w:rsidRPr="001D5EA9" w:rsidRDefault="00803D84" w:rsidP="00A63E8E">
            <w:pPr>
              <w:spacing w:line="480" w:lineRule="auto"/>
              <w:rPr>
                <w:rFonts w:ascii="Arial" w:hAnsi="Arial" w:cs="Arial"/>
                <w:bCs/>
                <w:sz w:val="20"/>
                <w:szCs w:val="20"/>
              </w:rPr>
            </w:pPr>
          </w:p>
        </w:tc>
        <w:tc>
          <w:tcPr>
            <w:tcW w:w="2597" w:type="dxa"/>
            <w:tcBorders>
              <w:top w:val="single" w:sz="4" w:space="0" w:color="auto"/>
              <w:bottom w:val="single" w:sz="4" w:space="0" w:color="auto"/>
            </w:tcBorders>
            <w:tcMar>
              <w:top w:w="0" w:type="dxa"/>
              <w:left w:w="108" w:type="dxa"/>
              <w:bottom w:w="0" w:type="dxa"/>
              <w:right w:w="108" w:type="dxa"/>
            </w:tcMar>
          </w:tcPr>
          <w:p w:rsidR="00803D84" w:rsidRPr="001D5EA9" w:rsidRDefault="00803D84" w:rsidP="00A63E8E">
            <w:pPr>
              <w:spacing w:line="480" w:lineRule="auto"/>
              <w:rPr>
                <w:rFonts w:ascii="Arial" w:hAnsi="Arial" w:cs="Arial"/>
                <w:sz w:val="20"/>
                <w:szCs w:val="20"/>
              </w:rPr>
            </w:pPr>
          </w:p>
        </w:tc>
        <w:tc>
          <w:tcPr>
            <w:tcW w:w="1087" w:type="dxa"/>
            <w:tcBorders>
              <w:top w:val="single" w:sz="4" w:space="0" w:color="auto"/>
              <w:bottom w:val="single" w:sz="4" w:space="0" w:color="auto"/>
            </w:tcBorders>
          </w:tcPr>
          <w:p w:rsidR="00803D84" w:rsidRPr="001D5EA9" w:rsidRDefault="00803D84" w:rsidP="00A63E8E">
            <w:pPr>
              <w:spacing w:line="480" w:lineRule="auto"/>
              <w:jc w:val="center"/>
              <w:rPr>
                <w:rFonts w:ascii="Arial" w:hAnsi="Arial" w:cs="Arial"/>
                <w:sz w:val="20"/>
                <w:szCs w:val="20"/>
                <w:lang w:eastAsia="en-GB"/>
              </w:rPr>
            </w:pPr>
          </w:p>
        </w:tc>
        <w:tc>
          <w:tcPr>
            <w:tcW w:w="1087" w:type="dxa"/>
            <w:tcBorders>
              <w:top w:val="single" w:sz="4" w:space="0" w:color="auto"/>
              <w:bottom w:val="single" w:sz="4" w:space="0" w:color="auto"/>
            </w:tcBorders>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p>
        </w:tc>
        <w:tc>
          <w:tcPr>
            <w:tcW w:w="1276" w:type="dxa"/>
            <w:tcBorders>
              <w:top w:val="single" w:sz="4" w:space="0" w:color="auto"/>
              <w:bottom w:val="single" w:sz="4" w:space="0" w:color="auto"/>
            </w:tcBorders>
          </w:tcPr>
          <w:p w:rsidR="00803D84" w:rsidRPr="001D5EA9" w:rsidRDefault="00803D84" w:rsidP="00A63E8E">
            <w:pPr>
              <w:spacing w:line="480" w:lineRule="auto"/>
              <w:jc w:val="center"/>
              <w:rPr>
                <w:rFonts w:ascii="Arial" w:hAnsi="Arial" w:cs="Arial"/>
                <w:sz w:val="20"/>
                <w:szCs w:val="20"/>
                <w:lang w:eastAsia="en-GB"/>
              </w:rPr>
            </w:pPr>
          </w:p>
        </w:tc>
        <w:tc>
          <w:tcPr>
            <w:tcW w:w="1134" w:type="dxa"/>
            <w:tcBorders>
              <w:top w:val="single" w:sz="4" w:space="0" w:color="auto"/>
              <w:bottom w:val="single" w:sz="4" w:space="0" w:color="auto"/>
            </w:tcBorders>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p>
        </w:tc>
        <w:tc>
          <w:tcPr>
            <w:tcW w:w="992" w:type="dxa"/>
            <w:tcBorders>
              <w:top w:val="single" w:sz="4" w:space="0" w:color="auto"/>
              <w:bottom w:val="single" w:sz="4" w:space="0" w:color="auto"/>
            </w:tcBorders>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p>
        </w:tc>
        <w:tc>
          <w:tcPr>
            <w:tcW w:w="1559" w:type="dxa"/>
            <w:tcBorders>
              <w:top w:val="single" w:sz="4" w:space="0" w:color="auto"/>
              <w:bottom w:val="single" w:sz="4" w:space="0" w:color="auto"/>
            </w:tcBorders>
          </w:tcPr>
          <w:p w:rsidR="00803D84" w:rsidRPr="001D5EA9" w:rsidRDefault="00803D84" w:rsidP="00A63E8E">
            <w:pPr>
              <w:spacing w:line="480" w:lineRule="auto"/>
              <w:jc w:val="center"/>
              <w:rPr>
                <w:rFonts w:ascii="Arial" w:hAnsi="Arial" w:cs="Arial"/>
                <w:sz w:val="20"/>
                <w:szCs w:val="20"/>
                <w:lang w:eastAsia="en-GB"/>
              </w:rPr>
            </w:pPr>
          </w:p>
        </w:tc>
        <w:tc>
          <w:tcPr>
            <w:tcW w:w="1367" w:type="dxa"/>
            <w:tcBorders>
              <w:top w:val="single" w:sz="4" w:space="0" w:color="auto"/>
              <w:bottom w:val="single" w:sz="4" w:space="0" w:color="auto"/>
            </w:tcBorders>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p>
        </w:tc>
      </w:tr>
      <w:tr w:rsidR="00803D84" w:rsidRPr="001D5EA9" w:rsidTr="00340E61">
        <w:tc>
          <w:tcPr>
            <w:tcW w:w="2804" w:type="dxa"/>
            <w:tcBorders>
              <w:top w:val="single" w:sz="4" w:space="0" w:color="auto"/>
              <w:left w:val="single" w:sz="4" w:space="0" w:color="auto"/>
              <w:bottom w:val="single" w:sz="4" w:space="0" w:color="auto"/>
            </w:tcBorders>
            <w:shd w:val="clear" w:color="auto" w:fill="DDD9C3" w:themeFill="background2" w:themeFillShade="E6"/>
          </w:tcPr>
          <w:p w:rsidR="00803D84" w:rsidRPr="004837FB" w:rsidRDefault="00803D84" w:rsidP="00A63E8E">
            <w:pPr>
              <w:spacing w:line="480" w:lineRule="auto"/>
              <w:rPr>
                <w:rFonts w:ascii="Arial" w:hAnsi="Arial" w:cs="Arial"/>
                <w:i/>
                <w:color w:val="000000"/>
                <w:sz w:val="20"/>
                <w:szCs w:val="20"/>
              </w:rPr>
            </w:pPr>
            <w:r>
              <w:rPr>
                <w:rFonts w:ascii="Arial" w:hAnsi="Arial" w:cs="Arial"/>
                <w:i/>
                <w:color w:val="000000"/>
                <w:sz w:val="20"/>
                <w:szCs w:val="20"/>
              </w:rPr>
              <w:t>Secondary outcomes</w:t>
            </w:r>
          </w:p>
        </w:tc>
        <w:tc>
          <w:tcPr>
            <w:tcW w:w="1131" w:type="dxa"/>
            <w:tcBorders>
              <w:top w:val="single" w:sz="4" w:space="0" w:color="auto"/>
              <w:bottom w:val="single" w:sz="4" w:space="0" w:color="auto"/>
            </w:tcBorders>
            <w:shd w:val="clear" w:color="auto" w:fill="DDD9C3" w:themeFill="background2" w:themeFillShade="E6"/>
          </w:tcPr>
          <w:p w:rsidR="00803D84" w:rsidRPr="001D5EA9" w:rsidRDefault="00803D84" w:rsidP="00A63E8E">
            <w:pPr>
              <w:spacing w:line="480" w:lineRule="auto"/>
              <w:rPr>
                <w:rFonts w:ascii="Arial" w:hAnsi="Arial" w:cs="Arial"/>
                <w:bCs/>
                <w:sz w:val="20"/>
                <w:szCs w:val="20"/>
              </w:rPr>
            </w:pPr>
          </w:p>
        </w:tc>
        <w:tc>
          <w:tcPr>
            <w:tcW w:w="2597" w:type="dxa"/>
            <w:tcBorders>
              <w:top w:val="single" w:sz="4" w:space="0" w:color="auto"/>
              <w:bottom w:val="single" w:sz="4" w:space="0" w:color="auto"/>
            </w:tcBorders>
            <w:shd w:val="clear" w:color="auto" w:fill="DDD9C3" w:themeFill="background2" w:themeFillShade="E6"/>
            <w:tcMar>
              <w:top w:w="0" w:type="dxa"/>
              <w:left w:w="108" w:type="dxa"/>
              <w:bottom w:w="0" w:type="dxa"/>
              <w:right w:w="108" w:type="dxa"/>
            </w:tcMar>
          </w:tcPr>
          <w:p w:rsidR="00803D84" w:rsidRPr="001D5EA9" w:rsidRDefault="00803D84" w:rsidP="00A63E8E">
            <w:pPr>
              <w:spacing w:line="480" w:lineRule="auto"/>
              <w:rPr>
                <w:rFonts w:ascii="Arial" w:hAnsi="Arial" w:cs="Arial"/>
                <w:sz w:val="20"/>
                <w:szCs w:val="20"/>
              </w:rPr>
            </w:pPr>
          </w:p>
        </w:tc>
        <w:tc>
          <w:tcPr>
            <w:tcW w:w="1087" w:type="dxa"/>
            <w:tcBorders>
              <w:top w:val="single" w:sz="4" w:space="0" w:color="auto"/>
              <w:bottom w:val="single" w:sz="4" w:space="0" w:color="auto"/>
            </w:tcBorders>
            <w:shd w:val="clear" w:color="auto" w:fill="DDD9C3" w:themeFill="background2" w:themeFillShade="E6"/>
          </w:tcPr>
          <w:p w:rsidR="00803D84" w:rsidRPr="001D5EA9" w:rsidRDefault="00803D84" w:rsidP="00A63E8E">
            <w:pPr>
              <w:spacing w:line="480" w:lineRule="auto"/>
              <w:jc w:val="center"/>
              <w:rPr>
                <w:rFonts w:ascii="Arial" w:hAnsi="Arial" w:cs="Arial"/>
                <w:sz w:val="20"/>
                <w:szCs w:val="20"/>
                <w:lang w:eastAsia="en-GB"/>
              </w:rPr>
            </w:pPr>
          </w:p>
        </w:tc>
        <w:tc>
          <w:tcPr>
            <w:tcW w:w="1087" w:type="dxa"/>
            <w:tcBorders>
              <w:top w:val="single" w:sz="4" w:space="0" w:color="auto"/>
              <w:bottom w:val="single" w:sz="4" w:space="0" w:color="auto"/>
            </w:tcBorders>
            <w:shd w:val="clear" w:color="auto" w:fill="DDD9C3" w:themeFill="background2" w:themeFillShade="E6"/>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p>
        </w:tc>
        <w:tc>
          <w:tcPr>
            <w:tcW w:w="1276" w:type="dxa"/>
            <w:tcBorders>
              <w:top w:val="single" w:sz="4" w:space="0" w:color="auto"/>
              <w:bottom w:val="single" w:sz="4" w:space="0" w:color="auto"/>
            </w:tcBorders>
            <w:shd w:val="clear" w:color="auto" w:fill="DDD9C3" w:themeFill="background2" w:themeFillShade="E6"/>
          </w:tcPr>
          <w:p w:rsidR="00803D84" w:rsidRPr="001D5EA9" w:rsidRDefault="00803D84" w:rsidP="00A63E8E">
            <w:pPr>
              <w:spacing w:line="480" w:lineRule="auto"/>
              <w:jc w:val="center"/>
              <w:rPr>
                <w:rFonts w:ascii="Arial" w:hAnsi="Arial" w:cs="Arial"/>
                <w:sz w:val="20"/>
                <w:szCs w:val="20"/>
                <w:lang w:eastAsia="en-GB"/>
              </w:rPr>
            </w:pPr>
          </w:p>
        </w:tc>
        <w:tc>
          <w:tcPr>
            <w:tcW w:w="1134" w:type="dxa"/>
            <w:tcBorders>
              <w:top w:val="single" w:sz="4" w:space="0" w:color="auto"/>
              <w:bottom w:val="single" w:sz="4" w:space="0" w:color="auto"/>
            </w:tcBorders>
            <w:shd w:val="clear" w:color="auto" w:fill="DDD9C3" w:themeFill="background2" w:themeFillShade="E6"/>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p>
        </w:tc>
        <w:tc>
          <w:tcPr>
            <w:tcW w:w="992" w:type="dxa"/>
            <w:tcBorders>
              <w:top w:val="single" w:sz="4" w:space="0" w:color="auto"/>
              <w:bottom w:val="single" w:sz="4" w:space="0" w:color="auto"/>
            </w:tcBorders>
            <w:shd w:val="clear" w:color="auto" w:fill="DDD9C3" w:themeFill="background2" w:themeFillShade="E6"/>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p>
        </w:tc>
        <w:tc>
          <w:tcPr>
            <w:tcW w:w="1559" w:type="dxa"/>
            <w:tcBorders>
              <w:top w:val="single" w:sz="4" w:space="0" w:color="auto"/>
              <w:bottom w:val="single" w:sz="4" w:space="0" w:color="auto"/>
            </w:tcBorders>
            <w:shd w:val="clear" w:color="auto" w:fill="DDD9C3" w:themeFill="background2" w:themeFillShade="E6"/>
          </w:tcPr>
          <w:p w:rsidR="00803D84" w:rsidRPr="001D5EA9" w:rsidRDefault="00803D84" w:rsidP="00A63E8E">
            <w:pPr>
              <w:spacing w:line="480" w:lineRule="auto"/>
              <w:jc w:val="center"/>
              <w:rPr>
                <w:rFonts w:ascii="Arial" w:hAnsi="Arial" w:cs="Arial"/>
                <w:sz w:val="20"/>
                <w:szCs w:val="20"/>
                <w:lang w:eastAsia="en-GB"/>
              </w:rPr>
            </w:pPr>
          </w:p>
        </w:tc>
        <w:tc>
          <w:tcPr>
            <w:tcW w:w="1367" w:type="dxa"/>
            <w:tcBorders>
              <w:top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p>
        </w:tc>
      </w:tr>
      <w:tr w:rsidR="00803D84" w:rsidRPr="001D5EA9" w:rsidTr="00340E61">
        <w:tc>
          <w:tcPr>
            <w:tcW w:w="2804" w:type="dxa"/>
            <w:vMerge w:val="restart"/>
            <w:tcBorders>
              <w:top w:val="single" w:sz="4" w:space="0" w:color="auto"/>
              <w:left w:val="single" w:sz="4" w:space="0" w:color="auto"/>
              <w:right w:val="single" w:sz="4" w:space="0" w:color="auto"/>
            </w:tcBorders>
          </w:tcPr>
          <w:p w:rsidR="00803D84" w:rsidRDefault="00803D84" w:rsidP="002B7026">
            <w:pPr>
              <w:spacing w:line="480" w:lineRule="auto"/>
              <w:rPr>
                <w:rFonts w:ascii="Arial" w:hAnsi="Arial" w:cs="Arial"/>
                <w:i/>
                <w:color w:val="000000"/>
                <w:sz w:val="20"/>
                <w:szCs w:val="20"/>
              </w:rPr>
            </w:pPr>
            <w:r w:rsidRPr="004837FB">
              <w:rPr>
                <w:rFonts w:ascii="Arial" w:hAnsi="Arial" w:cs="Arial"/>
                <w:color w:val="000000"/>
                <w:sz w:val="20"/>
                <w:szCs w:val="20"/>
              </w:rPr>
              <w:t xml:space="preserve">Time to removal of the first </w:t>
            </w:r>
            <w:r>
              <w:rPr>
                <w:rFonts w:ascii="Arial" w:hAnsi="Arial" w:cs="Arial"/>
                <w:color w:val="000000"/>
                <w:sz w:val="20"/>
                <w:szCs w:val="20"/>
              </w:rPr>
              <w:t>shunt</w:t>
            </w:r>
            <w:r>
              <w:rPr>
                <w:rFonts w:ascii="Arial" w:hAnsi="Arial" w:cs="Arial"/>
                <w:bCs/>
                <w:sz w:val="20"/>
                <w:szCs w:val="20"/>
              </w:rPr>
              <w:t xml:space="preserve"> </w:t>
            </w:r>
            <w:r w:rsidRPr="004837FB">
              <w:rPr>
                <w:rFonts w:ascii="Arial" w:hAnsi="Arial" w:cs="Arial"/>
                <w:color w:val="000000"/>
                <w:sz w:val="20"/>
                <w:szCs w:val="20"/>
              </w:rPr>
              <w:t>due to suspected infection,</w:t>
            </w:r>
            <w:r w:rsidRPr="001D5EA9">
              <w:rPr>
                <w:rFonts w:ascii="Arial" w:hAnsi="Arial" w:cs="Arial"/>
                <w:sz w:val="20"/>
                <w:szCs w:val="20"/>
              </w:rPr>
              <w:t xml:space="preserve"> as assessed by treating </w:t>
            </w:r>
            <w:r>
              <w:rPr>
                <w:rFonts w:ascii="Arial" w:hAnsi="Arial" w:cs="Arial"/>
                <w:sz w:val="20"/>
                <w:szCs w:val="20"/>
              </w:rPr>
              <w:t>neuro</w:t>
            </w:r>
            <w:r w:rsidRPr="001D5EA9">
              <w:rPr>
                <w:rFonts w:ascii="Arial" w:hAnsi="Arial" w:cs="Arial"/>
                <w:sz w:val="20"/>
                <w:szCs w:val="20"/>
              </w:rPr>
              <w:t>surgeon</w:t>
            </w:r>
            <w:r>
              <w:rPr>
                <w:rFonts w:ascii="Arial" w:hAnsi="Arial" w:cs="Arial"/>
                <w:color w:val="000000"/>
                <w:sz w:val="20"/>
                <w:szCs w:val="20"/>
              </w:rPr>
              <w:t xml:space="preserve"> </w:t>
            </w:r>
            <w:r>
              <w:rPr>
                <w:rFonts w:ascii="Arial" w:hAnsi="Arial" w:cs="Arial"/>
                <w:color w:val="000000"/>
                <w:sz w:val="20"/>
                <w:szCs w:val="20"/>
                <w:vertAlign w:val="superscript"/>
              </w:rPr>
              <w:t>(1)</w:t>
            </w:r>
          </w:p>
        </w:tc>
        <w:tc>
          <w:tcPr>
            <w:tcW w:w="3728" w:type="dxa"/>
            <w:gridSpan w:val="2"/>
            <w:tcBorders>
              <w:top w:val="single" w:sz="4" w:space="0" w:color="auto"/>
              <w:left w:val="single" w:sz="4" w:space="0" w:color="auto"/>
              <w:bottom w:val="single" w:sz="4" w:space="0" w:color="auto"/>
              <w:right w:val="single" w:sz="4" w:space="0" w:color="auto"/>
            </w:tcBorders>
          </w:tcPr>
          <w:p w:rsidR="00803D84" w:rsidRPr="001D5EA9" w:rsidRDefault="00803D84" w:rsidP="00A63E8E">
            <w:pPr>
              <w:spacing w:line="480" w:lineRule="auto"/>
              <w:rPr>
                <w:rFonts w:ascii="Arial" w:hAnsi="Arial" w:cs="Arial"/>
                <w:sz w:val="20"/>
                <w:szCs w:val="20"/>
              </w:rPr>
            </w:pPr>
            <w:r w:rsidRPr="00893D85">
              <w:rPr>
                <w:rFonts w:ascii="Arial" w:hAnsi="Arial" w:cs="Arial"/>
                <w:bCs/>
                <w:i/>
                <w:sz w:val="20"/>
                <w:szCs w:val="20"/>
                <w:lang w:eastAsia="en-GB"/>
              </w:rPr>
              <w:t>Model estimate</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A63E8E">
            <w:pPr>
              <w:spacing w:line="480" w:lineRule="auto"/>
              <w:jc w:val="center"/>
              <w:rPr>
                <w:rFonts w:ascii="Arial" w:hAnsi="Arial" w:cs="Arial"/>
                <w:bCs/>
                <w:i/>
                <w:sz w:val="20"/>
                <w:szCs w:val="20"/>
                <w:lang w:eastAsia="en-GB"/>
              </w:rPr>
            </w:pPr>
            <w:r>
              <w:rPr>
                <w:rFonts w:ascii="Arial" w:hAnsi="Arial" w:cs="Arial"/>
                <w:bCs/>
                <w:i/>
                <w:sz w:val="20"/>
                <w:szCs w:val="20"/>
                <w:lang w:eastAsia="en-GB"/>
              </w:rPr>
              <w:t>N events</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r>
              <w:rPr>
                <w:rFonts w:ascii="Arial" w:hAnsi="Arial" w:cs="Arial"/>
                <w:bCs/>
                <w:i/>
                <w:sz w:val="20"/>
                <w:szCs w:val="20"/>
                <w:lang w:eastAsia="en-GB"/>
              </w:rPr>
              <w:t>c</w:t>
            </w:r>
            <w:r w:rsidRPr="004837FB">
              <w:rPr>
                <w:rFonts w:ascii="Arial" w:hAnsi="Arial" w:cs="Arial"/>
                <w:bCs/>
                <w:i/>
                <w:sz w:val="20"/>
                <w:szCs w:val="20"/>
                <w:lang w:eastAsia="en-GB"/>
              </w:rPr>
              <w:t>s</w:t>
            </w:r>
            <w:r>
              <w:rPr>
                <w:rFonts w:ascii="Arial" w:hAnsi="Arial" w:cs="Arial"/>
                <w:bCs/>
                <w:i/>
                <w:sz w:val="20"/>
                <w:szCs w:val="20"/>
                <w:lang w:eastAsia="en-GB"/>
              </w:rPr>
              <w:t>HR</w:t>
            </w:r>
          </w:p>
        </w:tc>
        <w:tc>
          <w:tcPr>
            <w:tcW w:w="1276" w:type="dxa"/>
            <w:tcBorders>
              <w:top w:val="single" w:sz="4" w:space="0" w:color="auto"/>
              <w:bottom w:val="single" w:sz="4" w:space="0" w:color="auto"/>
            </w:tcBorders>
          </w:tcPr>
          <w:p w:rsidR="00803D84" w:rsidRPr="001D5EA9" w:rsidRDefault="00803D84" w:rsidP="00A63E8E">
            <w:pPr>
              <w:spacing w:line="480" w:lineRule="auto"/>
              <w:jc w:val="center"/>
              <w:rPr>
                <w:rFonts w:ascii="Arial" w:hAnsi="Arial" w:cs="Arial"/>
                <w:sz w:val="20"/>
                <w:szCs w:val="20"/>
                <w:lang w:eastAsia="en-GB"/>
              </w:rPr>
            </w:pPr>
            <w:r>
              <w:rPr>
                <w:rFonts w:ascii="Arial" w:hAnsi="Arial" w:cs="Arial"/>
                <w:bCs/>
                <w:i/>
                <w:sz w:val="20"/>
                <w:szCs w:val="20"/>
                <w:lang w:eastAsia="en-GB"/>
              </w:rPr>
              <w:t>(97·</w:t>
            </w:r>
            <w:r w:rsidRPr="00893D85">
              <w:rPr>
                <w:rFonts w:ascii="Arial" w:hAnsi="Arial" w:cs="Arial"/>
                <w:bCs/>
                <w:i/>
                <w:sz w:val="20"/>
                <w:szCs w:val="20"/>
                <w:lang w:eastAsia="en-GB"/>
              </w:rPr>
              <w:t>5% CI)</w:t>
            </w:r>
          </w:p>
        </w:tc>
        <w:tc>
          <w:tcPr>
            <w:tcW w:w="1134" w:type="dxa"/>
            <w:tcBorders>
              <w:top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r w:rsidRPr="00893D85">
              <w:rPr>
                <w:rFonts w:ascii="Arial" w:hAnsi="Arial" w:cs="Arial"/>
                <w:bCs/>
                <w:i/>
                <w:sz w:val="20"/>
                <w:szCs w:val="20"/>
                <w:lang w:eastAsia="en-GB"/>
              </w:rPr>
              <w:t>P-value</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r>
              <w:rPr>
                <w:rFonts w:ascii="Arial" w:hAnsi="Arial" w:cs="Arial"/>
                <w:bCs/>
                <w:i/>
                <w:sz w:val="20"/>
                <w:szCs w:val="20"/>
                <w:lang w:eastAsia="en-GB"/>
              </w:rPr>
              <w:t>sHR</w:t>
            </w:r>
          </w:p>
        </w:tc>
        <w:tc>
          <w:tcPr>
            <w:tcW w:w="1559" w:type="dxa"/>
            <w:tcBorders>
              <w:top w:val="single" w:sz="4" w:space="0" w:color="auto"/>
              <w:bottom w:val="single" w:sz="4" w:space="0" w:color="auto"/>
            </w:tcBorders>
          </w:tcPr>
          <w:p w:rsidR="00803D84" w:rsidRPr="001D5EA9" w:rsidRDefault="00803D84" w:rsidP="00A63E8E">
            <w:pPr>
              <w:spacing w:line="480" w:lineRule="auto"/>
              <w:jc w:val="center"/>
              <w:rPr>
                <w:rFonts w:ascii="Arial" w:hAnsi="Arial" w:cs="Arial"/>
                <w:sz w:val="20"/>
                <w:szCs w:val="20"/>
                <w:lang w:eastAsia="en-GB"/>
              </w:rPr>
            </w:pPr>
            <w:r>
              <w:rPr>
                <w:rFonts w:ascii="Arial" w:hAnsi="Arial" w:cs="Arial"/>
                <w:bCs/>
                <w:i/>
                <w:sz w:val="20"/>
                <w:szCs w:val="20"/>
                <w:lang w:eastAsia="en-GB"/>
              </w:rPr>
              <w:t>(97·</w:t>
            </w:r>
            <w:r w:rsidRPr="00893D85">
              <w:rPr>
                <w:rFonts w:ascii="Arial" w:hAnsi="Arial" w:cs="Arial"/>
                <w:bCs/>
                <w:i/>
                <w:sz w:val="20"/>
                <w:szCs w:val="20"/>
                <w:lang w:eastAsia="en-GB"/>
              </w:rPr>
              <w:t>5% CI)</w:t>
            </w:r>
          </w:p>
        </w:tc>
        <w:tc>
          <w:tcPr>
            <w:tcW w:w="1367" w:type="dxa"/>
            <w:tcBorders>
              <w:top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A63E8E">
            <w:pPr>
              <w:spacing w:line="480" w:lineRule="auto"/>
              <w:jc w:val="center"/>
              <w:rPr>
                <w:rFonts w:ascii="Arial" w:hAnsi="Arial" w:cs="Arial"/>
                <w:sz w:val="20"/>
                <w:szCs w:val="20"/>
                <w:lang w:eastAsia="en-GB"/>
              </w:rPr>
            </w:pPr>
            <w:r w:rsidRPr="00893D85">
              <w:rPr>
                <w:rFonts w:ascii="Arial" w:hAnsi="Arial" w:cs="Arial"/>
                <w:bCs/>
                <w:i/>
                <w:sz w:val="20"/>
                <w:szCs w:val="20"/>
                <w:lang w:eastAsia="en-GB"/>
              </w:rPr>
              <w:t>P-value</w:t>
            </w:r>
          </w:p>
        </w:tc>
      </w:tr>
      <w:tr w:rsidR="00803D84" w:rsidRPr="001D5EA9" w:rsidTr="00340E61">
        <w:tc>
          <w:tcPr>
            <w:tcW w:w="2804" w:type="dxa"/>
            <w:vMerge/>
            <w:tcBorders>
              <w:left w:val="single" w:sz="4" w:space="0" w:color="auto"/>
              <w:right w:val="single" w:sz="4" w:space="0" w:color="auto"/>
            </w:tcBorders>
          </w:tcPr>
          <w:p w:rsidR="00803D84" w:rsidRPr="004837FB" w:rsidRDefault="00803D84" w:rsidP="00340E61">
            <w:pPr>
              <w:spacing w:line="480" w:lineRule="auto"/>
              <w:rPr>
                <w:rFonts w:ascii="Arial" w:hAnsi="Arial" w:cs="Arial"/>
                <w:b/>
                <w:sz w:val="20"/>
                <w:szCs w:val="20"/>
                <w:vertAlign w:val="superscript"/>
              </w:rPr>
            </w:pPr>
          </w:p>
        </w:tc>
        <w:tc>
          <w:tcPr>
            <w:tcW w:w="1131" w:type="dxa"/>
            <w:vMerge w:val="restart"/>
            <w:tcBorders>
              <w:top w:val="single" w:sz="4" w:space="0" w:color="auto"/>
              <w:left w:val="single" w:sz="4" w:space="0" w:color="auto"/>
              <w:right w:val="single" w:sz="4" w:space="0" w:color="auto"/>
            </w:tcBorders>
          </w:tcPr>
          <w:p w:rsidR="00803D84" w:rsidRPr="004837FB" w:rsidRDefault="00803D84" w:rsidP="00340E61">
            <w:pPr>
              <w:spacing w:line="480" w:lineRule="auto"/>
              <w:rPr>
                <w:rFonts w:ascii="Arial" w:hAnsi="Arial" w:cs="Arial"/>
                <w:sz w:val="20"/>
                <w:szCs w:val="20"/>
              </w:rPr>
            </w:pPr>
            <w:r>
              <w:rPr>
                <w:rFonts w:ascii="Arial" w:hAnsi="Arial" w:cs="Arial"/>
                <w:bCs/>
                <w:sz w:val="20"/>
                <w:szCs w:val="20"/>
              </w:rPr>
              <w:t>Shunt</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Standard</w:t>
            </w:r>
          </w:p>
        </w:tc>
        <w:tc>
          <w:tcPr>
            <w:tcW w:w="1087" w:type="dxa"/>
            <w:tcBorders>
              <w:top w:val="single" w:sz="4" w:space="0" w:color="auto"/>
              <w:left w:val="single" w:sz="4" w:space="0" w:color="auto"/>
              <w:bottom w:val="single" w:sz="4" w:space="0" w:color="auto"/>
              <w:right w:val="single" w:sz="4" w:space="0" w:color="auto"/>
            </w:tcBorders>
          </w:tcPr>
          <w:p w:rsidR="00803D84" w:rsidRPr="004837FB" w:rsidRDefault="00803D84" w:rsidP="00340E61">
            <w:pPr>
              <w:spacing w:line="480" w:lineRule="auto"/>
              <w:jc w:val="center"/>
              <w:rPr>
                <w:rFonts w:ascii="Arial" w:hAnsi="Arial" w:cs="Arial"/>
                <w:sz w:val="20"/>
                <w:szCs w:val="20"/>
                <w:lang w:eastAsia="en-GB"/>
              </w:rPr>
            </w:pPr>
            <w:r>
              <w:rPr>
                <w:rFonts w:ascii="Arial" w:hAnsi="Arial" w:cs="Arial"/>
                <w:sz w:val="20"/>
                <w:szCs w:val="20"/>
                <w:lang w:eastAsia="en-GB"/>
              </w:rPr>
              <w:t>33</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559"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r>
      <w:tr w:rsidR="00803D84" w:rsidRPr="001D5EA9" w:rsidTr="00340E61">
        <w:tc>
          <w:tcPr>
            <w:tcW w:w="2804"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1131" w:type="dxa"/>
            <w:vMerge/>
            <w:tcBorders>
              <w:left w:val="single" w:sz="4" w:space="0" w:color="auto"/>
              <w:right w:val="single" w:sz="4" w:space="0" w:color="auto"/>
            </w:tcBorders>
          </w:tcPr>
          <w:p w:rsidR="00803D84" w:rsidRPr="004837FB" w:rsidRDefault="00803D84" w:rsidP="00340E61">
            <w:pPr>
              <w:spacing w:line="480" w:lineRule="auto"/>
              <w:rPr>
                <w:rFonts w:ascii="Arial" w:hAnsi="Arial" w:cs="Arial"/>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Antibiotic</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340E61">
            <w:pPr>
              <w:spacing w:line="480" w:lineRule="auto"/>
              <w:jc w:val="center"/>
              <w:rPr>
                <w:rFonts w:ascii="Arial" w:hAnsi="Arial" w:cs="Arial"/>
                <w:color w:val="000000"/>
                <w:sz w:val="20"/>
                <w:szCs w:val="20"/>
                <w:lang w:eastAsia="en-GB"/>
              </w:rPr>
            </w:pPr>
            <w:r>
              <w:rPr>
                <w:rFonts w:ascii="Arial" w:hAnsi="Arial" w:cs="Arial"/>
                <w:color w:val="000000"/>
                <w:sz w:val="20"/>
                <w:szCs w:val="20"/>
              </w:rPr>
              <w:t>15</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45</w:t>
            </w: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(0·23, 0·</w:t>
            </w:r>
            <w:r w:rsidRPr="004837FB">
              <w:rPr>
                <w:rFonts w:ascii="Arial" w:hAnsi="Arial" w:cs="Arial"/>
                <w:color w:val="000000"/>
                <w:sz w:val="20"/>
                <w:szCs w:val="20"/>
                <w:lang w:eastAsia="en-GB"/>
              </w:rPr>
              <w:t>91)</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01</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45</w:t>
            </w:r>
          </w:p>
        </w:tc>
        <w:tc>
          <w:tcPr>
            <w:tcW w:w="1559"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(0·23, 0·</w:t>
            </w:r>
            <w:r w:rsidRPr="004837FB">
              <w:rPr>
                <w:rFonts w:ascii="Arial" w:hAnsi="Arial" w:cs="Arial"/>
                <w:color w:val="000000"/>
                <w:sz w:val="20"/>
                <w:szCs w:val="20"/>
                <w:lang w:eastAsia="en-GB"/>
              </w:rPr>
              <w:t>91)</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01</w:t>
            </w:r>
          </w:p>
        </w:tc>
      </w:tr>
      <w:tr w:rsidR="00803D84" w:rsidRPr="001D5EA9" w:rsidTr="00340E61">
        <w:tc>
          <w:tcPr>
            <w:tcW w:w="2804"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1131" w:type="dxa"/>
            <w:vMerge/>
            <w:tcBorders>
              <w:left w:val="single" w:sz="4" w:space="0" w:color="auto"/>
              <w:right w:val="single" w:sz="4" w:space="0" w:color="auto"/>
            </w:tcBorders>
          </w:tcPr>
          <w:p w:rsidR="00803D84" w:rsidRPr="004837FB" w:rsidRDefault="00803D84" w:rsidP="00340E61">
            <w:pPr>
              <w:spacing w:line="480" w:lineRule="auto"/>
              <w:rPr>
                <w:rFonts w:ascii="Arial" w:hAnsi="Arial" w:cs="Arial"/>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Silver</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340E61">
            <w:pPr>
              <w:spacing w:line="480" w:lineRule="auto"/>
              <w:jc w:val="center"/>
              <w:rPr>
                <w:rFonts w:ascii="Arial" w:hAnsi="Arial" w:cs="Arial"/>
                <w:color w:val="000000"/>
                <w:sz w:val="20"/>
                <w:szCs w:val="20"/>
                <w:lang w:eastAsia="en-GB"/>
              </w:rPr>
            </w:pPr>
            <w:r>
              <w:rPr>
                <w:rFonts w:ascii="Arial" w:hAnsi="Arial" w:cs="Arial"/>
                <w:color w:val="000000"/>
                <w:sz w:val="20"/>
                <w:szCs w:val="20"/>
              </w:rPr>
              <w:t>30</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93</w:t>
            </w:r>
          </w:p>
        </w:tc>
        <w:tc>
          <w:tcPr>
            <w:tcW w:w="1276" w:type="dxa"/>
            <w:tcBorders>
              <w:top w:val="single" w:sz="4" w:space="0" w:color="auto"/>
              <w:left w:val="nil"/>
              <w:bottom w:val="single" w:sz="4" w:space="0" w:color="auto"/>
            </w:tcBorders>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lang w:eastAsia="en-GB"/>
              </w:rPr>
              <w:t>(0·53, 1·</w:t>
            </w:r>
            <w:r w:rsidRPr="004837FB">
              <w:rPr>
                <w:rFonts w:ascii="Arial" w:hAnsi="Arial" w:cs="Arial"/>
                <w:color w:val="000000"/>
                <w:sz w:val="20"/>
                <w:szCs w:val="20"/>
                <w:lang w:eastAsia="en-GB"/>
              </w:rPr>
              <w:t>6</w:t>
            </w:r>
            <w:r>
              <w:rPr>
                <w:rFonts w:ascii="Arial" w:hAnsi="Arial" w:cs="Arial"/>
                <w:color w:val="000000"/>
                <w:sz w:val="20"/>
                <w:szCs w:val="20"/>
                <w:lang w:eastAsia="en-GB"/>
              </w:rPr>
              <w:t>4</w:t>
            </w:r>
            <w:r w:rsidRPr="004837FB">
              <w:rPr>
                <w:rFonts w:ascii="Arial" w:hAnsi="Arial" w:cs="Arial"/>
                <w:color w:val="000000"/>
                <w:sz w:val="20"/>
                <w:szCs w:val="20"/>
                <w:lang w:eastAsia="en-GB"/>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77</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92</w:t>
            </w:r>
          </w:p>
        </w:tc>
        <w:tc>
          <w:tcPr>
            <w:tcW w:w="1559"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(0·53, 1·</w:t>
            </w:r>
            <w:r w:rsidRPr="004837FB">
              <w:rPr>
                <w:rFonts w:ascii="Arial" w:hAnsi="Arial" w:cs="Arial"/>
                <w:color w:val="000000"/>
                <w:sz w:val="20"/>
                <w:szCs w:val="20"/>
                <w:lang w:eastAsia="en-GB"/>
              </w:rPr>
              <w:t>61)</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74</w:t>
            </w:r>
          </w:p>
        </w:tc>
      </w:tr>
      <w:tr w:rsidR="00803D84" w:rsidRPr="001D5EA9" w:rsidTr="00340E61">
        <w:tc>
          <w:tcPr>
            <w:tcW w:w="2804"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1131" w:type="dxa"/>
            <w:vMerge w:val="restart"/>
            <w:tcBorders>
              <w:top w:val="single" w:sz="4" w:space="0" w:color="auto"/>
              <w:left w:val="single" w:sz="4" w:space="0" w:color="auto"/>
              <w:right w:val="single" w:sz="4" w:space="0" w:color="auto"/>
            </w:tcBorders>
          </w:tcPr>
          <w:p w:rsidR="00803D84" w:rsidRPr="004837FB" w:rsidRDefault="00803D84" w:rsidP="00340E61">
            <w:pPr>
              <w:spacing w:line="480" w:lineRule="auto"/>
              <w:rPr>
                <w:rFonts w:ascii="Arial" w:hAnsi="Arial" w:cs="Arial"/>
                <w:sz w:val="20"/>
                <w:szCs w:val="20"/>
              </w:rPr>
            </w:pPr>
            <w:r w:rsidRPr="004837FB">
              <w:rPr>
                <w:rFonts w:ascii="Arial" w:hAnsi="Arial" w:cs="Arial"/>
                <w:sz w:val="20"/>
                <w:szCs w:val="20"/>
              </w:rPr>
              <w:t>Age group</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Paediatric</w:t>
            </w:r>
          </w:p>
        </w:tc>
        <w:tc>
          <w:tcPr>
            <w:tcW w:w="1087" w:type="dxa"/>
            <w:tcBorders>
              <w:top w:val="single" w:sz="4" w:space="0" w:color="auto"/>
              <w:left w:val="single" w:sz="4" w:space="0" w:color="auto"/>
              <w:bottom w:val="single" w:sz="4" w:space="0" w:color="auto"/>
              <w:right w:val="single" w:sz="4" w:space="0" w:color="auto"/>
            </w:tcBorders>
          </w:tcPr>
          <w:p w:rsidR="00803D84" w:rsidRPr="004837FB"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50</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w:t>
            </w: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w:t>
            </w:r>
          </w:p>
        </w:tc>
        <w:tc>
          <w:tcPr>
            <w:tcW w:w="1559"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w:t>
            </w:r>
          </w:p>
        </w:tc>
      </w:tr>
      <w:tr w:rsidR="00803D84" w:rsidRPr="001D5EA9" w:rsidTr="00340E61">
        <w:tc>
          <w:tcPr>
            <w:tcW w:w="2804"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1131"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Adult (&lt;65 years)</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340E61">
            <w:pPr>
              <w:spacing w:line="480" w:lineRule="auto"/>
              <w:jc w:val="center"/>
              <w:rPr>
                <w:rFonts w:ascii="Arial" w:hAnsi="Arial" w:cs="Arial"/>
                <w:color w:val="000000"/>
                <w:sz w:val="20"/>
                <w:szCs w:val="20"/>
                <w:lang w:eastAsia="en-GB"/>
              </w:rPr>
            </w:pPr>
            <w:r>
              <w:rPr>
                <w:rFonts w:ascii="Arial" w:hAnsi="Arial" w:cs="Arial"/>
                <w:color w:val="000000"/>
                <w:sz w:val="20"/>
                <w:szCs w:val="20"/>
                <w:lang w:eastAsia="en-GB"/>
              </w:rPr>
              <w:t>23</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5</w:t>
            </w:r>
            <w:r>
              <w:rPr>
                <w:rFonts w:ascii="Arial" w:hAnsi="Arial" w:cs="Arial"/>
                <w:color w:val="000000"/>
                <w:sz w:val="20"/>
                <w:szCs w:val="20"/>
                <w:lang w:eastAsia="en-GB"/>
              </w:rPr>
              <w:t>1</w:t>
            </w: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(0·29, 0·</w:t>
            </w:r>
            <w:r w:rsidRPr="004837FB">
              <w:rPr>
                <w:rFonts w:ascii="Arial" w:hAnsi="Arial" w:cs="Arial"/>
                <w:color w:val="000000"/>
                <w:sz w:val="20"/>
                <w:szCs w:val="20"/>
                <w:lang w:eastAsia="en-GB"/>
              </w:rPr>
              <w:t>91)</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&lt;0·</w:t>
            </w:r>
            <w:r w:rsidRPr="004837FB">
              <w:rPr>
                <w:rFonts w:ascii="Arial" w:hAnsi="Arial" w:cs="Arial"/>
                <w:color w:val="000000"/>
                <w:sz w:val="20"/>
                <w:szCs w:val="20"/>
                <w:lang w:eastAsia="en-GB"/>
              </w:rPr>
              <w:t>01</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53</w:t>
            </w:r>
          </w:p>
        </w:tc>
        <w:tc>
          <w:tcPr>
            <w:tcW w:w="1559"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(0·30, 0·</w:t>
            </w:r>
            <w:r w:rsidRPr="004837FB">
              <w:rPr>
                <w:rFonts w:ascii="Arial" w:hAnsi="Arial" w:cs="Arial"/>
                <w:color w:val="000000"/>
                <w:sz w:val="20"/>
                <w:szCs w:val="20"/>
                <w:lang w:eastAsia="en-GB"/>
              </w:rPr>
              <w:t>93)</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01</w:t>
            </w:r>
          </w:p>
        </w:tc>
      </w:tr>
      <w:tr w:rsidR="00803D84" w:rsidRPr="001D5EA9" w:rsidTr="00340E61">
        <w:tc>
          <w:tcPr>
            <w:tcW w:w="2804" w:type="dxa"/>
            <w:vMerge/>
            <w:tcBorders>
              <w:left w:val="single" w:sz="4" w:space="0" w:color="auto"/>
              <w:bottom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1131" w:type="dxa"/>
            <w:vMerge/>
            <w:tcBorders>
              <w:left w:val="single" w:sz="4" w:space="0" w:color="auto"/>
              <w:bottom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Adult (</w:t>
            </w:r>
            <w:r w:rsidRPr="00600374">
              <w:rPr>
                <w:rFonts w:ascii="Arial" w:eastAsia="MS Gothic" w:hAnsi="Arial" w:cs="Arial"/>
                <w:color w:val="000000"/>
              </w:rPr>
              <w:t>≥</w:t>
            </w:r>
            <w:r w:rsidRPr="001D5EA9">
              <w:rPr>
                <w:rFonts w:ascii="Arial" w:hAnsi="Arial" w:cs="Arial"/>
                <w:sz w:val="20"/>
                <w:szCs w:val="20"/>
              </w:rPr>
              <w:t>65 years)</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340E61">
            <w:pPr>
              <w:spacing w:line="480" w:lineRule="auto"/>
              <w:jc w:val="center"/>
              <w:rPr>
                <w:rFonts w:ascii="Arial" w:hAnsi="Arial" w:cs="Arial"/>
                <w:color w:val="000000"/>
                <w:sz w:val="20"/>
                <w:szCs w:val="20"/>
                <w:lang w:eastAsia="en-GB"/>
              </w:rPr>
            </w:pPr>
            <w:r>
              <w:rPr>
                <w:rFonts w:ascii="Arial" w:hAnsi="Arial" w:cs="Arial"/>
                <w:color w:val="000000"/>
                <w:sz w:val="20"/>
                <w:szCs w:val="20"/>
                <w:lang w:eastAsia="en-GB"/>
              </w:rPr>
              <w:t>5</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11</w:t>
            </w: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(0·04, 0·</w:t>
            </w:r>
            <w:r w:rsidRPr="004837FB">
              <w:rPr>
                <w:rFonts w:ascii="Arial" w:hAnsi="Arial" w:cs="Arial"/>
                <w:color w:val="000000"/>
                <w:sz w:val="20"/>
                <w:szCs w:val="20"/>
                <w:lang w:eastAsia="en-GB"/>
              </w:rPr>
              <w:t>31)</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&lt;0·</w:t>
            </w:r>
            <w:r w:rsidRPr="004837FB">
              <w:rPr>
                <w:rFonts w:ascii="Arial" w:hAnsi="Arial" w:cs="Arial"/>
                <w:color w:val="000000"/>
                <w:sz w:val="20"/>
                <w:szCs w:val="20"/>
                <w:lang w:eastAsia="en-GB"/>
              </w:rPr>
              <w:t>01</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w:t>
            </w:r>
            <w:r w:rsidRPr="004837FB">
              <w:rPr>
                <w:rFonts w:ascii="Arial" w:hAnsi="Arial" w:cs="Arial"/>
                <w:color w:val="000000"/>
                <w:sz w:val="20"/>
                <w:szCs w:val="20"/>
                <w:lang w:eastAsia="en-GB"/>
              </w:rPr>
              <w:t>12</w:t>
            </w:r>
          </w:p>
        </w:tc>
        <w:tc>
          <w:tcPr>
            <w:tcW w:w="1559"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(0·04, 0·</w:t>
            </w:r>
            <w:r w:rsidRPr="004837FB">
              <w:rPr>
                <w:rFonts w:ascii="Arial" w:hAnsi="Arial" w:cs="Arial"/>
                <w:color w:val="000000"/>
                <w:sz w:val="20"/>
                <w:szCs w:val="20"/>
                <w:lang w:eastAsia="en-GB"/>
              </w:rPr>
              <w:t>33)</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lang w:eastAsia="en-GB"/>
              </w:rPr>
              <w:t>&lt;0·</w:t>
            </w:r>
            <w:r w:rsidRPr="004837FB">
              <w:rPr>
                <w:rFonts w:ascii="Arial" w:hAnsi="Arial" w:cs="Arial"/>
                <w:color w:val="000000"/>
                <w:sz w:val="20"/>
                <w:szCs w:val="20"/>
                <w:lang w:eastAsia="en-GB"/>
              </w:rPr>
              <w:t>01</w:t>
            </w:r>
          </w:p>
        </w:tc>
      </w:tr>
      <w:tr w:rsidR="00803D84" w:rsidRPr="001D5EA9" w:rsidTr="000F0C69">
        <w:tc>
          <w:tcPr>
            <w:tcW w:w="2804" w:type="dxa"/>
            <w:tcBorders>
              <w:top w:val="single" w:sz="4" w:space="0" w:color="auto"/>
              <w:bottom w:val="single" w:sz="4" w:space="0" w:color="auto"/>
            </w:tcBorders>
          </w:tcPr>
          <w:p w:rsidR="00803D84" w:rsidRPr="001D5EA9" w:rsidRDefault="00803D84" w:rsidP="00340E61">
            <w:pPr>
              <w:spacing w:line="480" w:lineRule="auto"/>
              <w:rPr>
                <w:rFonts w:ascii="Arial" w:hAnsi="Arial" w:cs="Arial"/>
                <w:color w:val="000000"/>
                <w:sz w:val="20"/>
                <w:szCs w:val="20"/>
              </w:rPr>
            </w:pPr>
          </w:p>
        </w:tc>
        <w:tc>
          <w:tcPr>
            <w:tcW w:w="1131" w:type="dxa"/>
            <w:tcBorders>
              <w:top w:val="single" w:sz="4" w:space="0" w:color="auto"/>
              <w:bottom w:val="single" w:sz="4" w:space="0" w:color="auto"/>
            </w:tcBorders>
          </w:tcPr>
          <w:p w:rsidR="00803D84" w:rsidRPr="00893D85" w:rsidRDefault="00803D84" w:rsidP="00340E61">
            <w:pPr>
              <w:spacing w:line="480" w:lineRule="auto"/>
              <w:rPr>
                <w:rFonts w:ascii="Arial" w:hAnsi="Arial" w:cs="Arial"/>
                <w:bCs/>
                <w:sz w:val="20"/>
                <w:szCs w:val="20"/>
              </w:rPr>
            </w:pPr>
          </w:p>
        </w:tc>
        <w:tc>
          <w:tcPr>
            <w:tcW w:w="2597" w:type="dxa"/>
            <w:tcBorders>
              <w:top w:val="single" w:sz="4" w:space="0" w:color="auto"/>
              <w:bottom w:val="single" w:sz="4" w:space="0" w:color="auto"/>
            </w:tcBorders>
            <w:tcMar>
              <w:top w:w="0" w:type="dxa"/>
              <w:left w:w="108" w:type="dxa"/>
              <w:bottom w:w="0" w:type="dxa"/>
              <w:right w:w="108" w:type="dxa"/>
            </w:tcMar>
          </w:tcPr>
          <w:p w:rsidR="00803D84" w:rsidRPr="00893D85" w:rsidRDefault="00803D84" w:rsidP="00340E61">
            <w:pPr>
              <w:spacing w:line="480" w:lineRule="auto"/>
              <w:rPr>
                <w:rFonts w:ascii="Arial" w:hAnsi="Arial" w:cs="Arial"/>
                <w:sz w:val="20"/>
                <w:szCs w:val="20"/>
              </w:rPr>
            </w:pPr>
          </w:p>
        </w:tc>
        <w:tc>
          <w:tcPr>
            <w:tcW w:w="1087" w:type="dxa"/>
            <w:tcBorders>
              <w:top w:val="single" w:sz="4" w:space="0" w:color="auto"/>
              <w:bottom w:val="single" w:sz="4" w:space="0" w:color="auto"/>
            </w:tcBorders>
          </w:tcPr>
          <w:p w:rsidR="00803D84" w:rsidRPr="001D5EA9" w:rsidRDefault="00803D84" w:rsidP="00340E61">
            <w:pPr>
              <w:spacing w:line="480" w:lineRule="auto"/>
              <w:jc w:val="center"/>
              <w:rPr>
                <w:rFonts w:ascii="Arial" w:hAnsi="Arial" w:cs="Arial"/>
                <w:sz w:val="20"/>
                <w:szCs w:val="20"/>
                <w:lang w:eastAsia="en-GB"/>
              </w:rPr>
            </w:pPr>
          </w:p>
        </w:tc>
        <w:tc>
          <w:tcPr>
            <w:tcW w:w="1087" w:type="dxa"/>
            <w:tcBorders>
              <w:top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sz w:val="20"/>
                <w:szCs w:val="20"/>
                <w:lang w:eastAsia="en-GB"/>
              </w:rPr>
            </w:pPr>
          </w:p>
        </w:tc>
        <w:tc>
          <w:tcPr>
            <w:tcW w:w="1134" w:type="dxa"/>
            <w:tcBorders>
              <w:top w:val="single" w:sz="4" w:space="0" w:color="auto"/>
              <w:left w:val="nil"/>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p>
        </w:tc>
        <w:tc>
          <w:tcPr>
            <w:tcW w:w="992" w:type="dxa"/>
            <w:tcBorders>
              <w:top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p>
        </w:tc>
        <w:tc>
          <w:tcPr>
            <w:tcW w:w="1559" w:type="dxa"/>
            <w:tcBorders>
              <w:top w:val="single" w:sz="4" w:space="0" w:color="auto"/>
              <w:left w:val="nil"/>
            </w:tcBorders>
          </w:tcPr>
          <w:p w:rsidR="00803D84" w:rsidRPr="001D5EA9" w:rsidRDefault="00803D84" w:rsidP="00340E61">
            <w:pPr>
              <w:spacing w:line="480" w:lineRule="auto"/>
              <w:jc w:val="center"/>
              <w:rPr>
                <w:rFonts w:ascii="Arial" w:hAnsi="Arial" w:cs="Arial"/>
                <w:sz w:val="20"/>
                <w:szCs w:val="20"/>
                <w:lang w:eastAsia="en-GB"/>
              </w:rPr>
            </w:pPr>
          </w:p>
        </w:tc>
        <w:tc>
          <w:tcPr>
            <w:tcW w:w="1367" w:type="dxa"/>
            <w:tcBorders>
              <w:top w:val="single" w:sz="4" w:space="0" w:color="auto"/>
              <w:left w:val="nil"/>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p>
        </w:tc>
      </w:tr>
      <w:tr w:rsidR="00803D84" w:rsidRPr="001D5EA9" w:rsidTr="00340E61">
        <w:tc>
          <w:tcPr>
            <w:tcW w:w="2804" w:type="dxa"/>
            <w:vMerge w:val="restart"/>
            <w:tcBorders>
              <w:top w:val="single" w:sz="4" w:space="0" w:color="auto"/>
              <w:left w:val="single" w:sz="4" w:space="0" w:color="auto"/>
              <w:right w:val="single" w:sz="4" w:space="0" w:color="auto"/>
            </w:tcBorders>
          </w:tcPr>
          <w:p w:rsidR="00803D84" w:rsidRPr="001D5EA9" w:rsidRDefault="00803D84" w:rsidP="00340E61">
            <w:pPr>
              <w:spacing w:line="480" w:lineRule="auto"/>
              <w:rPr>
                <w:rFonts w:ascii="Arial" w:hAnsi="Arial" w:cs="Arial"/>
                <w:color w:val="000000"/>
                <w:sz w:val="20"/>
                <w:szCs w:val="20"/>
              </w:rPr>
            </w:pPr>
            <w:r w:rsidRPr="004837FB">
              <w:rPr>
                <w:rFonts w:ascii="Arial" w:hAnsi="Arial" w:cs="Arial"/>
                <w:color w:val="000000"/>
                <w:sz w:val="20"/>
                <w:szCs w:val="20"/>
              </w:rPr>
              <w:t xml:space="preserve">Time to removal/revision of the first </w:t>
            </w:r>
            <w:r>
              <w:rPr>
                <w:rFonts w:ascii="Arial" w:hAnsi="Arial" w:cs="Arial"/>
                <w:color w:val="000000"/>
                <w:sz w:val="20"/>
                <w:szCs w:val="20"/>
              </w:rPr>
              <w:t>shunt</w:t>
            </w:r>
            <w:r w:rsidRPr="004837FB">
              <w:rPr>
                <w:rFonts w:ascii="Arial" w:hAnsi="Arial" w:cs="Arial"/>
                <w:color w:val="000000"/>
                <w:sz w:val="20"/>
                <w:szCs w:val="20"/>
              </w:rPr>
              <w:t xml:space="preserve"> for any cause</w:t>
            </w:r>
            <w:r>
              <w:rPr>
                <w:rFonts w:ascii="Arial" w:hAnsi="Arial" w:cs="Arial"/>
                <w:color w:val="000000"/>
                <w:sz w:val="20"/>
                <w:szCs w:val="20"/>
              </w:rPr>
              <w:t xml:space="preserve"> </w:t>
            </w:r>
            <w:r>
              <w:rPr>
                <w:rFonts w:ascii="Arial" w:hAnsi="Arial" w:cs="Arial"/>
                <w:color w:val="000000"/>
                <w:sz w:val="20"/>
                <w:szCs w:val="20"/>
                <w:vertAlign w:val="superscript"/>
              </w:rPr>
              <w:t>(1)</w:t>
            </w:r>
          </w:p>
        </w:tc>
        <w:tc>
          <w:tcPr>
            <w:tcW w:w="3728" w:type="dxa"/>
            <w:gridSpan w:val="2"/>
            <w:tcBorders>
              <w:top w:val="single" w:sz="4" w:space="0" w:color="auto"/>
              <w:left w:val="single" w:sz="4" w:space="0" w:color="auto"/>
              <w:bottom w:val="single" w:sz="4" w:space="0" w:color="auto"/>
              <w:right w:val="single" w:sz="4" w:space="0" w:color="auto"/>
            </w:tcBorders>
          </w:tcPr>
          <w:p w:rsidR="00803D84" w:rsidRPr="00893D85" w:rsidRDefault="00803D84" w:rsidP="00340E61">
            <w:pPr>
              <w:spacing w:line="480" w:lineRule="auto"/>
              <w:rPr>
                <w:rFonts w:ascii="Arial" w:hAnsi="Arial" w:cs="Arial"/>
                <w:sz w:val="20"/>
                <w:szCs w:val="20"/>
              </w:rPr>
            </w:pPr>
            <w:r w:rsidRPr="00893D85">
              <w:rPr>
                <w:rFonts w:ascii="Arial" w:hAnsi="Arial" w:cs="Arial"/>
                <w:bCs/>
                <w:i/>
                <w:sz w:val="20"/>
                <w:szCs w:val="20"/>
                <w:lang w:eastAsia="en-GB"/>
              </w:rPr>
              <w:t>Model estimate</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340E61">
            <w:pPr>
              <w:spacing w:line="480" w:lineRule="auto"/>
              <w:jc w:val="center"/>
              <w:rPr>
                <w:rFonts w:ascii="Arial" w:hAnsi="Arial" w:cs="Arial"/>
                <w:bCs/>
                <w:i/>
                <w:sz w:val="20"/>
                <w:szCs w:val="20"/>
                <w:lang w:eastAsia="en-GB"/>
              </w:rPr>
            </w:pPr>
            <w:r>
              <w:rPr>
                <w:rFonts w:ascii="Arial" w:hAnsi="Arial" w:cs="Arial"/>
                <w:bCs/>
                <w:i/>
                <w:sz w:val="20"/>
                <w:szCs w:val="20"/>
                <w:lang w:eastAsia="en-GB"/>
              </w:rPr>
              <w:t>N events</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r>
              <w:rPr>
                <w:rFonts w:ascii="Arial" w:hAnsi="Arial" w:cs="Arial"/>
                <w:bCs/>
                <w:i/>
                <w:sz w:val="20"/>
                <w:szCs w:val="20"/>
                <w:lang w:eastAsia="en-GB"/>
              </w:rPr>
              <w:t>HR</w:t>
            </w: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sz w:val="20"/>
                <w:szCs w:val="20"/>
                <w:lang w:eastAsia="en-GB"/>
              </w:rPr>
            </w:pPr>
            <w:r>
              <w:rPr>
                <w:rFonts w:ascii="Arial" w:hAnsi="Arial" w:cs="Arial"/>
                <w:bCs/>
                <w:i/>
                <w:sz w:val="20"/>
                <w:szCs w:val="20"/>
                <w:lang w:eastAsia="en-GB"/>
              </w:rPr>
              <w:t>(97·</w:t>
            </w:r>
            <w:r w:rsidRPr="00893D85">
              <w:rPr>
                <w:rFonts w:ascii="Arial" w:hAnsi="Arial" w:cs="Arial"/>
                <w:bCs/>
                <w:i/>
                <w:sz w:val="20"/>
                <w:szCs w:val="20"/>
                <w:lang w:eastAsia="en-GB"/>
              </w:rPr>
              <w:t>5% CI)</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r w:rsidRPr="00893D85">
              <w:rPr>
                <w:rFonts w:ascii="Arial" w:hAnsi="Arial" w:cs="Arial"/>
                <w:bCs/>
                <w:i/>
                <w:sz w:val="20"/>
                <w:szCs w:val="20"/>
                <w:lang w:eastAsia="en-GB"/>
              </w:rPr>
              <w:t>P-value</w:t>
            </w:r>
          </w:p>
        </w:tc>
        <w:tc>
          <w:tcPr>
            <w:tcW w:w="992" w:type="dxa"/>
            <w:tcBorders>
              <w:lef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p>
        </w:tc>
        <w:tc>
          <w:tcPr>
            <w:tcW w:w="1559" w:type="dxa"/>
          </w:tcPr>
          <w:p w:rsidR="00803D84" w:rsidRPr="001D5EA9" w:rsidRDefault="00803D84" w:rsidP="00340E61">
            <w:pPr>
              <w:spacing w:line="480" w:lineRule="auto"/>
              <w:jc w:val="center"/>
              <w:rPr>
                <w:rFonts w:ascii="Arial" w:hAnsi="Arial" w:cs="Arial"/>
                <w:sz w:val="20"/>
                <w:szCs w:val="20"/>
                <w:lang w:eastAsia="en-GB"/>
              </w:rPr>
            </w:pPr>
          </w:p>
        </w:tc>
        <w:tc>
          <w:tcPr>
            <w:tcW w:w="1367" w:type="dxa"/>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p>
        </w:tc>
      </w:tr>
      <w:tr w:rsidR="00803D84" w:rsidRPr="001D5EA9" w:rsidTr="00340E61">
        <w:tc>
          <w:tcPr>
            <w:tcW w:w="2804" w:type="dxa"/>
            <w:vMerge/>
            <w:tcBorders>
              <w:left w:val="single" w:sz="4" w:space="0" w:color="auto"/>
              <w:right w:val="single" w:sz="4" w:space="0" w:color="auto"/>
            </w:tcBorders>
          </w:tcPr>
          <w:p w:rsidR="00803D84" w:rsidRPr="004837FB" w:rsidRDefault="00803D84" w:rsidP="00340E61">
            <w:pPr>
              <w:spacing w:line="480" w:lineRule="auto"/>
              <w:rPr>
                <w:rFonts w:ascii="Arial" w:hAnsi="Arial" w:cs="Arial"/>
                <w:sz w:val="20"/>
                <w:szCs w:val="20"/>
                <w:vertAlign w:val="superscript"/>
              </w:rPr>
            </w:pPr>
          </w:p>
        </w:tc>
        <w:tc>
          <w:tcPr>
            <w:tcW w:w="1131" w:type="dxa"/>
            <w:vMerge w:val="restart"/>
            <w:tcBorders>
              <w:top w:val="single" w:sz="4" w:space="0" w:color="auto"/>
              <w:left w:val="single" w:sz="4" w:space="0" w:color="auto"/>
              <w:bottom w:val="single" w:sz="4" w:space="0" w:color="auto"/>
              <w:right w:val="single" w:sz="4" w:space="0" w:color="auto"/>
            </w:tcBorders>
          </w:tcPr>
          <w:p w:rsidR="00803D84" w:rsidRPr="001D5EA9" w:rsidRDefault="00803D84" w:rsidP="00340E61">
            <w:pPr>
              <w:spacing w:line="480" w:lineRule="auto"/>
              <w:rPr>
                <w:rFonts w:ascii="Arial" w:hAnsi="Arial" w:cs="Arial"/>
                <w:bCs/>
                <w:sz w:val="20"/>
                <w:szCs w:val="20"/>
              </w:rPr>
            </w:pPr>
            <w:r>
              <w:rPr>
                <w:rFonts w:ascii="Arial" w:hAnsi="Arial" w:cs="Arial"/>
                <w:bCs/>
                <w:sz w:val="20"/>
                <w:szCs w:val="20"/>
              </w:rPr>
              <w:t>Shunt</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893D85">
              <w:rPr>
                <w:rFonts w:ascii="Arial" w:hAnsi="Arial" w:cs="Arial"/>
                <w:sz w:val="20"/>
                <w:szCs w:val="20"/>
              </w:rPr>
              <w:t>Standard</w:t>
            </w:r>
          </w:p>
        </w:tc>
        <w:tc>
          <w:tcPr>
            <w:tcW w:w="1087" w:type="dxa"/>
            <w:tcBorders>
              <w:top w:val="single" w:sz="4" w:space="0" w:color="auto"/>
              <w:left w:val="single" w:sz="4" w:space="0" w:color="auto"/>
              <w:bottom w:val="single" w:sz="4" w:space="0" w:color="auto"/>
              <w:right w:val="single" w:sz="4" w:space="0" w:color="auto"/>
            </w:tcBorders>
          </w:tcPr>
          <w:p w:rsidR="00803D84" w:rsidRPr="00893D85"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130</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r w:rsidRPr="00893D85">
              <w:rPr>
                <w:rFonts w:ascii="Arial" w:hAnsi="Arial" w:cs="Arial"/>
                <w:color w:val="000000"/>
                <w:sz w:val="20"/>
                <w:szCs w:val="20"/>
              </w:rPr>
              <w:t>.</w:t>
            </w:r>
          </w:p>
        </w:tc>
        <w:tc>
          <w:tcPr>
            <w:tcW w:w="1276" w:type="dxa"/>
            <w:tcBorders>
              <w:top w:val="single" w:sz="4" w:space="0" w:color="auto"/>
              <w:left w:val="nil"/>
              <w:bottom w:val="single" w:sz="4" w:space="0" w:color="auto"/>
            </w:tcBorders>
          </w:tcPr>
          <w:p w:rsidR="00803D84" w:rsidRPr="004837FB" w:rsidRDefault="00803D84" w:rsidP="00340E61">
            <w:pPr>
              <w:spacing w:line="480" w:lineRule="auto"/>
              <w:jc w:val="center"/>
              <w:rPr>
                <w:rFonts w:ascii="Arial" w:hAnsi="Arial" w:cs="Arial"/>
                <w:sz w:val="20"/>
                <w:szCs w:val="20"/>
                <w:lang w:eastAsia="en-GB"/>
              </w:rPr>
            </w:pPr>
            <w:r w:rsidRPr="00893D85">
              <w:rPr>
                <w:rFonts w:ascii="Arial" w:hAnsi="Arial" w:cs="Arial"/>
                <w:color w:val="000000"/>
                <w:sz w:val="20"/>
                <w:szCs w:val="20"/>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r w:rsidRPr="00893D85">
              <w:rPr>
                <w:rFonts w:ascii="Arial" w:hAnsi="Arial" w:cs="Arial"/>
                <w:color w:val="000000"/>
                <w:sz w:val="20"/>
                <w:szCs w:val="20"/>
              </w:rPr>
              <w:t>.</w:t>
            </w:r>
          </w:p>
        </w:tc>
        <w:tc>
          <w:tcPr>
            <w:tcW w:w="992" w:type="dxa"/>
            <w:tcBorders>
              <w:left w:val="single" w:sz="4" w:space="0" w:color="auto"/>
            </w:tcBorders>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c>
          <w:tcPr>
            <w:tcW w:w="1559" w:type="dxa"/>
          </w:tcPr>
          <w:p w:rsidR="00803D84" w:rsidRPr="004837FB" w:rsidRDefault="00803D84" w:rsidP="00340E61">
            <w:pPr>
              <w:spacing w:line="480" w:lineRule="auto"/>
              <w:jc w:val="center"/>
              <w:rPr>
                <w:rFonts w:ascii="Arial" w:hAnsi="Arial" w:cs="Arial"/>
                <w:sz w:val="20"/>
                <w:szCs w:val="20"/>
                <w:lang w:eastAsia="en-GB"/>
              </w:rPr>
            </w:pPr>
          </w:p>
        </w:tc>
        <w:tc>
          <w:tcPr>
            <w:tcW w:w="1367" w:type="dxa"/>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r>
      <w:tr w:rsidR="00803D84" w:rsidRPr="001D5EA9" w:rsidTr="00340E61">
        <w:tc>
          <w:tcPr>
            <w:tcW w:w="2804" w:type="dxa"/>
            <w:vMerge/>
            <w:tcBorders>
              <w:left w:val="single" w:sz="4" w:space="0" w:color="auto"/>
              <w:right w:val="single" w:sz="4" w:space="0" w:color="auto"/>
            </w:tcBorders>
          </w:tcPr>
          <w:p w:rsidR="00803D84" w:rsidRPr="004837FB" w:rsidRDefault="00803D84" w:rsidP="00340E61">
            <w:pPr>
              <w:spacing w:line="480" w:lineRule="auto"/>
              <w:rPr>
                <w:rFonts w:ascii="Arial" w:hAnsi="Arial" w:cs="Arial"/>
                <w:color w:val="000000"/>
                <w:sz w:val="20"/>
                <w:szCs w:val="20"/>
              </w:rPr>
            </w:pPr>
          </w:p>
        </w:tc>
        <w:tc>
          <w:tcPr>
            <w:tcW w:w="1131" w:type="dxa"/>
            <w:vMerge/>
            <w:tcBorders>
              <w:left w:val="single" w:sz="4" w:space="0" w:color="auto"/>
              <w:bottom w:val="single" w:sz="4" w:space="0" w:color="auto"/>
              <w:right w:val="single" w:sz="4" w:space="0" w:color="auto"/>
            </w:tcBorders>
          </w:tcPr>
          <w:p w:rsidR="00803D84" w:rsidRPr="001D5EA9" w:rsidRDefault="00803D84" w:rsidP="00340E61">
            <w:pPr>
              <w:spacing w:line="480" w:lineRule="auto"/>
              <w:rPr>
                <w:rFonts w:ascii="Arial" w:hAnsi="Arial" w:cs="Arial"/>
                <w:bCs/>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6D01DA" w:rsidRDefault="00803D84" w:rsidP="00340E61">
            <w:pPr>
              <w:spacing w:line="480" w:lineRule="auto"/>
              <w:rPr>
                <w:rFonts w:ascii="Arial" w:hAnsi="Arial" w:cs="Arial"/>
                <w:sz w:val="20"/>
                <w:szCs w:val="20"/>
              </w:rPr>
            </w:pPr>
            <w:r w:rsidRPr="006D01DA">
              <w:rPr>
                <w:rFonts w:ascii="Arial" w:hAnsi="Arial" w:cs="Arial"/>
                <w:sz w:val="20"/>
                <w:szCs w:val="20"/>
              </w:rPr>
              <w:t>Antibiotic</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340E61">
            <w:pPr>
              <w:spacing w:line="480" w:lineRule="auto"/>
              <w:jc w:val="center"/>
              <w:rPr>
                <w:rFonts w:ascii="Arial" w:hAnsi="Arial" w:cs="Arial"/>
                <w:color w:val="000000"/>
                <w:sz w:val="20"/>
                <w:szCs w:val="20"/>
                <w:lang w:eastAsia="en-GB"/>
              </w:rPr>
            </w:pPr>
            <w:r>
              <w:rPr>
                <w:rFonts w:ascii="Arial" w:hAnsi="Arial" w:cs="Arial"/>
                <w:color w:val="000000"/>
                <w:sz w:val="20"/>
                <w:szCs w:val="20"/>
                <w:lang w:eastAsia="en-GB"/>
              </w:rPr>
              <w:t>132</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1·</w:t>
            </w:r>
            <w:r w:rsidRPr="00F57586">
              <w:rPr>
                <w:rFonts w:ascii="Arial" w:hAnsi="Arial" w:cs="Arial"/>
                <w:color w:val="000000"/>
                <w:sz w:val="20"/>
                <w:szCs w:val="20"/>
                <w:lang w:eastAsia="en-GB"/>
              </w:rPr>
              <w:t xml:space="preserve">01 </w:t>
            </w:r>
          </w:p>
        </w:tc>
        <w:tc>
          <w:tcPr>
            <w:tcW w:w="1276" w:type="dxa"/>
            <w:tcBorders>
              <w:top w:val="single" w:sz="4" w:space="0" w:color="auto"/>
              <w:left w:val="nil"/>
              <w:bottom w:val="single" w:sz="4" w:space="0" w:color="auto"/>
            </w:tcBorders>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(0·77, 1·</w:t>
            </w:r>
            <w:r w:rsidRPr="00F57586">
              <w:rPr>
                <w:rFonts w:ascii="Arial" w:hAnsi="Arial" w:cs="Arial"/>
                <w:color w:val="000000"/>
                <w:sz w:val="20"/>
                <w:szCs w:val="20"/>
                <w:lang w:eastAsia="en-GB"/>
              </w:rPr>
              <w:t>33)</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0·</w:t>
            </w:r>
            <w:r w:rsidRPr="00F57586">
              <w:rPr>
                <w:rFonts w:ascii="Arial" w:hAnsi="Arial" w:cs="Arial"/>
                <w:color w:val="000000"/>
                <w:sz w:val="20"/>
                <w:szCs w:val="20"/>
                <w:lang w:eastAsia="en-GB"/>
              </w:rPr>
              <w:t>94</w:t>
            </w:r>
          </w:p>
        </w:tc>
        <w:tc>
          <w:tcPr>
            <w:tcW w:w="992" w:type="dxa"/>
            <w:tcBorders>
              <w:left w:val="single" w:sz="4" w:space="0" w:color="auto"/>
            </w:tcBorders>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c>
          <w:tcPr>
            <w:tcW w:w="1559" w:type="dxa"/>
          </w:tcPr>
          <w:p w:rsidR="00803D84" w:rsidRPr="004837FB" w:rsidRDefault="00803D84" w:rsidP="00340E61">
            <w:pPr>
              <w:spacing w:line="480" w:lineRule="auto"/>
              <w:jc w:val="center"/>
              <w:rPr>
                <w:rFonts w:ascii="Arial" w:hAnsi="Arial" w:cs="Arial"/>
                <w:sz w:val="20"/>
                <w:szCs w:val="20"/>
                <w:lang w:eastAsia="en-GB"/>
              </w:rPr>
            </w:pPr>
          </w:p>
        </w:tc>
        <w:tc>
          <w:tcPr>
            <w:tcW w:w="1367" w:type="dxa"/>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r>
      <w:tr w:rsidR="00803D84" w:rsidRPr="001D5EA9" w:rsidTr="00340E61">
        <w:tc>
          <w:tcPr>
            <w:tcW w:w="2804" w:type="dxa"/>
            <w:vMerge/>
            <w:tcBorders>
              <w:left w:val="single" w:sz="4" w:space="0" w:color="auto"/>
              <w:right w:val="single" w:sz="4" w:space="0" w:color="auto"/>
            </w:tcBorders>
          </w:tcPr>
          <w:p w:rsidR="00803D84" w:rsidRPr="004837FB" w:rsidRDefault="00803D84" w:rsidP="00340E61">
            <w:pPr>
              <w:spacing w:line="480" w:lineRule="auto"/>
              <w:rPr>
                <w:rFonts w:ascii="Arial" w:hAnsi="Arial" w:cs="Arial"/>
                <w:color w:val="000000"/>
                <w:sz w:val="20"/>
                <w:szCs w:val="20"/>
              </w:rPr>
            </w:pPr>
          </w:p>
        </w:tc>
        <w:tc>
          <w:tcPr>
            <w:tcW w:w="1131" w:type="dxa"/>
            <w:vMerge/>
            <w:tcBorders>
              <w:left w:val="single" w:sz="4" w:space="0" w:color="auto"/>
              <w:bottom w:val="single" w:sz="4" w:space="0" w:color="auto"/>
              <w:right w:val="single" w:sz="4" w:space="0" w:color="auto"/>
            </w:tcBorders>
          </w:tcPr>
          <w:p w:rsidR="00803D84" w:rsidRPr="001D5EA9" w:rsidRDefault="00803D84" w:rsidP="00340E61">
            <w:pPr>
              <w:spacing w:line="480" w:lineRule="auto"/>
              <w:rPr>
                <w:rFonts w:ascii="Arial" w:hAnsi="Arial" w:cs="Arial"/>
                <w:bCs/>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6D01DA" w:rsidRDefault="00803D84" w:rsidP="00340E61">
            <w:pPr>
              <w:spacing w:line="480" w:lineRule="auto"/>
              <w:rPr>
                <w:rFonts w:ascii="Arial" w:hAnsi="Arial" w:cs="Arial"/>
                <w:sz w:val="20"/>
                <w:szCs w:val="20"/>
              </w:rPr>
            </w:pPr>
            <w:r w:rsidRPr="006D01DA">
              <w:rPr>
                <w:rFonts w:ascii="Arial" w:hAnsi="Arial" w:cs="Arial"/>
                <w:sz w:val="20"/>
                <w:szCs w:val="20"/>
              </w:rPr>
              <w:t>Silver</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340E61">
            <w:pPr>
              <w:spacing w:line="480" w:lineRule="auto"/>
              <w:jc w:val="center"/>
              <w:rPr>
                <w:rFonts w:ascii="Arial" w:hAnsi="Arial" w:cs="Arial"/>
                <w:color w:val="000000"/>
                <w:sz w:val="20"/>
                <w:szCs w:val="20"/>
                <w:lang w:eastAsia="en-GB"/>
              </w:rPr>
            </w:pPr>
            <w:r>
              <w:rPr>
                <w:rFonts w:ascii="Arial" w:hAnsi="Arial" w:cs="Arial"/>
                <w:color w:val="000000"/>
                <w:sz w:val="20"/>
                <w:szCs w:val="20"/>
                <w:lang w:eastAsia="en-GB"/>
              </w:rPr>
              <w:t>136</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1·</w:t>
            </w:r>
            <w:r w:rsidRPr="00F57586">
              <w:rPr>
                <w:rFonts w:ascii="Arial" w:hAnsi="Arial" w:cs="Arial"/>
                <w:color w:val="000000"/>
                <w:sz w:val="20"/>
                <w:szCs w:val="20"/>
                <w:lang w:eastAsia="en-GB"/>
              </w:rPr>
              <w:t xml:space="preserve">08 </w:t>
            </w:r>
          </w:p>
        </w:tc>
        <w:tc>
          <w:tcPr>
            <w:tcW w:w="1276" w:type="dxa"/>
            <w:tcBorders>
              <w:top w:val="single" w:sz="4" w:space="0" w:color="auto"/>
              <w:left w:val="nil"/>
              <w:bottom w:val="single" w:sz="4" w:space="0" w:color="auto"/>
            </w:tcBorders>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(0·82, 1·</w:t>
            </w:r>
            <w:r w:rsidRPr="00F57586">
              <w:rPr>
                <w:rFonts w:ascii="Arial" w:hAnsi="Arial" w:cs="Arial"/>
                <w:color w:val="000000"/>
                <w:sz w:val="20"/>
                <w:szCs w:val="20"/>
                <w:lang w:eastAsia="en-GB"/>
              </w:rPr>
              <w:t>42)</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0·</w:t>
            </w:r>
            <w:r w:rsidRPr="00F57586">
              <w:rPr>
                <w:rFonts w:ascii="Arial" w:hAnsi="Arial" w:cs="Arial"/>
                <w:color w:val="000000"/>
                <w:sz w:val="20"/>
                <w:szCs w:val="20"/>
                <w:lang w:eastAsia="en-GB"/>
              </w:rPr>
              <w:t>54</w:t>
            </w:r>
          </w:p>
        </w:tc>
        <w:tc>
          <w:tcPr>
            <w:tcW w:w="992" w:type="dxa"/>
            <w:tcBorders>
              <w:left w:val="single" w:sz="4" w:space="0" w:color="auto"/>
            </w:tcBorders>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c>
          <w:tcPr>
            <w:tcW w:w="1559" w:type="dxa"/>
          </w:tcPr>
          <w:p w:rsidR="00803D84" w:rsidRPr="004837FB" w:rsidRDefault="00803D84" w:rsidP="00340E61">
            <w:pPr>
              <w:spacing w:line="480" w:lineRule="auto"/>
              <w:jc w:val="center"/>
              <w:rPr>
                <w:rFonts w:ascii="Arial" w:hAnsi="Arial" w:cs="Arial"/>
                <w:sz w:val="20"/>
                <w:szCs w:val="20"/>
                <w:lang w:eastAsia="en-GB"/>
              </w:rPr>
            </w:pPr>
          </w:p>
        </w:tc>
        <w:tc>
          <w:tcPr>
            <w:tcW w:w="1367" w:type="dxa"/>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r>
      <w:tr w:rsidR="00803D84" w:rsidRPr="001D5EA9" w:rsidTr="00340E61">
        <w:tc>
          <w:tcPr>
            <w:tcW w:w="2804" w:type="dxa"/>
            <w:vMerge/>
            <w:tcBorders>
              <w:left w:val="single" w:sz="4" w:space="0" w:color="auto"/>
              <w:right w:val="single" w:sz="4" w:space="0" w:color="auto"/>
            </w:tcBorders>
          </w:tcPr>
          <w:p w:rsidR="00803D84" w:rsidRPr="004837FB" w:rsidRDefault="00803D84" w:rsidP="00340E61">
            <w:pPr>
              <w:spacing w:line="480" w:lineRule="auto"/>
              <w:rPr>
                <w:rFonts w:ascii="Arial" w:hAnsi="Arial" w:cs="Arial"/>
                <w:color w:val="000000"/>
                <w:sz w:val="20"/>
                <w:szCs w:val="20"/>
              </w:rPr>
            </w:pPr>
          </w:p>
        </w:tc>
        <w:tc>
          <w:tcPr>
            <w:tcW w:w="1131" w:type="dxa"/>
            <w:vMerge w:val="restart"/>
            <w:tcBorders>
              <w:top w:val="single" w:sz="4" w:space="0" w:color="auto"/>
              <w:left w:val="single" w:sz="4" w:space="0" w:color="auto"/>
              <w:right w:val="single" w:sz="4" w:space="0" w:color="auto"/>
            </w:tcBorders>
          </w:tcPr>
          <w:p w:rsidR="00803D84" w:rsidRPr="001D5EA9" w:rsidRDefault="00803D84" w:rsidP="00340E61">
            <w:pPr>
              <w:spacing w:line="480" w:lineRule="auto"/>
              <w:rPr>
                <w:rFonts w:ascii="Arial" w:hAnsi="Arial" w:cs="Arial"/>
                <w:bCs/>
                <w:sz w:val="20"/>
                <w:szCs w:val="20"/>
              </w:rPr>
            </w:pPr>
            <w:r w:rsidRPr="00893D85">
              <w:rPr>
                <w:rFonts w:ascii="Arial" w:hAnsi="Arial" w:cs="Arial"/>
                <w:sz w:val="20"/>
                <w:szCs w:val="20"/>
              </w:rPr>
              <w:t>Age group</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6D01DA" w:rsidRDefault="00803D84" w:rsidP="00340E61">
            <w:pPr>
              <w:spacing w:line="480" w:lineRule="auto"/>
              <w:rPr>
                <w:rFonts w:ascii="Arial" w:hAnsi="Arial" w:cs="Arial"/>
                <w:sz w:val="20"/>
                <w:szCs w:val="20"/>
              </w:rPr>
            </w:pPr>
            <w:r w:rsidRPr="006D01DA">
              <w:rPr>
                <w:rFonts w:ascii="Arial" w:hAnsi="Arial" w:cs="Arial"/>
                <w:sz w:val="20"/>
                <w:szCs w:val="20"/>
              </w:rPr>
              <w:t>Paediatric</w:t>
            </w:r>
          </w:p>
        </w:tc>
        <w:tc>
          <w:tcPr>
            <w:tcW w:w="1087" w:type="dxa"/>
            <w:tcBorders>
              <w:top w:val="single" w:sz="4" w:space="0" w:color="auto"/>
              <w:left w:val="single" w:sz="4" w:space="0" w:color="auto"/>
              <w:bottom w:val="single" w:sz="4" w:space="0" w:color="auto"/>
              <w:right w:val="single" w:sz="4" w:space="0" w:color="auto"/>
            </w:tcBorders>
          </w:tcPr>
          <w:p w:rsidR="00803D84" w:rsidRPr="006D01DA"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226</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6D01DA" w:rsidRDefault="00803D84" w:rsidP="00340E61">
            <w:pPr>
              <w:spacing w:line="480" w:lineRule="auto"/>
              <w:jc w:val="center"/>
              <w:rPr>
                <w:rFonts w:ascii="Arial" w:hAnsi="Arial" w:cs="Arial"/>
                <w:sz w:val="20"/>
                <w:szCs w:val="20"/>
                <w:lang w:eastAsia="en-GB"/>
              </w:rPr>
            </w:pPr>
            <w:r w:rsidRPr="006D01DA">
              <w:rPr>
                <w:rFonts w:ascii="Arial" w:hAnsi="Arial" w:cs="Arial"/>
                <w:color w:val="000000"/>
                <w:sz w:val="20"/>
                <w:szCs w:val="20"/>
              </w:rPr>
              <w:t>.</w:t>
            </w:r>
          </w:p>
        </w:tc>
        <w:tc>
          <w:tcPr>
            <w:tcW w:w="1276" w:type="dxa"/>
            <w:tcBorders>
              <w:top w:val="single" w:sz="4" w:space="0" w:color="auto"/>
              <w:left w:val="nil"/>
              <w:bottom w:val="single" w:sz="4" w:space="0" w:color="auto"/>
            </w:tcBorders>
          </w:tcPr>
          <w:p w:rsidR="00803D84" w:rsidRPr="006D01DA" w:rsidRDefault="00803D84" w:rsidP="00340E61">
            <w:pPr>
              <w:spacing w:line="480" w:lineRule="auto"/>
              <w:jc w:val="center"/>
              <w:rPr>
                <w:rFonts w:ascii="Arial" w:hAnsi="Arial" w:cs="Arial"/>
                <w:sz w:val="20"/>
                <w:szCs w:val="20"/>
                <w:lang w:eastAsia="en-GB"/>
              </w:rPr>
            </w:pPr>
            <w:r w:rsidRPr="006D01DA">
              <w:rPr>
                <w:rFonts w:ascii="Arial" w:hAnsi="Arial" w:cs="Arial"/>
                <w:color w:val="000000"/>
                <w:sz w:val="20"/>
                <w:szCs w:val="20"/>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6D01DA" w:rsidRDefault="00803D84" w:rsidP="00340E61">
            <w:pPr>
              <w:spacing w:line="480" w:lineRule="auto"/>
              <w:jc w:val="center"/>
              <w:rPr>
                <w:rFonts w:ascii="Arial" w:hAnsi="Arial" w:cs="Arial"/>
                <w:sz w:val="20"/>
                <w:szCs w:val="20"/>
                <w:lang w:eastAsia="en-GB"/>
              </w:rPr>
            </w:pPr>
            <w:r w:rsidRPr="006D01DA">
              <w:rPr>
                <w:rFonts w:ascii="Arial" w:hAnsi="Arial" w:cs="Arial"/>
                <w:color w:val="000000"/>
                <w:sz w:val="20"/>
                <w:szCs w:val="20"/>
              </w:rPr>
              <w:t>.</w:t>
            </w:r>
          </w:p>
        </w:tc>
        <w:tc>
          <w:tcPr>
            <w:tcW w:w="992" w:type="dxa"/>
            <w:tcBorders>
              <w:left w:val="single" w:sz="4" w:space="0" w:color="auto"/>
            </w:tcBorders>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c>
          <w:tcPr>
            <w:tcW w:w="1559" w:type="dxa"/>
          </w:tcPr>
          <w:p w:rsidR="00803D84" w:rsidRPr="004837FB" w:rsidRDefault="00803D84" w:rsidP="00340E61">
            <w:pPr>
              <w:spacing w:line="480" w:lineRule="auto"/>
              <w:jc w:val="center"/>
              <w:rPr>
                <w:rFonts w:ascii="Arial" w:hAnsi="Arial" w:cs="Arial"/>
                <w:sz w:val="20"/>
                <w:szCs w:val="20"/>
                <w:lang w:eastAsia="en-GB"/>
              </w:rPr>
            </w:pPr>
          </w:p>
        </w:tc>
        <w:tc>
          <w:tcPr>
            <w:tcW w:w="1367" w:type="dxa"/>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r>
      <w:tr w:rsidR="00803D84" w:rsidRPr="001D5EA9" w:rsidTr="00340E61">
        <w:tc>
          <w:tcPr>
            <w:tcW w:w="2804" w:type="dxa"/>
            <w:vMerge/>
            <w:tcBorders>
              <w:left w:val="single" w:sz="4" w:space="0" w:color="auto"/>
              <w:right w:val="single" w:sz="4" w:space="0" w:color="auto"/>
            </w:tcBorders>
          </w:tcPr>
          <w:p w:rsidR="00803D84" w:rsidRPr="004837FB" w:rsidRDefault="00803D84" w:rsidP="00340E61">
            <w:pPr>
              <w:spacing w:line="480" w:lineRule="auto"/>
              <w:rPr>
                <w:rFonts w:ascii="Arial" w:hAnsi="Arial" w:cs="Arial"/>
                <w:color w:val="000000"/>
                <w:sz w:val="20"/>
                <w:szCs w:val="20"/>
              </w:rPr>
            </w:pPr>
          </w:p>
        </w:tc>
        <w:tc>
          <w:tcPr>
            <w:tcW w:w="1131"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Cs/>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6D01DA" w:rsidRDefault="00803D84" w:rsidP="00340E61">
            <w:pPr>
              <w:spacing w:line="480" w:lineRule="auto"/>
              <w:rPr>
                <w:rFonts w:ascii="Arial" w:hAnsi="Arial" w:cs="Arial"/>
                <w:sz w:val="20"/>
                <w:szCs w:val="20"/>
              </w:rPr>
            </w:pPr>
            <w:r w:rsidRPr="006D01DA">
              <w:rPr>
                <w:rFonts w:ascii="Arial" w:hAnsi="Arial" w:cs="Arial"/>
                <w:sz w:val="20"/>
                <w:szCs w:val="20"/>
              </w:rPr>
              <w:t>Adult (&lt;65 years)</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340E61">
            <w:pPr>
              <w:spacing w:line="480" w:lineRule="auto"/>
              <w:jc w:val="center"/>
              <w:rPr>
                <w:rFonts w:ascii="Arial" w:hAnsi="Arial" w:cs="Arial"/>
                <w:color w:val="000000"/>
                <w:sz w:val="20"/>
                <w:szCs w:val="20"/>
                <w:lang w:eastAsia="en-GB"/>
              </w:rPr>
            </w:pPr>
            <w:r>
              <w:rPr>
                <w:rFonts w:ascii="Arial" w:hAnsi="Arial" w:cs="Arial"/>
                <w:color w:val="000000"/>
                <w:sz w:val="20"/>
                <w:szCs w:val="20"/>
                <w:lang w:eastAsia="en-GB"/>
              </w:rPr>
              <w:t>118</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0·</w:t>
            </w:r>
            <w:r w:rsidRPr="00F57586">
              <w:rPr>
                <w:rFonts w:ascii="Arial" w:hAnsi="Arial" w:cs="Arial"/>
                <w:color w:val="000000"/>
                <w:sz w:val="20"/>
                <w:szCs w:val="20"/>
                <w:lang w:eastAsia="en-GB"/>
              </w:rPr>
              <w:t xml:space="preserve">57 </w:t>
            </w:r>
          </w:p>
        </w:tc>
        <w:tc>
          <w:tcPr>
            <w:tcW w:w="1276" w:type="dxa"/>
            <w:tcBorders>
              <w:top w:val="single" w:sz="4" w:space="0" w:color="auto"/>
              <w:left w:val="nil"/>
              <w:bottom w:val="single" w:sz="4" w:space="0" w:color="auto"/>
            </w:tcBorders>
          </w:tcPr>
          <w:p w:rsidR="00803D84" w:rsidRPr="006D01DA" w:rsidRDefault="00803D84" w:rsidP="00B7535A">
            <w:pPr>
              <w:spacing w:line="480" w:lineRule="auto"/>
              <w:jc w:val="center"/>
              <w:rPr>
                <w:rFonts w:ascii="Arial" w:hAnsi="Arial" w:cs="Arial"/>
                <w:sz w:val="20"/>
                <w:szCs w:val="20"/>
                <w:lang w:eastAsia="en-GB"/>
              </w:rPr>
            </w:pPr>
            <w:r>
              <w:rPr>
                <w:rFonts w:ascii="Arial" w:hAnsi="Arial" w:cs="Arial"/>
                <w:color w:val="000000"/>
                <w:sz w:val="20"/>
                <w:szCs w:val="20"/>
                <w:lang w:eastAsia="en-GB"/>
              </w:rPr>
              <w:t>(0·44, 0·</w:t>
            </w:r>
            <w:r w:rsidRPr="00F57586">
              <w:rPr>
                <w:rFonts w:ascii="Arial" w:hAnsi="Arial" w:cs="Arial"/>
                <w:color w:val="000000"/>
                <w:sz w:val="20"/>
                <w:szCs w:val="20"/>
                <w:lang w:eastAsia="en-GB"/>
              </w:rPr>
              <w:t>74)</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&lt;0·</w:t>
            </w:r>
            <w:r w:rsidRPr="00F57586">
              <w:rPr>
                <w:rFonts w:ascii="Arial" w:hAnsi="Arial" w:cs="Arial"/>
                <w:color w:val="000000"/>
                <w:sz w:val="20"/>
                <w:szCs w:val="20"/>
                <w:lang w:eastAsia="en-GB"/>
              </w:rPr>
              <w:t>01</w:t>
            </w:r>
          </w:p>
        </w:tc>
        <w:tc>
          <w:tcPr>
            <w:tcW w:w="992" w:type="dxa"/>
            <w:tcBorders>
              <w:left w:val="single" w:sz="4" w:space="0" w:color="auto"/>
            </w:tcBorders>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c>
          <w:tcPr>
            <w:tcW w:w="1559" w:type="dxa"/>
          </w:tcPr>
          <w:p w:rsidR="00803D84" w:rsidRPr="004837FB" w:rsidRDefault="00803D84" w:rsidP="00340E61">
            <w:pPr>
              <w:spacing w:line="480" w:lineRule="auto"/>
              <w:jc w:val="center"/>
              <w:rPr>
                <w:rFonts w:ascii="Arial" w:hAnsi="Arial" w:cs="Arial"/>
                <w:sz w:val="20"/>
                <w:szCs w:val="20"/>
                <w:lang w:eastAsia="en-GB"/>
              </w:rPr>
            </w:pPr>
          </w:p>
        </w:tc>
        <w:tc>
          <w:tcPr>
            <w:tcW w:w="1367" w:type="dxa"/>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r>
      <w:tr w:rsidR="00803D84" w:rsidRPr="001D5EA9" w:rsidTr="00340E61">
        <w:tc>
          <w:tcPr>
            <w:tcW w:w="2804" w:type="dxa"/>
            <w:vMerge/>
            <w:tcBorders>
              <w:left w:val="single" w:sz="4" w:space="0" w:color="auto"/>
              <w:bottom w:val="single" w:sz="4" w:space="0" w:color="auto"/>
              <w:right w:val="single" w:sz="4" w:space="0" w:color="auto"/>
            </w:tcBorders>
          </w:tcPr>
          <w:p w:rsidR="00803D84" w:rsidRPr="004837FB" w:rsidRDefault="00803D84" w:rsidP="00340E61">
            <w:pPr>
              <w:spacing w:line="480" w:lineRule="auto"/>
              <w:rPr>
                <w:rFonts w:ascii="Arial" w:hAnsi="Arial" w:cs="Arial"/>
                <w:color w:val="000000"/>
                <w:sz w:val="20"/>
                <w:szCs w:val="20"/>
              </w:rPr>
            </w:pPr>
          </w:p>
        </w:tc>
        <w:tc>
          <w:tcPr>
            <w:tcW w:w="1131" w:type="dxa"/>
            <w:vMerge/>
            <w:tcBorders>
              <w:left w:val="single" w:sz="4" w:space="0" w:color="auto"/>
              <w:bottom w:val="single" w:sz="4" w:space="0" w:color="auto"/>
              <w:right w:val="single" w:sz="4" w:space="0" w:color="auto"/>
            </w:tcBorders>
          </w:tcPr>
          <w:p w:rsidR="00803D84" w:rsidRPr="001D5EA9" w:rsidRDefault="00803D84" w:rsidP="00340E61">
            <w:pPr>
              <w:spacing w:line="480" w:lineRule="auto"/>
              <w:rPr>
                <w:rFonts w:ascii="Arial" w:hAnsi="Arial" w:cs="Arial"/>
                <w:bCs/>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6D01DA" w:rsidRDefault="00803D84" w:rsidP="00340E61">
            <w:pPr>
              <w:spacing w:line="480" w:lineRule="auto"/>
              <w:rPr>
                <w:rFonts w:ascii="Arial" w:hAnsi="Arial" w:cs="Arial"/>
                <w:sz w:val="20"/>
                <w:szCs w:val="20"/>
              </w:rPr>
            </w:pPr>
            <w:r w:rsidRPr="006D01DA">
              <w:rPr>
                <w:rFonts w:ascii="Arial" w:hAnsi="Arial" w:cs="Arial"/>
                <w:sz w:val="20"/>
                <w:szCs w:val="20"/>
              </w:rPr>
              <w:t>Adult (</w:t>
            </w:r>
            <w:r w:rsidRPr="00600374">
              <w:rPr>
                <w:rFonts w:ascii="Arial" w:eastAsia="MS Gothic" w:hAnsi="Arial" w:cs="Arial"/>
                <w:color w:val="000000"/>
              </w:rPr>
              <w:t>≥</w:t>
            </w:r>
            <w:r w:rsidRPr="006D01DA">
              <w:rPr>
                <w:rFonts w:ascii="Arial" w:hAnsi="Arial" w:cs="Arial"/>
                <w:sz w:val="20"/>
                <w:szCs w:val="20"/>
              </w:rPr>
              <w:t>65 years)</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340E61">
            <w:pPr>
              <w:spacing w:line="480" w:lineRule="auto"/>
              <w:jc w:val="center"/>
              <w:rPr>
                <w:rFonts w:ascii="Arial" w:hAnsi="Arial" w:cs="Arial"/>
                <w:color w:val="000000"/>
                <w:sz w:val="20"/>
                <w:szCs w:val="20"/>
                <w:lang w:eastAsia="en-GB"/>
              </w:rPr>
            </w:pPr>
            <w:r>
              <w:rPr>
                <w:rFonts w:ascii="Arial" w:hAnsi="Arial" w:cs="Arial"/>
                <w:color w:val="000000"/>
                <w:sz w:val="20"/>
                <w:szCs w:val="20"/>
                <w:lang w:eastAsia="en-GB"/>
              </w:rPr>
              <w:t>55</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0·</w:t>
            </w:r>
            <w:r w:rsidRPr="00F57586">
              <w:rPr>
                <w:rFonts w:ascii="Arial" w:hAnsi="Arial" w:cs="Arial"/>
                <w:color w:val="000000"/>
                <w:sz w:val="20"/>
                <w:szCs w:val="20"/>
                <w:lang w:eastAsia="en-GB"/>
              </w:rPr>
              <w:t xml:space="preserve">25 </w:t>
            </w:r>
          </w:p>
        </w:tc>
        <w:tc>
          <w:tcPr>
            <w:tcW w:w="1276" w:type="dxa"/>
            <w:tcBorders>
              <w:top w:val="single" w:sz="4" w:space="0" w:color="auto"/>
              <w:left w:val="nil"/>
              <w:bottom w:val="single" w:sz="4" w:space="0" w:color="auto"/>
            </w:tcBorders>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(0·18, 0·</w:t>
            </w:r>
            <w:r w:rsidRPr="00F57586">
              <w:rPr>
                <w:rFonts w:ascii="Arial" w:hAnsi="Arial" w:cs="Arial"/>
                <w:color w:val="000000"/>
                <w:sz w:val="20"/>
                <w:szCs w:val="20"/>
                <w:lang w:eastAsia="en-GB"/>
              </w:rPr>
              <w:t>35)</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6D01DA" w:rsidRDefault="00803D84" w:rsidP="00340E61">
            <w:pPr>
              <w:spacing w:line="480" w:lineRule="auto"/>
              <w:jc w:val="center"/>
              <w:rPr>
                <w:rFonts w:ascii="Arial" w:hAnsi="Arial" w:cs="Arial"/>
                <w:sz w:val="20"/>
                <w:szCs w:val="20"/>
                <w:lang w:eastAsia="en-GB"/>
              </w:rPr>
            </w:pPr>
            <w:r>
              <w:rPr>
                <w:rFonts w:ascii="Arial" w:hAnsi="Arial" w:cs="Arial"/>
                <w:color w:val="000000"/>
                <w:sz w:val="20"/>
                <w:szCs w:val="20"/>
                <w:lang w:eastAsia="en-GB"/>
              </w:rPr>
              <w:t>&lt;0·</w:t>
            </w:r>
            <w:r w:rsidRPr="00F57586">
              <w:rPr>
                <w:rFonts w:ascii="Arial" w:hAnsi="Arial" w:cs="Arial"/>
                <w:color w:val="000000"/>
                <w:sz w:val="20"/>
                <w:szCs w:val="20"/>
                <w:lang w:eastAsia="en-GB"/>
              </w:rPr>
              <w:t>01</w:t>
            </w:r>
          </w:p>
        </w:tc>
        <w:tc>
          <w:tcPr>
            <w:tcW w:w="992" w:type="dxa"/>
            <w:tcBorders>
              <w:left w:val="single" w:sz="4" w:space="0" w:color="auto"/>
            </w:tcBorders>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c>
          <w:tcPr>
            <w:tcW w:w="1559" w:type="dxa"/>
          </w:tcPr>
          <w:p w:rsidR="00803D84" w:rsidRPr="004837FB" w:rsidRDefault="00803D84" w:rsidP="00340E61">
            <w:pPr>
              <w:spacing w:line="480" w:lineRule="auto"/>
              <w:jc w:val="center"/>
              <w:rPr>
                <w:rFonts w:ascii="Arial" w:hAnsi="Arial" w:cs="Arial"/>
                <w:sz w:val="20"/>
                <w:szCs w:val="20"/>
                <w:lang w:eastAsia="en-GB"/>
              </w:rPr>
            </w:pPr>
          </w:p>
        </w:tc>
        <w:tc>
          <w:tcPr>
            <w:tcW w:w="1367" w:type="dxa"/>
            <w:tcMar>
              <w:top w:w="0" w:type="dxa"/>
              <w:left w:w="108" w:type="dxa"/>
              <w:bottom w:w="0" w:type="dxa"/>
              <w:right w:w="108" w:type="dxa"/>
            </w:tcMar>
          </w:tcPr>
          <w:p w:rsidR="00803D84" w:rsidRPr="004837FB" w:rsidRDefault="00803D84" w:rsidP="00340E61">
            <w:pPr>
              <w:spacing w:line="480" w:lineRule="auto"/>
              <w:jc w:val="center"/>
              <w:rPr>
                <w:rFonts w:ascii="Arial" w:hAnsi="Arial" w:cs="Arial"/>
                <w:sz w:val="20"/>
                <w:szCs w:val="20"/>
                <w:lang w:eastAsia="en-GB"/>
              </w:rPr>
            </w:pPr>
          </w:p>
        </w:tc>
      </w:tr>
      <w:tr w:rsidR="00803D84" w:rsidRPr="001D5EA9" w:rsidTr="000F0C69">
        <w:tc>
          <w:tcPr>
            <w:tcW w:w="2804" w:type="dxa"/>
            <w:tcBorders>
              <w:top w:val="single" w:sz="4" w:space="0" w:color="auto"/>
              <w:bottom w:val="single" w:sz="4" w:space="0" w:color="auto"/>
            </w:tcBorders>
          </w:tcPr>
          <w:p w:rsidR="00803D84" w:rsidRPr="001D5EA9" w:rsidRDefault="00803D84" w:rsidP="00340E61">
            <w:pPr>
              <w:spacing w:line="480" w:lineRule="auto"/>
              <w:rPr>
                <w:rFonts w:ascii="Arial" w:hAnsi="Arial" w:cs="Arial"/>
                <w:sz w:val="20"/>
                <w:szCs w:val="20"/>
              </w:rPr>
            </w:pPr>
          </w:p>
        </w:tc>
        <w:tc>
          <w:tcPr>
            <w:tcW w:w="3728" w:type="dxa"/>
            <w:gridSpan w:val="2"/>
            <w:tcBorders>
              <w:top w:val="single" w:sz="4" w:space="0" w:color="auto"/>
              <w:bottom w:val="single" w:sz="4" w:space="0" w:color="auto"/>
            </w:tcBorders>
          </w:tcPr>
          <w:p w:rsidR="00803D84" w:rsidRPr="001D5EA9" w:rsidRDefault="00803D84" w:rsidP="00340E61">
            <w:pPr>
              <w:spacing w:line="480" w:lineRule="auto"/>
              <w:rPr>
                <w:rFonts w:ascii="Arial" w:hAnsi="Arial" w:cs="Arial"/>
                <w:sz w:val="20"/>
                <w:szCs w:val="20"/>
              </w:rPr>
            </w:pPr>
          </w:p>
        </w:tc>
        <w:tc>
          <w:tcPr>
            <w:tcW w:w="1087" w:type="dxa"/>
            <w:tcBorders>
              <w:top w:val="single" w:sz="4" w:space="0" w:color="auto"/>
              <w:bottom w:val="single" w:sz="4" w:space="0" w:color="auto"/>
            </w:tcBorders>
          </w:tcPr>
          <w:p w:rsidR="00803D84" w:rsidRPr="001D5EA9" w:rsidRDefault="00803D84" w:rsidP="00340E61">
            <w:pPr>
              <w:spacing w:line="480" w:lineRule="auto"/>
              <w:jc w:val="center"/>
              <w:rPr>
                <w:rFonts w:ascii="Arial" w:hAnsi="Arial" w:cs="Arial"/>
                <w:sz w:val="20"/>
                <w:szCs w:val="20"/>
                <w:lang w:eastAsia="en-GB"/>
              </w:rPr>
            </w:pPr>
          </w:p>
        </w:tc>
        <w:tc>
          <w:tcPr>
            <w:tcW w:w="1087" w:type="dxa"/>
            <w:tcBorders>
              <w:top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sz w:val="20"/>
                <w:szCs w:val="20"/>
                <w:lang w:eastAsia="en-GB"/>
              </w:rPr>
            </w:pPr>
          </w:p>
        </w:tc>
        <w:tc>
          <w:tcPr>
            <w:tcW w:w="1134" w:type="dxa"/>
            <w:tcBorders>
              <w:top w:val="single" w:sz="4" w:space="0" w:color="auto"/>
              <w:left w:val="nil"/>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p>
        </w:tc>
        <w:tc>
          <w:tcPr>
            <w:tcW w:w="992" w:type="dxa"/>
            <w:tcBorders>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p>
        </w:tc>
        <w:tc>
          <w:tcPr>
            <w:tcW w:w="1559" w:type="dxa"/>
            <w:tcBorders>
              <w:left w:val="nil"/>
              <w:bottom w:val="single" w:sz="4" w:space="0" w:color="auto"/>
            </w:tcBorders>
          </w:tcPr>
          <w:p w:rsidR="00803D84" w:rsidRPr="001D5EA9" w:rsidRDefault="00803D84" w:rsidP="00340E61">
            <w:pPr>
              <w:spacing w:line="480" w:lineRule="auto"/>
              <w:jc w:val="center"/>
              <w:rPr>
                <w:rFonts w:ascii="Arial" w:hAnsi="Arial" w:cs="Arial"/>
                <w:sz w:val="20"/>
                <w:szCs w:val="20"/>
                <w:lang w:eastAsia="en-GB"/>
              </w:rPr>
            </w:pPr>
          </w:p>
        </w:tc>
        <w:tc>
          <w:tcPr>
            <w:tcW w:w="1367" w:type="dxa"/>
            <w:tcBorders>
              <w:left w:val="nil"/>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p>
        </w:tc>
      </w:tr>
      <w:tr w:rsidR="00803D84" w:rsidRPr="001D5EA9" w:rsidTr="00340E61">
        <w:tc>
          <w:tcPr>
            <w:tcW w:w="2804" w:type="dxa"/>
            <w:vMerge w:val="restart"/>
            <w:tcBorders>
              <w:top w:val="single" w:sz="4" w:space="0" w:color="auto"/>
              <w:left w:val="single" w:sz="4" w:space="0" w:color="auto"/>
              <w:right w:val="single" w:sz="4" w:space="0" w:color="auto"/>
            </w:tcBorders>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 xml:space="preserve">Time to failure of second </w:t>
            </w:r>
            <w:r>
              <w:rPr>
                <w:rFonts w:ascii="Arial" w:hAnsi="Arial" w:cs="Arial"/>
                <w:sz w:val="20"/>
                <w:szCs w:val="20"/>
              </w:rPr>
              <w:t>shunt</w:t>
            </w:r>
            <w:r w:rsidRPr="001D5EA9">
              <w:rPr>
                <w:rFonts w:ascii="Arial" w:hAnsi="Arial" w:cs="Arial"/>
                <w:sz w:val="20"/>
                <w:szCs w:val="20"/>
              </w:rPr>
              <w:t xml:space="preserve"> due to infection, following </w:t>
            </w:r>
            <w:r>
              <w:rPr>
                <w:rFonts w:ascii="Arial" w:hAnsi="Arial" w:cs="Arial"/>
                <w:sz w:val="20"/>
                <w:szCs w:val="20"/>
              </w:rPr>
              <w:t xml:space="preserve">clean revision </w:t>
            </w:r>
            <w:r>
              <w:rPr>
                <w:rFonts w:ascii="Arial" w:hAnsi="Arial" w:cs="Arial"/>
                <w:sz w:val="20"/>
                <w:szCs w:val="20"/>
                <w:vertAlign w:val="superscript"/>
              </w:rPr>
              <w:t>(2)</w:t>
            </w:r>
          </w:p>
        </w:tc>
        <w:tc>
          <w:tcPr>
            <w:tcW w:w="3728" w:type="dxa"/>
            <w:gridSpan w:val="2"/>
            <w:tcBorders>
              <w:top w:val="single" w:sz="4" w:space="0" w:color="auto"/>
              <w:left w:val="single" w:sz="4" w:space="0" w:color="auto"/>
              <w:right w:val="single" w:sz="4" w:space="0" w:color="auto"/>
            </w:tcBorders>
          </w:tcPr>
          <w:p w:rsidR="00803D84" w:rsidRPr="001D5EA9" w:rsidRDefault="00803D84" w:rsidP="00340E61">
            <w:pPr>
              <w:spacing w:line="480" w:lineRule="auto"/>
              <w:rPr>
                <w:rFonts w:ascii="Arial" w:hAnsi="Arial" w:cs="Arial"/>
                <w:sz w:val="20"/>
                <w:szCs w:val="20"/>
              </w:rPr>
            </w:pPr>
            <w:r w:rsidRPr="00893D85">
              <w:rPr>
                <w:rFonts w:ascii="Arial" w:hAnsi="Arial" w:cs="Arial"/>
                <w:bCs/>
                <w:i/>
                <w:sz w:val="20"/>
                <w:szCs w:val="20"/>
                <w:lang w:eastAsia="en-GB"/>
              </w:rPr>
              <w:t>Model estimate</w:t>
            </w:r>
          </w:p>
        </w:tc>
        <w:tc>
          <w:tcPr>
            <w:tcW w:w="1087" w:type="dxa"/>
            <w:tcBorders>
              <w:top w:val="single" w:sz="4" w:space="0" w:color="auto"/>
              <w:left w:val="single" w:sz="4" w:space="0" w:color="auto"/>
              <w:right w:val="single" w:sz="4" w:space="0" w:color="auto"/>
            </w:tcBorders>
          </w:tcPr>
          <w:p w:rsidR="00803D84" w:rsidRDefault="00803D84" w:rsidP="00340E61">
            <w:pPr>
              <w:spacing w:line="480" w:lineRule="auto"/>
              <w:jc w:val="center"/>
              <w:rPr>
                <w:rFonts w:ascii="Arial" w:hAnsi="Arial" w:cs="Arial"/>
                <w:bCs/>
                <w:i/>
                <w:sz w:val="20"/>
                <w:szCs w:val="20"/>
                <w:lang w:eastAsia="en-GB"/>
              </w:rPr>
            </w:pPr>
            <w:r>
              <w:rPr>
                <w:rFonts w:ascii="Arial" w:hAnsi="Arial" w:cs="Arial"/>
                <w:bCs/>
                <w:i/>
                <w:sz w:val="20"/>
                <w:szCs w:val="20"/>
                <w:lang w:eastAsia="en-GB"/>
              </w:rPr>
              <w:t>N events</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r>
              <w:rPr>
                <w:rFonts w:ascii="Arial" w:hAnsi="Arial" w:cs="Arial"/>
                <w:bCs/>
                <w:i/>
                <w:sz w:val="20"/>
                <w:szCs w:val="20"/>
                <w:lang w:eastAsia="en-GB"/>
              </w:rPr>
              <w:t>c</w:t>
            </w:r>
            <w:r w:rsidRPr="004837FB">
              <w:rPr>
                <w:rFonts w:ascii="Arial" w:hAnsi="Arial" w:cs="Arial"/>
                <w:bCs/>
                <w:i/>
                <w:sz w:val="20"/>
                <w:szCs w:val="20"/>
                <w:lang w:eastAsia="en-GB"/>
              </w:rPr>
              <w:t>s</w:t>
            </w:r>
            <w:r>
              <w:rPr>
                <w:rFonts w:ascii="Arial" w:hAnsi="Arial" w:cs="Arial"/>
                <w:bCs/>
                <w:i/>
                <w:sz w:val="20"/>
                <w:szCs w:val="20"/>
                <w:lang w:eastAsia="en-GB"/>
              </w:rPr>
              <w:t>HR</w:t>
            </w: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sz w:val="20"/>
                <w:szCs w:val="20"/>
                <w:lang w:eastAsia="en-GB"/>
              </w:rPr>
            </w:pPr>
            <w:r w:rsidRPr="00893D85">
              <w:rPr>
                <w:rFonts w:ascii="Arial" w:hAnsi="Arial" w:cs="Arial"/>
                <w:bCs/>
                <w:i/>
                <w:sz w:val="20"/>
                <w:szCs w:val="20"/>
                <w:lang w:eastAsia="en-GB"/>
              </w:rPr>
              <w:t>(</w:t>
            </w:r>
            <w:r>
              <w:rPr>
                <w:rFonts w:ascii="Arial" w:hAnsi="Arial" w:cs="Arial"/>
                <w:bCs/>
                <w:i/>
                <w:sz w:val="20"/>
                <w:szCs w:val="20"/>
                <w:lang w:eastAsia="en-GB"/>
              </w:rPr>
              <w:t>97·</w:t>
            </w:r>
            <w:r w:rsidRPr="00893D85">
              <w:rPr>
                <w:rFonts w:ascii="Arial" w:hAnsi="Arial" w:cs="Arial"/>
                <w:bCs/>
                <w:i/>
                <w:sz w:val="20"/>
                <w:szCs w:val="20"/>
                <w:lang w:eastAsia="en-GB"/>
              </w:rPr>
              <w:t>5% CI)</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r w:rsidRPr="00893D85">
              <w:rPr>
                <w:rFonts w:ascii="Arial" w:hAnsi="Arial" w:cs="Arial"/>
                <w:bCs/>
                <w:i/>
                <w:sz w:val="20"/>
                <w:szCs w:val="20"/>
                <w:lang w:eastAsia="en-GB"/>
              </w:rPr>
              <w:t>P-value</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r>
              <w:rPr>
                <w:rFonts w:ascii="Arial" w:hAnsi="Arial" w:cs="Arial"/>
                <w:bCs/>
                <w:i/>
                <w:sz w:val="20"/>
                <w:szCs w:val="20"/>
                <w:lang w:eastAsia="en-GB"/>
              </w:rPr>
              <w:t>sHR</w:t>
            </w:r>
          </w:p>
        </w:tc>
        <w:tc>
          <w:tcPr>
            <w:tcW w:w="1559"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sz w:val="20"/>
                <w:szCs w:val="20"/>
                <w:lang w:eastAsia="en-GB"/>
              </w:rPr>
            </w:pPr>
            <w:r w:rsidRPr="00893D85">
              <w:rPr>
                <w:rFonts w:ascii="Arial" w:hAnsi="Arial" w:cs="Arial"/>
                <w:bCs/>
                <w:i/>
                <w:sz w:val="20"/>
                <w:szCs w:val="20"/>
                <w:lang w:eastAsia="en-GB"/>
              </w:rPr>
              <w:t>(97.5% CI)</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sz w:val="20"/>
                <w:szCs w:val="20"/>
                <w:lang w:eastAsia="en-GB"/>
              </w:rPr>
            </w:pPr>
            <w:r w:rsidRPr="00893D85">
              <w:rPr>
                <w:rFonts w:ascii="Arial" w:hAnsi="Arial" w:cs="Arial"/>
                <w:bCs/>
                <w:i/>
                <w:sz w:val="20"/>
                <w:szCs w:val="20"/>
                <w:lang w:eastAsia="en-GB"/>
              </w:rPr>
              <w:t>P-value</w:t>
            </w:r>
          </w:p>
        </w:tc>
      </w:tr>
      <w:tr w:rsidR="00803D84" w:rsidRPr="001D5EA9" w:rsidTr="00340E61">
        <w:tc>
          <w:tcPr>
            <w:tcW w:w="2804" w:type="dxa"/>
            <w:vMerge/>
            <w:tcBorders>
              <w:left w:val="single" w:sz="4" w:space="0" w:color="auto"/>
              <w:right w:val="single" w:sz="4" w:space="0" w:color="auto"/>
            </w:tcBorders>
          </w:tcPr>
          <w:p w:rsidR="00803D84" w:rsidRPr="004837FB" w:rsidRDefault="00803D84" w:rsidP="00340E61">
            <w:pPr>
              <w:spacing w:line="480" w:lineRule="auto"/>
              <w:rPr>
                <w:rFonts w:ascii="Arial" w:hAnsi="Arial" w:cs="Arial"/>
                <w:b/>
                <w:sz w:val="20"/>
                <w:szCs w:val="20"/>
                <w:vertAlign w:val="superscript"/>
              </w:rPr>
            </w:pPr>
          </w:p>
        </w:tc>
        <w:tc>
          <w:tcPr>
            <w:tcW w:w="1131" w:type="dxa"/>
            <w:vMerge w:val="restart"/>
            <w:tcBorders>
              <w:top w:val="single" w:sz="4" w:space="0" w:color="auto"/>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r>
              <w:rPr>
                <w:rFonts w:ascii="Arial" w:hAnsi="Arial" w:cs="Arial"/>
                <w:bCs/>
                <w:sz w:val="20"/>
                <w:szCs w:val="20"/>
              </w:rPr>
              <w:t>Shunt</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Standard</w:t>
            </w:r>
          </w:p>
        </w:tc>
        <w:tc>
          <w:tcPr>
            <w:tcW w:w="1087" w:type="dxa"/>
            <w:tcBorders>
              <w:top w:val="single" w:sz="4" w:space="0" w:color="auto"/>
              <w:left w:val="single" w:sz="4" w:space="0" w:color="auto"/>
              <w:bottom w:val="single" w:sz="4" w:space="0" w:color="auto"/>
              <w:right w:val="single" w:sz="4" w:space="0" w:color="auto"/>
            </w:tcBorders>
          </w:tcPr>
          <w:p w:rsidR="00803D84" w:rsidRPr="004837FB" w:rsidRDefault="00803D84" w:rsidP="00340E61">
            <w:pPr>
              <w:spacing w:line="480" w:lineRule="auto"/>
              <w:jc w:val="center"/>
              <w:rPr>
                <w:rFonts w:ascii="Arial" w:hAnsi="Arial" w:cs="Arial"/>
                <w:sz w:val="20"/>
                <w:szCs w:val="20"/>
                <w:lang w:eastAsia="en-GB"/>
              </w:rPr>
            </w:pPr>
            <w:r>
              <w:rPr>
                <w:rFonts w:ascii="Arial" w:hAnsi="Arial" w:cs="Arial"/>
                <w:sz w:val="20"/>
                <w:szCs w:val="20"/>
                <w:lang w:eastAsia="en-GB"/>
              </w:rPr>
              <w:t>9</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559"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r>
      <w:tr w:rsidR="00803D84" w:rsidRPr="001D5EA9" w:rsidTr="00340E61">
        <w:tc>
          <w:tcPr>
            <w:tcW w:w="2804"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1131"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Antibiotic</w:t>
            </w:r>
          </w:p>
        </w:tc>
        <w:tc>
          <w:tcPr>
            <w:tcW w:w="1087" w:type="dxa"/>
            <w:tcBorders>
              <w:top w:val="single" w:sz="4" w:space="0" w:color="auto"/>
              <w:left w:val="single" w:sz="4" w:space="0" w:color="auto"/>
              <w:bottom w:val="single" w:sz="4" w:space="0" w:color="auto"/>
              <w:right w:val="single" w:sz="4" w:space="0" w:color="auto"/>
            </w:tcBorders>
          </w:tcPr>
          <w:p w:rsidR="00803D84" w:rsidRPr="004837FB"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6</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0</w:t>
            </w:r>
            <w:r>
              <w:rPr>
                <w:rFonts w:ascii="Arial" w:hAnsi="Arial" w:cs="Arial"/>
                <w:color w:val="000000"/>
                <w:sz w:val="20"/>
                <w:szCs w:val="20"/>
              </w:rPr>
              <w:t>·</w:t>
            </w:r>
            <w:r w:rsidRPr="004837FB">
              <w:rPr>
                <w:rFonts w:ascii="Arial" w:hAnsi="Arial" w:cs="Arial"/>
                <w:color w:val="000000"/>
                <w:sz w:val="20"/>
                <w:szCs w:val="20"/>
              </w:rPr>
              <w:t>55</w:t>
            </w: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(0·17, 1·</w:t>
            </w:r>
            <w:r w:rsidRPr="004837FB">
              <w:rPr>
                <w:rFonts w:ascii="Arial" w:hAnsi="Arial" w:cs="Arial"/>
                <w:color w:val="000000"/>
                <w:sz w:val="20"/>
                <w:szCs w:val="20"/>
              </w:rPr>
              <w:t>81)</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0·</w:t>
            </w:r>
            <w:r w:rsidRPr="004837FB">
              <w:rPr>
                <w:rFonts w:ascii="Arial" w:hAnsi="Arial" w:cs="Arial"/>
                <w:color w:val="000000"/>
                <w:sz w:val="20"/>
                <w:szCs w:val="20"/>
              </w:rPr>
              <w:t>26</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0</w:t>
            </w:r>
            <w:r>
              <w:rPr>
                <w:rFonts w:ascii="Arial" w:hAnsi="Arial" w:cs="Arial"/>
                <w:color w:val="000000"/>
                <w:sz w:val="20"/>
                <w:szCs w:val="20"/>
              </w:rPr>
              <w:t>·</w:t>
            </w:r>
            <w:r w:rsidRPr="004837FB">
              <w:rPr>
                <w:rFonts w:ascii="Arial" w:hAnsi="Arial" w:cs="Arial"/>
                <w:color w:val="000000"/>
                <w:sz w:val="20"/>
                <w:szCs w:val="20"/>
              </w:rPr>
              <w:t>55</w:t>
            </w:r>
          </w:p>
        </w:tc>
        <w:tc>
          <w:tcPr>
            <w:tcW w:w="1559" w:type="dxa"/>
            <w:tcBorders>
              <w:top w:val="single" w:sz="4" w:space="0" w:color="auto"/>
              <w:left w:val="nil"/>
              <w:bottom w:val="single" w:sz="4" w:space="0" w:color="auto"/>
            </w:tcBorders>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rPr>
              <w:t>(0·17, 0·75</w:t>
            </w:r>
            <w:r w:rsidRPr="004837FB">
              <w:rPr>
                <w:rFonts w:ascii="Arial" w:hAnsi="Arial" w:cs="Arial"/>
                <w:color w:val="000000"/>
                <w:sz w:val="20"/>
                <w:szCs w:val="20"/>
              </w:rPr>
              <w:t>)</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rPr>
              <w:t>0·</w:t>
            </w:r>
            <w:r w:rsidRPr="004837FB">
              <w:rPr>
                <w:rFonts w:ascii="Arial" w:hAnsi="Arial" w:cs="Arial"/>
                <w:color w:val="000000"/>
                <w:sz w:val="20"/>
                <w:szCs w:val="20"/>
              </w:rPr>
              <w:t>2</w:t>
            </w:r>
            <w:r>
              <w:rPr>
                <w:rFonts w:ascii="Arial" w:hAnsi="Arial" w:cs="Arial"/>
                <w:color w:val="000000"/>
                <w:sz w:val="20"/>
                <w:szCs w:val="20"/>
              </w:rPr>
              <w:t>5</w:t>
            </w:r>
          </w:p>
        </w:tc>
      </w:tr>
      <w:tr w:rsidR="00803D84" w:rsidRPr="001D5EA9" w:rsidTr="00340E61">
        <w:tc>
          <w:tcPr>
            <w:tcW w:w="2804"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1131" w:type="dxa"/>
            <w:vMerge/>
            <w:tcBorders>
              <w:left w:val="single" w:sz="4" w:space="0" w:color="auto"/>
              <w:bottom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Silver</w:t>
            </w:r>
          </w:p>
        </w:tc>
        <w:tc>
          <w:tcPr>
            <w:tcW w:w="1087" w:type="dxa"/>
            <w:tcBorders>
              <w:top w:val="single" w:sz="4" w:space="0" w:color="auto"/>
              <w:left w:val="single" w:sz="4" w:space="0" w:color="auto"/>
              <w:bottom w:val="single" w:sz="4" w:space="0" w:color="auto"/>
              <w:right w:val="single" w:sz="4" w:space="0" w:color="auto"/>
            </w:tcBorders>
          </w:tcPr>
          <w:p w:rsidR="00803D84"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5</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0·</w:t>
            </w:r>
            <w:r w:rsidRPr="004837FB">
              <w:rPr>
                <w:rFonts w:ascii="Arial" w:hAnsi="Arial" w:cs="Arial"/>
                <w:color w:val="000000"/>
                <w:sz w:val="20"/>
                <w:szCs w:val="20"/>
              </w:rPr>
              <w:t>47</w:t>
            </w:r>
          </w:p>
        </w:tc>
        <w:tc>
          <w:tcPr>
            <w:tcW w:w="1276" w:type="dxa"/>
            <w:tcBorders>
              <w:top w:val="single" w:sz="4" w:space="0" w:color="auto"/>
              <w:left w:val="nil"/>
              <w:bottom w:val="single" w:sz="4" w:space="0" w:color="auto"/>
            </w:tcBorders>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rPr>
              <w:t>(0·13, 1·</w:t>
            </w:r>
            <w:r w:rsidRPr="004837FB">
              <w:rPr>
                <w:rFonts w:ascii="Arial" w:hAnsi="Arial" w:cs="Arial"/>
                <w:color w:val="000000"/>
                <w:sz w:val="20"/>
                <w:szCs w:val="20"/>
              </w:rPr>
              <w:t>63)</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0·</w:t>
            </w:r>
            <w:r w:rsidRPr="004837FB">
              <w:rPr>
                <w:rFonts w:ascii="Arial" w:hAnsi="Arial" w:cs="Arial"/>
                <w:color w:val="000000"/>
                <w:sz w:val="20"/>
                <w:szCs w:val="20"/>
              </w:rPr>
              <w:t>17</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0</w:t>
            </w:r>
            <w:r>
              <w:rPr>
                <w:rFonts w:ascii="Arial" w:hAnsi="Arial" w:cs="Arial"/>
                <w:color w:val="000000"/>
                <w:sz w:val="20"/>
                <w:szCs w:val="20"/>
              </w:rPr>
              <w:t>·</w:t>
            </w:r>
            <w:r w:rsidRPr="004837FB">
              <w:rPr>
                <w:rFonts w:ascii="Arial" w:hAnsi="Arial" w:cs="Arial"/>
                <w:color w:val="000000"/>
                <w:sz w:val="20"/>
                <w:szCs w:val="20"/>
              </w:rPr>
              <w:t>48</w:t>
            </w:r>
          </w:p>
        </w:tc>
        <w:tc>
          <w:tcPr>
            <w:tcW w:w="1559" w:type="dxa"/>
            <w:tcBorders>
              <w:top w:val="single" w:sz="4" w:space="0" w:color="auto"/>
              <w:left w:val="nil"/>
              <w:bottom w:val="single" w:sz="4" w:space="0" w:color="auto"/>
            </w:tcBorders>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rPr>
              <w:t>(0·14, 1·67</w:t>
            </w:r>
            <w:r w:rsidRPr="004837FB">
              <w:rPr>
                <w:rFonts w:ascii="Arial" w:hAnsi="Arial" w:cs="Arial"/>
                <w:color w:val="000000"/>
                <w:sz w:val="20"/>
                <w:szCs w:val="20"/>
              </w:rPr>
              <w:t>)</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0·</w:t>
            </w:r>
            <w:r w:rsidRPr="004837FB">
              <w:rPr>
                <w:rFonts w:ascii="Arial" w:hAnsi="Arial" w:cs="Arial"/>
                <w:color w:val="000000"/>
                <w:sz w:val="20"/>
                <w:szCs w:val="20"/>
              </w:rPr>
              <w:t>19</w:t>
            </w:r>
          </w:p>
        </w:tc>
      </w:tr>
      <w:tr w:rsidR="00803D84" w:rsidRPr="001D5EA9" w:rsidTr="00340E61">
        <w:tc>
          <w:tcPr>
            <w:tcW w:w="2804"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1131" w:type="dxa"/>
            <w:vMerge w:val="restart"/>
            <w:tcBorders>
              <w:top w:val="single" w:sz="4" w:space="0" w:color="auto"/>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r w:rsidRPr="001D5EA9">
              <w:rPr>
                <w:rFonts w:ascii="Arial" w:hAnsi="Arial" w:cs="Arial"/>
                <w:sz w:val="20"/>
                <w:szCs w:val="20"/>
              </w:rPr>
              <w:t>Age group</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Paediatric</w:t>
            </w:r>
          </w:p>
        </w:tc>
        <w:tc>
          <w:tcPr>
            <w:tcW w:w="1087" w:type="dxa"/>
            <w:tcBorders>
              <w:top w:val="single" w:sz="4" w:space="0" w:color="auto"/>
              <w:left w:val="single" w:sz="4" w:space="0" w:color="auto"/>
              <w:bottom w:val="single" w:sz="4" w:space="0" w:color="auto"/>
              <w:right w:val="single" w:sz="4" w:space="0" w:color="auto"/>
            </w:tcBorders>
          </w:tcPr>
          <w:p w:rsidR="00803D84" w:rsidRPr="004837FB" w:rsidRDefault="00803D84" w:rsidP="00340E61">
            <w:pPr>
              <w:spacing w:line="480" w:lineRule="auto"/>
              <w:jc w:val="center"/>
              <w:rPr>
                <w:rFonts w:ascii="Arial" w:hAnsi="Arial" w:cs="Arial"/>
                <w:sz w:val="20"/>
                <w:szCs w:val="20"/>
                <w:lang w:eastAsia="en-GB"/>
              </w:rPr>
            </w:pPr>
            <w:r>
              <w:rPr>
                <w:rFonts w:ascii="Arial" w:hAnsi="Arial" w:cs="Arial"/>
                <w:sz w:val="20"/>
                <w:szCs w:val="20"/>
                <w:lang w:eastAsia="en-GB"/>
              </w:rPr>
              <w:t>10</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276"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559" w:type="dxa"/>
            <w:tcBorders>
              <w:top w:val="single" w:sz="4" w:space="0" w:color="auto"/>
              <w:left w:val="nil"/>
              <w:bottom w:val="single" w:sz="4" w:space="0" w:color="auto"/>
            </w:tcBorders>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sz w:val="20"/>
                <w:szCs w:val="20"/>
                <w:lang w:eastAsia="en-GB"/>
              </w:rPr>
              <w:t>-</w:t>
            </w:r>
          </w:p>
        </w:tc>
      </w:tr>
      <w:tr w:rsidR="00803D84" w:rsidRPr="001D5EA9" w:rsidTr="00340E61">
        <w:tc>
          <w:tcPr>
            <w:tcW w:w="2804"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1131" w:type="dxa"/>
            <w:vMerge/>
            <w:tcBorders>
              <w:left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Adult (&lt;65 years)</w:t>
            </w:r>
          </w:p>
        </w:tc>
        <w:tc>
          <w:tcPr>
            <w:tcW w:w="1087" w:type="dxa"/>
            <w:tcBorders>
              <w:top w:val="single" w:sz="4" w:space="0" w:color="auto"/>
              <w:left w:val="single" w:sz="4" w:space="0" w:color="auto"/>
              <w:bottom w:val="single" w:sz="4" w:space="0" w:color="auto"/>
              <w:right w:val="single" w:sz="4" w:space="0" w:color="auto"/>
            </w:tcBorders>
          </w:tcPr>
          <w:p w:rsidR="00803D84" w:rsidRPr="004837FB"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9</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B7535A">
            <w:pPr>
              <w:spacing w:line="480" w:lineRule="auto"/>
              <w:jc w:val="center"/>
              <w:rPr>
                <w:rFonts w:ascii="Arial" w:hAnsi="Arial" w:cs="Arial"/>
                <w:color w:val="000000"/>
                <w:sz w:val="20"/>
                <w:szCs w:val="20"/>
              </w:rPr>
            </w:pPr>
            <w:r w:rsidRPr="004837FB">
              <w:rPr>
                <w:rFonts w:ascii="Arial" w:hAnsi="Arial" w:cs="Arial"/>
                <w:color w:val="000000"/>
                <w:sz w:val="20"/>
                <w:szCs w:val="20"/>
              </w:rPr>
              <w:t>1</w:t>
            </w:r>
            <w:r>
              <w:rPr>
                <w:rFonts w:ascii="Arial" w:hAnsi="Arial" w:cs="Arial"/>
                <w:color w:val="000000"/>
                <w:sz w:val="20"/>
                <w:szCs w:val="20"/>
              </w:rPr>
              <w:t>·</w:t>
            </w:r>
            <w:r w:rsidRPr="004837FB">
              <w:rPr>
                <w:rFonts w:ascii="Arial" w:hAnsi="Arial" w:cs="Arial"/>
                <w:color w:val="000000"/>
                <w:sz w:val="20"/>
                <w:szCs w:val="20"/>
              </w:rPr>
              <w:t>6</w:t>
            </w:r>
            <w:r>
              <w:rPr>
                <w:rFonts w:ascii="Arial" w:hAnsi="Arial" w:cs="Arial"/>
                <w:color w:val="000000"/>
                <w:sz w:val="20"/>
                <w:szCs w:val="20"/>
              </w:rPr>
              <w:t>4</w:t>
            </w:r>
          </w:p>
        </w:tc>
        <w:tc>
          <w:tcPr>
            <w:tcW w:w="1276" w:type="dxa"/>
            <w:tcBorders>
              <w:top w:val="single" w:sz="4" w:space="0" w:color="auto"/>
              <w:left w:val="nil"/>
              <w:bottom w:val="single" w:sz="4" w:space="0" w:color="auto"/>
            </w:tcBorders>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rPr>
              <w:t>(0·58, 4·61</w:t>
            </w:r>
            <w:r w:rsidRPr="004837FB">
              <w:rPr>
                <w:rFonts w:ascii="Arial" w:hAnsi="Arial" w:cs="Arial"/>
                <w:color w:val="000000"/>
                <w:sz w:val="20"/>
                <w:szCs w:val="20"/>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rPr>
              <w:t>0·</w:t>
            </w:r>
            <w:r w:rsidRPr="004837FB">
              <w:rPr>
                <w:rFonts w:ascii="Arial" w:hAnsi="Arial" w:cs="Arial"/>
                <w:color w:val="000000"/>
                <w:sz w:val="20"/>
                <w:szCs w:val="20"/>
              </w:rPr>
              <w:t>2</w:t>
            </w:r>
            <w:r>
              <w:rPr>
                <w:rFonts w:ascii="Arial" w:hAnsi="Arial" w:cs="Arial"/>
                <w:color w:val="000000"/>
                <w:sz w:val="20"/>
                <w:szCs w:val="20"/>
              </w:rPr>
              <w:t>8</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1</w:t>
            </w:r>
            <w:r>
              <w:rPr>
                <w:rFonts w:ascii="Arial" w:hAnsi="Arial" w:cs="Arial"/>
                <w:color w:val="000000"/>
                <w:sz w:val="20"/>
                <w:szCs w:val="20"/>
              </w:rPr>
              <w:t>·</w:t>
            </w:r>
            <w:r w:rsidRPr="004837FB">
              <w:rPr>
                <w:rFonts w:ascii="Arial" w:hAnsi="Arial" w:cs="Arial"/>
                <w:color w:val="000000"/>
                <w:sz w:val="20"/>
                <w:szCs w:val="20"/>
              </w:rPr>
              <w:t>72</w:t>
            </w:r>
          </w:p>
        </w:tc>
        <w:tc>
          <w:tcPr>
            <w:tcW w:w="1559" w:type="dxa"/>
            <w:tcBorders>
              <w:top w:val="single" w:sz="4" w:space="0" w:color="auto"/>
              <w:left w:val="nil"/>
              <w:bottom w:val="single" w:sz="4" w:space="0" w:color="auto"/>
            </w:tcBorders>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rPr>
              <w:t>(0·62, 4·81</w:t>
            </w:r>
            <w:r w:rsidRPr="004837FB">
              <w:rPr>
                <w:rFonts w:ascii="Arial" w:hAnsi="Arial" w:cs="Arial"/>
                <w:color w:val="000000"/>
                <w:sz w:val="20"/>
                <w:szCs w:val="20"/>
              </w:rPr>
              <w:t>)</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0·</w:t>
            </w:r>
            <w:r w:rsidRPr="004837FB">
              <w:rPr>
                <w:rFonts w:ascii="Arial" w:hAnsi="Arial" w:cs="Arial"/>
                <w:color w:val="000000"/>
                <w:sz w:val="20"/>
                <w:szCs w:val="20"/>
              </w:rPr>
              <w:t>24</w:t>
            </w:r>
          </w:p>
        </w:tc>
      </w:tr>
      <w:tr w:rsidR="00803D84" w:rsidRPr="001D5EA9" w:rsidTr="00340E61">
        <w:tc>
          <w:tcPr>
            <w:tcW w:w="2804" w:type="dxa"/>
            <w:vMerge/>
            <w:tcBorders>
              <w:left w:val="single" w:sz="4" w:space="0" w:color="auto"/>
              <w:bottom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1131" w:type="dxa"/>
            <w:vMerge/>
            <w:tcBorders>
              <w:left w:val="single" w:sz="4" w:space="0" w:color="auto"/>
              <w:bottom w:val="single" w:sz="4" w:space="0" w:color="auto"/>
              <w:right w:val="single" w:sz="4" w:space="0" w:color="auto"/>
            </w:tcBorders>
          </w:tcPr>
          <w:p w:rsidR="00803D84" w:rsidRPr="001D5EA9" w:rsidRDefault="00803D84" w:rsidP="00340E61">
            <w:pPr>
              <w:spacing w:line="480" w:lineRule="auto"/>
              <w:rPr>
                <w:rFonts w:ascii="Arial" w:hAnsi="Arial" w:cs="Arial"/>
                <w:b/>
                <w:sz w:val="20"/>
                <w:szCs w:val="20"/>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rPr>
                <w:rFonts w:ascii="Arial" w:hAnsi="Arial" w:cs="Arial"/>
                <w:sz w:val="20"/>
                <w:szCs w:val="20"/>
              </w:rPr>
            </w:pPr>
            <w:r w:rsidRPr="001D5EA9">
              <w:rPr>
                <w:rFonts w:ascii="Arial" w:hAnsi="Arial" w:cs="Arial"/>
                <w:sz w:val="20"/>
                <w:szCs w:val="20"/>
              </w:rPr>
              <w:t>Adult (</w:t>
            </w:r>
            <w:r w:rsidRPr="00600374">
              <w:rPr>
                <w:rFonts w:ascii="Arial" w:eastAsia="MS Gothic" w:hAnsi="Arial" w:cs="Arial"/>
                <w:color w:val="000000"/>
              </w:rPr>
              <w:t>≥</w:t>
            </w:r>
            <w:r w:rsidRPr="001D5EA9">
              <w:rPr>
                <w:rFonts w:ascii="Arial" w:hAnsi="Arial" w:cs="Arial"/>
                <w:sz w:val="20"/>
                <w:szCs w:val="20"/>
              </w:rPr>
              <w:t>65 years)</w:t>
            </w:r>
          </w:p>
        </w:tc>
        <w:tc>
          <w:tcPr>
            <w:tcW w:w="1087" w:type="dxa"/>
            <w:tcBorders>
              <w:top w:val="single" w:sz="4" w:space="0" w:color="auto"/>
              <w:left w:val="single" w:sz="4" w:space="0" w:color="auto"/>
              <w:bottom w:val="single" w:sz="4" w:space="0" w:color="auto"/>
              <w:right w:val="single" w:sz="4" w:space="0" w:color="auto"/>
            </w:tcBorders>
          </w:tcPr>
          <w:p w:rsidR="00803D84" w:rsidRPr="004837FB"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1</w:t>
            </w:r>
          </w:p>
        </w:tc>
        <w:tc>
          <w:tcPr>
            <w:tcW w:w="1087"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B7535A">
            <w:pPr>
              <w:spacing w:line="480" w:lineRule="auto"/>
              <w:jc w:val="center"/>
              <w:rPr>
                <w:rFonts w:ascii="Arial" w:hAnsi="Arial" w:cs="Arial"/>
                <w:color w:val="000000"/>
                <w:sz w:val="20"/>
                <w:szCs w:val="20"/>
              </w:rPr>
            </w:pPr>
            <w:r w:rsidRPr="004837FB">
              <w:rPr>
                <w:rFonts w:ascii="Arial" w:hAnsi="Arial" w:cs="Arial"/>
                <w:color w:val="000000"/>
                <w:sz w:val="20"/>
                <w:szCs w:val="20"/>
              </w:rPr>
              <w:t>0</w:t>
            </w:r>
            <w:r>
              <w:rPr>
                <w:rFonts w:ascii="Arial" w:hAnsi="Arial" w:cs="Arial"/>
                <w:color w:val="000000"/>
                <w:sz w:val="20"/>
                <w:szCs w:val="20"/>
              </w:rPr>
              <w:t>·</w:t>
            </w:r>
            <w:r w:rsidRPr="004837FB">
              <w:rPr>
                <w:rFonts w:ascii="Arial" w:hAnsi="Arial" w:cs="Arial"/>
                <w:color w:val="000000"/>
                <w:sz w:val="20"/>
                <w:szCs w:val="20"/>
              </w:rPr>
              <w:t>3</w:t>
            </w:r>
            <w:r>
              <w:rPr>
                <w:rFonts w:ascii="Arial" w:hAnsi="Arial" w:cs="Arial"/>
                <w:color w:val="000000"/>
                <w:sz w:val="20"/>
                <w:szCs w:val="20"/>
              </w:rPr>
              <w:t>4</w:t>
            </w:r>
          </w:p>
        </w:tc>
        <w:tc>
          <w:tcPr>
            <w:tcW w:w="1276" w:type="dxa"/>
            <w:tcBorders>
              <w:top w:val="single" w:sz="4" w:space="0" w:color="auto"/>
              <w:left w:val="nil"/>
              <w:bottom w:val="single" w:sz="4" w:space="0" w:color="auto"/>
            </w:tcBorders>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rPr>
              <w:t>(0·03, 3·64</w:t>
            </w:r>
            <w:r w:rsidRPr="004837FB">
              <w:rPr>
                <w:rFonts w:ascii="Arial" w:hAnsi="Arial" w:cs="Arial"/>
                <w:color w:val="000000"/>
                <w:sz w:val="20"/>
                <w:szCs w:val="20"/>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rPr>
              <w:t>0·</w:t>
            </w:r>
            <w:r w:rsidRPr="004837FB">
              <w:rPr>
                <w:rFonts w:ascii="Arial" w:hAnsi="Arial" w:cs="Arial"/>
                <w:color w:val="000000"/>
                <w:sz w:val="20"/>
                <w:szCs w:val="20"/>
              </w:rPr>
              <w:t>1</w:t>
            </w:r>
            <w:r>
              <w:rPr>
                <w:rFonts w:ascii="Arial" w:hAnsi="Arial" w:cs="Arial"/>
                <w:color w:val="000000"/>
                <w:sz w:val="20"/>
                <w:szCs w:val="20"/>
              </w:rPr>
              <w:t>4</w:t>
            </w:r>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sidRPr="004837FB">
              <w:rPr>
                <w:rFonts w:ascii="Arial" w:hAnsi="Arial" w:cs="Arial"/>
                <w:color w:val="000000"/>
                <w:sz w:val="20"/>
                <w:szCs w:val="20"/>
              </w:rPr>
              <w:t>0</w:t>
            </w:r>
            <w:r>
              <w:rPr>
                <w:rFonts w:ascii="Arial" w:hAnsi="Arial" w:cs="Arial"/>
                <w:color w:val="000000"/>
                <w:sz w:val="20"/>
                <w:szCs w:val="20"/>
              </w:rPr>
              <w:t>·</w:t>
            </w:r>
            <w:r w:rsidRPr="004837FB">
              <w:rPr>
                <w:rFonts w:ascii="Arial" w:hAnsi="Arial" w:cs="Arial"/>
                <w:color w:val="000000"/>
                <w:sz w:val="20"/>
                <w:szCs w:val="20"/>
              </w:rPr>
              <w:t>37</w:t>
            </w:r>
          </w:p>
        </w:tc>
        <w:tc>
          <w:tcPr>
            <w:tcW w:w="1559" w:type="dxa"/>
            <w:tcBorders>
              <w:top w:val="single" w:sz="4" w:space="0" w:color="auto"/>
              <w:left w:val="nil"/>
              <w:bottom w:val="single" w:sz="4" w:space="0" w:color="auto"/>
            </w:tcBorders>
          </w:tcPr>
          <w:p w:rsidR="00803D84" w:rsidRPr="001D5EA9" w:rsidRDefault="00803D84" w:rsidP="00B7535A">
            <w:pPr>
              <w:spacing w:line="480" w:lineRule="auto"/>
              <w:jc w:val="center"/>
              <w:rPr>
                <w:rFonts w:ascii="Arial" w:hAnsi="Arial" w:cs="Arial"/>
                <w:color w:val="000000"/>
                <w:sz w:val="20"/>
                <w:szCs w:val="20"/>
              </w:rPr>
            </w:pPr>
            <w:r>
              <w:rPr>
                <w:rFonts w:ascii="Arial" w:hAnsi="Arial" w:cs="Arial"/>
                <w:color w:val="000000"/>
                <w:sz w:val="20"/>
                <w:szCs w:val="20"/>
              </w:rPr>
              <w:t>(0·04, 3·91</w:t>
            </w:r>
            <w:r w:rsidRPr="004837FB">
              <w:rPr>
                <w:rFonts w:ascii="Arial" w:hAnsi="Arial" w:cs="Arial"/>
                <w:color w:val="000000"/>
                <w:sz w:val="20"/>
                <w:szCs w:val="20"/>
              </w:rPr>
              <w:t>)</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3D84" w:rsidRPr="001D5EA9" w:rsidRDefault="00803D84" w:rsidP="00340E61">
            <w:pPr>
              <w:spacing w:line="480" w:lineRule="auto"/>
              <w:jc w:val="center"/>
              <w:rPr>
                <w:rFonts w:ascii="Arial" w:hAnsi="Arial" w:cs="Arial"/>
                <w:color w:val="000000"/>
                <w:sz w:val="20"/>
                <w:szCs w:val="20"/>
              </w:rPr>
            </w:pPr>
            <w:r>
              <w:rPr>
                <w:rFonts w:ascii="Arial" w:hAnsi="Arial" w:cs="Arial"/>
                <w:color w:val="000000"/>
                <w:sz w:val="20"/>
                <w:szCs w:val="20"/>
              </w:rPr>
              <w:t>0·</w:t>
            </w:r>
            <w:r w:rsidRPr="004837FB">
              <w:rPr>
                <w:rFonts w:ascii="Arial" w:hAnsi="Arial" w:cs="Arial"/>
                <w:color w:val="000000"/>
                <w:sz w:val="20"/>
                <w:szCs w:val="20"/>
              </w:rPr>
              <w:t>14</w:t>
            </w:r>
          </w:p>
        </w:tc>
      </w:tr>
    </w:tbl>
    <w:p w:rsidR="00803D84" w:rsidRPr="004837FB" w:rsidRDefault="00803D84" w:rsidP="00A63E8E">
      <w:pPr>
        <w:spacing w:line="480" w:lineRule="auto"/>
        <w:rPr>
          <w:rFonts w:ascii="Arial" w:hAnsi="Arial" w:cs="Arial"/>
          <w:sz w:val="20"/>
          <w:szCs w:val="20"/>
        </w:rPr>
      </w:pPr>
      <w:r>
        <w:rPr>
          <w:rFonts w:ascii="Arial" w:hAnsi="Arial" w:cs="Arial"/>
          <w:sz w:val="20"/>
          <w:szCs w:val="20"/>
        </w:rPr>
        <w:t>csHR</w:t>
      </w:r>
      <w:r w:rsidRPr="004837FB">
        <w:rPr>
          <w:rFonts w:ascii="Arial" w:hAnsi="Arial" w:cs="Arial"/>
          <w:sz w:val="20"/>
          <w:szCs w:val="20"/>
        </w:rPr>
        <w:t>: Cause-specific hazard ratios from multivariate Cox model with infection as event of interest and both</w:t>
      </w:r>
      <w:r>
        <w:rPr>
          <w:rFonts w:ascii="Arial" w:hAnsi="Arial" w:cs="Arial"/>
          <w:sz w:val="20"/>
          <w:szCs w:val="20"/>
        </w:rPr>
        <w:t xml:space="preserve"> shunt</w:t>
      </w:r>
      <w:r w:rsidRPr="004837FB">
        <w:rPr>
          <w:rFonts w:ascii="Arial" w:hAnsi="Arial" w:cs="Arial"/>
          <w:sz w:val="20"/>
          <w:szCs w:val="20"/>
        </w:rPr>
        <w:t xml:space="preserve"> and age group as covariates.</w:t>
      </w:r>
    </w:p>
    <w:p w:rsidR="00803D84" w:rsidRPr="004837FB" w:rsidRDefault="00803D84" w:rsidP="00A63E8E">
      <w:pPr>
        <w:spacing w:line="480" w:lineRule="auto"/>
        <w:rPr>
          <w:rFonts w:ascii="Arial" w:hAnsi="Arial" w:cs="Arial"/>
          <w:sz w:val="20"/>
          <w:szCs w:val="20"/>
        </w:rPr>
      </w:pPr>
      <w:r>
        <w:rPr>
          <w:rFonts w:ascii="Arial" w:hAnsi="Arial" w:cs="Arial"/>
          <w:sz w:val="20"/>
          <w:szCs w:val="20"/>
        </w:rPr>
        <w:t>sHR</w:t>
      </w:r>
      <w:r w:rsidRPr="004837FB">
        <w:rPr>
          <w:rFonts w:ascii="Arial" w:hAnsi="Arial" w:cs="Arial"/>
          <w:sz w:val="20"/>
          <w:szCs w:val="20"/>
        </w:rPr>
        <w:t xml:space="preserve">: Sub-distribution hazard ratios from multivariate Fine-Gray model with infection as event of interest, revision not for infection as a competing risk, and both </w:t>
      </w:r>
      <w:r>
        <w:rPr>
          <w:rFonts w:ascii="Arial" w:hAnsi="Arial" w:cs="Arial"/>
          <w:sz w:val="20"/>
          <w:szCs w:val="20"/>
        </w:rPr>
        <w:t xml:space="preserve">shunt </w:t>
      </w:r>
      <w:r w:rsidRPr="004837FB">
        <w:rPr>
          <w:rFonts w:ascii="Arial" w:hAnsi="Arial" w:cs="Arial"/>
          <w:sz w:val="20"/>
          <w:szCs w:val="20"/>
        </w:rPr>
        <w:t>and age group as covariates.</w:t>
      </w:r>
    </w:p>
    <w:p w:rsidR="00803D84" w:rsidRPr="004837FB" w:rsidRDefault="00803D84" w:rsidP="00A63E8E">
      <w:pPr>
        <w:spacing w:line="480" w:lineRule="auto"/>
        <w:rPr>
          <w:rFonts w:ascii="Arial" w:hAnsi="Arial" w:cs="Arial"/>
          <w:sz w:val="20"/>
          <w:szCs w:val="20"/>
        </w:rPr>
      </w:pPr>
      <w:r w:rsidRPr="004837FB">
        <w:rPr>
          <w:rFonts w:ascii="Arial" w:hAnsi="Arial" w:cs="Arial"/>
          <w:sz w:val="20"/>
          <w:szCs w:val="20"/>
        </w:rPr>
        <w:t xml:space="preserve">HR: Hazard ratios from multivariate Cox model with revision/removal as event of interest and both </w:t>
      </w:r>
      <w:r>
        <w:rPr>
          <w:rFonts w:ascii="Arial" w:hAnsi="Arial" w:cs="Arial"/>
          <w:sz w:val="20"/>
          <w:szCs w:val="20"/>
        </w:rPr>
        <w:t>shunt</w:t>
      </w:r>
      <w:r w:rsidRPr="004837FB">
        <w:rPr>
          <w:rFonts w:ascii="Arial" w:hAnsi="Arial" w:cs="Arial"/>
          <w:sz w:val="20"/>
          <w:szCs w:val="20"/>
        </w:rPr>
        <w:t xml:space="preserve"> and age group as covariates.</w:t>
      </w:r>
    </w:p>
    <w:p w:rsidR="00803D84" w:rsidRPr="004837FB" w:rsidRDefault="00803D84" w:rsidP="00A63E8E">
      <w:pPr>
        <w:spacing w:line="480" w:lineRule="auto"/>
        <w:rPr>
          <w:rFonts w:ascii="Arial" w:hAnsi="Arial" w:cs="Arial"/>
          <w:sz w:val="20"/>
          <w:szCs w:val="20"/>
        </w:rPr>
      </w:pPr>
      <w:r w:rsidRPr="004837FB">
        <w:rPr>
          <w:rFonts w:ascii="Arial" w:hAnsi="Arial" w:cs="Arial"/>
          <w:sz w:val="20"/>
          <w:szCs w:val="20"/>
        </w:rPr>
        <w:t>Follow up time (in months) summary statistics: Median; LQ - UQ; Min to Max:</w:t>
      </w:r>
    </w:p>
    <w:p w:rsidR="00803D84" w:rsidRDefault="00803D84" w:rsidP="00A63E8E">
      <w:pPr>
        <w:spacing w:line="480" w:lineRule="auto"/>
        <w:rPr>
          <w:rFonts w:ascii="Arial" w:hAnsi="Arial" w:cs="Arial"/>
          <w:sz w:val="20"/>
          <w:szCs w:val="20"/>
        </w:rPr>
      </w:pPr>
      <w:r w:rsidRPr="00FE2B1F">
        <w:rPr>
          <w:sz w:val="20"/>
          <w:szCs w:val="20"/>
        </w:rPr>
        <w:tab/>
      </w:r>
      <w:r>
        <w:rPr>
          <w:sz w:val="20"/>
          <w:szCs w:val="20"/>
          <w:vertAlign w:val="superscript"/>
        </w:rPr>
        <w:t>1</w:t>
      </w:r>
      <w:r w:rsidRPr="00FE2B1F">
        <w:rPr>
          <w:rFonts w:ascii="Arial" w:hAnsi="Arial" w:cs="Arial"/>
          <w:sz w:val="20"/>
          <w:szCs w:val="20"/>
        </w:rPr>
        <w:t>Follow up time</w:t>
      </w:r>
      <w:r>
        <w:rPr>
          <w:rFonts w:ascii="Arial" w:hAnsi="Arial" w:cs="Arial"/>
          <w:sz w:val="20"/>
          <w:szCs w:val="20"/>
        </w:rPr>
        <w:t xml:space="preserve"> from first shunt</w:t>
      </w:r>
      <w:r w:rsidRPr="00FE2B1F">
        <w:rPr>
          <w:rFonts w:ascii="Arial" w:hAnsi="Arial" w:cs="Arial"/>
          <w:sz w:val="20"/>
          <w:szCs w:val="20"/>
        </w:rPr>
        <w:t xml:space="preserve"> 22; 10-24</w:t>
      </w:r>
      <w:r>
        <w:rPr>
          <w:rFonts w:ascii="Arial" w:hAnsi="Arial" w:cs="Arial"/>
          <w:sz w:val="20"/>
          <w:szCs w:val="20"/>
        </w:rPr>
        <w:t xml:space="preserve">; 0 to 24. </w:t>
      </w:r>
    </w:p>
    <w:p w:rsidR="00803D84" w:rsidRDefault="00803D84" w:rsidP="00A63E8E">
      <w:pPr>
        <w:spacing w:line="480" w:lineRule="auto"/>
        <w:jc w:val="both"/>
        <w:rPr>
          <w:rFonts w:ascii="Calibri" w:hAnsi="Calibri" w:cs="Calibri"/>
          <w:sz w:val="22"/>
          <w:szCs w:val="22"/>
        </w:rPr>
      </w:pPr>
      <w:r w:rsidRPr="00893D85">
        <w:rPr>
          <w:sz w:val="20"/>
          <w:szCs w:val="20"/>
        </w:rPr>
        <w:tab/>
      </w:r>
      <w:r>
        <w:rPr>
          <w:sz w:val="20"/>
          <w:szCs w:val="20"/>
          <w:vertAlign w:val="superscript"/>
        </w:rPr>
        <w:t>2</w:t>
      </w:r>
      <w:r w:rsidRPr="00893D85">
        <w:rPr>
          <w:rFonts w:ascii="Arial" w:hAnsi="Arial" w:cs="Arial"/>
          <w:sz w:val="20"/>
          <w:szCs w:val="20"/>
        </w:rPr>
        <w:t xml:space="preserve">Follow up time </w:t>
      </w:r>
      <w:r>
        <w:rPr>
          <w:rFonts w:ascii="Arial" w:hAnsi="Arial" w:cs="Arial"/>
          <w:sz w:val="20"/>
          <w:szCs w:val="20"/>
        </w:rPr>
        <w:t>from second shunt following clean revision</w:t>
      </w:r>
      <w:r w:rsidRPr="00893D85">
        <w:rPr>
          <w:rFonts w:ascii="Arial" w:hAnsi="Arial" w:cs="Arial"/>
          <w:sz w:val="20"/>
          <w:szCs w:val="20"/>
        </w:rPr>
        <w:t xml:space="preserve">: </w:t>
      </w:r>
      <w:r>
        <w:rPr>
          <w:rFonts w:ascii="Arial" w:hAnsi="Arial" w:cs="Arial"/>
          <w:sz w:val="20"/>
          <w:szCs w:val="20"/>
        </w:rPr>
        <w:t>9</w:t>
      </w:r>
      <w:r w:rsidRPr="00893D85">
        <w:rPr>
          <w:rFonts w:ascii="Arial" w:hAnsi="Arial" w:cs="Arial"/>
          <w:sz w:val="20"/>
          <w:szCs w:val="20"/>
        </w:rPr>
        <w:t xml:space="preserve">; </w:t>
      </w:r>
      <w:r>
        <w:rPr>
          <w:rFonts w:ascii="Arial" w:hAnsi="Arial" w:cs="Arial"/>
          <w:sz w:val="20"/>
          <w:szCs w:val="20"/>
        </w:rPr>
        <w:t>2</w:t>
      </w:r>
      <w:r w:rsidRPr="00893D85">
        <w:rPr>
          <w:rFonts w:ascii="Arial" w:hAnsi="Arial" w:cs="Arial"/>
          <w:sz w:val="20"/>
          <w:szCs w:val="20"/>
        </w:rPr>
        <w:t>-</w:t>
      </w:r>
      <w:r>
        <w:rPr>
          <w:rFonts w:ascii="Arial" w:hAnsi="Arial" w:cs="Arial"/>
          <w:sz w:val="20"/>
          <w:szCs w:val="20"/>
        </w:rPr>
        <w:t>19; 0 to 24.</w:t>
      </w:r>
    </w:p>
    <w:p w:rsidR="000B0906" w:rsidRDefault="000B0906">
      <w:bookmarkStart w:id="29" w:name="_GoBack"/>
      <w:bookmarkEnd w:id="29"/>
    </w:p>
    <w:sectPr w:rsidR="000B0906" w:rsidSect="008F1F99">
      <w:pgSz w:w="16820" w:h="11900"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51" w:rsidRDefault="00803D84" w:rsidP="00A4214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3951" w:rsidRDefault="00803D84" w:rsidP="00414F63">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7377"/>
    <w:multiLevelType w:val="multilevel"/>
    <w:tmpl w:val="9C027D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71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03D84"/>
    <w:rsid w:val="000B0906"/>
    <w:rsid w:val="00803D84"/>
    <w:rsid w:val="00D51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19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84"/>
    <w:rPr>
      <w:rFonts w:ascii="Cambria" w:eastAsia="Times New Roman" w:hAnsi="Cambria" w:cs="Cambria"/>
    </w:rPr>
  </w:style>
  <w:style w:type="paragraph" w:styleId="Heading1">
    <w:name w:val="heading 1"/>
    <w:aliases w:val="Heading 1 SOP"/>
    <w:basedOn w:val="Normal"/>
    <w:next w:val="BodyText"/>
    <w:link w:val="Heading1Char"/>
    <w:autoRedefine/>
    <w:uiPriority w:val="1"/>
    <w:qFormat/>
    <w:rsid w:val="00803D84"/>
    <w:pPr>
      <w:numPr>
        <w:numId w:val="1"/>
      </w:numPr>
      <w:tabs>
        <w:tab w:val="center" w:pos="4153"/>
        <w:tab w:val="right" w:pos="8306"/>
      </w:tabs>
      <w:spacing w:before="240" w:after="120"/>
      <w:outlineLvl w:val="0"/>
    </w:pPr>
    <w:rPr>
      <w:rFonts w:ascii="Arial" w:hAnsi="Arial" w:cs="Arial"/>
      <w:b/>
      <w:sz w:val="28"/>
    </w:rPr>
  </w:style>
  <w:style w:type="paragraph" w:styleId="Heading2">
    <w:name w:val="heading 2"/>
    <w:aliases w:val="Heading 2 SOP"/>
    <w:basedOn w:val="Normal"/>
    <w:next w:val="BodyText"/>
    <w:link w:val="Heading2Char"/>
    <w:autoRedefine/>
    <w:uiPriority w:val="1"/>
    <w:qFormat/>
    <w:rsid w:val="00803D84"/>
    <w:pPr>
      <w:keepNext/>
      <w:keepLines/>
      <w:numPr>
        <w:ilvl w:val="1"/>
        <w:numId w:val="1"/>
      </w:numPr>
      <w:spacing w:before="200" w:after="120"/>
      <w:jc w:val="both"/>
      <w:outlineLvl w:val="1"/>
    </w:pPr>
    <w:rPr>
      <w:rFonts w:ascii="Arial" w:hAnsi="Arial" w:cs="Times New Roman"/>
      <w:b/>
      <w:bCs/>
      <w:sz w:val="26"/>
      <w:szCs w:val="20"/>
    </w:rPr>
  </w:style>
  <w:style w:type="paragraph" w:styleId="Heading3">
    <w:name w:val="heading 3"/>
    <w:aliases w:val="Heading 3 SOP"/>
    <w:basedOn w:val="Normal"/>
    <w:next w:val="Normal"/>
    <w:link w:val="Heading3Char"/>
    <w:autoRedefine/>
    <w:uiPriority w:val="1"/>
    <w:qFormat/>
    <w:rsid w:val="00803D84"/>
    <w:pPr>
      <w:keepNext/>
      <w:numPr>
        <w:ilvl w:val="2"/>
        <w:numId w:val="1"/>
      </w:numPr>
      <w:spacing w:before="200" w:after="120"/>
      <w:jc w:val="both"/>
      <w:outlineLvl w:val="2"/>
    </w:pPr>
    <w:rPr>
      <w:rFonts w:ascii="Arial" w:hAnsi="Arial" w:cs="Times New Roman"/>
      <w:b/>
      <w:bCs/>
      <w:sz w:val="22"/>
    </w:rPr>
  </w:style>
  <w:style w:type="paragraph" w:styleId="Heading4">
    <w:name w:val="heading 4"/>
    <w:aliases w:val="Heading 4 SOP"/>
    <w:basedOn w:val="Normal"/>
    <w:next w:val="Normal"/>
    <w:link w:val="Heading4Char"/>
    <w:autoRedefine/>
    <w:uiPriority w:val="1"/>
    <w:qFormat/>
    <w:rsid w:val="00803D84"/>
    <w:pPr>
      <w:keepNext/>
      <w:numPr>
        <w:ilvl w:val="3"/>
        <w:numId w:val="1"/>
      </w:numPr>
      <w:tabs>
        <w:tab w:val="left" w:pos="0"/>
        <w:tab w:val="left" w:pos="1530"/>
      </w:tabs>
      <w:spacing w:before="200" w:after="120"/>
      <w:jc w:val="both"/>
      <w:outlineLvl w:val="3"/>
    </w:pPr>
    <w:rPr>
      <w:rFonts w:ascii="Arial" w:hAnsi="Arial" w:cs="Times New Roman"/>
      <w:b/>
      <w:sz w:val="22"/>
    </w:rPr>
  </w:style>
  <w:style w:type="paragraph" w:styleId="Heading5">
    <w:name w:val="heading 5"/>
    <w:basedOn w:val="Normal"/>
    <w:next w:val="Normal"/>
    <w:link w:val="Heading5Char"/>
    <w:uiPriority w:val="1"/>
    <w:qFormat/>
    <w:rsid w:val="00803D84"/>
    <w:pPr>
      <w:keepNext/>
      <w:numPr>
        <w:ilvl w:val="4"/>
        <w:numId w:val="1"/>
      </w:numPr>
      <w:jc w:val="center"/>
      <w:outlineLvl w:val="4"/>
    </w:pPr>
    <w:rPr>
      <w:rFonts w:ascii="Arial" w:hAnsi="Arial" w:cs="Times New Roman"/>
      <w:b/>
      <w:bCs/>
      <w:sz w:val="32"/>
    </w:rPr>
  </w:style>
  <w:style w:type="paragraph" w:styleId="Heading6">
    <w:name w:val="heading 6"/>
    <w:basedOn w:val="Normal"/>
    <w:next w:val="Normal"/>
    <w:link w:val="Heading6Char"/>
    <w:uiPriority w:val="9"/>
    <w:qFormat/>
    <w:rsid w:val="00803D84"/>
    <w:pPr>
      <w:keepNext/>
      <w:numPr>
        <w:ilvl w:val="5"/>
        <w:numId w:val="1"/>
      </w:numPr>
      <w:jc w:val="both"/>
      <w:outlineLvl w:val="5"/>
    </w:pPr>
    <w:rPr>
      <w:rFonts w:ascii="Arial" w:hAnsi="Arial" w:cs="Times New Roman"/>
      <w:b/>
      <w:sz w:val="22"/>
    </w:rPr>
  </w:style>
  <w:style w:type="paragraph" w:styleId="Heading7">
    <w:name w:val="heading 7"/>
    <w:basedOn w:val="Normal"/>
    <w:next w:val="Normal"/>
    <w:link w:val="Heading7Char"/>
    <w:uiPriority w:val="9"/>
    <w:qFormat/>
    <w:rsid w:val="00803D84"/>
    <w:pPr>
      <w:keepNext/>
      <w:numPr>
        <w:ilvl w:val="6"/>
        <w:numId w:val="1"/>
      </w:numPr>
      <w:jc w:val="both"/>
      <w:outlineLvl w:val="6"/>
    </w:pPr>
    <w:rPr>
      <w:rFonts w:ascii="Arial" w:hAnsi="Arial" w:cs="Times New Roman"/>
      <w:b/>
      <w:bCs/>
      <w:sz w:val="22"/>
    </w:rPr>
  </w:style>
  <w:style w:type="paragraph" w:styleId="Heading8">
    <w:name w:val="heading 8"/>
    <w:basedOn w:val="Normal"/>
    <w:next w:val="Normal"/>
    <w:link w:val="Heading8Char"/>
    <w:uiPriority w:val="9"/>
    <w:qFormat/>
    <w:rsid w:val="00803D84"/>
    <w:pPr>
      <w:keepNext/>
      <w:numPr>
        <w:ilvl w:val="7"/>
        <w:numId w:val="1"/>
      </w:numPr>
      <w:jc w:val="both"/>
      <w:outlineLvl w:val="7"/>
    </w:pPr>
    <w:rPr>
      <w:rFonts w:ascii="Arial" w:hAnsi="Arial" w:cs="Times New Roman"/>
      <w:b/>
      <w:bCs/>
      <w:sz w:val="22"/>
    </w:rPr>
  </w:style>
  <w:style w:type="paragraph" w:styleId="Heading9">
    <w:name w:val="heading 9"/>
    <w:basedOn w:val="Normal"/>
    <w:next w:val="Normal"/>
    <w:link w:val="Heading9Char"/>
    <w:uiPriority w:val="9"/>
    <w:qFormat/>
    <w:rsid w:val="00803D84"/>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unhideWhenUsed/>
    <w:rsid w:val="00803D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3D84"/>
  </w:style>
  <w:style w:type="character" w:customStyle="1" w:styleId="Heading1Char">
    <w:name w:val="Heading 1 Char"/>
    <w:aliases w:val="Heading 1 SOP Char"/>
    <w:basedOn w:val="DefaultParagraphFont"/>
    <w:link w:val="Heading1"/>
    <w:uiPriority w:val="1"/>
    <w:rsid w:val="00803D84"/>
    <w:rPr>
      <w:rFonts w:ascii="Arial" w:eastAsia="Times New Roman" w:hAnsi="Arial" w:cs="Arial"/>
      <w:b/>
      <w:sz w:val="28"/>
    </w:rPr>
  </w:style>
  <w:style w:type="character" w:customStyle="1" w:styleId="Heading2Char">
    <w:name w:val="Heading 2 Char"/>
    <w:aliases w:val="Heading 2 SOP Char"/>
    <w:basedOn w:val="DefaultParagraphFont"/>
    <w:link w:val="Heading2"/>
    <w:uiPriority w:val="1"/>
    <w:rsid w:val="00803D84"/>
    <w:rPr>
      <w:rFonts w:ascii="Arial" w:eastAsia="Times New Roman" w:hAnsi="Arial" w:cs="Times New Roman"/>
      <w:b/>
      <w:bCs/>
      <w:sz w:val="26"/>
      <w:szCs w:val="20"/>
    </w:rPr>
  </w:style>
  <w:style w:type="character" w:customStyle="1" w:styleId="Heading3Char">
    <w:name w:val="Heading 3 Char"/>
    <w:aliases w:val="Heading 3 SOP Char"/>
    <w:basedOn w:val="DefaultParagraphFont"/>
    <w:link w:val="Heading3"/>
    <w:uiPriority w:val="1"/>
    <w:rsid w:val="00803D84"/>
    <w:rPr>
      <w:rFonts w:ascii="Arial" w:eastAsia="Times New Roman" w:hAnsi="Arial" w:cs="Times New Roman"/>
      <w:b/>
      <w:bCs/>
      <w:sz w:val="22"/>
    </w:rPr>
  </w:style>
  <w:style w:type="character" w:customStyle="1" w:styleId="Heading4Char">
    <w:name w:val="Heading 4 Char"/>
    <w:aliases w:val="Heading 4 SOP Char"/>
    <w:basedOn w:val="DefaultParagraphFont"/>
    <w:link w:val="Heading4"/>
    <w:uiPriority w:val="1"/>
    <w:rsid w:val="00803D84"/>
    <w:rPr>
      <w:rFonts w:ascii="Arial" w:eastAsia="Times New Roman" w:hAnsi="Arial" w:cs="Times New Roman"/>
      <w:b/>
      <w:sz w:val="22"/>
    </w:rPr>
  </w:style>
  <w:style w:type="character" w:customStyle="1" w:styleId="Heading5Char">
    <w:name w:val="Heading 5 Char"/>
    <w:basedOn w:val="DefaultParagraphFont"/>
    <w:link w:val="Heading5"/>
    <w:uiPriority w:val="1"/>
    <w:rsid w:val="00803D84"/>
    <w:rPr>
      <w:rFonts w:ascii="Arial" w:eastAsia="Times New Roman" w:hAnsi="Arial" w:cs="Times New Roman"/>
      <w:b/>
      <w:bCs/>
      <w:sz w:val="32"/>
    </w:rPr>
  </w:style>
  <w:style w:type="character" w:customStyle="1" w:styleId="Heading6Char">
    <w:name w:val="Heading 6 Char"/>
    <w:basedOn w:val="DefaultParagraphFont"/>
    <w:link w:val="Heading6"/>
    <w:uiPriority w:val="9"/>
    <w:rsid w:val="00803D84"/>
    <w:rPr>
      <w:rFonts w:ascii="Arial" w:eastAsia="Times New Roman" w:hAnsi="Arial" w:cs="Times New Roman"/>
      <w:b/>
      <w:sz w:val="22"/>
    </w:rPr>
  </w:style>
  <w:style w:type="character" w:customStyle="1" w:styleId="Heading7Char">
    <w:name w:val="Heading 7 Char"/>
    <w:basedOn w:val="DefaultParagraphFont"/>
    <w:link w:val="Heading7"/>
    <w:uiPriority w:val="9"/>
    <w:rsid w:val="00803D84"/>
    <w:rPr>
      <w:rFonts w:ascii="Arial" w:eastAsia="Times New Roman" w:hAnsi="Arial" w:cs="Times New Roman"/>
      <w:b/>
      <w:bCs/>
      <w:sz w:val="22"/>
    </w:rPr>
  </w:style>
  <w:style w:type="character" w:customStyle="1" w:styleId="Heading8Char">
    <w:name w:val="Heading 8 Char"/>
    <w:basedOn w:val="DefaultParagraphFont"/>
    <w:link w:val="Heading8"/>
    <w:uiPriority w:val="9"/>
    <w:rsid w:val="00803D84"/>
    <w:rPr>
      <w:rFonts w:ascii="Arial" w:eastAsia="Times New Roman" w:hAnsi="Arial" w:cs="Times New Roman"/>
      <w:b/>
      <w:bCs/>
      <w:sz w:val="22"/>
    </w:rPr>
  </w:style>
  <w:style w:type="character" w:customStyle="1" w:styleId="Heading9Char">
    <w:name w:val="Heading 9 Char"/>
    <w:basedOn w:val="DefaultParagraphFont"/>
    <w:link w:val="Heading9"/>
    <w:uiPriority w:val="9"/>
    <w:rsid w:val="00803D84"/>
    <w:rPr>
      <w:rFonts w:ascii="Arial" w:eastAsia="Times New Roman" w:hAnsi="Arial" w:cs="Arial"/>
      <w:sz w:val="22"/>
      <w:szCs w:val="22"/>
    </w:rPr>
  </w:style>
  <w:style w:type="paragraph" w:customStyle="1" w:styleId="Default">
    <w:name w:val="Default"/>
    <w:rsid w:val="00803D84"/>
    <w:pPr>
      <w:widowControl w:val="0"/>
      <w:autoSpaceDE w:val="0"/>
      <w:autoSpaceDN w:val="0"/>
      <w:adjustRightInd w:val="0"/>
    </w:pPr>
    <w:rPr>
      <w:rFonts w:ascii="Arial" w:eastAsia="Times New Roman" w:hAnsi="Arial" w:cs="Arial"/>
      <w:color w:val="000000"/>
      <w:lang w:val="en-US"/>
    </w:rPr>
  </w:style>
  <w:style w:type="paragraph" w:styleId="BalloonText">
    <w:name w:val="Balloon Text"/>
    <w:basedOn w:val="Normal"/>
    <w:link w:val="BalloonTextChar"/>
    <w:uiPriority w:val="99"/>
    <w:semiHidden/>
    <w:rsid w:val="00803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D84"/>
    <w:rPr>
      <w:rFonts w:ascii="Lucida Grande" w:eastAsia="Times New Roman" w:hAnsi="Lucida Grande" w:cs="Lucida Grande"/>
      <w:sz w:val="18"/>
      <w:szCs w:val="18"/>
    </w:rPr>
  </w:style>
  <w:style w:type="character" w:styleId="CommentReference">
    <w:name w:val="annotation reference"/>
    <w:basedOn w:val="DefaultParagraphFont"/>
    <w:uiPriority w:val="99"/>
    <w:semiHidden/>
    <w:rsid w:val="00803D84"/>
    <w:rPr>
      <w:sz w:val="18"/>
      <w:szCs w:val="18"/>
    </w:rPr>
  </w:style>
  <w:style w:type="paragraph" w:styleId="CommentText">
    <w:name w:val="annotation text"/>
    <w:basedOn w:val="Normal"/>
    <w:link w:val="CommentTextChar"/>
    <w:uiPriority w:val="99"/>
    <w:semiHidden/>
    <w:rsid w:val="00803D84"/>
  </w:style>
  <w:style w:type="character" w:customStyle="1" w:styleId="CommentTextChar">
    <w:name w:val="Comment Text Char"/>
    <w:basedOn w:val="DefaultParagraphFont"/>
    <w:link w:val="CommentText"/>
    <w:uiPriority w:val="99"/>
    <w:semiHidden/>
    <w:rsid w:val="00803D84"/>
    <w:rPr>
      <w:rFonts w:ascii="Cambria" w:eastAsia="Times New Roman" w:hAnsi="Cambria" w:cs="Cambria"/>
    </w:rPr>
  </w:style>
  <w:style w:type="paragraph" w:styleId="CommentSubject">
    <w:name w:val="annotation subject"/>
    <w:basedOn w:val="CommentText"/>
    <w:next w:val="CommentText"/>
    <w:link w:val="CommentSubjectChar"/>
    <w:uiPriority w:val="99"/>
    <w:semiHidden/>
    <w:rsid w:val="00803D84"/>
    <w:rPr>
      <w:b/>
      <w:bCs/>
      <w:sz w:val="20"/>
      <w:szCs w:val="20"/>
    </w:rPr>
  </w:style>
  <w:style w:type="character" w:customStyle="1" w:styleId="CommentSubjectChar">
    <w:name w:val="Comment Subject Char"/>
    <w:basedOn w:val="CommentTextChar"/>
    <w:link w:val="CommentSubject"/>
    <w:uiPriority w:val="99"/>
    <w:semiHidden/>
    <w:rsid w:val="00803D84"/>
    <w:rPr>
      <w:rFonts w:ascii="Cambria" w:eastAsia="Times New Roman" w:hAnsi="Cambria" w:cs="Cambria"/>
      <w:b/>
      <w:bCs/>
      <w:sz w:val="20"/>
      <w:szCs w:val="20"/>
    </w:rPr>
  </w:style>
  <w:style w:type="paragraph" w:styleId="Footer">
    <w:name w:val="footer"/>
    <w:basedOn w:val="Normal"/>
    <w:link w:val="FooterChar"/>
    <w:uiPriority w:val="99"/>
    <w:rsid w:val="00803D84"/>
    <w:pPr>
      <w:tabs>
        <w:tab w:val="center" w:pos="4320"/>
        <w:tab w:val="right" w:pos="8640"/>
      </w:tabs>
    </w:pPr>
  </w:style>
  <w:style w:type="character" w:customStyle="1" w:styleId="FooterChar">
    <w:name w:val="Footer Char"/>
    <w:basedOn w:val="DefaultParagraphFont"/>
    <w:link w:val="Footer"/>
    <w:uiPriority w:val="99"/>
    <w:rsid w:val="00803D84"/>
    <w:rPr>
      <w:rFonts w:ascii="Cambria" w:eastAsia="Times New Roman" w:hAnsi="Cambria" w:cs="Cambria"/>
    </w:rPr>
  </w:style>
  <w:style w:type="character" w:styleId="PageNumber">
    <w:name w:val="page number"/>
    <w:basedOn w:val="DefaultParagraphFont"/>
    <w:uiPriority w:val="99"/>
    <w:semiHidden/>
    <w:rsid w:val="00803D84"/>
  </w:style>
  <w:style w:type="paragraph" w:styleId="Header">
    <w:name w:val="header"/>
    <w:basedOn w:val="Normal"/>
    <w:link w:val="HeaderChar"/>
    <w:uiPriority w:val="99"/>
    <w:rsid w:val="00803D84"/>
    <w:pPr>
      <w:tabs>
        <w:tab w:val="center" w:pos="4320"/>
        <w:tab w:val="right" w:pos="8640"/>
      </w:tabs>
    </w:pPr>
  </w:style>
  <w:style w:type="character" w:customStyle="1" w:styleId="HeaderChar">
    <w:name w:val="Header Char"/>
    <w:basedOn w:val="DefaultParagraphFont"/>
    <w:link w:val="Header"/>
    <w:uiPriority w:val="99"/>
    <w:rsid w:val="00803D84"/>
    <w:rPr>
      <w:rFonts w:ascii="Cambria" w:eastAsia="Times New Roman" w:hAnsi="Cambria" w:cs="Cambria"/>
    </w:rPr>
  </w:style>
  <w:style w:type="paragraph" w:styleId="ListParagraph">
    <w:name w:val="List Paragraph"/>
    <w:basedOn w:val="Normal"/>
    <w:uiPriority w:val="1"/>
    <w:qFormat/>
    <w:rsid w:val="00803D84"/>
    <w:pPr>
      <w:ind w:left="720"/>
    </w:pPr>
  </w:style>
  <w:style w:type="character" w:styleId="Hyperlink">
    <w:name w:val="Hyperlink"/>
    <w:basedOn w:val="DefaultParagraphFont"/>
    <w:uiPriority w:val="99"/>
    <w:rsid w:val="00803D84"/>
    <w:rPr>
      <w:color w:val="0000FF"/>
      <w:u w:val="single"/>
    </w:rPr>
  </w:style>
  <w:style w:type="paragraph" w:styleId="Revision">
    <w:name w:val="Revision"/>
    <w:hidden/>
    <w:uiPriority w:val="99"/>
    <w:semiHidden/>
    <w:rsid w:val="00803D84"/>
    <w:rPr>
      <w:rFonts w:ascii="Cambria" w:eastAsia="Times New Roman" w:hAnsi="Cambria" w:cs="Cambria"/>
    </w:rPr>
  </w:style>
  <w:style w:type="paragraph" w:styleId="NormalWeb">
    <w:name w:val="Normal (Web)"/>
    <w:basedOn w:val="Normal"/>
    <w:uiPriority w:val="99"/>
    <w:unhideWhenUsed/>
    <w:rsid w:val="00803D84"/>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803D84"/>
    <w:pPr>
      <w:jc w:val="center"/>
    </w:pPr>
    <w:rPr>
      <w:lang w:val="en-US"/>
    </w:rPr>
  </w:style>
  <w:style w:type="paragraph" w:customStyle="1" w:styleId="EndNoteBibliography">
    <w:name w:val="EndNote Bibliography"/>
    <w:basedOn w:val="Normal"/>
    <w:rsid w:val="00803D84"/>
    <w:pPr>
      <w:jc w:val="both"/>
    </w:pPr>
    <w:rPr>
      <w:lang w:val="en-US"/>
    </w:rPr>
  </w:style>
  <w:style w:type="paragraph" w:styleId="BodyText">
    <w:name w:val="Body Text"/>
    <w:basedOn w:val="Normal"/>
    <w:link w:val="BodyTextChar"/>
    <w:uiPriority w:val="1"/>
    <w:qFormat/>
    <w:rsid w:val="00803D84"/>
    <w:pPr>
      <w:jc w:val="both"/>
    </w:pPr>
    <w:rPr>
      <w:rFonts w:ascii="Arial" w:hAnsi="Arial" w:cs="Times New Roman"/>
      <w:sz w:val="22"/>
    </w:rPr>
  </w:style>
  <w:style w:type="character" w:customStyle="1" w:styleId="BodyTextChar">
    <w:name w:val="Body Text Char"/>
    <w:basedOn w:val="DefaultParagraphFont"/>
    <w:link w:val="BodyText"/>
    <w:uiPriority w:val="1"/>
    <w:rsid w:val="00803D84"/>
    <w:rPr>
      <w:rFonts w:ascii="Arial" w:eastAsia="Times New Roman" w:hAnsi="Arial" w:cs="Times New Roman"/>
      <w:sz w:val="22"/>
    </w:rPr>
  </w:style>
  <w:style w:type="table" w:styleId="TableGrid">
    <w:name w:val="Table Grid"/>
    <w:basedOn w:val="TableNormal"/>
    <w:uiPriority w:val="39"/>
    <w:rsid w:val="00803D84"/>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803D84"/>
    <w:pPr>
      <w:spacing w:line="360" w:lineRule="auto"/>
      <w:ind w:left="2880" w:hanging="2880"/>
      <w:jc w:val="both"/>
    </w:pPr>
    <w:rPr>
      <w:rFonts w:ascii="Arial" w:hAnsi="Arial" w:cs="Times New Roman"/>
      <w:sz w:val="22"/>
    </w:rPr>
  </w:style>
  <w:style w:type="character" w:customStyle="1" w:styleId="BodyTextIndentChar">
    <w:name w:val="Body Text Indent Char"/>
    <w:basedOn w:val="DefaultParagraphFont"/>
    <w:link w:val="BodyTextIndent"/>
    <w:semiHidden/>
    <w:rsid w:val="00803D84"/>
    <w:rPr>
      <w:rFonts w:ascii="Arial" w:eastAsia="Times New Roman" w:hAnsi="Arial" w:cs="Times New Roman"/>
      <w:sz w:val="22"/>
    </w:rPr>
  </w:style>
  <w:style w:type="paragraph" w:styleId="BodyText3">
    <w:name w:val="Body Text 3"/>
    <w:basedOn w:val="Normal"/>
    <w:link w:val="BodyText3Char"/>
    <w:semiHidden/>
    <w:rsid w:val="00803D84"/>
    <w:pPr>
      <w:jc w:val="both"/>
    </w:pPr>
    <w:rPr>
      <w:rFonts w:ascii="Arial" w:hAnsi="Arial" w:cs="Times New Roman"/>
      <w:sz w:val="22"/>
    </w:rPr>
  </w:style>
  <w:style w:type="character" w:customStyle="1" w:styleId="BodyText3Char">
    <w:name w:val="Body Text 3 Char"/>
    <w:basedOn w:val="DefaultParagraphFont"/>
    <w:link w:val="BodyText3"/>
    <w:semiHidden/>
    <w:rsid w:val="00803D84"/>
    <w:rPr>
      <w:rFonts w:ascii="Arial" w:eastAsia="Times New Roman" w:hAnsi="Arial" w:cs="Times New Roman"/>
      <w:sz w:val="22"/>
    </w:rPr>
  </w:style>
  <w:style w:type="paragraph" w:styleId="BodyTextIndent2">
    <w:name w:val="Body Text Indent 2"/>
    <w:basedOn w:val="Normal"/>
    <w:link w:val="BodyTextIndent2Char"/>
    <w:semiHidden/>
    <w:rsid w:val="00803D84"/>
    <w:pPr>
      <w:ind w:left="360"/>
      <w:jc w:val="both"/>
    </w:pPr>
    <w:rPr>
      <w:rFonts w:ascii="Arial" w:hAnsi="Arial" w:cs="Times New Roman"/>
      <w:bCs/>
      <w:sz w:val="22"/>
    </w:rPr>
  </w:style>
  <w:style w:type="character" w:customStyle="1" w:styleId="BodyTextIndent2Char">
    <w:name w:val="Body Text Indent 2 Char"/>
    <w:basedOn w:val="DefaultParagraphFont"/>
    <w:link w:val="BodyTextIndent2"/>
    <w:semiHidden/>
    <w:rsid w:val="00803D84"/>
    <w:rPr>
      <w:rFonts w:ascii="Arial" w:eastAsia="Times New Roman" w:hAnsi="Arial" w:cs="Times New Roman"/>
      <w:bCs/>
      <w:sz w:val="22"/>
    </w:rPr>
  </w:style>
  <w:style w:type="paragraph" w:styleId="BodyText2">
    <w:name w:val="Body Text 2"/>
    <w:basedOn w:val="Normal"/>
    <w:link w:val="BodyText2Char"/>
    <w:semiHidden/>
    <w:rsid w:val="00803D84"/>
    <w:pPr>
      <w:spacing w:after="120" w:line="480" w:lineRule="auto"/>
      <w:jc w:val="both"/>
    </w:pPr>
    <w:rPr>
      <w:rFonts w:ascii="Arial" w:hAnsi="Arial" w:cs="Times New Roman"/>
      <w:sz w:val="22"/>
    </w:rPr>
  </w:style>
  <w:style w:type="character" w:customStyle="1" w:styleId="BodyText2Char">
    <w:name w:val="Body Text 2 Char"/>
    <w:basedOn w:val="DefaultParagraphFont"/>
    <w:link w:val="BodyText2"/>
    <w:semiHidden/>
    <w:rsid w:val="00803D84"/>
    <w:rPr>
      <w:rFonts w:ascii="Arial" w:eastAsia="Times New Roman" w:hAnsi="Arial" w:cs="Times New Roman"/>
      <w:sz w:val="22"/>
    </w:rPr>
  </w:style>
  <w:style w:type="paragraph" w:customStyle="1" w:styleId="default0">
    <w:name w:val="default"/>
    <w:basedOn w:val="Normal"/>
    <w:rsid w:val="00803D84"/>
    <w:pPr>
      <w:autoSpaceDE w:val="0"/>
      <w:autoSpaceDN w:val="0"/>
      <w:jc w:val="both"/>
    </w:pPr>
    <w:rPr>
      <w:rFonts w:ascii="Arial" w:hAnsi="Arial" w:cs="Arial"/>
      <w:color w:val="000000"/>
      <w:sz w:val="22"/>
      <w:lang w:eastAsia="en-GB"/>
    </w:rPr>
  </w:style>
  <w:style w:type="character" w:styleId="FollowedHyperlink">
    <w:name w:val="FollowedHyperlink"/>
    <w:basedOn w:val="DefaultParagraphFont"/>
    <w:uiPriority w:val="99"/>
    <w:semiHidden/>
    <w:rsid w:val="00803D84"/>
    <w:rPr>
      <w:color w:val="800080"/>
      <w:u w:val="single"/>
    </w:rPr>
  </w:style>
  <w:style w:type="paragraph" w:styleId="NoSpacing">
    <w:name w:val="No Spacing"/>
    <w:uiPriority w:val="1"/>
    <w:qFormat/>
    <w:rsid w:val="00803D84"/>
    <w:pPr>
      <w:jc w:val="both"/>
    </w:pPr>
    <w:rPr>
      <w:rFonts w:ascii="Arial" w:eastAsia="Times New Roman" w:hAnsi="Arial" w:cs="Times New Roman"/>
      <w:sz w:val="22"/>
    </w:rPr>
  </w:style>
  <w:style w:type="paragraph" w:styleId="TOC1">
    <w:name w:val="toc 1"/>
    <w:basedOn w:val="Normal"/>
    <w:next w:val="Normal"/>
    <w:autoRedefine/>
    <w:uiPriority w:val="39"/>
    <w:unhideWhenUsed/>
    <w:qFormat/>
    <w:rsid w:val="00803D84"/>
    <w:pPr>
      <w:tabs>
        <w:tab w:val="left" w:pos="440"/>
        <w:tab w:val="right" w:leader="dot" w:pos="9016"/>
      </w:tabs>
      <w:jc w:val="both"/>
    </w:pPr>
    <w:rPr>
      <w:rFonts w:ascii="Arial" w:hAnsi="Arial" w:cs="Times New Roman"/>
      <w:sz w:val="22"/>
    </w:rPr>
  </w:style>
  <w:style w:type="paragraph" w:styleId="TOC2">
    <w:name w:val="toc 2"/>
    <w:basedOn w:val="Normal"/>
    <w:next w:val="Normal"/>
    <w:autoRedefine/>
    <w:uiPriority w:val="39"/>
    <w:unhideWhenUsed/>
    <w:qFormat/>
    <w:rsid w:val="00803D84"/>
    <w:pPr>
      <w:tabs>
        <w:tab w:val="left" w:pos="880"/>
        <w:tab w:val="right" w:leader="dot" w:pos="9016"/>
      </w:tabs>
      <w:ind w:left="238"/>
      <w:jc w:val="both"/>
    </w:pPr>
    <w:rPr>
      <w:rFonts w:ascii="Arial" w:hAnsi="Arial" w:cs="Times New Roman"/>
      <w:sz w:val="22"/>
    </w:rPr>
  </w:style>
  <w:style w:type="paragraph" w:styleId="TOC3">
    <w:name w:val="toc 3"/>
    <w:basedOn w:val="Normal"/>
    <w:next w:val="Normal"/>
    <w:autoRedefine/>
    <w:uiPriority w:val="39"/>
    <w:unhideWhenUsed/>
    <w:qFormat/>
    <w:rsid w:val="00803D84"/>
    <w:pPr>
      <w:tabs>
        <w:tab w:val="left" w:pos="1320"/>
        <w:tab w:val="right" w:leader="dot" w:pos="9016"/>
      </w:tabs>
      <w:spacing w:line="276" w:lineRule="auto"/>
      <w:ind w:left="442"/>
      <w:jc w:val="both"/>
    </w:pPr>
    <w:rPr>
      <w:rFonts w:ascii="Arial" w:hAnsi="Arial" w:cs="Times New Roman"/>
      <w:sz w:val="22"/>
      <w:szCs w:val="22"/>
      <w:lang w:val="en-US"/>
    </w:rPr>
  </w:style>
  <w:style w:type="paragraph" w:styleId="Title">
    <w:name w:val="Title"/>
    <w:basedOn w:val="Normal"/>
    <w:next w:val="Normal"/>
    <w:link w:val="TitleChar"/>
    <w:uiPriority w:val="10"/>
    <w:qFormat/>
    <w:rsid w:val="00803D84"/>
    <w:pPr>
      <w:jc w:val="both"/>
    </w:pPr>
    <w:rPr>
      <w:rFonts w:ascii="Arial" w:hAnsi="Arial" w:cs="Times New Roman"/>
      <w:b/>
      <w:sz w:val="32"/>
      <w:szCs w:val="32"/>
    </w:rPr>
  </w:style>
  <w:style w:type="character" w:customStyle="1" w:styleId="TitleChar">
    <w:name w:val="Title Char"/>
    <w:basedOn w:val="DefaultParagraphFont"/>
    <w:link w:val="Title"/>
    <w:uiPriority w:val="10"/>
    <w:rsid w:val="00803D84"/>
    <w:rPr>
      <w:rFonts w:ascii="Arial" w:eastAsia="Times New Roman" w:hAnsi="Arial" w:cs="Times New Roman"/>
      <w:b/>
      <w:sz w:val="32"/>
      <w:szCs w:val="32"/>
    </w:rPr>
  </w:style>
  <w:style w:type="character" w:customStyle="1" w:styleId="xdtextbox1">
    <w:name w:val="xdtextbox1"/>
    <w:basedOn w:val="DefaultParagraphFont"/>
    <w:rsid w:val="00803D84"/>
    <w:rPr>
      <w:color w:val="auto"/>
      <w:bdr w:val="single" w:sz="8" w:space="1" w:color="DCDCDC" w:frame="1"/>
      <w:shd w:val="clear" w:color="auto" w:fill="FFFFFF"/>
    </w:rPr>
  </w:style>
  <w:style w:type="paragraph" w:styleId="DocumentMap">
    <w:name w:val="Document Map"/>
    <w:basedOn w:val="Normal"/>
    <w:link w:val="DocumentMapChar"/>
    <w:uiPriority w:val="99"/>
    <w:semiHidden/>
    <w:unhideWhenUsed/>
    <w:rsid w:val="00803D84"/>
    <w:pPr>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3D84"/>
    <w:rPr>
      <w:rFonts w:ascii="Tahoma" w:eastAsia="Times New Roman" w:hAnsi="Tahoma" w:cs="Tahoma"/>
      <w:sz w:val="16"/>
      <w:szCs w:val="16"/>
    </w:rPr>
  </w:style>
  <w:style w:type="character" w:styleId="PlaceholderText">
    <w:name w:val="Placeholder Text"/>
    <w:basedOn w:val="DefaultParagraphFont"/>
    <w:uiPriority w:val="99"/>
    <w:semiHidden/>
    <w:rsid w:val="00803D84"/>
    <w:rPr>
      <w:color w:val="808080"/>
    </w:rPr>
  </w:style>
  <w:style w:type="paragraph" w:styleId="TOCHeading">
    <w:name w:val="TOC Heading"/>
    <w:basedOn w:val="Heading1"/>
    <w:next w:val="Normal"/>
    <w:uiPriority w:val="39"/>
    <w:unhideWhenUsed/>
    <w:qFormat/>
    <w:rsid w:val="00803D84"/>
    <w:pPr>
      <w:keepNext/>
      <w:keepLines/>
      <w:numPr>
        <w:numId w:val="0"/>
      </w:numPr>
      <w:tabs>
        <w:tab w:val="clear" w:pos="4153"/>
        <w:tab w:val="clear" w:pos="8306"/>
      </w:tabs>
      <w:spacing w:before="480" w:after="0" w:line="276" w:lineRule="auto"/>
      <w:outlineLvl w:val="9"/>
    </w:pPr>
    <w:rPr>
      <w:rFonts w:asciiTheme="majorHAnsi" w:eastAsiaTheme="majorEastAsia" w:hAnsiTheme="majorHAnsi" w:cstheme="majorBidi"/>
      <w:bCs/>
      <w:color w:val="365F91" w:themeColor="accent1" w:themeShade="BF"/>
      <w:szCs w:val="28"/>
      <w:lang w:val="en-US"/>
    </w:rPr>
  </w:style>
  <w:style w:type="paragraph" w:styleId="Caption">
    <w:name w:val="caption"/>
    <w:basedOn w:val="Normal"/>
    <w:next w:val="Normal"/>
    <w:uiPriority w:val="35"/>
    <w:unhideWhenUsed/>
    <w:qFormat/>
    <w:rsid w:val="00803D84"/>
    <w:pPr>
      <w:spacing w:after="200"/>
      <w:jc w:val="both"/>
    </w:pPr>
    <w:rPr>
      <w:rFonts w:ascii="Arial" w:hAnsi="Arial" w:cs="Times New Roman"/>
      <w:b/>
      <w:bCs/>
      <w:color w:val="4F81BD" w:themeColor="accent1"/>
      <w:sz w:val="18"/>
      <w:szCs w:val="18"/>
    </w:rPr>
  </w:style>
  <w:style w:type="paragraph" w:styleId="TableofFigures">
    <w:name w:val="table of figures"/>
    <w:basedOn w:val="Normal"/>
    <w:next w:val="Normal"/>
    <w:uiPriority w:val="99"/>
    <w:unhideWhenUsed/>
    <w:rsid w:val="00803D84"/>
    <w:pPr>
      <w:jc w:val="both"/>
    </w:pPr>
    <w:rPr>
      <w:rFonts w:ascii="Arial" w:hAnsi="Arial" w:cs="Times New Roman"/>
      <w:sz w:val="22"/>
    </w:rPr>
  </w:style>
  <w:style w:type="paragraph" w:customStyle="1" w:styleId="msonormal0">
    <w:name w:val="msonormal"/>
    <w:basedOn w:val="Normal"/>
    <w:rsid w:val="00803D84"/>
    <w:pPr>
      <w:spacing w:before="100" w:beforeAutospacing="1" w:after="100" w:afterAutospacing="1"/>
    </w:pPr>
    <w:rPr>
      <w:rFonts w:ascii="Times New Roman" w:hAnsi="Times New Roman" w:cs="Times New Roman"/>
      <w:lang w:eastAsia="en-GB"/>
    </w:rPr>
  </w:style>
  <w:style w:type="paragraph" w:customStyle="1" w:styleId="xl63">
    <w:name w:val="xl63"/>
    <w:basedOn w:val="Normal"/>
    <w:rsid w:val="00803D8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lang w:eastAsia="en-GB"/>
    </w:rPr>
  </w:style>
  <w:style w:type="paragraph" w:customStyle="1" w:styleId="xl64">
    <w:name w:val="xl64"/>
    <w:basedOn w:val="Normal"/>
    <w:rsid w:val="00803D84"/>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lang w:eastAsia="en-GB"/>
    </w:rPr>
  </w:style>
  <w:style w:type="paragraph" w:customStyle="1" w:styleId="xl65">
    <w:name w:val="xl65"/>
    <w:basedOn w:val="Normal"/>
    <w:rsid w:val="00803D84"/>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lang w:eastAsia="en-GB"/>
    </w:rPr>
  </w:style>
  <w:style w:type="paragraph" w:customStyle="1" w:styleId="xl66">
    <w:name w:val="xl66"/>
    <w:basedOn w:val="Normal"/>
    <w:rsid w:val="00803D84"/>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top"/>
    </w:pPr>
    <w:rPr>
      <w:rFonts w:ascii="Times New Roman" w:hAnsi="Times New Roman" w:cs="Times New Roman"/>
      <w:b/>
      <w:bCs/>
      <w:lang w:eastAsia="en-GB"/>
    </w:rPr>
  </w:style>
  <w:style w:type="paragraph" w:customStyle="1" w:styleId="xl67">
    <w:name w:val="xl67"/>
    <w:basedOn w:val="Normal"/>
    <w:rsid w:val="00803D84"/>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lang w:eastAsia="en-GB"/>
    </w:rPr>
  </w:style>
  <w:style w:type="paragraph" w:customStyle="1" w:styleId="xl68">
    <w:name w:val="xl68"/>
    <w:basedOn w:val="Normal"/>
    <w:rsid w:val="00803D84"/>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Times New Roman" w:hAnsi="Times New Roman" w:cs="Times New Roman"/>
      <w:lang w:eastAsia="en-GB"/>
    </w:rPr>
  </w:style>
  <w:style w:type="paragraph" w:customStyle="1" w:styleId="xl69">
    <w:name w:val="xl69"/>
    <w:basedOn w:val="Normal"/>
    <w:rsid w:val="00803D84"/>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Times New Roman" w:hAnsi="Times New Roman" w:cs="Times New Roman"/>
      <w:lang w:eastAsia="en-GB"/>
    </w:rPr>
  </w:style>
  <w:style w:type="paragraph" w:customStyle="1" w:styleId="xl70">
    <w:name w:val="xl70"/>
    <w:basedOn w:val="Normal"/>
    <w:rsid w:val="00803D84"/>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Times New Roman" w:hAnsi="Times New Roman" w:cs="Times New Roman"/>
      <w:lang w:eastAsia="en-GB"/>
    </w:rPr>
  </w:style>
  <w:style w:type="paragraph" w:customStyle="1" w:styleId="xl71">
    <w:name w:val="xl71"/>
    <w:basedOn w:val="Normal"/>
    <w:rsid w:val="00803D84"/>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rFonts w:ascii="Times New Roman" w:hAnsi="Times New Roman" w:cs="Times New Roman"/>
      <w:lang w:eastAsia="en-GB"/>
    </w:rPr>
  </w:style>
  <w:style w:type="character" w:styleId="Emphasis">
    <w:name w:val="Emphasis"/>
    <w:basedOn w:val="DefaultParagraphFont"/>
    <w:qFormat/>
    <w:rsid w:val="00803D84"/>
    <w:rPr>
      <w:i/>
      <w:iCs/>
    </w:rPr>
  </w:style>
  <w:style w:type="paragraph" w:customStyle="1" w:styleId="TableParagraph">
    <w:name w:val="Table Paragraph"/>
    <w:basedOn w:val="Normal"/>
    <w:uiPriority w:val="1"/>
    <w:qFormat/>
    <w:rsid w:val="00803D84"/>
    <w:pPr>
      <w:widowControl w:val="0"/>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803D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84"/>
    <w:rPr>
      <w:rFonts w:ascii="Cambria" w:eastAsia="Times New Roman" w:hAnsi="Cambria" w:cs="Cambria"/>
    </w:rPr>
  </w:style>
  <w:style w:type="paragraph" w:styleId="Heading1">
    <w:name w:val="heading 1"/>
    <w:aliases w:val="Heading 1 SOP"/>
    <w:basedOn w:val="Normal"/>
    <w:next w:val="BodyText"/>
    <w:link w:val="Heading1Char"/>
    <w:autoRedefine/>
    <w:uiPriority w:val="1"/>
    <w:qFormat/>
    <w:rsid w:val="00803D84"/>
    <w:pPr>
      <w:numPr>
        <w:numId w:val="1"/>
      </w:numPr>
      <w:tabs>
        <w:tab w:val="center" w:pos="4153"/>
        <w:tab w:val="right" w:pos="8306"/>
      </w:tabs>
      <w:spacing w:before="240" w:after="120"/>
      <w:outlineLvl w:val="0"/>
    </w:pPr>
    <w:rPr>
      <w:rFonts w:ascii="Arial" w:hAnsi="Arial" w:cs="Arial"/>
      <w:b/>
      <w:sz w:val="28"/>
    </w:rPr>
  </w:style>
  <w:style w:type="paragraph" w:styleId="Heading2">
    <w:name w:val="heading 2"/>
    <w:aliases w:val="Heading 2 SOP"/>
    <w:basedOn w:val="Normal"/>
    <w:next w:val="BodyText"/>
    <w:link w:val="Heading2Char"/>
    <w:autoRedefine/>
    <w:uiPriority w:val="1"/>
    <w:qFormat/>
    <w:rsid w:val="00803D84"/>
    <w:pPr>
      <w:keepNext/>
      <w:keepLines/>
      <w:numPr>
        <w:ilvl w:val="1"/>
        <w:numId w:val="1"/>
      </w:numPr>
      <w:spacing w:before="200" w:after="120"/>
      <w:jc w:val="both"/>
      <w:outlineLvl w:val="1"/>
    </w:pPr>
    <w:rPr>
      <w:rFonts w:ascii="Arial" w:hAnsi="Arial" w:cs="Times New Roman"/>
      <w:b/>
      <w:bCs/>
      <w:sz w:val="26"/>
      <w:szCs w:val="20"/>
    </w:rPr>
  </w:style>
  <w:style w:type="paragraph" w:styleId="Heading3">
    <w:name w:val="heading 3"/>
    <w:aliases w:val="Heading 3 SOP"/>
    <w:basedOn w:val="Normal"/>
    <w:next w:val="Normal"/>
    <w:link w:val="Heading3Char"/>
    <w:autoRedefine/>
    <w:uiPriority w:val="1"/>
    <w:qFormat/>
    <w:rsid w:val="00803D84"/>
    <w:pPr>
      <w:keepNext/>
      <w:numPr>
        <w:ilvl w:val="2"/>
        <w:numId w:val="1"/>
      </w:numPr>
      <w:spacing w:before="200" w:after="120"/>
      <w:jc w:val="both"/>
      <w:outlineLvl w:val="2"/>
    </w:pPr>
    <w:rPr>
      <w:rFonts w:ascii="Arial" w:hAnsi="Arial" w:cs="Times New Roman"/>
      <w:b/>
      <w:bCs/>
      <w:sz w:val="22"/>
    </w:rPr>
  </w:style>
  <w:style w:type="paragraph" w:styleId="Heading4">
    <w:name w:val="heading 4"/>
    <w:aliases w:val="Heading 4 SOP"/>
    <w:basedOn w:val="Normal"/>
    <w:next w:val="Normal"/>
    <w:link w:val="Heading4Char"/>
    <w:autoRedefine/>
    <w:uiPriority w:val="1"/>
    <w:qFormat/>
    <w:rsid w:val="00803D84"/>
    <w:pPr>
      <w:keepNext/>
      <w:numPr>
        <w:ilvl w:val="3"/>
        <w:numId w:val="1"/>
      </w:numPr>
      <w:tabs>
        <w:tab w:val="left" w:pos="0"/>
        <w:tab w:val="left" w:pos="1530"/>
      </w:tabs>
      <w:spacing w:before="200" w:after="120"/>
      <w:jc w:val="both"/>
      <w:outlineLvl w:val="3"/>
    </w:pPr>
    <w:rPr>
      <w:rFonts w:ascii="Arial" w:hAnsi="Arial" w:cs="Times New Roman"/>
      <w:b/>
      <w:sz w:val="22"/>
    </w:rPr>
  </w:style>
  <w:style w:type="paragraph" w:styleId="Heading5">
    <w:name w:val="heading 5"/>
    <w:basedOn w:val="Normal"/>
    <w:next w:val="Normal"/>
    <w:link w:val="Heading5Char"/>
    <w:uiPriority w:val="1"/>
    <w:qFormat/>
    <w:rsid w:val="00803D84"/>
    <w:pPr>
      <w:keepNext/>
      <w:numPr>
        <w:ilvl w:val="4"/>
        <w:numId w:val="1"/>
      </w:numPr>
      <w:jc w:val="center"/>
      <w:outlineLvl w:val="4"/>
    </w:pPr>
    <w:rPr>
      <w:rFonts w:ascii="Arial" w:hAnsi="Arial" w:cs="Times New Roman"/>
      <w:b/>
      <w:bCs/>
      <w:sz w:val="32"/>
    </w:rPr>
  </w:style>
  <w:style w:type="paragraph" w:styleId="Heading6">
    <w:name w:val="heading 6"/>
    <w:basedOn w:val="Normal"/>
    <w:next w:val="Normal"/>
    <w:link w:val="Heading6Char"/>
    <w:uiPriority w:val="9"/>
    <w:qFormat/>
    <w:rsid w:val="00803D84"/>
    <w:pPr>
      <w:keepNext/>
      <w:numPr>
        <w:ilvl w:val="5"/>
        <w:numId w:val="1"/>
      </w:numPr>
      <w:jc w:val="both"/>
      <w:outlineLvl w:val="5"/>
    </w:pPr>
    <w:rPr>
      <w:rFonts w:ascii="Arial" w:hAnsi="Arial" w:cs="Times New Roman"/>
      <w:b/>
      <w:sz w:val="22"/>
    </w:rPr>
  </w:style>
  <w:style w:type="paragraph" w:styleId="Heading7">
    <w:name w:val="heading 7"/>
    <w:basedOn w:val="Normal"/>
    <w:next w:val="Normal"/>
    <w:link w:val="Heading7Char"/>
    <w:uiPriority w:val="9"/>
    <w:qFormat/>
    <w:rsid w:val="00803D84"/>
    <w:pPr>
      <w:keepNext/>
      <w:numPr>
        <w:ilvl w:val="6"/>
        <w:numId w:val="1"/>
      </w:numPr>
      <w:jc w:val="both"/>
      <w:outlineLvl w:val="6"/>
    </w:pPr>
    <w:rPr>
      <w:rFonts w:ascii="Arial" w:hAnsi="Arial" w:cs="Times New Roman"/>
      <w:b/>
      <w:bCs/>
      <w:sz w:val="22"/>
    </w:rPr>
  </w:style>
  <w:style w:type="paragraph" w:styleId="Heading8">
    <w:name w:val="heading 8"/>
    <w:basedOn w:val="Normal"/>
    <w:next w:val="Normal"/>
    <w:link w:val="Heading8Char"/>
    <w:uiPriority w:val="9"/>
    <w:qFormat/>
    <w:rsid w:val="00803D84"/>
    <w:pPr>
      <w:keepNext/>
      <w:numPr>
        <w:ilvl w:val="7"/>
        <w:numId w:val="1"/>
      </w:numPr>
      <w:jc w:val="both"/>
      <w:outlineLvl w:val="7"/>
    </w:pPr>
    <w:rPr>
      <w:rFonts w:ascii="Arial" w:hAnsi="Arial" w:cs="Times New Roman"/>
      <w:b/>
      <w:bCs/>
      <w:sz w:val="22"/>
    </w:rPr>
  </w:style>
  <w:style w:type="paragraph" w:styleId="Heading9">
    <w:name w:val="heading 9"/>
    <w:basedOn w:val="Normal"/>
    <w:next w:val="Normal"/>
    <w:link w:val="Heading9Char"/>
    <w:uiPriority w:val="9"/>
    <w:qFormat/>
    <w:rsid w:val="00803D84"/>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unhideWhenUsed/>
    <w:rsid w:val="00803D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3D84"/>
  </w:style>
  <w:style w:type="character" w:customStyle="1" w:styleId="Heading1Char">
    <w:name w:val="Heading 1 Char"/>
    <w:aliases w:val="Heading 1 SOP Char"/>
    <w:basedOn w:val="DefaultParagraphFont"/>
    <w:link w:val="Heading1"/>
    <w:uiPriority w:val="1"/>
    <w:rsid w:val="00803D84"/>
    <w:rPr>
      <w:rFonts w:ascii="Arial" w:eastAsia="Times New Roman" w:hAnsi="Arial" w:cs="Arial"/>
      <w:b/>
      <w:sz w:val="28"/>
    </w:rPr>
  </w:style>
  <w:style w:type="character" w:customStyle="1" w:styleId="Heading2Char">
    <w:name w:val="Heading 2 Char"/>
    <w:aliases w:val="Heading 2 SOP Char"/>
    <w:basedOn w:val="DefaultParagraphFont"/>
    <w:link w:val="Heading2"/>
    <w:uiPriority w:val="1"/>
    <w:rsid w:val="00803D84"/>
    <w:rPr>
      <w:rFonts w:ascii="Arial" w:eastAsia="Times New Roman" w:hAnsi="Arial" w:cs="Times New Roman"/>
      <w:b/>
      <w:bCs/>
      <w:sz w:val="26"/>
      <w:szCs w:val="20"/>
    </w:rPr>
  </w:style>
  <w:style w:type="character" w:customStyle="1" w:styleId="Heading3Char">
    <w:name w:val="Heading 3 Char"/>
    <w:aliases w:val="Heading 3 SOP Char"/>
    <w:basedOn w:val="DefaultParagraphFont"/>
    <w:link w:val="Heading3"/>
    <w:uiPriority w:val="1"/>
    <w:rsid w:val="00803D84"/>
    <w:rPr>
      <w:rFonts w:ascii="Arial" w:eastAsia="Times New Roman" w:hAnsi="Arial" w:cs="Times New Roman"/>
      <w:b/>
      <w:bCs/>
      <w:sz w:val="22"/>
    </w:rPr>
  </w:style>
  <w:style w:type="character" w:customStyle="1" w:styleId="Heading4Char">
    <w:name w:val="Heading 4 Char"/>
    <w:aliases w:val="Heading 4 SOP Char"/>
    <w:basedOn w:val="DefaultParagraphFont"/>
    <w:link w:val="Heading4"/>
    <w:uiPriority w:val="1"/>
    <w:rsid w:val="00803D84"/>
    <w:rPr>
      <w:rFonts w:ascii="Arial" w:eastAsia="Times New Roman" w:hAnsi="Arial" w:cs="Times New Roman"/>
      <w:b/>
      <w:sz w:val="22"/>
    </w:rPr>
  </w:style>
  <w:style w:type="character" w:customStyle="1" w:styleId="Heading5Char">
    <w:name w:val="Heading 5 Char"/>
    <w:basedOn w:val="DefaultParagraphFont"/>
    <w:link w:val="Heading5"/>
    <w:uiPriority w:val="1"/>
    <w:rsid w:val="00803D84"/>
    <w:rPr>
      <w:rFonts w:ascii="Arial" w:eastAsia="Times New Roman" w:hAnsi="Arial" w:cs="Times New Roman"/>
      <w:b/>
      <w:bCs/>
      <w:sz w:val="32"/>
    </w:rPr>
  </w:style>
  <w:style w:type="character" w:customStyle="1" w:styleId="Heading6Char">
    <w:name w:val="Heading 6 Char"/>
    <w:basedOn w:val="DefaultParagraphFont"/>
    <w:link w:val="Heading6"/>
    <w:uiPriority w:val="9"/>
    <w:rsid w:val="00803D84"/>
    <w:rPr>
      <w:rFonts w:ascii="Arial" w:eastAsia="Times New Roman" w:hAnsi="Arial" w:cs="Times New Roman"/>
      <w:b/>
      <w:sz w:val="22"/>
    </w:rPr>
  </w:style>
  <w:style w:type="character" w:customStyle="1" w:styleId="Heading7Char">
    <w:name w:val="Heading 7 Char"/>
    <w:basedOn w:val="DefaultParagraphFont"/>
    <w:link w:val="Heading7"/>
    <w:uiPriority w:val="9"/>
    <w:rsid w:val="00803D84"/>
    <w:rPr>
      <w:rFonts w:ascii="Arial" w:eastAsia="Times New Roman" w:hAnsi="Arial" w:cs="Times New Roman"/>
      <w:b/>
      <w:bCs/>
      <w:sz w:val="22"/>
    </w:rPr>
  </w:style>
  <w:style w:type="character" w:customStyle="1" w:styleId="Heading8Char">
    <w:name w:val="Heading 8 Char"/>
    <w:basedOn w:val="DefaultParagraphFont"/>
    <w:link w:val="Heading8"/>
    <w:uiPriority w:val="9"/>
    <w:rsid w:val="00803D84"/>
    <w:rPr>
      <w:rFonts w:ascii="Arial" w:eastAsia="Times New Roman" w:hAnsi="Arial" w:cs="Times New Roman"/>
      <w:b/>
      <w:bCs/>
      <w:sz w:val="22"/>
    </w:rPr>
  </w:style>
  <w:style w:type="character" w:customStyle="1" w:styleId="Heading9Char">
    <w:name w:val="Heading 9 Char"/>
    <w:basedOn w:val="DefaultParagraphFont"/>
    <w:link w:val="Heading9"/>
    <w:uiPriority w:val="9"/>
    <w:rsid w:val="00803D84"/>
    <w:rPr>
      <w:rFonts w:ascii="Arial" w:eastAsia="Times New Roman" w:hAnsi="Arial" w:cs="Arial"/>
      <w:sz w:val="22"/>
      <w:szCs w:val="22"/>
    </w:rPr>
  </w:style>
  <w:style w:type="paragraph" w:customStyle="1" w:styleId="Default">
    <w:name w:val="Default"/>
    <w:rsid w:val="00803D84"/>
    <w:pPr>
      <w:widowControl w:val="0"/>
      <w:autoSpaceDE w:val="0"/>
      <w:autoSpaceDN w:val="0"/>
      <w:adjustRightInd w:val="0"/>
    </w:pPr>
    <w:rPr>
      <w:rFonts w:ascii="Arial" w:eastAsia="Times New Roman" w:hAnsi="Arial" w:cs="Arial"/>
      <w:color w:val="000000"/>
      <w:lang w:val="en-US"/>
    </w:rPr>
  </w:style>
  <w:style w:type="paragraph" w:styleId="BalloonText">
    <w:name w:val="Balloon Text"/>
    <w:basedOn w:val="Normal"/>
    <w:link w:val="BalloonTextChar"/>
    <w:uiPriority w:val="99"/>
    <w:semiHidden/>
    <w:rsid w:val="00803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D84"/>
    <w:rPr>
      <w:rFonts w:ascii="Lucida Grande" w:eastAsia="Times New Roman" w:hAnsi="Lucida Grande" w:cs="Lucida Grande"/>
      <w:sz w:val="18"/>
      <w:szCs w:val="18"/>
    </w:rPr>
  </w:style>
  <w:style w:type="character" w:styleId="CommentReference">
    <w:name w:val="annotation reference"/>
    <w:basedOn w:val="DefaultParagraphFont"/>
    <w:uiPriority w:val="99"/>
    <w:semiHidden/>
    <w:rsid w:val="00803D84"/>
    <w:rPr>
      <w:sz w:val="18"/>
      <w:szCs w:val="18"/>
    </w:rPr>
  </w:style>
  <w:style w:type="paragraph" w:styleId="CommentText">
    <w:name w:val="annotation text"/>
    <w:basedOn w:val="Normal"/>
    <w:link w:val="CommentTextChar"/>
    <w:uiPriority w:val="99"/>
    <w:semiHidden/>
    <w:rsid w:val="00803D84"/>
  </w:style>
  <w:style w:type="character" w:customStyle="1" w:styleId="CommentTextChar">
    <w:name w:val="Comment Text Char"/>
    <w:basedOn w:val="DefaultParagraphFont"/>
    <w:link w:val="CommentText"/>
    <w:uiPriority w:val="99"/>
    <w:semiHidden/>
    <w:rsid w:val="00803D84"/>
    <w:rPr>
      <w:rFonts w:ascii="Cambria" w:eastAsia="Times New Roman" w:hAnsi="Cambria" w:cs="Cambria"/>
    </w:rPr>
  </w:style>
  <w:style w:type="paragraph" w:styleId="CommentSubject">
    <w:name w:val="annotation subject"/>
    <w:basedOn w:val="CommentText"/>
    <w:next w:val="CommentText"/>
    <w:link w:val="CommentSubjectChar"/>
    <w:uiPriority w:val="99"/>
    <w:semiHidden/>
    <w:rsid w:val="00803D84"/>
    <w:rPr>
      <w:b/>
      <w:bCs/>
      <w:sz w:val="20"/>
      <w:szCs w:val="20"/>
    </w:rPr>
  </w:style>
  <w:style w:type="character" w:customStyle="1" w:styleId="CommentSubjectChar">
    <w:name w:val="Comment Subject Char"/>
    <w:basedOn w:val="CommentTextChar"/>
    <w:link w:val="CommentSubject"/>
    <w:uiPriority w:val="99"/>
    <w:semiHidden/>
    <w:rsid w:val="00803D84"/>
    <w:rPr>
      <w:rFonts w:ascii="Cambria" w:eastAsia="Times New Roman" w:hAnsi="Cambria" w:cs="Cambria"/>
      <w:b/>
      <w:bCs/>
      <w:sz w:val="20"/>
      <w:szCs w:val="20"/>
    </w:rPr>
  </w:style>
  <w:style w:type="paragraph" w:styleId="Footer">
    <w:name w:val="footer"/>
    <w:basedOn w:val="Normal"/>
    <w:link w:val="FooterChar"/>
    <w:uiPriority w:val="99"/>
    <w:rsid w:val="00803D84"/>
    <w:pPr>
      <w:tabs>
        <w:tab w:val="center" w:pos="4320"/>
        <w:tab w:val="right" w:pos="8640"/>
      </w:tabs>
    </w:pPr>
  </w:style>
  <w:style w:type="character" w:customStyle="1" w:styleId="FooterChar">
    <w:name w:val="Footer Char"/>
    <w:basedOn w:val="DefaultParagraphFont"/>
    <w:link w:val="Footer"/>
    <w:uiPriority w:val="99"/>
    <w:rsid w:val="00803D84"/>
    <w:rPr>
      <w:rFonts w:ascii="Cambria" w:eastAsia="Times New Roman" w:hAnsi="Cambria" w:cs="Cambria"/>
    </w:rPr>
  </w:style>
  <w:style w:type="character" w:styleId="PageNumber">
    <w:name w:val="page number"/>
    <w:basedOn w:val="DefaultParagraphFont"/>
    <w:uiPriority w:val="99"/>
    <w:semiHidden/>
    <w:rsid w:val="00803D84"/>
  </w:style>
  <w:style w:type="paragraph" w:styleId="Header">
    <w:name w:val="header"/>
    <w:basedOn w:val="Normal"/>
    <w:link w:val="HeaderChar"/>
    <w:uiPriority w:val="99"/>
    <w:rsid w:val="00803D84"/>
    <w:pPr>
      <w:tabs>
        <w:tab w:val="center" w:pos="4320"/>
        <w:tab w:val="right" w:pos="8640"/>
      </w:tabs>
    </w:pPr>
  </w:style>
  <w:style w:type="character" w:customStyle="1" w:styleId="HeaderChar">
    <w:name w:val="Header Char"/>
    <w:basedOn w:val="DefaultParagraphFont"/>
    <w:link w:val="Header"/>
    <w:uiPriority w:val="99"/>
    <w:rsid w:val="00803D84"/>
    <w:rPr>
      <w:rFonts w:ascii="Cambria" w:eastAsia="Times New Roman" w:hAnsi="Cambria" w:cs="Cambria"/>
    </w:rPr>
  </w:style>
  <w:style w:type="paragraph" w:styleId="ListParagraph">
    <w:name w:val="List Paragraph"/>
    <w:basedOn w:val="Normal"/>
    <w:uiPriority w:val="1"/>
    <w:qFormat/>
    <w:rsid w:val="00803D84"/>
    <w:pPr>
      <w:ind w:left="720"/>
    </w:pPr>
  </w:style>
  <w:style w:type="character" w:styleId="Hyperlink">
    <w:name w:val="Hyperlink"/>
    <w:basedOn w:val="DefaultParagraphFont"/>
    <w:uiPriority w:val="99"/>
    <w:rsid w:val="00803D84"/>
    <w:rPr>
      <w:color w:val="0000FF"/>
      <w:u w:val="single"/>
    </w:rPr>
  </w:style>
  <w:style w:type="paragraph" w:styleId="Revision">
    <w:name w:val="Revision"/>
    <w:hidden/>
    <w:uiPriority w:val="99"/>
    <w:semiHidden/>
    <w:rsid w:val="00803D84"/>
    <w:rPr>
      <w:rFonts w:ascii="Cambria" w:eastAsia="Times New Roman" w:hAnsi="Cambria" w:cs="Cambria"/>
    </w:rPr>
  </w:style>
  <w:style w:type="paragraph" w:styleId="NormalWeb">
    <w:name w:val="Normal (Web)"/>
    <w:basedOn w:val="Normal"/>
    <w:uiPriority w:val="99"/>
    <w:unhideWhenUsed/>
    <w:rsid w:val="00803D84"/>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803D84"/>
    <w:pPr>
      <w:jc w:val="center"/>
    </w:pPr>
    <w:rPr>
      <w:lang w:val="en-US"/>
    </w:rPr>
  </w:style>
  <w:style w:type="paragraph" w:customStyle="1" w:styleId="EndNoteBibliography">
    <w:name w:val="EndNote Bibliography"/>
    <w:basedOn w:val="Normal"/>
    <w:rsid w:val="00803D84"/>
    <w:pPr>
      <w:jc w:val="both"/>
    </w:pPr>
    <w:rPr>
      <w:lang w:val="en-US"/>
    </w:rPr>
  </w:style>
  <w:style w:type="paragraph" w:styleId="BodyText">
    <w:name w:val="Body Text"/>
    <w:basedOn w:val="Normal"/>
    <w:link w:val="BodyTextChar"/>
    <w:uiPriority w:val="1"/>
    <w:qFormat/>
    <w:rsid w:val="00803D84"/>
    <w:pPr>
      <w:jc w:val="both"/>
    </w:pPr>
    <w:rPr>
      <w:rFonts w:ascii="Arial" w:hAnsi="Arial" w:cs="Times New Roman"/>
      <w:sz w:val="22"/>
    </w:rPr>
  </w:style>
  <w:style w:type="character" w:customStyle="1" w:styleId="BodyTextChar">
    <w:name w:val="Body Text Char"/>
    <w:basedOn w:val="DefaultParagraphFont"/>
    <w:link w:val="BodyText"/>
    <w:uiPriority w:val="1"/>
    <w:rsid w:val="00803D84"/>
    <w:rPr>
      <w:rFonts w:ascii="Arial" w:eastAsia="Times New Roman" w:hAnsi="Arial" w:cs="Times New Roman"/>
      <w:sz w:val="22"/>
    </w:rPr>
  </w:style>
  <w:style w:type="table" w:styleId="TableGrid">
    <w:name w:val="Table Grid"/>
    <w:basedOn w:val="TableNormal"/>
    <w:uiPriority w:val="39"/>
    <w:rsid w:val="00803D84"/>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803D84"/>
    <w:pPr>
      <w:spacing w:line="360" w:lineRule="auto"/>
      <w:ind w:left="2880" w:hanging="2880"/>
      <w:jc w:val="both"/>
    </w:pPr>
    <w:rPr>
      <w:rFonts w:ascii="Arial" w:hAnsi="Arial" w:cs="Times New Roman"/>
      <w:sz w:val="22"/>
    </w:rPr>
  </w:style>
  <w:style w:type="character" w:customStyle="1" w:styleId="BodyTextIndentChar">
    <w:name w:val="Body Text Indent Char"/>
    <w:basedOn w:val="DefaultParagraphFont"/>
    <w:link w:val="BodyTextIndent"/>
    <w:semiHidden/>
    <w:rsid w:val="00803D84"/>
    <w:rPr>
      <w:rFonts w:ascii="Arial" w:eastAsia="Times New Roman" w:hAnsi="Arial" w:cs="Times New Roman"/>
      <w:sz w:val="22"/>
    </w:rPr>
  </w:style>
  <w:style w:type="paragraph" w:styleId="BodyText3">
    <w:name w:val="Body Text 3"/>
    <w:basedOn w:val="Normal"/>
    <w:link w:val="BodyText3Char"/>
    <w:semiHidden/>
    <w:rsid w:val="00803D84"/>
    <w:pPr>
      <w:jc w:val="both"/>
    </w:pPr>
    <w:rPr>
      <w:rFonts w:ascii="Arial" w:hAnsi="Arial" w:cs="Times New Roman"/>
      <w:sz w:val="22"/>
    </w:rPr>
  </w:style>
  <w:style w:type="character" w:customStyle="1" w:styleId="BodyText3Char">
    <w:name w:val="Body Text 3 Char"/>
    <w:basedOn w:val="DefaultParagraphFont"/>
    <w:link w:val="BodyText3"/>
    <w:semiHidden/>
    <w:rsid w:val="00803D84"/>
    <w:rPr>
      <w:rFonts w:ascii="Arial" w:eastAsia="Times New Roman" w:hAnsi="Arial" w:cs="Times New Roman"/>
      <w:sz w:val="22"/>
    </w:rPr>
  </w:style>
  <w:style w:type="paragraph" w:styleId="BodyTextIndent2">
    <w:name w:val="Body Text Indent 2"/>
    <w:basedOn w:val="Normal"/>
    <w:link w:val="BodyTextIndent2Char"/>
    <w:semiHidden/>
    <w:rsid w:val="00803D84"/>
    <w:pPr>
      <w:ind w:left="360"/>
      <w:jc w:val="both"/>
    </w:pPr>
    <w:rPr>
      <w:rFonts w:ascii="Arial" w:hAnsi="Arial" w:cs="Times New Roman"/>
      <w:bCs/>
      <w:sz w:val="22"/>
    </w:rPr>
  </w:style>
  <w:style w:type="character" w:customStyle="1" w:styleId="BodyTextIndent2Char">
    <w:name w:val="Body Text Indent 2 Char"/>
    <w:basedOn w:val="DefaultParagraphFont"/>
    <w:link w:val="BodyTextIndent2"/>
    <w:semiHidden/>
    <w:rsid w:val="00803D84"/>
    <w:rPr>
      <w:rFonts w:ascii="Arial" w:eastAsia="Times New Roman" w:hAnsi="Arial" w:cs="Times New Roman"/>
      <w:bCs/>
      <w:sz w:val="22"/>
    </w:rPr>
  </w:style>
  <w:style w:type="paragraph" w:styleId="BodyText2">
    <w:name w:val="Body Text 2"/>
    <w:basedOn w:val="Normal"/>
    <w:link w:val="BodyText2Char"/>
    <w:semiHidden/>
    <w:rsid w:val="00803D84"/>
    <w:pPr>
      <w:spacing w:after="120" w:line="480" w:lineRule="auto"/>
      <w:jc w:val="both"/>
    </w:pPr>
    <w:rPr>
      <w:rFonts w:ascii="Arial" w:hAnsi="Arial" w:cs="Times New Roman"/>
      <w:sz w:val="22"/>
    </w:rPr>
  </w:style>
  <w:style w:type="character" w:customStyle="1" w:styleId="BodyText2Char">
    <w:name w:val="Body Text 2 Char"/>
    <w:basedOn w:val="DefaultParagraphFont"/>
    <w:link w:val="BodyText2"/>
    <w:semiHidden/>
    <w:rsid w:val="00803D84"/>
    <w:rPr>
      <w:rFonts w:ascii="Arial" w:eastAsia="Times New Roman" w:hAnsi="Arial" w:cs="Times New Roman"/>
      <w:sz w:val="22"/>
    </w:rPr>
  </w:style>
  <w:style w:type="paragraph" w:customStyle="1" w:styleId="default0">
    <w:name w:val="default"/>
    <w:basedOn w:val="Normal"/>
    <w:rsid w:val="00803D84"/>
    <w:pPr>
      <w:autoSpaceDE w:val="0"/>
      <w:autoSpaceDN w:val="0"/>
      <w:jc w:val="both"/>
    </w:pPr>
    <w:rPr>
      <w:rFonts w:ascii="Arial" w:hAnsi="Arial" w:cs="Arial"/>
      <w:color w:val="000000"/>
      <w:sz w:val="22"/>
      <w:lang w:eastAsia="en-GB"/>
    </w:rPr>
  </w:style>
  <w:style w:type="character" w:styleId="FollowedHyperlink">
    <w:name w:val="FollowedHyperlink"/>
    <w:basedOn w:val="DefaultParagraphFont"/>
    <w:uiPriority w:val="99"/>
    <w:semiHidden/>
    <w:rsid w:val="00803D84"/>
    <w:rPr>
      <w:color w:val="800080"/>
      <w:u w:val="single"/>
    </w:rPr>
  </w:style>
  <w:style w:type="paragraph" w:styleId="NoSpacing">
    <w:name w:val="No Spacing"/>
    <w:uiPriority w:val="1"/>
    <w:qFormat/>
    <w:rsid w:val="00803D84"/>
    <w:pPr>
      <w:jc w:val="both"/>
    </w:pPr>
    <w:rPr>
      <w:rFonts w:ascii="Arial" w:eastAsia="Times New Roman" w:hAnsi="Arial" w:cs="Times New Roman"/>
      <w:sz w:val="22"/>
    </w:rPr>
  </w:style>
  <w:style w:type="paragraph" w:styleId="TOC1">
    <w:name w:val="toc 1"/>
    <w:basedOn w:val="Normal"/>
    <w:next w:val="Normal"/>
    <w:autoRedefine/>
    <w:uiPriority w:val="39"/>
    <w:unhideWhenUsed/>
    <w:qFormat/>
    <w:rsid w:val="00803D84"/>
    <w:pPr>
      <w:tabs>
        <w:tab w:val="left" w:pos="440"/>
        <w:tab w:val="right" w:leader="dot" w:pos="9016"/>
      </w:tabs>
      <w:jc w:val="both"/>
    </w:pPr>
    <w:rPr>
      <w:rFonts w:ascii="Arial" w:hAnsi="Arial" w:cs="Times New Roman"/>
      <w:sz w:val="22"/>
    </w:rPr>
  </w:style>
  <w:style w:type="paragraph" w:styleId="TOC2">
    <w:name w:val="toc 2"/>
    <w:basedOn w:val="Normal"/>
    <w:next w:val="Normal"/>
    <w:autoRedefine/>
    <w:uiPriority w:val="39"/>
    <w:unhideWhenUsed/>
    <w:qFormat/>
    <w:rsid w:val="00803D84"/>
    <w:pPr>
      <w:tabs>
        <w:tab w:val="left" w:pos="880"/>
        <w:tab w:val="right" w:leader="dot" w:pos="9016"/>
      </w:tabs>
      <w:ind w:left="238"/>
      <w:jc w:val="both"/>
    </w:pPr>
    <w:rPr>
      <w:rFonts w:ascii="Arial" w:hAnsi="Arial" w:cs="Times New Roman"/>
      <w:sz w:val="22"/>
    </w:rPr>
  </w:style>
  <w:style w:type="paragraph" w:styleId="TOC3">
    <w:name w:val="toc 3"/>
    <w:basedOn w:val="Normal"/>
    <w:next w:val="Normal"/>
    <w:autoRedefine/>
    <w:uiPriority w:val="39"/>
    <w:unhideWhenUsed/>
    <w:qFormat/>
    <w:rsid w:val="00803D84"/>
    <w:pPr>
      <w:tabs>
        <w:tab w:val="left" w:pos="1320"/>
        <w:tab w:val="right" w:leader="dot" w:pos="9016"/>
      </w:tabs>
      <w:spacing w:line="276" w:lineRule="auto"/>
      <w:ind w:left="442"/>
      <w:jc w:val="both"/>
    </w:pPr>
    <w:rPr>
      <w:rFonts w:ascii="Arial" w:hAnsi="Arial" w:cs="Times New Roman"/>
      <w:sz w:val="22"/>
      <w:szCs w:val="22"/>
      <w:lang w:val="en-US"/>
    </w:rPr>
  </w:style>
  <w:style w:type="paragraph" w:styleId="Title">
    <w:name w:val="Title"/>
    <w:basedOn w:val="Normal"/>
    <w:next w:val="Normal"/>
    <w:link w:val="TitleChar"/>
    <w:uiPriority w:val="10"/>
    <w:qFormat/>
    <w:rsid w:val="00803D84"/>
    <w:pPr>
      <w:jc w:val="both"/>
    </w:pPr>
    <w:rPr>
      <w:rFonts w:ascii="Arial" w:hAnsi="Arial" w:cs="Times New Roman"/>
      <w:b/>
      <w:sz w:val="32"/>
      <w:szCs w:val="32"/>
    </w:rPr>
  </w:style>
  <w:style w:type="character" w:customStyle="1" w:styleId="TitleChar">
    <w:name w:val="Title Char"/>
    <w:basedOn w:val="DefaultParagraphFont"/>
    <w:link w:val="Title"/>
    <w:uiPriority w:val="10"/>
    <w:rsid w:val="00803D84"/>
    <w:rPr>
      <w:rFonts w:ascii="Arial" w:eastAsia="Times New Roman" w:hAnsi="Arial" w:cs="Times New Roman"/>
      <w:b/>
      <w:sz w:val="32"/>
      <w:szCs w:val="32"/>
    </w:rPr>
  </w:style>
  <w:style w:type="character" w:customStyle="1" w:styleId="xdtextbox1">
    <w:name w:val="xdtextbox1"/>
    <w:basedOn w:val="DefaultParagraphFont"/>
    <w:rsid w:val="00803D84"/>
    <w:rPr>
      <w:color w:val="auto"/>
      <w:bdr w:val="single" w:sz="8" w:space="1" w:color="DCDCDC" w:frame="1"/>
      <w:shd w:val="clear" w:color="auto" w:fill="FFFFFF"/>
    </w:rPr>
  </w:style>
  <w:style w:type="paragraph" w:styleId="DocumentMap">
    <w:name w:val="Document Map"/>
    <w:basedOn w:val="Normal"/>
    <w:link w:val="DocumentMapChar"/>
    <w:uiPriority w:val="99"/>
    <w:semiHidden/>
    <w:unhideWhenUsed/>
    <w:rsid w:val="00803D84"/>
    <w:pPr>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3D84"/>
    <w:rPr>
      <w:rFonts w:ascii="Tahoma" w:eastAsia="Times New Roman" w:hAnsi="Tahoma" w:cs="Tahoma"/>
      <w:sz w:val="16"/>
      <w:szCs w:val="16"/>
    </w:rPr>
  </w:style>
  <w:style w:type="character" w:styleId="PlaceholderText">
    <w:name w:val="Placeholder Text"/>
    <w:basedOn w:val="DefaultParagraphFont"/>
    <w:uiPriority w:val="99"/>
    <w:semiHidden/>
    <w:rsid w:val="00803D84"/>
    <w:rPr>
      <w:color w:val="808080"/>
    </w:rPr>
  </w:style>
  <w:style w:type="paragraph" w:styleId="TOCHeading">
    <w:name w:val="TOC Heading"/>
    <w:basedOn w:val="Heading1"/>
    <w:next w:val="Normal"/>
    <w:uiPriority w:val="39"/>
    <w:unhideWhenUsed/>
    <w:qFormat/>
    <w:rsid w:val="00803D84"/>
    <w:pPr>
      <w:keepNext/>
      <w:keepLines/>
      <w:numPr>
        <w:numId w:val="0"/>
      </w:numPr>
      <w:tabs>
        <w:tab w:val="clear" w:pos="4153"/>
        <w:tab w:val="clear" w:pos="8306"/>
      </w:tabs>
      <w:spacing w:before="480" w:after="0" w:line="276" w:lineRule="auto"/>
      <w:outlineLvl w:val="9"/>
    </w:pPr>
    <w:rPr>
      <w:rFonts w:asciiTheme="majorHAnsi" w:eastAsiaTheme="majorEastAsia" w:hAnsiTheme="majorHAnsi" w:cstheme="majorBidi"/>
      <w:bCs/>
      <w:color w:val="365F91" w:themeColor="accent1" w:themeShade="BF"/>
      <w:szCs w:val="28"/>
      <w:lang w:val="en-US"/>
    </w:rPr>
  </w:style>
  <w:style w:type="paragraph" w:styleId="Caption">
    <w:name w:val="caption"/>
    <w:basedOn w:val="Normal"/>
    <w:next w:val="Normal"/>
    <w:uiPriority w:val="35"/>
    <w:unhideWhenUsed/>
    <w:qFormat/>
    <w:rsid w:val="00803D84"/>
    <w:pPr>
      <w:spacing w:after="200"/>
      <w:jc w:val="both"/>
    </w:pPr>
    <w:rPr>
      <w:rFonts w:ascii="Arial" w:hAnsi="Arial" w:cs="Times New Roman"/>
      <w:b/>
      <w:bCs/>
      <w:color w:val="4F81BD" w:themeColor="accent1"/>
      <w:sz w:val="18"/>
      <w:szCs w:val="18"/>
    </w:rPr>
  </w:style>
  <w:style w:type="paragraph" w:styleId="TableofFigures">
    <w:name w:val="table of figures"/>
    <w:basedOn w:val="Normal"/>
    <w:next w:val="Normal"/>
    <w:uiPriority w:val="99"/>
    <w:unhideWhenUsed/>
    <w:rsid w:val="00803D84"/>
    <w:pPr>
      <w:jc w:val="both"/>
    </w:pPr>
    <w:rPr>
      <w:rFonts w:ascii="Arial" w:hAnsi="Arial" w:cs="Times New Roman"/>
      <w:sz w:val="22"/>
    </w:rPr>
  </w:style>
  <w:style w:type="paragraph" w:customStyle="1" w:styleId="msonormal0">
    <w:name w:val="msonormal"/>
    <w:basedOn w:val="Normal"/>
    <w:rsid w:val="00803D84"/>
    <w:pPr>
      <w:spacing w:before="100" w:beforeAutospacing="1" w:after="100" w:afterAutospacing="1"/>
    </w:pPr>
    <w:rPr>
      <w:rFonts w:ascii="Times New Roman" w:hAnsi="Times New Roman" w:cs="Times New Roman"/>
      <w:lang w:eastAsia="en-GB"/>
    </w:rPr>
  </w:style>
  <w:style w:type="paragraph" w:customStyle="1" w:styleId="xl63">
    <w:name w:val="xl63"/>
    <w:basedOn w:val="Normal"/>
    <w:rsid w:val="00803D8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lang w:eastAsia="en-GB"/>
    </w:rPr>
  </w:style>
  <w:style w:type="paragraph" w:customStyle="1" w:styleId="xl64">
    <w:name w:val="xl64"/>
    <w:basedOn w:val="Normal"/>
    <w:rsid w:val="00803D84"/>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lang w:eastAsia="en-GB"/>
    </w:rPr>
  </w:style>
  <w:style w:type="paragraph" w:customStyle="1" w:styleId="xl65">
    <w:name w:val="xl65"/>
    <w:basedOn w:val="Normal"/>
    <w:rsid w:val="00803D84"/>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lang w:eastAsia="en-GB"/>
    </w:rPr>
  </w:style>
  <w:style w:type="paragraph" w:customStyle="1" w:styleId="xl66">
    <w:name w:val="xl66"/>
    <w:basedOn w:val="Normal"/>
    <w:rsid w:val="00803D84"/>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top"/>
    </w:pPr>
    <w:rPr>
      <w:rFonts w:ascii="Times New Roman" w:hAnsi="Times New Roman" w:cs="Times New Roman"/>
      <w:b/>
      <w:bCs/>
      <w:lang w:eastAsia="en-GB"/>
    </w:rPr>
  </w:style>
  <w:style w:type="paragraph" w:customStyle="1" w:styleId="xl67">
    <w:name w:val="xl67"/>
    <w:basedOn w:val="Normal"/>
    <w:rsid w:val="00803D84"/>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lang w:eastAsia="en-GB"/>
    </w:rPr>
  </w:style>
  <w:style w:type="paragraph" w:customStyle="1" w:styleId="xl68">
    <w:name w:val="xl68"/>
    <w:basedOn w:val="Normal"/>
    <w:rsid w:val="00803D84"/>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Times New Roman" w:hAnsi="Times New Roman" w:cs="Times New Roman"/>
      <w:lang w:eastAsia="en-GB"/>
    </w:rPr>
  </w:style>
  <w:style w:type="paragraph" w:customStyle="1" w:styleId="xl69">
    <w:name w:val="xl69"/>
    <w:basedOn w:val="Normal"/>
    <w:rsid w:val="00803D84"/>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Times New Roman" w:hAnsi="Times New Roman" w:cs="Times New Roman"/>
      <w:lang w:eastAsia="en-GB"/>
    </w:rPr>
  </w:style>
  <w:style w:type="paragraph" w:customStyle="1" w:styleId="xl70">
    <w:name w:val="xl70"/>
    <w:basedOn w:val="Normal"/>
    <w:rsid w:val="00803D84"/>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Times New Roman" w:hAnsi="Times New Roman" w:cs="Times New Roman"/>
      <w:lang w:eastAsia="en-GB"/>
    </w:rPr>
  </w:style>
  <w:style w:type="paragraph" w:customStyle="1" w:styleId="xl71">
    <w:name w:val="xl71"/>
    <w:basedOn w:val="Normal"/>
    <w:rsid w:val="00803D84"/>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rFonts w:ascii="Times New Roman" w:hAnsi="Times New Roman" w:cs="Times New Roman"/>
      <w:lang w:eastAsia="en-GB"/>
    </w:rPr>
  </w:style>
  <w:style w:type="character" w:styleId="Emphasis">
    <w:name w:val="Emphasis"/>
    <w:basedOn w:val="DefaultParagraphFont"/>
    <w:qFormat/>
    <w:rsid w:val="00803D84"/>
    <w:rPr>
      <w:i/>
      <w:iCs/>
    </w:rPr>
  </w:style>
  <w:style w:type="paragraph" w:customStyle="1" w:styleId="TableParagraph">
    <w:name w:val="Table Paragraph"/>
    <w:basedOn w:val="Normal"/>
    <w:uiPriority w:val="1"/>
    <w:qFormat/>
    <w:rsid w:val="00803D84"/>
    <w:pPr>
      <w:widowControl w:val="0"/>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80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mallucci@me.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7692</Words>
  <Characters>43846</Characters>
  <Application>Microsoft Macintosh Word</Application>
  <DocSecurity>0</DocSecurity>
  <Lines>365</Lines>
  <Paragraphs>102</Paragraphs>
  <ScaleCrop>false</ScaleCrop>
  <Company>University of Liverpool</Company>
  <LinksUpToDate>false</LinksUpToDate>
  <CharactersWithSpaces>51436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Jenkinson</dc:creator>
  <cp:keywords/>
  <dc:description/>
  <cp:lastModifiedBy>Michael Jenkinson</cp:lastModifiedBy>
  <cp:revision>1</cp:revision>
  <dcterms:created xsi:type="dcterms:W3CDTF">2019-05-28T20:22:00Z</dcterms:created>
  <dcterms:modified xsi:type="dcterms:W3CDTF">2019-05-28T20:22:00Z</dcterms:modified>
</cp:coreProperties>
</file>