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627E" w14:textId="5AFB4B1B" w:rsidR="003D4ACF" w:rsidRDefault="00C25A8E" w:rsidP="009A7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Organic hetero</w:t>
      </w:r>
      <w:r w:rsidR="005977F7">
        <w:rPr>
          <w:b/>
          <w:sz w:val="28"/>
          <w:szCs w:val="28"/>
        </w:rPr>
        <w:t>j</w:t>
      </w:r>
      <w:r w:rsidR="005977F7" w:rsidRPr="003D4ACF">
        <w:rPr>
          <w:b/>
          <w:sz w:val="28"/>
          <w:szCs w:val="28"/>
        </w:rPr>
        <w:t>unction</w:t>
      </w:r>
      <w:r w:rsidR="005977F7">
        <w:rPr>
          <w:b/>
          <w:sz w:val="28"/>
          <w:szCs w:val="28"/>
        </w:rPr>
        <w:t>s</w:t>
      </w:r>
      <w:r w:rsidR="005977F7" w:rsidRPr="003D4ACF">
        <w:rPr>
          <w:b/>
          <w:sz w:val="28"/>
          <w:szCs w:val="28"/>
        </w:rPr>
        <w:t xml:space="preserve"> </w:t>
      </w:r>
      <w:r w:rsidR="003D4ACF" w:rsidRPr="003D4ACF">
        <w:rPr>
          <w:b/>
          <w:sz w:val="28"/>
          <w:szCs w:val="28"/>
        </w:rPr>
        <w:t xml:space="preserve">for </w:t>
      </w:r>
      <w:r w:rsidR="00706BF3">
        <w:rPr>
          <w:b/>
          <w:sz w:val="28"/>
          <w:szCs w:val="28"/>
        </w:rPr>
        <w:t xml:space="preserve">direct </w:t>
      </w:r>
      <w:r w:rsidR="003D4ACF" w:rsidRPr="003D4ACF">
        <w:rPr>
          <w:b/>
          <w:sz w:val="28"/>
          <w:szCs w:val="28"/>
        </w:rPr>
        <w:t>solar fuel generation</w:t>
      </w:r>
    </w:p>
    <w:p w14:paraId="209B680C" w14:textId="78198E5A" w:rsidR="00D45015" w:rsidRPr="00952AB7" w:rsidRDefault="001E10A4" w:rsidP="00E730FE">
      <w:pPr>
        <w:rPr>
          <w:bCs/>
          <w:sz w:val="24"/>
          <w:szCs w:val="24"/>
        </w:rPr>
      </w:pPr>
      <w:r w:rsidRPr="00952AB7">
        <w:rPr>
          <w:bCs/>
          <w:sz w:val="24"/>
          <w:szCs w:val="24"/>
        </w:rPr>
        <w:t xml:space="preserve">Reiner Sebastian </w:t>
      </w:r>
      <w:proofErr w:type="spellStart"/>
      <w:proofErr w:type="gramStart"/>
      <w:r w:rsidRPr="00952AB7">
        <w:rPr>
          <w:bCs/>
          <w:sz w:val="24"/>
          <w:szCs w:val="24"/>
        </w:rPr>
        <w:t>Sprick</w:t>
      </w:r>
      <w:r w:rsidR="00567486" w:rsidRPr="00114416">
        <w:rPr>
          <w:bCs/>
          <w:sz w:val="24"/>
          <w:szCs w:val="24"/>
          <w:vertAlign w:val="superscript"/>
        </w:rPr>
        <w:t>a</w:t>
      </w:r>
      <w:proofErr w:type="spellEnd"/>
      <w:r w:rsidR="00E730FE">
        <w:rPr>
          <w:bCs/>
          <w:sz w:val="24"/>
          <w:szCs w:val="24"/>
          <w:vertAlign w:val="superscript"/>
        </w:rPr>
        <w:t>,*</w:t>
      </w:r>
      <w:proofErr w:type="gramEnd"/>
      <w:r w:rsidRPr="00952AB7">
        <w:rPr>
          <w:bCs/>
          <w:sz w:val="24"/>
          <w:szCs w:val="24"/>
        </w:rPr>
        <w:t xml:space="preserve">, Marc A. </w:t>
      </w:r>
      <w:proofErr w:type="spellStart"/>
      <w:r w:rsidRPr="00952AB7">
        <w:rPr>
          <w:bCs/>
          <w:sz w:val="24"/>
          <w:szCs w:val="24"/>
        </w:rPr>
        <w:t>Little</w:t>
      </w:r>
      <w:r w:rsidR="00567486" w:rsidRPr="00114416">
        <w:rPr>
          <w:bCs/>
          <w:sz w:val="24"/>
          <w:szCs w:val="24"/>
          <w:vertAlign w:val="superscript"/>
        </w:rPr>
        <w:t>a</w:t>
      </w:r>
      <w:proofErr w:type="spellEnd"/>
      <w:r w:rsidR="00E730FE">
        <w:rPr>
          <w:bCs/>
          <w:sz w:val="24"/>
          <w:szCs w:val="24"/>
          <w:vertAlign w:val="superscript"/>
        </w:rPr>
        <w:t>,*</w:t>
      </w:r>
      <w:r w:rsidRPr="00952AB7">
        <w:rPr>
          <w:bCs/>
          <w:sz w:val="24"/>
          <w:szCs w:val="24"/>
        </w:rPr>
        <w:t xml:space="preserve">, Andrew I. </w:t>
      </w:r>
      <w:proofErr w:type="spellStart"/>
      <w:r w:rsidRPr="00952AB7">
        <w:rPr>
          <w:bCs/>
          <w:sz w:val="24"/>
          <w:szCs w:val="24"/>
        </w:rPr>
        <w:t>Cooper</w:t>
      </w:r>
      <w:r w:rsidR="00567486" w:rsidRPr="00114416">
        <w:rPr>
          <w:bCs/>
          <w:sz w:val="24"/>
          <w:szCs w:val="24"/>
          <w:vertAlign w:val="superscript"/>
        </w:rPr>
        <w:t>a</w:t>
      </w:r>
      <w:proofErr w:type="spellEnd"/>
      <w:r w:rsidR="00E730FE">
        <w:rPr>
          <w:bCs/>
          <w:sz w:val="24"/>
          <w:szCs w:val="24"/>
          <w:vertAlign w:val="superscript"/>
        </w:rPr>
        <w:t>,*</w:t>
      </w:r>
    </w:p>
    <w:p w14:paraId="04F359E6" w14:textId="6D81D296" w:rsidR="001E10A4" w:rsidRDefault="00567486" w:rsidP="009A788B">
      <w:pPr>
        <w:rPr>
          <w:bCs/>
          <w:sz w:val="24"/>
          <w:szCs w:val="24"/>
        </w:rPr>
      </w:pPr>
      <w:proofErr w:type="spellStart"/>
      <w:r w:rsidRPr="00114416">
        <w:rPr>
          <w:bCs/>
          <w:sz w:val="24"/>
          <w:szCs w:val="24"/>
          <w:vertAlign w:val="superscript"/>
        </w:rPr>
        <w:t>a</w:t>
      </w:r>
      <w:r w:rsidR="001E10A4" w:rsidRPr="00952AB7">
        <w:rPr>
          <w:bCs/>
          <w:sz w:val="24"/>
          <w:szCs w:val="24"/>
        </w:rPr>
        <w:t>Department</w:t>
      </w:r>
      <w:proofErr w:type="spellEnd"/>
      <w:r w:rsidR="001E10A4" w:rsidRPr="00952AB7">
        <w:rPr>
          <w:bCs/>
          <w:sz w:val="24"/>
          <w:szCs w:val="24"/>
        </w:rPr>
        <w:t xml:space="preserve"> of Chemistry and Materials Innovation Factory, University of Liverpool, </w:t>
      </w:r>
      <w:r w:rsidR="00952AB7">
        <w:rPr>
          <w:bCs/>
          <w:sz w:val="24"/>
          <w:szCs w:val="24"/>
        </w:rPr>
        <w:t xml:space="preserve">Liverpool </w:t>
      </w:r>
      <w:r w:rsidR="001E10A4" w:rsidRPr="00952AB7">
        <w:rPr>
          <w:bCs/>
          <w:sz w:val="24"/>
          <w:szCs w:val="24"/>
        </w:rPr>
        <w:t xml:space="preserve">L7 3NY, </w:t>
      </w:r>
      <w:r w:rsidR="000134E0">
        <w:rPr>
          <w:bCs/>
          <w:sz w:val="24"/>
          <w:szCs w:val="24"/>
        </w:rPr>
        <w:t>United Kingdom</w:t>
      </w:r>
      <w:r w:rsidR="001E10A4" w:rsidRPr="00952AB7">
        <w:rPr>
          <w:bCs/>
          <w:sz w:val="24"/>
          <w:szCs w:val="24"/>
        </w:rPr>
        <w:t xml:space="preserve"> </w:t>
      </w:r>
    </w:p>
    <w:p w14:paraId="4A36453E" w14:textId="3B4522B8" w:rsidR="00114416" w:rsidRDefault="00E730FE" w:rsidP="009A78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Email: </w:t>
      </w:r>
      <w:r w:rsidR="00114416" w:rsidRPr="00114416">
        <w:rPr>
          <w:bCs/>
          <w:sz w:val="24"/>
          <w:szCs w:val="24"/>
        </w:rPr>
        <w:t>ssprick@liverpool.ac.uk</w:t>
      </w:r>
      <w:r w:rsidR="00114416">
        <w:rPr>
          <w:bCs/>
          <w:sz w:val="24"/>
          <w:szCs w:val="24"/>
        </w:rPr>
        <w:t xml:space="preserve">, </w:t>
      </w:r>
      <w:r w:rsidR="003A1821">
        <w:rPr>
          <w:bCs/>
          <w:sz w:val="24"/>
          <w:szCs w:val="24"/>
        </w:rPr>
        <w:t>mal</w:t>
      </w:r>
      <w:r w:rsidR="00114416">
        <w:rPr>
          <w:bCs/>
          <w:sz w:val="24"/>
          <w:szCs w:val="24"/>
        </w:rPr>
        <w:t>ittle@liverpool.ac.uk, aicooper@liverpool.ac.uk</w:t>
      </w:r>
    </w:p>
    <w:p w14:paraId="6FB4082C" w14:textId="628C5212" w:rsidR="00487C6F" w:rsidRPr="00512B50" w:rsidRDefault="00882D07" w:rsidP="00882D07">
      <w:pPr>
        <w:jc w:val="both"/>
        <w:rPr>
          <w:b/>
          <w:bCs/>
          <w:sz w:val="23"/>
          <w:szCs w:val="23"/>
        </w:rPr>
      </w:pPr>
      <w:r w:rsidRPr="00512B50">
        <w:rPr>
          <w:b/>
          <w:bCs/>
          <w:sz w:val="23"/>
          <w:szCs w:val="23"/>
        </w:rPr>
        <w:t>H</w:t>
      </w:r>
      <w:r w:rsidR="00194B46" w:rsidRPr="00512B50">
        <w:rPr>
          <w:b/>
          <w:bCs/>
          <w:sz w:val="23"/>
          <w:szCs w:val="23"/>
        </w:rPr>
        <w:t>eterojunctions of polymer photocatalyst and small molec</w:t>
      </w:r>
      <w:r w:rsidR="001611B3" w:rsidRPr="00512B50">
        <w:rPr>
          <w:b/>
          <w:bCs/>
          <w:sz w:val="23"/>
          <w:szCs w:val="23"/>
        </w:rPr>
        <w:t>u</w:t>
      </w:r>
      <w:r w:rsidR="00194B46" w:rsidRPr="00512B50">
        <w:rPr>
          <w:b/>
          <w:bCs/>
          <w:sz w:val="23"/>
          <w:szCs w:val="23"/>
        </w:rPr>
        <w:t>le</w:t>
      </w:r>
      <w:r w:rsidR="00F55C8C" w:rsidRPr="00512B50">
        <w:rPr>
          <w:b/>
          <w:bCs/>
          <w:sz w:val="23"/>
          <w:szCs w:val="23"/>
        </w:rPr>
        <w:t xml:space="preserve"> </w:t>
      </w:r>
      <w:r w:rsidR="005E381E" w:rsidRPr="00512B50">
        <w:rPr>
          <w:b/>
          <w:bCs/>
          <w:sz w:val="23"/>
          <w:szCs w:val="23"/>
        </w:rPr>
        <w:t xml:space="preserve">acceptors </w:t>
      </w:r>
      <w:r w:rsidRPr="00512B50">
        <w:rPr>
          <w:b/>
          <w:bCs/>
          <w:sz w:val="23"/>
          <w:szCs w:val="23"/>
        </w:rPr>
        <w:t>have been shown to</w:t>
      </w:r>
      <w:r w:rsidR="00F55C8C" w:rsidRPr="00512B50">
        <w:rPr>
          <w:b/>
          <w:bCs/>
          <w:sz w:val="23"/>
          <w:szCs w:val="23"/>
        </w:rPr>
        <w:t xml:space="preserve"> have excellent </w:t>
      </w:r>
      <w:r w:rsidR="00194B46" w:rsidRPr="00512B50">
        <w:rPr>
          <w:b/>
          <w:bCs/>
          <w:sz w:val="23"/>
          <w:szCs w:val="23"/>
        </w:rPr>
        <w:t xml:space="preserve">solar hydrogen production </w:t>
      </w:r>
      <w:r w:rsidR="00F55C8C" w:rsidRPr="00512B50">
        <w:rPr>
          <w:b/>
          <w:bCs/>
          <w:sz w:val="23"/>
          <w:szCs w:val="23"/>
        </w:rPr>
        <w:t xml:space="preserve">efficiencies. </w:t>
      </w:r>
      <w:r w:rsidR="009925D1">
        <w:rPr>
          <w:b/>
          <w:bCs/>
          <w:sz w:val="23"/>
          <w:szCs w:val="23"/>
        </w:rPr>
        <w:t xml:space="preserve">Similarly, interfaces can </w:t>
      </w:r>
      <w:r w:rsidR="00D335B0" w:rsidRPr="00512B50">
        <w:rPr>
          <w:rFonts w:asciiTheme="minorHAnsi" w:hAnsiTheme="minorHAnsi" w:cstheme="minorHAnsi"/>
          <w:b/>
          <w:sz w:val="23"/>
          <w:szCs w:val="23"/>
        </w:rPr>
        <w:t xml:space="preserve">be controlled </w:t>
      </w:r>
      <w:r w:rsidR="00D335B0" w:rsidRPr="00512B50">
        <w:rPr>
          <w:b/>
          <w:bCs/>
          <w:sz w:val="23"/>
          <w:szCs w:val="23"/>
        </w:rPr>
        <w:t>with atomistic precision</w:t>
      </w:r>
      <w:r w:rsidR="00D335B0" w:rsidRPr="00512B50" w:rsidDel="00D335B0">
        <w:rPr>
          <w:b/>
          <w:bCs/>
          <w:sz w:val="23"/>
          <w:szCs w:val="23"/>
        </w:rPr>
        <w:t xml:space="preserve"> </w:t>
      </w:r>
      <w:r w:rsidR="00D335B0" w:rsidRPr="00512B50">
        <w:rPr>
          <w:b/>
          <w:bCs/>
          <w:sz w:val="23"/>
          <w:szCs w:val="23"/>
        </w:rPr>
        <w:t>in crystalline solids</w:t>
      </w:r>
      <w:r w:rsidR="005E381E" w:rsidRPr="00512B50">
        <w:rPr>
          <w:b/>
          <w:bCs/>
          <w:sz w:val="23"/>
          <w:szCs w:val="23"/>
        </w:rPr>
        <w:t>,</w:t>
      </w:r>
      <w:r w:rsidR="00403F51" w:rsidRPr="00512B50">
        <w:rPr>
          <w:b/>
          <w:bCs/>
          <w:sz w:val="23"/>
          <w:szCs w:val="23"/>
        </w:rPr>
        <w:t xml:space="preserve"> and </w:t>
      </w:r>
      <w:r w:rsidR="005E381E" w:rsidRPr="00512B50">
        <w:rPr>
          <w:b/>
          <w:bCs/>
          <w:sz w:val="23"/>
          <w:szCs w:val="23"/>
        </w:rPr>
        <w:t>th</w:t>
      </w:r>
      <w:r w:rsidR="00450DED" w:rsidRPr="00512B50">
        <w:rPr>
          <w:b/>
          <w:bCs/>
          <w:sz w:val="23"/>
          <w:szCs w:val="23"/>
        </w:rPr>
        <w:t>e</w:t>
      </w:r>
      <w:r w:rsidR="00D335B0" w:rsidRPr="00512B50">
        <w:rPr>
          <w:b/>
          <w:bCs/>
          <w:sz w:val="23"/>
          <w:szCs w:val="23"/>
        </w:rPr>
        <w:t>ir</w:t>
      </w:r>
      <w:r w:rsidR="00450DED" w:rsidRPr="00512B50">
        <w:rPr>
          <w:b/>
          <w:bCs/>
          <w:sz w:val="23"/>
          <w:szCs w:val="23"/>
        </w:rPr>
        <w:t xml:space="preserve"> development as heterojunctions </w:t>
      </w:r>
      <w:r w:rsidR="005E381E" w:rsidRPr="00512B50">
        <w:rPr>
          <w:b/>
          <w:bCs/>
          <w:sz w:val="23"/>
          <w:szCs w:val="23"/>
        </w:rPr>
        <w:t xml:space="preserve">could </w:t>
      </w:r>
      <w:r w:rsidR="00450DED" w:rsidRPr="00512B50">
        <w:rPr>
          <w:b/>
          <w:bCs/>
          <w:sz w:val="23"/>
          <w:szCs w:val="23"/>
        </w:rPr>
        <w:t xml:space="preserve">lead to </w:t>
      </w:r>
      <w:r w:rsidR="009925D1">
        <w:rPr>
          <w:b/>
          <w:bCs/>
          <w:sz w:val="23"/>
          <w:szCs w:val="23"/>
        </w:rPr>
        <w:t xml:space="preserve">new </w:t>
      </w:r>
      <w:r w:rsidR="00450DED" w:rsidRPr="00512B50">
        <w:rPr>
          <w:b/>
          <w:bCs/>
          <w:sz w:val="23"/>
          <w:szCs w:val="23"/>
        </w:rPr>
        <w:t>photocatalyst</w:t>
      </w:r>
      <w:r w:rsidR="009925D1">
        <w:rPr>
          <w:b/>
          <w:bCs/>
          <w:sz w:val="23"/>
          <w:szCs w:val="23"/>
        </w:rPr>
        <w:t>s</w:t>
      </w:r>
      <w:r w:rsidR="00E07E2E" w:rsidRPr="00512B50">
        <w:rPr>
          <w:b/>
          <w:bCs/>
          <w:sz w:val="23"/>
          <w:szCs w:val="23"/>
        </w:rPr>
        <w:t>.</w:t>
      </w:r>
    </w:p>
    <w:p w14:paraId="06CC6F40" w14:textId="43F07408" w:rsidR="00DE23B9" w:rsidRPr="0089503B" w:rsidRDefault="00D45015" w:rsidP="00A860B2">
      <w:pPr>
        <w:jc w:val="both"/>
        <w:rPr>
          <w:vertAlign w:val="superscript"/>
        </w:rPr>
      </w:pPr>
      <w:r>
        <w:t>T</w:t>
      </w:r>
      <w:r w:rsidR="00B3757F">
        <w:t xml:space="preserve">here has been </w:t>
      </w:r>
      <w:r w:rsidR="00B3757F" w:rsidRPr="002118C1">
        <w:t>a</w:t>
      </w:r>
      <w:r w:rsidR="00706BF3">
        <w:t xml:space="preserve"> </w:t>
      </w:r>
      <w:r w:rsidR="00B3757F" w:rsidRPr="002118C1">
        <w:t xml:space="preserve">surge of interest </w:t>
      </w:r>
      <w:r w:rsidR="000134E0">
        <w:t>over</w:t>
      </w:r>
      <w:r>
        <w:t xml:space="preserve"> the last decade </w:t>
      </w:r>
      <w:r w:rsidR="00B3757F" w:rsidRPr="002118C1">
        <w:t xml:space="preserve">in organic </w:t>
      </w:r>
      <w:r w:rsidR="00D5163F">
        <w:t>photocatalysts</w:t>
      </w:r>
      <w:r w:rsidR="00B3757F" w:rsidRPr="002118C1">
        <w:t xml:space="preserve"> for solar fuel production</w:t>
      </w:r>
      <w:r w:rsidR="00B3757F">
        <w:t>.</w:t>
      </w:r>
      <w:r w:rsidR="003D4ACF" w:rsidRPr="003D4ACF">
        <w:rPr>
          <w:noProof/>
          <w:vertAlign w:val="superscript"/>
        </w:rPr>
        <w:t>1</w:t>
      </w:r>
      <w:r w:rsidR="00B3757F">
        <w:t xml:space="preserve"> </w:t>
      </w:r>
      <w:r>
        <w:t xml:space="preserve">Hydrogen production </w:t>
      </w:r>
      <w:r w:rsidR="006C08A7">
        <w:t xml:space="preserve">from water has been studied </w:t>
      </w:r>
      <w:r>
        <w:t>extensively: i</w:t>
      </w:r>
      <w:r w:rsidR="00D769BD">
        <w:t>n particular</w:t>
      </w:r>
      <w:r w:rsidR="00D5163F">
        <w:t>,</w:t>
      </w:r>
      <w:r w:rsidR="00D769BD">
        <w:t xml:space="preserve"> </w:t>
      </w:r>
      <w:r>
        <w:t xml:space="preserve">direct </w:t>
      </w:r>
      <w:r w:rsidR="00D769BD">
        <w:t xml:space="preserve">photochemical water splitting </w:t>
      </w:r>
      <w:r>
        <w:t xml:space="preserve">has been </w:t>
      </w:r>
      <w:r w:rsidR="000134E0">
        <w:t>touted</w:t>
      </w:r>
      <w:bookmarkStart w:id="0" w:name="_GoBack"/>
      <w:bookmarkEnd w:id="0"/>
      <w:r w:rsidR="00D769BD">
        <w:t xml:space="preserve"> </w:t>
      </w:r>
      <w:r w:rsidR="000134E0">
        <w:t>for its</w:t>
      </w:r>
      <w:r w:rsidR="00D17240">
        <w:t xml:space="preserve"> </w:t>
      </w:r>
      <w:r w:rsidR="00F45F24">
        <w:t>technologica</w:t>
      </w:r>
      <w:r w:rsidR="000134E0">
        <w:t>l</w:t>
      </w:r>
      <w:r w:rsidR="00F45F24">
        <w:t xml:space="preserve"> simp</w:t>
      </w:r>
      <w:r w:rsidR="0079560C">
        <w:t>l</w:t>
      </w:r>
      <w:r w:rsidR="000134E0">
        <w:t>icity</w:t>
      </w:r>
      <w:r>
        <w:t>—</w:t>
      </w:r>
      <w:r w:rsidR="00814BC9">
        <w:t xml:space="preserve">no </w:t>
      </w:r>
      <w:r w:rsidR="00751D0B">
        <w:t xml:space="preserve">metal </w:t>
      </w:r>
      <w:r w:rsidR="00814BC9">
        <w:t xml:space="preserve">contacts or wiring </w:t>
      </w:r>
      <w:r w:rsidR="000134E0">
        <w:t>is</w:t>
      </w:r>
      <w:r w:rsidR="00D5163F">
        <w:t xml:space="preserve"> required</w:t>
      </w:r>
      <w:r>
        <w:t>—</w:t>
      </w:r>
      <w:r w:rsidR="000134E0">
        <w:t>which could make it</w:t>
      </w:r>
      <w:r>
        <w:t xml:space="preserve"> </w:t>
      </w:r>
      <w:r w:rsidR="00DD7372">
        <w:t>potential</w:t>
      </w:r>
      <w:r>
        <w:t>ly scalable</w:t>
      </w:r>
      <w:r w:rsidR="000134E0">
        <w:t>, if solar efficiencies can be improved</w:t>
      </w:r>
      <w:r w:rsidR="00F45F24">
        <w:t xml:space="preserve">. </w:t>
      </w:r>
      <w:r w:rsidR="00A860B2">
        <w:t>Traditionally</w:t>
      </w:r>
      <w:r w:rsidR="00D5163F">
        <w:t>,</w:t>
      </w:r>
      <w:r w:rsidR="00A860B2">
        <w:t xml:space="preserve"> </w:t>
      </w:r>
      <w:r w:rsidR="000134E0">
        <w:t xml:space="preserve">inorganic semiconductors have dominated </w:t>
      </w:r>
      <w:r w:rsidR="00C25A8E">
        <w:t xml:space="preserve">the field of </w:t>
      </w:r>
      <w:r w:rsidR="008E1CA0">
        <w:t>photoc</w:t>
      </w:r>
      <w:r w:rsidR="000134E0">
        <w:t>atalysis</w:t>
      </w:r>
      <w:r w:rsidR="00A860B2">
        <w:t xml:space="preserve">, but the </w:t>
      </w:r>
      <w:r>
        <w:t xml:space="preserve">discovery </w:t>
      </w:r>
      <w:r w:rsidR="00A860B2">
        <w:t>of carbon nitride</w:t>
      </w:r>
      <w:r>
        <w:t xml:space="preserve"> photocatalysts</w:t>
      </w:r>
      <w:r w:rsidR="00A860B2">
        <w:t xml:space="preserve"> in 2009 by </w:t>
      </w:r>
      <w:proofErr w:type="spellStart"/>
      <w:r w:rsidR="00A860B2">
        <w:t>Xinchen</w:t>
      </w:r>
      <w:proofErr w:type="spellEnd"/>
      <w:r w:rsidR="00A860B2">
        <w:t xml:space="preserve"> Wang </w:t>
      </w:r>
      <w:r w:rsidR="00D75260">
        <w:t xml:space="preserve">and co-workers </w:t>
      </w:r>
      <w:r w:rsidR="000134E0">
        <w:t>provoked</w:t>
      </w:r>
      <w:r w:rsidR="00A860B2">
        <w:t xml:space="preserve"> </w:t>
      </w:r>
      <w:r>
        <w:t xml:space="preserve">intense </w:t>
      </w:r>
      <w:r w:rsidR="00A860B2">
        <w:t>interest in soft organic materials as photocatalysts.</w:t>
      </w:r>
      <w:r w:rsidR="003D4ACF" w:rsidRPr="003D4ACF">
        <w:rPr>
          <w:noProof/>
          <w:vertAlign w:val="superscript"/>
        </w:rPr>
        <w:t>2</w:t>
      </w:r>
      <w:r w:rsidR="003D4ACF">
        <w:t xml:space="preserve"> </w:t>
      </w:r>
      <w:r w:rsidR="000134E0">
        <w:t>Many</w:t>
      </w:r>
      <w:r w:rsidR="00067E33">
        <w:t xml:space="preserve"> </w:t>
      </w:r>
      <w:r w:rsidR="00D5163F">
        <w:t>carbon nitride based materials</w:t>
      </w:r>
      <w:r>
        <w:t xml:space="preserve"> followed</w:t>
      </w:r>
      <w:r w:rsidR="00D5163F">
        <w:t xml:space="preserve">, as well as other </w:t>
      </w:r>
      <w:r w:rsidR="000134E0">
        <w:t>organic materials</w:t>
      </w:r>
      <w:r w:rsidR="00D5163F">
        <w:t xml:space="preserve"> with m</w:t>
      </w:r>
      <w:r w:rsidR="00067E33">
        <w:t xml:space="preserve">ore well-defined </w:t>
      </w:r>
      <w:r w:rsidR="00D5163F">
        <w:t>structures,</w:t>
      </w:r>
      <w:r w:rsidR="00067E33">
        <w:t xml:space="preserve"> such as conjugated polymers, conjugate</w:t>
      </w:r>
      <w:r w:rsidR="00D5163F">
        <w:t>d</w:t>
      </w:r>
      <w:r w:rsidR="00067E33">
        <w:t xml:space="preserve"> microporous polymers</w:t>
      </w:r>
      <w:r w:rsidR="00D5163F">
        <w:t>,</w:t>
      </w:r>
      <w:r w:rsidR="00067E33">
        <w:t xml:space="preserve"> and covalent organic frameworks</w:t>
      </w:r>
      <w:r>
        <w:t>. All of these materials have</w:t>
      </w:r>
      <w:r w:rsidR="00067E33">
        <w:t xml:space="preserve"> been reported </w:t>
      </w:r>
      <w:r w:rsidR="00067E33" w:rsidRPr="0089503B">
        <w:t>to act as photocatalysts for hydrogen production from water in the presence of hole-scavengers.</w:t>
      </w:r>
      <w:r w:rsidR="00D5163F" w:rsidRPr="0089503B">
        <w:rPr>
          <w:vertAlign w:val="superscript"/>
        </w:rPr>
        <w:t>1</w:t>
      </w:r>
    </w:p>
    <w:p w14:paraId="6BD4A18B" w14:textId="62BE91E9" w:rsidR="005020C0" w:rsidRDefault="00D17240" w:rsidP="00D75260">
      <w:pPr>
        <w:jc w:val="both"/>
      </w:pPr>
      <w:r w:rsidRPr="0089503B">
        <w:t xml:space="preserve">The key challenge </w:t>
      </w:r>
      <w:r w:rsidR="00477E98">
        <w:t>for</w:t>
      </w:r>
      <w:r w:rsidRPr="0089503B">
        <w:t xml:space="preserve"> organic </w:t>
      </w:r>
      <w:r w:rsidR="00477E98">
        <w:t xml:space="preserve">polymer </w:t>
      </w:r>
      <w:r w:rsidRPr="0089503B">
        <w:t>photocatalyst</w:t>
      </w:r>
      <w:r w:rsidR="00477E98">
        <w:t>s</w:t>
      </w:r>
      <w:r w:rsidRPr="0089503B">
        <w:t xml:space="preserve"> </w:t>
      </w:r>
      <w:r w:rsidR="00D45015">
        <w:t xml:space="preserve">is the relatively low photocatalytic </w:t>
      </w:r>
      <w:r w:rsidR="00C25A8E">
        <w:t xml:space="preserve">efficiency </w:t>
      </w:r>
      <w:r w:rsidR="0089503B">
        <w:t xml:space="preserve">compared to </w:t>
      </w:r>
      <w:r w:rsidR="00477E98">
        <w:t>inorganic semiconductors</w:t>
      </w:r>
      <w:r w:rsidR="0037775C">
        <w:t xml:space="preserve">. </w:t>
      </w:r>
      <w:r w:rsidR="00213255">
        <w:t>In part, t</w:t>
      </w:r>
      <w:r w:rsidR="0037775C">
        <w:t>his is due</w:t>
      </w:r>
      <w:r w:rsidR="00213255">
        <w:t xml:space="preserve"> </w:t>
      </w:r>
      <w:r w:rsidR="0037775C">
        <w:t xml:space="preserve">to the </w:t>
      </w:r>
      <w:r w:rsidR="008B42C3">
        <w:t>high exciton binding energies</w:t>
      </w:r>
      <w:r w:rsidR="00213255">
        <w:t xml:space="preserve"> in organic materials</w:t>
      </w:r>
      <w:r w:rsidR="00D45015">
        <w:t>—</w:t>
      </w:r>
      <w:r w:rsidR="00213255">
        <w:t xml:space="preserve">typically </w:t>
      </w:r>
      <w:r w:rsidR="00D45015">
        <w:t xml:space="preserve">on </w:t>
      </w:r>
      <w:r w:rsidR="008B42C3">
        <w:t>the order of</w:t>
      </w:r>
      <w:r>
        <w:t xml:space="preserve"> </w:t>
      </w:r>
      <w:r w:rsidR="008B42C3">
        <w:t>tenth</w:t>
      </w:r>
      <w:r w:rsidR="00D45015">
        <w:t xml:space="preserve">s of </w:t>
      </w:r>
      <w:proofErr w:type="spellStart"/>
      <w:r w:rsidR="008B42C3">
        <w:t>electronvolts</w:t>
      </w:r>
      <w:proofErr w:type="spellEnd"/>
      <w:r w:rsidR="00D45015">
        <w:t>—that</w:t>
      </w:r>
      <w:r w:rsidR="008B42C3">
        <w:t xml:space="preserve"> result </w:t>
      </w:r>
      <w:r w:rsidR="00D45015">
        <w:t xml:space="preserve">from the </w:t>
      </w:r>
      <w:r w:rsidR="008B42C3" w:rsidRPr="008B42C3">
        <w:t>Coulombic attraction</w:t>
      </w:r>
      <w:r w:rsidR="008B42C3">
        <w:t xml:space="preserve"> between the negative and positive charge</w:t>
      </w:r>
      <w:r w:rsidR="00D45015">
        <w:t>s</w:t>
      </w:r>
      <w:r w:rsidR="008B42C3">
        <w:t xml:space="preserve"> that </w:t>
      </w:r>
      <w:r w:rsidR="00D45015">
        <w:t xml:space="preserve">are </w:t>
      </w:r>
      <w:r w:rsidR="008B42C3">
        <w:t>generated</w:t>
      </w:r>
      <w:r w:rsidR="0037775C">
        <w:t xml:space="preserve"> after light absorption</w:t>
      </w:r>
      <w:r w:rsidR="008B42C3">
        <w:t xml:space="preserve">. </w:t>
      </w:r>
      <w:r w:rsidR="00213255">
        <w:t>O</w:t>
      </w:r>
      <w:r w:rsidR="00FB437A">
        <w:t>rganic</w:t>
      </w:r>
      <w:r w:rsidR="00FB437A" w:rsidRPr="00E62AF0">
        <w:t xml:space="preserve"> </w:t>
      </w:r>
      <w:r w:rsidR="00FB437A">
        <w:t xml:space="preserve">semiconductors </w:t>
      </w:r>
      <w:r w:rsidR="00213255">
        <w:t xml:space="preserve">also </w:t>
      </w:r>
      <w:r w:rsidR="00F10687">
        <w:t>have</w:t>
      </w:r>
      <w:r w:rsidR="00E62AF0">
        <w:t xml:space="preserve"> </w:t>
      </w:r>
      <w:r w:rsidR="00D45015">
        <w:t xml:space="preserve">comparatively </w:t>
      </w:r>
      <w:r w:rsidR="00E62AF0">
        <w:t>poor charge-transport</w:t>
      </w:r>
      <w:r w:rsidR="00D45015">
        <w:t xml:space="preserve">, which </w:t>
      </w:r>
      <w:r w:rsidR="00832CA5">
        <w:t>results</w:t>
      </w:r>
      <w:r w:rsidR="00321B50">
        <w:t xml:space="preserve"> in</w:t>
      </w:r>
      <w:r w:rsidR="00832CA5">
        <w:t xml:space="preserve"> </w:t>
      </w:r>
      <w:r w:rsidR="00F10687">
        <w:t xml:space="preserve">short exciton </w:t>
      </w:r>
      <w:r w:rsidR="005C1D8B">
        <w:t>diffusion lengths and poor exciton separation</w:t>
      </w:r>
      <w:r w:rsidR="00414464">
        <w:t>.</w:t>
      </w:r>
      <w:r w:rsidR="005020C0">
        <w:t xml:space="preserve"> </w:t>
      </w:r>
      <w:r w:rsidR="00414464">
        <w:t>H</w:t>
      </w:r>
      <w:r w:rsidR="005020C0">
        <w:t>ence,</w:t>
      </w:r>
      <w:r w:rsidR="00D75260">
        <w:t xml:space="preserve"> </w:t>
      </w:r>
      <w:r w:rsidR="00CC096B">
        <w:t>most</w:t>
      </w:r>
      <w:r w:rsidR="005020C0">
        <w:t xml:space="preserve"> charges generated </w:t>
      </w:r>
      <w:r w:rsidR="00D45015">
        <w:t xml:space="preserve">in these </w:t>
      </w:r>
      <w:r w:rsidR="005C4E40">
        <w:t>organic solids</w:t>
      </w:r>
      <w:r w:rsidR="00D45015">
        <w:t xml:space="preserve"> </w:t>
      </w:r>
      <w:r w:rsidR="005020C0">
        <w:t xml:space="preserve">will not reach the surface </w:t>
      </w:r>
      <w:r w:rsidR="00D75260">
        <w:t>and reduce protons</w:t>
      </w:r>
      <w:r w:rsidR="009876E4">
        <w:t>,</w:t>
      </w:r>
      <w:r w:rsidR="005C1D8B">
        <w:t xml:space="preserve"> </w:t>
      </w:r>
      <w:r w:rsidR="005C4E40">
        <w:t>particularly in the case of micron-sized particles, which results</w:t>
      </w:r>
      <w:r w:rsidR="00D45015">
        <w:t xml:space="preserve"> in</w:t>
      </w:r>
      <w:r w:rsidR="005C1D8B">
        <w:t xml:space="preserve"> </w:t>
      </w:r>
      <w:r w:rsidR="00443BCB">
        <w:t>low overall efficiencies</w:t>
      </w:r>
      <w:r w:rsidR="00414464">
        <w:t xml:space="preserve"> </w:t>
      </w:r>
      <w:r w:rsidR="00D45015">
        <w:t xml:space="preserve">because </w:t>
      </w:r>
      <w:r w:rsidR="00414464">
        <w:t>charges are lost due to recombination.</w:t>
      </w:r>
    </w:p>
    <w:p w14:paraId="574653A5" w14:textId="505DEA74" w:rsidR="00C5590D" w:rsidRDefault="008D4923" w:rsidP="00C5590D">
      <w:pPr>
        <w:jc w:val="center"/>
      </w:pPr>
      <w:r>
        <w:rPr>
          <w:noProof/>
          <w:lang w:eastAsia="en-GB"/>
        </w:rPr>
        <w:drawing>
          <wp:inline distT="0" distB="0" distL="0" distR="0" wp14:anchorId="6B8D4ACF" wp14:editId="4CAB6F93">
            <wp:extent cx="4988560" cy="2266573"/>
            <wp:effectExtent l="0" t="0" r="2540" b="6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1_enhanced_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766" cy="22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E69" w14:textId="759C4330" w:rsidR="00C5590D" w:rsidRPr="00512B50" w:rsidRDefault="00C5590D" w:rsidP="00C5590D">
      <w:pPr>
        <w:jc w:val="both"/>
        <w:rPr>
          <w:sz w:val="18"/>
          <w:szCs w:val="18"/>
        </w:rPr>
      </w:pPr>
      <w:r w:rsidRPr="003C4F09">
        <w:rPr>
          <w:b/>
          <w:sz w:val="18"/>
          <w:szCs w:val="18"/>
        </w:rPr>
        <w:t>Figure 1.</w:t>
      </w:r>
      <w:r w:rsidRPr="003C4F09">
        <w:rPr>
          <w:sz w:val="18"/>
          <w:szCs w:val="18"/>
        </w:rPr>
        <w:t xml:space="preserve"> </w:t>
      </w:r>
      <w:r w:rsidRPr="00066074">
        <w:rPr>
          <w:b/>
          <w:sz w:val="18"/>
          <w:szCs w:val="18"/>
        </w:rPr>
        <w:t xml:space="preserve">Different architectures that have been used in organic </w:t>
      </w:r>
      <w:proofErr w:type="spellStart"/>
      <w:r w:rsidRPr="00066074">
        <w:rPr>
          <w:b/>
          <w:sz w:val="18"/>
          <w:szCs w:val="18"/>
        </w:rPr>
        <w:t>photovoltatic</w:t>
      </w:r>
      <w:proofErr w:type="spellEnd"/>
      <w:r w:rsidRPr="00066074">
        <w:rPr>
          <w:b/>
          <w:sz w:val="18"/>
          <w:szCs w:val="18"/>
        </w:rPr>
        <w:t xml:space="preserve"> cells</w:t>
      </w:r>
      <w:r w:rsidR="00F57DB9" w:rsidRPr="00066074">
        <w:rPr>
          <w:b/>
          <w:sz w:val="18"/>
          <w:szCs w:val="18"/>
        </w:rPr>
        <w:t>.</w:t>
      </w:r>
      <w:r w:rsidRPr="00463871">
        <w:rPr>
          <w:noProof/>
          <w:sz w:val="18"/>
          <w:szCs w:val="18"/>
          <w:vertAlign w:val="superscript"/>
        </w:rPr>
        <w:t>3</w:t>
      </w:r>
      <w:r w:rsidRPr="003C4F09">
        <w:rPr>
          <w:sz w:val="18"/>
          <w:szCs w:val="18"/>
        </w:rPr>
        <w:t xml:space="preserve"> (a)</w:t>
      </w:r>
      <w:r w:rsidR="00355CA6">
        <w:rPr>
          <w:sz w:val="18"/>
          <w:szCs w:val="18"/>
        </w:rPr>
        <w:t xml:space="preserve"> device </w:t>
      </w:r>
      <w:r w:rsidRPr="003C4F09">
        <w:rPr>
          <w:sz w:val="18"/>
          <w:szCs w:val="18"/>
        </w:rPr>
        <w:t xml:space="preserve">architectures and </w:t>
      </w:r>
      <w:r w:rsidR="00F57DB9" w:rsidRPr="003C4F09">
        <w:rPr>
          <w:sz w:val="18"/>
          <w:szCs w:val="18"/>
        </w:rPr>
        <w:t>(b)</w:t>
      </w:r>
      <w:r w:rsidR="00F57DB9">
        <w:rPr>
          <w:sz w:val="18"/>
          <w:szCs w:val="18"/>
        </w:rPr>
        <w:t xml:space="preserve"> </w:t>
      </w:r>
      <w:r w:rsidR="00355CA6">
        <w:rPr>
          <w:sz w:val="18"/>
          <w:szCs w:val="18"/>
        </w:rPr>
        <w:t xml:space="preserve">photocatalyst </w:t>
      </w:r>
      <w:r w:rsidRPr="003C4F09">
        <w:rPr>
          <w:sz w:val="18"/>
          <w:szCs w:val="18"/>
        </w:rPr>
        <w:t>struct</w:t>
      </w:r>
      <w:r w:rsidR="00355CA6">
        <w:rPr>
          <w:sz w:val="18"/>
          <w:szCs w:val="18"/>
        </w:rPr>
        <w:t>ur</w:t>
      </w:r>
      <w:r w:rsidRPr="003C4F09">
        <w:rPr>
          <w:sz w:val="18"/>
          <w:szCs w:val="18"/>
        </w:rPr>
        <w:t>es</w:t>
      </w:r>
      <w:r w:rsidR="00355CA6">
        <w:rPr>
          <w:sz w:val="18"/>
          <w:szCs w:val="18"/>
        </w:rPr>
        <w:t xml:space="preserve">. </w:t>
      </w:r>
      <w:r w:rsidRPr="003C4F09">
        <w:rPr>
          <w:sz w:val="18"/>
          <w:szCs w:val="18"/>
        </w:rPr>
        <w:t xml:space="preserve">(c) </w:t>
      </w:r>
      <w:r w:rsidR="00355CA6">
        <w:rPr>
          <w:sz w:val="18"/>
          <w:szCs w:val="18"/>
        </w:rPr>
        <w:t xml:space="preserve">The photocatalyst system </w:t>
      </w:r>
      <w:r w:rsidRPr="003C4F09">
        <w:rPr>
          <w:sz w:val="18"/>
          <w:szCs w:val="18"/>
        </w:rPr>
        <w:t>used by McCulloch and co-workers.</w:t>
      </w:r>
      <w:r w:rsidRPr="00463871">
        <w:rPr>
          <w:noProof/>
          <w:sz w:val="18"/>
          <w:szCs w:val="18"/>
          <w:vertAlign w:val="superscript"/>
        </w:rPr>
        <w:t>4</w:t>
      </w:r>
      <w:r w:rsidR="00512B50">
        <w:rPr>
          <w:noProof/>
          <w:sz w:val="18"/>
          <w:szCs w:val="18"/>
        </w:rPr>
        <w:t xml:space="preserve"> </w:t>
      </w:r>
    </w:p>
    <w:p w14:paraId="6D127A71" w14:textId="7A9E5269" w:rsidR="00F10687" w:rsidRDefault="008E7EF9" w:rsidP="00066074">
      <w:pPr>
        <w:jc w:val="both"/>
      </w:pPr>
      <w:r>
        <w:lastRenderedPageBreak/>
        <w:t xml:space="preserve">Another problem is that most of </w:t>
      </w:r>
      <w:r w:rsidR="00321B50">
        <w:t xml:space="preserve">the </w:t>
      </w:r>
      <w:r w:rsidR="00355CA6">
        <w:t xml:space="preserve">organic photocatalysts investigated so far </w:t>
      </w:r>
      <w:r>
        <w:t xml:space="preserve">do not absorb light </w:t>
      </w:r>
      <w:r w:rsidR="00066074">
        <w:t xml:space="preserve">where the output of the </w:t>
      </w:r>
      <w:r w:rsidR="00066074" w:rsidRPr="00066074">
        <w:t>Sun</w:t>
      </w:r>
      <w:r w:rsidR="00066074">
        <w:t xml:space="preserve"> </w:t>
      </w:r>
      <w:r w:rsidR="00066074" w:rsidRPr="00066074">
        <w:t>that reaches</w:t>
      </w:r>
      <w:r w:rsidR="00066074">
        <w:t xml:space="preserve"> Earth’s surface is </w:t>
      </w:r>
      <w:r w:rsidR="00466A02" w:rsidRPr="00066074">
        <w:t>strongest</w:t>
      </w:r>
      <w:r w:rsidR="008F10D2">
        <w:t>;</w:t>
      </w:r>
      <w:r w:rsidR="00355CA6">
        <w:t xml:space="preserve"> indeed, </w:t>
      </w:r>
      <w:r>
        <w:t xml:space="preserve">most </w:t>
      </w:r>
      <w:r w:rsidR="00EE1440">
        <w:t xml:space="preserve">materials </w:t>
      </w:r>
      <w:r w:rsidR="00355CA6">
        <w:t xml:space="preserve">reported </w:t>
      </w:r>
      <w:r w:rsidR="00B96235">
        <w:t xml:space="preserve">only absorb visible light up to around 500 nm. </w:t>
      </w:r>
      <w:r w:rsidR="00BE646A">
        <w:t xml:space="preserve">While </w:t>
      </w:r>
      <w:r w:rsidR="00443B5C">
        <w:t xml:space="preserve">far infrared light </w:t>
      </w:r>
      <w:r w:rsidR="001E528E">
        <w:t>does not have the required energy to facilitate water splitting</w:t>
      </w:r>
      <w:r w:rsidR="00B34449">
        <w:t xml:space="preserve">, many photons in the red region are not used </w:t>
      </w:r>
      <w:r w:rsidR="00355CA6">
        <w:t xml:space="preserve">to generate hydrogen </w:t>
      </w:r>
      <w:r w:rsidR="00B34449">
        <w:t xml:space="preserve">by </w:t>
      </w:r>
      <w:r w:rsidR="00355CA6">
        <w:t>the organic</w:t>
      </w:r>
      <w:r w:rsidR="00B34449">
        <w:t xml:space="preserve"> </w:t>
      </w:r>
      <w:r w:rsidR="00355CA6">
        <w:t>catalysts reported thus far</w:t>
      </w:r>
      <w:r w:rsidR="006D6AEE">
        <w:t>.</w:t>
      </w:r>
    </w:p>
    <w:p w14:paraId="78F03B41" w14:textId="4B793980" w:rsidR="00C5590D" w:rsidRDefault="00A5444B" w:rsidP="001B694A">
      <w:pPr>
        <w:jc w:val="center"/>
      </w:pPr>
      <w:r w:rsidRPr="003C5515">
        <w:rPr>
          <w:noProof/>
          <w:lang w:eastAsia="en-GB"/>
        </w:rPr>
        <w:drawing>
          <wp:inline distT="0" distB="0" distL="0" distR="0" wp14:anchorId="2EFCD731" wp14:editId="52EF9022">
            <wp:extent cx="5162550" cy="31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36B5" w14:textId="45D3468F" w:rsidR="00C5590D" w:rsidRPr="003C4F09" w:rsidRDefault="00C5590D" w:rsidP="00EF373D">
      <w:pPr>
        <w:jc w:val="both"/>
        <w:rPr>
          <w:sz w:val="18"/>
          <w:szCs w:val="18"/>
        </w:rPr>
      </w:pPr>
      <w:r w:rsidRPr="003C4F09">
        <w:rPr>
          <w:b/>
          <w:sz w:val="18"/>
          <w:szCs w:val="18"/>
        </w:rPr>
        <w:t xml:space="preserve">Figure </w:t>
      </w:r>
      <w:r w:rsidR="00CE545D">
        <w:rPr>
          <w:b/>
          <w:sz w:val="18"/>
          <w:szCs w:val="18"/>
        </w:rPr>
        <w:t>2</w:t>
      </w:r>
      <w:r w:rsidRPr="00066074">
        <w:rPr>
          <w:sz w:val="18"/>
          <w:szCs w:val="18"/>
        </w:rPr>
        <w:t>.</w:t>
      </w:r>
      <w:r w:rsidRPr="00D335B0">
        <w:rPr>
          <w:sz w:val="18"/>
          <w:szCs w:val="18"/>
        </w:rPr>
        <w:t xml:space="preserve"> </w:t>
      </w:r>
      <w:r w:rsidR="00EF373D" w:rsidRPr="00066074">
        <w:rPr>
          <w:b/>
          <w:sz w:val="18"/>
          <w:szCs w:val="18"/>
        </w:rPr>
        <w:t>Hydrogen production using different types of photocatalyst morphologies</w:t>
      </w:r>
      <w:r w:rsidR="00450DED">
        <w:rPr>
          <w:b/>
          <w:sz w:val="18"/>
          <w:szCs w:val="18"/>
        </w:rPr>
        <w:t>:</w:t>
      </w:r>
      <w:r w:rsidR="00EF373D">
        <w:rPr>
          <w:sz w:val="18"/>
          <w:szCs w:val="18"/>
        </w:rPr>
        <w:t xml:space="preserve"> </w:t>
      </w:r>
      <w:r w:rsidR="00321B50">
        <w:rPr>
          <w:sz w:val="18"/>
          <w:szCs w:val="18"/>
        </w:rPr>
        <w:t xml:space="preserve">Photocatalytic </w:t>
      </w:r>
      <w:r w:rsidR="00181210">
        <w:rPr>
          <w:sz w:val="18"/>
          <w:szCs w:val="18"/>
        </w:rPr>
        <w:t xml:space="preserve">activity of core-shell photocatalysts </w:t>
      </w:r>
      <w:r w:rsidRPr="003C4F09">
        <w:rPr>
          <w:sz w:val="18"/>
          <w:szCs w:val="18"/>
        </w:rPr>
        <w:t>(a</w:t>
      </w:r>
      <w:r w:rsidR="00181210">
        <w:rPr>
          <w:sz w:val="18"/>
          <w:szCs w:val="18"/>
        </w:rPr>
        <w:t xml:space="preserve">, </w:t>
      </w:r>
      <w:r w:rsidRPr="003C4F09">
        <w:rPr>
          <w:sz w:val="18"/>
          <w:szCs w:val="18"/>
        </w:rPr>
        <w:t xml:space="preserve">b) and </w:t>
      </w:r>
      <w:r w:rsidR="00181210">
        <w:rPr>
          <w:sz w:val="18"/>
          <w:szCs w:val="18"/>
        </w:rPr>
        <w:t>heterojunction photocatalysts</w:t>
      </w:r>
      <w:r w:rsidRPr="003C4F09">
        <w:rPr>
          <w:sz w:val="18"/>
          <w:szCs w:val="18"/>
        </w:rPr>
        <w:t xml:space="preserve"> (c</w:t>
      </w:r>
      <w:r w:rsidR="00181210">
        <w:rPr>
          <w:sz w:val="18"/>
          <w:szCs w:val="18"/>
        </w:rPr>
        <w:t>, d</w:t>
      </w:r>
      <w:r w:rsidRPr="003C4F09">
        <w:rPr>
          <w:sz w:val="18"/>
          <w:szCs w:val="18"/>
        </w:rPr>
        <w:t>) used by McCulloch and co-workers.</w:t>
      </w:r>
      <w:r w:rsidRPr="00463871">
        <w:rPr>
          <w:noProof/>
          <w:sz w:val="18"/>
          <w:szCs w:val="18"/>
          <w:vertAlign w:val="superscript"/>
        </w:rPr>
        <w:t>4</w:t>
      </w:r>
      <w:r w:rsidR="007636BE">
        <w:rPr>
          <w:noProof/>
          <w:sz w:val="18"/>
          <w:szCs w:val="18"/>
          <w:vertAlign w:val="superscript"/>
        </w:rPr>
        <w:t xml:space="preserve"> </w:t>
      </w:r>
      <w:r w:rsidR="007636BE" w:rsidRPr="007636BE">
        <w:rPr>
          <w:noProof/>
          <w:sz w:val="18"/>
          <w:szCs w:val="18"/>
          <w:highlight w:val="yellow"/>
        </w:rPr>
        <w:t>Reproduced with permission.</w:t>
      </w:r>
      <w:r w:rsidR="007636BE" w:rsidRPr="007636BE">
        <w:rPr>
          <w:noProof/>
          <w:sz w:val="18"/>
          <w:szCs w:val="18"/>
          <w:highlight w:val="yellow"/>
          <w:vertAlign w:val="superscript"/>
        </w:rPr>
        <w:t>4</w:t>
      </w:r>
      <w:r w:rsidR="007636BE" w:rsidRPr="007636BE">
        <w:rPr>
          <w:noProof/>
          <w:sz w:val="18"/>
          <w:szCs w:val="18"/>
          <w:highlight w:val="yellow"/>
        </w:rPr>
        <w:t xml:space="preserve"> Copyright 2020, Nature Research.</w:t>
      </w:r>
    </w:p>
    <w:p w14:paraId="29258E9A" w14:textId="3DF835D1" w:rsidR="006C687F" w:rsidRDefault="00DD1D55" w:rsidP="00ED2151">
      <w:pPr>
        <w:jc w:val="both"/>
      </w:pPr>
      <w:r>
        <w:t xml:space="preserve">Recently, </w:t>
      </w:r>
      <w:r w:rsidR="00D915F9" w:rsidRPr="00D915F9">
        <w:t>McCulloch</w:t>
      </w:r>
      <w:r w:rsidR="00D915F9">
        <w:t xml:space="preserve"> and co-workers </w:t>
      </w:r>
      <w:r>
        <w:t xml:space="preserve">overcame </w:t>
      </w:r>
      <w:r w:rsidR="00803989">
        <w:t xml:space="preserve">these </w:t>
      </w:r>
      <w:r>
        <w:t xml:space="preserve">limitations </w:t>
      </w:r>
      <w:r w:rsidR="00803989">
        <w:t xml:space="preserve">by </w:t>
      </w:r>
      <w:r w:rsidR="005E7BD1">
        <w:t>using conjugated polymer/non-fullerene acceptor hetero</w:t>
      </w:r>
      <w:r w:rsidR="00DC0A71">
        <w:t>junction</w:t>
      </w:r>
      <w:r w:rsidR="00652CBA">
        <w:t xml:space="preserve"> nanoparticles</w:t>
      </w:r>
      <w:r>
        <w:t>.</w:t>
      </w:r>
      <w:r w:rsidR="00463871" w:rsidRPr="00463871">
        <w:rPr>
          <w:noProof/>
          <w:vertAlign w:val="superscript"/>
        </w:rPr>
        <w:t>4</w:t>
      </w:r>
      <w:r w:rsidR="00412511">
        <w:t xml:space="preserve"> </w:t>
      </w:r>
      <w:r>
        <w:t>T</w:t>
      </w:r>
      <w:r w:rsidR="002E4C2D">
        <w:t xml:space="preserve">he energy off-set of the </w:t>
      </w:r>
      <w:r w:rsidR="00BB2E88">
        <w:t>conjugated polymer (</w:t>
      </w:r>
      <w:r w:rsidR="00BB2E88" w:rsidRPr="0092137A">
        <w:rPr>
          <w:b/>
        </w:rPr>
        <w:t>PTB7-Th</w:t>
      </w:r>
      <w:r w:rsidR="00BB2E88">
        <w:t xml:space="preserve">) relative to the </w:t>
      </w:r>
      <w:r w:rsidR="00BB2E88" w:rsidRPr="00CB323D">
        <w:t>acceptor molecule (</w:t>
      </w:r>
      <w:r w:rsidR="00BB2E88" w:rsidRPr="0092137A">
        <w:rPr>
          <w:b/>
        </w:rPr>
        <w:t>EH-IDTBR</w:t>
      </w:r>
      <w:r w:rsidR="00BB2E88" w:rsidRPr="00CB323D">
        <w:t>)</w:t>
      </w:r>
      <w:r w:rsidR="00BB2E88">
        <w:t xml:space="preserve"> </w:t>
      </w:r>
      <w:r>
        <w:t xml:space="preserve">results </w:t>
      </w:r>
      <w:r w:rsidR="005A3460">
        <w:t>in exciton separation at the interface. This</w:t>
      </w:r>
      <w:r w:rsidR="00412511">
        <w:t xml:space="preserve"> approach has been used extensively in organic </w:t>
      </w:r>
      <w:r w:rsidR="00412511" w:rsidRPr="006C5B5B">
        <w:t>photovoltaic devices</w:t>
      </w:r>
      <w:r w:rsidR="00D9565D" w:rsidRPr="006C5B5B">
        <w:rPr>
          <w:noProof/>
          <w:sz w:val="18"/>
          <w:szCs w:val="18"/>
          <w:vertAlign w:val="superscript"/>
        </w:rPr>
        <w:t>3</w:t>
      </w:r>
      <w:r w:rsidR="00DA7BCA" w:rsidRPr="006C5B5B">
        <w:t xml:space="preserve"> </w:t>
      </w:r>
      <w:r w:rsidR="008429EB">
        <w:t xml:space="preserve">(Fig. 1a) </w:t>
      </w:r>
      <w:r w:rsidR="005A3460" w:rsidRPr="006C5B5B">
        <w:t xml:space="preserve">and </w:t>
      </w:r>
      <w:r>
        <w:t xml:space="preserve">it </w:t>
      </w:r>
      <w:r w:rsidR="005A3460" w:rsidRPr="006C5B5B">
        <w:t xml:space="preserve">was found to be highly </w:t>
      </w:r>
      <w:r>
        <w:t>effective here for photocatalytic hydrogen production</w:t>
      </w:r>
      <w:r w:rsidR="003C4F09" w:rsidRPr="000504E5">
        <w:t>.</w:t>
      </w:r>
      <w:r w:rsidR="00A56EE3" w:rsidRPr="000504E5">
        <w:t xml:space="preserve"> </w:t>
      </w:r>
      <w:r w:rsidR="006C5B5B" w:rsidRPr="000504E5">
        <w:t>Control of the interface and mixing was found to be crucial</w:t>
      </w:r>
      <w:r>
        <w:t xml:space="preserve">, and </w:t>
      </w:r>
      <w:r w:rsidR="006C5B5B" w:rsidRPr="000504E5">
        <w:t>core</w:t>
      </w:r>
      <w:r w:rsidR="00BA0561">
        <w:t>-</w:t>
      </w:r>
      <w:r w:rsidR="006C5B5B" w:rsidRPr="000504E5">
        <w:t xml:space="preserve">shell nanoparticles were </w:t>
      </w:r>
      <w:r w:rsidR="00B5070A" w:rsidRPr="000504E5">
        <w:t xml:space="preserve">found to be </w:t>
      </w:r>
      <w:r w:rsidR="005F16A8" w:rsidRPr="000504E5">
        <w:t>inefficient</w:t>
      </w:r>
      <w:r>
        <w:t>. A</w:t>
      </w:r>
      <w:r w:rsidR="005F16A8" w:rsidRPr="000504E5">
        <w:t xml:space="preserve"> transition to </w:t>
      </w:r>
      <w:r w:rsidR="006B72B8">
        <w:t xml:space="preserve">heterojunctions </w:t>
      </w:r>
      <w:r w:rsidR="005F16A8" w:rsidRPr="000504E5">
        <w:t xml:space="preserve">was made by controlling the </w:t>
      </w:r>
      <w:r w:rsidR="00061F4F">
        <w:t>polymer</w:t>
      </w:r>
      <w:r w:rsidR="00F463CE">
        <w:rPr>
          <w:rFonts w:cs="Calibri"/>
        </w:rPr>
        <w:t>–</w:t>
      </w:r>
      <w:r w:rsidR="00061F4F">
        <w:t xml:space="preserve">acceptor </w:t>
      </w:r>
      <w:r w:rsidR="005F16A8" w:rsidRPr="000504E5">
        <w:t>interface</w:t>
      </w:r>
      <w:r w:rsidR="00061F4F">
        <w:t xml:space="preserve"> (Figure 1b)</w:t>
      </w:r>
      <w:r w:rsidR="00BF6863">
        <w:t>.</w:t>
      </w:r>
      <w:r w:rsidR="00083F5C">
        <w:t xml:space="preserve"> </w:t>
      </w:r>
      <w:r>
        <w:t>M</w:t>
      </w:r>
      <w:r w:rsidR="005F16A8" w:rsidRPr="000504E5">
        <w:t>uch higher</w:t>
      </w:r>
      <w:r w:rsidR="000F2DD6" w:rsidRPr="000504E5">
        <w:t xml:space="preserve"> photocatalytic activities were observed</w:t>
      </w:r>
      <w:r w:rsidR="00155FC4">
        <w:t xml:space="preserve"> </w:t>
      </w:r>
      <w:r w:rsidR="00BF6863">
        <w:t>for the</w:t>
      </w:r>
      <w:r>
        <w:t>se</w:t>
      </w:r>
      <w:r w:rsidR="00BF6863">
        <w:t xml:space="preserve"> heter</w:t>
      </w:r>
      <w:r w:rsidR="00CC096B">
        <w:t>o</w:t>
      </w:r>
      <w:r w:rsidR="00BF6863">
        <w:t xml:space="preserve">junction photocatalysts compared to the core-shell photocatalysts </w:t>
      </w:r>
      <w:r w:rsidR="00155FC4">
        <w:t>after loading with a metal co-catalyst</w:t>
      </w:r>
      <w:r w:rsidR="005407DF">
        <w:t xml:space="preserve"> </w:t>
      </w:r>
      <w:r w:rsidR="00B0267E">
        <w:t xml:space="preserve">in the presence of a sacrificial hole scavenger </w:t>
      </w:r>
      <w:r w:rsidR="005407DF">
        <w:t>(Figure 2)</w:t>
      </w:r>
      <w:r w:rsidR="006A68EB">
        <w:t>.</w:t>
      </w:r>
      <w:r w:rsidR="00ED2151">
        <w:t xml:space="preserve"> While the </w:t>
      </w:r>
      <w:r>
        <w:t>so</w:t>
      </w:r>
      <w:r w:rsidR="008C6BC2">
        <w:t>-called external quantum efficiencies</w:t>
      </w:r>
      <w:r w:rsidR="00F463CE">
        <w:t xml:space="preserve"> (EQE)</w:t>
      </w:r>
      <w:r w:rsidR="00ED2151">
        <w:t xml:space="preserve"> </w:t>
      </w:r>
      <w:r>
        <w:t xml:space="preserve">were relatively </w:t>
      </w:r>
      <w:r w:rsidR="00ED2151">
        <w:t xml:space="preserve">low </w:t>
      </w:r>
      <w:r w:rsidR="00615D05">
        <w:t xml:space="preserve">(2% at 400 nm to 6.2% at 700 nm) </w:t>
      </w:r>
      <w:r w:rsidR="00ED2151">
        <w:t xml:space="preserve">compared to state-of-the-art organic photocatalysts </w:t>
      </w:r>
      <w:r w:rsidR="00615D05">
        <w:t>(</w:t>
      </w:r>
      <w:r w:rsidR="00B63300" w:rsidRPr="000D5544">
        <w:rPr>
          <w:i/>
        </w:rPr>
        <w:t>e.g.</w:t>
      </w:r>
      <w:r w:rsidR="00061F4F">
        <w:t xml:space="preserve">, </w:t>
      </w:r>
      <w:r w:rsidR="00B63300">
        <w:t xml:space="preserve">22.8% at 420 nm for </w:t>
      </w:r>
      <w:r w:rsidR="00B63300" w:rsidRPr="00B63300">
        <w:t>covalent triazine</w:t>
      </w:r>
      <w:r w:rsidR="00B63300">
        <w:t>-based</w:t>
      </w:r>
      <w:r w:rsidR="00B63300" w:rsidRPr="00B63300">
        <w:t xml:space="preserve"> frameworks</w:t>
      </w:r>
      <w:r w:rsidR="003D40BB" w:rsidRPr="003D40BB">
        <w:rPr>
          <w:noProof/>
          <w:vertAlign w:val="superscript"/>
        </w:rPr>
        <w:t>5</w:t>
      </w:r>
      <w:r w:rsidR="00B63300">
        <w:t>)</w:t>
      </w:r>
      <w:r>
        <w:t>,</w:t>
      </w:r>
      <w:r w:rsidR="00B63300">
        <w:t xml:space="preserve"> </w:t>
      </w:r>
      <w:r w:rsidR="00ED2151">
        <w:t xml:space="preserve">the </w:t>
      </w:r>
      <w:r>
        <w:t xml:space="preserve">light </w:t>
      </w:r>
      <w:r w:rsidR="00ED2151">
        <w:t xml:space="preserve">absorption </w:t>
      </w:r>
      <w:r>
        <w:t xml:space="preserve">was </w:t>
      </w:r>
      <w:r w:rsidR="00ED2151">
        <w:t xml:space="preserve">extended to the range of </w:t>
      </w:r>
      <w:r w:rsidR="00CB323D">
        <w:t>500</w:t>
      </w:r>
      <w:r>
        <w:t>—</w:t>
      </w:r>
      <w:r w:rsidR="00CB323D">
        <w:t>750 nm</w:t>
      </w:r>
      <w:r w:rsidR="00801883">
        <w:t xml:space="preserve"> for the </w:t>
      </w:r>
      <w:r w:rsidR="001776DF" w:rsidRPr="00732D27">
        <w:rPr>
          <w:b/>
        </w:rPr>
        <w:t>PTB7-Th</w:t>
      </w:r>
      <w:r w:rsidR="001776DF" w:rsidRPr="001776DF">
        <w:t>/</w:t>
      </w:r>
      <w:r w:rsidR="001776DF" w:rsidRPr="00732D27">
        <w:rPr>
          <w:b/>
        </w:rPr>
        <w:t>EH-IDTBR</w:t>
      </w:r>
      <w:r w:rsidR="001776DF" w:rsidRPr="001776DF">
        <w:t xml:space="preserve"> </w:t>
      </w:r>
      <w:r w:rsidR="006B72B8">
        <w:t>heterojunctions</w:t>
      </w:r>
      <w:r w:rsidR="00CB323D">
        <w:t xml:space="preserve">, </w:t>
      </w:r>
      <w:r w:rsidR="00061F4F">
        <w:t xml:space="preserve">thus </w:t>
      </w:r>
      <w:r w:rsidR="00CB323D">
        <w:t>cov</w:t>
      </w:r>
      <w:r w:rsidR="00CB323D" w:rsidRPr="00CB323D">
        <w:t xml:space="preserve">ering a </w:t>
      </w:r>
      <w:r>
        <w:t xml:space="preserve">much </w:t>
      </w:r>
      <w:r w:rsidR="00CB323D" w:rsidRPr="00CB323D">
        <w:t>large</w:t>
      </w:r>
      <w:r>
        <w:t>r</w:t>
      </w:r>
      <w:r w:rsidR="00CB323D" w:rsidRPr="00CB323D">
        <w:t xml:space="preserve"> proportion of the visible light spectrum</w:t>
      </w:r>
      <w:r w:rsidR="00EF360D">
        <w:t>,</w:t>
      </w:r>
      <w:r w:rsidR="006C687F">
        <w:t xml:space="preserve"> </w:t>
      </w:r>
      <w:r w:rsidR="00531AFF">
        <w:t>which greatly enhances the performance of the</w:t>
      </w:r>
      <w:r>
        <w:t>se heterojunction</w:t>
      </w:r>
      <w:r w:rsidR="00531AFF">
        <w:t xml:space="preserve"> composites.</w:t>
      </w:r>
      <w:r w:rsidR="00061F4F">
        <w:t xml:space="preserve"> This is an important step forward in the control of function for organic photocatalysts.</w:t>
      </w:r>
    </w:p>
    <w:p w14:paraId="7E202B2D" w14:textId="77777777" w:rsidR="00C266B0" w:rsidRDefault="00C266B0" w:rsidP="00F10687">
      <w:pPr>
        <w:jc w:val="both"/>
      </w:pPr>
    </w:p>
    <w:p w14:paraId="20DC8369" w14:textId="31434E50" w:rsidR="00F774DD" w:rsidRDefault="00DD1D55" w:rsidP="00F10687">
      <w:pPr>
        <w:jc w:val="both"/>
      </w:pPr>
      <w:r>
        <w:t>I</w:t>
      </w:r>
      <w:r w:rsidR="009F7DD6">
        <w:t>ndependently</w:t>
      </w:r>
      <w:r>
        <w:t xml:space="preserve">, we </w:t>
      </w:r>
      <w:r w:rsidR="009F7DD6">
        <w:t xml:space="preserve">explored a very similar approach in creating </w:t>
      </w:r>
      <w:r w:rsidR="006B72B8">
        <w:t xml:space="preserve">heterojunctions </w:t>
      </w:r>
      <w:r w:rsidR="009F7DD6">
        <w:t>of conjugated polymers/non-fullerene acceptors</w:t>
      </w:r>
      <w:r w:rsidR="003A003C">
        <w:t xml:space="preserve"> using a </w:t>
      </w:r>
      <w:r w:rsidR="003A003C" w:rsidRPr="003A003C">
        <w:t xml:space="preserve">semi-automated </w:t>
      </w:r>
      <w:r w:rsidR="00061F4F">
        <w:t xml:space="preserve">robotic </w:t>
      </w:r>
      <w:r w:rsidR="003A003C" w:rsidRPr="003A003C">
        <w:t>screening</w:t>
      </w:r>
      <w:r w:rsidR="003A003C">
        <w:t xml:space="preserve"> approach </w:t>
      </w:r>
      <w:r>
        <w:t xml:space="preserve">that allowed </w:t>
      </w:r>
      <w:r w:rsidR="003A003C">
        <w:t>us to explore a large number of donor</w:t>
      </w:r>
      <w:r w:rsidR="00F463CE">
        <w:rPr>
          <w:rFonts w:cs="Calibri"/>
        </w:rPr>
        <w:t>–</w:t>
      </w:r>
      <w:r w:rsidR="003A003C">
        <w:t>acceptor combinations and different ratios</w:t>
      </w:r>
      <w:r>
        <w:t>, including ternary systems</w:t>
      </w:r>
      <w:r w:rsidR="003A003C">
        <w:t>.</w:t>
      </w:r>
      <w:r w:rsidR="003D40BB" w:rsidRPr="003D40BB">
        <w:rPr>
          <w:noProof/>
          <w:vertAlign w:val="superscript"/>
        </w:rPr>
        <w:t>6</w:t>
      </w:r>
      <w:r>
        <w:t xml:space="preserve"> As in the work of </w:t>
      </w:r>
      <w:r w:rsidR="00F774DD" w:rsidRPr="00D915F9">
        <w:t>McCulloch</w:t>
      </w:r>
      <w:r w:rsidR="00F774DD">
        <w:t xml:space="preserve"> and co-workers</w:t>
      </w:r>
      <w:r>
        <w:t>,</w:t>
      </w:r>
      <w:r w:rsidR="00F774DD">
        <w:t xml:space="preserve"> we also </w:t>
      </w:r>
      <w:r>
        <w:t xml:space="preserve">found </w:t>
      </w:r>
      <w:r w:rsidR="00F774DD">
        <w:t xml:space="preserve">that this approach leads to large </w:t>
      </w:r>
      <w:r w:rsidR="00F774DD">
        <w:lastRenderedPageBreak/>
        <w:t>improvements in activity for sacrificial hydrogen production from water.</w:t>
      </w:r>
      <w:r w:rsidR="00751D0B">
        <w:t xml:space="preserve"> </w:t>
      </w:r>
      <w:r w:rsidR="00F463CE">
        <w:t>Similarly</w:t>
      </w:r>
      <w:r>
        <w:t>,</w:t>
      </w:r>
      <w:r w:rsidR="00F02BD9" w:rsidRPr="00F02BD9">
        <w:t xml:space="preserve"> we also use</w:t>
      </w:r>
      <w:r>
        <w:t>d</w:t>
      </w:r>
      <w:r w:rsidR="00F02BD9" w:rsidRPr="00F02BD9">
        <w:t xml:space="preserve"> nanoparticles </w:t>
      </w:r>
      <w:r w:rsidR="00061F4F">
        <w:t>because</w:t>
      </w:r>
      <w:r w:rsidR="00F02BD9" w:rsidRPr="00F02BD9">
        <w:t xml:space="preserve"> it increases the area of the composite </w:t>
      </w:r>
      <w:r>
        <w:t xml:space="preserve">that is </w:t>
      </w:r>
      <w:r w:rsidR="00F02BD9" w:rsidRPr="00F02BD9">
        <w:t>in contact with</w:t>
      </w:r>
      <w:r w:rsidR="005F225A">
        <w:t xml:space="preserve"> </w:t>
      </w:r>
      <w:r w:rsidR="00E40590" w:rsidRPr="00F02BD9">
        <w:t>water and hole scavenger</w:t>
      </w:r>
      <w:r w:rsidR="00E40590">
        <w:t>.</w:t>
      </w:r>
    </w:p>
    <w:p w14:paraId="2DEC2E28" w14:textId="77777777" w:rsidR="008D51D9" w:rsidRDefault="00CE362D" w:rsidP="000D5544">
      <w:pPr>
        <w:jc w:val="both"/>
      </w:pPr>
      <w:r>
        <w:t xml:space="preserve">The </w:t>
      </w:r>
      <w:r w:rsidR="0080438F">
        <w:t xml:space="preserve">organic </w:t>
      </w:r>
      <w:r w:rsidR="006B72B8">
        <w:t xml:space="preserve">heterojunction </w:t>
      </w:r>
      <w:r w:rsidR="00061F4F">
        <w:t xml:space="preserve">approach </w:t>
      </w:r>
      <w:r>
        <w:t>can</w:t>
      </w:r>
      <w:r w:rsidR="00683D14">
        <w:t xml:space="preserve">, in principle, </w:t>
      </w:r>
      <w:r>
        <w:t>be extended to a whole range of other or</w:t>
      </w:r>
      <w:r w:rsidR="00683D14">
        <w:t xml:space="preserve">ganic </w:t>
      </w:r>
      <w:r>
        <w:t>mate</w:t>
      </w:r>
      <w:r w:rsidR="00683D14">
        <w:t>rial</w:t>
      </w:r>
      <w:r w:rsidR="0080438F">
        <w:t>s</w:t>
      </w:r>
      <w:r w:rsidR="00CE4D86">
        <w:t xml:space="preserve"> including </w:t>
      </w:r>
      <w:r>
        <w:t xml:space="preserve">covalent organic frameworks </w:t>
      </w:r>
      <w:r w:rsidR="006B409A">
        <w:t xml:space="preserve">(COFs) </w:t>
      </w:r>
      <w:r>
        <w:t xml:space="preserve">and molecular </w:t>
      </w:r>
      <w:r w:rsidR="0080438F">
        <w:t xml:space="preserve">organic </w:t>
      </w:r>
      <w:r>
        <w:t>crystals.</w:t>
      </w:r>
      <w:r w:rsidR="00683D14">
        <w:t xml:space="preserve"> </w:t>
      </w:r>
      <w:r w:rsidR="006B409A">
        <w:t>COFs</w:t>
      </w:r>
      <w:r w:rsidR="5FDE8CB4">
        <w:t xml:space="preserve"> and molecular </w:t>
      </w:r>
      <w:r w:rsidR="00683D14">
        <w:t>crystal</w:t>
      </w:r>
      <w:r w:rsidR="00B34339">
        <w:t>s</w:t>
      </w:r>
      <w:r w:rsidR="5FDE8CB4">
        <w:t xml:space="preserve"> </w:t>
      </w:r>
      <w:r w:rsidR="00683D14">
        <w:t>are modular</w:t>
      </w:r>
      <w:r w:rsidR="0080438F">
        <w:t xml:space="preserve"> materials</w:t>
      </w:r>
      <w:r w:rsidR="00B34339">
        <w:t xml:space="preserve">, meaning </w:t>
      </w:r>
      <w:r w:rsidR="00E44F55">
        <w:t xml:space="preserve">that </w:t>
      </w:r>
      <w:r w:rsidR="00B34339">
        <w:t xml:space="preserve">they can be processed into co-crystals or </w:t>
      </w:r>
      <w:r w:rsidR="00CE4D86">
        <w:t>solid solutions</w:t>
      </w:r>
      <w:r w:rsidR="00B34339">
        <w:t xml:space="preserve"> to </w:t>
      </w:r>
      <w:r w:rsidR="00BA0561">
        <w:t>tune</w:t>
      </w:r>
      <w:r w:rsidR="00B34339">
        <w:t xml:space="preserve"> their structures and functions</w:t>
      </w:r>
      <w:r w:rsidR="00CE4D86">
        <w:t xml:space="preserve">. </w:t>
      </w:r>
      <w:r w:rsidR="00B34339">
        <w:t xml:space="preserve">However, it remains challenging to </w:t>
      </w:r>
      <w:r w:rsidR="00CC096B">
        <w:t>alter</w:t>
      </w:r>
      <w:r w:rsidR="00B34339">
        <w:t xml:space="preserve"> </w:t>
      </w:r>
      <w:r w:rsidR="5FDE8CB4">
        <w:t xml:space="preserve">structural features in these </w:t>
      </w:r>
      <w:r w:rsidR="00E44F55">
        <w:t xml:space="preserve">organic </w:t>
      </w:r>
      <w:r w:rsidR="5FDE8CB4">
        <w:t>solids</w:t>
      </w:r>
      <w:r w:rsidR="0080438F">
        <w:t xml:space="preserve"> in a purposeful way</w:t>
      </w:r>
      <w:r w:rsidR="5FDE8CB4">
        <w:t xml:space="preserve"> </w:t>
      </w:r>
      <w:r w:rsidR="0080438F">
        <w:t xml:space="preserve">to achieve superior function: </w:t>
      </w:r>
      <w:r w:rsidR="00B34339">
        <w:t xml:space="preserve">for example, to </w:t>
      </w:r>
      <w:proofErr w:type="spellStart"/>
      <w:r w:rsidR="00BA0561">
        <w:t>favorably</w:t>
      </w:r>
      <w:proofErr w:type="spellEnd"/>
      <w:r w:rsidR="00BA0561">
        <w:t xml:space="preserve"> </w:t>
      </w:r>
      <w:r w:rsidR="00CC096B">
        <w:t xml:space="preserve">tune </w:t>
      </w:r>
      <w:r w:rsidR="00683D14">
        <w:t xml:space="preserve">their </w:t>
      </w:r>
      <w:r w:rsidR="5FDE8CB4">
        <w:t>light adsorption</w:t>
      </w:r>
      <w:r w:rsidR="001D3B04">
        <w:t xml:space="preserve"> profile</w:t>
      </w:r>
      <w:r w:rsidR="5FDE8CB4">
        <w:t xml:space="preserve">, charge-transport </w:t>
      </w:r>
      <w:proofErr w:type="spellStart"/>
      <w:r w:rsidR="5FDE8CB4">
        <w:t>behavior</w:t>
      </w:r>
      <w:proofErr w:type="spellEnd"/>
      <w:r w:rsidR="5FDE8CB4">
        <w:t>, electronic conductivity, porosity, and wettability</w:t>
      </w:r>
      <w:r w:rsidR="00683D14">
        <w:t>.</w:t>
      </w:r>
      <w:r w:rsidR="00B34339">
        <w:t xml:space="preserve"> </w:t>
      </w:r>
    </w:p>
    <w:p w14:paraId="46AA2857" w14:textId="03C0E131" w:rsidR="00DE035D" w:rsidRDefault="000361C6" w:rsidP="000D5544">
      <w:pPr>
        <w:jc w:val="both"/>
      </w:pPr>
      <w:r>
        <w:t>Recently, w</w:t>
      </w:r>
      <w:r w:rsidR="00AF4234">
        <w:t xml:space="preserve">e have </w:t>
      </w:r>
      <w:r>
        <w:t xml:space="preserve">been </w:t>
      </w:r>
      <w:r w:rsidR="0080438F">
        <w:t>studying the relationship between</w:t>
      </w:r>
      <w:r>
        <w:t xml:space="preserve"> the structures of </w:t>
      </w:r>
      <w:r w:rsidR="00AF4234">
        <w:t xml:space="preserve">COFs and organic molecular crystals </w:t>
      </w:r>
      <w:r w:rsidR="0080438F">
        <w:t>and their</w:t>
      </w:r>
      <w:r>
        <w:t xml:space="preserve"> photocatalytic performa</w:t>
      </w:r>
      <w:r w:rsidR="00BA0561">
        <w:t>n</w:t>
      </w:r>
      <w:r>
        <w:t>ce</w:t>
      </w:r>
      <w:r w:rsidR="006B409A">
        <w:t xml:space="preserve">. </w:t>
      </w:r>
      <w:r w:rsidR="0080438F">
        <w:t>Previously</w:t>
      </w:r>
      <w:r w:rsidR="001D3B04">
        <w:t xml:space="preserve">, </w:t>
      </w:r>
      <w:r w:rsidR="0091496B">
        <w:t>w</w:t>
      </w:r>
      <w:r>
        <w:t xml:space="preserve">e found that a </w:t>
      </w:r>
      <w:r w:rsidR="5FDE8CB4">
        <w:t xml:space="preserve">porous fused sulfone-based 2D </w:t>
      </w:r>
      <w:r w:rsidR="009A79F3">
        <w:t>COF</w:t>
      </w:r>
      <w:r w:rsidR="5FDE8CB4">
        <w:t xml:space="preserve"> </w:t>
      </w:r>
      <w:r>
        <w:t>could be dye sensitised to improve its p</w:t>
      </w:r>
      <w:r w:rsidR="0091496B">
        <w:t>hotocatalytic performa</w:t>
      </w:r>
      <w:r w:rsidR="00BA0561">
        <w:t>n</w:t>
      </w:r>
      <w:r w:rsidR="0091496B">
        <w:t>ce</w:t>
      </w:r>
      <w:r>
        <w:t xml:space="preserve"> </w:t>
      </w:r>
      <w:r w:rsidR="5FDE8CB4">
        <w:t>(</w:t>
      </w:r>
      <w:r w:rsidR="5FDE8CB4" w:rsidRPr="00E44F55">
        <w:rPr>
          <w:b/>
        </w:rPr>
        <w:t>FS-COF</w:t>
      </w:r>
      <w:r w:rsidR="5FDE8CB4">
        <w:t xml:space="preserve">, Figure </w:t>
      </w:r>
      <w:r w:rsidR="001E10A4">
        <w:t>3a</w:t>
      </w:r>
      <w:r w:rsidR="5FDE8CB4">
        <w:t>)</w:t>
      </w:r>
      <w:r w:rsidR="001E10A4" w:rsidRPr="001E10A4">
        <w:rPr>
          <w:noProof/>
          <w:vertAlign w:val="superscript"/>
        </w:rPr>
        <w:t>7</w:t>
      </w:r>
      <w:r>
        <w:t xml:space="preserve">. </w:t>
      </w:r>
      <w:r w:rsidR="0080438F">
        <w:t>B</w:t>
      </w:r>
      <w:r w:rsidRPr="00CC096B">
        <w:t xml:space="preserve">y introducing </w:t>
      </w:r>
      <w:r w:rsidR="00CC096B" w:rsidRPr="00CC096B">
        <w:t>a near-infrared absorbing dye</w:t>
      </w:r>
      <w:r w:rsidRPr="00CC096B">
        <w:t xml:space="preserve"> into the</w:t>
      </w:r>
      <w:r w:rsidR="00CC096B">
        <w:t xml:space="preserve"> pores of</w:t>
      </w:r>
      <w:r w:rsidRPr="00CC096B">
        <w:t xml:space="preserve"> </w:t>
      </w:r>
      <w:r w:rsidR="00CC096B" w:rsidRPr="00CC096B">
        <w:rPr>
          <w:b/>
        </w:rPr>
        <w:t>FS-</w:t>
      </w:r>
      <w:r w:rsidR="0080438F" w:rsidRPr="00CC096B">
        <w:rPr>
          <w:b/>
        </w:rPr>
        <w:t>COF</w:t>
      </w:r>
      <w:r w:rsidR="0080438F">
        <w:t xml:space="preserve">, </w:t>
      </w:r>
      <w:r w:rsidRPr="00CC096B">
        <w:t xml:space="preserve">we </w:t>
      </w:r>
      <w:r w:rsidR="00BA0561" w:rsidRPr="00CC096B">
        <w:t xml:space="preserve">increased </w:t>
      </w:r>
      <w:r w:rsidR="00CC096B" w:rsidRPr="00CC096B">
        <w:t xml:space="preserve">the </w:t>
      </w:r>
      <w:r w:rsidR="5FDE8CB4" w:rsidRPr="00CC096B">
        <w:t xml:space="preserve">EQE </w:t>
      </w:r>
      <w:r w:rsidR="00CC096B">
        <w:t xml:space="preserve">of the COF </w:t>
      </w:r>
      <w:r w:rsidR="00CC096B" w:rsidRPr="00CC096B">
        <w:t>from 0.6 to 2.2% at 600</w:t>
      </w:r>
      <w:r w:rsidR="00CC096B">
        <w:t xml:space="preserve"> </w:t>
      </w:r>
      <w:r w:rsidR="00CC096B" w:rsidRPr="00CC096B">
        <w:t>nm</w:t>
      </w:r>
      <w:r w:rsidR="00CC096B">
        <w:t xml:space="preserve">. </w:t>
      </w:r>
      <w:r w:rsidR="0080438F">
        <w:t>Likewise,</w:t>
      </w:r>
      <w:r w:rsidR="00CC096B">
        <w:t xml:space="preserve"> </w:t>
      </w:r>
      <w:r w:rsidR="00CC096B" w:rsidRPr="00CC096B">
        <w:rPr>
          <w:b/>
        </w:rPr>
        <w:t>FS-COF</w:t>
      </w:r>
      <w:r w:rsidR="00CC096B">
        <w:t xml:space="preserve"> </w:t>
      </w:r>
      <w:r w:rsidR="0080438F">
        <w:t xml:space="preserve">was </w:t>
      </w:r>
      <w:r w:rsidR="00CC096B">
        <w:t>completely inactive</w:t>
      </w:r>
      <w:r w:rsidR="0080438F">
        <w:t xml:space="preserve"> at 700 nm</w:t>
      </w:r>
      <w:r w:rsidR="00CC096B">
        <w:t xml:space="preserve">, </w:t>
      </w:r>
      <w:r w:rsidR="0080438F">
        <w:t xml:space="preserve">while </w:t>
      </w:r>
      <w:r w:rsidR="00CC096B">
        <w:t xml:space="preserve">the COF composite had an EQE of 0.7%. </w:t>
      </w:r>
      <w:r w:rsidR="0080438F">
        <w:t>The</w:t>
      </w:r>
      <w:r w:rsidR="00CC096B">
        <w:t xml:space="preserve"> </w:t>
      </w:r>
      <w:r w:rsidR="0080438F">
        <w:t>dye-</w:t>
      </w:r>
      <w:r w:rsidR="00CC096B">
        <w:t>sensitised</w:t>
      </w:r>
      <w:r w:rsidR="00BA0561" w:rsidRPr="00CC096B">
        <w:t xml:space="preserve"> </w:t>
      </w:r>
      <w:r w:rsidR="00CC096B">
        <w:t xml:space="preserve">COF </w:t>
      </w:r>
      <w:r w:rsidR="0080438F">
        <w:t>showed a</w:t>
      </w:r>
      <w:r w:rsidR="00CC096B">
        <w:t xml:space="preserve"> </w:t>
      </w:r>
      <w:r w:rsidR="0080438F" w:rsidRPr="00CC096B">
        <w:t>61%</w:t>
      </w:r>
      <w:r w:rsidR="0080438F">
        <w:t xml:space="preserve"> </w:t>
      </w:r>
      <w:r w:rsidR="00CC096B">
        <w:t>enhance</w:t>
      </w:r>
      <w:r w:rsidR="0080438F">
        <w:t>ment in</w:t>
      </w:r>
      <w:r w:rsidR="5FDE8CB4" w:rsidRPr="00CC096B">
        <w:t xml:space="preserve"> hydrogen production </w:t>
      </w:r>
      <w:r w:rsidR="00D96733">
        <w:t>under visible light irradiation</w:t>
      </w:r>
      <w:r w:rsidR="5FDE8CB4" w:rsidRPr="00CC096B">
        <w:t xml:space="preserve">. </w:t>
      </w:r>
      <w:r w:rsidR="0080438F">
        <w:t xml:space="preserve">The high photocatalytic rate for this material was ascribed to aligned </w:t>
      </w:r>
      <w:r w:rsidR="006B409A">
        <w:t xml:space="preserve">stacking </w:t>
      </w:r>
      <w:r w:rsidR="008E5F32">
        <w:t xml:space="preserve">of 2D layers in </w:t>
      </w:r>
      <w:r w:rsidR="008E5F32" w:rsidRPr="00CC096B">
        <w:rPr>
          <w:b/>
        </w:rPr>
        <w:t>FS-COF</w:t>
      </w:r>
      <w:r w:rsidR="00CC096B">
        <w:t>, but it is often difficult to control interlayer packing in COFs</w:t>
      </w:r>
      <w:r w:rsidR="0080438F">
        <w:t>—also,</w:t>
      </w:r>
      <w:r w:rsidR="00CC096B">
        <w:t xml:space="preserve"> single</w:t>
      </w:r>
      <w:r w:rsidR="5FDE8CB4">
        <w:t xml:space="preserve"> crystals</w:t>
      </w:r>
      <w:r w:rsidR="00DE035D">
        <w:t xml:space="preserve"> of COFs</w:t>
      </w:r>
      <w:r w:rsidR="5FDE8CB4">
        <w:t xml:space="preserve"> are </w:t>
      </w:r>
      <w:r w:rsidR="0080438F">
        <w:t xml:space="preserve">very </w:t>
      </w:r>
      <w:r w:rsidR="5FDE8CB4">
        <w:t>rare</w:t>
      </w:r>
      <w:r w:rsidR="001E10A4" w:rsidRPr="001E10A4">
        <w:rPr>
          <w:noProof/>
          <w:vertAlign w:val="superscript"/>
        </w:rPr>
        <w:t>8</w:t>
      </w:r>
      <w:r w:rsidR="5FDE8CB4">
        <w:t xml:space="preserve">. By comparison, it is </w:t>
      </w:r>
      <w:r w:rsidR="00C74CBF">
        <w:t xml:space="preserve">often straightforward </w:t>
      </w:r>
      <w:r w:rsidR="5FDE8CB4">
        <w:t xml:space="preserve">to produce molecular crystals </w:t>
      </w:r>
      <w:r w:rsidR="008E5F32">
        <w:t xml:space="preserve">with </w:t>
      </w:r>
      <w:r w:rsidR="5FDE8CB4">
        <w:t>high crystallinity</w:t>
      </w:r>
      <w:r w:rsidR="00BA0561">
        <w:t xml:space="preserve">, </w:t>
      </w:r>
      <w:r w:rsidR="00061F4F">
        <w:t xml:space="preserve">which offers </w:t>
      </w:r>
      <w:r w:rsidR="00C74CBF">
        <w:t xml:space="preserve">exciting </w:t>
      </w:r>
      <w:r w:rsidR="00061F4F">
        <w:t>opportunities to</w:t>
      </w:r>
      <w:r w:rsidR="00C74CBF">
        <w:t xml:space="preserve"> </w:t>
      </w:r>
      <w:r w:rsidR="5FDE8CB4">
        <w:t>deconvolut</w:t>
      </w:r>
      <w:r w:rsidR="00061F4F">
        <w:t>e</w:t>
      </w:r>
      <w:r w:rsidR="5FDE8CB4">
        <w:t xml:space="preserve"> structure-</w:t>
      </w:r>
      <w:r w:rsidR="00C74CBF">
        <w:t xml:space="preserve">property relationships at </w:t>
      </w:r>
      <w:r w:rsidR="00061F4F">
        <w:t>the</w:t>
      </w:r>
      <w:r w:rsidR="00C74CBF">
        <w:t xml:space="preserve"> atomistic level</w:t>
      </w:r>
      <w:r w:rsidR="5FDE8CB4">
        <w:t xml:space="preserve">. </w:t>
      </w:r>
      <w:r w:rsidR="002B54FF">
        <w:t>For example, i</w:t>
      </w:r>
      <w:r w:rsidR="0091496B">
        <w:t>n a r</w:t>
      </w:r>
      <w:r w:rsidR="5FDE8CB4">
        <w:t>ecent</w:t>
      </w:r>
      <w:r w:rsidR="00BA0561">
        <w:t xml:space="preserve"> study</w:t>
      </w:r>
      <w:r w:rsidR="5FDE8CB4">
        <w:t xml:space="preserve">, we </w:t>
      </w:r>
      <w:r w:rsidR="0091496B">
        <w:t xml:space="preserve">found a </w:t>
      </w:r>
      <w:r w:rsidR="00C74CBF">
        <w:t>molecular crystal</w:t>
      </w:r>
      <w:r w:rsidR="5FDE8CB4">
        <w:t xml:space="preserve"> (</w:t>
      </w:r>
      <w:r w:rsidR="5FDE8CB4" w:rsidRPr="008E5F32">
        <w:rPr>
          <w:b/>
        </w:rPr>
        <w:t>TBAP</w:t>
      </w:r>
      <w:r w:rsidR="5FDE8CB4">
        <w:t>-</w:t>
      </w:r>
      <w:r w:rsidR="008E5F32" w:rsidRPr="00E106A7">
        <w:rPr>
          <w:rFonts w:cs="Calibri"/>
        </w:rPr>
        <w:t>α</w:t>
      </w:r>
      <w:r w:rsidR="5FDE8CB4">
        <w:t>, Fig</w:t>
      </w:r>
      <w:r w:rsidR="001E10A4">
        <w:t>ure</w:t>
      </w:r>
      <w:r w:rsidR="5FDE8CB4">
        <w:t xml:space="preserve"> </w:t>
      </w:r>
      <w:r w:rsidR="001E10A4">
        <w:t>3b</w:t>
      </w:r>
      <w:r w:rsidR="5FDE8CB4">
        <w:t>)</w:t>
      </w:r>
      <w:r w:rsidR="00F463CE">
        <w:t xml:space="preserve"> that </w:t>
      </w:r>
      <w:r w:rsidR="00C74CBF">
        <w:t>is</w:t>
      </w:r>
      <w:r w:rsidR="00CC096B">
        <w:t xml:space="preserve"> the </w:t>
      </w:r>
      <w:r w:rsidR="00CC096B" w:rsidRPr="00CC096B">
        <w:t xml:space="preserve">first example of a </w:t>
      </w:r>
      <w:r w:rsidR="00CC096B">
        <w:t xml:space="preserve">hydrogen-bonded organic framework </w:t>
      </w:r>
      <w:r w:rsidR="00C74CBF">
        <w:t xml:space="preserve">(HOF) </w:t>
      </w:r>
      <w:r w:rsidR="00CC096B" w:rsidRPr="00CC096B">
        <w:t>that shows appreciable photocatalytic hydrogen evolution from water under sacrificial conditions</w:t>
      </w:r>
      <w:r w:rsidR="001E10A4" w:rsidRPr="001E10A4">
        <w:rPr>
          <w:noProof/>
          <w:vertAlign w:val="superscript"/>
        </w:rPr>
        <w:t>9</w:t>
      </w:r>
      <w:r w:rsidR="00BA0561">
        <w:t>.</w:t>
      </w:r>
      <w:r w:rsidR="008E5F32">
        <w:t xml:space="preserve"> </w:t>
      </w:r>
      <w:r w:rsidR="008E5F32" w:rsidRPr="00BA0561">
        <w:rPr>
          <w:b/>
        </w:rPr>
        <w:t>TBAP</w:t>
      </w:r>
      <w:r w:rsidR="008E5F32">
        <w:t>-</w:t>
      </w:r>
      <w:r w:rsidR="0091496B" w:rsidRPr="00E106A7">
        <w:rPr>
          <w:rFonts w:cs="Calibri"/>
        </w:rPr>
        <w:t>α</w:t>
      </w:r>
      <w:r w:rsidR="0091496B">
        <w:t xml:space="preserve"> </w:t>
      </w:r>
      <w:r w:rsidR="008E5F32">
        <w:t xml:space="preserve">is </w:t>
      </w:r>
      <w:r w:rsidR="00C74CBF">
        <w:t xml:space="preserve">highly </w:t>
      </w:r>
      <w:r w:rsidR="008E5F32">
        <w:t xml:space="preserve">porous, </w:t>
      </w:r>
      <w:r w:rsidR="00C74CBF">
        <w:t xml:space="preserve">but </w:t>
      </w:r>
      <w:r w:rsidR="008E5F32">
        <w:t xml:space="preserve">we attribute the high </w:t>
      </w:r>
      <w:r w:rsidR="0091496B">
        <w:t>proton reduction rate for th</w:t>
      </w:r>
      <w:r w:rsidR="00BA0561">
        <w:t xml:space="preserve">is </w:t>
      </w:r>
      <w:r w:rsidR="0091496B">
        <w:t xml:space="preserve">material </w:t>
      </w:r>
      <w:r w:rsidR="00C74CBF">
        <w:t xml:space="preserve">more </w:t>
      </w:r>
      <w:r w:rsidR="0091496B">
        <w:t>to the</w:t>
      </w:r>
      <w:r w:rsidR="008E5F32">
        <w:t xml:space="preserve"> </w:t>
      </w:r>
      <w:r w:rsidR="0091496B">
        <w:t>a</w:t>
      </w:r>
      <w:r w:rsidR="008E5F32">
        <w:t xml:space="preserve">ligned stacking </w:t>
      </w:r>
      <w:r w:rsidR="0091496B">
        <w:t xml:space="preserve">of </w:t>
      </w:r>
      <w:r w:rsidR="008E5F32">
        <w:t>conjugated pyrene cores</w:t>
      </w:r>
      <w:r w:rsidR="00C74CBF">
        <w:t xml:space="preserve"> than </w:t>
      </w:r>
      <w:r w:rsidR="002B54FF">
        <w:t xml:space="preserve">to </w:t>
      </w:r>
      <w:r w:rsidR="00C74CBF">
        <w:t>its porosity. W</w:t>
      </w:r>
      <w:r w:rsidR="008E5F32">
        <w:t>e screened</w:t>
      </w:r>
      <w:r w:rsidR="002B54FF">
        <w:t xml:space="preserve"> for </w:t>
      </w:r>
      <w:r w:rsidR="00DA42D7">
        <w:t xml:space="preserve">the </w:t>
      </w:r>
      <w:r w:rsidR="002B54FF">
        <w:t xml:space="preserve">crucial </w:t>
      </w:r>
      <w:r w:rsidR="00C74CBF" w:rsidRPr="00952AB7">
        <w:rPr>
          <w:rFonts w:ascii="Symbol" w:hAnsi="Symbol"/>
        </w:rPr>
        <w:t></w:t>
      </w:r>
      <w:r w:rsidR="00C74CBF">
        <w:t xml:space="preserve">-stacking </w:t>
      </w:r>
      <w:r w:rsidR="002B54FF">
        <w:t xml:space="preserve">motif </w:t>
      </w:r>
      <w:r w:rsidR="00CC1615">
        <w:t>in this study</w:t>
      </w:r>
      <w:r w:rsidR="008E5F32">
        <w:t xml:space="preserve"> </w:t>
      </w:r>
      <w:r w:rsidR="00C74CBF">
        <w:t xml:space="preserve">using </w:t>
      </w:r>
      <w:r w:rsidR="00C74CBF" w:rsidRPr="00BA0561">
        <w:rPr>
          <w:i/>
        </w:rPr>
        <w:t>in silico</w:t>
      </w:r>
      <w:r w:rsidR="00C74CBF">
        <w:t xml:space="preserve"> searches </w:t>
      </w:r>
      <w:r w:rsidR="008E5F32">
        <w:t>(Figure 3</w:t>
      </w:r>
      <w:r w:rsidR="001E10A4">
        <w:t>c</w:t>
      </w:r>
      <w:r w:rsidR="00D4144A">
        <w:t>)</w:t>
      </w:r>
      <w:r w:rsidR="0091496B">
        <w:t>.</w:t>
      </w:r>
      <w:r w:rsidR="001D3B04">
        <w:t xml:space="preserve"> Int</w:t>
      </w:r>
      <w:r w:rsidR="00BA0561">
        <w:t>e</w:t>
      </w:r>
      <w:r w:rsidR="001D3B04">
        <w:t xml:space="preserve">restingly, the </w:t>
      </w:r>
      <w:r w:rsidR="5FDE8CB4">
        <w:t xml:space="preserve">EQE </w:t>
      </w:r>
      <w:r w:rsidR="001D3B04">
        <w:t xml:space="preserve">for </w:t>
      </w:r>
      <w:r w:rsidR="001D3B04" w:rsidRPr="001D3B04">
        <w:rPr>
          <w:b/>
        </w:rPr>
        <w:t>TBAP</w:t>
      </w:r>
      <w:r w:rsidR="001D3B04">
        <w:t>-</w:t>
      </w:r>
      <w:r w:rsidR="001D3B04" w:rsidRPr="00E106A7">
        <w:rPr>
          <w:rFonts w:cs="Calibri"/>
        </w:rPr>
        <w:t>α</w:t>
      </w:r>
      <w:r w:rsidR="001D3B04">
        <w:t xml:space="preserve"> is </w:t>
      </w:r>
      <w:r w:rsidR="00CC096B" w:rsidRPr="003F04D6">
        <w:t>4.1% at 420 nm</w:t>
      </w:r>
      <w:r w:rsidR="00CC096B">
        <w:t xml:space="preserve">, which is higher than </w:t>
      </w:r>
      <w:r w:rsidR="00321B50">
        <w:t>some</w:t>
      </w:r>
      <w:r w:rsidR="00C74CBF">
        <w:t xml:space="preserve"> </w:t>
      </w:r>
      <w:r w:rsidR="00CC096B" w:rsidRPr="003F04D6">
        <w:t>conjugated polymer catalysts</w:t>
      </w:r>
      <w:r w:rsidR="00C74CBF">
        <w:t>, even though this material lacks extended conjugated bonding</w:t>
      </w:r>
      <w:r w:rsidR="00CC096B">
        <w:t>.</w:t>
      </w:r>
    </w:p>
    <w:p w14:paraId="08DA593E" w14:textId="38870A20" w:rsidR="0096125C" w:rsidRDefault="00150D81" w:rsidP="000D5544">
      <w:pPr>
        <w:jc w:val="both"/>
      </w:pPr>
      <w:r>
        <w:t xml:space="preserve">In principle, </w:t>
      </w:r>
      <w:r w:rsidR="00D925B3">
        <w:t xml:space="preserve">crystal engineering with COFs and molecular crystals can be used to </w:t>
      </w:r>
      <w:r w:rsidR="00393D65">
        <w:t xml:space="preserve">control the interface of </w:t>
      </w:r>
      <w:r w:rsidR="00C74CBF">
        <w:t>donor / acceptor components</w:t>
      </w:r>
      <w:r w:rsidR="00393D65">
        <w:t xml:space="preserve"> with </w:t>
      </w:r>
      <w:r w:rsidR="00C74CBF">
        <w:t>atomistic</w:t>
      </w:r>
      <w:r w:rsidR="00393D65">
        <w:t xml:space="preserve"> precision. It should</w:t>
      </w:r>
      <w:r w:rsidR="00321B50">
        <w:t>, therefore,</w:t>
      </w:r>
      <w:r w:rsidR="00393D65">
        <w:t xml:space="preserve"> be possible to create heterojunctions </w:t>
      </w:r>
      <w:r w:rsidR="002E7E32">
        <w:t xml:space="preserve">of crystalline materials </w:t>
      </w:r>
      <w:r w:rsidR="00F371F0">
        <w:t>by combining two components</w:t>
      </w:r>
      <w:r w:rsidR="00C74CBF">
        <w:t>, as in the polymer</w:t>
      </w:r>
      <w:r w:rsidR="00F371F0">
        <w:t xml:space="preserve"> </w:t>
      </w:r>
      <w:r w:rsidR="008E7942">
        <w:t>approach reported by McCulloch and co-workers</w:t>
      </w:r>
      <w:r w:rsidR="00C74CBF">
        <w:t xml:space="preserve">, </w:t>
      </w:r>
      <w:r w:rsidR="002B54FF">
        <w:t>perhaps</w:t>
      </w:r>
      <w:r w:rsidR="00C74CBF">
        <w:t xml:space="preserve"> to create </w:t>
      </w:r>
      <w:r w:rsidR="00370466">
        <w:t>controlled</w:t>
      </w:r>
      <w:r w:rsidR="00C74CBF">
        <w:t>,</w:t>
      </w:r>
      <w:r w:rsidR="00370466">
        <w:t xml:space="preserve"> </w:t>
      </w:r>
      <w:r w:rsidR="00FD404C">
        <w:t xml:space="preserve">near-ideal </w:t>
      </w:r>
      <w:r w:rsidR="00370466">
        <w:t xml:space="preserve">interdigitated structures </w:t>
      </w:r>
      <w:r w:rsidR="004B5D69">
        <w:t>that</w:t>
      </w:r>
      <w:r w:rsidR="00FD404C">
        <w:t xml:space="preserve"> </w:t>
      </w:r>
      <w:r w:rsidR="00C74CBF">
        <w:t xml:space="preserve">give </w:t>
      </w:r>
      <w:r w:rsidR="00321B50">
        <w:t xml:space="preserve">an </w:t>
      </w:r>
      <w:r w:rsidR="00FD404C">
        <w:t xml:space="preserve">even higher </w:t>
      </w:r>
      <w:r w:rsidR="00C74CBF">
        <w:t>photocatalytic performance</w:t>
      </w:r>
      <w:r w:rsidR="00FD404C">
        <w:t xml:space="preserve">. </w:t>
      </w:r>
      <w:r w:rsidR="00C74CBF">
        <w:t>The future looks bright, both for polymer heterojunctions and crystalline organic photocatalysts.</w:t>
      </w:r>
    </w:p>
    <w:p w14:paraId="3B9E4583" w14:textId="77777777" w:rsidR="00A77727" w:rsidRPr="00DE035D" w:rsidRDefault="00A77727" w:rsidP="00CC096B">
      <w:pPr>
        <w:jc w:val="both"/>
      </w:pPr>
    </w:p>
    <w:p w14:paraId="41DD8FF3" w14:textId="5C3A02C1" w:rsidR="00DE035D" w:rsidRPr="00DE035D" w:rsidRDefault="00D63537" w:rsidP="00CC096B">
      <w:pPr>
        <w:jc w:val="both"/>
      </w:pPr>
      <w:r>
        <w:rPr>
          <w:noProof/>
        </w:rPr>
        <w:lastRenderedPageBreak/>
        <w:drawing>
          <wp:inline distT="0" distB="0" distL="0" distR="0" wp14:anchorId="611F8466" wp14:editId="44F6B7A0">
            <wp:extent cx="5727700" cy="322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438D" w14:textId="38887E28" w:rsidR="001E10A4" w:rsidRPr="00E106A7" w:rsidRDefault="001E10A4" w:rsidP="001E10A4">
      <w:pPr>
        <w:jc w:val="both"/>
        <w:rPr>
          <w:rFonts w:cs="Calibri"/>
          <w:sz w:val="18"/>
          <w:szCs w:val="18"/>
        </w:rPr>
      </w:pPr>
      <w:r w:rsidRPr="003C4F09">
        <w:rPr>
          <w:b/>
          <w:sz w:val="18"/>
          <w:szCs w:val="18"/>
        </w:rPr>
        <w:t xml:space="preserve">Figure </w:t>
      </w:r>
      <w:r>
        <w:rPr>
          <w:b/>
          <w:sz w:val="18"/>
          <w:szCs w:val="18"/>
        </w:rPr>
        <w:t>3</w:t>
      </w:r>
      <w:r w:rsidR="00450DED">
        <w:rPr>
          <w:b/>
          <w:sz w:val="18"/>
          <w:szCs w:val="18"/>
        </w:rPr>
        <w:t>.</w:t>
      </w:r>
      <w:r w:rsidRPr="003C4F09">
        <w:rPr>
          <w:sz w:val="18"/>
          <w:szCs w:val="18"/>
        </w:rPr>
        <w:t xml:space="preserve"> </w:t>
      </w:r>
      <w:r w:rsidR="00D63537">
        <w:rPr>
          <w:b/>
          <w:sz w:val="18"/>
          <w:szCs w:val="18"/>
        </w:rPr>
        <w:t>D</w:t>
      </w:r>
      <w:r w:rsidR="00D63537" w:rsidRPr="00066074">
        <w:rPr>
          <w:b/>
          <w:sz w:val="18"/>
          <w:szCs w:val="18"/>
        </w:rPr>
        <w:t>ye-sensitised</w:t>
      </w:r>
      <w:r w:rsidR="00D63537" w:rsidRPr="001E10A4">
        <w:rPr>
          <w:sz w:val="18"/>
          <w:szCs w:val="18"/>
        </w:rPr>
        <w:t xml:space="preserve"> </w:t>
      </w:r>
      <w:r w:rsidR="00450DED" w:rsidRPr="00066074">
        <w:rPr>
          <w:b/>
          <w:sz w:val="18"/>
          <w:szCs w:val="18"/>
        </w:rPr>
        <w:t>COF and molecular crystal</w:t>
      </w:r>
      <w:r w:rsidR="00450DED">
        <w:rPr>
          <w:b/>
          <w:sz w:val="18"/>
          <w:szCs w:val="18"/>
        </w:rPr>
        <w:t xml:space="preserve"> photocatalysts:</w:t>
      </w:r>
      <w:r w:rsidR="00450DED" w:rsidRPr="00450D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(a) Synthesis of </w:t>
      </w:r>
      <w:r w:rsidRPr="00952AB7">
        <w:rPr>
          <w:b/>
          <w:sz w:val="18"/>
          <w:szCs w:val="18"/>
        </w:rPr>
        <w:t>FS-COF</w:t>
      </w:r>
      <w:r w:rsidR="007F300E">
        <w:rPr>
          <w:sz w:val="18"/>
          <w:szCs w:val="18"/>
        </w:rPr>
        <w:t>, which</w:t>
      </w:r>
      <w:r>
        <w:rPr>
          <w:sz w:val="18"/>
          <w:szCs w:val="18"/>
        </w:rPr>
        <w:t xml:space="preserve"> adsorb</w:t>
      </w:r>
      <w:r w:rsidR="002B54FF">
        <w:rPr>
          <w:sz w:val="18"/>
          <w:szCs w:val="18"/>
        </w:rPr>
        <w:t>s</w:t>
      </w:r>
      <w:r>
        <w:rPr>
          <w:sz w:val="18"/>
          <w:szCs w:val="18"/>
        </w:rPr>
        <w:t xml:space="preserve"> a </w:t>
      </w:r>
      <w:r w:rsidRPr="001E10A4">
        <w:rPr>
          <w:sz w:val="18"/>
          <w:szCs w:val="18"/>
        </w:rPr>
        <w:t>near-infrared absorbing dye</w:t>
      </w:r>
      <w:r>
        <w:rPr>
          <w:sz w:val="18"/>
          <w:szCs w:val="18"/>
        </w:rPr>
        <w:t xml:space="preserve"> to create a </w:t>
      </w:r>
      <w:r w:rsidRPr="001E10A4">
        <w:rPr>
          <w:sz w:val="18"/>
          <w:szCs w:val="18"/>
        </w:rPr>
        <w:t xml:space="preserve">dye-sensitised COF </w:t>
      </w:r>
      <w:r w:rsidR="00321B50">
        <w:rPr>
          <w:sz w:val="18"/>
          <w:szCs w:val="18"/>
        </w:rPr>
        <w:t xml:space="preserve">that has </w:t>
      </w:r>
      <w:r>
        <w:rPr>
          <w:sz w:val="18"/>
          <w:szCs w:val="18"/>
        </w:rPr>
        <w:t xml:space="preserve">an </w:t>
      </w:r>
      <w:r w:rsidRPr="001E10A4">
        <w:rPr>
          <w:sz w:val="18"/>
          <w:szCs w:val="18"/>
        </w:rPr>
        <w:t>enhance</w:t>
      </w:r>
      <w:r>
        <w:rPr>
          <w:sz w:val="18"/>
          <w:szCs w:val="18"/>
        </w:rPr>
        <w:t xml:space="preserve">d </w:t>
      </w:r>
      <w:r w:rsidRPr="001E10A4">
        <w:rPr>
          <w:sz w:val="18"/>
          <w:szCs w:val="18"/>
        </w:rPr>
        <w:t xml:space="preserve">hydrogen production </w:t>
      </w:r>
      <w:r>
        <w:rPr>
          <w:sz w:val="18"/>
          <w:szCs w:val="18"/>
        </w:rPr>
        <w:t xml:space="preserve">rate </w:t>
      </w:r>
      <w:r w:rsidRPr="001E10A4">
        <w:rPr>
          <w:sz w:val="18"/>
          <w:szCs w:val="18"/>
        </w:rPr>
        <w:t>under visible light irradiation</w:t>
      </w:r>
      <w:r>
        <w:rPr>
          <w:sz w:val="18"/>
          <w:szCs w:val="18"/>
        </w:rPr>
        <w:t>.</w:t>
      </w:r>
      <w:r w:rsidR="002B54FF" w:rsidRPr="002B54FF"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(b</w:t>
      </w:r>
      <w:r w:rsidR="007F300E">
        <w:rPr>
          <w:sz w:val="18"/>
          <w:szCs w:val="18"/>
        </w:rPr>
        <w:t>,</w:t>
      </w:r>
      <w:r w:rsidR="00D972EB">
        <w:rPr>
          <w:sz w:val="18"/>
          <w:szCs w:val="18"/>
        </w:rPr>
        <w:t xml:space="preserve"> </w:t>
      </w:r>
      <w:r w:rsidR="007F300E">
        <w:rPr>
          <w:sz w:val="18"/>
          <w:szCs w:val="18"/>
        </w:rPr>
        <w:t>c</w:t>
      </w:r>
      <w:r>
        <w:rPr>
          <w:sz w:val="18"/>
          <w:szCs w:val="18"/>
        </w:rPr>
        <w:t xml:space="preserve">) Chemical structure of </w:t>
      </w:r>
      <w:r w:rsidRPr="00952AB7">
        <w:rPr>
          <w:b/>
          <w:sz w:val="18"/>
          <w:szCs w:val="18"/>
        </w:rPr>
        <w:t>TBAP</w:t>
      </w:r>
      <w:r w:rsidR="007F300E">
        <w:rPr>
          <w:sz w:val="18"/>
          <w:szCs w:val="18"/>
        </w:rPr>
        <w:t xml:space="preserve">, which </w:t>
      </w:r>
      <w:r w:rsidR="002B54FF">
        <w:rPr>
          <w:sz w:val="18"/>
          <w:szCs w:val="18"/>
        </w:rPr>
        <w:t>was</w:t>
      </w:r>
      <w:r>
        <w:rPr>
          <w:sz w:val="18"/>
          <w:szCs w:val="18"/>
        </w:rPr>
        <w:t xml:space="preserve"> predicted to form a porous hydrogen-bonded structure, </w:t>
      </w:r>
      <w:bookmarkStart w:id="1" w:name="OLE_LINK31"/>
      <w:bookmarkStart w:id="2" w:name="OLE_LINK32"/>
      <w:r w:rsidRPr="00952AB7">
        <w:rPr>
          <w:b/>
          <w:sz w:val="18"/>
          <w:szCs w:val="18"/>
        </w:rPr>
        <w:t>TBAP</w:t>
      </w:r>
      <w:r>
        <w:rPr>
          <w:sz w:val="18"/>
          <w:szCs w:val="18"/>
        </w:rPr>
        <w:t>-</w:t>
      </w:r>
      <w:r w:rsidRPr="00E106A7">
        <w:rPr>
          <w:rFonts w:cs="Calibri"/>
          <w:sz w:val="18"/>
          <w:szCs w:val="18"/>
        </w:rPr>
        <w:t>α</w:t>
      </w:r>
      <w:r w:rsidR="007F300E" w:rsidRPr="00E106A7">
        <w:rPr>
          <w:rFonts w:cs="Calibri"/>
          <w:sz w:val="18"/>
          <w:szCs w:val="18"/>
        </w:rPr>
        <w:t xml:space="preserve">, </w:t>
      </w:r>
      <w:bookmarkEnd w:id="1"/>
      <w:bookmarkEnd w:id="2"/>
      <w:r w:rsidR="007F300E" w:rsidRPr="00E106A7">
        <w:rPr>
          <w:rFonts w:cs="Calibri"/>
          <w:sz w:val="18"/>
          <w:szCs w:val="18"/>
        </w:rPr>
        <w:t xml:space="preserve">that features </w:t>
      </w:r>
      <w:r>
        <w:rPr>
          <w:sz w:val="18"/>
          <w:szCs w:val="18"/>
        </w:rPr>
        <w:t xml:space="preserve">aligned stacks of pyrene along its pore walls </w:t>
      </w:r>
      <w:r w:rsidR="007F300E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has a </w:t>
      </w:r>
      <w:r w:rsidRPr="001E10A4">
        <w:rPr>
          <w:sz w:val="18"/>
          <w:szCs w:val="18"/>
        </w:rPr>
        <w:t xml:space="preserve">high </w:t>
      </w:r>
      <w:r w:rsidR="00321B50">
        <w:rPr>
          <w:sz w:val="18"/>
          <w:szCs w:val="18"/>
        </w:rPr>
        <w:t xml:space="preserve">hydrogen </w:t>
      </w:r>
      <w:r w:rsidRPr="001E10A4">
        <w:rPr>
          <w:sz w:val="18"/>
          <w:szCs w:val="18"/>
        </w:rPr>
        <w:t>reduction rate</w:t>
      </w:r>
      <w:r>
        <w:rPr>
          <w:sz w:val="18"/>
          <w:szCs w:val="18"/>
        </w:rPr>
        <w:t xml:space="preserve"> </w:t>
      </w:r>
      <w:r w:rsidRPr="001E10A4">
        <w:rPr>
          <w:sz w:val="18"/>
          <w:szCs w:val="18"/>
        </w:rPr>
        <w:t>under visible light irradiation</w:t>
      </w:r>
      <w:r>
        <w:rPr>
          <w:sz w:val="18"/>
          <w:szCs w:val="18"/>
        </w:rPr>
        <w:t xml:space="preserve">. </w:t>
      </w:r>
      <w:r w:rsidR="002B54FF">
        <w:rPr>
          <w:sz w:val="18"/>
          <w:szCs w:val="18"/>
        </w:rPr>
        <w:t xml:space="preserve">The </w:t>
      </w:r>
      <w:proofErr w:type="spellStart"/>
      <w:r w:rsidR="002B54FF">
        <w:rPr>
          <w:sz w:val="18"/>
          <w:szCs w:val="18"/>
        </w:rPr>
        <w:t>colors</w:t>
      </w:r>
      <w:proofErr w:type="spellEnd"/>
      <w:r w:rsidR="002B54FF">
        <w:rPr>
          <w:sz w:val="18"/>
          <w:szCs w:val="18"/>
        </w:rPr>
        <w:t xml:space="preserve"> in the plot denote the degree of pyrene overlap, or stacking, in the predicted crystal structures, showing that most low-energy predicted structures, such as </w:t>
      </w:r>
      <w:r w:rsidR="002B54FF" w:rsidRPr="00952AB7">
        <w:rPr>
          <w:b/>
          <w:sz w:val="18"/>
          <w:szCs w:val="18"/>
        </w:rPr>
        <w:t>TBAP</w:t>
      </w:r>
      <w:r w:rsidR="002B54FF">
        <w:rPr>
          <w:sz w:val="18"/>
          <w:szCs w:val="18"/>
        </w:rPr>
        <w:t>-</w:t>
      </w:r>
      <w:r w:rsidR="002B54FF" w:rsidRPr="00E106A7">
        <w:rPr>
          <w:rFonts w:cs="Calibri"/>
          <w:sz w:val="18"/>
          <w:szCs w:val="18"/>
        </w:rPr>
        <w:t>α,</w:t>
      </w:r>
      <w:r w:rsidR="002B54FF">
        <w:rPr>
          <w:rFonts w:cs="Calibri"/>
          <w:sz w:val="18"/>
          <w:szCs w:val="18"/>
        </w:rPr>
        <w:t xml:space="preserve"> are dominated by pyrene stacks.</w:t>
      </w:r>
      <w:r w:rsidR="002B54FF" w:rsidRPr="002B54FF">
        <w:rPr>
          <w:rFonts w:cs="Calibri"/>
          <w:sz w:val="18"/>
          <w:szCs w:val="18"/>
          <w:vertAlign w:val="superscript"/>
        </w:rPr>
        <w:t>9</w:t>
      </w:r>
    </w:p>
    <w:p w14:paraId="4874761A" w14:textId="77777777" w:rsidR="000932E7" w:rsidRPr="008016FD" w:rsidRDefault="008016FD" w:rsidP="000932E7">
      <w:pPr>
        <w:rPr>
          <w:b/>
        </w:rPr>
      </w:pPr>
      <w:r w:rsidRPr="008016FD">
        <w:rPr>
          <w:b/>
        </w:rPr>
        <w:t>Outlook</w:t>
      </w:r>
    </w:p>
    <w:p w14:paraId="36E3A348" w14:textId="53580325" w:rsidR="003D4ACF" w:rsidRDefault="00D17F61" w:rsidP="00C47AD8">
      <w:pPr>
        <w:jc w:val="both"/>
      </w:pPr>
      <w:r>
        <w:t>O</w:t>
      </w:r>
      <w:r w:rsidR="00782454">
        <w:t xml:space="preserve">rganic </w:t>
      </w:r>
      <w:r>
        <w:t>heterojunctions have shown new</w:t>
      </w:r>
      <w:r w:rsidR="00782454">
        <w:t xml:space="preserve"> potential for </w:t>
      </w:r>
      <w:r w:rsidR="00223D6F">
        <w:t>direct phot</w:t>
      </w:r>
      <w:r w:rsidR="00321B50">
        <w:t>o</w:t>
      </w:r>
      <w:r w:rsidR="00223D6F">
        <w:t>catalytic</w:t>
      </w:r>
      <w:r w:rsidR="003E2044">
        <w:t xml:space="preserve"> hydrogen </w:t>
      </w:r>
      <w:r w:rsidR="00223D6F">
        <w:t>production</w:t>
      </w:r>
      <w:r>
        <w:t xml:space="preserve"> by </w:t>
      </w:r>
      <w:r w:rsidR="00223D6F">
        <w:t xml:space="preserve">borrowing principles from organic photovoltaics. </w:t>
      </w:r>
      <w:r>
        <w:t>T</w:t>
      </w:r>
      <w:r w:rsidR="00223D6F">
        <w:t xml:space="preserve">hese ideas might </w:t>
      </w:r>
      <w:r w:rsidR="003E2044">
        <w:t xml:space="preserve">also be applicable to carbon dioxide reduction and nitrogen fixation. </w:t>
      </w:r>
      <w:r w:rsidR="005938B7">
        <w:t xml:space="preserve">The ability to process organic materials at low temperatures into films </w:t>
      </w:r>
      <w:r w:rsidR="00223D6F">
        <w:t>offers the potential for</w:t>
      </w:r>
      <w:r w:rsidR="004451F9">
        <w:t xml:space="preserve"> future application</w:t>
      </w:r>
      <w:r w:rsidR="00223D6F">
        <w:t>s</w:t>
      </w:r>
      <w:r w:rsidR="004451F9">
        <w:t xml:space="preserve"> on </w:t>
      </w:r>
      <w:r w:rsidR="00223D6F">
        <w:t xml:space="preserve">a </w:t>
      </w:r>
      <w:r w:rsidR="004451F9">
        <w:t xml:space="preserve">large scale, </w:t>
      </w:r>
      <w:r w:rsidR="00223D6F">
        <w:t xml:space="preserve">and </w:t>
      </w:r>
      <w:r w:rsidR="004451F9">
        <w:t xml:space="preserve">also for the development of Z-schemes </w:t>
      </w:r>
      <w:r w:rsidR="00D20A01">
        <w:t>to facilitate overall water splitting without using scavengers.</w:t>
      </w:r>
    </w:p>
    <w:p w14:paraId="55FBC0D8" w14:textId="77777777" w:rsidR="00A56389" w:rsidRPr="008016FD" w:rsidRDefault="00A56389" w:rsidP="00A56389">
      <w:pPr>
        <w:rPr>
          <w:b/>
        </w:rPr>
      </w:pPr>
      <w:r>
        <w:rPr>
          <w:b/>
        </w:rPr>
        <w:t>References</w:t>
      </w:r>
    </w:p>
    <w:p w14:paraId="36220772" w14:textId="77777777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1.</w:t>
      </w:r>
      <w:r w:rsidRPr="00DE74D7">
        <w:rPr>
          <w:rFonts w:cs="Calibri"/>
          <w:noProof/>
          <w:szCs w:val="24"/>
        </w:rPr>
        <w:tab/>
        <w:t xml:space="preserve">Wang, Y. </w:t>
      </w:r>
      <w:r w:rsidRPr="00DE74D7">
        <w:rPr>
          <w:rFonts w:cs="Calibri"/>
          <w:i/>
          <w:iCs/>
          <w:noProof/>
          <w:szCs w:val="24"/>
        </w:rPr>
        <w:t>et al.</w:t>
      </w:r>
      <w:r w:rsidRPr="00DE74D7">
        <w:rPr>
          <w:rFonts w:cs="Calibri"/>
          <w:noProof/>
          <w:szCs w:val="24"/>
        </w:rPr>
        <w:t xml:space="preserve"> Current understanding and challenges of solar-driven hydrogen generation using polymeric photocatalysts. </w:t>
      </w:r>
      <w:r w:rsidRPr="00DE74D7">
        <w:rPr>
          <w:rFonts w:cs="Calibri"/>
          <w:i/>
          <w:iCs/>
          <w:noProof/>
          <w:szCs w:val="24"/>
        </w:rPr>
        <w:t>Nat. Energy</w:t>
      </w:r>
      <w:r w:rsidRPr="00DE74D7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b/>
          <w:bCs/>
          <w:noProof/>
          <w:szCs w:val="24"/>
        </w:rPr>
        <w:t>4,</w:t>
      </w:r>
      <w:r w:rsidRPr="00DE74D7">
        <w:rPr>
          <w:rFonts w:cs="Calibri"/>
          <w:noProof/>
          <w:szCs w:val="24"/>
        </w:rPr>
        <w:t xml:space="preserve"> 746–760 (2019).</w:t>
      </w:r>
    </w:p>
    <w:p w14:paraId="5284663F" w14:textId="77777777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2.</w:t>
      </w:r>
      <w:r w:rsidRPr="00DE74D7">
        <w:rPr>
          <w:rFonts w:cs="Calibri"/>
          <w:noProof/>
          <w:szCs w:val="24"/>
        </w:rPr>
        <w:tab/>
        <w:t xml:space="preserve">Wang, X. </w:t>
      </w:r>
      <w:r w:rsidRPr="00DE74D7">
        <w:rPr>
          <w:rFonts w:cs="Calibri"/>
          <w:i/>
          <w:iCs/>
          <w:noProof/>
          <w:szCs w:val="24"/>
        </w:rPr>
        <w:t>et al.</w:t>
      </w:r>
      <w:r w:rsidRPr="00DE74D7">
        <w:rPr>
          <w:rFonts w:cs="Calibri"/>
          <w:noProof/>
          <w:szCs w:val="24"/>
        </w:rPr>
        <w:t xml:space="preserve"> A metal-free polymeric photocatalyst for hydrogen production from water under visible light. </w:t>
      </w:r>
      <w:r w:rsidRPr="00DE74D7">
        <w:rPr>
          <w:rFonts w:cs="Calibri"/>
          <w:i/>
          <w:iCs/>
          <w:noProof/>
          <w:szCs w:val="24"/>
        </w:rPr>
        <w:t>Nat. Mater.</w:t>
      </w:r>
      <w:r w:rsidRPr="00DE74D7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b/>
          <w:bCs/>
          <w:noProof/>
          <w:szCs w:val="24"/>
        </w:rPr>
        <w:t>8,</w:t>
      </w:r>
      <w:r w:rsidRPr="00DE74D7">
        <w:rPr>
          <w:rFonts w:cs="Calibri"/>
          <w:noProof/>
          <w:szCs w:val="24"/>
        </w:rPr>
        <w:t xml:space="preserve"> 76–80 (2009).</w:t>
      </w:r>
    </w:p>
    <w:p w14:paraId="3C5363D1" w14:textId="77777777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3.</w:t>
      </w:r>
      <w:r w:rsidRPr="00DE74D7">
        <w:rPr>
          <w:rFonts w:cs="Calibri"/>
          <w:noProof/>
          <w:szCs w:val="24"/>
        </w:rPr>
        <w:tab/>
        <w:t xml:space="preserve">Brabec, C. J., Dyakonov, V., Paroso, J. &amp; Sariciftci, N. S. </w:t>
      </w:r>
      <w:r w:rsidRPr="00DE74D7">
        <w:rPr>
          <w:rFonts w:cs="Calibri"/>
          <w:i/>
          <w:iCs/>
          <w:noProof/>
          <w:szCs w:val="24"/>
        </w:rPr>
        <w:t>Organic Photovoltaics</w:t>
      </w:r>
      <w:r w:rsidRPr="00DE74D7">
        <w:rPr>
          <w:rFonts w:cs="Calibri"/>
          <w:noProof/>
          <w:szCs w:val="24"/>
        </w:rPr>
        <w:t xml:space="preserve">. </w:t>
      </w:r>
      <w:r w:rsidRPr="00DE74D7">
        <w:rPr>
          <w:rFonts w:cs="Calibri"/>
          <w:i/>
          <w:iCs/>
          <w:noProof/>
          <w:szCs w:val="24"/>
        </w:rPr>
        <w:t>Organic Photovoltaics Concepts and Realization</w:t>
      </w:r>
      <w:r w:rsidRPr="00DE74D7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b/>
          <w:bCs/>
          <w:noProof/>
          <w:szCs w:val="24"/>
        </w:rPr>
        <w:t>6,</w:t>
      </w:r>
      <w:r w:rsidRPr="00DE74D7">
        <w:rPr>
          <w:rFonts w:cs="Calibri"/>
          <w:noProof/>
          <w:szCs w:val="24"/>
        </w:rPr>
        <w:t xml:space="preserve"> (Springer Berlin Heidelberg, 2003).</w:t>
      </w:r>
    </w:p>
    <w:p w14:paraId="6629161A" w14:textId="77777777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4.</w:t>
      </w:r>
      <w:r w:rsidRPr="00DE74D7">
        <w:rPr>
          <w:rFonts w:cs="Calibri"/>
          <w:noProof/>
          <w:szCs w:val="24"/>
        </w:rPr>
        <w:tab/>
        <w:t xml:space="preserve">Kosco, J. </w:t>
      </w:r>
      <w:r w:rsidRPr="00DE74D7">
        <w:rPr>
          <w:rFonts w:cs="Calibri"/>
          <w:i/>
          <w:iCs/>
          <w:noProof/>
          <w:szCs w:val="24"/>
        </w:rPr>
        <w:t>et al.</w:t>
      </w:r>
      <w:r w:rsidRPr="00DE74D7">
        <w:rPr>
          <w:rFonts w:cs="Calibri"/>
          <w:noProof/>
          <w:szCs w:val="24"/>
        </w:rPr>
        <w:t xml:space="preserve"> Enhanced photocatalytic hydrogen evolution from organic semiconductor heterojunction nanoparticles. </w:t>
      </w:r>
      <w:r w:rsidRPr="00DE74D7">
        <w:rPr>
          <w:rFonts w:cs="Calibri"/>
          <w:i/>
          <w:iCs/>
          <w:noProof/>
          <w:szCs w:val="24"/>
        </w:rPr>
        <w:t>Nat. Mater.</w:t>
      </w:r>
      <w:r w:rsidRPr="00DE74D7">
        <w:rPr>
          <w:rFonts w:cs="Calibri"/>
          <w:noProof/>
          <w:szCs w:val="24"/>
        </w:rPr>
        <w:t xml:space="preserve"> (2020). doi:10.1038/s41563-019-0591-1</w:t>
      </w:r>
    </w:p>
    <w:p w14:paraId="5141C0BB" w14:textId="372B4566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5.</w:t>
      </w:r>
      <w:r w:rsidRPr="00DE74D7">
        <w:rPr>
          <w:rFonts w:cs="Calibri"/>
          <w:noProof/>
          <w:szCs w:val="24"/>
        </w:rPr>
        <w:tab/>
        <w:t xml:space="preserve">Guo, L., Niu, Y., Razzaque, S., Tan, B. &amp; Jin, S.  Design of D–A1–A2 </w:t>
      </w:r>
      <w:r w:rsidR="00CB1CF3" w:rsidRPr="00DE74D7">
        <w:rPr>
          <w:rFonts w:cs="Calibri"/>
          <w:noProof/>
          <w:szCs w:val="24"/>
        </w:rPr>
        <w:t>covalent triazine frameworks via copolymerization for photocatalytic hydrogen evo</w:t>
      </w:r>
      <w:r w:rsidRPr="00DE74D7">
        <w:rPr>
          <w:rFonts w:cs="Calibri"/>
          <w:noProof/>
          <w:szCs w:val="24"/>
        </w:rPr>
        <w:t xml:space="preserve">lution . </w:t>
      </w:r>
      <w:r w:rsidRPr="00DE74D7">
        <w:rPr>
          <w:rFonts w:cs="Calibri"/>
          <w:i/>
          <w:iCs/>
          <w:noProof/>
          <w:szCs w:val="24"/>
        </w:rPr>
        <w:t>ACS Catal.</w:t>
      </w:r>
      <w:r w:rsidRPr="00DE74D7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b/>
          <w:bCs/>
          <w:noProof/>
          <w:szCs w:val="24"/>
        </w:rPr>
        <w:t>9,</w:t>
      </w:r>
      <w:r w:rsidRPr="00DE74D7">
        <w:rPr>
          <w:rFonts w:cs="Calibri"/>
          <w:noProof/>
          <w:szCs w:val="24"/>
        </w:rPr>
        <w:t xml:space="preserve"> 9438–9445 (2019).</w:t>
      </w:r>
    </w:p>
    <w:p w14:paraId="628BA53E" w14:textId="5E2737D4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6.</w:t>
      </w:r>
      <w:r w:rsidRPr="00DE74D7">
        <w:rPr>
          <w:rFonts w:cs="Calibri"/>
          <w:noProof/>
          <w:szCs w:val="24"/>
        </w:rPr>
        <w:tab/>
        <w:t xml:space="preserve">Yang, H., Li, X., Sprick, R. S. &amp; Cooper, A. I. Conjugated </w:t>
      </w:r>
      <w:r w:rsidR="00CB1CF3" w:rsidRPr="00DE74D7">
        <w:rPr>
          <w:rFonts w:cs="Calibri"/>
          <w:noProof/>
          <w:szCs w:val="24"/>
        </w:rPr>
        <w:t>polymer donor-molecular acceptor nanohybrids for photocatalytic hydrogen evoluti</w:t>
      </w:r>
      <w:r w:rsidRPr="00DE74D7">
        <w:rPr>
          <w:rFonts w:cs="Calibri"/>
          <w:noProof/>
          <w:szCs w:val="24"/>
        </w:rPr>
        <w:t xml:space="preserve">on. </w:t>
      </w:r>
      <w:r w:rsidRPr="00DE74D7">
        <w:rPr>
          <w:rFonts w:cs="Calibri"/>
          <w:i/>
          <w:iCs/>
          <w:noProof/>
          <w:szCs w:val="24"/>
        </w:rPr>
        <w:t>ChemRxiv</w:t>
      </w:r>
      <w:r w:rsidRPr="00DE74D7">
        <w:rPr>
          <w:rFonts w:cs="Calibri"/>
          <w:noProof/>
          <w:szCs w:val="24"/>
        </w:rPr>
        <w:t xml:space="preserve"> (2019). doi:10.26434/chemrxiv.11418375.v2</w:t>
      </w:r>
    </w:p>
    <w:p w14:paraId="224F172A" w14:textId="3978C83C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lastRenderedPageBreak/>
        <w:t>7.</w:t>
      </w:r>
      <w:r w:rsidRPr="00DE74D7">
        <w:rPr>
          <w:rFonts w:cs="Calibri"/>
          <w:noProof/>
          <w:szCs w:val="24"/>
        </w:rPr>
        <w:tab/>
        <w:t xml:space="preserve">Wang, X. </w:t>
      </w:r>
      <w:r w:rsidRPr="00DE74D7">
        <w:rPr>
          <w:rFonts w:cs="Calibri"/>
          <w:i/>
          <w:iCs/>
          <w:noProof/>
          <w:szCs w:val="24"/>
        </w:rPr>
        <w:t>et al.</w:t>
      </w:r>
      <w:r w:rsidRPr="00DE74D7">
        <w:rPr>
          <w:rFonts w:cs="Calibri"/>
          <w:noProof/>
          <w:szCs w:val="24"/>
        </w:rPr>
        <w:t xml:space="preserve"> Sulfone-containing covalent organic frameworks for photocatalytic hydrogen evolution from water. </w:t>
      </w:r>
      <w:r w:rsidRPr="00DE74D7">
        <w:rPr>
          <w:rFonts w:cs="Calibri"/>
          <w:i/>
          <w:iCs/>
          <w:noProof/>
          <w:szCs w:val="24"/>
        </w:rPr>
        <w:t>Nat. Chem.</w:t>
      </w:r>
      <w:r w:rsidRPr="00DE74D7">
        <w:rPr>
          <w:rFonts w:cs="Calibri"/>
          <w:noProof/>
          <w:szCs w:val="24"/>
        </w:rPr>
        <w:t xml:space="preserve"> </w:t>
      </w:r>
      <w:r w:rsidR="00BB75C9" w:rsidRPr="00BB75C9">
        <w:rPr>
          <w:rFonts w:cs="Calibri"/>
          <w:b/>
          <w:bCs/>
          <w:noProof/>
          <w:szCs w:val="24"/>
        </w:rPr>
        <w:t>10</w:t>
      </w:r>
      <w:r w:rsidR="00BB75C9">
        <w:rPr>
          <w:rFonts w:cs="Calibri"/>
          <w:noProof/>
          <w:szCs w:val="24"/>
        </w:rPr>
        <w:t xml:space="preserve">, 1180-1189 </w:t>
      </w:r>
      <w:r w:rsidRPr="00DE74D7">
        <w:rPr>
          <w:rFonts w:cs="Calibri"/>
          <w:noProof/>
          <w:szCs w:val="24"/>
        </w:rPr>
        <w:t>(2018).</w:t>
      </w:r>
    </w:p>
    <w:p w14:paraId="4F385F5A" w14:textId="77777777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DE74D7">
        <w:rPr>
          <w:rFonts w:cs="Calibri"/>
          <w:noProof/>
          <w:szCs w:val="24"/>
        </w:rPr>
        <w:t>8.</w:t>
      </w:r>
      <w:r w:rsidRPr="00DE74D7">
        <w:rPr>
          <w:rFonts w:cs="Calibri"/>
          <w:noProof/>
          <w:szCs w:val="24"/>
        </w:rPr>
        <w:tab/>
        <w:t xml:space="preserve">Beaudoin, D., Maris, T. &amp; Wuest, J. D. Constructing monocrystalline covalent organic networks by polymerization. </w:t>
      </w:r>
      <w:r w:rsidRPr="00DE74D7">
        <w:rPr>
          <w:rFonts w:cs="Calibri"/>
          <w:i/>
          <w:iCs/>
          <w:noProof/>
          <w:szCs w:val="24"/>
        </w:rPr>
        <w:t>Nat. Chem.</w:t>
      </w:r>
      <w:r w:rsidRPr="00DE74D7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b/>
          <w:bCs/>
          <w:noProof/>
          <w:szCs w:val="24"/>
        </w:rPr>
        <w:t>5,</w:t>
      </w:r>
      <w:r w:rsidRPr="00DE74D7">
        <w:rPr>
          <w:rFonts w:cs="Calibri"/>
          <w:noProof/>
          <w:szCs w:val="24"/>
        </w:rPr>
        <w:t xml:space="preserve"> 830–834 (2013).</w:t>
      </w:r>
    </w:p>
    <w:p w14:paraId="40AEE945" w14:textId="648F0EE4" w:rsidR="00DE74D7" w:rsidRPr="00DE74D7" w:rsidRDefault="00DE74D7" w:rsidP="00DE74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</w:rPr>
      </w:pPr>
      <w:r w:rsidRPr="00DE74D7">
        <w:rPr>
          <w:rFonts w:cs="Calibri"/>
          <w:noProof/>
          <w:szCs w:val="24"/>
        </w:rPr>
        <w:t>9.</w:t>
      </w:r>
      <w:r w:rsidRPr="00DE74D7">
        <w:rPr>
          <w:rFonts w:cs="Calibri"/>
          <w:noProof/>
          <w:szCs w:val="24"/>
        </w:rPr>
        <w:tab/>
      </w:r>
      <w:r w:rsidR="009777C4" w:rsidRPr="009777C4">
        <w:rPr>
          <w:rFonts w:cs="Calibri"/>
          <w:noProof/>
          <w:szCs w:val="24"/>
        </w:rPr>
        <w:t>Aitchison</w:t>
      </w:r>
      <w:r w:rsidRPr="00DE74D7">
        <w:rPr>
          <w:rFonts w:cs="Calibri"/>
          <w:noProof/>
          <w:szCs w:val="24"/>
        </w:rPr>
        <w:t xml:space="preserve">, </w:t>
      </w:r>
      <w:r w:rsidR="009777C4">
        <w:rPr>
          <w:rFonts w:cs="Calibri"/>
          <w:noProof/>
          <w:szCs w:val="24"/>
        </w:rPr>
        <w:t>C</w:t>
      </w:r>
      <w:r w:rsidRPr="00DE74D7">
        <w:rPr>
          <w:rFonts w:cs="Calibri"/>
          <w:noProof/>
          <w:szCs w:val="24"/>
        </w:rPr>
        <w:t xml:space="preserve">. M. </w:t>
      </w:r>
      <w:r w:rsidRPr="00DE74D7">
        <w:rPr>
          <w:rFonts w:cs="Calibri"/>
          <w:i/>
          <w:iCs/>
          <w:noProof/>
          <w:szCs w:val="24"/>
        </w:rPr>
        <w:t>et al.</w:t>
      </w:r>
      <w:r w:rsidRPr="00DE74D7">
        <w:rPr>
          <w:rFonts w:cs="Calibri"/>
          <w:noProof/>
          <w:szCs w:val="24"/>
        </w:rPr>
        <w:t xml:space="preserve"> Photocatalytic </w:t>
      </w:r>
      <w:r w:rsidR="002763F5" w:rsidRPr="00DE74D7">
        <w:rPr>
          <w:rFonts w:cs="Calibri"/>
          <w:noProof/>
          <w:szCs w:val="24"/>
        </w:rPr>
        <w:t>proton reduction by a computationally identified, molecular hydrogen-bonded framework</w:t>
      </w:r>
      <w:r w:rsidRPr="00DE74D7">
        <w:rPr>
          <w:rFonts w:cs="Calibri"/>
          <w:noProof/>
          <w:szCs w:val="24"/>
        </w:rPr>
        <w:t xml:space="preserve">. </w:t>
      </w:r>
      <w:r w:rsidRPr="00DE74D7">
        <w:rPr>
          <w:rFonts w:cs="Calibri"/>
          <w:i/>
          <w:iCs/>
          <w:noProof/>
          <w:szCs w:val="24"/>
        </w:rPr>
        <w:t>ChemRxiv</w:t>
      </w:r>
      <w:r w:rsidRPr="00DE74D7">
        <w:rPr>
          <w:rFonts w:cs="Calibri"/>
          <w:noProof/>
          <w:szCs w:val="24"/>
        </w:rPr>
        <w:t xml:space="preserve"> (2019). </w:t>
      </w:r>
      <w:r w:rsidR="00D33EFB">
        <w:rPr>
          <w:rFonts w:cs="Calibri"/>
          <w:noProof/>
          <w:szCs w:val="24"/>
        </w:rPr>
        <w:t>doi</w:t>
      </w:r>
      <w:r w:rsidRPr="00DE74D7">
        <w:rPr>
          <w:rFonts w:cs="Calibri"/>
          <w:noProof/>
          <w:szCs w:val="24"/>
        </w:rPr>
        <w:t>:</w:t>
      </w:r>
      <w:r w:rsidR="00D33EFB">
        <w:rPr>
          <w:rFonts w:cs="Calibri"/>
          <w:noProof/>
          <w:szCs w:val="24"/>
        </w:rPr>
        <w:t xml:space="preserve"> </w:t>
      </w:r>
      <w:r w:rsidRPr="00DE74D7">
        <w:rPr>
          <w:rFonts w:cs="Calibri"/>
          <w:noProof/>
          <w:szCs w:val="24"/>
        </w:rPr>
        <w:t>https://doi.org/10.26434/chemrxiv.11341850.v1</w:t>
      </w:r>
    </w:p>
    <w:p w14:paraId="1137D349" w14:textId="6AACE704" w:rsidR="00A56389" w:rsidRPr="00723A42" w:rsidRDefault="00723A42" w:rsidP="00C47AD8">
      <w:pPr>
        <w:jc w:val="both"/>
        <w:rPr>
          <w:b/>
          <w:bCs/>
        </w:rPr>
      </w:pPr>
      <w:r w:rsidRPr="00723A42">
        <w:rPr>
          <w:b/>
          <w:bCs/>
        </w:rPr>
        <w:t>Acknowledgements</w:t>
      </w:r>
    </w:p>
    <w:p w14:paraId="620BE70A" w14:textId="49FBB703" w:rsidR="00723A42" w:rsidRDefault="000272D7" w:rsidP="004F1C84">
      <w:pPr>
        <w:jc w:val="both"/>
      </w:pPr>
      <w:r w:rsidRPr="000272D7">
        <w:t>We thank the Engineering and Physical Sciences Research Council (EPSRC) for financial support under Grant EP/N004884/1.</w:t>
      </w:r>
    </w:p>
    <w:p w14:paraId="1EA42C47" w14:textId="77777777" w:rsidR="000272D7" w:rsidRPr="000272D7" w:rsidRDefault="000272D7" w:rsidP="000272D7">
      <w:pPr>
        <w:jc w:val="both"/>
        <w:rPr>
          <w:b/>
          <w:bCs/>
        </w:rPr>
      </w:pPr>
      <w:r w:rsidRPr="000272D7">
        <w:rPr>
          <w:b/>
          <w:bCs/>
        </w:rPr>
        <w:t>Competing interests</w:t>
      </w:r>
    </w:p>
    <w:p w14:paraId="1B436302" w14:textId="77777777" w:rsidR="000272D7" w:rsidRPr="000272D7" w:rsidRDefault="000272D7" w:rsidP="000272D7">
      <w:pPr>
        <w:jc w:val="both"/>
      </w:pPr>
      <w:r w:rsidRPr="000272D7">
        <w:t>The author declares no competing interests.</w:t>
      </w:r>
    </w:p>
    <w:p w14:paraId="58A8CA2D" w14:textId="1150C5E2" w:rsidR="000272D7" w:rsidRPr="0024340E" w:rsidRDefault="000272D7" w:rsidP="004F1C84">
      <w:pPr>
        <w:jc w:val="both"/>
        <w:rPr>
          <w:b/>
          <w:bCs/>
        </w:rPr>
      </w:pPr>
      <w:r w:rsidRPr="0024340E">
        <w:rPr>
          <w:b/>
          <w:bCs/>
        </w:rPr>
        <w:t>Author contributions</w:t>
      </w:r>
    </w:p>
    <w:p w14:paraId="62C42BCB" w14:textId="13BF9A37" w:rsidR="000272D7" w:rsidRDefault="00D33EFB" w:rsidP="004F1C84">
      <w:pPr>
        <w:jc w:val="both"/>
      </w:pPr>
      <w:r>
        <w:t>T</w:t>
      </w:r>
      <w:r w:rsidRPr="00D33EFB">
        <w:t>he manuscript was written through contributions of all authors</w:t>
      </w:r>
      <w:r>
        <w:t>.</w:t>
      </w:r>
    </w:p>
    <w:p w14:paraId="4AC6A576" w14:textId="77777777" w:rsidR="000272D7" w:rsidRDefault="000272D7" w:rsidP="004F1C84">
      <w:pPr>
        <w:jc w:val="both"/>
      </w:pPr>
    </w:p>
    <w:p w14:paraId="230F527B" w14:textId="77777777" w:rsidR="004324F1" w:rsidRDefault="004324F1" w:rsidP="00C47AD8">
      <w:pPr>
        <w:jc w:val="both"/>
      </w:pPr>
    </w:p>
    <w:p w14:paraId="6DF391DB" w14:textId="342F6B0E" w:rsidR="004324F1" w:rsidRDefault="004324F1" w:rsidP="00C47AD8">
      <w:pPr>
        <w:jc w:val="both"/>
      </w:pPr>
      <w:r>
        <w:t xml:space="preserve"> </w:t>
      </w:r>
    </w:p>
    <w:sectPr w:rsidR="0043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3EA"/>
    <w:multiLevelType w:val="hybridMultilevel"/>
    <w:tmpl w:val="38FC7A80"/>
    <w:lvl w:ilvl="0" w:tplc="CEC4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szAyNzA1NTU3NDFT0lEKTi0uzszPAykwrwUAsx5pICwAAAA="/>
  </w:docVars>
  <w:rsids>
    <w:rsidRoot w:val="00A579D3"/>
    <w:rsid w:val="000134E0"/>
    <w:rsid w:val="000272D7"/>
    <w:rsid w:val="000361C6"/>
    <w:rsid w:val="0004053A"/>
    <w:rsid w:val="000504E5"/>
    <w:rsid w:val="00061F4F"/>
    <w:rsid w:val="00066074"/>
    <w:rsid w:val="00067E33"/>
    <w:rsid w:val="00083F5C"/>
    <w:rsid w:val="000932E7"/>
    <w:rsid w:val="000A2C0E"/>
    <w:rsid w:val="000C749D"/>
    <w:rsid w:val="000D2ADC"/>
    <w:rsid w:val="000D5544"/>
    <w:rsid w:val="000E68DA"/>
    <w:rsid w:val="000F2DD6"/>
    <w:rsid w:val="00114416"/>
    <w:rsid w:val="00117181"/>
    <w:rsid w:val="00140350"/>
    <w:rsid w:val="00150D81"/>
    <w:rsid w:val="00155FC4"/>
    <w:rsid w:val="001611B3"/>
    <w:rsid w:val="001776DF"/>
    <w:rsid w:val="00181210"/>
    <w:rsid w:val="00192BC6"/>
    <w:rsid w:val="00194B46"/>
    <w:rsid w:val="001B694A"/>
    <w:rsid w:val="001D3B04"/>
    <w:rsid w:val="001E10A4"/>
    <w:rsid w:val="001E528E"/>
    <w:rsid w:val="001F522F"/>
    <w:rsid w:val="002118C1"/>
    <w:rsid w:val="00213255"/>
    <w:rsid w:val="00223D6F"/>
    <w:rsid w:val="0024340E"/>
    <w:rsid w:val="00267751"/>
    <w:rsid w:val="002763F5"/>
    <w:rsid w:val="0029223B"/>
    <w:rsid w:val="002A07DA"/>
    <w:rsid w:val="002A41BC"/>
    <w:rsid w:val="002B54FF"/>
    <w:rsid w:val="002E0E82"/>
    <w:rsid w:val="002E4C2D"/>
    <w:rsid w:val="002E7E32"/>
    <w:rsid w:val="00305275"/>
    <w:rsid w:val="00321B50"/>
    <w:rsid w:val="003360F4"/>
    <w:rsid w:val="00343ABB"/>
    <w:rsid w:val="00355CA6"/>
    <w:rsid w:val="00370466"/>
    <w:rsid w:val="0037775C"/>
    <w:rsid w:val="00381C94"/>
    <w:rsid w:val="00386066"/>
    <w:rsid w:val="003861D8"/>
    <w:rsid w:val="00393D65"/>
    <w:rsid w:val="003A003C"/>
    <w:rsid w:val="003A13E4"/>
    <w:rsid w:val="003A1821"/>
    <w:rsid w:val="003C4F09"/>
    <w:rsid w:val="003D40BB"/>
    <w:rsid w:val="003D4ACF"/>
    <w:rsid w:val="003E2044"/>
    <w:rsid w:val="003F322B"/>
    <w:rsid w:val="00403F51"/>
    <w:rsid w:val="0040408B"/>
    <w:rsid w:val="004055DA"/>
    <w:rsid w:val="00412511"/>
    <w:rsid w:val="00414464"/>
    <w:rsid w:val="00421777"/>
    <w:rsid w:val="004324F1"/>
    <w:rsid w:val="00443B5C"/>
    <w:rsid w:val="00443BCB"/>
    <w:rsid w:val="004451F9"/>
    <w:rsid w:val="00450DED"/>
    <w:rsid w:val="00463871"/>
    <w:rsid w:val="00466A02"/>
    <w:rsid w:val="00470454"/>
    <w:rsid w:val="00477E98"/>
    <w:rsid w:val="00487C6F"/>
    <w:rsid w:val="004B5D69"/>
    <w:rsid w:val="004F02C7"/>
    <w:rsid w:val="004F1C84"/>
    <w:rsid w:val="005020C0"/>
    <w:rsid w:val="00512B50"/>
    <w:rsid w:val="00531AFF"/>
    <w:rsid w:val="005355BF"/>
    <w:rsid w:val="005407DF"/>
    <w:rsid w:val="00546FF2"/>
    <w:rsid w:val="00567486"/>
    <w:rsid w:val="0057160B"/>
    <w:rsid w:val="0058742C"/>
    <w:rsid w:val="005938B7"/>
    <w:rsid w:val="005977F7"/>
    <w:rsid w:val="005A3460"/>
    <w:rsid w:val="005C1D8B"/>
    <w:rsid w:val="005C4E40"/>
    <w:rsid w:val="005D10B0"/>
    <w:rsid w:val="005E381E"/>
    <w:rsid w:val="005E7BD1"/>
    <w:rsid w:val="005F16A8"/>
    <w:rsid w:val="005F225A"/>
    <w:rsid w:val="00613573"/>
    <w:rsid w:val="00615D05"/>
    <w:rsid w:val="00617514"/>
    <w:rsid w:val="0063184F"/>
    <w:rsid w:val="00652CBA"/>
    <w:rsid w:val="00665D52"/>
    <w:rsid w:val="00683D14"/>
    <w:rsid w:val="006A68EB"/>
    <w:rsid w:val="006B409A"/>
    <w:rsid w:val="006B72B8"/>
    <w:rsid w:val="006C08A7"/>
    <w:rsid w:val="006C1328"/>
    <w:rsid w:val="006C5B5B"/>
    <w:rsid w:val="006C687F"/>
    <w:rsid w:val="006D6AEE"/>
    <w:rsid w:val="006E200D"/>
    <w:rsid w:val="006E3916"/>
    <w:rsid w:val="006F3704"/>
    <w:rsid w:val="00706BF3"/>
    <w:rsid w:val="00723A42"/>
    <w:rsid w:val="00732D27"/>
    <w:rsid w:val="00751D0B"/>
    <w:rsid w:val="00757F3B"/>
    <w:rsid w:val="007636BE"/>
    <w:rsid w:val="007751EA"/>
    <w:rsid w:val="00782454"/>
    <w:rsid w:val="007869D6"/>
    <w:rsid w:val="0079219F"/>
    <w:rsid w:val="0079560C"/>
    <w:rsid w:val="00796507"/>
    <w:rsid w:val="007A6774"/>
    <w:rsid w:val="007E04C0"/>
    <w:rsid w:val="007E0CC5"/>
    <w:rsid w:val="007F300E"/>
    <w:rsid w:val="008016FD"/>
    <w:rsid w:val="00801883"/>
    <w:rsid w:val="00803989"/>
    <w:rsid w:val="0080438F"/>
    <w:rsid w:val="008053D0"/>
    <w:rsid w:val="00814BC9"/>
    <w:rsid w:val="00832CA5"/>
    <w:rsid w:val="008429EB"/>
    <w:rsid w:val="00877617"/>
    <w:rsid w:val="00882D07"/>
    <w:rsid w:val="0089503B"/>
    <w:rsid w:val="008A3ACF"/>
    <w:rsid w:val="008B37AD"/>
    <w:rsid w:val="008B42C3"/>
    <w:rsid w:val="008C5DB5"/>
    <w:rsid w:val="008C6BC2"/>
    <w:rsid w:val="008C6D5B"/>
    <w:rsid w:val="008D4923"/>
    <w:rsid w:val="008D51D9"/>
    <w:rsid w:val="008E1CA0"/>
    <w:rsid w:val="008E5F32"/>
    <w:rsid w:val="008E7942"/>
    <w:rsid w:val="008E7EF9"/>
    <w:rsid w:val="008F10D2"/>
    <w:rsid w:val="0091496B"/>
    <w:rsid w:val="0092137A"/>
    <w:rsid w:val="00952AB7"/>
    <w:rsid w:val="00957C49"/>
    <w:rsid w:val="0096125C"/>
    <w:rsid w:val="0096577C"/>
    <w:rsid w:val="00966D90"/>
    <w:rsid w:val="00975FEF"/>
    <w:rsid w:val="009775C9"/>
    <w:rsid w:val="009777C4"/>
    <w:rsid w:val="009876E4"/>
    <w:rsid w:val="009925D1"/>
    <w:rsid w:val="00997A1D"/>
    <w:rsid w:val="009A788B"/>
    <w:rsid w:val="009A79F3"/>
    <w:rsid w:val="009F7DD6"/>
    <w:rsid w:val="00A12594"/>
    <w:rsid w:val="00A142A6"/>
    <w:rsid w:val="00A5308C"/>
    <w:rsid w:val="00A5444B"/>
    <w:rsid w:val="00A56389"/>
    <w:rsid w:val="00A56BA6"/>
    <w:rsid w:val="00A56EE3"/>
    <w:rsid w:val="00A579D3"/>
    <w:rsid w:val="00A77727"/>
    <w:rsid w:val="00A860B2"/>
    <w:rsid w:val="00AA7ECE"/>
    <w:rsid w:val="00AB5633"/>
    <w:rsid w:val="00AF4234"/>
    <w:rsid w:val="00AF78DA"/>
    <w:rsid w:val="00B0267E"/>
    <w:rsid w:val="00B13E96"/>
    <w:rsid w:val="00B17A1E"/>
    <w:rsid w:val="00B23C0B"/>
    <w:rsid w:val="00B24545"/>
    <w:rsid w:val="00B34339"/>
    <w:rsid w:val="00B34449"/>
    <w:rsid w:val="00B3757F"/>
    <w:rsid w:val="00B5070A"/>
    <w:rsid w:val="00B5602D"/>
    <w:rsid w:val="00B63300"/>
    <w:rsid w:val="00B8220F"/>
    <w:rsid w:val="00B96235"/>
    <w:rsid w:val="00BA0561"/>
    <w:rsid w:val="00BA3B2D"/>
    <w:rsid w:val="00BA7C70"/>
    <w:rsid w:val="00BB2E88"/>
    <w:rsid w:val="00BB75C9"/>
    <w:rsid w:val="00BD603C"/>
    <w:rsid w:val="00BE3A87"/>
    <w:rsid w:val="00BE646A"/>
    <w:rsid w:val="00BF6863"/>
    <w:rsid w:val="00C25A8E"/>
    <w:rsid w:val="00C266B0"/>
    <w:rsid w:val="00C342E5"/>
    <w:rsid w:val="00C34DDC"/>
    <w:rsid w:val="00C41C8A"/>
    <w:rsid w:val="00C47AD8"/>
    <w:rsid w:val="00C5590D"/>
    <w:rsid w:val="00C7190C"/>
    <w:rsid w:val="00C74CBF"/>
    <w:rsid w:val="00CA0E3A"/>
    <w:rsid w:val="00CB1CF3"/>
    <w:rsid w:val="00CB323D"/>
    <w:rsid w:val="00CC096B"/>
    <w:rsid w:val="00CC1615"/>
    <w:rsid w:val="00CD0EF7"/>
    <w:rsid w:val="00CE362D"/>
    <w:rsid w:val="00CE4D86"/>
    <w:rsid w:val="00CE545D"/>
    <w:rsid w:val="00D17240"/>
    <w:rsid w:val="00D17F61"/>
    <w:rsid w:val="00D20A01"/>
    <w:rsid w:val="00D335B0"/>
    <w:rsid w:val="00D33EFB"/>
    <w:rsid w:val="00D4144A"/>
    <w:rsid w:val="00D45015"/>
    <w:rsid w:val="00D5163F"/>
    <w:rsid w:val="00D63537"/>
    <w:rsid w:val="00D75260"/>
    <w:rsid w:val="00D769BD"/>
    <w:rsid w:val="00D915F9"/>
    <w:rsid w:val="00D925B3"/>
    <w:rsid w:val="00D9565D"/>
    <w:rsid w:val="00D96733"/>
    <w:rsid w:val="00D972EB"/>
    <w:rsid w:val="00DA1965"/>
    <w:rsid w:val="00DA42D7"/>
    <w:rsid w:val="00DA7BCA"/>
    <w:rsid w:val="00DC0A71"/>
    <w:rsid w:val="00DD1BD6"/>
    <w:rsid w:val="00DD1D55"/>
    <w:rsid w:val="00DD7372"/>
    <w:rsid w:val="00DE035D"/>
    <w:rsid w:val="00DE23B9"/>
    <w:rsid w:val="00DE74D7"/>
    <w:rsid w:val="00DF0442"/>
    <w:rsid w:val="00DF2380"/>
    <w:rsid w:val="00E03718"/>
    <w:rsid w:val="00E06C13"/>
    <w:rsid w:val="00E07E2E"/>
    <w:rsid w:val="00E106A7"/>
    <w:rsid w:val="00E40590"/>
    <w:rsid w:val="00E44F55"/>
    <w:rsid w:val="00E62AF0"/>
    <w:rsid w:val="00E730FE"/>
    <w:rsid w:val="00E9670A"/>
    <w:rsid w:val="00EB62AF"/>
    <w:rsid w:val="00EC774D"/>
    <w:rsid w:val="00ED2151"/>
    <w:rsid w:val="00ED36D2"/>
    <w:rsid w:val="00EE1440"/>
    <w:rsid w:val="00EF360D"/>
    <w:rsid w:val="00EF373D"/>
    <w:rsid w:val="00F02BD9"/>
    <w:rsid w:val="00F10687"/>
    <w:rsid w:val="00F10A75"/>
    <w:rsid w:val="00F226E4"/>
    <w:rsid w:val="00F26671"/>
    <w:rsid w:val="00F371F0"/>
    <w:rsid w:val="00F45F24"/>
    <w:rsid w:val="00F463CE"/>
    <w:rsid w:val="00F55C8C"/>
    <w:rsid w:val="00F57DB9"/>
    <w:rsid w:val="00F6470E"/>
    <w:rsid w:val="00F67819"/>
    <w:rsid w:val="00F774DD"/>
    <w:rsid w:val="00F86CBD"/>
    <w:rsid w:val="00FB437A"/>
    <w:rsid w:val="00FD13FA"/>
    <w:rsid w:val="00FD404C"/>
    <w:rsid w:val="00FE554D"/>
    <w:rsid w:val="5FDE8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4DDC"/>
  <w15:docId w15:val="{9BD51B1A-CD77-C14E-8ADF-DDD5456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8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6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4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0A67-A9FC-44EA-B460-C0EEF277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Sprick, Sebastian</dc:creator>
  <cp:lastModifiedBy>Sprick, Sebastian</cp:lastModifiedBy>
  <cp:revision>54</cp:revision>
  <dcterms:created xsi:type="dcterms:W3CDTF">2020-03-09T18:10:00Z</dcterms:created>
  <dcterms:modified xsi:type="dcterms:W3CDTF">2020-03-10T22:09:00Z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http://www.zotero.org/styles/chemistry-of-materials</vt:lpwstr>
  </property>
  <property fmtid="{D5CDD505-2E9C-101B-9397-08002B2CF9AE}" pid="7" name="Mendeley Recent Style Name 2_1">
    <vt:lpwstr>Chemistry of Materials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http://www.zotero.org/styles/journal-of-the-american-chemical-society</vt:lpwstr>
  </property>
  <property fmtid="{D5CDD505-2E9C-101B-9397-08002B2CF9AE}" pid="13" name="Mendeley Recent Style Name 5_1">
    <vt:lpwstr>Journal of the American Chemical Society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http://www.zotero.org/styles/royal-society-of-chemistry</vt:lpwstr>
  </property>
  <property fmtid="{D5CDD505-2E9C-101B-9397-08002B2CF9AE}" pid="21" name="Mendeley Recent Style Name 9_1">
    <vt:lpwstr>Royal Society of Chemistry</vt:lpwstr>
  </property>
</Properties>
</file>