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E4C7CF" w14:textId="0017AEBA" w:rsidR="00483CE9" w:rsidRDefault="00BB684E" w:rsidP="00BB684E">
      <w:pPr>
        <w:jc w:val="center"/>
        <w:rPr>
          <w:rFonts w:ascii="Arial" w:hAnsi="Arial" w:cs="Arial"/>
          <w:b/>
          <w:sz w:val="24"/>
        </w:rPr>
      </w:pPr>
      <w:r>
        <w:rPr>
          <w:rFonts w:ascii="Arial" w:hAnsi="Arial" w:cs="Arial"/>
          <w:b/>
          <w:sz w:val="24"/>
        </w:rPr>
        <w:t>Dementia Collection Editorial</w:t>
      </w:r>
    </w:p>
    <w:p w14:paraId="2796D530" w14:textId="2DBC2CBA" w:rsidR="00BB684E" w:rsidRDefault="00BB684E" w:rsidP="00BB684E">
      <w:pPr>
        <w:jc w:val="both"/>
        <w:rPr>
          <w:rFonts w:ascii="Arial" w:hAnsi="Arial" w:cs="Arial"/>
          <w:b/>
          <w:sz w:val="24"/>
        </w:rPr>
      </w:pPr>
      <w:r>
        <w:rPr>
          <w:rFonts w:ascii="Arial" w:hAnsi="Arial" w:cs="Arial"/>
          <w:b/>
          <w:sz w:val="24"/>
        </w:rPr>
        <w:t>“Current dementia care: What are the difficulties and how can we advance care globally?”</w:t>
      </w:r>
    </w:p>
    <w:p w14:paraId="4570E655" w14:textId="481DEF54" w:rsidR="00C002AC" w:rsidRDefault="00C002AC" w:rsidP="003F50BE">
      <w:pPr>
        <w:spacing w:after="0"/>
        <w:jc w:val="both"/>
        <w:rPr>
          <w:rFonts w:ascii="Arial" w:hAnsi="Arial" w:cs="Arial"/>
          <w:b/>
        </w:rPr>
      </w:pPr>
      <w:r>
        <w:rPr>
          <w:rFonts w:ascii="Arial" w:hAnsi="Arial" w:cs="Arial"/>
          <w:b/>
        </w:rPr>
        <w:t>ABSTRACT</w:t>
      </w:r>
    </w:p>
    <w:p w14:paraId="3F73454E" w14:textId="77777777" w:rsidR="00C002AC" w:rsidRDefault="00C002AC" w:rsidP="003F50BE">
      <w:pPr>
        <w:spacing w:after="0"/>
        <w:jc w:val="both"/>
        <w:rPr>
          <w:rFonts w:ascii="Arial" w:hAnsi="Arial" w:cs="Arial"/>
          <w:b/>
        </w:rPr>
      </w:pPr>
    </w:p>
    <w:p w14:paraId="150F1D68" w14:textId="043703AE" w:rsidR="00C002AC" w:rsidRDefault="00C002AC" w:rsidP="003F50BE">
      <w:pPr>
        <w:spacing w:after="0"/>
        <w:jc w:val="both"/>
        <w:rPr>
          <w:rFonts w:ascii="Arial" w:hAnsi="Arial" w:cs="Arial"/>
          <w:b/>
        </w:rPr>
      </w:pPr>
      <w:r>
        <w:rPr>
          <w:rFonts w:ascii="Arial" w:hAnsi="Arial" w:cs="Arial"/>
          <w:b/>
        </w:rPr>
        <w:t>Background</w:t>
      </w:r>
    </w:p>
    <w:p w14:paraId="4D94D2D2" w14:textId="2CD2658D" w:rsidR="00C002AC" w:rsidRPr="00C002AC" w:rsidRDefault="00C002AC" w:rsidP="003F50BE">
      <w:pPr>
        <w:spacing w:after="0"/>
        <w:jc w:val="both"/>
        <w:rPr>
          <w:rFonts w:ascii="Arial" w:hAnsi="Arial" w:cs="Arial"/>
        </w:rPr>
      </w:pPr>
      <w:r>
        <w:rPr>
          <w:rFonts w:ascii="Arial" w:hAnsi="Arial" w:cs="Arial"/>
        </w:rPr>
        <w:t>Dementia is a growing global public health concern, with post-diagnostic care often very limited. Depending on where people live, both within a country and depending on high-, middle-, and low-income countries, they might also face barriers in accessing the right care at the right time. Therefore, it is important to highlight recent evidence on the facilitators and barriers to dementia care, but also evidence on how to move dementia care forward.</w:t>
      </w:r>
    </w:p>
    <w:p w14:paraId="07CF91EB" w14:textId="411DA2A3" w:rsidR="00C002AC" w:rsidRDefault="00C002AC" w:rsidP="003F50BE">
      <w:pPr>
        <w:spacing w:after="0"/>
        <w:jc w:val="both"/>
        <w:rPr>
          <w:rFonts w:ascii="Arial" w:hAnsi="Arial" w:cs="Arial"/>
          <w:b/>
        </w:rPr>
      </w:pPr>
    </w:p>
    <w:p w14:paraId="28F51EE2" w14:textId="54F12E1E" w:rsidR="00C002AC" w:rsidRDefault="00C002AC" w:rsidP="003F50BE">
      <w:pPr>
        <w:spacing w:after="0"/>
        <w:jc w:val="both"/>
        <w:rPr>
          <w:rFonts w:ascii="Arial" w:hAnsi="Arial" w:cs="Arial"/>
          <w:b/>
        </w:rPr>
      </w:pPr>
      <w:r>
        <w:rPr>
          <w:rFonts w:ascii="Arial" w:hAnsi="Arial" w:cs="Arial"/>
          <w:b/>
        </w:rPr>
        <w:t xml:space="preserve">Main Text </w:t>
      </w:r>
    </w:p>
    <w:p w14:paraId="43831FE5" w14:textId="33440CDD" w:rsidR="00C002AC" w:rsidRPr="00C002AC" w:rsidRDefault="00FC10FC" w:rsidP="003F50BE">
      <w:pPr>
        <w:spacing w:after="0"/>
        <w:jc w:val="both"/>
        <w:rPr>
          <w:rFonts w:ascii="Arial" w:hAnsi="Arial" w:cs="Arial"/>
        </w:rPr>
      </w:pPr>
      <w:r>
        <w:rPr>
          <w:rFonts w:ascii="Arial" w:hAnsi="Arial" w:cs="Arial"/>
        </w:rPr>
        <w:t xml:space="preserve">Current dementia care is subject to </w:t>
      </w:r>
      <w:r w:rsidR="00703A6A">
        <w:rPr>
          <w:rFonts w:ascii="Arial" w:hAnsi="Arial" w:cs="Arial"/>
        </w:rPr>
        <w:t xml:space="preserve">several </w:t>
      </w:r>
      <w:r>
        <w:rPr>
          <w:rFonts w:ascii="Arial" w:hAnsi="Arial" w:cs="Arial"/>
        </w:rPr>
        <w:t xml:space="preserve">inequalities, including living in rural regions and being from a minority ethnic background. </w:t>
      </w:r>
      <w:r w:rsidR="00862883">
        <w:rPr>
          <w:rFonts w:ascii="Arial" w:hAnsi="Arial" w:cs="Arial"/>
        </w:rPr>
        <w:t xml:space="preserve">Evidence in this collection highlights the issues that both people living with dementia and unpaid </w:t>
      </w:r>
      <w:proofErr w:type="spellStart"/>
      <w:r w:rsidR="00862883">
        <w:rPr>
          <w:rFonts w:ascii="Arial" w:hAnsi="Arial" w:cs="Arial"/>
        </w:rPr>
        <w:t>carers</w:t>
      </w:r>
      <w:proofErr w:type="spellEnd"/>
      <w:r w:rsidR="00862883">
        <w:rPr>
          <w:rFonts w:ascii="Arial" w:hAnsi="Arial" w:cs="Arial"/>
        </w:rPr>
        <w:t xml:space="preserve"> are facing in accessing the right care, with evidence from Australia, Canada, Uganda, to the Netherlands, an</w:t>
      </w:r>
      <w:r w:rsidR="00380423">
        <w:rPr>
          <w:rFonts w:ascii="Arial" w:hAnsi="Arial" w:cs="Arial"/>
        </w:rPr>
        <w:t>d</w:t>
      </w:r>
      <w:r w:rsidR="00862883">
        <w:rPr>
          <w:rFonts w:ascii="Arial" w:hAnsi="Arial" w:cs="Arial"/>
        </w:rPr>
        <w:t xml:space="preserve"> further afield. </w:t>
      </w:r>
      <w:r w:rsidR="007169BF">
        <w:rPr>
          <w:rFonts w:ascii="Arial" w:hAnsi="Arial" w:cs="Arial"/>
        </w:rPr>
        <w:t xml:space="preserve">Providing improved dementia-specific training to health care professionals and supporting medication and </w:t>
      </w:r>
      <w:proofErr w:type="spellStart"/>
      <w:r w:rsidR="007169BF">
        <w:rPr>
          <w:rFonts w:ascii="Arial" w:hAnsi="Arial" w:cs="Arial"/>
        </w:rPr>
        <w:t>reablement</w:t>
      </w:r>
      <w:proofErr w:type="spellEnd"/>
      <w:r w:rsidR="007169BF">
        <w:rPr>
          <w:rFonts w:ascii="Arial" w:hAnsi="Arial" w:cs="Arial"/>
        </w:rPr>
        <w:t xml:space="preserve"> interventions have been identified as possible ways to improve dementia care for all.</w:t>
      </w:r>
    </w:p>
    <w:p w14:paraId="6E9C613A" w14:textId="004AEBBB" w:rsidR="00C002AC" w:rsidRDefault="00C002AC" w:rsidP="003F50BE">
      <w:pPr>
        <w:spacing w:after="0"/>
        <w:jc w:val="both"/>
        <w:rPr>
          <w:rFonts w:ascii="Arial" w:hAnsi="Arial" w:cs="Arial"/>
          <w:b/>
        </w:rPr>
      </w:pPr>
    </w:p>
    <w:p w14:paraId="55420993" w14:textId="340BFF66" w:rsidR="00C002AC" w:rsidRPr="00C002AC" w:rsidRDefault="00C002AC" w:rsidP="003F50BE">
      <w:pPr>
        <w:spacing w:after="0"/>
        <w:jc w:val="both"/>
        <w:rPr>
          <w:rFonts w:ascii="Arial" w:hAnsi="Arial" w:cs="Arial"/>
          <w:b/>
        </w:rPr>
      </w:pPr>
      <w:r>
        <w:rPr>
          <w:rFonts w:ascii="Arial" w:hAnsi="Arial" w:cs="Arial"/>
          <w:b/>
        </w:rPr>
        <w:t>Conclusions</w:t>
      </w:r>
    </w:p>
    <w:p w14:paraId="37222FED" w14:textId="6355E21E" w:rsidR="00C002AC" w:rsidRDefault="00C002AC" w:rsidP="003F50BE">
      <w:pPr>
        <w:spacing w:after="0"/>
        <w:jc w:val="both"/>
        <w:rPr>
          <w:rFonts w:ascii="Arial" w:hAnsi="Arial" w:cs="Arial"/>
        </w:rPr>
      </w:pPr>
      <w:r>
        <w:rPr>
          <w:rFonts w:ascii="Arial" w:hAnsi="Arial" w:cs="Arial"/>
        </w:rPr>
        <w:t>This special issue focuses on recent evidence on inequalities in dementia care across the globe and how dementia care can be advanced in various areas.</w:t>
      </w:r>
    </w:p>
    <w:p w14:paraId="3DD5FE7E" w14:textId="77777777" w:rsidR="00C002AC" w:rsidRDefault="00C002AC" w:rsidP="003F50BE">
      <w:pPr>
        <w:spacing w:after="0"/>
        <w:jc w:val="both"/>
        <w:rPr>
          <w:rFonts w:ascii="Arial" w:hAnsi="Arial" w:cs="Arial"/>
        </w:rPr>
      </w:pPr>
    </w:p>
    <w:p w14:paraId="3864C549" w14:textId="77777777" w:rsidR="00C002AC" w:rsidRDefault="00C002AC" w:rsidP="003F50BE">
      <w:pPr>
        <w:spacing w:after="0"/>
        <w:jc w:val="both"/>
        <w:rPr>
          <w:rFonts w:ascii="Arial" w:hAnsi="Arial" w:cs="Arial"/>
        </w:rPr>
      </w:pPr>
    </w:p>
    <w:p w14:paraId="1E87B56C" w14:textId="77777777" w:rsidR="00C002AC" w:rsidRDefault="00C002AC" w:rsidP="003F50BE">
      <w:pPr>
        <w:spacing w:after="0"/>
        <w:jc w:val="both"/>
        <w:rPr>
          <w:rFonts w:ascii="Arial" w:hAnsi="Arial" w:cs="Arial"/>
        </w:rPr>
      </w:pPr>
    </w:p>
    <w:p w14:paraId="521852A1" w14:textId="77777777" w:rsidR="00DA36A8" w:rsidRDefault="00DA36A8" w:rsidP="003F50BE">
      <w:pPr>
        <w:spacing w:after="0"/>
        <w:jc w:val="both"/>
        <w:rPr>
          <w:rFonts w:ascii="Arial" w:hAnsi="Arial" w:cs="Arial"/>
        </w:rPr>
      </w:pPr>
    </w:p>
    <w:p w14:paraId="0DAB0C28" w14:textId="77777777" w:rsidR="00DA36A8" w:rsidRDefault="00DA36A8" w:rsidP="003F50BE">
      <w:pPr>
        <w:spacing w:after="0"/>
        <w:jc w:val="both"/>
        <w:rPr>
          <w:rFonts w:ascii="Arial" w:hAnsi="Arial" w:cs="Arial"/>
        </w:rPr>
      </w:pPr>
    </w:p>
    <w:p w14:paraId="2C838A63" w14:textId="77777777" w:rsidR="00DA36A8" w:rsidRDefault="00DA36A8" w:rsidP="003F50BE">
      <w:pPr>
        <w:spacing w:after="0"/>
        <w:jc w:val="both"/>
        <w:rPr>
          <w:rFonts w:ascii="Arial" w:hAnsi="Arial" w:cs="Arial"/>
        </w:rPr>
      </w:pPr>
    </w:p>
    <w:p w14:paraId="120DCF2C" w14:textId="36D1879A" w:rsidR="00DA36A8" w:rsidRDefault="00DA36A8" w:rsidP="003F50BE">
      <w:pPr>
        <w:spacing w:after="0"/>
        <w:jc w:val="both"/>
        <w:rPr>
          <w:rFonts w:ascii="Arial" w:hAnsi="Arial" w:cs="Arial"/>
        </w:rPr>
      </w:pPr>
    </w:p>
    <w:p w14:paraId="1F4BF6C3" w14:textId="40466C2F" w:rsidR="00DA36A8" w:rsidRDefault="00DA36A8" w:rsidP="003F50BE">
      <w:pPr>
        <w:spacing w:after="0"/>
        <w:jc w:val="both"/>
        <w:rPr>
          <w:rFonts w:ascii="Arial" w:hAnsi="Arial" w:cs="Arial"/>
        </w:rPr>
      </w:pPr>
    </w:p>
    <w:p w14:paraId="68B11CA4" w14:textId="6DA4AA0C" w:rsidR="00DA36A8" w:rsidRDefault="00DA36A8" w:rsidP="003F50BE">
      <w:pPr>
        <w:spacing w:after="0"/>
        <w:jc w:val="both"/>
        <w:rPr>
          <w:rFonts w:ascii="Arial" w:hAnsi="Arial" w:cs="Arial"/>
        </w:rPr>
      </w:pPr>
    </w:p>
    <w:p w14:paraId="611C92D5" w14:textId="2039D49D" w:rsidR="00DA36A8" w:rsidRDefault="00DA36A8" w:rsidP="003F50BE">
      <w:pPr>
        <w:spacing w:after="0"/>
        <w:jc w:val="both"/>
        <w:rPr>
          <w:rFonts w:ascii="Arial" w:hAnsi="Arial" w:cs="Arial"/>
        </w:rPr>
      </w:pPr>
    </w:p>
    <w:p w14:paraId="659E5FB4" w14:textId="07CA5FF9" w:rsidR="00DA36A8" w:rsidRDefault="00DA36A8" w:rsidP="003F50BE">
      <w:pPr>
        <w:spacing w:after="0"/>
        <w:jc w:val="both"/>
        <w:rPr>
          <w:rFonts w:ascii="Arial" w:hAnsi="Arial" w:cs="Arial"/>
        </w:rPr>
      </w:pPr>
    </w:p>
    <w:p w14:paraId="79D0964A" w14:textId="522295FC" w:rsidR="00DA36A8" w:rsidRDefault="00DA36A8" w:rsidP="003F50BE">
      <w:pPr>
        <w:spacing w:after="0"/>
        <w:jc w:val="both"/>
        <w:rPr>
          <w:rFonts w:ascii="Arial" w:hAnsi="Arial" w:cs="Arial"/>
        </w:rPr>
      </w:pPr>
    </w:p>
    <w:p w14:paraId="13E0BD31" w14:textId="2FC6AFB5" w:rsidR="00DA36A8" w:rsidRDefault="00DA36A8" w:rsidP="003F50BE">
      <w:pPr>
        <w:spacing w:after="0"/>
        <w:jc w:val="both"/>
        <w:rPr>
          <w:rFonts w:ascii="Arial" w:hAnsi="Arial" w:cs="Arial"/>
        </w:rPr>
      </w:pPr>
    </w:p>
    <w:p w14:paraId="744F815A" w14:textId="2922484B" w:rsidR="00DA36A8" w:rsidRDefault="00DA36A8" w:rsidP="003F50BE">
      <w:pPr>
        <w:spacing w:after="0"/>
        <w:jc w:val="both"/>
        <w:rPr>
          <w:rFonts w:ascii="Arial" w:hAnsi="Arial" w:cs="Arial"/>
        </w:rPr>
      </w:pPr>
    </w:p>
    <w:p w14:paraId="233C1C9F" w14:textId="5422BC27" w:rsidR="00DA36A8" w:rsidRDefault="00DA36A8" w:rsidP="003F50BE">
      <w:pPr>
        <w:spacing w:after="0"/>
        <w:jc w:val="both"/>
        <w:rPr>
          <w:rFonts w:ascii="Arial" w:hAnsi="Arial" w:cs="Arial"/>
        </w:rPr>
      </w:pPr>
    </w:p>
    <w:p w14:paraId="53990D71" w14:textId="31A589C2" w:rsidR="00DA36A8" w:rsidRDefault="00DA36A8" w:rsidP="003F50BE">
      <w:pPr>
        <w:spacing w:after="0"/>
        <w:jc w:val="both"/>
        <w:rPr>
          <w:rFonts w:ascii="Arial" w:hAnsi="Arial" w:cs="Arial"/>
        </w:rPr>
      </w:pPr>
    </w:p>
    <w:p w14:paraId="36A2ABEC" w14:textId="19AA4B69" w:rsidR="00DA36A8" w:rsidRDefault="00DA36A8" w:rsidP="003F50BE">
      <w:pPr>
        <w:spacing w:after="0"/>
        <w:jc w:val="both"/>
        <w:rPr>
          <w:rFonts w:ascii="Arial" w:hAnsi="Arial" w:cs="Arial"/>
        </w:rPr>
      </w:pPr>
    </w:p>
    <w:p w14:paraId="351BCA58" w14:textId="062E6B96" w:rsidR="00DA36A8" w:rsidRDefault="00DA36A8" w:rsidP="003F50BE">
      <w:pPr>
        <w:spacing w:after="0"/>
        <w:jc w:val="both"/>
        <w:rPr>
          <w:rFonts w:ascii="Arial" w:hAnsi="Arial" w:cs="Arial"/>
        </w:rPr>
      </w:pPr>
    </w:p>
    <w:p w14:paraId="3DE21642" w14:textId="257CC7BB" w:rsidR="00DA36A8" w:rsidRDefault="00DA36A8" w:rsidP="003F50BE">
      <w:pPr>
        <w:spacing w:after="0"/>
        <w:jc w:val="both"/>
        <w:rPr>
          <w:rFonts w:ascii="Arial" w:hAnsi="Arial" w:cs="Arial"/>
        </w:rPr>
      </w:pPr>
    </w:p>
    <w:p w14:paraId="3F071E09" w14:textId="0F181597" w:rsidR="00DA36A8" w:rsidRDefault="00DA36A8" w:rsidP="003F50BE">
      <w:pPr>
        <w:spacing w:after="0"/>
        <w:jc w:val="both"/>
        <w:rPr>
          <w:rFonts w:ascii="Arial" w:hAnsi="Arial" w:cs="Arial"/>
        </w:rPr>
      </w:pPr>
    </w:p>
    <w:p w14:paraId="2A00FEEC" w14:textId="03407F00" w:rsidR="00DA36A8" w:rsidRDefault="00DA36A8" w:rsidP="003F50BE">
      <w:pPr>
        <w:spacing w:after="0"/>
        <w:jc w:val="both"/>
        <w:rPr>
          <w:rFonts w:ascii="Arial" w:hAnsi="Arial" w:cs="Arial"/>
        </w:rPr>
      </w:pPr>
    </w:p>
    <w:p w14:paraId="5C54DF9E" w14:textId="3F138838" w:rsidR="00DA36A8" w:rsidRDefault="00DA36A8" w:rsidP="003F50BE">
      <w:pPr>
        <w:spacing w:after="0"/>
        <w:jc w:val="both"/>
        <w:rPr>
          <w:rFonts w:ascii="Arial" w:hAnsi="Arial" w:cs="Arial"/>
        </w:rPr>
      </w:pPr>
    </w:p>
    <w:p w14:paraId="6B5D9253" w14:textId="7FC36D04" w:rsidR="00DA36A8" w:rsidRDefault="00DA36A8" w:rsidP="003F50BE">
      <w:pPr>
        <w:spacing w:after="0"/>
        <w:jc w:val="both"/>
        <w:rPr>
          <w:rFonts w:ascii="Arial" w:hAnsi="Arial" w:cs="Arial"/>
        </w:rPr>
      </w:pPr>
    </w:p>
    <w:p w14:paraId="073A1DD4" w14:textId="5B970CBB" w:rsidR="00DA36A8" w:rsidRDefault="00DA36A8" w:rsidP="003F50BE">
      <w:pPr>
        <w:spacing w:after="0"/>
        <w:jc w:val="both"/>
        <w:rPr>
          <w:rFonts w:ascii="Arial" w:hAnsi="Arial" w:cs="Arial"/>
        </w:rPr>
      </w:pPr>
    </w:p>
    <w:p w14:paraId="4CD03D0C" w14:textId="6BC2CA67" w:rsidR="00DA36A8" w:rsidRDefault="00DA36A8" w:rsidP="003F50BE">
      <w:pPr>
        <w:spacing w:after="0"/>
        <w:jc w:val="both"/>
        <w:rPr>
          <w:rFonts w:ascii="Arial" w:hAnsi="Arial" w:cs="Arial"/>
        </w:rPr>
      </w:pPr>
    </w:p>
    <w:p w14:paraId="2C748CB4" w14:textId="7F5AC62E" w:rsidR="00BE313E" w:rsidRDefault="00EF6862" w:rsidP="003F50BE">
      <w:pPr>
        <w:spacing w:after="0"/>
        <w:jc w:val="both"/>
        <w:rPr>
          <w:rFonts w:ascii="Arial" w:hAnsi="Arial" w:cs="Arial"/>
        </w:rPr>
      </w:pPr>
      <w:r w:rsidRPr="0014442C">
        <w:rPr>
          <w:rFonts w:ascii="Arial" w:hAnsi="Arial" w:cs="Arial"/>
          <w:i/>
        </w:rPr>
        <w:lastRenderedPageBreak/>
        <w:t>BMC Health Services Research</w:t>
      </w:r>
      <w:r>
        <w:rPr>
          <w:rFonts w:ascii="Arial" w:hAnsi="Arial" w:cs="Arial"/>
        </w:rPr>
        <w:t xml:space="preserve"> is pleased to </w:t>
      </w:r>
      <w:r w:rsidR="00345962">
        <w:rPr>
          <w:rFonts w:ascii="Arial" w:hAnsi="Arial" w:cs="Arial"/>
        </w:rPr>
        <w:t>launch ‘</w:t>
      </w:r>
      <w:r w:rsidR="00345962">
        <w:rPr>
          <w:rFonts w:ascii="Arial" w:hAnsi="Arial" w:cs="Arial"/>
          <w:i/>
        </w:rPr>
        <w:t>Advancing Dementia C</w:t>
      </w:r>
      <w:r w:rsidR="00345962" w:rsidRPr="0014442C">
        <w:rPr>
          <w:rFonts w:ascii="Arial" w:hAnsi="Arial" w:cs="Arial"/>
          <w:i/>
        </w:rPr>
        <w:t>are’</w:t>
      </w:r>
      <w:r w:rsidR="00345962">
        <w:rPr>
          <w:rFonts w:ascii="Arial" w:hAnsi="Arial" w:cs="Arial"/>
        </w:rPr>
        <w:t xml:space="preserve">, </w:t>
      </w:r>
      <w:r>
        <w:rPr>
          <w:rFonts w:ascii="Arial" w:hAnsi="Arial" w:cs="Arial"/>
        </w:rPr>
        <w:t>a</w:t>
      </w:r>
      <w:r w:rsidR="00345962">
        <w:rPr>
          <w:rFonts w:ascii="Arial" w:hAnsi="Arial" w:cs="Arial"/>
        </w:rPr>
        <w:t xml:space="preserve">n article collection </w:t>
      </w:r>
      <w:r>
        <w:rPr>
          <w:rFonts w:ascii="Arial" w:hAnsi="Arial" w:cs="Arial"/>
        </w:rPr>
        <w:t xml:space="preserve">focused on current dementia care inequalities and what can be done to advance care. </w:t>
      </w:r>
      <w:r w:rsidR="00BE313E">
        <w:rPr>
          <w:rFonts w:ascii="Arial" w:hAnsi="Arial" w:cs="Arial"/>
        </w:rPr>
        <w:t xml:space="preserve">Dementia affects an estimated 50 million people worldwide </w:t>
      </w:r>
      <w:r w:rsidR="00FE316F">
        <w:rPr>
          <w:rFonts w:ascii="Arial" w:hAnsi="Arial" w:cs="Arial"/>
        </w:rPr>
        <w:t>[1]</w:t>
      </w:r>
      <w:r w:rsidR="00BF75D4">
        <w:rPr>
          <w:rFonts w:ascii="Arial" w:hAnsi="Arial" w:cs="Arial"/>
        </w:rPr>
        <w:t xml:space="preserve">, with numbers steadily growing. This can </w:t>
      </w:r>
      <w:r w:rsidR="00703A6A">
        <w:rPr>
          <w:rFonts w:ascii="Arial" w:hAnsi="Arial" w:cs="Arial"/>
        </w:rPr>
        <w:t xml:space="preserve">affect many </w:t>
      </w:r>
      <w:r w:rsidR="00BF75D4">
        <w:rPr>
          <w:rFonts w:ascii="Arial" w:hAnsi="Arial" w:cs="Arial"/>
        </w:rPr>
        <w:t xml:space="preserve">areas in a person’s life – from struggling to do the shopping and managing medication </w:t>
      </w:r>
      <w:r w:rsidR="00FE316F">
        <w:rPr>
          <w:rFonts w:ascii="Arial" w:hAnsi="Arial" w:cs="Arial"/>
        </w:rPr>
        <w:t>[2]</w:t>
      </w:r>
      <w:r w:rsidR="00BF75D4">
        <w:rPr>
          <w:rFonts w:ascii="Arial" w:hAnsi="Arial" w:cs="Arial"/>
        </w:rPr>
        <w:t xml:space="preserve"> to </w:t>
      </w:r>
      <w:r w:rsidR="00BF75D4" w:rsidRPr="00703A6A">
        <w:rPr>
          <w:rFonts w:ascii="Arial" w:hAnsi="Arial" w:cs="Arial"/>
        </w:rPr>
        <w:t>behavioral</w:t>
      </w:r>
      <w:r w:rsidR="00BF75D4">
        <w:rPr>
          <w:rFonts w:ascii="Arial" w:hAnsi="Arial" w:cs="Arial"/>
        </w:rPr>
        <w:t xml:space="preserve"> difficulties and cognitive problems </w:t>
      </w:r>
      <w:r w:rsidR="00FE316F">
        <w:rPr>
          <w:rFonts w:ascii="Arial" w:hAnsi="Arial" w:cs="Arial"/>
        </w:rPr>
        <w:t>[3]</w:t>
      </w:r>
      <w:r w:rsidR="00BF75D4">
        <w:rPr>
          <w:rFonts w:ascii="Arial" w:hAnsi="Arial" w:cs="Arial"/>
        </w:rPr>
        <w:t xml:space="preserve">. </w:t>
      </w:r>
      <w:r w:rsidR="003B1A20">
        <w:rPr>
          <w:rFonts w:ascii="Arial" w:hAnsi="Arial" w:cs="Arial"/>
        </w:rPr>
        <w:t xml:space="preserve">Many people </w:t>
      </w:r>
      <w:r w:rsidR="005F4F09">
        <w:rPr>
          <w:rFonts w:ascii="Arial" w:hAnsi="Arial" w:cs="Arial"/>
        </w:rPr>
        <w:t xml:space="preserve">with dementia have unpaid </w:t>
      </w:r>
      <w:proofErr w:type="spellStart"/>
      <w:r w:rsidR="005F4F09">
        <w:rPr>
          <w:rFonts w:ascii="Arial" w:hAnsi="Arial" w:cs="Arial"/>
        </w:rPr>
        <w:t>carers</w:t>
      </w:r>
      <w:proofErr w:type="spellEnd"/>
      <w:r w:rsidR="005F4F09">
        <w:rPr>
          <w:rFonts w:ascii="Arial" w:hAnsi="Arial" w:cs="Arial"/>
        </w:rPr>
        <w:t xml:space="preserve"> (family members or friends)</w:t>
      </w:r>
      <w:r w:rsidR="00FE316F">
        <w:rPr>
          <w:rFonts w:ascii="Arial" w:hAnsi="Arial" w:cs="Arial"/>
        </w:rPr>
        <w:t xml:space="preserve"> [4]</w:t>
      </w:r>
      <w:r w:rsidR="005F4F09">
        <w:rPr>
          <w:rFonts w:ascii="Arial" w:hAnsi="Arial" w:cs="Arial"/>
        </w:rPr>
        <w:t xml:space="preserve"> who help them with daily tasks ranging from preparing a meal to more personal tasks such as washing and dressing. However, </w:t>
      </w:r>
      <w:proofErr w:type="spellStart"/>
      <w:r w:rsidR="005F4F09">
        <w:rPr>
          <w:rFonts w:ascii="Arial" w:hAnsi="Arial" w:cs="Arial"/>
        </w:rPr>
        <w:t>carers</w:t>
      </w:r>
      <w:proofErr w:type="spellEnd"/>
      <w:r w:rsidR="005F4F09">
        <w:rPr>
          <w:rFonts w:ascii="Arial" w:hAnsi="Arial" w:cs="Arial"/>
        </w:rPr>
        <w:t xml:space="preserve"> are most often overlooked when it comes to supporting those people affected by dementia. </w:t>
      </w:r>
    </w:p>
    <w:p w14:paraId="1FCFE33D" w14:textId="54655C5A" w:rsidR="00C01C91" w:rsidRPr="004F68CB" w:rsidRDefault="00BB3A8D" w:rsidP="00F83CAC">
      <w:pPr>
        <w:spacing w:after="0"/>
        <w:jc w:val="both"/>
        <w:rPr>
          <w:rFonts w:ascii="Arial" w:hAnsi="Arial" w:cs="Arial"/>
        </w:rPr>
      </w:pPr>
      <w:r>
        <w:rPr>
          <w:rFonts w:ascii="Arial" w:hAnsi="Arial" w:cs="Arial"/>
        </w:rPr>
        <w:tab/>
      </w:r>
      <w:r w:rsidR="00703A6A">
        <w:rPr>
          <w:rFonts w:ascii="Arial" w:hAnsi="Arial" w:cs="Arial"/>
        </w:rPr>
        <w:t xml:space="preserve">To </w:t>
      </w:r>
      <w:r w:rsidR="003F50BE">
        <w:rPr>
          <w:rFonts w:ascii="Arial" w:hAnsi="Arial" w:cs="Arial"/>
        </w:rPr>
        <w:t xml:space="preserve">support both people with dementia and their </w:t>
      </w:r>
      <w:proofErr w:type="spellStart"/>
      <w:r w:rsidR="003F50BE">
        <w:rPr>
          <w:rFonts w:ascii="Arial" w:hAnsi="Arial" w:cs="Arial"/>
        </w:rPr>
        <w:t>carers</w:t>
      </w:r>
      <w:proofErr w:type="spellEnd"/>
      <w:r w:rsidR="003F50BE">
        <w:rPr>
          <w:rFonts w:ascii="Arial" w:hAnsi="Arial" w:cs="Arial"/>
        </w:rPr>
        <w:t xml:space="preserve">, adequate post-diagnostic support needs to be in place (which can include memory groups, support groups, respite care, </w:t>
      </w:r>
      <w:r w:rsidR="00703A6A">
        <w:rPr>
          <w:rFonts w:ascii="Arial" w:hAnsi="Arial" w:cs="Arial"/>
        </w:rPr>
        <w:t>day-care</w:t>
      </w:r>
      <w:r w:rsidR="003F50BE">
        <w:rPr>
          <w:rFonts w:ascii="Arial" w:hAnsi="Arial" w:cs="Arial"/>
        </w:rPr>
        <w:t xml:space="preserve"> </w:t>
      </w:r>
      <w:r w:rsidR="003F50BE" w:rsidRPr="00703A6A">
        <w:rPr>
          <w:rFonts w:ascii="Arial" w:hAnsi="Arial" w:cs="Arial"/>
        </w:rPr>
        <w:t>cent</w:t>
      </w:r>
      <w:r w:rsidR="00703A6A" w:rsidRPr="00703A6A">
        <w:rPr>
          <w:rFonts w:ascii="Arial" w:hAnsi="Arial" w:cs="Arial"/>
        </w:rPr>
        <w:t>er</w:t>
      </w:r>
      <w:r w:rsidR="003F50BE" w:rsidRPr="00703A6A">
        <w:rPr>
          <w:rFonts w:ascii="Arial" w:hAnsi="Arial" w:cs="Arial"/>
        </w:rPr>
        <w:t>s</w:t>
      </w:r>
      <w:r w:rsidR="003F50BE">
        <w:rPr>
          <w:rFonts w:ascii="Arial" w:hAnsi="Arial" w:cs="Arial"/>
        </w:rPr>
        <w:t>, and social activities in the community). Not everyone receives the same level of support</w:t>
      </w:r>
      <w:r w:rsidR="00345962">
        <w:rPr>
          <w:rFonts w:ascii="Arial" w:hAnsi="Arial" w:cs="Arial"/>
        </w:rPr>
        <w:t xml:space="preserve">, for </w:t>
      </w:r>
      <w:r w:rsidR="003F50BE">
        <w:rPr>
          <w:rFonts w:ascii="Arial" w:hAnsi="Arial" w:cs="Arial"/>
        </w:rPr>
        <w:t xml:space="preserve">multiple reasons. The World Health </w:t>
      </w:r>
      <w:proofErr w:type="spellStart"/>
      <w:r w:rsidR="003F50BE">
        <w:rPr>
          <w:rFonts w:ascii="Arial" w:hAnsi="Arial" w:cs="Arial"/>
        </w:rPr>
        <w:t>Organisation</w:t>
      </w:r>
      <w:proofErr w:type="spellEnd"/>
      <w:r w:rsidR="003F50BE">
        <w:rPr>
          <w:rFonts w:ascii="Arial" w:hAnsi="Arial" w:cs="Arial"/>
        </w:rPr>
        <w:t xml:space="preserve"> (WHO) defines </w:t>
      </w:r>
      <w:r w:rsidR="003F50BE" w:rsidRPr="00D16F54">
        <w:rPr>
          <w:rFonts w:ascii="Arial" w:hAnsi="Arial" w:cs="Arial"/>
        </w:rPr>
        <w:t xml:space="preserve">health inequities as </w:t>
      </w:r>
      <w:r w:rsidR="00B527B0" w:rsidRPr="00D16F54">
        <w:rPr>
          <w:rFonts w:ascii="Arial" w:hAnsi="Arial" w:cs="Arial"/>
        </w:rPr>
        <w:t>“</w:t>
      </w:r>
      <w:r w:rsidR="00B527B0" w:rsidRPr="00D16F54">
        <w:rPr>
          <w:rFonts w:ascii="Arial" w:hAnsi="Arial" w:cs="Arial"/>
          <w:color w:val="222222"/>
          <w:shd w:val="clear" w:color="auto" w:fill="FFFFFF"/>
        </w:rPr>
        <w:t>differences in </w:t>
      </w:r>
      <w:r w:rsidR="00B527B0" w:rsidRPr="00D16F54">
        <w:rPr>
          <w:rFonts w:ascii="Arial" w:hAnsi="Arial" w:cs="Arial"/>
          <w:bCs/>
          <w:color w:val="222222"/>
          <w:shd w:val="clear" w:color="auto" w:fill="FFFFFF"/>
        </w:rPr>
        <w:t>health</w:t>
      </w:r>
      <w:r w:rsidR="00B527B0" w:rsidRPr="00D16F54">
        <w:rPr>
          <w:rFonts w:ascii="Arial" w:hAnsi="Arial" w:cs="Arial"/>
          <w:color w:val="222222"/>
          <w:shd w:val="clear" w:color="auto" w:fill="FFFFFF"/>
        </w:rPr>
        <w:t> status or in the distribution of </w:t>
      </w:r>
      <w:r w:rsidR="00B527B0" w:rsidRPr="00D16F54">
        <w:rPr>
          <w:rFonts w:ascii="Arial" w:hAnsi="Arial" w:cs="Arial"/>
          <w:bCs/>
          <w:color w:val="222222"/>
          <w:shd w:val="clear" w:color="auto" w:fill="FFFFFF"/>
        </w:rPr>
        <w:t>health</w:t>
      </w:r>
      <w:r w:rsidR="00B527B0" w:rsidRPr="00D16F54">
        <w:rPr>
          <w:rFonts w:ascii="Arial" w:hAnsi="Arial" w:cs="Arial"/>
          <w:color w:val="222222"/>
          <w:shd w:val="clear" w:color="auto" w:fill="FFFFFF"/>
        </w:rPr>
        <w:t> resources between different population groups, arising from the social conditions in which people are born, grow, live, work and age. </w:t>
      </w:r>
      <w:r w:rsidR="00B527B0" w:rsidRPr="00D16F54">
        <w:rPr>
          <w:rFonts w:ascii="Arial" w:hAnsi="Arial" w:cs="Arial"/>
          <w:bCs/>
          <w:color w:val="222222"/>
          <w:shd w:val="clear" w:color="auto" w:fill="FFFFFF"/>
        </w:rPr>
        <w:t>Health inequities</w:t>
      </w:r>
      <w:r w:rsidR="00B527B0">
        <w:rPr>
          <w:rFonts w:ascii="Arial" w:hAnsi="Arial" w:cs="Arial"/>
          <w:color w:val="222222"/>
          <w:shd w:val="clear" w:color="auto" w:fill="FFFFFF"/>
        </w:rPr>
        <w:t xml:space="preserve"> are unfair and could be reduced by the right mix of government policies.” </w:t>
      </w:r>
      <w:r w:rsidR="004F68CB" w:rsidRPr="00F83CAC">
        <w:rPr>
          <w:rFonts w:ascii="Arial" w:hAnsi="Arial" w:cs="Arial"/>
          <w:shd w:val="clear" w:color="auto" w:fill="FFFFFF"/>
        </w:rPr>
        <w:t>Looking at the barriers of accessing post-diagnostic care across eight European countries</w:t>
      </w:r>
      <w:r w:rsidR="00703A6A">
        <w:rPr>
          <w:rFonts w:ascii="Arial" w:hAnsi="Arial" w:cs="Arial"/>
          <w:shd w:val="clear" w:color="auto" w:fill="FFFFFF"/>
        </w:rPr>
        <w:t xml:space="preserve">, </w:t>
      </w:r>
      <w:r w:rsidR="004F68CB" w:rsidRPr="00F83CAC">
        <w:rPr>
          <w:rFonts w:ascii="Arial" w:hAnsi="Arial" w:cs="Arial"/>
          <w:shd w:val="clear" w:color="auto" w:fill="FFFFFF"/>
        </w:rPr>
        <w:t xml:space="preserve">for example, </w:t>
      </w:r>
      <w:proofErr w:type="spellStart"/>
      <w:r w:rsidR="004F68CB" w:rsidRPr="00F83CAC">
        <w:rPr>
          <w:rFonts w:ascii="Arial" w:hAnsi="Arial" w:cs="Arial"/>
          <w:shd w:val="clear" w:color="auto" w:fill="FFFFFF"/>
        </w:rPr>
        <w:t>Broda</w:t>
      </w:r>
      <w:proofErr w:type="spellEnd"/>
      <w:r w:rsidR="004F68CB" w:rsidRPr="00F83CAC">
        <w:rPr>
          <w:rFonts w:ascii="Arial" w:hAnsi="Arial" w:cs="Arial"/>
          <w:shd w:val="clear" w:color="auto" w:fill="FFFFFF"/>
        </w:rPr>
        <w:t xml:space="preserve"> and colleagues</w:t>
      </w:r>
      <w:r w:rsidR="00FE316F">
        <w:rPr>
          <w:rFonts w:ascii="Arial" w:hAnsi="Arial" w:cs="Arial"/>
          <w:shd w:val="clear" w:color="auto" w:fill="FFFFFF"/>
        </w:rPr>
        <w:t xml:space="preserve"> [5]</w:t>
      </w:r>
      <w:r w:rsidR="004F68CB" w:rsidRPr="00F83CAC">
        <w:rPr>
          <w:rFonts w:ascii="Arial" w:hAnsi="Arial" w:cs="Arial"/>
          <w:shd w:val="clear" w:color="auto" w:fill="FFFFFF"/>
        </w:rPr>
        <w:t xml:space="preserve"> reported </w:t>
      </w:r>
      <w:r w:rsidR="00703A6A">
        <w:rPr>
          <w:rFonts w:ascii="Arial" w:hAnsi="Arial" w:cs="Arial"/>
          <w:shd w:val="clear" w:color="auto" w:fill="FFFFFF"/>
        </w:rPr>
        <w:t xml:space="preserve">a </w:t>
      </w:r>
      <w:r w:rsidR="004F68CB" w:rsidRPr="00F83CAC">
        <w:rPr>
          <w:rFonts w:ascii="Arial" w:hAnsi="Arial" w:cs="Arial"/>
          <w:shd w:val="clear" w:color="auto" w:fill="FFFFFF"/>
        </w:rPr>
        <w:t xml:space="preserve">lack of awareness and continuity of care as some of the main issues from the perspectives of </w:t>
      </w:r>
      <w:r w:rsidR="00F83CAC" w:rsidRPr="00F83CAC">
        <w:rPr>
          <w:rFonts w:ascii="Arial" w:hAnsi="Arial" w:cs="Arial"/>
        </w:rPr>
        <w:t>policy and political decision</w:t>
      </w:r>
      <w:r w:rsidR="00703A6A">
        <w:rPr>
          <w:rFonts w:ascii="Arial" w:hAnsi="Arial" w:cs="Arial"/>
        </w:rPr>
        <w:t>-</w:t>
      </w:r>
      <w:r w:rsidR="00F83CAC" w:rsidRPr="00F83CAC">
        <w:rPr>
          <w:rFonts w:ascii="Arial" w:hAnsi="Arial" w:cs="Arial"/>
        </w:rPr>
        <w:t>makers</w:t>
      </w:r>
      <w:r w:rsidR="00F83CAC">
        <w:rPr>
          <w:rFonts w:ascii="Arial" w:hAnsi="Arial" w:cs="Arial"/>
        </w:rPr>
        <w:t>.</w:t>
      </w:r>
      <w:r w:rsidR="0014442C">
        <w:rPr>
          <w:rFonts w:ascii="Arial" w:hAnsi="Arial" w:cs="Arial"/>
        </w:rPr>
        <w:t xml:space="preserve"> However, some </w:t>
      </w:r>
      <w:proofErr w:type="spellStart"/>
      <w:r w:rsidR="0014442C">
        <w:rPr>
          <w:rFonts w:ascii="Arial" w:hAnsi="Arial" w:cs="Arial"/>
        </w:rPr>
        <w:t>carers</w:t>
      </w:r>
      <w:proofErr w:type="spellEnd"/>
      <w:r w:rsidR="0014442C">
        <w:rPr>
          <w:rFonts w:ascii="Arial" w:hAnsi="Arial" w:cs="Arial"/>
        </w:rPr>
        <w:t xml:space="preserve"> reject accessing specific types of post-diagnostic support, such as support groups, particularly when the person they care for is </w:t>
      </w:r>
      <w:r w:rsidR="007B45C6">
        <w:rPr>
          <w:rFonts w:ascii="Arial" w:hAnsi="Arial" w:cs="Arial"/>
        </w:rPr>
        <w:t>experiencing higher levels of everyday functioning and thus in less need of support</w:t>
      </w:r>
      <w:r w:rsidR="00FE316F">
        <w:rPr>
          <w:rFonts w:ascii="Arial" w:hAnsi="Arial" w:cs="Arial"/>
        </w:rPr>
        <w:t xml:space="preserve"> [6]</w:t>
      </w:r>
      <w:r w:rsidR="007B45C6">
        <w:rPr>
          <w:rFonts w:ascii="Arial" w:hAnsi="Arial" w:cs="Arial"/>
        </w:rPr>
        <w:t>.</w:t>
      </w:r>
    </w:p>
    <w:p w14:paraId="0023A334" w14:textId="221C68F7" w:rsidR="00030ED3" w:rsidRPr="00B06614" w:rsidRDefault="00030ED3" w:rsidP="0009476A">
      <w:pPr>
        <w:spacing w:after="0"/>
        <w:ind w:firstLine="360"/>
        <w:jc w:val="both"/>
        <w:rPr>
          <w:rFonts w:ascii="Arial" w:hAnsi="Arial" w:cs="Arial"/>
        </w:rPr>
      </w:pPr>
      <w:r w:rsidRPr="00B06614">
        <w:rPr>
          <w:rFonts w:ascii="Arial" w:hAnsi="Arial" w:cs="Arial"/>
        </w:rPr>
        <w:t xml:space="preserve">One </w:t>
      </w:r>
      <w:r w:rsidR="007A64C0">
        <w:rPr>
          <w:rFonts w:ascii="Arial" w:hAnsi="Arial" w:cs="Arial"/>
        </w:rPr>
        <w:t xml:space="preserve">underlying reason for </w:t>
      </w:r>
      <w:r w:rsidRPr="00B06614">
        <w:rPr>
          <w:rFonts w:ascii="Arial" w:hAnsi="Arial" w:cs="Arial"/>
        </w:rPr>
        <w:t>inequalit</w:t>
      </w:r>
      <w:r w:rsidR="0009476A">
        <w:rPr>
          <w:rFonts w:ascii="Arial" w:hAnsi="Arial" w:cs="Arial"/>
        </w:rPr>
        <w:t>ies</w:t>
      </w:r>
      <w:r w:rsidR="00703A6A">
        <w:rPr>
          <w:rFonts w:ascii="Arial" w:hAnsi="Arial" w:cs="Arial"/>
        </w:rPr>
        <w:t xml:space="preserve">, </w:t>
      </w:r>
      <w:r w:rsidRPr="00B06614">
        <w:rPr>
          <w:rFonts w:ascii="Arial" w:hAnsi="Arial" w:cs="Arial"/>
        </w:rPr>
        <w:t>that receives growing attention</w:t>
      </w:r>
      <w:r w:rsidR="00703A6A">
        <w:rPr>
          <w:rFonts w:ascii="Arial" w:hAnsi="Arial" w:cs="Arial"/>
        </w:rPr>
        <w:t>,</w:t>
      </w:r>
      <w:r w:rsidRPr="00B06614">
        <w:rPr>
          <w:rFonts w:ascii="Arial" w:hAnsi="Arial" w:cs="Arial"/>
        </w:rPr>
        <w:t xml:space="preserve"> is rural dementia care</w:t>
      </w:r>
      <w:r w:rsidR="00B06614" w:rsidRPr="00B06614">
        <w:rPr>
          <w:rFonts w:ascii="Arial" w:hAnsi="Arial" w:cs="Arial"/>
        </w:rPr>
        <w:t>. Living in more rural communities can make it difficult to access both a GP or memory clinic for a diagnosis, but also to access support services afterwards</w:t>
      </w:r>
      <w:r w:rsidR="00FE316F">
        <w:rPr>
          <w:rFonts w:ascii="Arial" w:hAnsi="Arial" w:cs="Arial"/>
        </w:rPr>
        <w:t xml:space="preserve"> [7]</w:t>
      </w:r>
      <w:r w:rsidR="00B06614" w:rsidRPr="00B06614">
        <w:rPr>
          <w:rFonts w:ascii="Arial" w:hAnsi="Arial" w:cs="Arial"/>
        </w:rPr>
        <w:t>. If it takes an hour to access a support group</w:t>
      </w:r>
      <w:r w:rsidR="009305D5">
        <w:rPr>
          <w:rFonts w:ascii="Arial" w:hAnsi="Arial" w:cs="Arial"/>
        </w:rPr>
        <w:t xml:space="preserve">, which only meets once a </w:t>
      </w:r>
      <w:r w:rsidR="00703A6A">
        <w:rPr>
          <w:rFonts w:ascii="Arial" w:hAnsi="Arial" w:cs="Arial"/>
        </w:rPr>
        <w:t xml:space="preserve">week, </w:t>
      </w:r>
      <w:r w:rsidR="009305D5">
        <w:rPr>
          <w:rFonts w:ascii="Arial" w:hAnsi="Arial" w:cs="Arial"/>
        </w:rPr>
        <w:t xml:space="preserve">due to </w:t>
      </w:r>
      <w:r w:rsidR="00E233BD">
        <w:rPr>
          <w:rFonts w:ascii="Arial" w:hAnsi="Arial" w:cs="Arial"/>
        </w:rPr>
        <w:t>reduced demand, then people living in more rural region</w:t>
      </w:r>
      <w:r w:rsidR="00703A6A">
        <w:rPr>
          <w:rFonts w:ascii="Arial" w:hAnsi="Arial" w:cs="Arial"/>
        </w:rPr>
        <w:t>s</w:t>
      </w:r>
      <w:r w:rsidR="00E233BD">
        <w:rPr>
          <w:rFonts w:ascii="Arial" w:hAnsi="Arial" w:cs="Arial"/>
        </w:rPr>
        <w:t xml:space="preserve"> will be unable to access the same level of post-diagnostic support than those living in more urban regions. </w:t>
      </w:r>
      <w:r w:rsidR="00A45034">
        <w:rPr>
          <w:rFonts w:ascii="Arial" w:hAnsi="Arial" w:cs="Arial"/>
        </w:rPr>
        <w:t xml:space="preserve">Looking at the barriers and facilitators of implementing a strategy for dementia assessment and management in rural Canada, </w:t>
      </w:r>
      <w:r w:rsidR="00CD6173">
        <w:rPr>
          <w:rFonts w:ascii="Arial" w:hAnsi="Arial" w:cs="Arial"/>
        </w:rPr>
        <w:t>Morgan and colleagues</w:t>
      </w:r>
      <w:r w:rsidR="00FE316F">
        <w:rPr>
          <w:rFonts w:ascii="Arial" w:hAnsi="Arial" w:cs="Arial"/>
        </w:rPr>
        <w:t xml:space="preserve"> [8]</w:t>
      </w:r>
      <w:r w:rsidR="00CD6173">
        <w:rPr>
          <w:rFonts w:ascii="Arial" w:hAnsi="Arial" w:cs="Arial"/>
        </w:rPr>
        <w:t xml:space="preserve"> </w:t>
      </w:r>
      <w:r w:rsidR="00A45034">
        <w:rPr>
          <w:rFonts w:ascii="Arial" w:hAnsi="Arial" w:cs="Arial"/>
        </w:rPr>
        <w:t xml:space="preserve">found that </w:t>
      </w:r>
      <w:r w:rsidR="007A2407">
        <w:rPr>
          <w:rFonts w:ascii="Arial" w:hAnsi="Arial" w:cs="Arial"/>
        </w:rPr>
        <w:t xml:space="preserve">whilst it proved difficult to implement such a strategy in primary health care, the intervention proved to be successful also due to the strong partnership between researchers and clinicians. But this is just one example of how rural dementia care is being tackled. </w:t>
      </w:r>
    </w:p>
    <w:p w14:paraId="1CDAA242" w14:textId="2A9AA518" w:rsidR="00240B19" w:rsidRDefault="0083638A" w:rsidP="00EA75B5">
      <w:pPr>
        <w:spacing w:after="0"/>
        <w:ind w:firstLine="720"/>
        <w:jc w:val="both"/>
        <w:rPr>
          <w:rFonts w:ascii="Arial" w:hAnsi="Arial" w:cs="Arial"/>
        </w:rPr>
      </w:pPr>
      <w:r>
        <w:rPr>
          <w:rFonts w:ascii="Arial" w:hAnsi="Arial" w:cs="Arial"/>
        </w:rPr>
        <w:t xml:space="preserve">Belonging to an ethnic minority group </w:t>
      </w:r>
      <w:r w:rsidR="00240B19">
        <w:rPr>
          <w:rFonts w:ascii="Arial" w:hAnsi="Arial" w:cs="Arial"/>
        </w:rPr>
        <w:t>can also be leading to inequalities in diagnosis and care access in dementia</w:t>
      </w:r>
      <w:r w:rsidR="00FE316F">
        <w:rPr>
          <w:rFonts w:ascii="Arial" w:hAnsi="Arial" w:cs="Arial"/>
        </w:rPr>
        <w:t xml:space="preserve"> [9]</w:t>
      </w:r>
      <w:r w:rsidR="00240B19" w:rsidRPr="00E943C6">
        <w:rPr>
          <w:rFonts w:ascii="Arial" w:hAnsi="Arial" w:cs="Arial"/>
        </w:rPr>
        <w:t xml:space="preserve">. </w:t>
      </w:r>
      <w:r w:rsidR="00106000" w:rsidRPr="00E943C6">
        <w:rPr>
          <w:rFonts w:ascii="Arial" w:hAnsi="Arial" w:cs="Arial"/>
        </w:rPr>
        <w:t>People</w:t>
      </w:r>
      <w:r w:rsidR="00106000">
        <w:rPr>
          <w:rFonts w:ascii="Arial" w:hAnsi="Arial" w:cs="Arial"/>
        </w:rPr>
        <w:t xml:space="preserve"> from black and minority ethnic (BAME) groups are often found to experience delays in receiving a diagnosis, </w:t>
      </w:r>
      <w:r w:rsidR="004C1711">
        <w:rPr>
          <w:rFonts w:ascii="Arial" w:hAnsi="Arial" w:cs="Arial"/>
        </w:rPr>
        <w:t>with symptoms also being attributed to faith by some</w:t>
      </w:r>
      <w:r w:rsidR="00106000">
        <w:rPr>
          <w:rFonts w:ascii="Arial" w:hAnsi="Arial" w:cs="Arial"/>
        </w:rPr>
        <w:t xml:space="preserve"> </w:t>
      </w:r>
      <w:r w:rsidR="004C1711">
        <w:rPr>
          <w:rFonts w:ascii="Arial" w:hAnsi="Arial" w:cs="Arial"/>
        </w:rPr>
        <w:t>resulting in delays or general non-contact with GPs about their symptoms</w:t>
      </w:r>
      <w:r w:rsidR="00FE316F">
        <w:rPr>
          <w:rFonts w:ascii="Arial" w:hAnsi="Arial" w:cs="Arial"/>
        </w:rPr>
        <w:t xml:space="preserve"> [10]</w:t>
      </w:r>
      <w:r w:rsidR="00106000">
        <w:rPr>
          <w:rFonts w:ascii="Arial" w:hAnsi="Arial" w:cs="Arial"/>
        </w:rPr>
        <w:t>.</w:t>
      </w:r>
      <w:r w:rsidR="004C1711">
        <w:rPr>
          <w:rFonts w:ascii="Arial" w:hAnsi="Arial" w:cs="Arial"/>
        </w:rPr>
        <w:t xml:space="preserve"> In line with other research on various BAME groups, </w:t>
      </w:r>
      <w:proofErr w:type="spellStart"/>
      <w:r w:rsidR="004C1711">
        <w:rPr>
          <w:rFonts w:ascii="Arial" w:hAnsi="Arial" w:cs="Arial"/>
        </w:rPr>
        <w:t>Sagbaken</w:t>
      </w:r>
      <w:proofErr w:type="spellEnd"/>
      <w:r w:rsidR="004C1711">
        <w:rPr>
          <w:rFonts w:ascii="Arial" w:hAnsi="Arial" w:cs="Arial"/>
        </w:rPr>
        <w:t xml:space="preserve"> et al.</w:t>
      </w:r>
      <w:r w:rsidR="00FE316F">
        <w:rPr>
          <w:rFonts w:ascii="Arial" w:hAnsi="Arial" w:cs="Arial"/>
        </w:rPr>
        <w:t xml:space="preserve"> [11]</w:t>
      </w:r>
      <w:r w:rsidR="004C1711">
        <w:rPr>
          <w:rFonts w:ascii="Arial" w:hAnsi="Arial" w:cs="Arial"/>
        </w:rPr>
        <w:t xml:space="preserve"> reported language barriers and faith-related help-seeking attitudes as major barriers to receiving a dementia diagnosis in ethnic minority migrants </w:t>
      </w:r>
      <w:r w:rsidR="004C41C8">
        <w:rPr>
          <w:rFonts w:ascii="Arial" w:hAnsi="Arial" w:cs="Arial"/>
        </w:rPr>
        <w:t>in Norway. Similarly, GPs were reported to often lack cultural competency, which further created barriers to a timely diagnosis.</w:t>
      </w:r>
      <w:r w:rsidR="004744B0">
        <w:rPr>
          <w:rFonts w:ascii="Arial" w:hAnsi="Arial" w:cs="Arial"/>
        </w:rPr>
        <w:t xml:space="preserve"> </w:t>
      </w:r>
      <w:r w:rsidR="00E2278C">
        <w:rPr>
          <w:rFonts w:ascii="Arial" w:hAnsi="Arial" w:cs="Arial"/>
        </w:rPr>
        <w:t>A recent scoping review by Bieber and colleagues</w:t>
      </w:r>
      <w:r w:rsidR="00FE316F">
        <w:rPr>
          <w:rFonts w:ascii="Arial" w:hAnsi="Arial" w:cs="Arial"/>
        </w:rPr>
        <w:t xml:space="preserve"> [12]</w:t>
      </w:r>
      <w:r w:rsidR="00E2278C">
        <w:rPr>
          <w:rFonts w:ascii="Arial" w:hAnsi="Arial" w:cs="Arial"/>
        </w:rPr>
        <w:t xml:space="preserve"> further supports these findings, as ethnicity was found to be a barrier to service access in dementia. </w:t>
      </w:r>
      <w:r w:rsidR="004744B0">
        <w:rPr>
          <w:rFonts w:ascii="Arial" w:hAnsi="Arial" w:cs="Arial"/>
        </w:rPr>
        <w:t>But ethnic minority status also leads to inequalities in accessing post-diagnostic care, including anti-dementia medication</w:t>
      </w:r>
      <w:r w:rsidR="00E64DD0">
        <w:rPr>
          <w:rFonts w:ascii="Arial" w:hAnsi="Arial" w:cs="Arial"/>
        </w:rPr>
        <w:t xml:space="preserve"> </w:t>
      </w:r>
      <w:r w:rsidR="00FE316F">
        <w:rPr>
          <w:rFonts w:ascii="Arial" w:hAnsi="Arial" w:cs="Arial"/>
        </w:rPr>
        <w:t>[13]</w:t>
      </w:r>
      <w:r w:rsidR="004744B0">
        <w:rPr>
          <w:rFonts w:ascii="Arial" w:hAnsi="Arial" w:cs="Arial"/>
        </w:rPr>
        <w:t>.</w:t>
      </w:r>
    </w:p>
    <w:p w14:paraId="42B3DC56" w14:textId="3606025E" w:rsidR="00BA5D80" w:rsidRPr="00BA5D80" w:rsidRDefault="00CC71D5" w:rsidP="007043B5">
      <w:pPr>
        <w:spacing w:after="0"/>
        <w:ind w:firstLine="720"/>
        <w:jc w:val="both"/>
        <w:rPr>
          <w:rFonts w:ascii="Arial" w:hAnsi="Arial" w:cs="Arial"/>
        </w:rPr>
      </w:pPr>
      <w:r>
        <w:rPr>
          <w:rFonts w:ascii="Arial" w:hAnsi="Arial" w:cs="Arial"/>
        </w:rPr>
        <w:t>Living in rural areas or being from a BAME background are only some of the barriers to receiving the right post-diagnostic care and diagnosis in the first place. A growing body of evidence is showing that being from more disadvantaged backgrounds</w:t>
      </w:r>
      <w:r w:rsidR="00703A6A">
        <w:rPr>
          <w:rFonts w:ascii="Arial" w:hAnsi="Arial" w:cs="Arial"/>
        </w:rPr>
        <w:t xml:space="preserve">, </w:t>
      </w:r>
      <w:r>
        <w:rPr>
          <w:rFonts w:ascii="Arial" w:hAnsi="Arial" w:cs="Arial"/>
        </w:rPr>
        <w:t>for example</w:t>
      </w:r>
      <w:r w:rsidR="00703A6A">
        <w:rPr>
          <w:rFonts w:ascii="Arial" w:hAnsi="Arial" w:cs="Arial"/>
        </w:rPr>
        <w:t>,</w:t>
      </w:r>
      <w:r>
        <w:rPr>
          <w:rFonts w:ascii="Arial" w:hAnsi="Arial" w:cs="Arial"/>
        </w:rPr>
        <w:t xml:space="preserve"> is linked to reduced access to anti-dementia medication</w:t>
      </w:r>
      <w:r w:rsidR="00FE316F">
        <w:rPr>
          <w:rFonts w:ascii="Arial" w:hAnsi="Arial" w:cs="Arial"/>
        </w:rPr>
        <w:t xml:space="preserve"> [14]</w:t>
      </w:r>
      <w:r>
        <w:rPr>
          <w:rFonts w:ascii="Arial" w:hAnsi="Arial" w:cs="Arial"/>
        </w:rPr>
        <w:t>, with more research currently being conducted on how neighborhood deprivation (measured via the Index of Multiple Deprivation</w:t>
      </w:r>
      <w:r w:rsidR="00121A67">
        <w:rPr>
          <w:rFonts w:ascii="Arial" w:hAnsi="Arial" w:cs="Arial"/>
        </w:rPr>
        <w:t>, in the UK</w:t>
      </w:r>
      <w:r>
        <w:rPr>
          <w:rFonts w:ascii="Arial" w:hAnsi="Arial" w:cs="Arial"/>
        </w:rPr>
        <w:t xml:space="preserve">) is linked to dementia care. </w:t>
      </w:r>
    </w:p>
    <w:p w14:paraId="12DED382" w14:textId="0D2F3BD7" w:rsidR="00BA5D80" w:rsidRDefault="00D757F8" w:rsidP="007043B5">
      <w:pPr>
        <w:spacing w:after="0"/>
        <w:ind w:firstLine="720"/>
        <w:jc w:val="both"/>
        <w:rPr>
          <w:rFonts w:ascii="Arial" w:hAnsi="Arial" w:cs="Arial"/>
        </w:rPr>
      </w:pPr>
      <w:r w:rsidRPr="00BE313E">
        <w:rPr>
          <w:rFonts w:ascii="Arial" w:hAnsi="Arial" w:cs="Arial"/>
        </w:rPr>
        <w:lastRenderedPageBreak/>
        <w:t xml:space="preserve">Dementia care can differ </w:t>
      </w:r>
      <w:r>
        <w:rPr>
          <w:rFonts w:ascii="Arial" w:hAnsi="Arial" w:cs="Arial"/>
        </w:rPr>
        <w:t xml:space="preserve">not only within a country and by </w:t>
      </w:r>
      <w:r w:rsidR="00180676">
        <w:rPr>
          <w:rFonts w:ascii="Arial" w:hAnsi="Arial" w:cs="Arial"/>
        </w:rPr>
        <w:t xml:space="preserve">postcode, but also between countries. Whilst the Netherlands are renowned for their </w:t>
      </w:r>
      <w:r w:rsidR="00E541C7">
        <w:rPr>
          <w:rFonts w:ascii="Arial" w:hAnsi="Arial" w:cs="Arial"/>
        </w:rPr>
        <w:t>advanced dementia care both in the community and in long-term care, there are huge variations between high-income and low-and middle-income countries (LMIC).</w:t>
      </w:r>
      <w:r w:rsidR="00BF0579">
        <w:rPr>
          <w:rFonts w:ascii="Arial" w:hAnsi="Arial" w:cs="Arial"/>
        </w:rPr>
        <w:t xml:space="preserve"> </w:t>
      </w:r>
      <w:proofErr w:type="spellStart"/>
      <w:r w:rsidR="00BA5D80">
        <w:rPr>
          <w:rFonts w:ascii="Arial" w:hAnsi="Arial" w:cs="Arial"/>
        </w:rPr>
        <w:t>Kamoga</w:t>
      </w:r>
      <w:proofErr w:type="spellEnd"/>
      <w:r w:rsidR="00BA5D80">
        <w:rPr>
          <w:rFonts w:ascii="Arial" w:hAnsi="Arial" w:cs="Arial"/>
        </w:rPr>
        <w:t xml:space="preserve"> et al.</w:t>
      </w:r>
      <w:r w:rsidR="00EA75B5">
        <w:rPr>
          <w:rFonts w:ascii="Arial" w:hAnsi="Arial" w:cs="Arial"/>
        </w:rPr>
        <w:t xml:space="preserve"> </w:t>
      </w:r>
      <w:r w:rsidR="00FE316F">
        <w:rPr>
          <w:rFonts w:ascii="Arial" w:hAnsi="Arial" w:cs="Arial"/>
        </w:rPr>
        <w:t xml:space="preserve">[15] </w:t>
      </w:r>
      <w:r w:rsidR="007043B5" w:rsidRPr="007043B5">
        <w:rPr>
          <w:rFonts w:ascii="Arial" w:hAnsi="Arial" w:cs="Arial"/>
        </w:rPr>
        <w:t xml:space="preserve">explored </w:t>
      </w:r>
      <w:r w:rsidR="007043B5">
        <w:rPr>
          <w:rFonts w:ascii="Arial" w:hAnsi="Arial" w:cs="Arial"/>
        </w:rPr>
        <w:t xml:space="preserve">dementia diagnosis and treatment in Uganda and found that health care workers generally had very little training on </w:t>
      </w:r>
      <w:r w:rsidR="00703A6A">
        <w:rPr>
          <w:rFonts w:ascii="Arial" w:hAnsi="Arial" w:cs="Arial"/>
        </w:rPr>
        <w:t>recognizing</w:t>
      </w:r>
      <w:r w:rsidR="007043B5">
        <w:rPr>
          <w:rFonts w:ascii="Arial" w:hAnsi="Arial" w:cs="Arial"/>
        </w:rPr>
        <w:t xml:space="preserve"> and treating dementia symptoms. Those health care workers who were able to </w:t>
      </w:r>
      <w:r w:rsidR="00703A6A">
        <w:rPr>
          <w:rFonts w:ascii="Arial" w:hAnsi="Arial" w:cs="Arial"/>
        </w:rPr>
        <w:t>recognize</w:t>
      </w:r>
      <w:r w:rsidR="007043B5">
        <w:rPr>
          <w:rFonts w:ascii="Arial" w:hAnsi="Arial" w:cs="Arial"/>
        </w:rPr>
        <w:t xml:space="preserve"> symptoms were more likely also to focus on treating other medical symptoms as opposed to those related to dementia. This suggests that there is a need for improved dementia training in the health care workforce, and possibly a better knowledge exchange across countries.</w:t>
      </w:r>
    </w:p>
    <w:p w14:paraId="1B6C6F68" w14:textId="524BD741" w:rsidR="001E220A" w:rsidRPr="001E220A" w:rsidRDefault="001E220A" w:rsidP="00BF0579">
      <w:pPr>
        <w:spacing w:after="0"/>
        <w:ind w:firstLine="720"/>
        <w:jc w:val="both"/>
        <w:rPr>
          <w:rFonts w:ascii="Arial" w:hAnsi="Arial" w:cs="Arial"/>
        </w:rPr>
      </w:pPr>
      <w:r>
        <w:rPr>
          <w:rFonts w:ascii="Arial" w:hAnsi="Arial" w:cs="Arial"/>
        </w:rPr>
        <w:t>Barriers to care are not only reported in the community though, but also in long-term care institutions</w:t>
      </w:r>
      <w:r w:rsidR="00740D82">
        <w:rPr>
          <w:rFonts w:ascii="Arial" w:hAnsi="Arial" w:cs="Arial"/>
        </w:rPr>
        <w:t xml:space="preserve"> and thus the more advanced stages of the condition</w:t>
      </w:r>
      <w:r>
        <w:rPr>
          <w:rFonts w:ascii="Arial" w:hAnsi="Arial" w:cs="Arial"/>
        </w:rPr>
        <w:t xml:space="preserve">. </w:t>
      </w:r>
      <w:r w:rsidR="009A61C3">
        <w:rPr>
          <w:rFonts w:ascii="Arial" w:hAnsi="Arial" w:cs="Arial"/>
        </w:rPr>
        <w:t xml:space="preserve">By conducting focus groups with nursing home staff in Norway, </w:t>
      </w:r>
      <w:proofErr w:type="spellStart"/>
      <w:r w:rsidR="009A61C3">
        <w:rPr>
          <w:rFonts w:ascii="Arial" w:hAnsi="Arial" w:cs="Arial"/>
        </w:rPr>
        <w:t>Midtbust</w:t>
      </w:r>
      <w:proofErr w:type="spellEnd"/>
      <w:r w:rsidR="009A61C3">
        <w:rPr>
          <w:rFonts w:ascii="Arial" w:hAnsi="Arial" w:cs="Arial"/>
        </w:rPr>
        <w:t xml:space="preserve"> and colleagues </w:t>
      </w:r>
      <w:r w:rsidR="00FE316F">
        <w:rPr>
          <w:rFonts w:ascii="Arial" w:hAnsi="Arial" w:cs="Arial"/>
        </w:rPr>
        <w:t xml:space="preserve">[16] </w:t>
      </w:r>
      <w:r w:rsidR="00015ED6">
        <w:rPr>
          <w:rFonts w:ascii="Arial" w:hAnsi="Arial" w:cs="Arial"/>
        </w:rPr>
        <w:t xml:space="preserve">reported various barriers in providing palliative care in dementia. These included the lack of time spent with individual residents, as well as the frequently temporary nature of staffing. </w:t>
      </w:r>
      <w:r w:rsidR="00740D82">
        <w:rPr>
          <w:rFonts w:ascii="Arial" w:hAnsi="Arial" w:cs="Arial"/>
        </w:rPr>
        <w:t>These staffing issues are not only reflective of problems in palliative care</w:t>
      </w:r>
      <w:r w:rsidR="00703A6A">
        <w:rPr>
          <w:rFonts w:ascii="Arial" w:hAnsi="Arial" w:cs="Arial"/>
        </w:rPr>
        <w:t xml:space="preserve">, </w:t>
      </w:r>
      <w:r w:rsidR="00740D82">
        <w:rPr>
          <w:rFonts w:ascii="Arial" w:hAnsi="Arial" w:cs="Arial"/>
        </w:rPr>
        <w:t>however, but also generally in providing adequate care in long-term care institutions.</w:t>
      </w:r>
    </w:p>
    <w:p w14:paraId="05CEF00C" w14:textId="20C1F6A7" w:rsidR="00C01C91" w:rsidRDefault="00740D82" w:rsidP="00A26374">
      <w:pPr>
        <w:spacing w:after="0"/>
        <w:ind w:firstLine="720"/>
        <w:jc w:val="both"/>
        <w:rPr>
          <w:rFonts w:ascii="Arial" w:hAnsi="Arial" w:cs="Arial"/>
        </w:rPr>
      </w:pPr>
      <w:r w:rsidRPr="00740D82">
        <w:rPr>
          <w:rFonts w:ascii="Arial" w:hAnsi="Arial" w:cs="Arial"/>
        </w:rPr>
        <w:t>While there are many barriers and inequalities to receiving the right dementia care at the right time, t</w:t>
      </w:r>
      <w:r w:rsidR="008C55FB" w:rsidRPr="00740D82">
        <w:rPr>
          <w:rFonts w:ascii="Arial" w:hAnsi="Arial" w:cs="Arial"/>
        </w:rPr>
        <w:t>here</w:t>
      </w:r>
      <w:r w:rsidR="008C55FB">
        <w:rPr>
          <w:rFonts w:ascii="Arial" w:hAnsi="Arial" w:cs="Arial"/>
        </w:rPr>
        <w:t xml:space="preserve"> are several ways in which dementia care can be advanced</w:t>
      </w:r>
      <w:r>
        <w:rPr>
          <w:rFonts w:ascii="Arial" w:hAnsi="Arial" w:cs="Arial"/>
        </w:rPr>
        <w:t xml:space="preserve"> though</w:t>
      </w:r>
      <w:r w:rsidR="008C55FB">
        <w:rPr>
          <w:rFonts w:ascii="Arial" w:hAnsi="Arial" w:cs="Arial"/>
        </w:rPr>
        <w:t>. First and foremost, getting a timely diagnosis is key, which means that barriers to getting a diagnosis, by for example people from BAME groups, need to be removed. In their paper, Watson and colleagues</w:t>
      </w:r>
      <w:r w:rsidR="00C01C91">
        <w:rPr>
          <w:rFonts w:ascii="Arial" w:hAnsi="Arial" w:cs="Arial"/>
        </w:rPr>
        <w:t xml:space="preserve"> </w:t>
      </w:r>
      <w:r w:rsidR="00FE316F">
        <w:rPr>
          <w:rFonts w:ascii="Arial" w:hAnsi="Arial" w:cs="Arial"/>
        </w:rPr>
        <w:t xml:space="preserve">[17] </w:t>
      </w:r>
      <w:r w:rsidR="008C55FB">
        <w:rPr>
          <w:rFonts w:ascii="Arial" w:hAnsi="Arial" w:cs="Arial"/>
        </w:rPr>
        <w:t xml:space="preserve">reported how 92% of a sample of Australian health service consumers preferred a dementia diagnosis as soon as possible. This does help indeed to provide suitable care (including medication and post-diagnostic services) in time to reduce the speed of progression. </w:t>
      </w:r>
      <w:r w:rsidR="007B2E32">
        <w:rPr>
          <w:rFonts w:ascii="Arial" w:hAnsi="Arial" w:cs="Arial"/>
        </w:rPr>
        <w:t>Providing better support in re</w:t>
      </w:r>
      <w:r w:rsidR="006647D0">
        <w:rPr>
          <w:rFonts w:ascii="Arial" w:hAnsi="Arial" w:cs="Arial"/>
        </w:rPr>
        <w:t>-enabling</w:t>
      </w:r>
      <w:r w:rsidR="007B2E32">
        <w:rPr>
          <w:rFonts w:ascii="Arial" w:hAnsi="Arial" w:cs="Arial"/>
        </w:rPr>
        <w:t xml:space="preserve"> people with dementia is also vital and forms part of the post-diagnostic care (which also includes medication management </w:t>
      </w:r>
      <w:r w:rsidR="00FE316F">
        <w:rPr>
          <w:rFonts w:ascii="Arial" w:hAnsi="Arial" w:cs="Arial"/>
        </w:rPr>
        <w:t>[18]</w:t>
      </w:r>
      <w:r w:rsidR="00787290">
        <w:rPr>
          <w:rFonts w:ascii="Arial" w:hAnsi="Arial" w:cs="Arial"/>
        </w:rPr>
        <w:t xml:space="preserve">. </w:t>
      </w:r>
      <w:r w:rsidR="006647D0">
        <w:rPr>
          <w:rFonts w:ascii="Arial" w:hAnsi="Arial" w:cs="Arial"/>
        </w:rPr>
        <w:t>In the Australian aged care sector, O’Connor and colleagues</w:t>
      </w:r>
      <w:r w:rsidR="00FE316F">
        <w:rPr>
          <w:rFonts w:ascii="Arial" w:hAnsi="Arial" w:cs="Arial"/>
        </w:rPr>
        <w:t xml:space="preserve"> [19]</w:t>
      </w:r>
      <w:r w:rsidR="006647D0">
        <w:rPr>
          <w:rFonts w:ascii="Arial" w:hAnsi="Arial" w:cs="Arial"/>
        </w:rPr>
        <w:t xml:space="preserve"> showed that </w:t>
      </w:r>
      <w:proofErr w:type="spellStart"/>
      <w:r w:rsidR="00A26374">
        <w:rPr>
          <w:rFonts w:ascii="Arial" w:hAnsi="Arial" w:cs="Arial"/>
        </w:rPr>
        <w:t>reablement</w:t>
      </w:r>
      <w:proofErr w:type="spellEnd"/>
      <w:r w:rsidR="00A26374">
        <w:rPr>
          <w:rFonts w:ascii="Arial" w:hAnsi="Arial" w:cs="Arial"/>
        </w:rPr>
        <w:t xml:space="preserve"> interventions for people with dementia are varied, and to improve access to and usage of interventions, these should be multi-faceted with a freely available resource outlining the different intervention components. </w:t>
      </w:r>
      <w:r w:rsidR="00934219">
        <w:rPr>
          <w:rFonts w:ascii="Arial" w:hAnsi="Arial" w:cs="Arial"/>
        </w:rPr>
        <w:t>This is supported</w:t>
      </w:r>
      <w:r w:rsidR="006534BB">
        <w:rPr>
          <w:rFonts w:ascii="Arial" w:hAnsi="Arial" w:cs="Arial"/>
        </w:rPr>
        <w:t xml:space="preserve"> to a degree</w:t>
      </w:r>
      <w:r w:rsidR="00934219">
        <w:rPr>
          <w:rFonts w:ascii="Arial" w:hAnsi="Arial" w:cs="Arial"/>
        </w:rPr>
        <w:t xml:space="preserve"> by a recent meta-analysis by Backhouse et al.</w:t>
      </w:r>
      <w:r w:rsidR="00FE316F">
        <w:rPr>
          <w:rFonts w:ascii="Arial" w:hAnsi="Arial" w:cs="Arial"/>
        </w:rPr>
        <w:t xml:space="preserve"> [20]</w:t>
      </w:r>
      <w:r w:rsidR="00934219">
        <w:rPr>
          <w:rFonts w:ascii="Arial" w:hAnsi="Arial" w:cs="Arial"/>
        </w:rPr>
        <w:t xml:space="preserve">, showing mixed evidence </w:t>
      </w:r>
      <w:r w:rsidR="004C4259">
        <w:rPr>
          <w:rFonts w:ascii="Arial" w:hAnsi="Arial" w:cs="Arial"/>
        </w:rPr>
        <w:t xml:space="preserve">on the benefits of </w:t>
      </w:r>
      <w:r w:rsidR="006534BB">
        <w:rPr>
          <w:rFonts w:ascii="Arial" w:hAnsi="Arial" w:cs="Arial"/>
        </w:rPr>
        <w:t>coordinated</w:t>
      </w:r>
      <w:r w:rsidR="004C4259">
        <w:rPr>
          <w:rFonts w:ascii="Arial" w:hAnsi="Arial" w:cs="Arial"/>
        </w:rPr>
        <w:t xml:space="preserve"> community interventions. </w:t>
      </w:r>
      <w:r w:rsidR="00A26374">
        <w:rPr>
          <w:rFonts w:ascii="Arial" w:hAnsi="Arial" w:cs="Arial"/>
        </w:rPr>
        <w:t>Tackling daily functioning does not always need to involve the actual person living with dementia however, but medication management</w:t>
      </w:r>
      <w:r w:rsidR="00703A6A">
        <w:rPr>
          <w:rFonts w:ascii="Arial" w:hAnsi="Arial" w:cs="Arial"/>
        </w:rPr>
        <w:t xml:space="preserve">, </w:t>
      </w:r>
      <w:r w:rsidR="00A26374">
        <w:rPr>
          <w:rFonts w:ascii="Arial" w:hAnsi="Arial" w:cs="Arial"/>
        </w:rPr>
        <w:t>for example</w:t>
      </w:r>
      <w:r w:rsidR="00703A6A">
        <w:rPr>
          <w:rFonts w:ascii="Arial" w:hAnsi="Arial" w:cs="Arial"/>
        </w:rPr>
        <w:t>,</w:t>
      </w:r>
      <w:r w:rsidR="00A26374">
        <w:rPr>
          <w:rFonts w:ascii="Arial" w:hAnsi="Arial" w:cs="Arial"/>
        </w:rPr>
        <w:t xml:space="preserve"> can also be addressed via community pharmacy-based interventions </w:t>
      </w:r>
      <w:r w:rsidR="00FE316F">
        <w:rPr>
          <w:rFonts w:ascii="Arial" w:hAnsi="Arial" w:cs="Arial"/>
        </w:rPr>
        <w:t>[18]</w:t>
      </w:r>
      <w:r w:rsidR="00A26374">
        <w:rPr>
          <w:rFonts w:ascii="Arial" w:hAnsi="Arial" w:cs="Arial"/>
        </w:rPr>
        <w:t>.</w:t>
      </w:r>
    </w:p>
    <w:p w14:paraId="11D3EE98" w14:textId="0D51D7EE" w:rsidR="00030ED3" w:rsidRDefault="00703A6A" w:rsidP="00A26374">
      <w:pPr>
        <w:ind w:firstLine="720"/>
        <w:jc w:val="both"/>
        <w:rPr>
          <w:rFonts w:ascii="Arial" w:hAnsi="Arial" w:cs="Arial"/>
        </w:rPr>
      </w:pPr>
      <w:r>
        <w:rPr>
          <w:rFonts w:ascii="Arial" w:hAnsi="Arial" w:cs="Arial"/>
        </w:rPr>
        <w:t xml:space="preserve">To </w:t>
      </w:r>
      <w:r w:rsidR="00C01C91">
        <w:rPr>
          <w:rFonts w:ascii="Arial" w:hAnsi="Arial" w:cs="Arial"/>
        </w:rPr>
        <w:t>advance dementia care, we need to take a global view and learn from research and clinical practice across the globe. Findings from Australia might provide important insights for improving dementia care in rural Canada or LMIC</w:t>
      </w:r>
      <w:r w:rsidR="00F939A7">
        <w:rPr>
          <w:rFonts w:ascii="Arial" w:hAnsi="Arial" w:cs="Arial"/>
        </w:rPr>
        <w:t>s</w:t>
      </w:r>
      <w:r w:rsidR="008664DE">
        <w:rPr>
          <w:rFonts w:ascii="Arial" w:hAnsi="Arial" w:cs="Arial"/>
        </w:rPr>
        <w:t xml:space="preserve"> for example, </w:t>
      </w:r>
      <w:r w:rsidR="00E943C6">
        <w:rPr>
          <w:rFonts w:ascii="Arial" w:hAnsi="Arial" w:cs="Arial"/>
        </w:rPr>
        <w:t xml:space="preserve">and barriers identified in the Netherlands might also be </w:t>
      </w:r>
      <w:r w:rsidR="00F939A7">
        <w:rPr>
          <w:rFonts w:ascii="Arial" w:hAnsi="Arial" w:cs="Arial"/>
        </w:rPr>
        <w:t xml:space="preserve">relevant to </w:t>
      </w:r>
      <w:r w:rsidR="00E943C6">
        <w:rPr>
          <w:rFonts w:ascii="Arial" w:hAnsi="Arial" w:cs="Arial"/>
        </w:rPr>
        <w:t xml:space="preserve">the UK. This </w:t>
      </w:r>
      <w:r w:rsidR="00121A67">
        <w:rPr>
          <w:rFonts w:ascii="Arial" w:hAnsi="Arial" w:cs="Arial"/>
        </w:rPr>
        <w:t>article c</w:t>
      </w:r>
      <w:r w:rsidR="00E943C6">
        <w:rPr>
          <w:rFonts w:ascii="Arial" w:hAnsi="Arial" w:cs="Arial"/>
        </w:rPr>
        <w:t xml:space="preserve">ollection thus highlights some of the recent evidence in this field and brings together inequalities research and how inequalities and general dementia care might be tackled in the future. </w:t>
      </w:r>
    </w:p>
    <w:p w14:paraId="12878708" w14:textId="7453F294" w:rsidR="007C32A9" w:rsidRDefault="007C32A9" w:rsidP="00BB684E">
      <w:pPr>
        <w:jc w:val="both"/>
        <w:rPr>
          <w:rFonts w:ascii="Arial" w:hAnsi="Arial" w:cs="Arial"/>
        </w:rPr>
      </w:pPr>
    </w:p>
    <w:p w14:paraId="538E0C34" w14:textId="6C852EC9" w:rsidR="007C32A9" w:rsidRDefault="007C32A9" w:rsidP="00BB684E">
      <w:pPr>
        <w:jc w:val="both"/>
        <w:rPr>
          <w:rFonts w:ascii="Arial" w:hAnsi="Arial" w:cs="Arial"/>
        </w:rPr>
      </w:pPr>
    </w:p>
    <w:p w14:paraId="4C60C569" w14:textId="378238AB" w:rsidR="00BD495B" w:rsidRDefault="00BD495B" w:rsidP="00BB684E">
      <w:pPr>
        <w:jc w:val="both"/>
        <w:rPr>
          <w:rFonts w:ascii="Arial" w:hAnsi="Arial" w:cs="Arial"/>
        </w:rPr>
      </w:pPr>
    </w:p>
    <w:p w14:paraId="19C4C4B3" w14:textId="4C202388" w:rsidR="00BD495B" w:rsidRDefault="00BD495B" w:rsidP="00BB684E">
      <w:pPr>
        <w:jc w:val="both"/>
        <w:rPr>
          <w:rFonts w:ascii="Arial" w:hAnsi="Arial" w:cs="Arial"/>
        </w:rPr>
      </w:pPr>
    </w:p>
    <w:p w14:paraId="08000176" w14:textId="0344B24F" w:rsidR="005A1903" w:rsidRDefault="005A1903" w:rsidP="00BB684E">
      <w:pPr>
        <w:jc w:val="both"/>
        <w:rPr>
          <w:rFonts w:ascii="Arial" w:hAnsi="Arial" w:cs="Arial"/>
        </w:rPr>
      </w:pPr>
    </w:p>
    <w:p w14:paraId="7D793B24" w14:textId="77777777" w:rsidR="005A1903" w:rsidRDefault="005A1903" w:rsidP="00BB684E">
      <w:pPr>
        <w:jc w:val="both"/>
        <w:rPr>
          <w:rFonts w:ascii="Arial" w:hAnsi="Arial" w:cs="Arial"/>
        </w:rPr>
      </w:pPr>
    </w:p>
    <w:p w14:paraId="163ACE61" w14:textId="690C1183" w:rsidR="00BD495B" w:rsidRDefault="00BD495B" w:rsidP="00BB684E">
      <w:pPr>
        <w:jc w:val="both"/>
        <w:rPr>
          <w:rFonts w:ascii="Arial" w:hAnsi="Arial" w:cs="Arial"/>
        </w:rPr>
      </w:pPr>
    </w:p>
    <w:p w14:paraId="70F6457F" w14:textId="5D79C6FD" w:rsidR="007C32A9" w:rsidRPr="00436FED" w:rsidRDefault="007C32A9" w:rsidP="00BB684E">
      <w:pPr>
        <w:jc w:val="both"/>
        <w:rPr>
          <w:rFonts w:ascii="Arial" w:hAnsi="Arial" w:cs="Arial"/>
          <w:b/>
          <w:sz w:val="24"/>
          <w:szCs w:val="24"/>
        </w:rPr>
      </w:pPr>
      <w:r w:rsidRPr="00436FED">
        <w:rPr>
          <w:rFonts w:ascii="Arial" w:hAnsi="Arial" w:cs="Arial"/>
          <w:b/>
          <w:sz w:val="24"/>
          <w:szCs w:val="24"/>
        </w:rPr>
        <w:lastRenderedPageBreak/>
        <w:t>References</w:t>
      </w:r>
    </w:p>
    <w:p w14:paraId="2A9DC178" w14:textId="4DC1D68D" w:rsidR="00D01693" w:rsidRPr="00121A67" w:rsidRDefault="00436FED" w:rsidP="00BB684E">
      <w:pPr>
        <w:jc w:val="both"/>
        <w:rPr>
          <w:rFonts w:ascii="Arial" w:hAnsi="Arial" w:cs="Arial"/>
        </w:rPr>
      </w:pPr>
      <w:r>
        <w:rPr>
          <w:rFonts w:ascii="Arial" w:hAnsi="Arial" w:cs="Arial"/>
        </w:rPr>
        <w:t>[1]</w:t>
      </w:r>
      <w:r>
        <w:rPr>
          <w:rFonts w:ascii="Arial" w:hAnsi="Arial" w:cs="Arial"/>
        </w:rPr>
        <w:tab/>
      </w:r>
      <w:r w:rsidR="00D01693" w:rsidRPr="00121A67">
        <w:rPr>
          <w:rFonts w:ascii="Arial" w:hAnsi="Arial" w:cs="Arial"/>
        </w:rPr>
        <w:t>ADI 2016</w:t>
      </w:r>
      <w:r w:rsidR="00E943C6" w:rsidRPr="00121A67">
        <w:rPr>
          <w:rFonts w:ascii="Arial" w:hAnsi="Arial" w:cs="Arial"/>
        </w:rPr>
        <w:t xml:space="preserve"> - </w:t>
      </w:r>
      <w:hyperlink r:id="rId6" w:history="1">
        <w:r w:rsidR="00E943C6" w:rsidRPr="00436FED">
          <w:rPr>
            <w:rStyle w:val="Hyperlink"/>
            <w:rFonts w:ascii="Arial" w:hAnsi="Arial" w:cs="Arial"/>
          </w:rPr>
          <w:t>https://www.alz.co.uk/research/world-report-2016</w:t>
        </w:r>
      </w:hyperlink>
    </w:p>
    <w:p w14:paraId="39AB8ADC" w14:textId="77777777" w:rsidR="00B943B9" w:rsidRPr="00121A67" w:rsidRDefault="00B943B9" w:rsidP="003C7F5A">
      <w:pPr>
        <w:ind w:left="720" w:hanging="720"/>
        <w:jc w:val="both"/>
        <w:rPr>
          <w:rFonts w:ascii="Arial" w:hAnsi="Arial" w:cs="Arial"/>
        </w:rPr>
      </w:pPr>
      <w:r>
        <w:rPr>
          <w:rFonts w:ascii="Arial" w:hAnsi="Arial" w:cs="Arial"/>
        </w:rPr>
        <w:t>[2]</w:t>
      </w:r>
      <w:r>
        <w:rPr>
          <w:rFonts w:ascii="Arial" w:hAnsi="Arial" w:cs="Arial"/>
        </w:rPr>
        <w:tab/>
      </w:r>
      <w:r w:rsidRPr="00121A67">
        <w:rPr>
          <w:rFonts w:ascii="Arial" w:hAnsi="Arial" w:cs="Arial"/>
        </w:rPr>
        <w:t xml:space="preserve">Giebel </w:t>
      </w:r>
      <w:r>
        <w:rPr>
          <w:rFonts w:ascii="Arial" w:hAnsi="Arial" w:cs="Arial"/>
        </w:rPr>
        <w:t>CM, Sutcliffe C, Challis D. Hierarchical decline of the initiative and performance of complex activities of daily living in dementia. Journal of Geriatric Psychiatry and Neurology 2017;30(2):96-103.</w:t>
      </w:r>
    </w:p>
    <w:p w14:paraId="7569FC33" w14:textId="333F3AB9" w:rsidR="00B943B9" w:rsidRDefault="00B943B9" w:rsidP="003C7F5A">
      <w:pPr>
        <w:ind w:left="720" w:hanging="720"/>
        <w:jc w:val="both"/>
        <w:rPr>
          <w:rFonts w:ascii="Arial" w:hAnsi="Arial" w:cs="Arial"/>
        </w:rPr>
      </w:pPr>
      <w:r>
        <w:rPr>
          <w:rFonts w:ascii="Arial" w:hAnsi="Arial" w:cs="Arial"/>
        </w:rPr>
        <w:t>[3]</w:t>
      </w:r>
      <w:r>
        <w:rPr>
          <w:rFonts w:ascii="Arial" w:hAnsi="Arial" w:cs="Arial"/>
        </w:rPr>
        <w:tab/>
      </w:r>
      <w:proofErr w:type="spellStart"/>
      <w:r w:rsidRPr="00121A67">
        <w:rPr>
          <w:rFonts w:ascii="Arial" w:hAnsi="Arial" w:cs="Arial"/>
        </w:rPr>
        <w:t>Razani</w:t>
      </w:r>
      <w:proofErr w:type="spellEnd"/>
      <w:r>
        <w:rPr>
          <w:rFonts w:ascii="Arial" w:hAnsi="Arial" w:cs="Arial"/>
        </w:rPr>
        <w:t xml:space="preserve"> J, Casas R, Wong JT, et al. Relationship between executive functioning and activities of daily living in patients with relatively mild dementia. Journal of Applied Neuropsychology 2007;14(3):208-214.</w:t>
      </w:r>
    </w:p>
    <w:p w14:paraId="71947219" w14:textId="107B2B32" w:rsidR="00B943B9" w:rsidRDefault="00B943B9" w:rsidP="00BB684E">
      <w:pPr>
        <w:jc w:val="both"/>
        <w:rPr>
          <w:rFonts w:ascii="Arial" w:hAnsi="Arial" w:cs="Arial"/>
        </w:rPr>
      </w:pPr>
      <w:r>
        <w:rPr>
          <w:rFonts w:ascii="Arial" w:hAnsi="Arial" w:cs="Arial"/>
        </w:rPr>
        <w:t>[4]</w:t>
      </w:r>
      <w:r>
        <w:rPr>
          <w:rFonts w:ascii="Arial" w:hAnsi="Arial" w:cs="Arial"/>
        </w:rPr>
        <w:tab/>
      </w:r>
      <w:r w:rsidR="005A1903">
        <w:rPr>
          <w:rFonts w:ascii="Arial" w:hAnsi="Arial" w:cs="Arial"/>
        </w:rPr>
        <w:t xml:space="preserve">ADI </w:t>
      </w:r>
      <w:hyperlink r:id="rId7" w:history="1">
        <w:r w:rsidR="005A1903">
          <w:rPr>
            <w:rStyle w:val="Hyperlink"/>
          </w:rPr>
          <w:t>https://www.alz.co.uk/adi/pdf/global-estimates-of-informal-care.pdf</w:t>
        </w:r>
      </w:hyperlink>
    </w:p>
    <w:p w14:paraId="3A845EA5" w14:textId="5E1C25C7" w:rsidR="00436FED" w:rsidRDefault="00436FED" w:rsidP="00955A8E">
      <w:pPr>
        <w:ind w:left="720" w:hanging="720"/>
        <w:jc w:val="both"/>
        <w:rPr>
          <w:rFonts w:ascii="Arial" w:hAnsi="Arial" w:cs="Arial"/>
        </w:rPr>
      </w:pPr>
      <w:r>
        <w:rPr>
          <w:rFonts w:ascii="Arial" w:hAnsi="Arial" w:cs="Arial"/>
        </w:rPr>
        <w:t>[5]</w:t>
      </w:r>
      <w:r>
        <w:rPr>
          <w:rFonts w:ascii="Arial" w:hAnsi="Arial" w:cs="Arial"/>
        </w:rPr>
        <w:tab/>
      </w:r>
      <w:proofErr w:type="spellStart"/>
      <w:r>
        <w:rPr>
          <w:rFonts w:ascii="Arial" w:hAnsi="Arial" w:cs="Arial"/>
        </w:rPr>
        <w:t>Broda</w:t>
      </w:r>
      <w:proofErr w:type="spellEnd"/>
      <w:r>
        <w:rPr>
          <w:rFonts w:ascii="Arial" w:hAnsi="Arial" w:cs="Arial"/>
        </w:rPr>
        <w:t xml:space="preserve"> </w:t>
      </w:r>
      <w:r w:rsidR="00955A8E">
        <w:rPr>
          <w:rFonts w:ascii="Arial" w:hAnsi="Arial" w:cs="Arial"/>
        </w:rPr>
        <w:t xml:space="preserve">A, Bieber A, Meyer G, et al. Perspectives of policy and political decision makers on access to formal dementia care: expert interviews in eight European countries. BMC Health Services Research </w:t>
      </w:r>
      <w:proofErr w:type="gramStart"/>
      <w:r w:rsidR="00955A8E">
        <w:rPr>
          <w:rFonts w:ascii="Arial" w:hAnsi="Arial" w:cs="Arial"/>
        </w:rPr>
        <w:t>2017;17:518</w:t>
      </w:r>
      <w:proofErr w:type="gramEnd"/>
      <w:r w:rsidR="00955A8E">
        <w:rPr>
          <w:rFonts w:ascii="Arial" w:hAnsi="Arial" w:cs="Arial"/>
        </w:rPr>
        <w:t>.</w:t>
      </w:r>
    </w:p>
    <w:p w14:paraId="6DF32423" w14:textId="0602EF8A" w:rsidR="009D7676" w:rsidRPr="00436FED" w:rsidRDefault="009D7676" w:rsidP="008C5F24">
      <w:pPr>
        <w:ind w:left="720" w:hanging="720"/>
        <w:jc w:val="both"/>
        <w:rPr>
          <w:rFonts w:ascii="Arial" w:hAnsi="Arial" w:cs="Arial"/>
          <w:b/>
        </w:rPr>
      </w:pPr>
      <w:r>
        <w:rPr>
          <w:rFonts w:ascii="Arial" w:hAnsi="Arial" w:cs="Arial"/>
        </w:rPr>
        <w:t>[6]</w:t>
      </w:r>
      <w:r>
        <w:rPr>
          <w:rFonts w:ascii="Arial" w:hAnsi="Arial" w:cs="Arial"/>
        </w:rPr>
        <w:tab/>
      </w:r>
      <w:proofErr w:type="spellStart"/>
      <w:r>
        <w:rPr>
          <w:rFonts w:ascii="Arial" w:hAnsi="Arial" w:cs="Arial"/>
        </w:rPr>
        <w:t>Zwingmann</w:t>
      </w:r>
      <w:proofErr w:type="spellEnd"/>
      <w:r>
        <w:rPr>
          <w:rFonts w:ascii="Arial" w:hAnsi="Arial" w:cs="Arial"/>
        </w:rPr>
        <w:t xml:space="preserve"> </w:t>
      </w:r>
      <w:r>
        <w:rPr>
          <w:rFonts w:ascii="Arial" w:hAnsi="Arial" w:cs="Arial"/>
        </w:rPr>
        <w:t>I, Dreier-</w:t>
      </w:r>
      <w:proofErr w:type="spellStart"/>
      <w:r>
        <w:rPr>
          <w:rFonts w:ascii="Arial" w:hAnsi="Arial" w:cs="Arial"/>
        </w:rPr>
        <w:t>Wolfgramm</w:t>
      </w:r>
      <w:proofErr w:type="spellEnd"/>
      <w:r>
        <w:rPr>
          <w:rFonts w:ascii="Arial" w:hAnsi="Arial" w:cs="Arial"/>
        </w:rPr>
        <w:t xml:space="preserve"> A, </w:t>
      </w:r>
      <w:proofErr w:type="spellStart"/>
      <w:r>
        <w:rPr>
          <w:rFonts w:ascii="Arial" w:hAnsi="Arial" w:cs="Arial"/>
        </w:rPr>
        <w:t>Esser</w:t>
      </w:r>
      <w:proofErr w:type="spellEnd"/>
      <w:r>
        <w:rPr>
          <w:rFonts w:ascii="Arial" w:hAnsi="Arial" w:cs="Arial"/>
        </w:rPr>
        <w:t xml:space="preserve"> A, et al. Why do family dementia caregivers reject caregiver support services? Analyzing types of rejection and associated health impairments in a cluster-randomized controlled intervention trial. BMC Health Services Research </w:t>
      </w:r>
      <w:proofErr w:type="gramStart"/>
      <w:r>
        <w:rPr>
          <w:rFonts w:ascii="Arial" w:hAnsi="Arial" w:cs="Arial"/>
        </w:rPr>
        <w:t>2020;20:121</w:t>
      </w:r>
      <w:proofErr w:type="gramEnd"/>
    </w:p>
    <w:p w14:paraId="62207AA9" w14:textId="55636B6E" w:rsidR="004025AF" w:rsidRPr="00121A67" w:rsidRDefault="00436FED" w:rsidP="008C5F24">
      <w:pPr>
        <w:ind w:left="720" w:hanging="720"/>
        <w:jc w:val="both"/>
        <w:rPr>
          <w:rFonts w:ascii="Arial" w:hAnsi="Arial" w:cs="Arial"/>
        </w:rPr>
      </w:pPr>
      <w:r>
        <w:rPr>
          <w:rFonts w:ascii="Arial" w:hAnsi="Arial" w:cs="Arial"/>
        </w:rPr>
        <w:t>[7]</w:t>
      </w:r>
      <w:r>
        <w:rPr>
          <w:rFonts w:ascii="Arial" w:hAnsi="Arial" w:cs="Arial"/>
        </w:rPr>
        <w:tab/>
      </w:r>
      <w:r w:rsidR="004025AF" w:rsidRPr="00121A67">
        <w:rPr>
          <w:rFonts w:ascii="Arial" w:hAnsi="Arial" w:cs="Arial"/>
        </w:rPr>
        <w:t xml:space="preserve">Bauer </w:t>
      </w:r>
      <w:r w:rsidR="00B943B9">
        <w:rPr>
          <w:rFonts w:ascii="Arial" w:hAnsi="Arial" w:cs="Arial"/>
        </w:rPr>
        <w:t xml:space="preserve">M, </w:t>
      </w:r>
      <w:proofErr w:type="spellStart"/>
      <w:r w:rsidR="00B943B9">
        <w:rPr>
          <w:rFonts w:ascii="Arial" w:hAnsi="Arial" w:cs="Arial"/>
        </w:rPr>
        <w:t>Fetherstonhaugh</w:t>
      </w:r>
      <w:proofErr w:type="spellEnd"/>
      <w:r w:rsidR="00B943B9">
        <w:rPr>
          <w:rFonts w:ascii="Arial" w:hAnsi="Arial" w:cs="Arial"/>
        </w:rPr>
        <w:t xml:space="preserve"> D, Blackberry I, Farmer J, Wilding C. Identifying support needs to improve rural dementia services for people with dementia and their </w:t>
      </w:r>
      <w:proofErr w:type="spellStart"/>
      <w:r w:rsidR="00B943B9">
        <w:rPr>
          <w:rFonts w:ascii="Arial" w:hAnsi="Arial" w:cs="Arial"/>
        </w:rPr>
        <w:t>carers</w:t>
      </w:r>
      <w:proofErr w:type="spellEnd"/>
      <w:r w:rsidR="00B943B9">
        <w:rPr>
          <w:rFonts w:ascii="Arial" w:hAnsi="Arial" w:cs="Arial"/>
        </w:rPr>
        <w:t xml:space="preserve">: A consultation study in Victoria, Australia. Australian Journal of Rural Health 2019; </w:t>
      </w:r>
      <w:proofErr w:type="spellStart"/>
      <w:r w:rsidR="00B943B9">
        <w:rPr>
          <w:rFonts w:ascii="Arial" w:hAnsi="Arial" w:cs="Arial"/>
        </w:rPr>
        <w:t>doi</w:t>
      </w:r>
      <w:proofErr w:type="spellEnd"/>
      <w:r w:rsidR="00B943B9">
        <w:rPr>
          <w:rFonts w:ascii="Arial" w:hAnsi="Arial" w:cs="Arial"/>
        </w:rPr>
        <w:t>: 10.1111/ajr.12444</w:t>
      </w:r>
    </w:p>
    <w:p w14:paraId="31B10CBA" w14:textId="536A9367" w:rsidR="00B943B9" w:rsidRDefault="00B943B9" w:rsidP="00ED4613">
      <w:pPr>
        <w:ind w:left="720" w:hanging="720"/>
        <w:jc w:val="both"/>
        <w:rPr>
          <w:rFonts w:ascii="Arial" w:hAnsi="Arial" w:cs="Arial"/>
        </w:rPr>
      </w:pPr>
      <w:r>
        <w:rPr>
          <w:rFonts w:ascii="Arial" w:hAnsi="Arial" w:cs="Arial"/>
        </w:rPr>
        <w:t xml:space="preserve">[8] </w:t>
      </w:r>
      <w:r>
        <w:rPr>
          <w:rFonts w:ascii="Arial" w:hAnsi="Arial" w:cs="Arial"/>
        </w:rPr>
        <w:tab/>
        <w:t>Morgan</w:t>
      </w:r>
      <w:r w:rsidR="00ED4613">
        <w:rPr>
          <w:rFonts w:ascii="Arial" w:hAnsi="Arial" w:cs="Arial"/>
        </w:rPr>
        <w:t xml:space="preserve"> D, </w:t>
      </w:r>
      <w:proofErr w:type="spellStart"/>
      <w:r w:rsidR="00ED4613">
        <w:rPr>
          <w:rFonts w:ascii="Arial" w:hAnsi="Arial" w:cs="Arial"/>
        </w:rPr>
        <w:t>Kosteniuk</w:t>
      </w:r>
      <w:proofErr w:type="spellEnd"/>
      <w:r w:rsidR="00ED4613">
        <w:rPr>
          <w:rFonts w:ascii="Arial" w:hAnsi="Arial" w:cs="Arial"/>
        </w:rPr>
        <w:t xml:space="preserve"> J, O’Connell ME, et al. Barriers and facilitators to development and implementation of a rural primary health care intervention for dementia: a process evaluation. BMC Health Services Research </w:t>
      </w:r>
      <w:proofErr w:type="gramStart"/>
      <w:r w:rsidR="00ED4613">
        <w:rPr>
          <w:rFonts w:ascii="Arial" w:hAnsi="Arial" w:cs="Arial"/>
        </w:rPr>
        <w:t>2019;19:709</w:t>
      </w:r>
      <w:proofErr w:type="gramEnd"/>
      <w:r w:rsidR="00ED4613">
        <w:rPr>
          <w:rFonts w:ascii="Arial" w:hAnsi="Arial" w:cs="Arial"/>
        </w:rPr>
        <w:t>.</w:t>
      </w:r>
    </w:p>
    <w:p w14:paraId="1BA8108F" w14:textId="77777777" w:rsidR="00B943B9" w:rsidRPr="00436FED" w:rsidRDefault="00B943B9" w:rsidP="00955A8E">
      <w:pPr>
        <w:ind w:left="720" w:hanging="720"/>
        <w:jc w:val="both"/>
        <w:rPr>
          <w:rFonts w:ascii="Arial" w:hAnsi="Arial" w:cs="Arial"/>
        </w:rPr>
      </w:pPr>
      <w:r>
        <w:rPr>
          <w:rFonts w:ascii="Arial" w:hAnsi="Arial" w:cs="Arial"/>
        </w:rPr>
        <w:t>[9]</w:t>
      </w:r>
      <w:r>
        <w:rPr>
          <w:rFonts w:ascii="Arial" w:hAnsi="Arial" w:cs="Arial"/>
        </w:rPr>
        <w:tab/>
      </w:r>
      <w:r w:rsidRPr="00121A67">
        <w:rPr>
          <w:rFonts w:ascii="Arial" w:hAnsi="Arial" w:cs="Arial"/>
        </w:rPr>
        <w:t xml:space="preserve">Nielsen </w:t>
      </w:r>
      <w:r>
        <w:rPr>
          <w:rFonts w:ascii="Arial" w:hAnsi="Arial" w:cs="Arial"/>
        </w:rPr>
        <w:t xml:space="preserve">TR, Nielsen TR, Andersen BB, et al. Quality of dementia diagnostic evaluation for ethnic minority patients: A nationwide study. Dementia &amp; Geriatric Cognitive Disorders </w:t>
      </w:r>
      <w:proofErr w:type="gramStart"/>
      <w:r>
        <w:rPr>
          <w:rFonts w:ascii="Arial" w:hAnsi="Arial" w:cs="Arial"/>
        </w:rPr>
        <w:t>2011;31:388</w:t>
      </w:r>
      <w:proofErr w:type="gramEnd"/>
      <w:r>
        <w:rPr>
          <w:rFonts w:ascii="Arial" w:hAnsi="Arial" w:cs="Arial"/>
        </w:rPr>
        <w:t>-396.</w:t>
      </w:r>
    </w:p>
    <w:p w14:paraId="23D3C59B" w14:textId="46160744" w:rsidR="007C32A9" w:rsidRPr="00121A67" w:rsidRDefault="00503E2F" w:rsidP="00535F35">
      <w:pPr>
        <w:ind w:left="720" w:hanging="720"/>
        <w:jc w:val="both"/>
        <w:rPr>
          <w:rFonts w:ascii="Arial" w:hAnsi="Arial" w:cs="Arial"/>
        </w:rPr>
      </w:pPr>
      <w:r>
        <w:rPr>
          <w:rFonts w:ascii="Arial" w:hAnsi="Arial" w:cs="Arial"/>
        </w:rPr>
        <w:t xml:space="preserve">[10] </w:t>
      </w:r>
      <w:r>
        <w:rPr>
          <w:rFonts w:ascii="Arial" w:hAnsi="Arial" w:cs="Arial"/>
        </w:rPr>
        <w:tab/>
      </w:r>
      <w:r w:rsidR="007C32A9" w:rsidRPr="00121A67">
        <w:rPr>
          <w:rFonts w:ascii="Arial" w:hAnsi="Arial" w:cs="Arial"/>
        </w:rPr>
        <w:t>Giebel C, Challis D, Worden A, et al. Perceptions of self-defined memory problems vary in south Asian minority older people who consult a GP and those who do not: a mixed-method pilot study. International Journal of Geriatric Psychiatry 2016;31(4):375-383.</w:t>
      </w:r>
    </w:p>
    <w:p w14:paraId="799FF848" w14:textId="159BC4A8" w:rsidR="009D7676" w:rsidRDefault="009D7676" w:rsidP="00535F35">
      <w:pPr>
        <w:ind w:left="720" w:hanging="720"/>
        <w:rPr>
          <w:rFonts w:ascii="Arial" w:hAnsi="Arial" w:cs="Arial"/>
        </w:rPr>
      </w:pPr>
      <w:r>
        <w:rPr>
          <w:rFonts w:ascii="Arial" w:hAnsi="Arial" w:cs="Arial"/>
        </w:rPr>
        <w:t>[11]</w:t>
      </w:r>
      <w:r>
        <w:rPr>
          <w:rFonts w:ascii="Arial" w:hAnsi="Arial" w:cs="Arial"/>
        </w:rPr>
        <w:tab/>
      </w:r>
      <w:proofErr w:type="spellStart"/>
      <w:r>
        <w:rPr>
          <w:rFonts w:ascii="Arial" w:hAnsi="Arial" w:cs="Arial"/>
        </w:rPr>
        <w:t>Sagbaken</w:t>
      </w:r>
      <w:proofErr w:type="spellEnd"/>
      <w:r>
        <w:rPr>
          <w:rFonts w:ascii="Arial" w:hAnsi="Arial" w:cs="Arial"/>
        </w:rPr>
        <w:t xml:space="preserve"> </w:t>
      </w:r>
      <w:r w:rsidR="00535F35">
        <w:rPr>
          <w:rFonts w:ascii="Arial" w:hAnsi="Arial" w:cs="Arial"/>
        </w:rPr>
        <w:t xml:space="preserve">M, </w:t>
      </w:r>
      <w:proofErr w:type="spellStart"/>
      <w:r w:rsidR="00535F35">
        <w:rPr>
          <w:rFonts w:ascii="Arial" w:hAnsi="Arial" w:cs="Arial"/>
        </w:rPr>
        <w:t>Spilker</w:t>
      </w:r>
      <w:proofErr w:type="spellEnd"/>
      <w:r w:rsidR="00535F35">
        <w:rPr>
          <w:rFonts w:ascii="Arial" w:hAnsi="Arial" w:cs="Arial"/>
        </w:rPr>
        <w:t xml:space="preserve"> RS, Nielsen TR. Dementia and immigrant groups: a qualitative study of challenges related to identifying, assessing, and diagnosing dementia. BMC Health Services Research </w:t>
      </w:r>
      <w:proofErr w:type="gramStart"/>
      <w:r w:rsidR="00535F35">
        <w:rPr>
          <w:rFonts w:ascii="Arial" w:hAnsi="Arial" w:cs="Arial"/>
        </w:rPr>
        <w:t>2018;18:910</w:t>
      </w:r>
      <w:proofErr w:type="gramEnd"/>
      <w:r w:rsidR="00535F35">
        <w:rPr>
          <w:rFonts w:ascii="Arial" w:hAnsi="Arial" w:cs="Arial"/>
        </w:rPr>
        <w:t>.</w:t>
      </w:r>
    </w:p>
    <w:p w14:paraId="1FD458EB" w14:textId="77777777" w:rsidR="006E285C" w:rsidRDefault="006E285C" w:rsidP="006E285C">
      <w:pPr>
        <w:ind w:left="720" w:hanging="720"/>
        <w:jc w:val="both"/>
        <w:rPr>
          <w:rFonts w:ascii="Arial" w:hAnsi="Arial" w:cs="Arial"/>
        </w:rPr>
      </w:pPr>
      <w:r>
        <w:rPr>
          <w:rFonts w:ascii="Arial" w:hAnsi="Arial" w:cs="Arial"/>
        </w:rPr>
        <w:t>[12]</w:t>
      </w:r>
      <w:r>
        <w:rPr>
          <w:rFonts w:ascii="Arial" w:hAnsi="Arial" w:cs="Arial"/>
        </w:rPr>
        <w:tab/>
        <w:t xml:space="preserve">Bieber A, Nguyen N, Meyer G, Stephan A. Influences on the access to and use of formal community care by people with dementia and their informal caregivers: a scoping review. BMC Health Services Research </w:t>
      </w:r>
      <w:proofErr w:type="gramStart"/>
      <w:r>
        <w:rPr>
          <w:rFonts w:ascii="Arial" w:hAnsi="Arial" w:cs="Arial"/>
        </w:rPr>
        <w:t>2019;19:88</w:t>
      </w:r>
      <w:proofErr w:type="gramEnd"/>
      <w:r>
        <w:rPr>
          <w:rFonts w:ascii="Arial" w:hAnsi="Arial" w:cs="Arial"/>
        </w:rPr>
        <w:t>.</w:t>
      </w:r>
    </w:p>
    <w:p w14:paraId="3734E7DA" w14:textId="05DF6F88" w:rsidR="00B943B9" w:rsidRPr="00436FED" w:rsidRDefault="00B943B9" w:rsidP="006E285C">
      <w:pPr>
        <w:spacing w:after="0" w:line="100" w:lineRule="atLeast"/>
        <w:ind w:left="720" w:hanging="720"/>
        <w:jc w:val="both"/>
        <w:rPr>
          <w:rFonts w:ascii="Arial" w:hAnsi="Arial" w:cs="Arial"/>
          <w:i/>
        </w:rPr>
      </w:pPr>
      <w:r>
        <w:rPr>
          <w:rFonts w:ascii="Arial" w:hAnsi="Arial" w:cs="Arial"/>
        </w:rPr>
        <w:t>[13]</w:t>
      </w:r>
      <w:r>
        <w:rPr>
          <w:rFonts w:ascii="Arial" w:hAnsi="Arial" w:cs="Arial"/>
        </w:rPr>
        <w:tab/>
      </w:r>
      <w:r w:rsidRPr="00436FED">
        <w:rPr>
          <w:rFonts w:ascii="Arial" w:hAnsi="Arial" w:cs="Arial"/>
        </w:rPr>
        <w:t xml:space="preserve">Giebel, C., Cations, M., </w:t>
      </w:r>
      <w:r w:rsidRPr="002977A8">
        <w:rPr>
          <w:rFonts w:ascii="Arial" w:hAnsi="Arial" w:cs="Arial"/>
        </w:rPr>
        <w:t xml:space="preserve">Draper, B., </w:t>
      </w:r>
      <w:proofErr w:type="spellStart"/>
      <w:r w:rsidRPr="002977A8">
        <w:rPr>
          <w:rFonts w:ascii="Arial" w:hAnsi="Arial" w:cs="Arial"/>
        </w:rPr>
        <w:t>Komuravelli</w:t>
      </w:r>
      <w:proofErr w:type="spellEnd"/>
      <w:r w:rsidRPr="002977A8">
        <w:rPr>
          <w:rFonts w:ascii="Arial" w:hAnsi="Arial" w:cs="Arial"/>
        </w:rPr>
        <w:t>, A. (</w:t>
      </w:r>
      <w:r>
        <w:rPr>
          <w:rFonts w:ascii="Arial" w:hAnsi="Arial" w:cs="Arial"/>
        </w:rPr>
        <w:t>2020</w:t>
      </w:r>
      <w:r w:rsidRPr="002977A8">
        <w:rPr>
          <w:rFonts w:ascii="Arial" w:hAnsi="Arial" w:cs="Arial"/>
        </w:rPr>
        <w:t xml:space="preserve">). Ethnic disparities in the uptake of anti-dementia medication in young and late onset dementia. </w:t>
      </w:r>
      <w:r w:rsidRPr="002977A8">
        <w:rPr>
          <w:rFonts w:ascii="Arial" w:hAnsi="Arial" w:cs="Arial"/>
          <w:i/>
        </w:rPr>
        <w:t xml:space="preserve">International </w:t>
      </w:r>
      <w:proofErr w:type="spellStart"/>
      <w:r w:rsidRPr="002977A8">
        <w:rPr>
          <w:rFonts w:ascii="Arial" w:hAnsi="Arial" w:cs="Arial"/>
          <w:i/>
        </w:rPr>
        <w:t>Psychogeriatrics</w:t>
      </w:r>
      <w:proofErr w:type="spellEnd"/>
      <w:r>
        <w:rPr>
          <w:rFonts w:ascii="Arial" w:hAnsi="Arial" w:cs="Arial"/>
          <w:i/>
        </w:rPr>
        <w:t>, in press</w:t>
      </w:r>
    </w:p>
    <w:p w14:paraId="03AF6FBD" w14:textId="77777777" w:rsidR="00B943B9" w:rsidRPr="00121A67" w:rsidRDefault="00B943B9" w:rsidP="009D7676">
      <w:pPr>
        <w:ind w:left="720" w:hanging="720"/>
        <w:jc w:val="both"/>
        <w:rPr>
          <w:rFonts w:ascii="Arial" w:hAnsi="Arial" w:cs="Arial"/>
        </w:rPr>
      </w:pPr>
      <w:r>
        <w:rPr>
          <w:rFonts w:ascii="Arial" w:hAnsi="Arial" w:cs="Arial"/>
        </w:rPr>
        <w:t>[14]</w:t>
      </w:r>
      <w:r>
        <w:rPr>
          <w:rFonts w:ascii="Arial" w:hAnsi="Arial" w:cs="Arial"/>
        </w:rPr>
        <w:tab/>
      </w:r>
      <w:r w:rsidRPr="00121A67">
        <w:rPr>
          <w:rFonts w:ascii="Arial" w:hAnsi="Arial" w:cs="Arial"/>
        </w:rPr>
        <w:t xml:space="preserve">Cooper </w:t>
      </w:r>
      <w:r>
        <w:rPr>
          <w:rFonts w:ascii="Arial" w:hAnsi="Arial" w:cs="Arial"/>
        </w:rPr>
        <w:t>C, Lodwick R, Walters K, et al. Observational cohort study: deprivation and access to anti-dementia drugs in the UK. Age &amp; Ageing 2016;45(1):148-154.</w:t>
      </w:r>
    </w:p>
    <w:p w14:paraId="4A16CAC2" w14:textId="0429FE98" w:rsidR="00B943B9" w:rsidRDefault="00B943B9" w:rsidP="00EF25E6">
      <w:pPr>
        <w:spacing w:after="0" w:line="100" w:lineRule="atLeast"/>
        <w:ind w:left="720" w:hanging="720"/>
        <w:jc w:val="both"/>
        <w:rPr>
          <w:rFonts w:ascii="Arial" w:hAnsi="Arial" w:cs="Arial"/>
        </w:rPr>
      </w:pPr>
      <w:r>
        <w:rPr>
          <w:rFonts w:ascii="Arial" w:hAnsi="Arial" w:cs="Arial"/>
        </w:rPr>
        <w:lastRenderedPageBreak/>
        <w:t xml:space="preserve">[15] </w:t>
      </w:r>
      <w:r>
        <w:rPr>
          <w:rFonts w:ascii="Arial" w:hAnsi="Arial" w:cs="Arial"/>
        </w:rPr>
        <w:tab/>
      </w:r>
      <w:proofErr w:type="spellStart"/>
      <w:r>
        <w:rPr>
          <w:rFonts w:ascii="Arial" w:hAnsi="Arial" w:cs="Arial"/>
        </w:rPr>
        <w:t>Kamoga</w:t>
      </w:r>
      <w:proofErr w:type="spellEnd"/>
      <w:r w:rsidR="00955A8E">
        <w:rPr>
          <w:rFonts w:ascii="Arial" w:hAnsi="Arial" w:cs="Arial"/>
        </w:rPr>
        <w:t xml:space="preserve"> R, </w:t>
      </w:r>
      <w:proofErr w:type="spellStart"/>
      <w:r w:rsidR="00955A8E">
        <w:rPr>
          <w:rFonts w:ascii="Arial" w:hAnsi="Arial" w:cs="Arial"/>
        </w:rPr>
        <w:t>Rukundo</w:t>
      </w:r>
      <w:proofErr w:type="spellEnd"/>
      <w:r w:rsidR="00955A8E">
        <w:rPr>
          <w:rFonts w:ascii="Arial" w:hAnsi="Arial" w:cs="Arial"/>
        </w:rPr>
        <w:t xml:space="preserve"> GZ, </w:t>
      </w:r>
      <w:proofErr w:type="spellStart"/>
      <w:r w:rsidR="00955A8E">
        <w:rPr>
          <w:rFonts w:ascii="Arial" w:hAnsi="Arial" w:cs="Arial"/>
        </w:rPr>
        <w:t>Wakida</w:t>
      </w:r>
      <w:proofErr w:type="spellEnd"/>
      <w:r w:rsidR="00EF25E6">
        <w:rPr>
          <w:rFonts w:ascii="Arial" w:hAnsi="Arial" w:cs="Arial"/>
        </w:rPr>
        <w:t xml:space="preserve"> E, et al. Dementia assessment and diagnostic practices of healthcare workers in rural southwestern Uganda: a cross-sectional qualitative study. BMC Health Services Research </w:t>
      </w:r>
      <w:proofErr w:type="gramStart"/>
      <w:r w:rsidR="00EF25E6">
        <w:rPr>
          <w:rFonts w:ascii="Arial" w:hAnsi="Arial" w:cs="Arial"/>
        </w:rPr>
        <w:t>2019;19:1005</w:t>
      </w:r>
      <w:proofErr w:type="gramEnd"/>
      <w:r w:rsidR="00EF25E6">
        <w:rPr>
          <w:rFonts w:ascii="Arial" w:hAnsi="Arial" w:cs="Arial"/>
        </w:rPr>
        <w:t>.</w:t>
      </w:r>
    </w:p>
    <w:p w14:paraId="21AF2138" w14:textId="77777777" w:rsidR="00955A8E" w:rsidRDefault="00955A8E" w:rsidP="00B943B9">
      <w:pPr>
        <w:spacing w:after="0" w:line="100" w:lineRule="atLeast"/>
        <w:jc w:val="both"/>
        <w:rPr>
          <w:rFonts w:ascii="Arial" w:hAnsi="Arial" w:cs="Arial"/>
        </w:rPr>
      </w:pPr>
    </w:p>
    <w:p w14:paraId="676D45B2" w14:textId="5052AD4B" w:rsidR="00B943B9" w:rsidRDefault="00B943B9" w:rsidP="00C04DBE">
      <w:pPr>
        <w:spacing w:after="0" w:line="100" w:lineRule="atLeast"/>
        <w:ind w:left="720" w:hanging="720"/>
        <w:jc w:val="both"/>
        <w:rPr>
          <w:rFonts w:ascii="Arial" w:hAnsi="Arial" w:cs="Arial"/>
        </w:rPr>
      </w:pPr>
      <w:r>
        <w:rPr>
          <w:rFonts w:ascii="Arial" w:hAnsi="Arial" w:cs="Arial"/>
        </w:rPr>
        <w:t xml:space="preserve">[16] </w:t>
      </w:r>
      <w:r>
        <w:rPr>
          <w:rFonts w:ascii="Arial" w:hAnsi="Arial" w:cs="Arial"/>
        </w:rPr>
        <w:tab/>
      </w:r>
      <w:proofErr w:type="spellStart"/>
      <w:r w:rsidRPr="00436FED">
        <w:rPr>
          <w:rFonts w:ascii="Arial" w:hAnsi="Arial" w:cs="Arial"/>
        </w:rPr>
        <w:t>Midtbust</w:t>
      </w:r>
      <w:proofErr w:type="spellEnd"/>
      <w:r w:rsidRPr="00436FED">
        <w:rPr>
          <w:rFonts w:ascii="Arial" w:hAnsi="Arial" w:cs="Arial"/>
        </w:rPr>
        <w:t xml:space="preserve"> </w:t>
      </w:r>
      <w:r w:rsidR="00C04DBE">
        <w:rPr>
          <w:rFonts w:ascii="Arial" w:hAnsi="Arial" w:cs="Arial"/>
        </w:rPr>
        <w:t xml:space="preserve">MH, </w:t>
      </w:r>
      <w:proofErr w:type="spellStart"/>
      <w:r w:rsidR="00C04DBE">
        <w:rPr>
          <w:rFonts w:ascii="Arial" w:hAnsi="Arial" w:cs="Arial"/>
        </w:rPr>
        <w:t>Alnes</w:t>
      </w:r>
      <w:proofErr w:type="spellEnd"/>
      <w:r w:rsidR="00C04DBE">
        <w:rPr>
          <w:rFonts w:ascii="Arial" w:hAnsi="Arial" w:cs="Arial"/>
        </w:rPr>
        <w:t xml:space="preserve"> RE, </w:t>
      </w:r>
      <w:proofErr w:type="spellStart"/>
      <w:r w:rsidR="00C04DBE">
        <w:rPr>
          <w:rFonts w:ascii="Arial" w:hAnsi="Arial" w:cs="Arial"/>
        </w:rPr>
        <w:t>Gjengedal</w:t>
      </w:r>
      <w:proofErr w:type="spellEnd"/>
      <w:r w:rsidR="00C04DBE">
        <w:rPr>
          <w:rFonts w:ascii="Arial" w:hAnsi="Arial" w:cs="Arial"/>
        </w:rPr>
        <w:t xml:space="preserve"> E, </w:t>
      </w:r>
      <w:proofErr w:type="spellStart"/>
      <w:r w:rsidR="00C04DBE">
        <w:rPr>
          <w:rFonts w:ascii="Arial" w:hAnsi="Arial" w:cs="Arial"/>
        </w:rPr>
        <w:t>Lykkeslet</w:t>
      </w:r>
      <w:proofErr w:type="spellEnd"/>
      <w:r w:rsidR="00C04DBE">
        <w:rPr>
          <w:rFonts w:ascii="Arial" w:hAnsi="Arial" w:cs="Arial"/>
        </w:rPr>
        <w:t xml:space="preserve"> E. Perceived barriers and facilitators in providing palliative care for people with severe dementia: the healthcare professionals’ experiences. </w:t>
      </w:r>
      <w:r w:rsidRPr="00436FED">
        <w:rPr>
          <w:rFonts w:ascii="Arial" w:hAnsi="Arial" w:cs="Arial"/>
        </w:rPr>
        <w:t xml:space="preserve"> </w:t>
      </w:r>
      <w:r w:rsidR="00EB29FC">
        <w:rPr>
          <w:rFonts w:ascii="Arial" w:hAnsi="Arial" w:cs="Arial"/>
        </w:rPr>
        <w:t xml:space="preserve">BMC Health Services Research </w:t>
      </w:r>
      <w:proofErr w:type="gramStart"/>
      <w:r w:rsidR="00EB29FC">
        <w:rPr>
          <w:rFonts w:ascii="Arial" w:hAnsi="Arial" w:cs="Arial"/>
        </w:rPr>
        <w:t>2018;18:709</w:t>
      </w:r>
      <w:proofErr w:type="gramEnd"/>
      <w:r w:rsidR="00EB29FC">
        <w:rPr>
          <w:rFonts w:ascii="Arial" w:hAnsi="Arial" w:cs="Arial"/>
        </w:rPr>
        <w:t>.</w:t>
      </w:r>
    </w:p>
    <w:p w14:paraId="6617B9F8" w14:textId="2BF6C502" w:rsidR="00B943B9" w:rsidRPr="00436FED" w:rsidRDefault="00B943B9" w:rsidP="00C04DBE">
      <w:pPr>
        <w:spacing w:after="0" w:line="100" w:lineRule="atLeast"/>
        <w:ind w:left="720" w:hanging="720"/>
        <w:jc w:val="both"/>
        <w:rPr>
          <w:rFonts w:ascii="Arial" w:hAnsi="Arial" w:cs="Arial"/>
        </w:rPr>
      </w:pPr>
      <w:r>
        <w:rPr>
          <w:rFonts w:ascii="Arial" w:hAnsi="Arial" w:cs="Arial"/>
        </w:rPr>
        <w:t>[17]</w:t>
      </w:r>
      <w:r>
        <w:rPr>
          <w:rFonts w:ascii="Arial" w:hAnsi="Arial" w:cs="Arial"/>
        </w:rPr>
        <w:tab/>
        <w:t>Watson</w:t>
      </w:r>
      <w:r w:rsidR="00C04DBE">
        <w:rPr>
          <w:rFonts w:ascii="Arial" w:hAnsi="Arial" w:cs="Arial"/>
        </w:rPr>
        <w:t xml:space="preserve"> R, Bryant J, </w:t>
      </w:r>
      <w:proofErr w:type="spellStart"/>
      <w:r w:rsidR="00C04DBE">
        <w:rPr>
          <w:rFonts w:ascii="Arial" w:hAnsi="Arial" w:cs="Arial"/>
        </w:rPr>
        <w:t>Sanson</w:t>
      </w:r>
      <w:proofErr w:type="spellEnd"/>
      <w:r w:rsidR="00C04DBE">
        <w:rPr>
          <w:rFonts w:ascii="Arial" w:hAnsi="Arial" w:cs="Arial"/>
        </w:rPr>
        <w:t xml:space="preserve">-Fisher R, et al. What is a ‘timely’ diagnosis? Exploring the preferences of Australian health service consumers regarding when a diagnosis of dementia should be disclosed. BMC Health Services Research </w:t>
      </w:r>
      <w:proofErr w:type="gramStart"/>
      <w:r w:rsidR="00C04DBE">
        <w:rPr>
          <w:rFonts w:ascii="Arial" w:hAnsi="Arial" w:cs="Arial"/>
        </w:rPr>
        <w:t>2018;18:612</w:t>
      </w:r>
      <w:proofErr w:type="gramEnd"/>
      <w:r w:rsidR="00C04DBE">
        <w:rPr>
          <w:rFonts w:ascii="Arial" w:hAnsi="Arial" w:cs="Arial"/>
        </w:rPr>
        <w:t>.</w:t>
      </w:r>
    </w:p>
    <w:p w14:paraId="3746460C" w14:textId="77777777" w:rsidR="00B943B9" w:rsidRPr="00436FED" w:rsidRDefault="00B943B9" w:rsidP="00B943B9">
      <w:pPr>
        <w:spacing w:after="0" w:line="100" w:lineRule="atLeast"/>
        <w:jc w:val="both"/>
        <w:rPr>
          <w:rFonts w:ascii="Arial" w:hAnsi="Arial" w:cs="Arial"/>
          <w:i/>
        </w:rPr>
      </w:pPr>
    </w:p>
    <w:p w14:paraId="73362EC8" w14:textId="617FAFEC" w:rsidR="00B943B9" w:rsidRDefault="00B943B9" w:rsidP="006E285C">
      <w:pPr>
        <w:ind w:left="720" w:hanging="720"/>
        <w:jc w:val="both"/>
        <w:rPr>
          <w:rFonts w:ascii="Arial" w:hAnsi="Arial" w:cs="Arial"/>
        </w:rPr>
      </w:pPr>
      <w:r>
        <w:rPr>
          <w:rFonts w:ascii="Arial" w:hAnsi="Arial" w:cs="Arial"/>
        </w:rPr>
        <w:t>[18]</w:t>
      </w:r>
      <w:r>
        <w:rPr>
          <w:rFonts w:ascii="Arial" w:hAnsi="Arial" w:cs="Arial"/>
        </w:rPr>
        <w:tab/>
        <w:t xml:space="preserve">Barry </w:t>
      </w:r>
      <w:r w:rsidR="006E285C">
        <w:rPr>
          <w:rFonts w:ascii="Arial" w:hAnsi="Arial" w:cs="Arial"/>
        </w:rPr>
        <w:t xml:space="preserve">HE, Bedford LE, McGrattan M, et al. Improving medicines management for people with dementia in primary care: a qualitative study of healthcare professionals to develop a theory-informed intervention. BMC Health Services Research </w:t>
      </w:r>
      <w:proofErr w:type="gramStart"/>
      <w:r w:rsidR="006E285C">
        <w:rPr>
          <w:rFonts w:ascii="Arial" w:hAnsi="Arial" w:cs="Arial"/>
        </w:rPr>
        <w:t>2020;20:120</w:t>
      </w:r>
      <w:proofErr w:type="gramEnd"/>
      <w:r w:rsidR="006E285C">
        <w:rPr>
          <w:rFonts w:ascii="Arial" w:hAnsi="Arial" w:cs="Arial"/>
        </w:rPr>
        <w:t>.</w:t>
      </w:r>
    </w:p>
    <w:p w14:paraId="3F39158B" w14:textId="164B3DEC" w:rsidR="006E285C" w:rsidRDefault="006E285C" w:rsidP="00C04DBE">
      <w:pPr>
        <w:ind w:left="720" w:hanging="720"/>
        <w:jc w:val="both"/>
        <w:rPr>
          <w:rFonts w:ascii="Arial" w:hAnsi="Arial" w:cs="Arial"/>
        </w:rPr>
      </w:pPr>
      <w:r>
        <w:rPr>
          <w:rFonts w:ascii="Arial" w:hAnsi="Arial" w:cs="Arial"/>
        </w:rPr>
        <w:t>[19]</w:t>
      </w:r>
      <w:r>
        <w:rPr>
          <w:rFonts w:ascii="Arial" w:hAnsi="Arial" w:cs="Arial"/>
        </w:rPr>
        <w:tab/>
        <w:t xml:space="preserve">O’Connor CMC, Gresham M, Poulos RG, et al. Understanding in the Australian aged care sector of </w:t>
      </w:r>
      <w:proofErr w:type="spellStart"/>
      <w:r>
        <w:rPr>
          <w:rFonts w:ascii="Arial" w:hAnsi="Arial" w:cs="Arial"/>
        </w:rPr>
        <w:t>reablement</w:t>
      </w:r>
      <w:proofErr w:type="spellEnd"/>
      <w:r>
        <w:rPr>
          <w:rFonts w:ascii="Arial" w:hAnsi="Arial" w:cs="Arial"/>
        </w:rPr>
        <w:t xml:space="preserve"> interventions for people living with dementia: a qualitative content analysis. BMC Health Services Research </w:t>
      </w:r>
      <w:proofErr w:type="gramStart"/>
      <w:r>
        <w:rPr>
          <w:rFonts w:ascii="Arial" w:hAnsi="Arial" w:cs="Arial"/>
        </w:rPr>
        <w:t>2020;20:140</w:t>
      </w:r>
      <w:proofErr w:type="gramEnd"/>
      <w:r>
        <w:rPr>
          <w:rFonts w:ascii="Arial" w:hAnsi="Arial" w:cs="Arial"/>
        </w:rPr>
        <w:t>.</w:t>
      </w:r>
    </w:p>
    <w:p w14:paraId="13C3FA9C" w14:textId="67C6585F" w:rsidR="00B943B9" w:rsidRDefault="00B943B9" w:rsidP="00C04DBE">
      <w:pPr>
        <w:ind w:left="720" w:hanging="720"/>
        <w:jc w:val="both"/>
        <w:rPr>
          <w:rFonts w:ascii="Arial" w:hAnsi="Arial" w:cs="Arial"/>
        </w:rPr>
      </w:pPr>
      <w:r>
        <w:rPr>
          <w:rFonts w:ascii="Arial" w:hAnsi="Arial" w:cs="Arial"/>
        </w:rPr>
        <w:t xml:space="preserve">[20] </w:t>
      </w:r>
      <w:r>
        <w:rPr>
          <w:rFonts w:ascii="Arial" w:hAnsi="Arial" w:cs="Arial"/>
        </w:rPr>
        <w:tab/>
        <w:t xml:space="preserve">Backhouse </w:t>
      </w:r>
      <w:r w:rsidR="007E66E7">
        <w:rPr>
          <w:rFonts w:ascii="Arial" w:hAnsi="Arial" w:cs="Arial"/>
        </w:rPr>
        <w:t xml:space="preserve">A, </w:t>
      </w:r>
      <w:proofErr w:type="spellStart"/>
      <w:r w:rsidR="007E66E7">
        <w:rPr>
          <w:rFonts w:ascii="Arial" w:hAnsi="Arial" w:cs="Arial"/>
        </w:rPr>
        <w:t>Ukoumunne</w:t>
      </w:r>
      <w:proofErr w:type="spellEnd"/>
      <w:r w:rsidR="007E66E7">
        <w:rPr>
          <w:rFonts w:ascii="Arial" w:hAnsi="Arial" w:cs="Arial"/>
        </w:rPr>
        <w:t xml:space="preserve"> OC, Richards DA, et al. The effectiveness of community-based coordinating interventions in dementia care: a meta-analysis and subgroup analysis of intervention components. BMC Health Services Research 2017; 17</w:t>
      </w:r>
      <w:r w:rsidR="009D7676">
        <w:rPr>
          <w:rFonts w:ascii="Arial" w:hAnsi="Arial" w:cs="Arial"/>
        </w:rPr>
        <w:t>:717.</w:t>
      </w:r>
    </w:p>
    <w:p w14:paraId="2FEB411B" w14:textId="7D8B033B" w:rsidR="004145FE" w:rsidRDefault="004145FE" w:rsidP="004145FE">
      <w:pPr>
        <w:spacing w:after="0" w:line="100" w:lineRule="atLeast"/>
        <w:jc w:val="both"/>
        <w:rPr>
          <w:rFonts w:ascii="Arial" w:hAnsi="Arial" w:cs="Arial"/>
          <w:i/>
        </w:rPr>
      </w:pPr>
    </w:p>
    <w:p w14:paraId="78F8678A" w14:textId="12C69984" w:rsidR="006F6A01" w:rsidRDefault="006F6A01">
      <w:pPr>
        <w:rPr>
          <w:rStyle w:val="Hyperlink"/>
          <w:rFonts w:ascii="Arial" w:hAnsi="Arial" w:cs="Arial"/>
        </w:rPr>
      </w:pPr>
    </w:p>
    <w:p w14:paraId="344944D9" w14:textId="308C8F31" w:rsidR="0060532A" w:rsidRDefault="0060532A" w:rsidP="00BB684E">
      <w:pPr>
        <w:jc w:val="both"/>
        <w:rPr>
          <w:rFonts w:ascii="Arial" w:hAnsi="Arial" w:cs="Arial"/>
        </w:rPr>
      </w:pPr>
    </w:p>
    <w:p w14:paraId="1B5E21CC" w14:textId="6F2D00C3" w:rsidR="00121A67" w:rsidRPr="007E5245" w:rsidRDefault="00121A67" w:rsidP="00BB684E">
      <w:pPr>
        <w:jc w:val="both"/>
        <w:rPr>
          <w:rFonts w:ascii="Arial" w:hAnsi="Arial" w:cs="Arial"/>
          <w:b/>
          <w:sz w:val="24"/>
        </w:rPr>
      </w:pPr>
      <w:r w:rsidRPr="007E5245">
        <w:rPr>
          <w:rFonts w:ascii="Arial" w:hAnsi="Arial" w:cs="Arial"/>
          <w:b/>
          <w:sz w:val="24"/>
        </w:rPr>
        <w:t xml:space="preserve">Declarations </w:t>
      </w:r>
    </w:p>
    <w:p w14:paraId="3670223C" w14:textId="52780F27" w:rsidR="00121A67" w:rsidRPr="007E5245" w:rsidRDefault="00121A67" w:rsidP="00121A67">
      <w:pPr>
        <w:jc w:val="both"/>
        <w:rPr>
          <w:rFonts w:ascii="Arial" w:hAnsi="Arial" w:cs="Arial"/>
          <w:b/>
        </w:rPr>
      </w:pPr>
      <w:r w:rsidRPr="007E5245">
        <w:rPr>
          <w:rFonts w:ascii="Arial" w:hAnsi="Arial" w:cs="Arial"/>
          <w:b/>
        </w:rPr>
        <w:t>Ethics approval and consent to participate</w:t>
      </w:r>
    </w:p>
    <w:p w14:paraId="62EA2CA6" w14:textId="24064F11" w:rsidR="00121A67" w:rsidRPr="00121A67" w:rsidRDefault="00121A67" w:rsidP="00121A67">
      <w:pPr>
        <w:jc w:val="both"/>
        <w:rPr>
          <w:rFonts w:ascii="Arial" w:hAnsi="Arial" w:cs="Arial"/>
        </w:rPr>
      </w:pPr>
      <w:r>
        <w:rPr>
          <w:rFonts w:ascii="Arial" w:hAnsi="Arial" w:cs="Arial"/>
        </w:rPr>
        <w:t xml:space="preserve">Not applicable. </w:t>
      </w:r>
    </w:p>
    <w:p w14:paraId="06DE33D0" w14:textId="211401DD" w:rsidR="00121A67" w:rsidRPr="007E5245" w:rsidRDefault="00121A67" w:rsidP="00121A67">
      <w:pPr>
        <w:jc w:val="both"/>
        <w:rPr>
          <w:rFonts w:ascii="Arial" w:hAnsi="Arial" w:cs="Arial"/>
          <w:b/>
        </w:rPr>
      </w:pPr>
      <w:r w:rsidRPr="007E5245">
        <w:rPr>
          <w:rFonts w:ascii="Arial" w:hAnsi="Arial" w:cs="Arial"/>
          <w:b/>
        </w:rPr>
        <w:t>Consent for publication</w:t>
      </w:r>
    </w:p>
    <w:p w14:paraId="17984817" w14:textId="62FB3DC9" w:rsidR="00121A67" w:rsidRPr="00121A67" w:rsidRDefault="00121A67" w:rsidP="00121A67">
      <w:pPr>
        <w:jc w:val="both"/>
        <w:rPr>
          <w:rFonts w:ascii="Arial" w:hAnsi="Arial" w:cs="Arial"/>
        </w:rPr>
      </w:pPr>
      <w:r>
        <w:rPr>
          <w:rFonts w:ascii="Arial" w:hAnsi="Arial" w:cs="Arial"/>
        </w:rPr>
        <w:t xml:space="preserve">Not applicable. </w:t>
      </w:r>
    </w:p>
    <w:p w14:paraId="15766824" w14:textId="5B7E2501" w:rsidR="00121A67" w:rsidRPr="007E5245" w:rsidRDefault="00121A67" w:rsidP="00121A67">
      <w:pPr>
        <w:jc w:val="both"/>
        <w:rPr>
          <w:rFonts w:ascii="Arial" w:hAnsi="Arial" w:cs="Arial"/>
          <w:b/>
        </w:rPr>
      </w:pPr>
      <w:r w:rsidRPr="007E5245">
        <w:rPr>
          <w:rFonts w:ascii="Arial" w:hAnsi="Arial" w:cs="Arial"/>
          <w:b/>
        </w:rPr>
        <w:t>Availability of data and material</w:t>
      </w:r>
    </w:p>
    <w:p w14:paraId="115E812A" w14:textId="4E942460" w:rsidR="00121A67" w:rsidRPr="00121A67" w:rsidRDefault="00121A67" w:rsidP="00121A67">
      <w:pPr>
        <w:jc w:val="both"/>
        <w:rPr>
          <w:rFonts w:ascii="Arial" w:hAnsi="Arial" w:cs="Arial"/>
        </w:rPr>
      </w:pPr>
      <w:r>
        <w:rPr>
          <w:rFonts w:ascii="Arial" w:hAnsi="Arial" w:cs="Arial"/>
        </w:rPr>
        <w:t xml:space="preserve">Not applicable. </w:t>
      </w:r>
    </w:p>
    <w:p w14:paraId="7A85DBAE" w14:textId="03B3E077" w:rsidR="00121A67" w:rsidRPr="007E5245" w:rsidRDefault="00121A67" w:rsidP="00121A67">
      <w:pPr>
        <w:jc w:val="both"/>
        <w:rPr>
          <w:rFonts w:ascii="Arial" w:hAnsi="Arial" w:cs="Arial"/>
          <w:b/>
        </w:rPr>
      </w:pPr>
      <w:r w:rsidRPr="007E5245">
        <w:rPr>
          <w:rFonts w:ascii="Arial" w:hAnsi="Arial" w:cs="Arial"/>
          <w:b/>
        </w:rPr>
        <w:t>Competing interests</w:t>
      </w:r>
    </w:p>
    <w:p w14:paraId="3BCCD284" w14:textId="77777777" w:rsidR="00121A67" w:rsidRPr="007E5245" w:rsidRDefault="00121A67" w:rsidP="00121A67">
      <w:pPr>
        <w:jc w:val="both"/>
        <w:rPr>
          <w:rFonts w:ascii="Arial" w:hAnsi="Arial" w:cs="Arial"/>
          <w:b/>
        </w:rPr>
      </w:pPr>
      <w:r w:rsidRPr="007E5245">
        <w:rPr>
          <w:rFonts w:ascii="Arial" w:hAnsi="Arial" w:cs="Arial"/>
          <w:b/>
        </w:rPr>
        <w:t>Funding</w:t>
      </w:r>
      <w:r w:rsidRPr="007E5245">
        <w:rPr>
          <w:rFonts w:ascii="Arial" w:hAnsi="Arial" w:cs="Arial"/>
          <w:b/>
        </w:rPr>
        <w:tab/>
      </w:r>
    </w:p>
    <w:p w14:paraId="7C49A1A9" w14:textId="22396CD1" w:rsidR="00121A67" w:rsidRPr="00121A67" w:rsidRDefault="00121A67" w:rsidP="00E2278C">
      <w:pPr>
        <w:spacing w:line="276" w:lineRule="auto"/>
        <w:jc w:val="both"/>
        <w:rPr>
          <w:rFonts w:ascii="Arial" w:hAnsi="Arial" w:cs="Arial"/>
        </w:rPr>
      </w:pPr>
      <w:r>
        <w:rPr>
          <w:rFonts w:ascii="Arial" w:hAnsi="Arial" w:cs="Arial"/>
          <w:iCs/>
          <w:shd w:val="clear" w:color="auto" w:fill="FFFFFF"/>
        </w:rPr>
        <w:t>CG is</w:t>
      </w:r>
      <w:r w:rsidRPr="00717338">
        <w:rPr>
          <w:rFonts w:ascii="Arial" w:hAnsi="Arial" w:cs="Arial"/>
          <w:iCs/>
          <w:shd w:val="clear" w:color="auto" w:fill="FFFFFF"/>
        </w:rPr>
        <w:t xml:space="preserve"> funded by the National Institute for Health Research Applied Research Collaboration North West Coast (ARC NWC). The views expressed in this publication are those of the author(s) and not necessarily those of the National Institute for Health Research or the Department of Health and Social Care.</w:t>
      </w:r>
      <w:r w:rsidRPr="00121A67">
        <w:rPr>
          <w:rFonts w:ascii="Arial" w:hAnsi="Arial" w:cs="Arial"/>
        </w:rPr>
        <w:tab/>
      </w:r>
    </w:p>
    <w:p w14:paraId="2FCBCF8D" w14:textId="24444DCB" w:rsidR="00121A67" w:rsidRDefault="00121A67" w:rsidP="00121A67">
      <w:pPr>
        <w:jc w:val="both"/>
        <w:rPr>
          <w:rFonts w:ascii="Arial" w:hAnsi="Arial" w:cs="Arial"/>
          <w:b/>
        </w:rPr>
      </w:pPr>
      <w:r w:rsidRPr="00E2278C">
        <w:rPr>
          <w:rFonts w:ascii="Arial" w:hAnsi="Arial" w:cs="Arial"/>
          <w:b/>
        </w:rPr>
        <w:t>Authors' contributions</w:t>
      </w:r>
    </w:p>
    <w:p w14:paraId="6B693332" w14:textId="0F5291C7" w:rsidR="00121A67" w:rsidRPr="00121A67" w:rsidRDefault="00121A67" w:rsidP="00121A67">
      <w:pPr>
        <w:jc w:val="both"/>
        <w:rPr>
          <w:rFonts w:ascii="Arial" w:hAnsi="Arial" w:cs="Arial"/>
        </w:rPr>
      </w:pPr>
      <w:r>
        <w:rPr>
          <w:rFonts w:ascii="Arial" w:hAnsi="Arial" w:cs="Arial"/>
        </w:rPr>
        <w:t xml:space="preserve">CG </w:t>
      </w:r>
      <w:r w:rsidR="00703A6A">
        <w:rPr>
          <w:rFonts w:ascii="Arial" w:hAnsi="Arial" w:cs="Arial"/>
        </w:rPr>
        <w:t xml:space="preserve">wrote the </w:t>
      </w:r>
      <w:r>
        <w:rPr>
          <w:rFonts w:ascii="Arial" w:hAnsi="Arial" w:cs="Arial"/>
        </w:rPr>
        <w:t xml:space="preserve">editorial. </w:t>
      </w:r>
    </w:p>
    <w:p w14:paraId="38E61124" w14:textId="3B13D020" w:rsidR="00121A67" w:rsidRPr="00E2278C" w:rsidRDefault="00703A6A" w:rsidP="00121A67">
      <w:pPr>
        <w:jc w:val="both"/>
        <w:rPr>
          <w:rFonts w:ascii="Arial" w:hAnsi="Arial" w:cs="Arial"/>
          <w:b/>
        </w:rPr>
      </w:pPr>
      <w:r>
        <w:rPr>
          <w:rFonts w:ascii="Arial" w:hAnsi="Arial" w:cs="Arial"/>
          <w:b/>
        </w:rPr>
        <w:t>Acknowledg</w:t>
      </w:r>
      <w:r w:rsidR="00121A67" w:rsidRPr="00E2278C">
        <w:rPr>
          <w:rFonts w:ascii="Arial" w:hAnsi="Arial" w:cs="Arial"/>
          <w:b/>
        </w:rPr>
        <w:t>ments</w:t>
      </w:r>
    </w:p>
    <w:p w14:paraId="4C977B84" w14:textId="6EE40B01" w:rsidR="00773E42" w:rsidRDefault="00121A67" w:rsidP="00BB684E">
      <w:pPr>
        <w:jc w:val="both"/>
        <w:rPr>
          <w:rFonts w:ascii="Arial" w:hAnsi="Arial" w:cs="Arial"/>
        </w:rPr>
      </w:pPr>
      <w:r>
        <w:rPr>
          <w:rFonts w:ascii="Arial" w:hAnsi="Arial" w:cs="Arial"/>
        </w:rPr>
        <w:t xml:space="preserve">Not applicable. </w:t>
      </w:r>
    </w:p>
    <w:p w14:paraId="0FF980C8" w14:textId="61BD4D8B" w:rsidR="000F73BC" w:rsidRPr="00436FED" w:rsidRDefault="000F73BC" w:rsidP="00BB684E">
      <w:pPr>
        <w:jc w:val="both"/>
        <w:rPr>
          <w:rFonts w:ascii="Arial" w:hAnsi="Arial" w:cs="Arial"/>
          <w:b/>
          <w:sz w:val="24"/>
        </w:rPr>
      </w:pPr>
      <w:bookmarkStart w:id="0" w:name="_GoBack"/>
      <w:bookmarkEnd w:id="0"/>
      <w:r w:rsidRPr="00436FED">
        <w:rPr>
          <w:rFonts w:ascii="Arial" w:hAnsi="Arial" w:cs="Arial"/>
          <w:b/>
          <w:sz w:val="24"/>
        </w:rPr>
        <w:lastRenderedPageBreak/>
        <w:t>Biography</w:t>
      </w:r>
    </w:p>
    <w:p w14:paraId="3654B054" w14:textId="4CA51D11" w:rsidR="000F73BC" w:rsidRPr="00773E42" w:rsidRDefault="000F73BC" w:rsidP="00BB684E">
      <w:pPr>
        <w:jc w:val="both"/>
        <w:rPr>
          <w:rFonts w:ascii="Arial" w:hAnsi="Arial" w:cs="Arial"/>
        </w:rPr>
      </w:pPr>
      <w:r>
        <w:rPr>
          <w:rFonts w:ascii="Arial" w:hAnsi="Arial" w:cs="Arial"/>
        </w:rPr>
        <w:t xml:space="preserve">Clarissa Giebel is a dementia care researcher at the NIHR ARC NWC at the University of Liverpool. Her research focuses on enabling people with dementia living independently and well at home for longer, whilst exploring potential health inequalities that might present barriers to accessing the right care support at the right time. She is leading on a number of externally and internally funded national as well as international projects in the field of dementia care inequalities, working with collaborators in Colombia, </w:t>
      </w:r>
      <w:r w:rsidR="00EC3E46">
        <w:rPr>
          <w:rFonts w:ascii="Arial" w:hAnsi="Arial" w:cs="Arial"/>
        </w:rPr>
        <w:t xml:space="preserve">Australia, </w:t>
      </w:r>
      <w:r w:rsidR="002F266A">
        <w:rPr>
          <w:rFonts w:ascii="Arial" w:hAnsi="Arial" w:cs="Arial"/>
        </w:rPr>
        <w:t xml:space="preserve">the Netherlands, and Uganda. </w:t>
      </w:r>
      <w:r>
        <w:rPr>
          <w:rFonts w:ascii="Arial" w:hAnsi="Arial" w:cs="Arial"/>
        </w:rPr>
        <w:t xml:space="preserve"> </w:t>
      </w:r>
    </w:p>
    <w:sectPr w:rsidR="000F73BC" w:rsidRPr="00773E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51903"/>
    <w:multiLevelType w:val="hybridMultilevel"/>
    <w:tmpl w:val="A16426B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30A2147"/>
    <w:multiLevelType w:val="hybridMultilevel"/>
    <w:tmpl w:val="3050DF76"/>
    <w:lvl w:ilvl="0" w:tplc="C618242C">
      <w:start w:val="5"/>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2C6B70"/>
    <w:multiLevelType w:val="hybridMultilevel"/>
    <w:tmpl w:val="345876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7D85429"/>
    <w:multiLevelType w:val="hybridMultilevel"/>
    <w:tmpl w:val="345876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AEB"/>
    <w:rsid w:val="00015ED6"/>
    <w:rsid w:val="000200DB"/>
    <w:rsid w:val="00030ED3"/>
    <w:rsid w:val="00041BCF"/>
    <w:rsid w:val="00072462"/>
    <w:rsid w:val="0009476A"/>
    <w:rsid w:val="00094C30"/>
    <w:rsid w:val="000F11C7"/>
    <w:rsid w:val="000F73BC"/>
    <w:rsid w:val="00106000"/>
    <w:rsid w:val="00121A67"/>
    <w:rsid w:val="0014442C"/>
    <w:rsid w:val="00180676"/>
    <w:rsid w:val="00192909"/>
    <w:rsid w:val="00195517"/>
    <w:rsid w:val="001E220A"/>
    <w:rsid w:val="00215F1C"/>
    <w:rsid w:val="00217956"/>
    <w:rsid w:val="00240B19"/>
    <w:rsid w:val="002418BB"/>
    <w:rsid w:val="00290BCA"/>
    <w:rsid w:val="002977A8"/>
    <w:rsid w:val="002F0572"/>
    <w:rsid w:val="002F266A"/>
    <w:rsid w:val="0032434D"/>
    <w:rsid w:val="00343DEB"/>
    <w:rsid w:val="00345962"/>
    <w:rsid w:val="0035526E"/>
    <w:rsid w:val="00380423"/>
    <w:rsid w:val="003B1A20"/>
    <w:rsid w:val="003C7F5A"/>
    <w:rsid w:val="003D763B"/>
    <w:rsid w:val="003F50BE"/>
    <w:rsid w:val="004025AF"/>
    <w:rsid w:val="004145FE"/>
    <w:rsid w:val="00436FED"/>
    <w:rsid w:val="004744B0"/>
    <w:rsid w:val="004B421F"/>
    <w:rsid w:val="004C1711"/>
    <w:rsid w:val="004C41C8"/>
    <w:rsid w:val="004C4259"/>
    <w:rsid w:val="004E6BBE"/>
    <w:rsid w:val="004F68CB"/>
    <w:rsid w:val="00503E2F"/>
    <w:rsid w:val="00535F35"/>
    <w:rsid w:val="00570325"/>
    <w:rsid w:val="005A1903"/>
    <w:rsid w:val="005F4F09"/>
    <w:rsid w:val="0060532A"/>
    <w:rsid w:val="006270A6"/>
    <w:rsid w:val="006534BB"/>
    <w:rsid w:val="006647D0"/>
    <w:rsid w:val="006E285C"/>
    <w:rsid w:val="006F6A01"/>
    <w:rsid w:val="00703A6A"/>
    <w:rsid w:val="007043B5"/>
    <w:rsid w:val="007053F4"/>
    <w:rsid w:val="007169BF"/>
    <w:rsid w:val="00740D82"/>
    <w:rsid w:val="00760D25"/>
    <w:rsid w:val="00773E42"/>
    <w:rsid w:val="00787290"/>
    <w:rsid w:val="007A2407"/>
    <w:rsid w:val="007A64C0"/>
    <w:rsid w:val="007B2E32"/>
    <w:rsid w:val="007B45C6"/>
    <w:rsid w:val="007C32A9"/>
    <w:rsid w:val="007E5245"/>
    <w:rsid w:val="007E5AFE"/>
    <w:rsid w:val="007E66E7"/>
    <w:rsid w:val="008166D5"/>
    <w:rsid w:val="0083638A"/>
    <w:rsid w:val="00852A42"/>
    <w:rsid w:val="008559FA"/>
    <w:rsid w:val="00862883"/>
    <w:rsid w:val="008664DE"/>
    <w:rsid w:val="008C03DB"/>
    <w:rsid w:val="008C55FB"/>
    <w:rsid w:val="008C5F24"/>
    <w:rsid w:val="009305D5"/>
    <w:rsid w:val="00934219"/>
    <w:rsid w:val="00955A8E"/>
    <w:rsid w:val="009A61C3"/>
    <w:rsid w:val="009C2CB1"/>
    <w:rsid w:val="009D7676"/>
    <w:rsid w:val="00A26374"/>
    <w:rsid w:val="00A30DB9"/>
    <w:rsid w:val="00A45034"/>
    <w:rsid w:val="00A55899"/>
    <w:rsid w:val="00A604DC"/>
    <w:rsid w:val="00A73700"/>
    <w:rsid w:val="00B06614"/>
    <w:rsid w:val="00B16C46"/>
    <w:rsid w:val="00B35174"/>
    <w:rsid w:val="00B527B0"/>
    <w:rsid w:val="00B943B9"/>
    <w:rsid w:val="00BA5D80"/>
    <w:rsid w:val="00BB3A8D"/>
    <w:rsid w:val="00BB684E"/>
    <w:rsid w:val="00BD495B"/>
    <w:rsid w:val="00BE313E"/>
    <w:rsid w:val="00BF0579"/>
    <w:rsid w:val="00BF1EDE"/>
    <w:rsid w:val="00BF75D4"/>
    <w:rsid w:val="00C002AC"/>
    <w:rsid w:val="00C01C91"/>
    <w:rsid w:val="00C04DBE"/>
    <w:rsid w:val="00C13822"/>
    <w:rsid w:val="00C35E4F"/>
    <w:rsid w:val="00C82EA0"/>
    <w:rsid w:val="00CA489D"/>
    <w:rsid w:val="00CC71D5"/>
    <w:rsid w:val="00CD6173"/>
    <w:rsid w:val="00D01693"/>
    <w:rsid w:val="00D11AEB"/>
    <w:rsid w:val="00D16F54"/>
    <w:rsid w:val="00D757F8"/>
    <w:rsid w:val="00DA36A8"/>
    <w:rsid w:val="00E2278C"/>
    <w:rsid w:val="00E233BD"/>
    <w:rsid w:val="00E541C7"/>
    <w:rsid w:val="00E64DD0"/>
    <w:rsid w:val="00E943C6"/>
    <w:rsid w:val="00EA75B5"/>
    <w:rsid w:val="00EB0624"/>
    <w:rsid w:val="00EB29FC"/>
    <w:rsid w:val="00EC3E46"/>
    <w:rsid w:val="00ED4613"/>
    <w:rsid w:val="00EF25E6"/>
    <w:rsid w:val="00EF6862"/>
    <w:rsid w:val="00F11257"/>
    <w:rsid w:val="00F83CAC"/>
    <w:rsid w:val="00F939A7"/>
    <w:rsid w:val="00FC10FC"/>
    <w:rsid w:val="00FE31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BAA81"/>
  <w15:chartTrackingRefBased/>
  <w15:docId w15:val="{5C71D112-19F8-4990-B8E5-67D5C2E95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ED3"/>
    <w:pPr>
      <w:ind w:left="720"/>
      <w:contextualSpacing/>
    </w:pPr>
  </w:style>
  <w:style w:type="character" w:styleId="Hyperlink">
    <w:name w:val="Hyperlink"/>
    <w:basedOn w:val="DefaultParagraphFont"/>
    <w:uiPriority w:val="99"/>
    <w:semiHidden/>
    <w:unhideWhenUsed/>
    <w:rsid w:val="00E943C6"/>
    <w:rPr>
      <w:color w:val="0000FF"/>
      <w:u w:val="single"/>
    </w:rPr>
  </w:style>
  <w:style w:type="character" w:styleId="CommentReference">
    <w:name w:val="annotation reference"/>
    <w:basedOn w:val="DefaultParagraphFont"/>
    <w:uiPriority w:val="99"/>
    <w:semiHidden/>
    <w:unhideWhenUsed/>
    <w:rsid w:val="00345962"/>
    <w:rPr>
      <w:sz w:val="16"/>
      <w:szCs w:val="16"/>
    </w:rPr>
  </w:style>
  <w:style w:type="paragraph" w:styleId="CommentText">
    <w:name w:val="annotation text"/>
    <w:basedOn w:val="Normal"/>
    <w:link w:val="CommentTextChar"/>
    <w:uiPriority w:val="99"/>
    <w:semiHidden/>
    <w:unhideWhenUsed/>
    <w:rsid w:val="00345962"/>
    <w:pPr>
      <w:spacing w:line="240" w:lineRule="auto"/>
    </w:pPr>
    <w:rPr>
      <w:sz w:val="20"/>
      <w:szCs w:val="20"/>
    </w:rPr>
  </w:style>
  <w:style w:type="character" w:customStyle="1" w:styleId="CommentTextChar">
    <w:name w:val="Comment Text Char"/>
    <w:basedOn w:val="DefaultParagraphFont"/>
    <w:link w:val="CommentText"/>
    <w:uiPriority w:val="99"/>
    <w:semiHidden/>
    <w:rsid w:val="00345962"/>
    <w:rPr>
      <w:sz w:val="20"/>
      <w:szCs w:val="20"/>
    </w:rPr>
  </w:style>
  <w:style w:type="paragraph" w:styleId="CommentSubject">
    <w:name w:val="annotation subject"/>
    <w:basedOn w:val="CommentText"/>
    <w:next w:val="CommentText"/>
    <w:link w:val="CommentSubjectChar"/>
    <w:uiPriority w:val="99"/>
    <w:semiHidden/>
    <w:unhideWhenUsed/>
    <w:rsid w:val="00345962"/>
    <w:rPr>
      <w:b/>
      <w:bCs/>
    </w:rPr>
  </w:style>
  <w:style w:type="character" w:customStyle="1" w:styleId="CommentSubjectChar">
    <w:name w:val="Comment Subject Char"/>
    <w:basedOn w:val="CommentTextChar"/>
    <w:link w:val="CommentSubject"/>
    <w:uiPriority w:val="99"/>
    <w:semiHidden/>
    <w:rsid w:val="00345962"/>
    <w:rPr>
      <w:b/>
      <w:bCs/>
      <w:sz w:val="20"/>
      <w:szCs w:val="20"/>
    </w:rPr>
  </w:style>
  <w:style w:type="paragraph" w:styleId="BalloonText">
    <w:name w:val="Balloon Text"/>
    <w:basedOn w:val="Normal"/>
    <w:link w:val="BalloonTextChar"/>
    <w:uiPriority w:val="99"/>
    <w:semiHidden/>
    <w:unhideWhenUsed/>
    <w:rsid w:val="003459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5962"/>
    <w:rPr>
      <w:rFonts w:ascii="Segoe UI" w:hAnsi="Segoe UI" w:cs="Segoe UI"/>
      <w:sz w:val="18"/>
      <w:szCs w:val="18"/>
    </w:rPr>
  </w:style>
  <w:style w:type="character" w:styleId="FollowedHyperlink">
    <w:name w:val="FollowedHyperlink"/>
    <w:basedOn w:val="DefaultParagraphFont"/>
    <w:uiPriority w:val="99"/>
    <w:semiHidden/>
    <w:unhideWhenUsed/>
    <w:rsid w:val="00215F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912931">
      <w:bodyDiv w:val="1"/>
      <w:marLeft w:val="0"/>
      <w:marRight w:val="0"/>
      <w:marTop w:val="0"/>
      <w:marBottom w:val="0"/>
      <w:divBdr>
        <w:top w:val="none" w:sz="0" w:space="0" w:color="auto"/>
        <w:left w:val="none" w:sz="0" w:space="0" w:color="auto"/>
        <w:bottom w:val="none" w:sz="0" w:space="0" w:color="auto"/>
        <w:right w:val="none" w:sz="0" w:space="0" w:color="auto"/>
      </w:divBdr>
    </w:div>
    <w:div w:id="1026949692">
      <w:bodyDiv w:val="1"/>
      <w:marLeft w:val="0"/>
      <w:marRight w:val="0"/>
      <w:marTop w:val="0"/>
      <w:marBottom w:val="0"/>
      <w:divBdr>
        <w:top w:val="none" w:sz="0" w:space="0" w:color="auto"/>
        <w:left w:val="none" w:sz="0" w:space="0" w:color="auto"/>
        <w:bottom w:val="none" w:sz="0" w:space="0" w:color="auto"/>
        <w:right w:val="none" w:sz="0" w:space="0" w:color="auto"/>
      </w:divBdr>
    </w:div>
    <w:div w:id="1124887289">
      <w:bodyDiv w:val="1"/>
      <w:marLeft w:val="0"/>
      <w:marRight w:val="0"/>
      <w:marTop w:val="0"/>
      <w:marBottom w:val="0"/>
      <w:divBdr>
        <w:top w:val="none" w:sz="0" w:space="0" w:color="auto"/>
        <w:left w:val="none" w:sz="0" w:space="0" w:color="auto"/>
        <w:bottom w:val="none" w:sz="0" w:space="0" w:color="auto"/>
        <w:right w:val="none" w:sz="0" w:space="0" w:color="auto"/>
      </w:divBdr>
    </w:div>
    <w:div w:id="200435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lz.co.uk/adi/pdf/global-estimates-of-informal-car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alz.co.uk/research/world-report-2016"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159F1-C38B-4FE3-8287-806AF7B3F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6</Pages>
  <Words>2196</Words>
  <Characters>12519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14686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Giebel, Clarissa</dc:creator>
  <cp:keywords/>
  <dc:description/>
  <cp:lastModifiedBy>Giebel, Clarissa</cp:lastModifiedBy>
  <cp:revision>18</cp:revision>
  <dcterms:created xsi:type="dcterms:W3CDTF">2020-05-04T13:13:00Z</dcterms:created>
  <dcterms:modified xsi:type="dcterms:W3CDTF">2020-05-06T18:19:00Z</dcterms:modified>
</cp:coreProperties>
</file>