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8D8" w:rsidRPr="00BD1F88" w:rsidRDefault="008F38D8" w:rsidP="00A65BFD">
      <w:pPr>
        <w:jc w:val="center"/>
        <w:rPr>
          <w:rFonts w:ascii="Arial" w:hAnsi="Arial" w:cs="Arial"/>
          <w:i/>
          <w:sz w:val="40"/>
          <w:szCs w:val="40"/>
        </w:rPr>
      </w:pPr>
    </w:p>
    <w:p w:rsidR="00D41E5A" w:rsidRPr="00230449" w:rsidRDefault="00607F08" w:rsidP="00A65BFD">
      <w:pPr>
        <w:jc w:val="center"/>
        <w:rPr>
          <w:rFonts w:ascii="Arial" w:hAnsi="Arial" w:cs="Arial"/>
          <w:b/>
          <w:i/>
          <w:sz w:val="40"/>
          <w:szCs w:val="40"/>
          <w:u w:val="single"/>
        </w:rPr>
      </w:pPr>
      <w:r w:rsidRPr="00230449">
        <w:rPr>
          <w:rFonts w:ascii="Arial" w:hAnsi="Arial" w:cs="Arial"/>
          <w:b/>
          <w:i/>
          <w:sz w:val="40"/>
          <w:szCs w:val="40"/>
          <w:u w:val="single"/>
        </w:rPr>
        <w:t>Nietzsche’s</w:t>
      </w:r>
      <w:r w:rsidR="00D41E5A" w:rsidRPr="00230449">
        <w:rPr>
          <w:rFonts w:ascii="Arial" w:hAnsi="Arial" w:cs="Arial"/>
          <w:b/>
          <w:i/>
          <w:sz w:val="40"/>
          <w:szCs w:val="40"/>
          <w:u w:val="single"/>
        </w:rPr>
        <w:t xml:space="preserve"> </w:t>
      </w:r>
      <w:r w:rsidR="00035E21" w:rsidRPr="00230449">
        <w:rPr>
          <w:rFonts w:ascii="Arial" w:hAnsi="Arial" w:cs="Arial"/>
          <w:b/>
          <w:i/>
          <w:sz w:val="40"/>
          <w:szCs w:val="40"/>
          <w:u w:val="single"/>
        </w:rPr>
        <w:t xml:space="preserve">Eternal Recurrence </w:t>
      </w:r>
      <w:r w:rsidR="00D41E5A" w:rsidRPr="00230449">
        <w:rPr>
          <w:rFonts w:ascii="Arial" w:hAnsi="Arial" w:cs="Arial"/>
          <w:b/>
          <w:i/>
          <w:sz w:val="40"/>
          <w:szCs w:val="40"/>
          <w:u w:val="single"/>
        </w:rPr>
        <w:t xml:space="preserve">and </w:t>
      </w:r>
      <w:r w:rsidR="0075153E" w:rsidRPr="00230449">
        <w:rPr>
          <w:rFonts w:ascii="Arial" w:hAnsi="Arial" w:cs="Arial"/>
          <w:b/>
          <w:i/>
          <w:sz w:val="40"/>
          <w:szCs w:val="40"/>
          <w:u w:val="single"/>
        </w:rPr>
        <w:t>the</w:t>
      </w:r>
      <w:r w:rsidR="008462B9" w:rsidRPr="00230449">
        <w:rPr>
          <w:rFonts w:ascii="Arial" w:hAnsi="Arial" w:cs="Arial"/>
          <w:b/>
          <w:i/>
          <w:sz w:val="40"/>
          <w:szCs w:val="40"/>
          <w:u w:val="single"/>
        </w:rPr>
        <w:t xml:space="preserve"> Renaissance</w:t>
      </w:r>
      <w:r w:rsidR="0075153E" w:rsidRPr="00230449">
        <w:rPr>
          <w:rFonts w:ascii="Arial" w:hAnsi="Arial" w:cs="Arial"/>
          <w:b/>
          <w:i/>
          <w:sz w:val="40"/>
          <w:szCs w:val="40"/>
          <w:u w:val="single"/>
        </w:rPr>
        <w:t xml:space="preserve"> of English and Welsh </w:t>
      </w:r>
      <w:r w:rsidR="00D41E5A" w:rsidRPr="00230449">
        <w:rPr>
          <w:rFonts w:ascii="Arial" w:hAnsi="Arial" w:cs="Arial"/>
          <w:b/>
          <w:i/>
          <w:sz w:val="40"/>
          <w:szCs w:val="40"/>
          <w:u w:val="single"/>
        </w:rPr>
        <w:t>Insolvency Law</w:t>
      </w:r>
      <w:r w:rsidR="0075153E" w:rsidRPr="00230449">
        <w:rPr>
          <w:rFonts w:ascii="Arial" w:hAnsi="Arial" w:cs="Arial"/>
          <w:b/>
          <w:i/>
          <w:sz w:val="40"/>
          <w:szCs w:val="40"/>
          <w:u w:val="single"/>
        </w:rPr>
        <w:t xml:space="preserve"> </w:t>
      </w:r>
      <w:r w:rsidR="0054080C" w:rsidRPr="00230449">
        <w:rPr>
          <w:rFonts w:ascii="Arial" w:hAnsi="Arial" w:cs="Arial"/>
          <w:b/>
          <w:i/>
          <w:sz w:val="40"/>
          <w:szCs w:val="40"/>
          <w:u w:val="single"/>
        </w:rPr>
        <w:t>Reform</w:t>
      </w:r>
    </w:p>
    <w:p w:rsidR="00D41E5A" w:rsidRPr="00230449" w:rsidRDefault="00D41E5A" w:rsidP="008B1208">
      <w:pPr>
        <w:jc w:val="both"/>
        <w:rPr>
          <w:rFonts w:ascii="Arial" w:hAnsi="Arial" w:cs="Arial"/>
        </w:rPr>
      </w:pPr>
    </w:p>
    <w:p w:rsidR="008F60DD" w:rsidRPr="00230449" w:rsidRDefault="008F60DD" w:rsidP="008B1208">
      <w:pPr>
        <w:jc w:val="both"/>
        <w:rPr>
          <w:rFonts w:ascii="Arial" w:hAnsi="Arial" w:cs="Arial"/>
        </w:rPr>
      </w:pPr>
    </w:p>
    <w:p w:rsidR="00D41E5A" w:rsidRPr="00230449" w:rsidRDefault="00D41E5A" w:rsidP="008B1208">
      <w:pPr>
        <w:jc w:val="both"/>
        <w:rPr>
          <w:rFonts w:ascii="Arial" w:hAnsi="Arial" w:cs="Arial"/>
        </w:rPr>
      </w:pPr>
    </w:p>
    <w:p w:rsidR="00D41E5A" w:rsidRPr="00230449" w:rsidRDefault="00D41E5A" w:rsidP="008B1208">
      <w:pPr>
        <w:jc w:val="both"/>
        <w:rPr>
          <w:rFonts w:ascii="Arial" w:hAnsi="Arial" w:cs="Arial"/>
        </w:rPr>
      </w:pPr>
    </w:p>
    <w:p w:rsidR="008F60DD" w:rsidRPr="00230449" w:rsidRDefault="008F60DD" w:rsidP="008B1208">
      <w:pPr>
        <w:jc w:val="both"/>
        <w:rPr>
          <w:rFonts w:ascii="Arial" w:hAnsi="Arial" w:cs="Arial"/>
          <w:b/>
          <w:i/>
          <w:u w:val="single"/>
        </w:rPr>
      </w:pPr>
    </w:p>
    <w:p w:rsidR="00A65BFD" w:rsidRPr="00230449" w:rsidRDefault="00A65BFD" w:rsidP="008B1208">
      <w:pPr>
        <w:jc w:val="both"/>
        <w:rPr>
          <w:rFonts w:ascii="Arial" w:hAnsi="Arial" w:cs="Arial"/>
          <w:b/>
          <w:i/>
          <w:u w:val="single"/>
        </w:rPr>
      </w:pPr>
    </w:p>
    <w:p w:rsidR="00CC5BCC" w:rsidRPr="00230449" w:rsidRDefault="00CC5BCC" w:rsidP="008B1208">
      <w:pPr>
        <w:jc w:val="both"/>
        <w:rPr>
          <w:rFonts w:ascii="Arial" w:hAnsi="Arial" w:cs="Arial"/>
          <w:b/>
          <w:i/>
          <w:u w:val="single"/>
        </w:rPr>
      </w:pPr>
    </w:p>
    <w:p w:rsidR="00D41E5A" w:rsidRPr="00230449" w:rsidRDefault="00D41E5A" w:rsidP="008B1208">
      <w:pPr>
        <w:jc w:val="both"/>
        <w:rPr>
          <w:rFonts w:ascii="Arial" w:hAnsi="Arial" w:cs="Arial"/>
          <w:b/>
          <w:i/>
          <w:sz w:val="22"/>
          <w:szCs w:val="22"/>
          <w:u w:val="single"/>
        </w:rPr>
      </w:pPr>
      <w:r w:rsidRPr="00230449">
        <w:rPr>
          <w:rFonts w:ascii="Arial" w:hAnsi="Arial" w:cs="Arial"/>
          <w:b/>
          <w:i/>
          <w:sz w:val="22"/>
          <w:szCs w:val="22"/>
          <w:u w:val="single"/>
        </w:rPr>
        <w:t xml:space="preserve">Abstract </w:t>
      </w:r>
    </w:p>
    <w:p w:rsidR="008F60DD" w:rsidRPr="00230449" w:rsidRDefault="008F60DD" w:rsidP="008B1208">
      <w:pPr>
        <w:jc w:val="both"/>
        <w:rPr>
          <w:rFonts w:ascii="Arial" w:hAnsi="Arial" w:cs="Arial"/>
          <w:sz w:val="22"/>
          <w:szCs w:val="22"/>
        </w:rPr>
      </w:pPr>
    </w:p>
    <w:p w:rsidR="002F44B9" w:rsidRPr="00230449" w:rsidRDefault="00A622EA" w:rsidP="002F44B9">
      <w:pPr>
        <w:jc w:val="both"/>
        <w:rPr>
          <w:rFonts w:ascii="Arial" w:hAnsi="Arial" w:cs="Arial"/>
          <w:i/>
          <w:sz w:val="22"/>
          <w:szCs w:val="22"/>
        </w:rPr>
      </w:pPr>
      <w:r w:rsidRPr="00230449">
        <w:rPr>
          <w:rFonts w:ascii="Arial" w:hAnsi="Arial" w:cs="Arial"/>
          <w:i/>
          <w:sz w:val="22"/>
          <w:szCs w:val="22"/>
        </w:rPr>
        <w:t xml:space="preserve">Friedrich </w:t>
      </w:r>
      <w:r w:rsidR="008F60DD" w:rsidRPr="00230449">
        <w:rPr>
          <w:rFonts w:ascii="Arial" w:hAnsi="Arial" w:cs="Arial"/>
          <w:i/>
          <w:sz w:val="22"/>
          <w:szCs w:val="22"/>
        </w:rPr>
        <w:t xml:space="preserve">Nietzsche proposed </w:t>
      </w:r>
      <w:r w:rsidR="009B5137" w:rsidRPr="00230449">
        <w:rPr>
          <w:rFonts w:ascii="Arial" w:hAnsi="Arial" w:cs="Arial"/>
          <w:i/>
          <w:sz w:val="22"/>
          <w:szCs w:val="22"/>
        </w:rPr>
        <w:t xml:space="preserve">the </w:t>
      </w:r>
      <w:r w:rsidRPr="00230449">
        <w:rPr>
          <w:rFonts w:ascii="Arial" w:hAnsi="Arial" w:cs="Arial"/>
          <w:i/>
          <w:sz w:val="22"/>
          <w:szCs w:val="22"/>
        </w:rPr>
        <w:t>‘</w:t>
      </w:r>
      <w:r w:rsidR="008F60DD" w:rsidRPr="00230449">
        <w:rPr>
          <w:rFonts w:ascii="Arial" w:hAnsi="Arial" w:cs="Arial"/>
          <w:i/>
          <w:sz w:val="22"/>
          <w:szCs w:val="22"/>
        </w:rPr>
        <w:t>Eternal Recurrence</w:t>
      </w:r>
      <w:r w:rsidRPr="00230449">
        <w:rPr>
          <w:rFonts w:ascii="Arial" w:hAnsi="Arial" w:cs="Arial"/>
          <w:i/>
          <w:sz w:val="22"/>
          <w:szCs w:val="22"/>
        </w:rPr>
        <w:t>’</w:t>
      </w:r>
      <w:r w:rsidR="009B5137" w:rsidRPr="00230449">
        <w:rPr>
          <w:rFonts w:ascii="Arial" w:hAnsi="Arial" w:cs="Arial"/>
          <w:i/>
          <w:sz w:val="22"/>
          <w:szCs w:val="22"/>
        </w:rPr>
        <w:t xml:space="preserve"> thought experiment</w:t>
      </w:r>
      <w:r w:rsidRPr="00230449">
        <w:rPr>
          <w:rFonts w:ascii="Arial" w:hAnsi="Arial" w:cs="Arial"/>
          <w:i/>
          <w:sz w:val="22"/>
          <w:szCs w:val="22"/>
        </w:rPr>
        <w:t xml:space="preserve"> in</w:t>
      </w:r>
      <w:r w:rsidR="00171C74" w:rsidRPr="00230449">
        <w:rPr>
          <w:rFonts w:ascii="Arial" w:hAnsi="Arial" w:cs="Arial"/>
          <w:i/>
          <w:sz w:val="22"/>
          <w:szCs w:val="22"/>
        </w:rPr>
        <w:t xml:space="preserve"> </w:t>
      </w:r>
      <w:r w:rsidRPr="00230449">
        <w:rPr>
          <w:rFonts w:ascii="Arial" w:hAnsi="Arial" w:cs="Arial"/>
          <w:i/>
          <w:sz w:val="22"/>
          <w:szCs w:val="22"/>
        </w:rPr>
        <w:t>his book</w:t>
      </w:r>
      <w:r w:rsidR="00171C74" w:rsidRPr="00230449">
        <w:rPr>
          <w:rFonts w:ascii="Arial" w:hAnsi="Arial" w:cs="Arial"/>
          <w:i/>
          <w:sz w:val="22"/>
          <w:szCs w:val="22"/>
        </w:rPr>
        <w:t>, “The Gay Science” (</w:t>
      </w:r>
      <w:r w:rsidRPr="00230449">
        <w:rPr>
          <w:rFonts w:ascii="Arial" w:hAnsi="Arial" w:cs="Arial"/>
          <w:i/>
          <w:sz w:val="22"/>
          <w:szCs w:val="22"/>
        </w:rPr>
        <w:t>1882</w:t>
      </w:r>
      <w:r w:rsidR="00171C74" w:rsidRPr="00230449">
        <w:rPr>
          <w:rFonts w:ascii="Arial" w:hAnsi="Arial" w:cs="Arial"/>
          <w:i/>
          <w:sz w:val="22"/>
          <w:szCs w:val="22"/>
        </w:rPr>
        <w:t>)</w:t>
      </w:r>
      <w:r w:rsidRPr="00230449">
        <w:rPr>
          <w:rFonts w:ascii="Arial" w:hAnsi="Arial" w:cs="Arial"/>
          <w:i/>
          <w:sz w:val="22"/>
          <w:szCs w:val="22"/>
        </w:rPr>
        <w:t>.</w:t>
      </w:r>
      <w:r w:rsidR="008F60DD" w:rsidRPr="00230449">
        <w:rPr>
          <w:rFonts w:ascii="Arial" w:hAnsi="Arial" w:cs="Arial"/>
          <w:i/>
          <w:sz w:val="22"/>
          <w:szCs w:val="22"/>
        </w:rPr>
        <w:t xml:space="preserve"> </w:t>
      </w:r>
      <w:r w:rsidRPr="00230449">
        <w:rPr>
          <w:rFonts w:ascii="Arial" w:hAnsi="Arial" w:cs="Arial"/>
          <w:i/>
          <w:sz w:val="22"/>
          <w:szCs w:val="22"/>
        </w:rPr>
        <w:t>Drawing on</w:t>
      </w:r>
      <w:r w:rsidR="001F5175" w:rsidRPr="00230449">
        <w:rPr>
          <w:rFonts w:ascii="Arial" w:hAnsi="Arial" w:cs="Arial"/>
          <w:i/>
          <w:sz w:val="22"/>
          <w:szCs w:val="22"/>
        </w:rPr>
        <w:t xml:space="preserve"> ancient Greek and</w:t>
      </w:r>
      <w:r w:rsidR="00DB61DE" w:rsidRPr="00230449">
        <w:rPr>
          <w:rFonts w:ascii="Arial" w:hAnsi="Arial" w:cs="Arial"/>
          <w:i/>
          <w:sz w:val="22"/>
          <w:szCs w:val="22"/>
        </w:rPr>
        <w:t xml:space="preserve"> Indian philosophy,</w:t>
      </w:r>
      <w:r w:rsidR="00171C74" w:rsidRPr="00230449">
        <w:rPr>
          <w:rFonts w:ascii="Arial" w:hAnsi="Arial" w:cs="Arial"/>
          <w:i/>
          <w:sz w:val="22"/>
          <w:szCs w:val="22"/>
        </w:rPr>
        <w:t xml:space="preserve"> </w:t>
      </w:r>
      <w:r w:rsidR="00035E21" w:rsidRPr="00230449">
        <w:rPr>
          <w:rFonts w:ascii="Arial" w:hAnsi="Arial" w:cs="Arial"/>
          <w:i/>
          <w:sz w:val="22"/>
          <w:szCs w:val="22"/>
        </w:rPr>
        <w:t xml:space="preserve">Eternal Recurrence </w:t>
      </w:r>
      <w:r w:rsidRPr="00230449">
        <w:rPr>
          <w:rFonts w:ascii="Arial" w:hAnsi="Arial" w:cs="Arial"/>
          <w:i/>
          <w:sz w:val="22"/>
          <w:szCs w:val="22"/>
        </w:rPr>
        <w:t>i</w:t>
      </w:r>
      <w:r w:rsidR="001F5175" w:rsidRPr="00230449">
        <w:rPr>
          <w:rFonts w:ascii="Arial" w:hAnsi="Arial" w:cs="Arial"/>
          <w:i/>
          <w:sz w:val="22"/>
          <w:szCs w:val="22"/>
        </w:rPr>
        <w:t>s the idea</w:t>
      </w:r>
      <w:r w:rsidR="008F60DD" w:rsidRPr="00230449">
        <w:rPr>
          <w:rFonts w:ascii="Arial" w:hAnsi="Arial" w:cs="Arial"/>
          <w:i/>
          <w:sz w:val="22"/>
          <w:szCs w:val="22"/>
        </w:rPr>
        <w:t xml:space="preserve"> that with infinite time </w:t>
      </w:r>
      <w:r w:rsidR="00177421" w:rsidRPr="00230449">
        <w:rPr>
          <w:rFonts w:ascii="Arial" w:hAnsi="Arial" w:cs="Arial"/>
          <w:i/>
          <w:sz w:val="22"/>
          <w:szCs w:val="22"/>
        </w:rPr>
        <w:t xml:space="preserve">and matter </w:t>
      </w:r>
      <w:r w:rsidR="008F60DD" w:rsidRPr="00230449">
        <w:rPr>
          <w:rFonts w:ascii="Arial" w:hAnsi="Arial" w:cs="Arial"/>
          <w:i/>
          <w:sz w:val="22"/>
          <w:szCs w:val="22"/>
        </w:rPr>
        <w:t>events will oc</w:t>
      </w:r>
      <w:r w:rsidR="00607F08" w:rsidRPr="00230449">
        <w:rPr>
          <w:rFonts w:ascii="Arial" w:hAnsi="Arial" w:cs="Arial"/>
          <w:i/>
          <w:sz w:val="22"/>
          <w:szCs w:val="22"/>
        </w:rPr>
        <w:t>cur again and again without end</w:t>
      </w:r>
      <w:r w:rsidR="00171C74" w:rsidRPr="00230449">
        <w:rPr>
          <w:rFonts w:ascii="Arial" w:hAnsi="Arial" w:cs="Arial"/>
          <w:i/>
          <w:sz w:val="22"/>
          <w:szCs w:val="22"/>
        </w:rPr>
        <w:t xml:space="preserve">. </w:t>
      </w:r>
      <w:r w:rsidR="002F44B9" w:rsidRPr="00230449">
        <w:rPr>
          <w:rFonts w:ascii="Arial" w:hAnsi="Arial" w:cs="Arial"/>
          <w:i/>
          <w:sz w:val="22"/>
          <w:szCs w:val="22"/>
        </w:rPr>
        <w:t xml:space="preserve">While not (quite) infinite, English and Welsh insolvency law does have a sufficient and significant history that reveals numerous examples of this phenomenon of repetition. This article examines some of the patterns of repetition within the law and reform processes and how “broad”, “narrow”, and “deep” </w:t>
      </w:r>
      <w:r w:rsidR="00035E21" w:rsidRPr="00230449">
        <w:rPr>
          <w:rFonts w:ascii="Arial" w:hAnsi="Arial" w:cs="Arial"/>
          <w:i/>
          <w:sz w:val="22"/>
          <w:szCs w:val="22"/>
        </w:rPr>
        <w:t xml:space="preserve">Eternal Recurrence </w:t>
      </w:r>
      <w:r w:rsidR="002F44B9" w:rsidRPr="00230449">
        <w:rPr>
          <w:rFonts w:ascii="Arial" w:hAnsi="Arial" w:cs="Arial"/>
          <w:i/>
          <w:sz w:val="22"/>
          <w:szCs w:val="22"/>
        </w:rPr>
        <w:t xml:space="preserve">applies to English and Welsh insolvency law. </w:t>
      </w:r>
    </w:p>
    <w:p w:rsidR="002F44B9" w:rsidRPr="00230449" w:rsidRDefault="002F44B9" w:rsidP="002F44B9">
      <w:pPr>
        <w:jc w:val="both"/>
        <w:rPr>
          <w:rFonts w:ascii="Arial" w:hAnsi="Arial" w:cs="Arial"/>
          <w:i/>
          <w:sz w:val="22"/>
          <w:szCs w:val="22"/>
        </w:rPr>
      </w:pPr>
      <w:r w:rsidRPr="00230449">
        <w:rPr>
          <w:rFonts w:ascii="Arial" w:hAnsi="Arial" w:cs="Arial"/>
          <w:i/>
          <w:sz w:val="22"/>
          <w:szCs w:val="22"/>
        </w:rPr>
        <w:t xml:space="preserve"> </w:t>
      </w:r>
    </w:p>
    <w:p w:rsidR="00BC1ADB" w:rsidRPr="00230449" w:rsidRDefault="002F44B9" w:rsidP="002F44B9">
      <w:pPr>
        <w:jc w:val="both"/>
        <w:rPr>
          <w:rFonts w:ascii="Arial" w:hAnsi="Arial" w:cs="Arial"/>
          <w:i/>
          <w:sz w:val="22"/>
          <w:szCs w:val="22"/>
        </w:rPr>
      </w:pPr>
      <w:r w:rsidRPr="00230449">
        <w:rPr>
          <w:rFonts w:ascii="Arial" w:hAnsi="Arial" w:cs="Arial"/>
          <w:i/>
          <w:sz w:val="22"/>
          <w:szCs w:val="22"/>
        </w:rPr>
        <w:t xml:space="preserve">Three examples of </w:t>
      </w:r>
      <w:r w:rsidR="00035E21" w:rsidRPr="00230449">
        <w:rPr>
          <w:rFonts w:ascii="Arial" w:hAnsi="Arial" w:cs="Arial"/>
          <w:i/>
          <w:sz w:val="22"/>
          <w:szCs w:val="22"/>
        </w:rPr>
        <w:t xml:space="preserve">Eternal Recurrence </w:t>
      </w:r>
      <w:r w:rsidRPr="00230449">
        <w:rPr>
          <w:rFonts w:ascii="Arial" w:hAnsi="Arial" w:cs="Arial"/>
          <w:i/>
          <w:sz w:val="22"/>
          <w:szCs w:val="22"/>
        </w:rPr>
        <w:t>are examined: (1) the plight of the unsecured creditor; (2) the quest for protection including the use of security devices, and, (3) the accountability of directors in corporate insolvency, with specific reference</w:t>
      </w:r>
      <w:r w:rsidR="00171C74" w:rsidRPr="00230449">
        <w:rPr>
          <w:rFonts w:ascii="Arial" w:hAnsi="Arial" w:cs="Arial"/>
          <w:i/>
          <w:sz w:val="22"/>
          <w:szCs w:val="22"/>
        </w:rPr>
        <w:t xml:space="preserve"> to</w:t>
      </w:r>
      <w:r w:rsidRPr="00230449">
        <w:rPr>
          <w:rFonts w:ascii="Arial" w:hAnsi="Arial" w:cs="Arial"/>
          <w:i/>
          <w:sz w:val="22"/>
          <w:szCs w:val="22"/>
        </w:rPr>
        <w:t xml:space="preserve"> human rights protection for directors versus insolvency law objectives for the benefit of creditors. Finally, suggestions are provided as to why “insolvency” </w:t>
      </w:r>
      <w:r w:rsidR="00035E21" w:rsidRPr="00230449">
        <w:rPr>
          <w:rFonts w:ascii="Arial" w:hAnsi="Arial" w:cs="Arial"/>
          <w:i/>
          <w:sz w:val="22"/>
          <w:szCs w:val="22"/>
        </w:rPr>
        <w:t xml:space="preserve">Eternal Recurrence </w:t>
      </w:r>
      <w:r w:rsidRPr="00230449">
        <w:rPr>
          <w:rFonts w:ascii="Arial" w:hAnsi="Arial" w:cs="Arial"/>
          <w:i/>
          <w:sz w:val="22"/>
          <w:szCs w:val="22"/>
        </w:rPr>
        <w:t xml:space="preserve">is problematic, particularly for law reform development and the reform of insolvency law in England and Wales.  </w:t>
      </w:r>
      <w:r w:rsidR="00BC1ADB" w:rsidRPr="00230449">
        <w:rPr>
          <w:rFonts w:ascii="Arial" w:hAnsi="Arial" w:cs="Arial"/>
          <w:i/>
          <w:sz w:val="22"/>
          <w:szCs w:val="22"/>
        </w:rPr>
        <w:t xml:space="preserve"> </w:t>
      </w:r>
    </w:p>
    <w:p w:rsidR="00D41E5A" w:rsidRPr="00230449" w:rsidRDefault="00D41E5A" w:rsidP="008B1208">
      <w:pPr>
        <w:jc w:val="both"/>
        <w:rPr>
          <w:rFonts w:ascii="Arial" w:hAnsi="Arial" w:cs="Arial"/>
          <w:sz w:val="22"/>
          <w:szCs w:val="22"/>
        </w:rPr>
      </w:pPr>
    </w:p>
    <w:p w:rsidR="00D41E5A" w:rsidRPr="00230449" w:rsidRDefault="00D41E5A" w:rsidP="008B1208">
      <w:pPr>
        <w:jc w:val="both"/>
        <w:rPr>
          <w:rFonts w:ascii="Arial" w:hAnsi="Arial" w:cs="Arial"/>
        </w:rPr>
      </w:pPr>
    </w:p>
    <w:p w:rsidR="00D41E5A" w:rsidRPr="00230449" w:rsidRDefault="00D41E5A" w:rsidP="008B1208">
      <w:pPr>
        <w:jc w:val="both"/>
        <w:rPr>
          <w:rFonts w:ascii="Arial" w:hAnsi="Arial" w:cs="Arial"/>
        </w:rPr>
      </w:pPr>
    </w:p>
    <w:p w:rsidR="008F60DD" w:rsidRPr="00230449" w:rsidRDefault="008F60DD" w:rsidP="008B1208">
      <w:pPr>
        <w:jc w:val="both"/>
        <w:rPr>
          <w:rFonts w:ascii="Arial" w:hAnsi="Arial" w:cs="Arial"/>
          <w:b/>
          <w:u w:val="single"/>
        </w:rPr>
      </w:pPr>
      <w:r w:rsidRPr="00230449">
        <w:rPr>
          <w:rFonts w:ascii="Arial" w:hAnsi="Arial" w:cs="Arial"/>
          <w:b/>
          <w:u w:val="single"/>
        </w:rPr>
        <w:br w:type="page"/>
      </w:r>
    </w:p>
    <w:p w:rsidR="00D41E5A" w:rsidRPr="00230449" w:rsidRDefault="00D41E5A" w:rsidP="008B1208">
      <w:pPr>
        <w:jc w:val="both"/>
        <w:rPr>
          <w:rFonts w:ascii="Arial" w:hAnsi="Arial" w:cs="Arial"/>
          <w:b/>
          <w:u w:val="single"/>
        </w:rPr>
      </w:pPr>
      <w:r w:rsidRPr="00230449">
        <w:rPr>
          <w:rFonts w:ascii="Arial" w:hAnsi="Arial" w:cs="Arial"/>
          <w:b/>
          <w:u w:val="single"/>
        </w:rPr>
        <w:lastRenderedPageBreak/>
        <w:t xml:space="preserve">Introduction </w:t>
      </w:r>
    </w:p>
    <w:p w:rsidR="00594623" w:rsidRPr="00230449" w:rsidRDefault="00594623" w:rsidP="008B1208">
      <w:pPr>
        <w:spacing w:line="360" w:lineRule="auto"/>
        <w:jc w:val="both"/>
        <w:rPr>
          <w:rFonts w:ascii="Arial" w:hAnsi="Arial" w:cs="Arial"/>
          <w:u w:val="single"/>
        </w:rPr>
      </w:pPr>
    </w:p>
    <w:p w:rsidR="006C6541" w:rsidRPr="00230449" w:rsidRDefault="009A3885" w:rsidP="008B1208">
      <w:pPr>
        <w:spacing w:line="360" w:lineRule="auto"/>
        <w:jc w:val="both"/>
        <w:rPr>
          <w:rFonts w:ascii="Arial" w:hAnsi="Arial" w:cs="Arial"/>
          <w:u w:val="single"/>
        </w:rPr>
      </w:pPr>
      <w:r w:rsidRPr="00230449">
        <w:rPr>
          <w:rFonts w:ascii="Arial" w:hAnsi="Arial" w:cs="Arial"/>
        </w:rPr>
        <w:t>Friedrich Nietzsche</w:t>
      </w:r>
      <w:r w:rsidR="006F1C6F" w:rsidRPr="00230449">
        <w:rPr>
          <w:rFonts w:ascii="Arial" w:hAnsi="Arial" w:cs="Arial"/>
        </w:rPr>
        <w:t xml:space="preserve"> is </w:t>
      </w:r>
      <w:r w:rsidR="006C6541" w:rsidRPr="00230449">
        <w:rPr>
          <w:rFonts w:ascii="Arial" w:hAnsi="Arial" w:cs="Arial"/>
        </w:rPr>
        <w:t xml:space="preserve">best known for his books </w:t>
      </w:r>
      <w:r w:rsidR="006C6541" w:rsidRPr="00230449">
        <w:rPr>
          <w:rFonts w:ascii="Arial" w:hAnsi="Arial" w:cs="Arial"/>
          <w:i/>
        </w:rPr>
        <w:t>“The Birth of Tragedy”</w:t>
      </w:r>
      <w:r w:rsidR="006C6541" w:rsidRPr="00230449">
        <w:rPr>
          <w:rFonts w:ascii="Arial" w:hAnsi="Arial" w:cs="Arial"/>
        </w:rPr>
        <w:t xml:space="preserve"> (1872), </w:t>
      </w:r>
      <w:r w:rsidR="006C6541" w:rsidRPr="00230449">
        <w:rPr>
          <w:rFonts w:ascii="Arial" w:hAnsi="Arial" w:cs="Arial"/>
          <w:i/>
        </w:rPr>
        <w:t>“Human</w:t>
      </w:r>
      <w:r w:rsidR="00EF42B3" w:rsidRPr="00230449">
        <w:rPr>
          <w:rFonts w:ascii="Arial" w:hAnsi="Arial" w:cs="Arial"/>
          <w:i/>
        </w:rPr>
        <w:t>,</w:t>
      </w:r>
      <w:r w:rsidR="006C6541" w:rsidRPr="00230449">
        <w:rPr>
          <w:rFonts w:ascii="Arial" w:hAnsi="Arial" w:cs="Arial"/>
          <w:i/>
        </w:rPr>
        <w:t xml:space="preserve"> All Too Human”</w:t>
      </w:r>
      <w:r w:rsidR="006C6541" w:rsidRPr="00230449">
        <w:rPr>
          <w:rFonts w:ascii="Arial" w:hAnsi="Arial" w:cs="Arial"/>
        </w:rPr>
        <w:t xml:space="preserve"> (1878), </w:t>
      </w:r>
      <w:r w:rsidR="006C6541" w:rsidRPr="00230449">
        <w:rPr>
          <w:rFonts w:ascii="Arial" w:hAnsi="Arial" w:cs="Arial"/>
          <w:i/>
        </w:rPr>
        <w:t>“The Gay Science”</w:t>
      </w:r>
      <w:r w:rsidR="006C6541" w:rsidRPr="00230449">
        <w:rPr>
          <w:rFonts w:ascii="Arial" w:hAnsi="Arial" w:cs="Arial"/>
        </w:rPr>
        <w:t xml:space="preserve"> (1882), </w:t>
      </w:r>
      <w:r w:rsidR="006C6541" w:rsidRPr="00230449">
        <w:rPr>
          <w:rFonts w:ascii="Arial" w:hAnsi="Arial" w:cs="Arial"/>
          <w:i/>
        </w:rPr>
        <w:t>“Thus Spoke Zarathustra”</w:t>
      </w:r>
      <w:r w:rsidR="006C6541" w:rsidRPr="00230449">
        <w:rPr>
          <w:rFonts w:ascii="Arial" w:hAnsi="Arial" w:cs="Arial"/>
        </w:rPr>
        <w:t xml:space="preserve"> (1883), </w:t>
      </w:r>
      <w:r w:rsidR="006C6541" w:rsidRPr="00230449">
        <w:rPr>
          <w:rFonts w:ascii="Arial" w:hAnsi="Arial" w:cs="Arial"/>
          <w:i/>
        </w:rPr>
        <w:t>“Beyond Good and Evil”</w:t>
      </w:r>
      <w:r w:rsidR="006C6541" w:rsidRPr="00230449">
        <w:rPr>
          <w:rFonts w:ascii="Arial" w:hAnsi="Arial" w:cs="Arial"/>
        </w:rPr>
        <w:t xml:space="preserve"> (1886),</w:t>
      </w:r>
      <w:r w:rsidR="005253A1" w:rsidRPr="00230449">
        <w:rPr>
          <w:rFonts w:ascii="Arial" w:hAnsi="Arial" w:cs="Arial"/>
        </w:rPr>
        <w:t xml:space="preserve"> and</w:t>
      </w:r>
      <w:r w:rsidR="006C6541" w:rsidRPr="00230449">
        <w:rPr>
          <w:rFonts w:ascii="Arial" w:hAnsi="Arial" w:cs="Arial"/>
        </w:rPr>
        <w:t xml:space="preserve"> </w:t>
      </w:r>
      <w:r w:rsidR="005253A1" w:rsidRPr="00230449">
        <w:rPr>
          <w:rFonts w:ascii="Arial" w:hAnsi="Arial" w:cs="Arial"/>
          <w:i/>
        </w:rPr>
        <w:t>“On the Genealogy of Morality</w:t>
      </w:r>
      <w:r w:rsidR="006C6541" w:rsidRPr="00230449">
        <w:rPr>
          <w:rFonts w:ascii="Arial" w:hAnsi="Arial" w:cs="Arial"/>
          <w:i/>
        </w:rPr>
        <w:t>”</w:t>
      </w:r>
      <w:r w:rsidR="006F1C6F" w:rsidRPr="00230449">
        <w:rPr>
          <w:rFonts w:ascii="Arial" w:hAnsi="Arial" w:cs="Arial"/>
        </w:rPr>
        <w:t xml:space="preserve"> (1887) and the </w:t>
      </w:r>
      <w:r w:rsidR="007E59E3" w:rsidRPr="00230449">
        <w:rPr>
          <w:rFonts w:ascii="Arial" w:hAnsi="Arial" w:cs="Arial"/>
        </w:rPr>
        <w:t xml:space="preserve">various </w:t>
      </w:r>
      <w:r w:rsidR="006C6541" w:rsidRPr="00230449">
        <w:rPr>
          <w:rFonts w:ascii="Arial" w:hAnsi="Arial" w:cs="Arial"/>
        </w:rPr>
        <w:t>philosophical ideas</w:t>
      </w:r>
      <w:r w:rsidR="006F1C6F" w:rsidRPr="00230449">
        <w:rPr>
          <w:rFonts w:ascii="Arial" w:hAnsi="Arial" w:cs="Arial"/>
        </w:rPr>
        <w:t xml:space="preserve"> they contain</w:t>
      </w:r>
      <w:r w:rsidR="006C6541" w:rsidRPr="00230449">
        <w:rPr>
          <w:rFonts w:ascii="Arial" w:hAnsi="Arial" w:cs="Arial"/>
        </w:rPr>
        <w:t>.</w:t>
      </w:r>
      <w:r w:rsidR="00056B28" w:rsidRPr="00230449">
        <w:rPr>
          <w:rStyle w:val="FootnoteReference"/>
          <w:rFonts w:ascii="Arial" w:hAnsi="Arial"/>
        </w:rPr>
        <w:footnoteReference w:id="1"/>
      </w:r>
      <w:r w:rsidR="006C6541" w:rsidRPr="00230449">
        <w:rPr>
          <w:rFonts w:ascii="Arial" w:hAnsi="Arial" w:cs="Arial"/>
        </w:rPr>
        <w:t xml:space="preserve"> These included the Nietzschean concept</w:t>
      </w:r>
      <w:r w:rsidR="00AB1D01" w:rsidRPr="00230449">
        <w:rPr>
          <w:rFonts w:ascii="Arial" w:hAnsi="Arial" w:cs="Arial"/>
        </w:rPr>
        <w:t>s of</w:t>
      </w:r>
      <w:r w:rsidR="002464FF" w:rsidRPr="00230449">
        <w:rPr>
          <w:rFonts w:ascii="Arial" w:hAnsi="Arial" w:cs="Arial"/>
        </w:rPr>
        <w:t xml:space="preserve"> the</w:t>
      </w:r>
      <w:r w:rsidR="00AB1D01" w:rsidRPr="00230449">
        <w:rPr>
          <w:rFonts w:ascii="Arial" w:hAnsi="Arial" w:cs="Arial"/>
        </w:rPr>
        <w:t xml:space="preserve"> “will to power”;</w:t>
      </w:r>
      <w:r w:rsidR="00E80FF6" w:rsidRPr="00230449">
        <w:rPr>
          <w:rFonts w:ascii="Arial" w:hAnsi="Arial" w:cs="Arial"/>
        </w:rPr>
        <w:t xml:space="preserve"> </w:t>
      </w:r>
      <w:proofErr w:type="spellStart"/>
      <w:r w:rsidR="00E80FF6" w:rsidRPr="00230449">
        <w:rPr>
          <w:rFonts w:ascii="Arial" w:hAnsi="Arial" w:cs="Arial"/>
          <w:i/>
        </w:rPr>
        <w:t>amor</w:t>
      </w:r>
      <w:proofErr w:type="spellEnd"/>
      <w:r w:rsidR="00E80FF6" w:rsidRPr="00230449">
        <w:rPr>
          <w:rFonts w:ascii="Arial" w:hAnsi="Arial" w:cs="Arial"/>
          <w:i/>
        </w:rPr>
        <w:t xml:space="preserve"> </w:t>
      </w:r>
      <w:proofErr w:type="spellStart"/>
      <w:r w:rsidR="00E80FF6" w:rsidRPr="00230449">
        <w:rPr>
          <w:rFonts w:ascii="Arial" w:hAnsi="Arial" w:cs="Arial"/>
          <w:i/>
        </w:rPr>
        <w:t>fati</w:t>
      </w:r>
      <w:proofErr w:type="spellEnd"/>
      <w:r w:rsidR="00E80FF6" w:rsidRPr="00230449">
        <w:rPr>
          <w:rFonts w:ascii="Arial" w:hAnsi="Arial" w:cs="Arial"/>
          <w:i/>
        </w:rPr>
        <w:t xml:space="preserve"> </w:t>
      </w:r>
      <w:r w:rsidR="00E80FF6" w:rsidRPr="00230449">
        <w:rPr>
          <w:rFonts w:ascii="Arial" w:hAnsi="Arial" w:cs="Arial"/>
        </w:rPr>
        <w:t>(a love of one’s fate)</w:t>
      </w:r>
      <w:r w:rsidR="00AB1D01" w:rsidRPr="00230449">
        <w:rPr>
          <w:rFonts w:ascii="Arial" w:hAnsi="Arial" w:cs="Arial"/>
        </w:rPr>
        <w:t>;</w:t>
      </w:r>
      <w:r w:rsidR="004B7148" w:rsidRPr="00230449">
        <w:rPr>
          <w:rStyle w:val="FootnoteReference"/>
          <w:rFonts w:ascii="Arial" w:hAnsi="Arial"/>
        </w:rPr>
        <w:footnoteReference w:id="2"/>
      </w:r>
      <w:r w:rsidR="00E80FF6" w:rsidRPr="00230449">
        <w:rPr>
          <w:rFonts w:ascii="Arial" w:hAnsi="Arial" w:cs="Arial"/>
        </w:rPr>
        <w:t xml:space="preserve"> and </w:t>
      </w:r>
      <w:r w:rsidR="006C6541" w:rsidRPr="00230449">
        <w:rPr>
          <w:rFonts w:ascii="Arial" w:hAnsi="Arial" w:cs="Arial"/>
        </w:rPr>
        <w:t>“self-overcoming”</w:t>
      </w:r>
      <w:r w:rsidR="007E59E3" w:rsidRPr="00230449">
        <w:rPr>
          <w:rFonts w:ascii="Arial" w:hAnsi="Arial" w:cs="Arial"/>
        </w:rPr>
        <w:t xml:space="preserve"> in the context of an </w:t>
      </w:r>
      <w:proofErr w:type="spellStart"/>
      <w:r w:rsidR="007E59E3" w:rsidRPr="00230449">
        <w:rPr>
          <w:rFonts w:ascii="Arial" w:hAnsi="Arial" w:cs="Arial"/>
        </w:rPr>
        <w:t>Übermensch</w:t>
      </w:r>
      <w:proofErr w:type="spellEnd"/>
      <w:r w:rsidR="00AB1D01" w:rsidRPr="00230449">
        <w:rPr>
          <w:rFonts w:ascii="Arial" w:hAnsi="Arial" w:cs="Arial"/>
        </w:rPr>
        <w:t xml:space="preserve"> (superman of strength and passion</w:t>
      </w:r>
      <w:r w:rsidR="004B7148" w:rsidRPr="00230449">
        <w:rPr>
          <w:rFonts w:ascii="Arial" w:hAnsi="Arial" w:cs="Arial"/>
        </w:rPr>
        <w:t>)</w:t>
      </w:r>
      <w:r w:rsidR="004B7148" w:rsidRPr="00230449">
        <w:rPr>
          <w:rStyle w:val="FootnoteReference"/>
          <w:rFonts w:ascii="Arial" w:hAnsi="Arial"/>
        </w:rPr>
        <w:footnoteReference w:id="3"/>
      </w:r>
      <w:r w:rsidR="004B7148" w:rsidRPr="00230449">
        <w:rPr>
          <w:rFonts w:ascii="Arial" w:hAnsi="Arial" w:cs="Arial"/>
        </w:rPr>
        <w:t xml:space="preserve"> </w:t>
      </w:r>
      <w:r w:rsidR="006C6541" w:rsidRPr="00230449">
        <w:rPr>
          <w:rFonts w:ascii="Arial" w:hAnsi="Arial" w:cs="Arial"/>
        </w:rPr>
        <w:t>by admitting to envy, rejec</w:t>
      </w:r>
      <w:r w:rsidR="002464FF" w:rsidRPr="00230449">
        <w:rPr>
          <w:rFonts w:ascii="Arial" w:hAnsi="Arial" w:cs="Arial"/>
        </w:rPr>
        <w:t>ting Christianity</w:t>
      </w:r>
      <w:r w:rsidR="006C6541" w:rsidRPr="00230449">
        <w:rPr>
          <w:rFonts w:ascii="Arial" w:hAnsi="Arial" w:cs="Arial"/>
        </w:rPr>
        <w:t xml:space="preserve">, engaging in abstinence, </w:t>
      </w:r>
      <w:r w:rsidR="00505289" w:rsidRPr="00230449">
        <w:rPr>
          <w:rFonts w:ascii="Arial" w:hAnsi="Arial" w:cs="Arial"/>
        </w:rPr>
        <w:t xml:space="preserve">and </w:t>
      </w:r>
      <w:r w:rsidR="006C6541" w:rsidRPr="00230449">
        <w:rPr>
          <w:rFonts w:ascii="Arial" w:hAnsi="Arial" w:cs="Arial"/>
        </w:rPr>
        <w:t>acknowledging the end of faith.</w:t>
      </w:r>
      <w:r w:rsidR="00DD40D1" w:rsidRPr="00230449">
        <w:rPr>
          <w:rStyle w:val="FootnoteReference"/>
          <w:rFonts w:ascii="Arial" w:hAnsi="Arial"/>
        </w:rPr>
        <w:footnoteReference w:id="4"/>
      </w:r>
      <w:r w:rsidR="006C6541" w:rsidRPr="00230449">
        <w:rPr>
          <w:rFonts w:ascii="Arial" w:hAnsi="Arial" w:cs="Arial"/>
        </w:rPr>
        <w:t xml:space="preserve"> </w:t>
      </w:r>
    </w:p>
    <w:p w:rsidR="006C6541" w:rsidRPr="00230449" w:rsidRDefault="006C6541" w:rsidP="008B1208">
      <w:pPr>
        <w:spacing w:line="360" w:lineRule="auto"/>
        <w:jc w:val="both"/>
        <w:rPr>
          <w:rFonts w:ascii="Arial" w:hAnsi="Arial" w:cs="Arial"/>
        </w:rPr>
      </w:pPr>
    </w:p>
    <w:p w:rsidR="006C6541" w:rsidRPr="00230449" w:rsidRDefault="009A3885" w:rsidP="008B1208">
      <w:pPr>
        <w:spacing w:line="360" w:lineRule="auto"/>
        <w:jc w:val="both"/>
        <w:rPr>
          <w:rFonts w:ascii="Arial" w:hAnsi="Arial" w:cs="Arial"/>
        </w:rPr>
      </w:pPr>
      <w:r w:rsidRPr="00230449">
        <w:rPr>
          <w:rFonts w:ascii="Arial" w:hAnsi="Arial" w:cs="Arial"/>
        </w:rPr>
        <w:t>Nietzsche was b</w:t>
      </w:r>
      <w:r w:rsidR="00F2050B" w:rsidRPr="00230449">
        <w:rPr>
          <w:rFonts w:ascii="Arial" w:hAnsi="Arial" w:cs="Arial"/>
        </w:rPr>
        <w:t>orn o</w:t>
      </w:r>
      <w:r w:rsidR="006C6541" w:rsidRPr="00230449">
        <w:rPr>
          <w:rFonts w:ascii="Arial" w:hAnsi="Arial" w:cs="Arial"/>
        </w:rPr>
        <w:t>n</w:t>
      </w:r>
      <w:r w:rsidR="00CC12DB" w:rsidRPr="00230449">
        <w:rPr>
          <w:rFonts w:ascii="Arial" w:hAnsi="Arial" w:cs="Arial"/>
        </w:rPr>
        <w:t xml:space="preserve"> the 15</w:t>
      </w:r>
      <w:r w:rsidR="00CC12DB" w:rsidRPr="00230449">
        <w:rPr>
          <w:rFonts w:ascii="Arial" w:hAnsi="Arial" w:cs="Arial"/>
          <w:vertAlign w:val="superscript"/>
        </w:rPr>
        <w:t>th</w:t>
      </w:r>
      <w:r w:rsidR="00CC12DB" w:rsidRPr="00230449">
        <w:rPr>
          <w:rFonts w:ascii="Arial" w:hAnsi="Arial" w:cs="Arial"/>
        </w:rPr>
        <w:t xml:space="preserve"> October</w:t>
      </w:r>
      <w:r w:rsidR="006C6541" w:rsidRPr="00230449">
        <w:rPr>
          <w:rFonts w:ascii="Arial" w:hAnsi="Arial" w:cs="Arial"/>
        </w:rPr>
        <w:t xml:space="preserve"> 1844</w:t>
      </w:r>
      <w:r w:rsidR="00A078D1" w:rsidRPr="00230449">
        <w:rPr>
          <w:rFonts w:ascii="Arial" w:hAnsi="Arial" w:cs="Arial"/>
        </w:rPr>
        <w:t xml:space="preserve"> in </w:t>
      </w:r>
      <w:proofErr w:type="spellStart"/>
      <w:r w:rsidR="00A078D1" w:rsidRPr="00230449">
        <w:rPr>
          <w:rFonts w:ascii="Arial" w:hAnsi="Arial" w:cs="Arial"/>
        </w:rPr>
        <w:t>Rocken</w:t>
      </w:r>
      <w:proofErr w:type="spellEnd"/>
      <w:r w:rsidR="00A078D1" w:rsidRPr="00230449">
        <w:rPr>
          <w:rFonts w:ascii="Arial" w:hAnsi="Arial" w:cs="Arial"/>
        </w:rPr>
        <w:t>, near Leipzig</w:t>
      </w:r>
      <w:r w:rsidR="006F18DC" w:rsidRPr="00230449">
        <w:rPr>
          <w:rFonts w:ascii="Arial" w:hAnsi="Arial" w:cs="Arial"/>
        </w:rPr>
        <w:t xml:space="preserve">, </w:t>
      </w:r>
      <w:r w:rsidR="00CC12DB" w:rsidRPr="00230449">
        <w:rPr>
          <w:rFonts w:ascii="Arial" w:hAnsi="Arial" w:cs="Arial"/>
        </w:rPr>
        <w:t>in the Prussian province of S</w:t>
      </w:r>
      <w:r w:rsidR="00A078D1" w:rsidRPr="00230449">
        <w:rPr>
          <w:rFonts w:ascii="Arial" w:hAnsi="Arial" w:cs="Arial"/>
        </w:rPr>
        <w:t>axony</w:t>
      </w:r>
      <w:r w:rsidR="006C6541" w:rsidRPr="00230449">
        <w:rPr>
          <w:rFonts w:ascii="Arial" w:hAnsi="Arial" w:cs="Arial"/>
        </w:rPr>
        <w:t xml:space="preserve"> to </w:t>
      </w:r>
      <w:r w:rsidRPr="00230449">
        <w:rPr>
          <w:rFonts w:ascii="Arial" w:hAnsi="Arial" w:cs="Arial"/>
        </w:rPr>
        <w:t xml:space="preserve">his </w:t>
      </w:r>
      <w:r w:rsidR="006C6541" w:rsidRPr="00230449">
        <w:rPr>
          <w:rFonts w:ascii="Arial" w:hAnsi="Arial" w:cs="Arial"/>
        </w:rPr>
        <w:t>father</w:t>
      </w:r>
      <w:r w:rsidR="00A078D1" w:rsidRPr="00230449">
        <w:rPr>
          <w:rFonts w:ascii="Arial" w:hAnsi="Arial" w:cs="Arial"/>
        </w:rPr>
        <w:t xml:space="preserve"> Carl Ludwig Nietzsche</w:t>
      </w:r>
      <w:r w:rsidRPr="00230449">
        <w:rPr>
          <w:rFonts w:ascii="Arial" w:hAnsi="Arial" w:cs="Arial"/>
        </w:rPr>
        <w:t xml:space="preserve">, </w:t>
      </w:r>
      <w:r w:rsidR="00DD40D1" w:rsidRPr="00230449">
        <w:rPr>
          <w:rFonts w:ascii="Arial" w:hAnsi="Arial" w:cs="Arial"/>
        </w:rPr>
        <w:t>a Lutheran pastor</w:t>
      </w:r>
      <w:r w:rsidRPr="00230449">
        <w:rPr>
          <w:rFonts w:ascii="Arial" w:hAnsi="Arial" w:cs="Arial"/>
        </w:rPr>
        <w:t xml:space="preserve">, and </w:t>
      </w:r>
      <w:r w:rsidR="00A078D1" w:rsidRPr="00230449">
        <w:rPr>
          <w:rFonts w:ascii="Arial" w:hAnsi="Arial" w:cs="Arial"/>
        </w:rPr>
        <w:t xml:space="preserve">his </w:t>
      </w:r>
      <w:r w:rsidRPr="00230449">
        <w:rPr>
          <w:rFonts w:ascii="Arial" w:hAnsi="Arial" w:cs="Arial"/>
        </w:rPr>
        <w:t>mother</w:t>
      </w:r>
      <w:r w:rsidR="00DD40D1" w:rsidRPr="00230449">
        <w:rPr>
          <w:rFonts w:ascii="Arial" w:hAnsi="Arial" w:cs="Arial"/>
        </w:rPr>
        <w:t>, Franziska,</w:t>
      </w:r>
      <w:r w:rsidR="00A078D1" w:rsidRPr="00230449">
        <w:rPr>
          <w:rFonts w:ascii="Arial" w:hAnsi="Arial" w:cs="Arial"/>
        </w:rPr>
        <w:t xml:space="preserve"> who was also the offspring of a priest, David Ernst </w:t>
      </w:r>
      <w:proofErr w:type="spellStart"/>
      <w:r w:rsidR="00A078D1" w:rsidRPr="00230449">
        <w:rPr>
          <w:rFonts w:ascii="Arial" w:hAnsi="Arial" w:cs="Arial"/>
        </w:rPr>
        <w:t>Oehler</w:t>
      </w:r>
      <w:proofErr w:type="spellEnd"/>
      <w:r w:rsidR="00DD40D1" w:rsidRPr="00230449">
        <w:rPr>
          <w:rFonts w:ascii="Arial" w:hAnsi="Arial" w:cs="Arial"/>
        </w:rPr>
        <w:t>. Franziska</w:t>
      </w:r>
      <w:r w:rsidRPr="00230449">
        <w:rPr>
          <w:rFonts w:ascii="Arial" w:hAnsi="Arial" w:cs="Arial"/>
        </w:rPr>
        <w:t xml:space="preserve"> lived in </w:t>
      </w:r>
      <w:proofErr w:type="spellStart"/>
      <w:r w:rsidRPr="00230449">
        <w:rPr>
          <w:rFonts w:ascii="Arial" w:hAnsi="Arial" w:cs="Arial"/>
        </w:rPr>
        <w:t>Na</w:t>
      </w:r>
      <w:r w:rsidR="00E64974" w:rsidRPr="00230449">
        <w:rPr>
          <w:rFonts w:ascii="Arial" w:hAnsi="Arial" w:cs="Arial"/>
        </w:rPr>
        <w:t>u</w:t>
      </w:r>
      <w:r w:rsidR="00D46343" w:rsidRPr="00230449">
        <w:rPr>
          <w:rFonts w:ascii="Arial" w:hAnsi="Arial" w:cs="Arial"/>
        </w:rPr>
        <w:t>mburg</w:t>
      </w:r>
      <w:proofErr w:type="spellEnd"/>
      <w:r w:rsidR="00D46343" w:rsidRPr="00230449">
        <w:rPr>
          <w:rFonts w:ascii="Arial" w:hAnsi="Arial" w:cs="Arial"/>
        </w:rPr>
        <w:t xml:space="preserve"> with Nietzsche’s</w:t>
      </w:r>
      <w:r w:rsidRPr="00230449">
        <w:rPr>
          <w:rFonts w:ascii="Arial" w:hAnsi="Arial" w:cs="Arial"/>
        </w:rPr>
        <w:t xml:space="preserve"> younger sister</w:t>
      </w:r>
      <w:r w:rsidR="00DD40D1" w:rsidRPr="00230449">
        <w:rPr>
          <w:rFonts w:ascii="Arial" w:hAnsi="Arial" w:cs="Arial"/>
        </w:rPr>
        <w:t>, Elizabeth</w:t>
      </w:r>
      <w:r w:rsidRPr="00230449">
        <w:rPr>
          <w:rFonts w:ascii="Arial" w:hAnsi="Arial" w:cs="Arial"/>
        </w:rPr>
        <w:t>.</w:t>
      </w:r>
      <w:r w:rsidR="00D46343" w:rsidRPr="00230449">
        <w:rPr>
          <w:rFonts w:ascii="Arial" w:hAnsi="Arial" w:cs="Arial"/>
        </w:rPr>
        <w:t xml:space="preserve"> A younger brother died at the age of two</w:t>
      </w:r>
      <w:r w:rsidR="00CC12DB" w:rsidRPr="00230449">
        <w:rPr>
          <w:rFonts w:ascii="Arial" w:hAnsi="Arial" w:cs="Arial"/>
        </w:rPr>
        <w:t xml:space="preserve"> in 1850</w:t>
      </w:r>
      <w:r w:rsidR="00D46343" w:rsidRPr="00230449">
        <w:rPr>
          <w:rFonts w:ascii="Arial" w:hAnsi="Arial" w:cs="Arial"/>
        </w:rPr>
        <w:t>.</w:t>
      </w:r>
      <w:r w:rsidR="00E514A2" w:rsidRPr="00230449">
        <w:rPr>
          <w:rFonts w:ascii="Arial" w:hAnsi="Arial" w:cs="Arial"/>
        </w:rPr>
        <w:t xml:space="preserve"> Nietzsche’s</w:t>
      </w:r>
      <w:r w:rsidR="00CC12DB" w:rsidRPr="00230449">
        <w:rPr>
          <w:rFonts w:ascii="Arial" w:hAnsi="Arial" w:cs="Arial"/>
        </w:rPr>
        <w:t xml:space="preserve"> father had died the year before of a “softening of the brain.”</w:t>
      </w:r>
      <w:r w:rsidR="00CC12DB" w:rsidRPr="00230449">
        <w:rPr>
          <w:rStyle w:val="FootnoteReference"/>
          <w:rFonts w:ascii="Arial" w:hAnsi="Arial"/>
        </w:rPr>
        <w:footnoteReference w:id="5"/>
      </w:r>
      <w:r w:rsidR="006C6541" w:rsidRPr="00230449">
        <w:rPr>
          <w:rFonts w:ascii="Arial" w:hAnsi="Arial" w:cs="Arial"/>
        </w:rPr>
        <w:t xml:space="preserve"> Nietzsche was a prodigy who</w:t>
      </w:r>
      <w:r w:rsidRPr="00230449">
        <w:rPr>
          <w:rFonts w:ascii="Arial" w:hAnsi="Arial" w:cs="Arial"/>
        </w:rPr>
        <w:t xml:space="preserve"> after</w:t>
      </w:r>
      <w:r w:rsidR="00A078D1" w:rsidRPr="00230449">
        <w:rPr>
          <w:rFonts w:ascii="Arial" w:hAnsi="Arial" w:cs="Arial"/>
        </w:rPr>
        <w:t xml:space="preserve"> studying at the Universities</w:t>
      </w:r>
      <w:r w:rsidRPr="00230449">
        <w:rPr>
          <w:rFonts w:ascii="Arial" w:hAnsi="Arial" w:cs="Arial"/>
        </w:rPr>
        <w:t xml:space="preserve"> of Leipzig</w:t>
      </w:r>
      <w:r w:rsidR="00A078D1" w:rsidRPr="00230449">
        <w:rPr>
          <w:rFonts w:ascii="Arial" w:hAnsi="Arial" w:cs="Arial"/>
        </w:rPr>
        <w:t xml:space="preserve"> and Bonn</w:t>
      </w:r>
      <w:r w:rsidRPr="00230449">
        <w:rPr>
          <w:rFonts w:ascii="Arial" w:hAnsi="Arial" w:cs="Arial"/>
        </w:rPr>
        <w:t xml:space="preserve"> took up the chair of classical philology at the University of Base</w:t>
      </w:r>
      <w:r w:rsidR="005929F5" w:rsidRPr="00230449">
        <w:rPr>
          <w:rFonts w:ascii="Arial" w:hAnsi="Arial" w:cs="Arial"/>
        </w:rPr>
        <w:t>l in</w:t>
      </w:r>
      <w:r w:rsidR="00D46343" w:rsidRPr="00230449">
        <w:rPr>
          <w:rFonts w:ascii="Arial" w:hAnsi="Arial" w:cs="Arial"/>
        </w:rPr>
        <w:t xml:space="preserve"> </w:t>
      </w:r>
      <w:r w:rsidR="005929F5" w:rsidRPr="00230449">
        <w:rPr>
          <w:rFonts w:ascii="Arial" w:hAnsi="Arial" w:cs="Arial"/>
        </w:rPr>
        <w:t>1869</w:t>
      </w:r>
      <w:r w:rsidRPr="00230449">
        <w:rPr>
          <w:rFonts w:ascii="Arial" w:hAnsi="Arial" w:cs="Arial"/>
        </w:rPr>
        <w:t xml:space="preserve"> </w:t>
      </w:r>
      <w:r w:rsidR="00E514A2" w:rsidRPr="00230449">
        <w:rPr>
          <w:rFonts w:ascii="Arial" w:hAnsi="Arial" w:cs="Arial"/>
        </w:rPr>
        <w:t xml:space="preserve">at the </w:t>
      </w:r>
      <w:r w:rsidR="00E21A29" w:rsidRPr="00230449">
        <w:rPr>
          <w:rFonts w:ascii="Arial" w:hAnsi="Arial" w:cs="Arial"/>
        </w:rPr>
        <w:t>age of</w:t>
      </w:r>
      <w:r w:rsidRPr="00230449">
        <w:rPr>
          <w:rFonts w:ascii="Arial" w:hAnsi="Arial" w:cs="Arial"/>
        </w:rPr>
        <w:t xml:space="preserve"> twenty-four</w:t>
      </w:r>
      <w:r w:rsidR="006C6541" w:rsidRPr="00230449">
        <w:rPr>
          <w:rFonts w:ascii="Arial" w:hAnsi="Arial" w:cs="Arial"/>
        </w:rPr>
        <w:t>.</w:t>
      </w:r>
      <w:r w:rsidR="00B92A5B" w:rsidRPr="00230449">
        <w:rPr>
          <w:rStyle w:val="FootnoteReference"/>
          <w:rFonts w:ascii="Arial" w:hAnsi="Arial"/>
        </w:rPr>
        <w:footnoteReference w:id="6"/>
      </w:r>
      <w:r w:rsidR="00E21A29" w:rsidRPr="00230449">
        <w:rPr>
          <w:rFonts w:ascii="Arial" w:hAnsi="Arial" w:cs="Arial"/>
        </w:rPr>
        <w:t xml:space="preserve"> He had </w:t>
      </w:r>
      <w:r w:rsidR="00263952" w:rsidRPr="00230449">
        <w:rPr>
          <w:rFonts w:ascii="Arial" w:hAnsi="Arial" w:cs="Arial"/>
        </w:rPr>
        <w:t>not yet completed his doctorate;</w:t>
      </w:r>
      <w:r w:rsidR="00E21A29" w:rsidRPr="00230449">
        <w:rPr>
          <w:rFonts w:ascii="Arial" w:hAnsi="Arial" w:cs="Arial"/>
        </w:rPr>
        <w:t xml:space="preserve"> </w:t>
      </w:r>
      <w:r w:rsidR="00263952" w:rsidRPr="00230449">
        <w:rPr>
          <w:rFonts w:ascii="Arial" w:hAnsi="Arial" w:cs="Arial"/>
        </w:rPr>
        <w:t>o</w:t>
      </w:r>
      <w:r w:rsidR="00E514A2" w:rsidRPr="00230449">
        <w:rPr>
          <w:rFonts w:ascii="Arial" w:hAnsi="Arial" w:cs="Arial"/>
        </w:rPr>
        <w:t>ne was awarded</w:t>
      </w:r>
      <w:r w:rsidR="008365A5" w:rsidRPr="00230449">
        <w:rPr>
          <w:rFonts w:ascii="Arial" w:hAnsi="Arial" w:cs="Arial"/>
        </w:rPr>
        <w:t xml:space="preserve"> </w:t>
      </w:r>
      <w:r w:rsidR="00AB6DD3" w:rsidRPr="00230449">
        <w:rPr>
          <w:rFonts w:ascii="Arial" w:hAnsi="Arial" w:cs="Arial"/>
        </w:rPr>
        <w:t xml:space="preserve">shortly after </w:t>
      </w:r>
      <w:r w:rsidR="00E21A29" w:rsidRPr="00230449">
        <w:rPr>
          <w:rFonts w:ascii="Arial" w:hAnsi="Arial" w:cs="Arial"/>
        </w:rPr>
        <w:t>his appointment</w:t>
      </w:r>
      <w:r w:rsidR="008365A5" w:rsidRPr="00230449">
        <w:rPr>
          <w:rFonts w:ascii="Arial" w:hAnsi="Arial" w:cs="Arial"/>
        </w:rPr>
        <w:t xml:space="preserve"> based on published work</w:t>
      </w:r>
      <w:r w:rsidR="00E21A29" w:rsidRPr="00230449">
        <w:rPr>
          <w:rFonts w:ascii="Arial" w:hAnsi="Arial" w:cs="Arial"/>
        </w:rPr>
        <w:t>.</w:t>
      </w:r>
      <w:r w:rsidR="006C6541" w:rsidRPr="00230449">
        <w:rPr>
          <w:rFonts w:ascii="Arial" w:hAnsi="Arial" w:cs="Arial"/>
        </w:rPr>
        <w:t xml:space="preserve"> </w:t>
      </w:r>
      <w:r w:rsidR="00B9330E" w:rsidRPr="00230449">
        <w:rPr>
          <w:rFonts w:ascii="Arial" w:hAnsi="Arial" w:cs="Arial"/>
        </w:rPr>
        <w:t xml:space="preserve">He resigned the chair </w:t>
      </w:r>
      <w:r w:rsidR="00AB6DD3" w:rsidRPr="00230449">
        <w:rPr>
          <w:rFonts w:ascii="Arial" w:hAnsi="Arial" w:cs="Arial"/>
        </w:rPr>
        <w:t>in 1879</w:t>
      </w:r>
      <w:r w:rsidR="00D46343" w:rsidRPr="00230449">
        <w:rPr>
          <w:rFonts w:ascii="Arial" w:hAnsi="Arial" w:cs="Arial"/>
        </w:rPr>
        <w:t xml:space="preserve"> </w:t>
      </w:r>
      <w:r w:rsidR="00B9330E" w:rsidRPr="00230449">
        <w:rPr>
          <w:rFonts w:ascii="Arial" w:hAnsi="Arial" w:cs="Arial"/>
        </w:rPr>
        <w:t>when he was thirty-five</w:t>
      </w:r>
      <w:r w:rsidR="00AB6DD3" w:rsidRPr="00230449">
        <w:rPr>
          <w:rFonts w:ascii="Arial" w:hAnsi="Arial" w:cs="Arial"/>
        </w:rPr>
        <w:t xml:space="preserve"> years old</w:t>
      </w:r>
      <w:r w:rsidR="00B9330E" w:rsidRPr="00230449">
        <w:rPr>
          <w:rFonts w:ascii="Arial" w:hAnsi="Arial" w:cs="Arial"/>
        </w:rPr>
        <w:t xml:space="preserve">. </w:t>
      </w:r>
      <w:r w:rsidR="00E21A29" w:rsidRPr="00230449">
        <w:rPr>
          <w:rFonts w:ascii="Arial" w:hAnsi="Arial" w:cs="Arial"/>
        </w:rPr>
        <w:t>Suffering from ill health and d</w:t>
      </w:r>
      <w:r w:rsidR="00B462E8" w:rsidRPr="00230449">
        <w:rPr>
          <w:rFonts w:ascii="Arial" w:hAnsi="Arial" w:cs="Arial"/>
        </w:rPr>
        <w:t xml:space="preserve">issatisfied with academia he </w:t>
      </w:r>
      <w:r w:rsidR="00AB6DD3" w:rsidRPr="00230449">
        <w:rPr>
          <w:rFonts w:ascii="Arial" w:hAnsi="Arial" w:cs="Arial"/>
        </w:rPr>
        <w:t>became a private writer</w:t>
      </w:r>
      <w:r w:rsidR="004F7151" w:rsidRPr="00230449">
        <w:rPr>
          <w:rFonts w:ascii="Arial" w:hAnsi="Arial" w:cs="Arial"/>
        </w:rPr>
        <w:t>. He</w:t>
      </w:r>
      <w:r w:rsidR="00AB6DD3" w:rsidRPr="00230449">
        <w:rPr>
          <w:rFonts w:ascii="Arial" w:hAnsi="Arial" w:cs="Arial"/>
        </w:rPr>
        <w:t xml:space="preserve"> </w:t>
      </w:r>
      <w:r w:rsidR="004F7151" w:rsidRPr="00230449">
        <w:rPr>
          <w:rFonts w:ascii="Arial" w:hAnsi="Arial" w:cs="Arial"/>
        </w:rPr>
        <w:t xml:space="preserve">spent the majority of his time in </w:t>
      </w:r>
      <w:proofErr w:type="spellStart"/>
      <w:r w:rsidR="001546A3" w:rsidRPr="00230449">
        <w:rPr>
          <w:rFonts w:ascii="Arial" w:hAnsi="Arial" w:cs="Arial"/>
        </w:rPr>
        <w:t>Sils</w:t>
      </w:r>
      <w:proofErr w:type="spellEnd"/>
      <w:r w:rsidR="001546A3" w:rsidRPr="00230449">
        <w:rPr>
          <w:rFonts w:ascii="Arial" w:hAnsi="Arial" w:cs="Arial"/>
        </w:rPr>
        <w:t xml:space="preserve">-Maria in the </w:t>
      </w:r>
      <w:proofErr w:type="spellStart"/>
      <w:r w:rsidR="001546A3" w:rsidRPr="00230449">
        <w:rPr>
          <w:rFonts w:ascii="Arial" w:hAnsi="Arial" w:cs="Arial"/>
        </w:rPr>
        <w:t>Engadine</w:t>
      </w:r>
      <w:proofErr w:type="spellEnd"/>
      <w:r w:rsidR="001546A3" w:rsidRPr="00230449">
        <w:rPr>
          <w:rFonts w:ascii="Arial" w:hAnsi="Arial" w:cs="Arial"/>
        </w:rPr>
        <w:t xml:space="preserve"> region of </w:t>
      </w:r>
      <w:r w:rsidR="00B462E8" w:rsidRPr="00230449">
        <w:rPr>
          <w:rFonts w:ascii="Arial" w:hAnsi="Arial" w:cs="Arial"/>
        </w:rPr>
        <w:t>Switzerland</w:t>
      </w:r>
      <w:r w:rsidR="00D46343" w:rsidRPr="00230449">
        <w:rPr>
          <w:rFonts w:ascii="Arial" w:hAnsi="Arial" w:cs="Arial"/>
        </w:rPr>
        <w:t>. He</w:t>
      </w:r>
      <w:r w:rsidR="008C127A" w:rsidRPr="00230449">
        <w:rPr>
          <w:rFonts w:ascii="Arial" w:hAnsi="Arial" w:cs="Arial"/>
        </w:rPr>
        <w:t xml:space="preserve"> renounced his Prussian citizenship and attempted to take </w:t>
      </w:r>
      <w:r w:rsidR="00D46343" w:rsidRPr="00230449">
        <w:rPr>
          <w:rFonts w:ascii="Arial" w:hAnsi="Arial" w:cs="Arial"/>
        </w:rPr>
        <w:t>Swiss</w:t>
      </w:r>
      <w:r w:rsidR="00EF42B3" w:rsidRPr="00230449">
        <w:rPr>
          <w:rFonts w:ascii="Arial" w:hAnsi="Arial" w:cs="Arial"/>
        </w:rPr>
        <w:t xml:space="preserve"> citizenship in April 1869</w:t>
      </w:r>
      <w:r w:rsidR="00B462E8" w:rsidRPr="00230449">
        <w:rPr>
          <w:rFonts w:ascii="Arial" w:hAnsi="Arial" w:cs="Arial"/>
        </w:rPr>
        <w:t>.</w:t>
      </w:r>
      <w:r w:rsidR="00523329" w:rsidRPr="00230449">
        <w:rPr>
          <w:rFonts w:ascii="Arial" w:hAnsi="Arial" w:cs="Arial"/>
        </w:rPr>
        <w:t xml:space="preserve"> Having not met the formal requirements for Swiss citizenship he remained stateless for the rest of his life.</w:t>
      </w:r>
      <w:r w:rsidR="00B462E8" w:rsidRPr="00230449">
        <w:rPr>
          <w:rFonts w:ascii="Arial" w:hAnsi="Arial" w:cs="Arial"/>
        </w:rPr>
        <w:t xml:space="preserve"> </w:t>
      </w:r>
      <w:r w:rsidR="006C6541" w:rsidRPr="00230449">
        <w:rPr>
          <w:rFonts w:ascii="Arial" w:hAnsi="Arial" w:cs="Arial"/>
        </w:rPr>
        <w:t xml:space="preserve">He died in 1900 following a </w:t>
      </w:r>
      <w:r w:rsidR="005929F5" w:rsidRPr="00230449">
        <w:rPr>
          <w:rFonts w:ascii="Arial" w:hAnsi="Arial" w:cs="Arial"/>
        </w:rPr>
        <w:t xml:space="preserve">complete mental breakdown in 1889 when </w:t>
      </w:r>
      <w:r w:rsidR="005929F5" w:rsidRPr="00230449">
        <w:rPr>
          <w:rFonts w:ascii="Arial" w:hAnsi="Arial" w:cs="Arial"/>
        </w:rPr>
        <w:lastRenderedPageBreak/>
        <w:t>he was aged forty-four</w:t>
      </w:r>
      <w:r w:rsidR="006C6541" w:rsidRPr="00230449">
        <w:rPr>
          <w:rFonts w:ascii="Arial" w:hAnsi="Arial" w:cs="Arial"/>
        </w:rPr>
        <w:t>.</w:t>
      </w:r>
      <w:r w:rsidR="00056B28" w:rsidRPr="00230449">
        <w:rPr>
          <w:rStyle w:val="FootnoteReference"/>
          <w:rFonts w:ascii="Arial" w:hAnsi="Arial"/>
        </w:rPr>
        <w:footnoteReference w:id="7"/>
      </w:r>
      <w:r w:rsidR="006C6541" w:rsidRPr="00230449">
        <w:rPr>
          <w:rFonts w:ascii="Arial" w:hAnsi="Arial" w:cs="Arial"/>
        </w:rPr>
        <w:t xml:space="preserve"> </w:t>
      </w:r>
      <w:r w:rsidR="00D73B41" w:rsidRPr="00230449">
        <w:rPr>
          <w:rFonts w:ascii="Arial" w:hAnsi="Arial" w:cs="Arial"/>
        </w:rPr>
        <w:t>At least one commentator has attributed this mental collapse to the adolescent contraction of syphilis during an unplanned visit to a Cologne brothel in 1865.</w:t>
      </w:r>
      <w:r w:rsidR="00D73B41" w:rsidRPr="00230449">
        <w:rPr>
          <w:rStyle w:val="FootnoteReference"/>
          <w:rFonts w:ascii="Arial" w:hAnsi="Arial"/>
        </w:rPr>
        <w:footnoteReference w:id="8"/>
      </w:r>
      <w:r w:rsidR="00D73B41" w:rsidRPr="00230449">
        <w:rPr>
          <w:rFonts w:ascii="Arial" w:hAnsi="Arial" w:cs="Arial"/>
        </w:rPr>
        <w:t xml:space="preserve"> </w:t>
      </w:r>
    </w:p>
    <w:p w:rsidR="006C6541" w:rsidRPr="00230449" w:rsidRDefault="006C6541" w:rsidP="008B1208">
      <w:pPr>
        <w:spacing w:line="360" w:lineRule="auto"/>
        <w:jc w:val="both"/>
        <w:rPr>
          <w:rFonts w:ascii="Arial" w:hAnsi="Arial" w:cs="Arial"/>
        </w:rPr>
      </w:pPr>
    </w:p>
    <w:p w:rsidR="000279B4" w:rsidRPr="00230449" w:rsidRDefault="00732CA5" w:rsidP="008B1208">
      <w:pPr>
        <w:spacing w:line="360" w:lineRule="auto"/>
        <w:jc w:val="both"/>
        <w:rPr>
          <w:rFonts w:ascii="Arial" w:hAnsi="Arial" w:cs="Arial"/>
        </w:rPr>
      </w:pPr>
      <w:r w:rsidRPr="00230449">
        <w:rPr>
          <w:rFonts w:ascii="Arial" w:hAnsi="Arial" w:cs="Arial"/>
        </w:rPr>
        <w:t>Why is this late 19</w:t>
      </w:r>
      <w:r w:rsidRPr="00230449">
        <w:rPr>
          <w:rFonts w:ascii="Arial" w:hAnsi="Arial" w:cs="Arial"/>
          <w:vertAlign w:val="superscript"/>
        </w:rPr>
        <w:t>th</w:t>
      </w:r>
      <w:r w:rsidRPr="00230449">
        <w:rPr>
          <w:rFonts w:ascii="Arial" w:hAnsi="Arial" w:cs="Arial"/>
        </w:rPr>
        <w:t xml:space="preserve"> c</w:t>
      </w:r>
      <w:r w:rsidR="00586314" w:rsidRPr="00230449">
        <w:rPr>
          <w:rFonts w:ascii="Arial" w:hAnsi="Arial" w:cs="Arial"/>
        </w:rPr>
        <w:t>entury philosopher of relevance</w:t>
      </w:r>
      <w:r w:rsidRPr="00230449">
        <w:rPr>
          <w:rFonts w:ascii="Arial" w:hAnsi="Arial" w:cs="Arial"/>
        </w:rPr>
        <w:t xml:space="preserve"> to insolvency?</w:t>
      </w:r>
      <w:r w:rsidR="0082305D" w:rsidRPr="00230449">
        <w:rPr>
          <w:rStyle w:val="FootnoteReference"/>
          <w:rFonts w:ascii="Arial" w:hAnsi="Arial"/>
        </w:rPr>
        <w:footnoteReference w:id="9"/>
      </w:r>
      <w:r w:rsidRPr="00230449">
        <w:rPr>
          <w:rFonts w:ascii="Arial" w:hAnsi="Arial" w:cs="Arial"/>
        </w:rPr>
        <w:t xml:space="preserve"> </w:t>
      </w:r>
      <w:r w:rsidR="009A3885" w:rsidRPr="00230449">
        <w:rPr>
          <w:rFonts w:ascii="Arial" w:hAnsi="Arial" w:cs="Arial"/>
        </w:rPr>
        <w:t xml:space="preserve">Nietzsche </w:t>
      </w:r>
      <w:r w:rsidR="007E59E3" w:rsidRPr="00230449">
        <w:rPr>
          <w:rFonts w:ascii="Arial" w:hAnsi="Arial" w:cs="Arial"/>
        </w:rPr>
        <w:t xml:space="preserve">provides an </w:t>
      </w:r>
      <w:r w:rsidR="009A3885" w:rsidRPr="00230449">
        <w:rPr>
          <w:rFonts w:ascii="Arial" w:hAnsi="Arial" w:cs="Arial"/>
        </w:rPr>
        <w:t>excellent lens through which to examine insolvency matters</w:t>
      </w:r>
      <w:r w:rsidR="00D319AF" w:rsidRPr="00230449">
        <w:rPr>
          <w:rFonts w:ascii="Arial" w:hAnsi="Arial" w:cs="Arial"/>
        </w:rPr>
        <w:t>,</w:t>
      </w:r>
      <w:r w:rsidR="00CF22FA" w:rsidRPr="00230449">
        <w:rPr>
          <w:rStyle w:val="FootnoteReference"/>
          <w:rFonts w:ascii="Arial" w:hAnsi="Arial"/>
        </w:rPr>
        <w:footnoteReference w:id="10"/>
      </w:r>
      <w:r w:rsidR="00D319AF" w:rsidRPr="00230449">
        <w:rPr>
          <w:rFonts w:ascii="Arial" w:hAnsi="Arial" w:cs="Arial"/>
        </w:rPr>
        <w:t xml:space="preserve"> and in particular</w:t>
      </w:r>
      <w:r w:rsidR="00A221B4" w:rsidRPr="00230449">
        <w:rPr>
          <w:rFonts w:ascii="Arial" w:hAnsi="Arial" w:cs="Arial"/>
        </w:rPr>
        <w:t>,</w:t>
      </w:r>
      <w:r w:rsidR="00D319AF" w:rsidRPr="00230449">
        <w:rPr>
          <w:rFonts w:ascii="Arial" w:hAnsi="Arial" w:cs="Arial"/>
        </w:rPr>
        <w:t xml:space="preserve"> deep and recurrent themes in insolvency law</w:t>
      </w:r>
      <w:r w:rsidR="00C75EC4" w:rsidRPr="00230449">
        <w:rPr>
          <w:rFonts w:ascii="Arial" w:hAnsi="Arial" w:cs="Arial"/>
        </w:rPr>
        <w:t xml:space="preserve"> over lengthy time periods.</w:t>
      </w:r>
      <w:r w:rsidR="00C75EC4" w:rsidRPr="00230449">
        <w:rPr>
          <w:rStyle w:val="FootnoteReference"/>
          <w:rFonts w:ascii="Arial" w:hAnsi="Arial"/>
        </w:rPr>
        <w:footnoteReference w:id="11"/>
      </w:r>
      <w:r w:rsidR="00327647" w:rsidRPr="00230449">
        <w:rPr>
          <w:rFonts w:ascii="Arial" w:hAnsi="Arial" w:cs="Arial"/>
        </w:rPr>
        <w:t xml:space="preserve"> </w:t>
      </w:r>
      <w:r w:rsidR="006F18DC" w:rsidRPr="00230449">
        <w:rPr>
          <w:rFonts w:ascii="Arial" w:hAnsi="Arial" w:cs="Arial"/>
        </w:rPr>
        <w:t xml:space="preserve">He wrote on </w:t>
      </w:r>
      <w:r w:rsidR="00532DB5" w:rsidRPr="00230449">
        <w:rPr>
          <w:rFonts w:ascii="Arial" w:hAnsi="Arial" w:cs="Arial"/>
        </w:rPr>
        <w:t xml:space="preserve">Egyptian and </w:t>
      </w:r>
      <w:r w:rsidR="006F18DC" w:rsidRPr="00230449">
        <w:rPr>
          <w:rFonts w:ascii="Arial" w:hAnsi="Arial" w:cs="Arial"/>
        </w:rPr>
        <w:t>early Roman debt law</w:t>
      </w:r>
      <w:r w:rsidR="00E6071B" w:rsidRPr="00230449">
        <w:rPr>
          <w:rFonts w:ascii="Arial" w:hAnsi="Arial" w:cs="Arial"/>
        </w:rPr>
        <w:t xml:space="preserve"> and the idea of “bodily collateral”</w:t>
      </w:r>
      <w:r w:rsidR="006F18DC" w:rsidRPr="00230449">
        <w:rPr>
          <w:rStyle w:val="FootnoteReference"/>
          <w:rFonts w:ascii="Arial" w:hAnsi="Arial" w:cs="Arial"/>
        </w:rPr>
        <w:footnoteReference w:id="12"/>
      </w:r>
      <w:r w:rsidR="00E6071B" w:rsidRPr="00230449">
        <w:rPr>
          <w:rFonts w:ascii="Arial" w:hAnsi="Arial" w:cs="Arial"/>
        </w:rPr>
        <w:t xml:space="preserve"> in his 1887 book </w:t>
      </w:r>
      <w:r w:rsidR="00E6071B" w:rsidRPr="00230449">
        <w:rPr>
          <w:rFonts w:ascii="Arial" w:hAnsi="Arial" w:cs="Arial"/>
          <w:i/>
        </w:rPr>
        <w:t>On the Genealogy of Moral</w:t>
      </w:r>
      <w:r w:rsidR="00330E0D" w:rsidRPr="00230449">
        <w:rPr>
          <w:rFonts w:ascii="Arial" w:hAnsi="Arial" w:cs="Arial"/>
          <w:i/>
        </w:rPr>
        <w:t>ity</w:t>
      </w:r>
      <w:r w:rsidR="00E6071B" w:rsidRPr="00230449">
        <w:rPr>
          <w:rFonts w:ascii="Arial" w:hAnsi="Arial" w:cs="Arial"/>
        </w:rPr>
        <w:t>.</w:t>
      </w:r>
      <w:r w:rsidR="00E6071B" w:rsidRPr="00230449">
        <w:rPr>
          <w:rStyle w:val="FootnoteReference"/>
          <w:rFonts w:ascii="Arial" w:hAnsi="Arial"/>
        </w:rPr>
        <w:footnoteReference w:id="13"/>
      </w:r>
      <w:r w:rsidR="000D04BA" w:rsidRPr="00230449">
        <w:rPr>
          <w:rFonts w:ascii="Arial" w:hAnsi="Arial" w:cs="Arial"/>
        </w:rPr>
        <w:t xml:space="preserve"> </w:t>
      </w:r>
      <w:r w:rsidR="000279B4" w:rsidRPr="00230449">
        <w:rPr>
          <w:rFonts w:ascii="Arial" w:hAnsi="Arial" w:cs="Arial"/>
        </w:rPr>
        <w:t>This work involved a relatively close examination of the debtor and creditor relationship and its impact on early notions of guilt</w:t>
      </w:r>
      <w:r w:rsidR="00C863E6" w:rsidRPr="00230449">
        <w:rPr>
          <w:rFonts w:ascii="Arial" w:hAnsi="Arial" w:cs="Arial"/>
        </w:rPr>
        <w:t>. Nietzsche also suggests that the creditor and debtor relationship is the genesis for the idea that there is an equivalence between injury and pain.</w:t>
      </w:r>
      <w:r w:rsidR="000279B4" w:rsidRPr="00230449">
        <w:rPr>
          <w:rStyle w:val="FootnoteReference"/>
          <w:rFonts w:ascii="Arial" w:hAnsi="Arial"/>
        </w:rPr>
        <w:footnoteReference w:id="14"/>
      </w:r>
      <w:r w:rsidR="000279B4" w:rsidRPr="00230449">
        <w:rPr>
          <w:rFonts w:ascii="Arial" w:hAnsi="Arial" w:cs="Arial"/>
        </w:rPr>
        <w:t xml:space="preserve"> </w:t>
      </w:r>
    </w:p>
    <w:p w:rsidR="000279B4" w:rsidRPr="00230449" w:rsidRDefault="000279B4" w:rsidP="008B1208">
      <w:pPr>
        <w:spacing w:line="360" w:lineRule="auto"/>
        <w:jc w:val="both"/>
        <w:rPr>
          <w:rFonts w:ascii="Arial" w:hAnsi="Arial" w:cs="Arial"/>
        </w:rPr>
      </w:pPr>
    </w:p>
    <w:p w:rsidR="0032624C" w:rsidRPr="00230449" w:rsidRDefault="007E59E3" w:rsidP="008B1208">
      <w:pPr>
        <w:spacing w:line="360" w:lineRule="auto"/>
        <w:jc w:val="both"/>
        <w:rPr>
          <w:rFonts w:ascii="Arial" w:hAnsi="Arial" w:cs="Arial"/>
        </w:rPr>
      </w:pPr>
      <w:r w:rsidRPr="00230449">
        <w:rPr>
          <w:rFonts w:ascii="Arial" w:hAnsi="Arial" w:cs="Arial"/>
        </w:rPr>
        <w:t>H</w:t>
      </w:r>
      <w:r w:rsidR="006F18DC" w:rsidRPr="00230449">
        <w:rPr>
          <w:rFonts w:ascii="Arial" w:hAnsi="Arial" w:cs="Arial"/>
        </w:rPr>
        <w:t>e</w:t>
      </w:r>
      <w:r w:rsidRPr="00230449">
        <w:rPr>
          <w:rFonts w:ascii="Arial" w:hAnsi="Arial" w:cs="Arial"/>
        </w:rPr>
        <w:t xml:space="preserve"> also</w:t>
      </w:r>
      <w:r w:rsidR="006F18DC" w:rsidRPr="00230449">
        <w:rPr>
          <w:rFonts w:ascii="Arial" w:hAnsi="Arial" w:cs="Arial"/>
        </w:rPr>
        <w:t xml:space="preserve"> had</w:t>
      </w:r>
      <w:r w:rsidR="000D04BA" w:rsidRPr="00230449">
        <w:rPr>
          <w:rFonts w:ascii="Arial" w:hAnsi="Arial" w:cs="Arial"/>
        </w:rPr>
        <w:t xml:space="preserve"> some</w:t>
      </w:r>
      <w:r w:rsidR="006F18DC" w:rsidRPr="00230449">
        <w:rPr>
          <w:rFonts w:ascii="Arial" w:hAnsi="Arial" w:cs="Arial"/>
        </w:rPr>
        <w:t xml:space="preserve"> experience of dealing with inde</w:t>
      </w:r>
      <w:r w:rsidR="000D04BA" w:rsidRPr="00230449">
        <w:rPr>
          <w:rFonts w:ascii="Arial" w:hAnsi="Arial" w:cs="Arial"/>
        </w:rPr>
        <w:t>btedness</w:t>
      </w:r>
      <w:r w:rsidR="0032624C" w:rsidRPr="00230449">
        <w:rPr>
          <w:rFonts w:ascii="Arial" w:hAnsi="Arial" w:cs="Arial"/>
        </w:rPr>
        <w:t>. H</w:t>
      </w:r>
      <w:r w:rsidRPr="00230449">
        <w:rPr>
          <w:rFonts w:ascii="Arial" w:hAnsi="Arial" w:cs="Arial"/>
        </w:rPr>
        <w:t>is own books s</w:t>
      </w:r>
      <w:r w:rsidR="00377251" w:rsidRPr="00230449">
        <w:rPr>
          <w:rFonts w:ascii="Arial" w:hAnsi="Arial" w:cs="Arial"/>
        </w:rPr>
        <w:t>old poorly during his sane life</w:t>
      </w:r>
      <w:r w:rsidRPr="00230449">
        <w:rPr>
          <w:rFonts w:ascii="Arial" w:hAnsi="Arial" w:cs="Arial"/>
        </w:rPr>
        <w:t>time</w:t>
      </w:r>
      <w:r w:rsidR="0032624C" w:rsidRPr="00230449">
        <w:rPr>
          <w:rFonts w:ascii="Arial" w:hAnsi="Arial" w:cs="Arial"/>
        </w:rPr>
        <w:t xml:space="preserve"> and h</w:t>
      </w:r>
      <w:r w:rsidRPr="00230449">
        <w:rPr>
          <w:rFonts w:ascii="Arial" w:hAnsi="Arial" w:cs="Arial"/>
        </w:rPr>
        <w:t>e frequently borrowed from friends.</w:t>
      </w:r>
      <w:r w:rsidR="00D5164E" w:rsidRPr="00230449">
        <w:rPr>
          <w:rFonts w:ascii="Arial" w:hAnsi="Arial" w:cs="Arial"/>
        </w:rPr>
        <w:t xml:space="preserve"> He was from a poor family.</w:t>
      </w:r>
      <w:r w:rsidR="008C7CB5" w:rsidRPr="00230449">
        <w:rPr>
          <w:rFonts w:ascii="Arial" w:hAnsi="Arial" w:cs="Arial"/>
        </w:rPr>
        <w:t xml:space="preserve"> He witnessed at first hand the financial issues behind Richard Wagner’s </w:t>
      </w:r>
      <w:r w:rsidR="008C7CB5" w:rsidRPr="00230449">
        <w:rPr>
          <w:rFonts w:ascii="Arial" w:hAnsi="Arial" w:cs="Arial"/>
          <w:color w:val="000000" w:themeColor="text1"/>
        </w:rPr>
        <w:t>Bayreuth project</w:t>
      </w:r>
      <w:r w:rsidR="008C7CB5" w:rsidRPr="00230449">
        <w:rPr>
          <w:rFonts w:ascii="Arial" w:hAnsi="Arial" w:cs="Arial"/>
        </w:rPr>
        <w:t>.</w:t>
      </w:r>
      <w:r w:rsidR="0032624C" w:rsidRPr="00230449">
        <w:rPr>
          <w:rFonts w:ascii="Arial" w:hAnsi="Arial" w:cs="Arial"/>
        </w:rPr>
        <w:t xml:space="preserve"> He was also deeply indebted</w:t>
      </w:r>
      <w:r w:rsidR="008747CF" w:rsidRPr="00230449">
        <w:rPr>
          <w:rFonts w:ascii="Arial" w:hAnsi="Arial" w:cs="Arial"/>
        </w:rPr>
        <w:t xml:space="preserve"> in the friendship</w:t>
      </w:r>
      <w:r w:rsidR="0032624C" w:rsidRPr="00230449">
        <w:rPr>
          <w:rFonts w:ascii="Arial" w:hAnsi="Arial" w:cs="Arial"/>
        </w:rPr>
        <w:t xml:space="preserve"> sense to his </w:t>
      </w:r>
      <w:r w:rsidR="002A5D7E" w:rsidRPr="00230449">
        <w:rPr>
          <w:rFonts w:ascii="Arial" w:hAnsi="Arial" w:cs="Arial"/>
        </w:rPr>
        <w:t xml:space="preserve">composer </w:t>
      </w:r>
      <w:r w:rsidR="0032624C" w:rsidRPr="00230449">
        <w:rPr>
          <w:rFonts w:ascii="Arial" w:hAnsi="Arial" w:cs="Arial"/>
        </w:rPr>
        <w:t xml:space="preserve">friend and sometime amanuensis, Peter Gast. </w:t>
      </w:r>
      <w:r w:rsidR="000D04BA" w:rsidRPr="00230449">
        <w:rPr>
          <w:rFonts w:ascii="Arial" w:hAnsi="Arial" w:cs="Arial"/>
        </w:rPr>
        <w:t xml:space="preserve"> </w:t>
      </w:r>
      <w:r w:rsidR="0032624C" w:rsidRPr="00230449">
        <w:rPr>
          <w:rFonts w:ascii="Arial" w:hAnsi="Arial" w:cs="Arial"/>
        </w:rPr>
        <w:t xml:space="preserve">Nietzsche recognised Gast’s labours on his behalf and reciprocated </w:t>
      </w:r>
      <w:r w:rsidR="00BA6CCA" w:rsidRPr="00230449">
        <w:rPr>
          <w:rFonts w:ascii="Arial" w:hAnsi="Arial" w:cs="Arial"/>
        </w:rPr>
        <w:t xml:space="preserve">by </w:t>
      </w:r>
      <w:r w:rsidR="0032624C" w:rsidRPr="00230449">
        <w:rPr>
          <w:rFonts w:ascii="Arial" w:hAnsi="Arial" w:cs="Arial"/>
        </w:rPr>
        <w:t>helping him with his musical career.</w:t>
      </w:r>
      <w:r w:rsidR="0032624C" w:rsidRPr="00230449">
        <w:rPr>
          <w:rStyle w:val="FootnoteReference"/>
          <w:rFonts w:ascii="Arial" w:hAnsi="Arial"/>
        </w:rPr>
        <w:footnoteReference w:id="15"/>
      </w:r>
    </w:p>
    <w:p w:rsidR="0032624C" w:rsidRPr="00230449" w:rsidRDefault="0032624C" w:rsidP="008B1208">
      <w:pPr>
        <w:spacing w:line="360" w:lineRule="auto"/>
        <w:jc w:val="both"/>
        <w:rPr>
          <w:rFonts w:ascii="Arial" w:hAnsi="Arial" w:cs="Arial"/>
        </w:rPr>
      </w:pPr>
    </w:p>
    <w:p w:rsidR="006C6541" w:rsidRPr="00230449" w:rsidRDefault="007E59E3" w:rsidP="008B1208">
      <w:pPr>
        <w:spacing w:line="360" w:lineRule="auto"/>
        <w:jc w:val="both"/>
        <w:rPr>
          <w:rFonts w:ascii="Arial" w:hAnsi="Arial" w:cs="Arial"/>
        </w:rPr>
      </w:pPr>
      <w:r w:rsidRPr="00230449">
        <w:rPr>
          <w:rFonts w:ascii="Arial" w:hAnsi="Arial" w:cs="Arial"/>
        </w:rPr>
        <w:t xml:space="preserve">Nietzsche </w:t>
      </w:r>
      <w:r w:rsidR="000D04BA" w:rsidRPr="00230449">
        <w:rPr>
          <w:rFonts w:ascii="Arial" w:hAnsi="Arial" w:cs="Arial"/>
        </w:rPr>
        <w:t xml:space="preserve">is also </w:t>
      </w:r>
      <w:r w:rsidR="001A652F" w:rsidRPr="00230449">
        <w:rPr>
          <w:rFonts w:ascii="Arial" w:hAnsi="Arial" w:cs="Arial"/>
        </w:rPr>
        <w:t xml:space="preserve">perhaps best known for his work on dealing with difficulties. </w:t>
      </w:r>
      <w:r w:rsidR="006C6541" w:rsidRPr="00230449">
        <w:rPr>
          <w:rFonts w:ascii="Arial" w:hAnsi="Arial" w:cs="Arial"/>
        </w:rPr>
        <w:t>Indeed, his well-known phrase, “</w:t>
      </w:r>
      <w:r w:rsidR="002B7D99" w:rsidRPr="00230449">
        <w:rPr>
          <w:rFonts w:ascii="Arial" w:hAnsi="Arial" w:cs="Arial"/>
        </w:rPr>
        <w:t>w</w:t>
      </w:r>
      <w:r w:rsidR="006C6541" w:rsidRPr="00230449">
        <w:rPr>
          <w:rFonts w:ascii="Arial" w:hAnsi="Arial" w:cs="Arial"/>
        </w:rPr>
        <w:t>hat doesn’t kill me makes me stronger”</w:t>
      </w:r>
      <w:r w:rsidR="0049662B" w:rsidRPr="00230449">
        <w:rPr>
          <w:rStyle w:val="FootnoteReference"/>
          <w:rFonts w:ascii="Arial" w:hAnsi="Arial"/>
        </w:rPr>
        <w:footnoteReference w:id="16"/>
      </w:r>
      <w:r w:rsidR="006C6541" w:rsidRPr="00230449">
        <w:rPr>
          <w:rFonts w:ascii="Arial" w:hAnsi="Arial" w:cs="Arial"/>
        </w:rPr>
        <w:t xml:space="preserve"> could easily be deployed in the context of bankruptcy and its debt relief and rehabilitation qualities. </w:t>
      </w:r>
      <w:r w:rsidR="008B6D0A" w:rsidRPr="00230449">
        <w:rPr>
          <w:rFonts w:ascii="Arial" w:hAnsi="Arial" w:cs="Arial"/>
        </w:rPr>
        <w:t>The foundation of the rejuvenating rescue culture,</w:t>
      </w:r>
      <w:r w:rsidR="002A5D7E" w:rsidRPr="00230449">
        <w:rPr>
          <w:rStyle w:val="FootnoteReference"/>
          <w:rFonts w:ascii="Arial" w:hAnsi="Arial"/>
        </w:rPr>
        <w:footnoteReference w:id="17"/>
      </w:r>
      <w:r w:rsidR="008B6D0A" w:rsidRPr="00230449">
        <w:rPr>
          <w:rFonts w:ascii="Arial" w:hAnsi="Arial" w:cs="Arial"/>
        </w:rPr>
        <w:t xml:space="preserve"> saving viable elements of a business via the difficulties of near insolvency and financial hardship, encompasses and typifies a major plank of Nietzschean philosophy, namely, the idea that it is only through adverse circumstances that true fulfilment can be achieved. In the context of a struggling entity this of course means a return to liquidity following a constructive and beneficial, albeit </w:t>
      </w:r>
      <w:r w:rsidR="00624BB6" w:rsidRPr="00230449">
        <w:rPr>
          <w:rFonts w:ascii="Arial" w:hAnsi="Arial" w:cs="Arial"/>
        </w:rPr>
        <w:t xml:space="preserve">financially and emotionally </w:t>
      </w:r>
      <w:r w:rsidR="008B6D0A" w:rsidRPr="00230449">
        <w:rPr>
          <w:rFonts w:ascii="Arial" w:hAnsi="Arial" w:cs="Arial"/>
        </w:rPr>
        <w:t>painful, restructuring process.</w:t>
      </w:r>
      <w:r w:rsidR="002A4DC0" w:rsidRPr="00230449">
        <w:rPr>
          <w:rFonts w:ascii="Arial" w:hAnsi="Arial" w:cs="Arial"/>
        </w:rPr>
        <w:t xml:space="preserve"> In Nietzschean terms this process can be broken down into three stages: (1) sublimate (</w:t>
      </w:r>
      <w:proofErr w:type="spellStart"/>
      <w:r w:rsidR="002A4DC0" w:rsidRPr="00230449">
        <w:rPr>
          <w:rFonts w:ascii="Arial" w:hAnsi="Arial" w:cs="Arial"/>
          <w:i/>
        </w:rPr>
        <w:t>sublimieren</w:t>
      </w:r>
      <w:proofErr w:type="spellEnd"/>
      <w:r w:rsidR="002A4DC0" w:rsidRPr="00230449">
        <w:rPr>
          <w:rFonts w:ascii="Arial" w:hAnsi="Arial" w:cs="Arial"/>
        </w:rPr>
        <w:t xml:space="preserve">), (2) </w:t>
      </w:r>
      <w:r w:rsidR="005E1E2B" w:rsidRPr="00230449">
        <w:rPr>
          <w:rFonts w:ascii="Arial" w:hAnsi="Arial" w:cs="Arial"/>
        </w:rPr>
        <w:t>spiritualise</w:t>
      </w:r>
      <w:r w:rsidR="002A4DC0" w:rsidRPr="00230449">
        <w:rPr>
          <w:rFonts w:ascii="Arial" w:hAnsi="Arial" w:cs="Arial"/>
        </w:rPr>
        <w:t xml:space="preserve"> (</w:t>
      </w:r>
      <w:proofErr w:type="spellStart"/>
      <w:r w:rsidR="002A4DC0" w:rsidRPr="00230449">
        <w:rPr>
          <w:rFonts w:ascii="Arial" w:hAnsi="Arial" w:cs="Arial"/>
          <w:i/>
        </w:rPr>
        <w:t>vergeistigen</w:t>
      </w:r>
      <w:proofErr w:type="spellEnd"/>
      <w:r w:rsidR="002A4DC0" w:rsidRPr="00230449">
        <w:rPr>
          <w:rFonts w:ascii="Arial" w:hAnsi="Arial" w:cs="Arial"/>
        </w:rPr>
        <w:t>), and (3)</w:t>
      </w:r>
      <w:r w:rsidR="008B6D0A" w:rsidRPr="00230449">
        <w:rPr>
          <w:rFonts w:ascii="Arial" w:hAnsi="Arial" w:cs="Arial"/>
        </w:rPr>
        <w:t xml:space="preserve"> </w:t>
      </w:r>
      <w:r w:rsidR="002A4DC0" w:rsidRPr="00230449">
        <w:rPr>
          <w:rFonts w:ascii="Arial" w:hAnsi="Arial" w:cs="Arial"/>
        </w:rPr>
        <w:t>raise (</w:t>
      </w:r>
      <w:proofErr w:type="spellStart"/>
      <w:r w:rsidR="002A4DC0" w:rsidRPr="00230449">
        <w:rPr>
          <w:rFonts w:ascii="Arial" w:hAnsi="Arial" w:cs="Arial"/>
          <w:i/>
        </w:rPr>
        <w:t>aufheben</w:t>
      </w:r>
      <w:proofErr w:type="spellEnd"/>
      <w:r w:rsidR="002A4DC0" w:rsidRPr="00230449">
        <w:rPr>
          <w:rFonts w:ascii="Arial" w:hAnsi="Arial" w:cs="Arial"/>
        </w:rPr>
        <w:t>).</w:t>
      </w:r>
      <w:r w:rsidR="00624BB6" w:rsidRPr="00230449">
        <w:rPr>
          <w:rFonts w:ascii="Arial" w:hAnsi="Arial" w:cs="Arial"/>
        </w:rPr>
        <w:t xml:space="preserve"> The vari</w:t>
      </w:r>
      <w:r w:rsidR="00F058EB" w:rsidRPr="00230449">
        <w:rPr>
          <w:rFonts w:ascii="Arial" w:hAnsi="Arial" w:cs="Arial"/>
        </w:rPr>
        <w:t>ous stages and struggles a</w:t>
      </w:r>
      <w:r w:rsidR="00624BB6" w:rsidRPr="00230449">
        <w:rPr>
          <w:rFonts w:ascii="Arial" w:hAnsi="Arial" w:cs="Arial"/>
        </w:rPr>
        <w:t xml:space="preserve">ffect all stakeholders in the troubled entity. </w:t>
      </w:r>
      <w:r w:rsidR="00254F5C" w:rsidRPr="00230449">
        <w:rPr>
          <w:rFonts w:ascii="Arial" w:hAnsi="Arial" w:cs="Arial"/>
        </w:rPr>
        <w:t>In the alternative it can be argued that t</w:t>
      </w:r>
      <w:r w:rsidR="006915C9" w:rsidRPr="00230449">
        <w:rPr>
          <w:rFonts w:ascii="Arial" w:hAnsi="Arial" w:cs="Arial"/>
        </w:rPr>
        <w:t>he relief and rehabilitation fu</w:t>
      </w:r>
      <w:r w:rsidR="00254F5C" w:rsidRPr="00230449">
        <w:rPr>
          <w:rFonts w:ascii="Arial" w:hAnsi="Arial" w:cs="Arial"/>
        </w:rPr>
        <w:t>nctions of bankruptcy can also be</w:t>
      </w:r>
      <w:r w:rsidR="006915C9" w:rsidRPr="00230449">
        <w:rPr>
          <w:rFonts w:ascii="Arial" w:hAnsi="Arial" w:cs="Arial"/>
        </w:rPr>
        <w:t xml:space="preserve"> seen as a complete abrogation of the struggle</w:t>
      </w:r>
      <w:r w:rsidR="00254F5C" w:rsidRPr="00230449">
        <w:rPr>
          <w:rFonts w:ascii="Arial" w:hAnsi="Arial" w:cs="Arial"/>
        </w:rPr>
        <w:t xml:space="preserve"> to repay indebtedness and credit commitments. These qualities of a bankruptcy law are </w:t>
      </w:r>
      <w:r w:rsidR="006915C9" w:rsidRPr="00230449">
        <w:rPr>
          <w:rFonts w:ascii="Arial" w:hAnsi="Arial" w:cs="Arial"/>
        </w:rPr>
        <w:t>therefore</w:t>
      </w:r>
      <w:r w:rsidR="00254F5C" w:rsidRPr="00230449">
        <w:rPr>
          <w:rFonts w:ascii="Arial" w:hAnsi="Arial" w:cs="Arial"/>
        </w:rPr>
        <w:t xml:space="preserve"> </w:t>
      </w:r>
      <w:r w:rsidR="006915C9" w:rsidRPr="00230449">
        <w:rPr>
          <w:rFonts w:ascii="Arial" w:hAnsi="Arial" w:cs="Arial"/>
        </w:rPr>
        <w:t xml:space="preserve">inconsistent with one of the major planks of Nietzsche’s philosophy. </w:t>
      </w:r>
    </w:p>
    <w:p w:rsidR="006F18DC" w:rsidRPr="00230449" w:rsidRDefault="006F18DC" w:rsidP="008B1208">
      <w:pPr>
        <w:spacing w:line="360" w:lineRule="auto"/>
        <w:jc w:val="both"/>
        <w:rPr>
          <w:rFonts w:ascii="Arial" w:hAnsi="Arial" w:cs="Arial"/>
        </w:rPr>
      </w:pPr>
    </w:p>
    <w:p w:rsidR="002B7D99" w:rsidRPr="00230449" w:rsidRDefault="006F18DC" w:rsidP="008B1208">
      <w:pPr>
        <w:spacing w:line="360" w:lineRule="auto"/>
        <w:jc w:val="both"/>
        <w:rPr>
          <w:rFonts w:ascii="Arial" w:hAnsi="Arial" w:cs="Arial"/>
        </w:rPr>
      </w:pPr>
      <w:r w:rsidRPr="00230449">
        <w:rPr>
          <w:rFonts w:ascii="Arial" w:hAnsi="Arial" w:cs="Arial"/>
        </w:rPr>
        <w:t>In the bankruptcy scholarship sphere Nietzsche has been used in work on the context of objectivity,</w:t>
      </w:r>
      <w:r w:rsidRPr="00230449">
        <w:rPr>
          <w:rStyle w:val="FootnoteReference"/>
          <w:rFonts w:ascii="Arial" w:hAnsi="Arial" w:cs="Arial"/>
        </w:rPr>
        <w:footnoteReference w:id="18"/>
      </w:r>
      <w:r w:rsidRPr="00230449">
        <w:rPr>
          <w:rFonts w:ascii="Arial" w:hAnsi="Arial" w:cs="Arial"/>
        </w:rPr>
        <w:t xml:space="preserve"> belief in a cause,</w:t>
      </w:r>
      <w:r w:rsidRPr="00230449">
        <w:rPr>
          <w:rStyle w:val="FootnoteReference"/>
          <w:rFonts w:ascii="Arial" w:hAnsi="Arial" w:cs="Arial"/>
        </w:rPr>
        <w:footnoteReference w:id="19"/>
      </w:r>
      <w:r w:rsidRPr="00230449">
        <w:rPr>
          <w:rFonts w:ascii="Arial" w:hAnsi="Arial" w:cs="Arial"/>
        </w:rPr>
        <w:t xml:space="preserve"> tragedy and cosmic myth,</w:t>
      </w:r>
      <w:r w:rsidRPr="00230449">
        <w:rPr>
          <w:rStyle w:val="FootnoteReference"/>
          <w:rFonts w:ascii="Arial" w:hAnsi="Arial" w:cs="Arial"/>
        </w:rPr>
        <w:footnoteReference w:id="20"/>
      </w:r>
      <w:r w:rsidRPr="00230449">
        <w:rPr>
          <w:rFonts w:ascii="Arial" w:hAnsi="Arial" w:cs="Arial"/>
        </w:rPr>
        <w:t xml:space="preserve"> and cruelty.</w:t>
      </w:r>
      <w:r w:rsidRPr="00230449">
        <w:rPr>
          <w:rStyle w:val="FootnoteReference"/>
          <w:rFonts w:ascii="Arial" w:hAnsi="Arial" w:cs="Arial"/>
        </w:rPr>
        <w:footnoteReference w:id="21"/>
      </w:r>
      <w:r w:rsidRPr="00230449">
        <w:rPr>
          <w:rFonts w:ascii="Arial" w:hAnsi="Arial" w:cs="Arial"/>
        </w:rPr>
        <w:t xml:space="preserve"> </w:t>
      </w:r>
      <w:r w:rsidR="00C2098C" w:rsidRPr="00230449">
        <w:rPr>
          <w:rFonts w:ascii="Arial" w:hAnsi="Arial" w:cs="Arial"/>
        </w:rPr>
        <w:t xml:space="preserve">As Bratton and </w:t>
      </w:r>
      <w:proofErr w:type="spellStart"/>
      <w:r w:rsidR="00C2098C" w:rsidRPr="00230449">
        <w:rPr>
          <w:rFonts w:ascii="Arial" w:hAnsi="Arial" w:cs="Arial"/>
        </w:rPr>
        <w:t>Skeel</w:t>
      </w:r>
      <w:proofErr w:type="spellEnd"/>
      <w:r w:rsidR="00C2098C" w:rsidRPr="00230449">
        <w:rPr>
          <w:rFonts w:ascii="Arial" w:hAnsi="Arial" w:cs="Arial"/>
        </w:rPr>
        <w:t xml:space="preserve"> have noted, “the Nietzschean vision of history as </w:t>
      </w:r>
      <w:r w:rsidR="00035E21" w:rsidRPr="00230449">
        <w:rPr>
          <w:rFonts w:ascii="Arial" w:hAnsi="Arial" w:cs="Arial"/>
        </w:rPr>
        <w:t xml:space="preserve">Eternal Recurrence </w:t>
      </w:r>
      <w:r w:rsidR="00C2098C" w:rsidRPr="00230449">
        <w:rPr>
          <w:rFonts w:ascii="Arial" w:hAnsi="Arial" w:cs="Arial"/>
        </w:rPr>
        <w:t>has surprising explanatory power in the bankruptcy context.”</w:t>
      </w:r>
      <w:r w:rsidR="00C2098C" w:rsidRPr="00230449">
        <w:rPr>
          <w:rStyle w:val="FootnoteReference"/>
          <w:rFonts w:ascii="Arial" w:hAnsi="Arial" w:cs="Arial"/>
        </w:rPr>
        <w:footnoteReference w:id="22"/>
      </w:r>
      <w:r w:rsidRPr="00230449">
        <w:rPr>
          <w:rFonts w:ascii="Arial" w:hAnsi="Arial" w:cs="Arial"/>
        </w:rPr>
        <w:t xml:space="preserve"> This bri</w:t>
      </w:r>
      <w:r w:rsidR="000D04BA" w:rsidRPr="00230449">
        <w:rPr>
          <w:rFonts w:ascii="Arial" w:hAnsi="Arial" w:cs="Arial"/>
        </w:rPr>
        <w:t>ngs us to the crux of this article</w:t>
      </w:r>
      <w:r w:rsidRPr="00230449">
        <w:rPr>
          <w:rFonts w:ascii="Arial" w:hAnsi="Arial" w:cs="Arial"/>
        </w:rPr>
        <w:t xml:space="preserve">. </w:t>
      </w:r>
      <w:r w:rsidR="000D04BA" w:rsidRPr="00230449">
        <w:rPr>
          <w:rFonts w:ascii="Arial" w:hAnsi="Arial" w:cs="Arial"/>
        </w:rPr>
        <w:t>Amongst</w:t>
      </w:r>
      <w:r w:rsidRPr="00230449">
        <w:rPr>
          <w:rFonts w:ascii="Arial" w:hAnsi="Arial" w:cs="Arial"/>
        </w:rPr>
        <w:t xml:space="preserve"> Nietzsche</w:t>
      </w:r>
      <w:r w:rsidR="000D04BA" w:rsidRPr="00230449">
        <w:rPr>
          <w:rFonts w:ascii="Arial" w:hAnsi="Arial" w:cs="Arial"/>
        </w:rPr>
        <w:t>’s</w:t>
      </w:r>
      <w:r w:rsidRPr="00230449">
        <w:rPr>
          <w:rFonts w:ascii="Arial" w:hAnsi="Arial" w:cs="Arial"/>
        </w:rPr>
        <w:t xml:space="preserve"> philosophical</w:t>
      </w:r>
      <w:r w:rsidR="00BB35AD" w:rsidRPr="00230449">
        <w:rPr>
          <w:rFonts w:ascii="Arial" w:hAnsi="Arial" w:cs="Arial"/>
        </w:rPr>
        <w:t xml:space="preserve"> ideas he proposed the idea of Eternal R</w:t>
      </w:r>
      <w:r w:rsidRPr="00230449">
        <w:rPr>
          <w:rFonts w:ascii="Arial" w:hAnsi="Arial" w:cs="Arial"/>
        </w:rPr>
        <w:t>ecurrence</w:t>
      </w:r>
      <w:r w:rsidR="00401BE0" w:rsidRPr="00230449">
        <w:rPr>
          <w:rFonts w:ascii="Arial" w:hAnsi="Arial" w:cs="Arial"/>
        </w:rPr>
        <w:t>, also known as eternal return</w:t>
      </w:r>
      <w:r w:rsidRPr="00230449">
        <w:rPr>
          <w:rFonts w:ascii="Arial" w:hAnsi="Arial" w:cs="Arial"/>
        </w:rPr>
        <w:t>. This is</w:t>
      </w:r>
      <w:r w:rsidR="002B7D99" w:rsidRPr="00230449">
        <w:rPr>
          <w:rFonts w:ascii="Arial" w:hAnsi="Arial" w:cs="Arial"/>
        </w:rPr>
        <w:t xml:space="preserve"> the thought experiment</w:t>
      </w:r>
      <w:r w:rsidR="00401BE0" w:rsidRPr="00230449">
        <w:rPr>
          <w:rFonts w:ascii="Arial" w:hAnsi="Arial" w:cs="Arial"/>
        </w:rPr>
        <w:t xml:space="preserve"> that all existence and energy in the Universe has been recurring and will continue to recur for an infinite number of times across infinite time and space.  </w:t>
      </w:r>
      <w:r w:rsidRPr="00230449">
        <w:rPr>
          <w:rFonts w:ascii="Arial" w:hAnsi="Arial" w:cs="Arial"/>
        </w:rPr>
        <w:t xml:space="preserve"> </w:t>
      </w:r>
    </w:p>
    <w:p w:rsidR="002B7D99" w:rsidRPr="00230449" w:rsidRDefault="002B7D99" w:rsidP="008B1208">
      <w:pPr>
        <w:spacing w:line="360" w:lineRule="auto"/>
        <w:jc w:val="both"/>
        <w:rPr>
          <w:rFonts w:ascii="Arial" w:hAnsi="Arial" w:cs="Arial"/>
        </w:rPr>
      </w:pPr>
    </w:p>
    <w:p w:rsidR="00C00A55" w:rsidRPr="00230449" w:rsidRDefault="00BD30D1" w:rsidP="008B1208">
      <w:pPr>
        <w:spacing w:line="360" w:lineRule="auto"/>
        <w:jc w:val="both"/>
        <w:rPr>
          <w:rFonts w:ascii="Arial" w:hAnsi="Arial" w:cs="Arial"/>
        </w:rPr>
      </w:pPr>
      <w:r w:rsidRPr="00230449">
        <w:rPr>
          <w:rFonts w:ascii="Arial" w:hAnsi="Arial" w:cs="Arial"/>
        </w:rPr>
        <w:t>T</w:t>
      </w:r>
      <w:r w:rsidR="002B7D99" w:rsidRPr="00230449">
        <w:rPr>
          <w:rFonts w:ascii="Arial" w:hAnsi="Arial" w:cs="Arial"/>
        </w:rPr>
        <w:t>his article</w:t>
      </w:r>
      <w:r w:rsidR="00C2098C" w:rsidRPr="00230449">
        <w:rPr>
          <w:rFonts w:ascii="Arial" w:hAnsi="Arial" w:cs="Arial"/>
        </w:rPr>
        <w:t xml:space="preserve"> explore</w:t>
      </w:r>
      <w:r w:rsidRPr="00230449">
        <w:rPr>
          <w:rFonts w:ascii="Arial" w:hAnsi="Arial" w:cs="Arial"/>
        </w:rPr>
        <w:t>s</w:t>
      </w:r>
      <w:r w:rsidR="00C2098C" w:rsidRPr="00230449">
        <w:rPr>
          <w:rFonts w:ascii="Arial" w:hAnsi="Arial" w:cs="Arial"/>
        </w:rPr>
        <w:t xml:space="preserve"> whether</w:t>
      </w:r>
      <w:r w:rsidR="00F058EB" w:rsidRPr="00230449">
        <w:rPr>
          <w:rFonts w:ascii="Arial" w:hAnsi="Arial" w:cs="Arial"/>
        </w:rPr>
        <w:t xml:space="preserve"> </w:t>
      </w:r>
      <w:r w:rsidR="00081CD3" w:rsidRPr="00230449">
        <w:rPr>
          <w:rFonts w:ascii="Arial" w:hAnsi="Arial" w:cs="Arial"/>
        </w:rPr>
        <w:t xml:space="preserve">insolvency </w:t>
      </w:r>
      <w:r w:rsidR="00035E21" w:rsidRPr="00230449">
        <w:rPr>
          <w:rFonts w:ascii="Arial" w:hAnsi="Arial" w:cs="Arial"/>
        </w:rPr>
        <w:t xml:space="preserve">Eternal Recurrence </w:t>
      </w:r>
      <w:r w:rsidR="00F30DD6" w:rsidRPr="00230449">
        <w:rPr>
          <w:rFonts w:ascii="Arial" w:hAnsi="Arial" w:cs="Arial"/>
        </w:rPr>
        <w:t xml:space="preserve">exists </w:t>
      </w:r>
      <w:r w:rsidR="00F058EB" w:rsidRPr="00230449">
        <w:rPr>
          <w:rFonts w:ascii="Arial" w:hAnsi="Arial" w:cs="Arial"/>
        </w:rPr>
        <w:t xml:space="preserve">and whether it </w:t>
      </w:r>
      <w:r w:rsidR="00BA6CCA" w:rsidRPr="00230449">
        <w:rPr>
          <w:rFonts w:ascii="Arial" w:hAnsi="Arial" w:cs="Arial"/>
        </w:rPr>
        <w:t>adversely impacts</w:t>
      </w:r>
      <w:r w:rsidR="00F058EB" w:rsidRPr="00230449">
        <w:rPr>
          <w:rFonts w:ascii="Arial" w:hAnsi="Arial" w:cs="Arial"/>
        </w:rPr>
        <w:t xml:space="preserve"> on the formulation of well-thought through </w:t>
      </w:r>
      <w:r w:rsidR="00C00A55" w:rsidRPr="00230449">
        <w:rPr>
          <w:rFonts w:ascii="Arial" w:hAnsi="Arial" w:cs="Arial"/>
        </w:rPr>
        <w:t>insolvency</w:t>
      </w:r>
      <w:r w:rsidRPr="00230449">
        <w:rPr>
          <w:rFonts w:ascii="Arial" w:hAnsi="Arial" w:cs="Arial"/>
        </w:rPr>
        <w:t xml:space="preserve"> law reform.</w:t>
      </w:r>
      <w:r w:rsidR="00E429CF" w:rsidRPr="00230449">
        <w:rPr>
          <w:rFonts w:ascii="Arial" w:hAnsi="Arial" w:cs="Arial"/>
        </w:rPr>
        <w:t xml:space="preserve"> </w:t>
      </w:r>
      <w:r w:rsidR="00416B42" w:rsidRPr="00230449">
        <w:rPr>
          <w:rFonts w:ascii="Arial" w:hAnsi="Arial" w:cs="Arial"/>
        </w:rPr>
        <w:t>The</w:t>
      </w:r>
      <w:r w:rsidR="007A0B1D" w:rsidRPr="00230449">
        <w:rPr>
          <w:rFonts w:ascii="Arial" w:hAnsi="Arial" w:cs="Arial"/>
        </w:rPr>
        <w:t xml:space="preserve"> application of</w:t>
      </w:r>
      <w:r w:rsidR="00416B42" w:rsidRPr="00230449">
        <w:rPr>
          <w:rFonts w:ascii="Arial" w:hAnsi="Arial" w:cs="Arial"/>
        </w:rPr>
        <w:t xml:space="preserve"> Nietzsche</w:t>
      </w:r>
      <w:r w:rsidR="007A0B1D" w:rsidRPr="00230449">
        <w:rPr>
          <w:rFonts w:ascii="Arial" w:hAnsi="Arial" w:cs="Arial"/>
        </w:rPr>
        <w:t xml:space="preserve"> and a normative reform lens to insolvency law </w:t>
      </w:r>
      <w:r w:rsidR="00416B42" w:rsidRPr="00230449">
        <w:rPr>
          <w:rFonts w:ascii="Arial" w:hAnsi="Arial" w:cs="Arial"/>
        </w:rPr>
        <w:t>contributes a much-needed novel perspective, drawing across</w:t>
      </w:r>
      <w:r w:rsidR="007A0B1D" w:rsidRPr="00230449">
        <w:rPr>
          <w:rFonts w:ascii="Arial" w:hAnsi="Arial" w:cs="Arial"/>
        </w:rPr>
        <w:t xml:space="preserve"> philosophical concepts to the terrain of insolvency law</w:t>
      </w:r>
      <w:r w:rsidR="00416B42" w:rsidRPr="00230449">
        <w:rPr>
          <w:rFonts w:ascii="Arial" w:hAnsi="Arial" w:cs="Arial"/>
        </w:rPr>
        <w:t xml:space="preserve">. </w:t>
      </w:r>
      <w:r w:rsidR="00C00A55" w:rsidRPr="00230449">
        <w:rPr>
          <w:rFonts w:ascii="Arial" w:hAnsi="Arial" w:cs="Arial"/>
        </w:rPr>
        <w:t>This article treatment exerts a significant influence on the academic field of insolvency law by providing a touchstone point from which future researchers will commence their work. More broadly the article impacts insolvency practitioners (lawyers and accountants) and government policy makers who have previously had no substantial treatment of insolvency law</w:t>
      </w:r>
      <w:r w:rsidR="008F13C0" w:rsidRPr="00230449">
        <w:rPr>
          <w:rFonts w:ascii="Arial" w:hAnsi="Arial" w:cs="Arial"/>
        </w:rPr>
        <w:t xml:space="preserve"> viewed through a Nietzschean lens</w:t>
      </w:r>
      <w:r w:rsidR="00C00A55" w:rsidRPr="00230449">
        <w:rPr>
          <w:rFonts w:ascii="Arial" w:hAnsi="Arial" w:cs="Arial"/>
        </w:rPr>
        <w:t xml:space="preserve">. This article changes our appreciation of how Nietzsche can be used to examine insolvency law reform over time and how reform efforts might be improved in the current climate. </w:t>
      </w:r>
    </w:p>
    <w:p w:rsidR="00C00A55" w:rsidRPr="00230449" w:rsidRDefault="00C00A55" w:rsidP="008B1208">
      <w:pPr>
        <w:spacing w:line="360" w:lineRule="auto"/>
        <w:jc w:val="both"/>
        <w:rPr>
          <w:rFonts w:ascii="Arial" w:hAnsi="Arial" w:cs="Arial"/>
        </w:rPr>
      </w:pPr>
    </w:p>
    <w:p w:rsidR="00B802C8" w:rsidRPr="00230449" w:rsidRDefault="00DE4528" w:rsidP="008B1208">
      <w:pPr>
        <w:spacing w:line="360" w:lineRule="auto"/>
        <w:jc w:val="both"/>
        <w:rPr>
          <w:rFonts w:ascii="Arial" w:hAnsi="Arial" w:cs="Arial"/>
        </w:rPr>
      </w:pPr>
      <w:r w:rsidRPr="00230449">
        <w:rPr>
          <w:rFonts w:ascii="Arial" w:hAnsi="Arial" w:cs="Arial"/>
        </w:rPr>
        <w:t>The article is divided into three</w:t>
      </w:r>
      <w:r w:rsidR="00B802C8" w:rsidRPr="00230449">
        <w:rPr>
          <w:rFonts w:ascii="Arial" w:hAnsi="Arial" w:cs="Arial"/>
        </w:rPr>
        <w:t xml:space="preserve"> parts. In part one we examine </w:t>
      </w:r>
      <w:r w:rsidR="0003148C" w:rsidRPr="00230449">
        <w:rPr>
          <w:rFonts w:ascii="Arial" w:hAnsi="Arial" w:cs="Arial"/>
        </w:rPr>
        <w:t xml:space="preserve">Nietzschean </w:t>
      </w:r>
      <w:r w:rsidR="00035E21" w:rsidRPr="00230449">
        <w:rPr>
          <w:rFonts w:ascii="Arial" w:hAnsi="Arial" w:cs="Arial"/>
        </w:rPr>
        <w:t xml:space="preserve">Eternal Recurrence </w:t>
      </w:r>
      <w:r w:rsidR="00B802C8" w:rsidRPr="00230449">
        <w:rPr>
          <w:rFonts w:ascii="Arial" w:hAnsi="Arial" w:cs="Arial"/>
        </w:rPr>
        <w:t xml:space="preserve">and </w:t>
      </w:r>
      <w:r w:rsidR="0003148C" w:rsidRPr="00230449">
        <w:rPr>
          <w:rFonts w:ascii="Arial" w:hAnsi="Arial" w:cs="Arial"/>
        </w:rPr>
        <w:t>how it is manifested</w:t>
      </w:r>
      <w:r w:rsidR="00B802C8" w:rsidRPr="00230449">
        <w:rPr>
          <w:rFonts w:ascii="Arial" w:hAnsi="Arial" w:cs="Arial"/>
        </w:rPr>
        <w:t xml:space="preserve"> in insolvency. In part two </w:t>
      </w:r>
      <w:r w:rsidR="00F30DD6" w:rsidRPr="00230449">
        <w:rPr>
          <w:rFonts w:ascii="Arial" w:hAnsi="Arial" w:cs="Arial"/>
        </w:rPr>
        <w:t xml:space="preserve">we examine three examples of </w:t>
      </w:r>
      <w:r w:rsidR="00035E21" w:rsidRPr="00230449">
        <w:rPr>
          <w:rFonts w:ascii="Arial" w:hAnsi="Arial" w:cs="Arial"/>
        </w:rPr>
        <w:t xml:space="preserve">Eternal Recurrence </w:t>
      </w:r>
      <w:r w:rsidR="00B802C8" w:rsidRPr="00230449">
        <w:rPr>
          <w:rFonts w:ascii="Arial" w:hAnsi="Arial" w:cs="Arial"/>
        </w:rPr>
        <w:t xml:space="preserve">in English and Welsh insolvency law. </w:t>
      </w:r>
      <w:r w:rsidR="00F30DD6" w:rsidRPr="00230449">
        <w:rPr>
          <w:rFonts w:ascii="Arial" w:hAnsi="Arial" w:cs="Arial"/>
        </w:rPr>
        <w:t>These include:</w:t>
      </w:r>
      <w:r w:rsidR="00B802C8" w:rsidRPr="00230449">
        <w:rPr>
          <w:rFonts w:ascii="Arial" w:hAnsi="Arial" w:cs="Arial"/>
        </w:rPr>
        <w:t xml:space="preserve"> </w:t>
      </w:r>
      <w:r w:rsidR="00F30DD6" w:rsidRPr="00230449">
        <w:rPr>
          <w:rFonts w:ascii="Arial" w:hAnsi="Arial" w:cs="Arial"/>
        </w:rPr>
        <w:t xml:space="preserve">the plight of </w:t>
      </w:r>
      <w:r w:rsidRPr="00230449">
        <w:rPr>
          <w:rFonts w:ascii="Arial" w:hAnsi="Arial" w:cs="Arial"/>
        </w:rPr>
        <w:t>u</w:t>
      </w:r>
      <w:r w:rsidR="00F30DD6" w:rsidRPr="00230449">
        <w:rPr>
          <w:rFonts w:ascii="Arial" w:hAnsi="Arial" w:cs="Arial"/>
        </w:rPr>
        <w:t>nsecured creditors;</w:t>
      </w:r>
      <w:r w:rsidR="00B802C8" w:rsidRPr="00230449">
        <w:rPr>
          <w:rFonts w:ascii="Arial" w:hAnsi="Arial" w:cs="Arial"/>
        </w:rPr>
        <w:t xml:space="preserve"> the</w:t>
      </w:r>
      <w:r w:rsidR="00BB35AD" w:rsidRPr="00230449">
        <w:rPr>
          <w:rFonts w:ascii="Arial" w:hAnsi="Arial" w:cs="Arial"/>
        </w:rPr>
        <w:t xml:space="preserve"> use of trusts in corporate insolve</w:t>
      </w:r>
      <w:r w:rsidR="00DD6B14" w:rsidRPr="00230449">
        <w:rPr>
          <w:rFonts w:ascii="Arial" w:hAnsi="Arial" w:cs="Arial"/>
        </w:rPr>
        <w:t>n</w:t>
      </w:r>
      <w:r w:rsidR="00BB35AD" w:rsidRPr="00230449">
        <w:rPr>
          <w:rFonts w:ascii="Arial" w:hAnsi="Arial" w:cs="Arial"/>
        </w:rPr>
        <w:t>cy</w:t>
      </w:r>
      <w:r w:rsidR="00F30DD6" w:rsidRPr="00230449">
        <w:rPr>
          <w:rFonts w:ascii="Arial" w:hAnsi="Arial" w:cs="Arial"/>
        </w:rPr>
        <w:t>;</w:t>
      </w:r>
      <w:r w:rsidR="00B802C8" w:rsidRPr="00230449">
        <w:rPr>
          <w:rFonts w:ascii="Arial" w:hAnsi="Arial" w:cs="Arial"/>
        </w:rPr>
        <w:t xml:space="preserve"> and</w:t>
      </w:r>
      <w:r w:rsidR="00F30DD6" w:rsidRPr="00230449">
        <w:rPr>
          <w:rFonts w:ascii="Arial" w:hAnsi="Arial" w:cs="Arial"/>
        </w:rPr>
        <w:t xml:space="preserve"> finally,</w:t>
      </w:r>
      <w:r w:rsidR="00B802C8" w:rsidRPr="00230449">
        <w:rPr>
          <w:rFonts w:ascii="Arial" w:hAnsi="Arial" w:cs="Arial"/>
        </w:rPr>
        <w:t xml:space="preserve"> accountability</w:t>
      </w:r>
      <w:r w:rsidR="00F30DD6" w:rsidRPr="00230449">
        <w:rPr>
          <w:rFonts w:ascii="Arial" w:hAnsi="Arial" w:cs="Arial"/>
        </w:rPr>
        <w:t xml:space="preserve"> of directors with particular reference to </w:t>
      </w:r>
      <w:r w:rsidR="00EC0B15" w:rsidRPr="00230449">
        <w:rPr>
          <w:rFonts w:ascii="Arial" w:hAnsi="Arial" w:cs="Arial"/>
        </w:rPr>
        <w:t xml:space="preserve">their </w:t>
      </w:r>
      <w:r w:rsidR="00F30DD6" w:rsidRPr="00230449">
        <w:rPr>
          <w:rFonts w:ascii="Arial" w:hAnsi="Arial" w:cs="Arial"/>
        </w:rPr>
        <w:t>human rights protections</w:t>
      </w:r>
      <w:r w:rsidR="00B802C8" w:rsidRPr="00230449">
        <w:rPr>
          <w:rFonts w:ascii="Arial" w:hAnsi="Arial" w:cs="Arial"/>
        </w:rPr>
        <w:t>.</w:t>
      </w:r>
      <w:r w:rsidRPr="00230449">
        <w:rPr>
          <w:rFonts w:ascii="Arial" w:hAnsi="Arial" w:cs="Arial"/>
        </w:rPr>
        <w:t xml:space="preserve"> </w:t>
      </w:r>
      <w:r w:rsidR="00B802C8" w:rsidRPr="00230449">
        <w:rPr>
          <w:rFonts w:ascii="Arial" w:hAnsi="Arial" w:cs="Arial"/>
        </w:rPr>
        <w:t>In part three we explore damage to and the imposs</w:t>
      </w:r>
      <w:r w:rsidR="00177E94" w:rsidRPr="00230449">
        <w:rPr>
          <w:rFonts w:ascii="Arial" w:hAnsi="Arial" w:cs="Arial"/>
        </w:rPr>
        <w:t>ibility of innovation wrought by</w:t>
      </w:r>
      <w:r w:rsidR="006403C0" w:rsidRPr="00230449">
        <w:rPr>
          <w:rFonts w:ascii="Arial" w:hAnsi="Arial" w:cs="Arial"/>
        </w:rPr>
        <w:t xml:space="preserve"> Eternal R</w:t>
      </w:r>
      <w:r w:rsidR="00B802C8" w:rsidRPr="00230449">
        <w:rPr>
          <w:rFonts w:ascii="Arial" w:hAnsi="Arial" w:cs="Arial"/>
        </w:rPr>
        <w:t xml:space="preserve">ecurrence. A conclusion then follows. </w:t>
      </w:r>
    </w:p>
    <w:p w:rsidR="00B22A76" w:rsidRPr="00230449" w:rsidRDefault="00B22A76" w:rsidP="008B1208">
      <w:pPr>
        <w:spacing w:line="360" w:lineRule="auto"/>
        <w:jc w:val="both"/>
        <w:rPr>
          <w:rFonts w:ascii="Arial" w:hAnsi="Arial" w:cs="Arial"/>
        </w:rPr>
      </w:pPr>
    </w:p>
    <w:p w:rsidR="00B22A76" w:rsidRPr="00230449" w:rsidRDefault="00B22A76" w:rsidP="008B1208">
      <w:pPr>
        <w:spacing w:line="360" w:lineRule="auto"/>
        <w:jc w:val="both"/>
        <w:rPr>
          <w:rFonts w:ascii="Arial" w:hAnsi="Arial" w:cs="Arial"/>
        </w:rPr>
      </w:pPr>
    </w:p>
    <w:p w:rsidR="00D41E5A" w:rsidRPr="00230449" w:rsidRDefault="00D41E5A" w:rsidP="00E553DE">
      <w:pPr>
        <w:jc w:val="both"/>
        <w:rPr>
          <w:rFonts w:ascii="Arial" w:hAnsi="Arial" w:cs="Arial"/>
        </w:rPr>
      </w:pPr>
    </w:p>
    <w:p w:rsidR="00D41E5A" w:rsidRPr="00230449" w:rsidRDefault="00035E21" w:rsidP="008B1208">
      <w:pPr>
        <w:pStyle w:val="ListParagraph"/>
        <w:numPr>
          <w:ilvl w:val="0"/>
          <w:numId w:val="1"/>
        </w:numPr>
        <w:spacing w:line="360" w:lineRule="auto"/>
        <w:jc w:val="both"/>
        <w:rPr>
          <w:rFonts w:ascii="Arial" w:hAnsi="Arial" w:cs="Arial"/>
          <w:b/>
          <w:u w:val="single"/>
        </w:rPr>
      </w:pPr>
      <w:r w:rsidRPr="00230449">
        <w:rPr>
          <w:rFonts w:ascii="Arial" w:hAnsi="Arial" w:cs="Arial"/>
          <w:b/>
          <w:u w:val="single"/>
        </w:rPr>
        <w:t xml:space="preserve">Eternal Recurrence </w:t>
      </w:r>
      <w:r w:rsidR="00E553DE" w:rsidRPr="00230449">
        <w:rPr>
          <w:rFonts w:ascii="Arial" w:hAnsi="Arial" w:cs="Arial"/>
          <w:b/>
          <w:u w:val="single"/>
        </w:rPr>
        <w:t>and its drivers in English and Welsh i</w:t>
      </w:r>
      <w:r w:rsidR="00D41E5A" w:rsidRPr="00230449">
        <w:rPr>
          <w:rFonts w:ascii="Arial" w:hAnsi="Arial" w:cs="Arial"/>
          <w:b/>
          <w:u w:val="single"/>
        </w:rPr>
        <w:t>nsolvency</w:t>
      </w:r>
      <w:r w:rsidR="00E553DE" w:rsidRPr="00230449">
        <w:rPr>
          <w:rFonts w:ascii="Arial" w:hAnsi="Arial" w:cs="Arial"/>
          <w:b/>
          <w:u w:val="single"/>
        </w:rPr>
        <w:t xml:space="preserve"> law</w:t>
      </w:r>
      <w:r w:rsidR="00D41E5A" w:rsidRPr="00230449">
        <w:rPr>
          <w:rFonts w:ascii="Arial" w:hAnsi="Arial" w:cs="Arial"/>
          <w:b/>
          <w:u w:val="single"/>
        </w:rPr>
        <w:t xml:space="preserve"> </w:t>
      </w:r>
    </w:p>
    <w:p w:rsidR="00D41E5A" w:rsidRPr="00230449" w:rsidRDefault="00D41E5A" w:rsidP="008B1208">
      <w:pPr>
        <w:spacing w:line="360" w:lineRule="auto"/>
        <w:jc w:val="both"/>
        <w:rPr>
          <w:rFonts w:ascii="Arial" w:hAnsi="Arial" w:cs="Arial"/>
        </w:rPr>
      </w:pPr>
    </w:p>
    <w:p w:rsidR="00E4139B" w:rsidRPr="00230449" w:rsidRDefault="00E4139B" w:rsidP="008B1208">
      <w:pPr>
        <w:spacing w:line="360" w:lineRule="auto"/>
        <w:jc w:val="both"/>
        <w:rPr>
          <w:rFonts w:ascii="Arial" w:hAnsi="Arial" w:cs="Arial"/>
          <w:u w:val="single"/>
        </w:rPr>
      </w:pPr>
      <w:r w:rsidRPr="00230449">
        <w:rPr>
          <w:rFonts w:ascii="Arial" w:hAnsi="Arial" w:cs="Arial"/>
          <w:u w:val="single"/>
        </w:rPr>
        <w:t xml:space="preserve">Nietzsche’s </w:t>
      </w:r>
      <w:r w:rsidR="00035E21" w:rsidRPr="00230449">
        <w:rPr>
          <w:rFonts w:ascii="Arial" w:hAnsi="Arial" w:cs="Arial"/>
          <w:u w:val="single"/>
        </w:rPr>
        <w:t xml:space="preserve">Eternal Recurrence </w:t>
      </w:r>
    </w:p>
    <w:p w:rsidR="00AD1D10" w:rsidRPr="00230449" w:rsidRDefault="00AD1D10" w:rsidP="008B1208">
      <w:pPr>
        <w:spacing w:line="360" w:lineRule="auto"/>
        <w:jc w:val="both"/>
        <w:rPr>
          <w:rFonts w:ascii="Arial" w:hAnsi="Arial" w:cs="Arial"/>
        </w:rPr>
      </w:pPr>
    </w:p>
    <w:p w:rsidR="00E4139B" w:rsidRPr="00230449" w:rsidRDefault="00135124" w:rsidP="008B1208">
      <w:pPr>
        <w:spacing w:line="360" w:lineRule="auto"/>
        <w:jc w:val="both"/>
        <w:rPr>
          <w:rFonts w:ascii="Arial" w:hAnsi="Arial" w:cs="Arial"/>
        </w:rPr>
      </w:pPr>
      <w:r w:rsidRPr="00230449">
        <w:rPr>
          <w:rFonts w:ascii="Arial" w:hAnsi="Arial" w:cs="Arial"/>
        </w:rPr>
        <w:t>A</w:t>
      </w:r>
      <w:r w:rsidR="00E4139B" w:rsidRPr="00230449">
        <w:rPr>
          <w:rFonts w:ascii="Arial" w:hAnsi="Arial" w:cs="Arial"/>
        </w:rPr>
        <w:t xml:space="preserve">t paragraph 341 of </w:t>
      </w:r>
      <w:r w:rsidR="00E4139B" w:rsidRPr="00230449">
        <w:rPr>
          <w:rFonts w:ascii="Arial" w:hAnsi="Arial" w:cs="Arial"/>
          <w:i/>
        </w:rPr>
        <w:t>The Gay Science</w:t>
      </w:r>
      <w:r w:rsidRPr="00230449">
        <w:rPr>
          <w:rFonts w:ascii="Arial" w:hAnsi="Arial" w:cs="Arial"/>
        </w:rPr>
        <w:t xml:space="preserve"> in</w:t>
      </w:r>
      <w:r w:rsidR="00D45653" w:rsidRPr="00230449">
        <w:rPr>
          <w:rFonts w:ascii="Arial" w:hAnsi="Arial" w:cs="Arial"/>
        </w:rPr>
        <w:t xml:space="preserve"> </w:t>
      </w:r>
      <w:r w:rsidR="00C229F6" w:rsidRPr="00230449">
        <w:rPr>
          <w:rFonts w:ascii="Arial" w:hAnsi="Arial" w:cs="Arial"/>
        </w:rPr>
        <w:t>an aphorism, or apercu</w:t>
      </w:r>
      <w:r w:rsidRPr="00230449">
        <w:rPr>
          <w:rFonts w:ascii="Arial" w:hAnsi="Arial" w:cs="Arial"/>
        </w:rPr>
        <w:t xml:space="preserve">, </w:t>
      </w:r>
      <w:r w:rsidR="00D45653" w:rsidRPr="00230449">
        <w:rPr>
          <w:rFonts w:ascii="Arial" w:hAnsi="Arial" w:cs="Arial"/>
        </w:rPr>
        <w:t>which is entitled “the heaviest weight”</w:t>
      </w:r>
      <w:r w:rsidR="000E227D" w:rsidRPr="00230449">
        <w:rPr>
          <w:rFonts w:ascii="Arial" w:hAnsi="Arial" w:cs="Arial"/>
        </w:rPr>
        <w:t>,</w:t>
      </w:r>
      <w:r w:rsidR="00E4139B" w:rsidRPr="00230449">
        <w:rPr>
          <w:rFonts w:ascii="Arial" w:hAnsi="Arial" w:cs="Arial"/>
        </w:rPr>
        <w:t xml:space="preserve"> Nietzsche proposes a thought experiment. </w:t>
      </w:r>
      <w:r w:rsidR="006F6A0E" w:rsidRPr="00230449">
        <w:rPr>
          <w:rFonts w:ascii="Arial" w:hAnsi="Arial" w:cs="Arial"/>
        </w:rPr>
        <w:t>H</w:t>
      </w:r>
      <w:r w:rsidR="00E4139B" w:rsidRPr="00230449">
        <w:rPr>
          <w:rFonts w:ascii="Arial" w:hAnsi="Arial" w:cs="Arial"/>
        </w:rPr>
        <w:t xml:space="preserve">e states: </w:t>
      </w:r>
    </w:p>
    <w:p w:rsidR="00E4139B" w:rsidRPr="00230449" w:rsidRDefault="00E4139B" w:rsidP="008B1208">
      <w:pPr>
        <w:spacing w:line="360" w:lineRule="auto"/>
        <w:jc w:val="both"/>
        <w:rPr>
          <w:rFonts w:ascii="Arial" w:hAnsi="Arial" w:cs="Arial"/>
        </w:rPr>
      </w:pPr>
    </w:p>
    <w:p w:rsidR="00E4139B" w:rsidRPr="00230449" w:rsidRDefault="00E4139B" w:rsidP="00D05BDE">
      <w:pPr>
        <w:ind w:left="720"/>
        <w:jc w:val="both"/>
        <w:rPr>
          <w:rFonts w:ascii="Arial" w:hAnsi="Arial" w:cs="Arial"/>
          <w:sz w:val="22"/>
          <w:szCs w:val="22"/>
        </w:rPr>
      </w:pPr>
      <w:r w:rsidRPr="00230449">
        <w:rPr>
          <w:rFonts w:ascii="Arial" w:hAnsi="Arial" w:cs="Arial"/>
          <w:i/>
          <w:sz w:val="22"/>
          <w:szCs w:val="22"/>
        </w:rPr>
        <w:t>“</w:t>
      </w:r>
      <w:r w:rsidR="00D45653" w:rsidRPr="00230449">
        <w:rPr>
          <w:rFonts w:ascii="Arial" w:hAnsi="Arial" w:cs="Arial"/>
          <w:i/>
          <w:sz w:val="22"/>
          <w:szCs w:val="22"/>
        </w:rPr>
        <w:t>What if some day or night</w:t>
      </w:r>
      <w:r w:rsidR="00D05BDE" w:rsidRPr="00230449">
        <w:rPr>
          <w:rFonts w:ascii="Arial" w:hAnsi="Arial" w:cs="Arial"/>
          <w:i/>
          <w:sz w:val="22"/>
          <w:szCs w:val="22"/>
        </w:rPr>
        <w:t xml:space="preserve"> a demon</w:t>
      </w:r>
      <w:r w:rsidR="00F161BB" w:rsidRPr="00230449">
        <w:rPr>
          <w:rStyle w:val="FootnoteReference"/>
          <w:rFonts w:ascii="Arial" w:hAnsi="Arial"/>
          <w:i/>
          <w:sz w:val="22"/>
          <w:szCs w:val="22"/>
        </w:rPr>
        <w:footnoteReference w:id="23"/>
      </w:r>
      <w:r w:rsidR="00D05BDE" w:rsidRPr="00230449">
        <w:rPr>
          <w:rFonts w:ascii="Arial" w:hAnsi="Arial" w:cs="Arial"/>
          <w:i/>
          <w:sz w:val="22"/>
          <w:szCs w:val="22"/>
        </w:rPr>
        <w:t xml:space="preserve"> were to steal into your loneliest loneliness and say to you: ‘This life</w:t>
      </w:r>
      <w:r w:rsidR="000E227D" w:rsidRPr="00230449">
        <w:rPr>
          <w:rFonts w:ascii="Arial" w:hAnsi="Arial" w:cs="Arial"/>
          <w:i/>
          <w:sz w:val="22"/>
          <w:szCs w:val="22"/>
        </w:rPr>
        <w:t xml:space="preserve"> as you now live it and have lived it you will have to live once again </w:t>
      </w:r>
      <w:r w:rsidR="000E227D" w:rsidRPr="00230449">
        <w:rPr>
          <w:rFonts w:ascii="Arial" w:hAnsi="Arial" w:cs="Arial"/>
          <w:i/>
          <w:sz w:val="22"/>
          <w:szCs w:val="22"/>
        </w:rPr>
        <w:lastRenderedPageBreak/>
        <w:t>and innumerable times again; and there will be nothing new in it, but every pain and every joy and every thought and sigh and everything unspeakably small or great in your life must return to you, all in the same succession and sequence – even this spider and this moonlight between the trees, and even this moment and I myself. The eternal hour glass of existence is turned over again and again, and you with it, speck of dust!” Would you not throw yourself down and gnash your teeth and curse the demon who spoke thus?”</w:t>
      </w:r>
      <w:r w:rsidR="000E227D" w:rsidRPr="00230449">
        <w:rPr>
          <w:rStyle w:val="FootnoteReference"/>
          <w:rFonts w:ascii="Arial" w:hAnsi="Arial"/>
          <w:sz w:val="22"/>
          <w:szCs w:val="22"/>
        </w:rPr>
        <w:footnoteReference w:id="24"/>
      </w:r>
    </w:p>
    <w:p w:rsidR="005420C3" w:rsidRPr="00230449" w:rsidRDefault="005420C3" w:rsidP="008B1208">
      <w:pPr>
        <w:spacing w:line="360" w:lineRule="auto"/>
        <w:jc w:val="both"/>
        <w:rPr>
          <w:rFonts w:ascii="Arial" w:hAnsi="Arial" w:cs="Arial"/>
        </w:rPr>
      </w:pPr>
    </w:p>
    <w:p w:rsidR="00E4139B" w:rsidRPr="00230449" w:rsidRDefault="00E4139B" w:rsidP="005420C3">
      <w:pPr>
        <w:jc w:val="center"/>
        <w:rPr>
          <w:rFonts w:ascii="Arial" w:hAnsi="Arial" w:cs="Arial"/>
        </w:rPr>
      </w:pPr>
    </w:p>
    <w:p w:rsidR="00CC447E" w:rsidRPr="00230449" w:rsidRDefault="00A94008" w:rsidP="008B1208">
      <w:pPr>
        <w:spacing w:line="360" w:lineRule="auto"/>
        <w:jc w:val="both"/>
        <w:rPr>
          <w:rFonts w:ascii="Arial" w:hAnsi="Arial" w:cs="Arial"/>
          <w:color w:val="000000" w:themeColor="text1"/>
        </w:rPr>
      </w:pPr>
      <w:r w:rsidRPr="00230449">
        <w:rPr>
          <w:rFonts w:ascii="Arial" w:hAnsi="Arial" w:cs="Arial"/>
        </w:rPr>
        <w:t>Nietzsche’s</w:t>
      </w:r>
      <w:r w:rsidR="00A87669" w:rsidRPr="00230449">
        <w:rPr>
          <w:rFonts w:ascii="Arial" w:hAnsi="Arial" w:cs="Arial"/>
        </w:rPr>
        <w:t xml:space="preserve"> “best known thought…”</w:t>
      </w:r>
      <w:r w:rsidR="00A87669" w:rsidRPr="00230449">
        <w:rPr>
          <w:rStyle w:val="FootnoteReference"/>
          <w:rFonts w:ascii="Arial" w:hAnsi="Arial"/>
        </w:rPr>
        <w:footnoteReference w:id="25"/>
      </w:r>
      <w:r w:rsidR="00A87669" w:rsidRPr="00230449">
        <w:rPr>
          <w:rFonts w:ascii="Arial" w:hAnsi="Arial" w:cs="Arial"/>
        </w:rPr>
        <w:t xml:space="preserve"> was a </w:t>
      </w:r>
      <w:r w:rsidR="007B5B6F" w:rsidRPr="00230449">
        <w:rPr>
          <w:rFonts w:ascii="Arial" w:hAnsi="Arial" w:cs="Arial"/>
        </w:rPr>
        <w:t>thought experiment</w:t>
      </w:r>
      <w:r w:rsidR="00AD42D8" w:rsidRPr="00230449">
        <w:rPr>
          <w:rFonts w:ascii="Arial" w:hAnsi="Arial" w:cs="Arial"/>
        </w:rPr>
        <w:t>, or</w:t>
      </w:r>
      <w:r w:rsidR="00425494" w:rsidRPr="00230449">
        <w:rPr>
          <w:rFonts w:ascii="Arial" w:hAnsi="Arial" w:cs="Arial"/>
        </w:rPr>
        <w:t xml:space="preserve"> cosmo</w:t>
      </w:r>
      <w:r w:rsidR="000858B1" w:rsidRPr="00230449">
        <w:rPr>
          <w:rFonts w:ascii="Arial" w:hAnsi="Arial" w:cs="Arial"/>
        </w:rPr>
        <w:t>logical</w:t>
      </w:r>
      <w:r w:rsidR="00AD42D8" w:rsidRPr="00230449">
        <w:rPr>
          <w:rFonts w:ascii="Arial" w:hAnsi="Arial" w:cs="Arial"/>
        </w:rPr>
        <w:t xml:space="preserve"> hypothetical question,</w:t>
      </w:r>
      <w:r w:rsidR="007B5B6F" w:rsidRPr="00230449">
        <w:rPr>
          <w:rFonts w:ascii="Arial" w:hAnsi="Arial" w:cs="Arial"/>
        </w:rPr>
        <w:t xml:space="preserve"> </w:t>
      </w:r>
      <w:r w:rsidR="00A87669" w:rsidRPr="00230449">
        <w:rPr>
          <w:rFonts w:ascii="Arial" w:hAnsi="Arial" w:cs="Arial"/>
        </w:rPr>
        <w:t xml:space="preserve">that </w:t>
      </w:r>
      <w:r w:rsidR="007B5B6F" w:rsidRPr="00230449">
        <w:rPr>
          <w:rFonts w:ascii="Arial" w:hAnsi="Arial" w:cs="Arial"/>
        </w:rPr>
        <w:t>was designed t</w:t>
      </w:r>
      <w:r w:rsidRPr="00230449">
        <w:rPr>
          <w:rFonts w:ascii="Arial" w:hAnsi="Arial" w:cs="Arial"/>
        </w:rPr>
        <w:t>o test the reader</w:t>
      </w:r>
      <w:r w:rsidR="00C229F6" w:rsidRPr="00230449">
        <w:rPr>
          <w:rFonts w:ascii="Arial" w:hAnsi="Arial" w:cs="Arial"/>
        </w:rPr>
        <w:t>’</w:t>
      </w:r>
      <w:r w:rsidRPr="00230449">
        <w:rPr>
          <w:rFonts w:ascii="Arial" w:hAnsi="Arial" w:cs="Arial"/>
        </w:rPr>
        <w:t>s ability to, “not be overcome by the world’s horror and meaninglessness.”</w:t>
      </w:r>
      <w:r w:rsidRPr="00230449">
        <w:rPr>
          <w:rStyle w:val="FootnoteReference"/>
          <w:rFonts w:ascii="Arial" w:hAnsi="Arial"/>
        </w:rPr>
        <w:footnoteReference w:id="26"/>
      </w:r>
      <w:r w:rsidRPr="00230449">
        <w:rPr>
          <w:rFonts w:ascii="Arial" w:hAnsi="Arial" w:cs="Arial"/>
        </w:rPr>
        <w:t xml:space="preserve"> </w:t>
      </w:r>
      <w:r w:rsidR="006D0664" w:rsidRPr="00230449">
        <w:rPr>
          <w:rFonts w:ascii="Arial" w:hAnsi="Arial" w:cs="Arial"/>
        </w:rPr>
        <w:t>Here we see Nietzsche as the “philosopher of…Eternity.”</w:t>
      </w:r>
      <w:r w:rsidR="006D0664" w:rsidRPr="00230449">
        <w:rPr>
          <w:rStyle w:val="FootnoteReference"/>
          <w:rFonts w:ascii="Arial" w:hAnsi="Arial"/>
        </w:rPr>
        <w:footnoteReference w:id="27"/>
      </w:r>
      <w:r w:rsidR="006D0664" w:rsidRPr="00230449">
        <w:rPr>
          <w:rFonts w:ascii="Arial" w:hAnsi="Arial" w:cs="Arial"/>
        </w:rPr>
        <w:t xml:space="preserve"> </w:t>
      </w:r>
      <w:r w:rsidR="00A87669" w:rsidRPr="00230449">
        <w:rPr>
          <w:rFonts w:ascii="Arial" w:hAnsi="Arial" w:cs="Arial"/>
        </w:rPr>
        <w:t>He returned</w:t>
      </w:r>
      <w:r w:rsidR="006F6A0E" w:rsidRPr="00230449">
        <w:rPr>
          <w:rFonts w:ascii="Arial" w:hAnsi="Arial" w:cs="Arial"/>
        </w:rPr>
        <w:t xml:space="preserve"> to his “most peculiar of his many peculiar ideas”</w:t>
      </w:r>
      <w:r w:rsidR="006F6A0E" w:rsidRPr="00230449">
        <w:rPr>
          <w:rStyle w:val="FootnoteReference"/>
          <w:rFonts w:ascii="Arial" w:hAnsi="Arial"/>
        </w:rPr>
        <w:footnoteReference w:id="28"/>
      </w:r>
      <w:r w:rsidR="006F6A0E" w:rsidRPr="00230449">
        <w:rPr>
          <w:rFonts w:ascii="Arial" w:hAnsi="Arial" w:cs="Arial"/>
        </w:rPr>
        <w:t xml:space="preserve"> </w:t>
      </w:r>
      <w:r w:rsidR="00A87669" w:rsidRPr="00230449">
        <w:rPr>
          <w:rFonts w:ascii="Arial" w:hAnsi="Arial" w:cs="Arial"/>
        </w:rPr>
        <w:t>again</w:t>
      </w:r>
      <w:r w:rsidR="009335AE" w:rsidRPr="00230449">
        <w:rPr>
          <w:rFonts w:ascii="Arial" w:hAnsi="Arial" w:cs="Arial"/>
        </w:rPr>
        <w:t xml:space="preserve"> in</w:t>
      </w:r>
      <w:r w:rsidR="000F42D8" w:rsidRPr="00230449">
        <w:rPr>
          <w:rFonts w:ascii="Arial" w:hAnsi="Arial" w:cs="Arial"/>
        </w:rPr>
        <w:t xml:space="preserve"> a work “where </w:t>
      </w:r>
      <w:r w:rsidR="00035E21" w:rsidRPr="00230449">
        <w:rPr>
          <w:rFonts w:ascii="Arial" w:hAnsi="Arial" w:cs="Arial"/>
        </w:rPr>
        <w:t xml:space="preserve">Eternal Recurrence </w:t>
      </w:r>
      <w:r w:rsidR="000F42D8" w:rsidRPr="00230449">
        <w:rPr>
          <w:rFonts w:ascii="Arial" w:hAnsi="Arial" w:cs="Arial"/>
        </w:rPr>
        <w:t>is the basic inspiration of the whole”</w:t>
      </w:r>
      <w:r w:rsidR="000F42D8" w:rsidRPr="00230449">
        <w:rPr>
          <w:rStyle w:val="FootnoteReference"/>
          <w:rFonts w:ascii="Arial" w:hAnsi="Arial"/>
        </w:rPr>
        <w:footnoteReference w:id="29"/>
      </w:r>
      <w:r w:rsidR="00F50BAE" w:rsidRPr="00230449">
        <w:rPr>
          <w:rFonts w:ascii="Arial" w:hAnsi="Arial" w:cs="Arial"/>
        </w:rPr>
        <w:t xml:space="preserve"> book. The </w:t>
      </w:r>
      <w:r w:rsidR="00EC2A3F" w:rsidRPr="00230449">
        <w:rPr>
          <w:rFonts w:ascii="Arial" w:hAnsi="Arial" w:cs="Arial"/>
        </w:rPr>
        <w:t xml:space="preserve">third </w:t>
      </w:r>
      <w:r w:rsidR="00F50BAE" w:rsidRPr="00230449">
        <w:rPr>
          <w:rFonts w:ascii="Arial" w:hAnsi="Arial" w:cs="Arial"/>
        </w:rPr>
        <w:t>part</w:t>
      </w:r>
      <w:r w:rsidR="00EC2A3F" w:rsidRPr="00230449">
        <w:rPr>
          <w:rFonts w:ascii="Arial" w:hAnsi="Arial" w:cs="Arial"/>
        </w:rPr>
        <w:t xml:space="preserve"> of the book</w:t>
      </w:r>
      <w:r w:rsidR="00F50BAE" w:rsidRPr="00230449">
        <w:rPr>
          <w:rFonts w:ascii="Arial" w:hAnsi="Arial" w:cs="Arial"/>
        </w:rPr>
        <w:t xml:space="preserve"> was w</w:t>
      </w:r>
      <w:r w:rsidR="00EC2A3F" w:rsidRPr="00230449">
        <w:rPr>
          <w:rFonts w:ascii="Arial" w:hAnsi="Arial" w:cs="Arial"/>
        </w:rPr>
        <w:t>ritten in Nice during</w:t>
      </w:r>
      <w:r w:rsidR="00F50BAE" w:rsidRPr="00230449">
        <w:rPr>
          <w:rFonts w:ascii="Arial" w:hAnsi="Arial" w:cs="Arial"/>
        </w:rPr>
        <w:t xml:space="preserve"> January 1884. I</w:t>
      </w:r>
      <w:r w:rsidR="000F42D8" w:rsidRPr="00230449">
        <w:rPr>
          <w:rFonts w:ascii="Arial" w:hAnsi="Arial" w:cs="Arial"/>
        </w:rPr>
        <w:t>n</w:t>
      </w:r>
      <w:r w:rsidR="009335AE" w:rsidRPr="00230449">
        <w:rPr>
          <w:rFonts w:ascii="Arial" w:hAnsi="Arial" w:cs="Arial"/>
        </w:rPr>
        <w:t xml:space="preserve"> </w:t>
      </w:r>
      <w:r w:rsidR="009335AE" w:rsidRPr="00230449">
        <w:rPr>
          <w:rFonts w:ascii="Arial" w:hAnsi="Arial" w:cs="Arial"/>
          <w:i/>
          <w:color w:val="000000" w:themeColor="text1"/>
        </w:rPr>
        <w:t>Thus</w:t>
      </w:r>
      <w:r w:rsidR="00AC25D6" w:rsidRPr="00230449">
        <w:rPr>
          <w:rFonts w:ascii="Arial" w:hAnsi="Arial" w:cs="Arial"/>
          <w:i/>
          <w:color w:val="000000" w:themeColor="text1"/>
        </w:rPr>
        <w:t xml:space="preserve"> Spoke</w:t>
      </w:r>
      <w:r w:rsidR="00E40EC7" w:rsidRPr="00230449">
        <w:rPr>
          <w:rFonts w:ascii="Arial" w:hAnsi="Arial" w:cs="Arial"/>
          <w:i/>
          <w:color w:val="000000" w:themeColor="text1"/>
        </w:rPr>
        <w:t xml:space="preserve"> Zarathustra</w:t>
      </w:r>
      <w:r w:rsidR="00F50BAE" w:rsidRPr="00230449">
        <w:rPr>
          <w:rFonts w:ascii="Arial" w:hAnsi="Arial" w:cs="Arial"/>
          <w:color w:val="000000" w:themeColor="text1"/>
        </w:rPr>
        <w:t xml:space="preserve"> Nietzsche</w:t>
      </w:r>
      <w:r w:rsidR="000F42D8" w:rsidRPr="00230449">
        <w:rPr>
          <w:rFonts w:ascii="Arial" w:hAnsi="Arial" w:cs="Arial"/>
          <w:color w:val="000000" w:themeColor="text1"/>
        </w:rPr>
        <w:t xml:space="preserve"> posited </w:t>
      </w:r>
      <w:r w:rsidR="00035E21" w:rsidRPr="00230449">
        <w:rPr>
          <w:rFonts w:ascii="Arial" w:hAnsi="Arial" w:cs="Arial"/>
          <w:color w:val="000000" w:themeColor="text1"/>
        </w:rPr>
        <w:t xml:space="preserve">Eternal Recurrence </w:t>
      </w:r>
      <w:r w:rsidR="000F42D8" w:rsidRPr="00230449">
        <w:rPr>
          <w:rFonts w:ascii="Arial" w:hAnsi="Arial" w:cs="Arial"/>
          <w:color w:val="000000" w:themeColor="text1"/>
        </w:rPr>
        <w:t>as a metaphysical truth</w:t>
      </w:r>
      <w:r w:rsidR="00846895" w:rsidRPr="00230449">
        <w:rPr>
          <w:rFonts w:ascii="Arial" w:hAnsi="Arial" w:cs="Arial"/>
          <w:color w:val="000000" w:themeColor="text1"/>
        </w:rPr>
        <w:t>:</w:t>
      </w:r>
      <w:r w:rsidR="006F2A2F" w:rsidRPr="00230449">
        <w:rPr>
          <w:rFonts w:ascii="Arial" w:hAnsi="Arial" w:cs="Arial"/>
          <w:color w:val="000000" w:themeColor="text1"/>
        </w:rPr>
        <w:t xml:space="preserve"> </w:t>
      </w:r>
    </w:p>
    <w:p w:rsidR="00CC447E" w:rsidRPr="00230449" w:rsidRDefault="00CC447E" w:rsidP="008B1208">
      <w:pPr>
        <w:spacing w:line="360" w:lineRule="auto"/>
        <w:jc w:val="both"/>
        <w:rPr>
          <w:rFonts w:ascii="Arial" w:hAnsi="Arial" w:cs="Arial"/>
          <w:color w:val="000000" w:themeColor="text1"/>
        </w:rPr>
      </w:pPr>
    </w:p>
    <w:p w:rsidR="00CC447E" w:rsidRPr="00230449" w:rsidRDefault="00CC447E" w:rsidP="00222739">
      <w:pPr>
        <w:ind w:left="720"/>
        <w:jc w:val="both"/>
        <w:rPr>
          <w:rFonts w:ascii="Arial" w:hAnsi="Arial" w:cs="Arial"/>
          <w:i/>
          <w:color w:val="000000" w:themeColor="text1"/>
          <w:sz w:val="22"/>
          <w:szCs w:val="22"/>
        </w:rPr>
      </w:pPr>
      <w:r w:rsidRPr="00230449">
        <w:rPr>
          <w:rFonts w:ascii="Arial" w:hAnsi="Arial" w:cs="Arial"/>
          <w:i/>
          <w:color w:val="000000" w:themeColor="text1"/>
          <w:sz w:val="22"/>
          <w:szCs w:val="22"/>
        </w:rPr>
        <w:t>“</w:t>
      </w:r>
      <w:r w:rsidR="00222739" w:rsidRPr="00230449">
        <w:rPr>
          <w:rFonts w:ascii="Arial" w:hAnsi="Arial" w:cs="Arial"/>
          <w:i/>
          <w:color w:val="000000" w:themeColor="text1"/>
          <w:sz w:val="22"/>
          <w:szCs w:val="22"/>
        </w:rPr>
        <w:t xml:space="preserve">Behold this gateway..; it has two aspects. Two paths come together here; no one has ever reached their end. This long lane behind us: it goes on for an eternity. They are in opposition to one another, These paths; they abut on one another. The name of the gateway is written above it; ‘Moment’. But if one were to follow them further and ever further; do you think…that these paths would be in eternal opposition?...Behold this moment!...From this gateway Moment a long, eternal lane runs back; an eternity lies behind us. Must not all things that can run have already run along this lane? Must all things that can happen have already happened, been done, run past? And if all things have been here before; what do you think of this moment… must not this gateway too have been here – before? And are not all things bound fast together in such a way that this moment draws after it all future things? Therefore – draws itself too? For all things that can run must also run once again forward along this long lane. And this slow spider that creeps along in the moonlight, and this moonlight itself, and I and you at this gateway whispering together whispering of eternal things – must we not all have been </w:t>
      </w:r>
      <w:r w:rsidR="00222739" w:rsidRPr="00230449">
        <w:rPr>
          <w:rFonts w:ascii="Arial" w:hAnsi="Arial" w:cs="Arial"/>
          <w:i/>
          <w:color w:val="000000" w:themeColor="text1"/>
          <w:sz w:val="22"/>
          <w:szCs w:val="22"/>
        </w:rPr>
        <w:lastRenderedPageBreak/>
        <w:t>here before? – and must we not return and run down that other lane out before us, down that terrible long lane – must we not return eternally?</w:t>
      </w:r>
      <w:r w:rsidR="00577109" w:rsidRPr="00230449">
        <w:rPr>
          <w:rFonts w:ascii="Arial" w:hAnsi="Arial" w:cs="Arial"/>
          <w:i/>
          <w:color w:val="000000" w:themeColor="text1"/>
          <w:sz w:val="22"/>
          <w:szCs w:val="22"/>
        </w:rPr>
        <w:t>”</w:t>
      </w:r>
      <w:r w:rsidR="00222739" w:rsidRPr="00230449">
        <w:rPr>
          <w:rStyle w:val="FootnoteReference"/>
          <w:rFonts w:ascii="Arial" w:hAnsi="Arial"/>
          <w:color w:val="000000" w:themeColor="text1"/>
          <w:sz w:val="22"/>
          <w:szCs w:val="22"/>
        </w:rPr>
        <w:footnoteReference w:id="30"/>
      </w:r>
    </w:p>
    <w:p w:rsidR="00CC447E" w:rsidRPr="00230449" w:rsidRDefault="00CC447E" w:rsidP="008B1208">
      <w:pPr>
        <w:spacing w:line="360" w:lineRule="auto"/>
        <w:jc w:val="both"/>
        <w:rPr>
          <w:rFonts w:ascii="Arial" w:hAnsi="Arial" w:cs="Arial"/>
          <w:color w:val="000000" w:themeColor="text1"/>
        </w:rPr>
      </w:pPr>
    </w:p>
    <w:p w:rsidR="009335AE" w:rsidRPr="00230449" w:rsidRDefault="00CC447E" w:rsidP="008B1208">
      <w:pPr>
        <w:spacing w:line="360" w:lineRule="auto"/>
        <w:jc w:val="both"/>
        <w:rPr>
          <w:rFonts w:ascii="Arial" w:hAnsi="Arial" w:cs="Arial"/>
          <w:color w:val="000000" w:themeColor="text1"/>
        </w:rPr>
      </w:pPr>
      <w:r w:rsidRPr="00230449">
        <w:rPr>
          <w:rFonts w:ascii="Arial" w:hAnsi="Arial" w:cs="Arial"/>
          <w:color w:val="000000" w:themeColor="text1"/>
        </w:rPr>
        <w:t xml:space="preserve">In recognising the </w:t>
      </w:r>
      <w:r w:rsidR="00035E21" w:rsidRPr="00230449">
        <w:rPr>
          <w:rFonts w:ascii="Arial" w:hAnsi="Arial" w:cs="Arial"/>
          <w:color w:val="000000" w:themeColor="text1"/>
        </w:rPr>
        <w:t xml:space="preserve">Eternal Recurrence </w:t>
      </w:r>
      <w:r w:rsidR="006F2A2F" w:rsidRPr="00230449">
        <w:rPr>
          <w:rFonts w:ascii="Arial" w:hAnsi="Arial" w:cs="Arial"/>
          <w:color w:val="000000" w:themeColor="text1"/>
        </w:rPr>
        <w:t>Zarathustra says</w:t>
      </w:r>
      <w:r w:rsidR="00E40EC7" w:rsidRPr="00230449">
        <w:rPr>
          <w:rFonts w:ascii="Arial" w:hAnsi="Arial" w:cs="Arial"/>
          <w:color w:val="000000" w:themeColor="text1"/>
        </w:rPr>
        <w:t>:</w:t>
      </w:r>
    </w:p>
    <w:p w:rsidR="00A87669" w:rsidRPr="00230449" w:rsidRDefault="00A87669" w:rsidP="008B1208">
      <w:pPr>
        <w:spacing w:line="360" w:lineRule="auto"/>
        <w:jc w:val="both"/>
        <w:rPr>
          <w:rFonts w:ascii="Arial" w:hAnsi="Arial" w:cs="Arial"/>
          <w:color w:val="000000" w:themeColor="text1"/>
        </w:rPr>
      </w:pPr>
    </w:p>
    <w:p w:rsidR="00A87669" w:rsidRPr="00230449" w:rsidRDefault="00A87669" w:rsidP="00E80408">
      <w:pPr>
        <w:ind w:left="720"/>
        <w:jc w:val="both"/>
        <w:rPr>
          <w:rFonts w:ascii="Arial" w:hAnsi="Arial" w:cs="Arial"/>
          <w:i/>
          <w:color w:val="000000" w:themeColor="text1"/>
          <w:sz w:val="22"/>
          <w:szCs w:val="22"/>
        </w:rPr>
      </w:pPr>
      <w:r w:rsidRPr="00230449">
        <w:rPr>
          <w:rFonts w:ascii="Arial" w:hAnsi="Arial" w:cs="Arial"/>
          <w:i/>
          <w:color w:val="000000" w:themeColor="text1"/>
          <w:sz w:val="22"/>
          <w:szCs w:val="22"/>
        </w:rPr>
        <w:t>“</w:t>
      </w:r>
      <w:r w:rsidR="006F2A2F" w:rsidRPr="00230449">
        <w:rPr>
          <w:rFonts w:ascii="Arial" w:hAnsi="Arial" w:cs="Arial"/>
          <w:i/>
          <w:color w:val="000000" w:themeColor="text1"/>
          <w:sz w:val="22"/>
          <w:szCs w:val="22"/>
        </w:rPr>
        <w:t>My sighing sat upon all human graves and could not linger stand up; my sighing and questioning croaked and choked and gnashed and lashed day and night: - ‘alas, human beings recur eternally! The small human beings recur eternally!</w:t>
      </w:r>
      <w:r w:rsidR="00E40EC7" w:rsidRPr="00230449">
        <w:rPr>
          <w:rFonts w:ascii="Arial" w:hAnsi="Arial" w:cs="Arial"/>
          <w:i/>
          <w:color w:val="000000" w:themeColor="text1"/>
          <w:sz w:val="22"/>
          <w:szCs w:val="22"/>
        </w:rPr>
        <w:t>”</w:t>
      </w:r>
      <w:r w:rsidR="00E40EC7" w:rsidRPr="00230449">
        <w:rPr>
          <w:rStyle w:val="FootnoteReference"/>
          <w:rFonts w:ascii="Arial" w:hAnsi="Arial"/>
          <w:color w:val="000000" w:themeColor="text1"/>
          <w:sz w:val="22"/>
          <w:szCs w:val="22"/>
        </w:rPr>
        <w:footnoteReference w:id="31"/>
      </w:r>
    </w:p>
    <w:p w:rsidR="006F2A2F" w:rsidRPr="00230449" w:rsidRDefault="006F2A2F" w:rsidP="006F2A2F">
      <w:pPr>
        <w:spacing w:line="360" w:lineRule="auto"/>
        <w:jc w:val="both"/>
        <w:rPr>
          <w:rFonts w:ascii="Arial" w:hAnsi="Arial" w:cs="Arial"/>
          <w:color w:val="000000" w:themeColor="text1"/>
        </w:rPr>
      </w:pPr>
    </w:p>
    <w:p w:rsidR="006F2A2F" w:rsidRPr="00230449" w:rsidRDefault="00366CF5" w:rsidP="006F2A2F">
      <w:pPr>
        <w:spacing w:line="360" w:lineRule="auto"/>
        <w:jc w:val="both"/>
        <w:rPr>
          <w:rFonts w:ascii="Arial" w:hAnsi="Arial" w:cs="Arial"/>
          <w:color w:val="000000" w:themeColor="text1"/>
        </w:rPr>
      </w:pPr>
      <w:r w:rsidRPr="00230449">
        <w:rPr>
          <w:rFonts w:ascii="Arial" w:hAnsi="Arial" w:cs="Arial"/>
          <w:color w:val="000000" w:themeColor="text1"/>
        </w:rPr>
        <w:t>By way of explanation the</w:t>
      </w:r>
      <w:r w:rsidR="00CC447E" w:rsidRPr="00230449">
        <w:rPr>
          <w:rFonts w:ascii="Arial" w:hAnsi="Arial" w:cs="Arial"/>
          <w:color w:val="000000" w:themeColor="text1"/>
        </w:rPr>
        <w:t xml:space="preserve"> eagle and serpent continue</w:t>
      </w:r>
      <w:r w:rsidR="006F2A2F" w:rsidRPr="00230449">
        <w:rPr>
          <w:rFonts w:ascii="Arial" w:hAnsi="Arial" w:cs="Arial"/>
          <w:color w:val="000000" w:themeColor="text1"/>
        </w:rPr>
        <w:t>:</w:t>
      </w:r>
    </w:p>
    <w:p w:rsidR="006F2A2F" w:rsidRPr="00230449" w:rsidRDefault="006F2A2F" w:rsidP="006F2A2F">
      <w:pPr>
        <w:spacing w:line="360" w:lineRule="auto"/>
        <w:jc w:val="both"/>
        <w:rPr>
          <w:rFonts w:ascii="Arial" w:hAnsi="Arial" w:cs="Arial"/>
          <w:color w:val="000000" w:themeColor="text1"/>
        </w:rPr>
      </w:pPr>
    </w:p>
    <w:p w:rsidR="006F2A2F" w:rsidRPr="00230449" w:rsidRDefault="006F2A2F" w:rsidP="00E80408">
      <w:pPr>
        <w:ind w:left="720"/>
        <w:jc w:val="both"/>
        <w:rPr>
          <w:rFonts w:ascii="Arial" w:hAnsi="Arial" w:cs="Arial"/>
          <w:i/>
          <w:color w:val="000000" w:themeColor="text1"/>
          <w:sz w:val="22"/>
          <w:szCs w:val="22"/>
        </w:rPr>
      </w:pPr>
      <w:r w:rsidRPr="00230449">
        <w:rPr>
          <w:rFonts w:ascii="Arial" w:hAnsi="Arial" w:cs="Arial"/>
          <w:i/>
          <w:color w:val="000000" w:themeColor="text1"/>
          <w:sz w:val="22"/>
          <w:szCs w:val="22"/>
        </w:rPr>
        <w:t>“</w:t>
      </w:r>
      <w:r w:rsidR="00862993" w:rsidRPr="00230449">
        <w:rPr>
          <w:rFonts w:ascii="Arial" w:hAnsi="Arial" w:cs="Arial"/>
          <w:i/>
          <w:color w:val="000000" w:themeColor="text1"/>
          <w:sz w:val="22"/>
          <w:szCs w:val="22"/>
        </w:rPr>
        <w:t xml:space="preserve">For your animals know well, oh Zarathustra, who you are and must become; behold, you are the teacher of the </w:t>
      </w:r>
      <w:r w:rsidR="00035E21" w:rsidRPr="00230449">
        <w:rPr>
          <w:rFonts w:ascii="Arial" w:hAnsi="Arial" w:cs="Arial"/>
          <w:i/>
          <w:color w:val="000000" w:themeColor="text1"/>
          <w:sz w:val="22"/>
          <w:szCs w:val="22"/>
        </w:rPr>
        <w:t xml:space="preserve">Eternal Recurrence </w:t>
      </w:r>
      <w:r w:rsidR="00862993" w:rsidRPr="00230449">
        <w:rPr>
          <w:rFonts w:ascii="Arial" w:hAnsi="Arial" w:cs="Arial"/>
          <w:i/>
          <w:color w:val="000000" w:themeColor="text1"/>
          <w:sz w:val="22"/>
          <w:szCs w:val="22"/>
        </w:rPr>
        <w:t>– that now is your destiny…Behold, we k</w:t>
      </w:r>
      <w:r w:rsidR="00E80408" w:rsidRPr="00230449">
        <w:rPr>
          <w:rFonts w:ascii="Arial" w:hAnsi="Arial" w:cs="Arial"/>
          <w:i/>
          <w:color w:val="000000" w:themeColor="text1"/>
          <w:sz w:val="22"/>
          <w:szCs w:val="22"/>
        </w:rPr>
        <w:t>n</w:t>
      </w:r>
      <w:r w:rsidR="00862993" w:rsidRPr="00230449">
        <w:rPr>
          <w:rFonts w:ascii="Arial" w:hAnsi="Arial" w:cs="Arial"/>
          <w:i/>
          <w:color w:val="000000" w:themeColor="text1"/>
          <w:sz w:val="22"/>
          <w:szCs w:val="22"/>
        </w:rPr>
        <w:t>ow what you teach: that all things recur eternally and we ourselves along with them, and that we have already been here times eternal and all things along with us</w:t>
      </w:r>
      <w:r w:rsidR="000415E8" w:rsidRPr="00230449">
        <w:rPr>
          <w:rFonts w:ascii="Arial" w:hAnsi="Arial" w:cs="Arial"/>
          <w:i/>
          <w:color w:val="000000" w:themeColor="text1"/>
          <w:sz w:val="22"/>
          <w:szCs w:val="22"/>
        </w:rPr>
        <w:t>..</w:t>
      </w:r>
      <w:r w:rsidR="00862993" w:rsidRPr="00230449">
        <w:rPr>
          <w:rFonts w:ascii="Arial" w:hAnsi="Arial" w:cs="Arial"/>
          <w:i/>
          <w:color w:val="000000" w:themeColor="text1"/>
          <w:sz w:val="22"/>
          <w:szCs w:val="22"/>
        </w:rPr>
        <w:t>.</w:t>
      </w:r>
      <w:r w:rsidR="00244CA8" w:rsidRPr="00230449">
        <w:rPr>
          <w:rFonts w:ascii="Arial" w:hAnsi="Arial" w:cs="Arial"/>
          <w:i/>
          <w:color w:val="000000" w:themeColor="text1"/>
          <w:sz w:val="22"/>
          <w:szCs w:val="22"/>
        </w:rPr>
        <w:t>like an hourglass it must turn itself over anew, again and again, so that it runs down and runs out anew – so that all those years are the same as each other, in what is greatest and also in what is smallest – so that we ourselves in every great year are the same…</w:t>
      </w:r>
      <w:r w:rsidR="00862993" w:rsidRPr="00230449">
        <w:rPr>
          <w:rFonts w:ascii="Arial" w:hAnsi="Arial" w:cs="Arial"/>
          <w:i/>
          <w:color w:val="000000" w:themeColor="text1"/>
          <w:sz w:val="22"/>
          <w:szCs w:val="22"/>
        </w:rPr>
        <w:t>”</w:t>
      </w:r>
      <w:r w:rsidR="00862993" w:rsidRPr="00230449">
        <w:rPr>
          <w:rStyle w:val="FootnoteReference"/>
          <w:rFonts w:ascii="Arial" w:hAnsi="Arial"/>
          <w:color w:val="000000" w:themeColor="text1"/>
          <w:sz w:val="22"/>
          <w:szCs w:val="22"/>
        </w:rPr>
        <w:footnoteReference w:id="32"/>
      </w:r>
    </w:p>
    <w:p w:rsidR="00E40EC7" w:rsidRPr="00230449" w:rsidRDefault="00E40EC7" w:rsidP="008B1208">
      <w:pPr>
        <w:spacing w:line="360" w:lineRule="auto"/>
        <w:jc w:val="both"/>
        <w:rPr>
          <w:rFonts w:ascii="Arial" w:hAnsi="Arial" w:cs="Arial"/>
          <w:color w:val="000000" w:themeColor="text1"/>
        </w:rPr>
      </w:pPr>
    </w:p>
    <w:p w:rsidR="00E40EC7" w:rsidRPr="00230449" w:rsidRDefault="00AD42D8" w:rsidP="008B1208">
      <w:pPr>
        <w:spacing w:line="360" w:lineRule="auto"/>
        <w:jc w:val="both"/>
        <w:rPr>
          <w:rFonts w:ascii="Arial" w:hAnsi="Arial" w:cs="Arial"/>
          <w:color w:val="000000" w:themeColor="text1"/>
        </w:rPr>
      </w:pPr>
      <w:r w:rsidRPr="00230449">
        <w:rPr>
          <w:rFonts w:ascii="Arial" w:hAnsi="Arial" w:cs="Arial"/>
          <w:color w:val="000000" w:themeColor="text1"/>
        </w:rPr>
        <w:t xml:space="preserve">In </w:t>
      </w:r>
      <w:r w:rsidRPr="00230449">
        <w:rPr>
          <w:rFonts w:ascii="Arial" w:hAnsi="Arial" w:cs="Arial"/>
          <w:i/>
          <w:color w:val="000000" w:themeColor="text1"/>
        </w:rPr>
        <w:t>The Twilight of the Idols</w:t>
      </w:r>
      <w:r w:rsidRPr="00230449">
        <w:rPr>
          <w:rFonts w:ascii="Arial" w:hAnsi="Arial" w:cs="Arial"/>
          <w:color w:val="000000" w:themeColor="text1"/>
        </w:rPr>
        <w:t xml:space="preserve"> Nietzsche mulls on the importance of </w:t>
      </w:r>
      <w:r w:rsidR="00035E21" w:rsidRPr="00230449">
        <w:rPr>
          <w:rFonts w:ascii="Arial" w:hAnsi="Arial" w:cs="Arial"/>
          <w:color w:val="000000" w:themeColor="text1"/>
        </w:rPr>
        <w:t xml:space="preserve">Eternal Recurrence </w:t>
      </w:r>
      <w:r w:rsidRPr="00230449">
        <w:rPr>
          <w:rFonts w:ascii="Arial" w:hAnsi="Arial" w:cs="Arial"/>
          <w:color w:val="000000" w:themeColor="text1"/>
        </w:rPr>
        <w:t xml:space="preserve">briefly when he states, </w:t>
      </w:r>
      <w:r w:rsidR="00BF63F7" w:rsidRPr="00230449">
        <w:rPr>
          <w:rFonts w:ascii="Arial" w:hAnsi="Arial" w:cs="Arial"/>
          <w:color w:val="000000" w:themeColor="text1"/>
        </w:rPr>
        <w:t>“I, the teacher of eternal recurrence.</w:t>
      </w:r>
      <w:r w:rsidRPr="00230449">
        <w:rPr>
          <w:rFonts w:ascii="Arial" w:hAnsi="Arial" w:cs="Arial"/>
          <w:color w:val="000000" w:themeColor="text1"/>
        </w:rPr>
        <w:t>”</w:t>
      </w:r>
      <w:r w:rsidRPr="00230449">
        <w:rPr>
          <w:rStyle w:val="FootnoteReference"/>
          <w:rFonts w:ascii="Arial" w:hAnsi="Arial"/>
          <w:color w:val="000000" w:themeColor="text1"/>
        </w:rPr>
        <w:footnoteReference w:id="33"/>
      </w:r>
      <w:r w:rsidR="00BF63F7" w:rsidRPr="00230449">
        <w:rPr>
          <w:rFonts w:ascii="Arial" w:hAnsi="Arial" w:cs="Arial"/>
          <w:color w:val="000000" w:themeColor="text1"/>
        </w:rPr>
        <w:t xml:space="preserve"> </w:t>
      </w:r>
      <w:r w:rsidRPr="00230449">
        <w:rPr>
          <w:rFonts w:ascii="Arial" w:hAnsi="Arial" w:cs="Arial"/>
          <w:color w:val="000000" w:themeColor="text1"/>
        </w:rPr>
        <w:t>Finally,</w:t>
      </w:r>
      <w:r w:rsidR="008903BD" w:rsidRPr="00230449">
        <w:rPr>
          <w:rStyle w:val="FootnoteReference"/>
          <w:rFonts w:ascii="Arial" w:hAnsi="Arial"/>
          <w:color w:val="000000" w:themeColor="text1"/>
        </w:rPr>
        <w:footnoteReference w:id="34"/>
      </w:r>
      <w:r w:rsidRPr="00230449">
        <w:rPr>
          <w:rFonts w:ascii="Arial" w:hAnsi="Arial" w:cs="Arial"/>
          <w:color w:val="000000" w:themeColor="text1"/>
        </w:rPr>
        <w:t xml:space="preserve"> </w:t>
      </w:r>
      <w:r w:rsidR="007812C9" w:rsidRPr="00230449">
        <w:rPr>
          <w:rFonts w:ascii="Arial" w:hAnsi="Arial" w:cs="Arial"/>
          <w:color w:val="000000" w:themeColor="text1"/>
        </w:rPr>
        <w:t>Nietzsche revis</w:t>
      </w:r>
      <w:r w:rsidR="00D43215" w:rsidRPr="00230449">
        <w:rPr>
          <w:rFonts w:ascii="Arial" w:hAnsi="Arial" w:cs="Arial"/>
          <w:color w:val="000000" w:themeColor="text1"/>
        </w:rPr>
        <w:t>i</w:t>
      </w:r>
      <w:r w:rsidR="007812C9" w:rsidRPr="00230449">
        <w:rPr>
          <w:rFonts w:ascii="Arial" w:hAnsi="Arial" w:cs="Arial"/>
          <w:color w:val="000000" w:themeColor="text1"/>
        </w:rPr>
        <w:t xml:space="preserve">ts </w:t>
      </w:r>
      <w:r w:rsidR="00035E21" w:rsidRPr="00230449">
        <w:rPr>
          <w:rFonts w:ascii="Arial" w:hAnsi="Arial" w:cs="Arial"/>
          <w:color w:val="000000" w:themeColor="text1"/>
        </w:rPr>
        <w:t xml:space="preserve">Eternal Recurrence </w:t>
      </w:r>
      <w:r w:rsidR="00E40EC7" w:rsidRPr="00230449">
        <w:rPr>
          <w:rFonts w:ascii="Arial" w:hAnsi="Arial" w:cs="Arial"/>
          <w:color w:val="000000" w:themeColor="text1"/>
        </w:rPr>
        <w:t xml:space="preserve">in </w:t>
      </w:r>
      <w:r w:rsidR="00E40EC7" w:rsidRPr="00230449">
        <w:rPr>
          <w:rFonts w:ascii="Arial" w:hAnsi="Arial" w:cs="Arial"/>
          <w:i/>
          <w:color w:val="000000" w:themeColor="text1"/>
        </w:rPr>
        <w:t>Ecce Homo</w:t>
      </w:r>
      <w:r w:rsidR="00D43215" w:rsidRPr="00230449">
        <w:rPr>
          <w:rFonts w:ascii="Arial" w:hAnsi="Arial" w:cs="Arial"/>
          <w:i/>
          <w:color w:val="000000" w:themeColor="text1"/>
        </w:rPr>
        <w:t>.</w:t>
      </w:r>
      <w:r w:rsidR="009754F1" w:rsidRPr="00230449">
        <w:rPr>
          <w:rFonts w:ascii="Arial" w:hAnsi="Arial" w:cs="Arial"/>
          <w:color w:val="000000" w:themeColor="text1"/>
        </w:rPr>
        <w:t xml:space="preserve"> H</w:t>
      </w:r>
      <w:r w:rsidR="00D43215" w:rsidRPr="00230449">
        <w:rPr>
          <w:rFonts w:ascii="Arial" w:hAnsi="Arial" w:cs="Arial"/>
          <w:color w:val="000000" w:themeColor="text1"/>
        </w:rPr>
        <w:t>e also makes reference to Heraclitus, the</w:t>
      </w:r>
      <w:r w:rsidR="0086499A" w:rsidRPr="00230449">
        <w:rPr>
          <w:rFonts w:ascii="Arial" w:hAnsi="Arial" w:cs="Arial"/>
          <w:color w:val="000000" w:themeColor="text1"/>
        </w:rPr>
        <w:t xml:space="preserve"> pre-Socratic</w:t>
      </w:r>
      <w:r w:rsidR="00030D51" w:rsidRPr="00230449">
        <w:rPr>
          <w:rFonts w:ascii="Arial" w:hAnsi="Arial" w:cs="Arial"/>
          <w:color w:val="000000" w:themeColor="text1"/>
        </w:rPr>
        <w:t xml:space="preserve"> </w:t>
      </w:r>
      <w:r w:rsidR="00D43215" w:rsidRPr="00230449">
        <w:rPr>
          <w:rFonts w:ascii="Arial" w:hAnsi="Arial" w:cs="Arial"/>
          <w:color w:val="000000" w:themeColor="text1"/>
        </w:rPr>
        <w:t>Greek philosopher,</w:t>
      </w:r>
      <w:r w:rsidR="0086499A" w:rsidRPr="00230449">
        <w:rPr>
          <w:rStyle w:val="FootnoteReference"/>
          <w:rFonts w:ascii="Arial" w:hAnsi="Arial"/>
          <w:color w:val="000000" w:themeColor="text1"/>
        </w:rPr>
        <w:footnoteReference w:id="35"/>
      </w:r>
      <w:r w:rsidR="00D43215" w:rsidRPr="00230449">
        <w:rPr>
          <w:rFonts w:ascii="Arial" w:hAnsi="Arial" w:cs="Arial"/>
          <w:color w:val="000000" w:themeColor="text1"/>
        </w:rPr>
        <w:t xml:space="preserve"> and potential inspiration for</w:t>
      </w:r>
      <w:r w:rsidR="00FB3A7A" w:rsidRPr="00230449">
        <w:rPr>
          <w:rFonts w:ascii="Arial" w:hAnsi="Arial" w:cs="Arial"/>
          <w:color w:val="000000" w:themeColor="text1"/>
        </w:rPr>
        <w:t xml:space="preserve"> Nietzsche’s Eternal R</w:t>
      </w:r>
      <w:r w:rsidR="004E5BA0" w:rsidRPr="00230449">
        <w:rPr>
          <w:rFonts w:ascii="Arial" w:hAnsi="Arial" w:cs="Arial"/>
          <w:color w:val="000000" w:themeColor="text1"/>
        </w:rPr>
        <w:t>ecurrence</w:t>
      </w:r>
      <w:r w:rsidR="00D43215" w:rsidRPr="00230449">
        <w:rPr>
          <w:rFonts w:ascii="Arial" w:hAnsi="Arial" w:cs="Arial"/>
          <w:color w:val="000000" w:themeColor="text1"/>
        </w:rPr>
        <w:t>. Nietzsche states</w:t>
      </w:r>
      <w:r w:rsidR="00E40EC7" w:rsidRPr="00230449">
        <w:rPr>
          <w:rFonts w:ascii="Arial" w:hAnsi="Arial" w:cs="Arial"/>
          <w:color w:val="000000" w:themeColor="text1"/>
        </w:rPr>
        <w:t>:</w:t>
      </w:r>
    </w:p>
    <w:p w:rsidR="00E40EC7" w:rsidRPr="00230449" w:rsidRDefault="00E40EC7" w:rsidP="008B1208">
      <w:pPr>
        <w:spacing w:line="360" w:lineRule="auto"/>
        <w:jc w:val="both"/>
        <w:rPr>
          <w:rFonts w:ascii="Arial" w:hAnsi="Arial" w:cs="Arial"/>
          <w:color w:val="000000" w:themeColor="text1"/>
          <w:sz w:val="22"/>
          <w:szCs w:val="22"/>
        </w:rPr>
      </w:pPr>
    </w:p>
    <w:p w:rsidR="00E40EC7" w:rsidRPr="00230449" w:rsidRDefault="00E40EC7" w:rsidP="00D43215">
      <w:pPr>
        <w:ind w:left="720"/>
        <w:jc w:val="both"/>
        <w:rPr>
          <w:rFonts w:ascii="Arial" w:hAnsi="Arial" w:cs="Arial"/>
          <w:i/>
          <w:color w:val="000000" w:themeColor="text1"/>
          <w:sz w:val="22"/>
          <w:szCs w:val="22"/>
        </w:rPr>
      </w:pPr>
      <w:r w:rsidRPr="00230449">
        <w:rPr>
          <w:rFonts w:ascii="Arial" w:hAnsi="Arial" w:cs="Arial"/>
          <w:i/>
          <w:color w:val="000000" w:themeColor="text1"/>
          <w:sz w:val="22"/>
          <w:szCs w:val="22"/>
        </w:rPr>
        <w:t>“</w:t>
      </w:r>
      <w:r w:rsidR="00D43215" w:rsidRPr="00230449">
        <w:rPr>
          <w:rFonts w:ascii="Arial" w:hAnsi="Arial" w:cs="Arial"/>
          <w:i/>
          <w:color w:val="000000" w:themeColor="text1"/>
          <w:sz w:val="22"/>
          <w:szCs w:val="22"/>
        </w:rPr>
        <w:t>The doctrine of ‘eternal return’, which is to say the unconditional and infinitely repeated cycle of all things – this is Zarathustra’s doctrine, but ultimately it is nothing Heraclitus couldn’t have said too.</w:t>
      </w:r>
      <w:r w:rsidRPr="00230449">
        <w:rPr>
          <w:rFonts w:ascii="Arial" w:hAnsi="Arial" w:cs="Arial"/>
          <w:i/>
          <w:color w:val="000000" w:themeColor="text1"/>
          <w:sz w:val="22"/>
          <w:szCs w:val="22"/>
        </w:rPr>
        <w:t>”</w:t>
      </w:r>
      <w:r w:rsidR="00E945E9" w:rsidRPr="00230449">
        <w:rPr>
          <w:rStyle w:val="FootnoteReference"/>
          <w:rFonts w:ascii="Arial" w:hAnsi="Arial"/>
          <w:color w:val="000000" w:themeColor="text1"/>
          <w:sz w:val="22"/>
          <w:szCs w:val="22"/>
        </w:rPr>
        <w:footnoteReference w:id="36"/>
      </w:r>
    </w:p>
    <w:p w:rsidR="00B25AE0" w:rsidRPr="00230449" w:rsidRDefault="00B25AE0" w:rsidP="008B1208">
      <w:pPr>
        <w:spacing w:line="360" w:lineRule="auto"/>
        <w:jc w:val="both"/>
        <w:rPr>
          <w:rFonts w:ascii="Arial" w:hAnsi="Arial" w:cs="Arial"/>
          <w:color w:val="000000" w:themeColor="text1"/>
        </w:rPr>
      </w:pPr>
    </w:p>
    <w:p w:rsidR="00E945E9" w:rsidRPr="00230449" w:rsidRDefault="00E26A61" w:rsidP="008B1208">
      <w:pPr>
        <w:spacing w:line="360" w:lineRule="auto"/>
        <w:jc w:val="both"/>
        <w:rPr>
          <w:rFonts w:ascii="Arial" w:hAnsi="Arial" w:cs="Arial"/>
          <w:color w:val="000000" w:themeColor="text1"/>
        </w:rPr>
      </w:pPr>
      <w:r w:rsidRPr="00230449">
        <w:rPr>
          <w:rFonts w:ascii="Arial" w:hAnsi="Arial" w:cs="Arial"/>
          <w:color w:val="000000" w:themeColor="text1"/>
        </w:rPr>
        <w:t>In terms of genesis of the idea a</w:t>
      </w:r>
      <w:r w:rsidR="003E3F27" w:rsidRPr="00230449">
        <w:rPr>
          <w:rFonts w:ascii="Arial" w:hAnsi="Arial" w:cs="Arial"/>
          <w:color w:val="000000" w:themeColor="text1"/>
        </w:rPr>
        <w:t xml:space="preserve"> little later in the book he continues, “Now I will tell the history of Zarathustra. The basic idea of the work, </w:t>
      </w:r>
      <w:r w:rsidR="003E3F27" w:rsidRPr="00230449">
        <w:rPr>
          <w:rFonts w:ascii="Arial" w:hAnsi="Arial" w:cs="Arial"/>
          <w:i/>
          <w:color w:val="000000" w:themeColor="text1"/>
        </w:rPr>
        <w:t>the thought of eternal return</w:t>
      </w:r>
      <w:r w:rsidRPr="00230449">
        <w:rPr>
          <w:rFonts w:ascii="Arial" w:hAnsi="Arial" w:cs="Arial"/>
          <w:color w:val="000000" w:themeColor="text1"/>
        </w:rPr>
        <w:t xml:space="preserve">, the </w:t>
      </w:r>
      <w:r w:rsidRPr="00230449">
        <w:rPr>
          <w:rFonts w:ascii="Arial" w:hAnsi="Arial" w:cs="Arial"/>
          <w:color w:val="000000" w:themeColor="text1"/>
        </w:rPr>
        <w:lastRenderedPageBreak/>
        <w:t>highest possible formula of affirmation – belongs to August of the year 1881…”</w:t>
      </w:r>
      <w:r w:rsidRPr="00230449">
        <w:rPr>
          <w:rStyle w:val="FootnoteReference"/>
          <w:rFonts w:ascii="Arial" w:hAnsi="Arial"/>
          <w:color w:val="000000" w:themeColor="text1"/>
        </w:rPr>
        <w:footnoteReference w:id="37"/>
      </w:r>
      <w:r w:rsidRPr="00230449">
        <w:rPr>
          <w:rFonts w:ascii="Arial" w:hAnsi="Arial" w:cs="Arial"/>
          <w:color w:val="000000" w:themeColor="text1"/>
        </w:rPr>
        <w:t xml:space="preserve"> </w:t>
      </w:r>
      <w:r w:rsidR="00D46133" w:rsidRPr="00230449">
        <w:rPr>
          <w:rFonts w:ascii="Arial" w:hAnsi="Arial" w:cs="Arial"/>
          <w:color w:val="000000" w:themeColor="text1"/>
        </w:rPr>
        <w:t xml:space="preserve">Nietzsche had recently moved to the </w:t>
      </w:r>
      <w:proofErr w:type="spellStart"/>
      <w:r w:rsidR="00D46133" w:rsidRPr="00230449">
        <w:rPr>
          <w:rFonts w:ascii="Arial" w:hAnsi="Arial" w:cs="Arial"/>
          <w:color w:val="000000" w:themeColor="text1"/>
        </w:rPr>
        <w:t>Engadine</w:t>
      </w:r>
      <w:proofErr w:type="spellEnd"/>
      <w:r w:rsidR="00D46133" w:rsidRPr="00230449">
        <w:rPr>
          <w:rFonts w:ascii="Arial" w:hAnsi="Arial" w:cs="Arial"/>
          <w:color w:val="000000" w:themeColor="text1"/>
        </w:rPr>
        <w:t xml:space="preserve"> region. It was here that, “he experiences the abysmal thought of the </w:t>
      </w:r>
      <w:r w:rsidR="00035E21" w:rsidRPr="00230449">
        <w:rPr>
          <w:rFonts w:ascii="Arial" w:hAnsi="Arial" w:cs="Arial"/>
          <w:color w:val="000000" w:themeColor="text1"/>
        </w:rPr>
        <w:t xml:space="preserve">Eternal Recurrence </w:t>
      </w:r>
      <w:r w:rsidR="00D46133" w:rsidRPr="00230449">
        <w:rPr>
          <w:rFonts w:ascii="Arial" w:hAnsi="Arial" w:cs="Arial"/>
          <w:color w:val="000000" w:themeColor="text1"/>
        </w:rPr>
        <w:t>of the same.”</w:t>
      </w:r>
      <w:r w:rsidR="00D46133" w:rsidRPr="00230449">
        <w:rPr>
          <w:rStyle w:val="FootnoteReference"/>
          <w:rFonts w:ascii="Arial" w:hAnsi="Arial"/>
          <w:color w:val="000000" w:themeColor="text1"/>
        </w:rPr>
        <w:footnoteReference w:id="38"/>
      </w:r>
    </w:p>
    <w:p w:rsidR="003E3F27" w:rsidRPr="00230449" w:rsidRDefault="003E3F27" w:rsidP="008B1208">
      <w:pPr>
        <w:spacing w:line="360" w:lineRule="auto"/>
        <w:jc w:val="both"/>
        <w:rPr>
          <w:rFonts w:ascii="Arial" w:hAnsi="Arial" w:cs="Arial"/>
          <w:color w:val="000000" w:themeColor="text1"/>
        </w:rPr>
      </w:pPr>
    </w:p>
    <w:p w:rsidR="00E945E9" w:rsidRPr="00230449" w:rsidRDefault="00682F58" w:rsidP="008B1208">
      <w:pPr>
        <w:spacing w:line="360" w:lineRule="auto"/>
        <w:jc w:val="both"/>
        <w:rPr>
          <w:rFonts w:ascii="Arial" w:hAnsi="Arial" w:cs="Arial"/>
          <w:color w:val="000000" w:themeColor="text1"/>
        </w:rPr>
      </w:pPr>
      <w:r w:rsidRPr="00230449">
        <w:rPr>
          <w:rFonts w:ascii="Arial" w:hAnsi="Arial" w:cs="Arial"/>
          <w:color w:val="000000" w:themeColor="text1"/>
        </w:rPr>
        <w:t xml:space="preserve">The point of Nietzsche’s </w:t>
      </w:r>
      <w:r w:rsidRPr="00230449">
        <w:rPr>
          <w:rFonts w:ascii="Arial" w:hAnsi="Arial" w:cs="Arial"/>
          <w:i/>
          <w:color w:val="000000" w:themeColor="text1"/>
        </w:rPr>
        <w:t>The G</w:t>
      </w:r>
      <w:r w:rsidR="00DA1DDF" w:rsidRPr="00230449">
        <w:rPr>
          <w:rFonts w:ascii="Arial" w:hAnsi="Arial" w:cs="Arial"/>
          <w:i/>
          <w:color w:val="000000" w:themeColor="text1"/>
        </w:rPr>
        <w:t>ay Science</w:t>
      </w:r>
      <w:r w:rsidR="00DA1DDF" w:rsidRPr="00230449">
        <w:rPr>
          <w:rFonts w:ascii="Arial" w:hAnsi="Arial" w:cs="Arial"/>
          <w:color w:val="000000" w:themeColor="text1"/>
        </w:rPr>
        <w:t xml:space="preserve"> </w:t>
      </w:r>
      <w:r w:rsidR="00E945E9" w:rsidRPr="00230449">
        <w:rPr>
          <w:rFonts w:ascii="Arial" w:hAnsi="Arial" w:cs="Arial"/>
          <w:color w:val="000000" w:themeColor="text1"/>
        </w:rPr>
        <w:t>thought experiment</w:t>
      </w:r>
      <w:r w:rsidR="00DA1DDF" w:rsidRPr="00230449">
        <w:rPr>
          <w:rFonts w:ascii="Arial" w:hAnsi="Arial" w:cs="Arial"/>
          <w:color w:val="000000" w:themeColor="text1"/>
        </w:rPr>
        <w:t xml:space="preserve"> (above)</w:t>
      </w:r>
      <w:r w:rsidR="00E945E9" w:rsidRPr="00230449">
        <w:rPr>
          <w:rFonts w:ascii="Arial" w:hAnsi="Arial" w:cs="Arial"/>
          <w:color w:val="000000" w:themeColor="text1"/>
        </w:rPr>
        <w:t xml:space="preserve"> is to test whether the reader can cope with</w:t>
      </w:r>
      <w:r w:rsidR="008F38D8" w:rsidRPr="00230449">
        <w:rPr>
          <w:rFonts w:ascii="Arial" w:hAnsi="Arial" w:cs="Arial"/>
          <w:color w:val="000000" w:themeColor="text1"/>
        </w:rPr>
        <w:t xml:space="preserve"> the enormity of answering the d</w:t>
      </w:r>
      <w:r w:rsidR="00F161BB" w:rsidRPr="00230449">
        <w:rPr>
          <w:rFonts w:ascii="Arial" w:hAnsi="Arial" w:cs="Arial"/>
          <w:color w:val="000000" w:themeColor="text1"/>
        </w:rPr>
        <w:t>a</w:t>
      </w:r>
      <w:r w:rsidR="00E945E9" w:rsidRPr="00230449">
        <w:rPr>
          <w:rFonts w:ascii="Arial" w:hAnsi="Arial" w:cs="Arial"/>
          <w:color w:val="000000" w:themeColor="text1"/>
        </w:rPr>
        <w:t>emon’s question in the positive</w:t>
      </w:r>
      <w:r w:rsidR="006B0FC2" w:rsidRPr="00230449">
        <w:rPr>
          <w:rFonts w:ascii="Arial" w:hAnsi="Arial" w:cs="Arial"/>
          <w:color w:val="000000" w:themeColor="text1"/>
        </w:rPr>
        <w:t>,</w:t>
      </w:r>
      <w:r w:rsidR="00E945E9" w:rsidRPr="00230449">
        <w:rPr>
          <w:rFonts w:ascii="Arial" w:hAnsi="Arial" w:cs="Arial"/>
          <w:color w:val="000000" w:themeColor="text1"/>
        </w:rPr>
        <w:t xml:space="preserve"> without the need to collapse or seek help in comprehending the enormity of existence by taking refuge in a God</w:t>
      </w:r>
      <w:r w:rsidR="000036B6" w:rsidRPr="00230449">
        <w:rPr>
          <w:rFonts w:ascii="Arial" w:hAnsi="Arial" w:cs="Arial"/>
          <w:color w:val="000000" w:themeColor="text1"/>
        </w:rPr>
        <w:t xml:space="preserve"> and a </w:t>
      </w:r>
      <w:r w:rsidR="00CD19A8" w:rsidRPr="00230449">
        <w:rPr>
          <w:rFonts w:ascii="Arial" w:hAnsi="Arial" w:cs="Arial"/>
          <w:color w:val="000000" w:themeColor="text1"/>
        </w:rPr>
        <w:t>transcendental consolation</w:t>
      </w:r>
      <w:r w:rsidR="00E945E9" w:rsidRPr="00230449">
        <w:rPr>
          <w:rFonts w:ascii="Arial" w:hAnsi="Arial" w:cs="Arial"/>
          <w:color w:val="000000" w:themeColor="text1"/>
        </w:rPr>
        <w:t xml:space="preserve">. </w:t>
      </w:r>
      <w:r w:rsidR="0035032A" w:rsidRPr="00230449">
        <w:rPr>
          <w:rFonts w:ascii="Arial" w:hAnsi="Arial" w:cs="Arial"/>
          <w:color w:val="000000" w:themeColor="text1"/>
        </w:rPr>
        <w:t>The reader in this sense is the great individual (</w:t>
      </w:r>
      <w:proofErr w:type="spellStart"/>
      <w:r w:rsidR="00025D87" w:rsidRPr="00230449">
        <w:rPr>
          <w:rFonts w:ascii="Arial" w:hAnsi="Arial" w:cs="Arial"/>
        </w:rPr>
        <w:t>Übermensch</w:t>
      </w:r>
      <w:proofErr w:type="spellEnd"/>
      <w:r w:rsidR="0035032A" w:rsidRPr="00230449">
        <w:rPr>
          <w:rFonts w:ascii="Arial" w:hAnsi="Arial" w:cs="Arial"/>
          <w:color w:val="000000" w:themeColor="text1"/>
        </w:rPr>
        <w:t>).</w:t>
      </w:r>
      <w:r w:rsidR="00FB3A7A" w:rsidRPr="00230449">
        <w:rPr>
          <w:rFonts w:ascii="Arial" w:hAnsi="Arial" w:cs="Arial"/>
          <w:color w:val="000000" w:themeColor="text1"/>
        </w:rPr>
        <w:t xml:space="preserve"> </w:t>
      </w:r>
      <w:r w:rsidR="00E945E9" w:rsidRPr="00230449">
        <w:rPr>
          <w:rFonts w:ascii="Arial" w:hAnsi="Arial" w:cs="Arial"/>
          <w:color w:val="000000" w:themeColor="text1"/>
        </w:rPr>
        <w:t>As is well known N</w:t>
      </w:r>
      <w:r w:rsidR="00C229F6" w:rsidRPr="00230449">
        <w:rPr>
          <w:rFonts w:ascii="Arial" w:hAnsi="Arial" w:cs="Arial"/>
          <w:color w:val="000000" w:themeColor="text1"/>
        </w:rPr>
        <w:t>ietzsche despised Judaism and Christianity because of their championing of weakness. T</w:t>
      </w:r>
      <w:r w:rsidR="00364187" w:rsidRPr="00230449">
        <w:rPr>
          <w:rFonts w:ascii="Arial" w:hAnsi="Arial" w:cs="Arial"/>
          <w:color w:val="000000" w:themeColor="text1"/>
        </w:rPr>
        <w:t>he thought experiment grows out of his position on the death of God</w:t>
      </w:r>
      <w:r w:rsidR="00E945E9" w:rsidRPr="00230449">
        <w:rPr>
          <w:rFonts w:ascii="Arial" w:hAnsi="Arial" w:cs="Arial"/>
          <w:color w:val="000000" w:themeColor="text1"/>
        </w:rPr>
        <w:t>.</w:t>
      </w:r>
      <w:r w:rsidR="00364187" w:rsidRPr="00230449">
        <w:rPr>
          <w:rFonts w:ascii="Arial" w:hAnsi="Arial" w:cs="Arial"/>
          <w:color w:val="000000" w:themeColor="text1"/>
        </w:rPr>
        <w:t xml:space="preserve"> Without Go</w:t>
      </w:r>
      <w:r w:rsidR="003324CF" w:rsidRPr="00230449">
        <w:rPr>
          <w:rFonts w:ascii="Arial" w:hAnsi="Arial" w:cs="Arial"/>
          <w:color w:val="000000" w:themeColor="text1"/>
        </w:rPr>
        <w:t>d there is a gigantic</w:t>
      </w:r>
      <w:r w:rsidR="00364187" w:rsidRPr="00230449">
        <w:rPr>
          <w:rFonts w:ascii="Arial" w:hAnsi="Arial" w:cs="Arial"/>
          <w:color w:val="000000" w:themeColor="text1"/>
        </w:rPr>
        <w:t xml:space="preserve"> void.</w:t>
      </w:r>
      <w:r w:rsidR="00E945E9" w:rsidRPr="00230449">
        <w:rPr>
          <w:rFonts w:ascii="Arial" w:hAnsi="Arial" w:cs="Arial"/>
          <w:color w:val="000000" w:themeColor="text1"/>
        </w:rPr>
        <w:t xml:space="preserve"> If the test is passed and the rea</w:t>
      </w:r>
      <w:r w:rsidR="003632E8" w:rsidRPr="00230449">
        <w:rPr>
          <w:rFonts w:ascii="Arial" w:hAnsi="Arial" w:cs="Arial"/>
          <w:color w:val="000000" w:themeColor="text1"/>
        </w:rPr>
        <w:t>der understands the value of lif</w:t>
      </w:r>
      <w:r w:rsidR="00E945E9" w:rsidRPr="00230449">
        <w:rPr>
          <w:rFonts w:ascii="Arial" w:hAnsi="Arial" w:cs="Arial"/>
          <w:color w:val="000000" w:themeColor="text1"/>
        </w:rPr>
        <w:t>e without teeth gnashing or God then she has accepted the</w:t>
      </w:r>
      <w:r w:rsidR="004F301B" w:rsidRPr="00230449">
        <w:rPr>
          <w:rFonts w:ascii="Arial" w:hAnsi="Arial" w:cs="Arial"/>
          <w:color w:val="000000" w:themeColor="text1"/>
        </w:rPr>
        <w:t xml:space="preserve"> world and her place within it. In this sense </w:t>
      </w:r>
      <w:r w:rsidR="00035E21" w:rsidRPr="00230449">
        <w:rPr>
          <w:rFonts w:ascii="Arial" w:hAnsi="Arial" w:cs="Arial"/>
          <w:color w:val="000000" w:themeColor="text1"/>
        </w:rPr>
        <w:t xml:space="preserve">Eternal Recurrence </w:t>
      </w:r>
      <w:r w:rsidR="004F301B" w:rsidRPr="00230449">
        <w:rPr>
          <w:rFonts w:ascii="Arial" w:hAnsi="Arial" w:cs="Arial"/>
          <w:color w:val="000000" w:themeColor="text1"/>
        </w:rPr>
        <w:t>replaces Christianity, although it has much deeper roots as an idea, stretching back to the work of Heraclitus and other ancient Greek philosophers</w:t>
      </w:r>
      <w:r w:rsidR="00B25AE0" w:rsidRPr="00230449">
        <w:rPr>
          <w:rFonts w:ascii="Arial" w:hAnsi="Arial" w:cs="Arial"/>
          <w:color w:val="000000" w:themeColor="text1"/>
        </w:rPr>
        <w:t>, as noted above</w:t>
      </w:r>
      <w:r w:rsidR="004F301B" w:rsidRPr="00230449">
        <w:rPr>
          <w:rFonts w:ascii="Arial" w:hAnsi="Arial" w:cs="Arial"/>
          <w:color w:val="000000" w:themeColor="text1"/>
        </w:rPr>
        <w:t>.</w:t>
      </w:r>
      <w:r w:rsidR="00B25AE0" w:rsidRPr="00230449">
        <w:rPr>
          <w:rFonts w:ascii="Arial" w:hAnsi="Arial" w:cs="Arial"/>
          <w:color w:val="000000" w:themeColor="text1"/>
        </w:rPr>
        <w:t xml:space="preserve"> As </w:t>
      </w:r>
      <w:proofErr w:type="spellStart"/>
      <w:r w:rsidR="00B25AE0" w:rsidRPr="00230449">
        <w:rPr>
          <w:rFonts w:ascii="Arial" w:hAnsi="Arial" w:cs="Arial"/>
          <w:color w:val="000000" w:themeColor="text1"/>
        </w:rPr>
        <w:t>Hollingdale</w:t>
      </w:r>
      <w:proofErr w:type="spellEnd"/>
      <w:r w:rsidR="00B25AE0" w:rsidRPr="00230449">
        <w:rPr>
          <w:rFonts w:ascii="Arial" w:hAnsi="Arial" w:cs="Arial"/>
          <w:color w:val="000000" w:themeColor="text1"/>
        </w:rPr>
        <w:t xml:space="preserve"> has noted, “Nietzsche arrived at the theory of the </w:t>
      </w:r>
      <w:r w:rsidR="00035E21" w:rsidRPr="00230449">
        <w:rPr>
          <w:rFonts w:ascii="Arial" w:hAnsi="Arial" w:cs="Arial"/>
          <w:color w:val="000000" w:themeColor="text1"/>
        </w:rPr>
        <w:t xml:space="preserve">Eternal Recurrence </w:t>
      </w:r>
      <w:r w:rsidR="00B25AE0" w:rsidRPr="00230449">
        <w:rPr>
          <w:rFonts w:ascii="Arial" w:hAnsi="Arial" w:cs="Arial"/>
          <w:color w:val="000000" w:themeColor="text1"/>
        </w:rPr>
        <w:t>as a consequence of two requirements; the need to explain the world and the need to accept it.”</w:t>
      </w:r>
      <w:r w:rsidR="00B25AE0" w:rsidRPr="00230449">
        <w:rPr>
          <w:rStyle w:val="FootnoteReference"/>
          <w:rFonts w:ascii="Arial" w:hAnsi="Arial"/>
          <w:color w:val="000000" w:themeColor="text1"/>
        </w:rPr>
        <w:footnoteReference w:id="39"/>
      </w:r>
      <w:r w:rsidR="007E64F7" w:rsidRPr="00230449">
        <w:rPr>
          <w:rFonts w:ascii="Arial" w:hAnsi="Arial" w:cs="Arial"/>
          <w:color w:val="000000" w:themeColor="text1"/>
        </w:rPr>
        <w:t xml:space="preserve"> He continues noting that this, “new description of reality</w:t>
      </w:r>
      <w:r w:rsidR="00CC447E" w:rsidRPr="00230449">
        <w:rPr>
          <w:rFonts w:ascii="Arial" w:hAnsi="Arial" w:cs="Arial"/>
          <w:color w:val="000000" w:themeColor="text1"/>
        </w:rPr>
        <w:t>…[provides] instead of eternal life – the eternal recurrence</w:t>
      </w:r>
      <w:r w:rsidR="00C72203" w:rsidRPr="00230449">
        <w:rPr>
          <w:rFonts w:ascii="Arial" w:hAnsi="Arial" w:cs="Arial"/>
          <w:color w:val="000000" w:themeColor="text1"/>
        </w:rPr>
        <w:t xml:space="preserve">…it is the most extreme form of </w:t>
      </w:r>
      <w:r w:rsidR="007B6942" w:rsidRPr="00230449">
        <w:rPr>
          <w:rFonts w:ascii="Arial" w:hAnsi="Arial" w:cs="Arial"/>
          <w:color w:val="000000" w:themeColor="text1"/>
        </w:rPr>
        <w:t>life-acceptance; acceptance, that is, not only of what is good in life but of what is bad also</w:t>
      </w:r>
      <w:r w:rsidR="00CC447E" w:rsidRPr="00230449">
        <w:rPr>
          <w:rFonts w:ascii="Arial" w:hAnsi="Arial" w:cs="Arial"/>
          <w:color w:val="000000" w:themeColor="text1"/>
        </w:rPr>
        <w:t>”</w:t>
      </w:r>
      <w:r w:rsidR="00CC447E" w:rsidRPr="00230449">
        <w:rPr>
          <w:rStyle w:val="FootnoteReference"/>
          <w:rFonts w:ascii="Arial" w:hAnsi="Arial"/>
          <w:color w:val="000000" w:themeColor="text1"/>
        </w:rPr>
        <w:footnoteReference w:id="40"/>
      </w:r>
    </w:p>
    <w:p w:rsidR="009335AE" w:rsidRPr="00230449" w:rsidRDefault="009335AE" w:rsidP="008B1208">
      <w:pPr>
        <w:spacing w:line="360" w:lineRule="auto"/>
        <w:jc w:val="both"/>
        <w:rPr>
          <w:rFonts w:ascii="Arial" w:hAnsi="Arial" w:cs="Arial"/>
        </w:rPr>
      </w:pPr>
    </w:p>
    <w:p w:rsidR="001A6864" w:rsidRPr="00230449" w:rsidRDefault="00900719" w:rsidP="008B1208">
      <w:pPr>
        <w:spacing w:line="360" w:lineRule="auto"/>
        <w:jc w:val="both"/>
        <w:rPr>
          <w:rFonts w:ascii="Arial" w:hAnsi="Arial" w:cs="Arial"/>
        </w:rPr>
      </w:pPr>
      <w:r w:rsidRPr="00230449">
        <w:rPr>
          <w:rFonts w:ascii="Arial" w:hAnsi="Arial" w:cs="Arial"/>
        </w:rPr>
        <w:t>In this article</w:t>
      </w:r>
      <w:r w:rsidR="00EA0198" w:rsidRPr="00230449">
        <w:rPr>
          <w:rFonts w:ascii="Arial" w:hAnsi="Arial" w:cs="Arial"/>
        </w:rPr>
        <w:t xml:space="preserve"> </w:t>
      </w:r>
      <w:r w:rsidR="003632E8" w:rsidRPr="00230449">
        <w:rPr>
          <w:rFonts w:ascii="Arial" w:hAnsi="Arial" w:cs="Arial"/>
        </w:rPr>
        <w:t>we leave aside the difficulties</w:t>
      </w:r>
      <w:r w:rsidR="00C36F11" w:rsidRPr="00230449">
        <w:rPr>
          <w:rFonts w:ascii="Arial" w:hAnsi="Arial" w:cs="Arial"/>
        </w:rPr>
        <w:t xml:space="preserve"> with the thought experiment, </w:t>
      </w:r>
      <w:r w:rsidR="003632E8" w:rsidRPr="00230449">
        <w:rPr>
          <w:rFonts w:ascii="Arial" w:hAnsi="Arial" w:cs="Arial"/>
        </w:rPr>
        <w:t>e.</w:t>
      </w:r>
      <w:r w:rsidR="00C36F11" w:rsidRPr="00230449">
        <w:rPr>
          <w:rFonts w:ascii="Arial" w:hAnsi="Arial" w:cs="Arial"/>
        </w:rPr>
        <w:t>g.</w:t>
      </w:r>
      <w:r w:rsidR="0083733C" w:rsidRPr="00230449">
        <w:rPr>
          <w:rFonts w:ascii="Arial" w:hAnsi="Arial" w:cs="Arial"/>
        </w:rPr>
        <w:t xml:space="preserve"> surely </w:t>
      </w:r>
      <w:r w:rsidR="003632E8" w:rsidRPr="00230449">
        <w:rPr>
          <w:rFonts w:ascii="Arial" w:hAnsi="Arial" w:cs="Arial"/>
        </w:rPr>
        <w:t>the d</w:t>
      </w:r>
      <w:r w:rsidR="004F6BE8" w:rsidRPr="00230449">
        <w:rPr>
          <w:rFonts w:ascii="Arial" w:hAnsi="Arial" w:cs="Arial"/>
        </w:rPr>
        <w:t>a</w:t>
      </w:r>
      <w:r w:rsidR="00DD1DDC" w:rsidRPr="00230449">
        <w:rPr>
          <w:rFonts w:ascii="Arial" w:hAnsi="Arial" w:cs="Arial"/>
        </w:rPr>
        <w:t xml:space="preserve">emon </w:t>
      </w:r>
      <w:r w:rsidR="0083733C" w:rsidRPr="00230449">
        <w:rPr>
          <w:rFonts w:ascii="Arial" w:hAnsi="Arial" w:cs="Arial"/>
        </w:rPr>
        <w:t xml:space="preserve">would </w:t>
      </w:r>
      <w:r w:rsidR="00DD1DDC" w:rsidRPr="00230449">
        <w:rPr>
          <w:rFonts w:ascii="Arial" w:hAnsi="Arial" w:cs="Arial"/>
        </w:rPr>
        <w:t>have</w:t>
      </w:r>
      <w:r w:rsidR="003632E8" w:rsidRPr="00230449">
        <w:rPr>
          <w:rFonts w:ascii="Arial" w:hAnsi="Arial" w:cs="Arial"/>
        </w:rPr>
        <w:t xml:space="preserve"> appeared innumerable times befo</w:t>
      </w:r>
      <w:r w:rsidR="00F13369" w:rsidRPr="00230449">
        <w:rPr>
          <w:rFonts w:ascii="Arial" w:hAnsi="Arial" w:cs="Arial"/>
        </w:rPr>
        <w:t xml:space="preserve">re posing the same question to which </w:t>
      </w:r>
      <w:r w:rsidR="00D81A48" w:rsidRPr="00230449">
        <w:rPr>
          <w:rFonts w:ascii="Arial" w:hAnsi="Arial" w:cs="Arial"/>
        </w:rPr>
        <w:t>we have already responded. I</w:t>
      </w:r>
      <w:r w:rsidR="003632E8" w:rsidRPr="00230449">
        <w:rPr>
          <w:rFonts w:ascii="Arial" w:hAnsi="Arial" w:cs="Arial"/>
        </w:rPr>
        <w:t>nstead</w:t>
      </w:r>
      <w:r w:rsidR="004F6BE8" w:rsidRPr="00230449">
        <w:rPr>
          <w:rFonts w:ascii="Arial" w:hAnsi="Arial" w:cs="Arial"/>
        </w:rPr>
        <w:t>,</w:t>
      </w:r>
      <w:r w:rsidR="00D81A48" w:rsidRPr="00230449">
        <w:rPr>
          <w:rFonts w:ascii="Arial" w:hAnsi="Arial" w:cs="Arial"/>
        </w:rPr>
        <w:t xml:space="preserve"> we</w:t>
      </w:r>
      <w:r w:rsidR="003632E8" w:rsidRPr="00230449">
        <w:rPr>
          <w:rFonts w:ascii="Arial" w:hAnsi="Arial" w:cs="Arial"/>
        </w:rPr>
        <w:t xml:space="preserve"> focus on </w:t>
      </w:r>
      <w:r w:rsidR="00035E21" w:rsidRPr="00230449">
        <w:rPr>
          <w:rFonts w:ascii="Arial" w:hAnsi="Arial" w:cs="Arial"/>
        </w:rPr>
        <w:t xml:space="preserve">Eternal Recurrence </w:t>
      </w:r>
      <w:r w:rsidR="00BD2EE5" w:rsidRPr="00230449">
        <w:rPr>
          <w:rFonts w:ascii="Arial" w:hAnsi="Arial" w:cs="Arial"/>
        </w:rPr>
        <w:t>to encapsulate</w:t>
      </w:r>
      <w:r w:rsidR="00EA0198" w:rsidRPr="00230449">
        <w:rPr>
          <w:rFonts w:ascii="Arial" w:hAnsi="Arial" w:cs="Arial"/>
        </w:rPr>
        <w:t xml:space="preserve"> </w:t>
      </w:r>
      <w:r w:rsidRPr="00230449">
        <w:rPr>
          <w:rFonts w:ascii="Arial" w:hAnsi="Arial" w:cs="Arial"/>
        </w:rPr>
        <w:t xml:space="preserve">the result of </w:t>
      </w:r>
      <w:r w:rsidR="00577441" w:rsidRPr="00230449">
        <w:rPr>
          <w:rFonts w:ascii="Arial" w:hAnsi="Arial" w:cs="Arial"/>
        </w:rPr>
        <w:t xml:space="preserve">unthinking, </w:t>
      </w:r>
      <w:r w:rsidR="00272213" w:rsidRPr="00230449">
        <w:rPr>
          <w:rFonts w:ascii="Arial" w:hAnsi="Arial" w:cs="Arial"/>
        </w:rPr>
        <w:t>lazy and time wasting</w:t>
      </w:r>
      <w:r w:rsidR="00EA0198" w:rsidRPr="00230449">
        <w:rPr>
          <w:rFonts w:ascii="Arial" w:hAnsi="Arial" w:cs="Arial"/>
        </w:rPr>
        <w:t xml:space="preserve"> repetition and the damage that causes to the insolvency law reform process.</w:t>
      </w:r>
      <w:r w:rsidR="00577441" w:rsidRPr="00230449">
        <w:rPr>
          <w:rFonts w:ascii="Arial" w:hAnsi="Arial" w:cs="Arial"/>
        </w:rPr>
        <w:t xml:space="preserve"> </w:t>
      </w:r>
      <w:r w:rsidR="001A6864" w:rsidRPr="00230449">
        <w:rPr>
          <w:rFonts w:ascii="Arial" w:hAnsi="Arial" w:cs="Arial"/>
        </w:rPr>
        <w:t xml:space="preserve">In that sense it is being using in a slightly different sense to Nietzsche who did, “toy with </w:t>
      </w:r>
      <w:r w:rsidR="00035E21" w:rsidRPr="00230449">
        <w:rPr>
          <w:rFonts w:ascii="Arial" w:hAnsi="Arial" w:cs="Arial"/>
        </w:rPr>
        <w:t xml:space="preserve">Eternal Recurrence </w:t>
      </w:r>
      <w:r w:rsidR="001A6864" w:rsidRPr="00230449">
        <w:rPr>
          <w:rFonts w:ascii="Arial" w:hAnsi="Arial" w:cs="Arial"/>
        </w:rPr>
        <w:t>as a physical theory in his notebooks, but wisely chose not to enter it under that aspect in any of his published works.”</w:t>
      </w:r>
      <w:r w:rsidR="001A6864" w:rsidRPr="00230449">
        <w:rPr>
          <w:rStyle w:val="FootnoteReference"/>
          <w:rFonts w:ascii="Arial" w:hAnsi="Arial"/>
        </w:rPr>
        <w:footnoteReference w:id="41"/>
      </w:r>
      <w:r w:rsidR="00E945E9" w:rsidRPr="00230449">
        <w:rPr>
          <w:rFonts w:ascii="Arial" w:hAnsi="Arial" w:cs="Arial"/>
        </w:rPr>
        <w:t xml:space="preserve"> </w:t>
      </w:r>
      <w:r w:rsidR="004F6BE8" w:rsidRPr="00230449">
        <w:rPr>
          <w:rFonts w:ascii="Arial" w:hAnsi="Arial" w:cs="Arial"/>
        </w:rPr>
        <w:t xml:space="preserve">Here we are using a modified </w:t>
      </w:r>
      <w:r w:rsidR="004F6BE8" w:rsidRPr="00230449">
        <w:rPr>
          <w:rFonts w:ascii="Arial" w:hAnsi="Arial" w:cs="Arial"/>
        </w:rPr>
        <w:lastRenderedPageBreak/>
        <w:t xml:space="preserve">version of the </w:t>
      </w:r>
      <w:r w:rsidR="000D00FA" w:rsidRPr="00230449">
        <w:rPr>
          <w:rFonts w:ascii="Arial" w:hAnsi="Arial" w:cs="Arial"/>
        </w:rPr>
        <w:t xml:space="preserve">repetition aspects of </w:t>
      </w:r>
      <w:r w:rsidR="004F6BE8" w:rsidRPr="00230449">
        <w:rPr>
          <w:rFonts w:ascii="Arial" w:hAnsi="Arial" w:cs="Arial"/>
        </w:rPr>
        <w:t>Eternal Recurrence</w:t>
      </w:r>
      <w:r w:rsidR="00C741F1" w:rsidRPr="00230449">
        <w:rPr>
          <w:rFonts w:ascii="Arial" w:hAnsi="Arial" w:cs="Arial"/>
        </w:rPr>
        <w:t xml:space="preserve">, not the reassuring </w:t>
      </w:r>
      <w:r w:rsidR="001B2AB2" w:rsidRPr="00230449">
        <w:rPr>
          <w:rFonts w:ascii="Arial" w:hAnsi="Arial" w:cs="Arial"/>
        </w:rPr>
        <w:t>replacement of Christian</w:t>
      </w:r>
      <w:r w:rsidR="004F6BE8" w:rsidRPr="00230449">
        <w:rPr>
          <w:rFonts w:ascii="Arial" w:hAnsi="Arial" w:cs="Arial"/>
        </w:rPr>
        <w:t>ity with the weight of Eternal R</w:t>
      </w:r>
      <w:r w:rsidR="001B2AB2" w:rsidRPr="00230449">
        <w:rPr>
          <w:rFonts w:ascii="Arial" w:hAnsi="Arial" w:cs="Arial"/>
        </w:rPr>
        <w:t xml:space="preserve">ecurrence. </w:t>
      </w:r>
      <w:r w:rsidR="00035E21" w:rsidRPr="00230449">
        <w:rPr>
          <w:rFonts w:ascii="Arial" w:hAnsi="Arial" w:cs="Arial"/>
        </w:rPr>
        <w:t xml:space="preserve">Eternal Recurrence </w:t>
      </w:r>
      <w:r w:rsidR="00C64F4E" w:rsidRPr="00230449">
        <w:rPr>
          <w:rFonts w:ascii="Arial" w:hAnsi="Arial" w:cs="Arial"/>
        </w:rPr>
        <w:t xml:space="preserve">states that space is limited and </w:t>
      </w:r>
      <w:r w:rsidR="00D81A48" w:rsidRPr="00230449">
        <w:rPr>
          <w:rFonts w:ascii="Arial" w:hAnsi="Arial" w:cs="Arial"/>
        </w:rPr>
        <w:t>finite;</w:t>
      </w:r>
      <w:r w:rsidR="00C64F4E" w:rsidRPr="00230449">
        <w:rPr>
          <w:rFonts w:ascii="Arial" w:hAnsi="Arial" w:cs="Arial"/>
        </w:rPr>
        <w:t xml:space="preserve"> similarly the amount of atoms</w:t>
      </w:r>
      <w:r w:rsidR="0021021F" w:rsidRPr="00230449">
        <w:rPr>
          <w:rFonts w:ascii="Arial" w:hAnsi="Arial" w:cs="Arial"/>
        </w:rPr>
        <w:t xml:space="preserve"> in the Universe</w:t>
      </w:r>
      <w:r w:rsidR="00C64F4E" w:rsidRPr="00230449">
        <w:rPr>
          <w:rFonts w:ascii="Arial" w:hAnsi="Arial" w:cs="Arial"/>
        </w:rPr>
        <w:t xml:space="preserve"> is finite. With sufficient time these atoms will recur in a similar manner to that in which they have already occurred during the infinite time period</w:t>
      </w:r>
      <w:r w:rsidR="0021021F" w:rsidRPr="00230449">
        <w:rPr>
          <w:rFonts w:ascii="Arial" w:hAnsi="Arial" w:cs="Arial"/>
        </w:rPr>
        <w:t xml:space="preserve"> of existence</w:t>
      </w:r>
      <w:r w:rsidR="00C64F4E" w:rsidRPr="00230449">
        <w:rPr>
          <w:rFonts w:ascii="Arial" w:hAnsi="Arial" w:cs="Arial"/>
        </w:rPr>
        <w:t xml:space="preserve">. This </w:t>
      </w:r>
      <w:r w:rsidR="008D6C23" w:rsidRPr="00230449">
        <w:rPr>
          <w:rFonts w:ascii="Arial" w:hAnsi="Arial" w:cs="Arial"/>
        </w:rPr>
        <w:t>means that recurrence is capped</w:t>
      </w:r>
      <w:r w:rsidR="00D81A48" w:rsidRPr="00230449">
        <w:rPr>
          <w:rFonts w:ascii="Arial" w:hAnsi="Arial" w:cs="Arial"/>
        </w:rPr>
        <w:t>,</w:t>
      </w:r>
      <w:r w:rsidR="008D6C23" w:rsidRPr="00230449">
        <w:rPr>
          <w:rFonts w:ascii="Arial" w:hAnsi="Arial" w:cs="Arial"/>
        </w:rPr>
        <w:t xml:space="preserve"> as t</w:t>
      </w:r>
      <w:r w:rsidR="00C64F4E" w:rsidRPr="00230449">
        <w:rPr>
          <w:rFonts w:ascii="Arial" w:hAnsi="Arial" w:cs="Arial"/>
        </w:rPr>
        <w:t>here can only be a certa</w:t>
      </w:r>
      <w:r w:rsidR="0021021F" w:rsidRPr="00230449">
        <w:rPr>
          <w:rFonts w:ascii="Arial" w:hAnsi="Arial" w:cs="Arial"/>
        </w:rPr>
        <w:t>in amount of recurrences.</w:t>
      </w:r>
      <w:r w:rsidR="00C0470B" w:rsidRPr="00230449">
        <w:rPr>
          <w:rStyle w:val="FootnoteReference"/>
          <w:rFonts w:ascii="Arial" w:hAnsi="Arial"/>
        </w:rPr>
        <w:footnoteReference w:id="42"/>
      </w:r>
      <w:r w:rsidR="0021021F" w:rsidRPr="00230449">
        <w:rPr>
          <w:rFonts w:ascii="Arial" w:hAnsi="Arial" w:cs="Arial"/>
        </w:rPr>
        <w:t xml:space="preserve"> In this article</w:t>
      </w:r>
      <w:r w:rsidR="00C64F4E" w:rsidRPr="00230449">
        <w:rPr>
          <w:rFonts w:ascii="Arial" w:hAnsi="Arial" w:cs="Arial"/>
        </w:rPr>
        <w:t xml:space="preserve"> </w:t>
      </w:r>
      <w:r w:rsidR="00035E21" w:rsidRPr="00230449">
        <w:rPr>
          <w:rFonts w:ascii="Arial" w:hAnsi="Arial" w:cs="Arial"/>
        </w:rPr>
        <w:t xml:space="preserve">Eternal Recurrence </w:t>
      </w:r>
      <w:r w:rsidR="00C64F4E" w:rsidRPr="00230449">
        <w:rPr>
          <w:rFonts w:ascii="Arial" w:hAnsi="Arial" w:cs="Arial"/>
        </w:rPr>
        <w:t>is used to demonstrate that; (1) there are endless cycles within the context of reform</w:t>
      </w:r>
      <w:r w:rsidR="0021021F" w:rsidRPr="00230449">
        <w:rPr>
          <w:rFonts w:ascii="Arial" w:hAnsi="Arial" w:cs="Arial"/>
        </w:rPr>
        <w:t xml:space="preserve"> but finite ingredients</w:t>
      </w:r>
      <w:r w:rsidR="00C64F4E" w:rsidRPr="00230449">
        <w:rPr>
          <w:rFonts w:ascii="Arial" w:hAnsi="Arial" w:cs="Arial"/>
        </w:rPr>
        <w:t>, (2) if recurrence is capped we need to try and break free to develop new vers</w:t>
      </w:r>
      <w:r w:rsidR="00D81A48" w:rsidRPr="00230449">
        <w:rPr>
          <w:rFonts w:ascii="Arial" w:hAnsi="Arial" w:cs="Arial"/>
        </w:rPr>
        <w:t xml:space="preserve">ions of recurrence, e.g. </w:t>
      </w:r>
      <w:r w:rsidR="00C64F4E" w:rsidRPr="00230449">
        <w:rPr>
          <w:rFonts w:ascii="Arial" w:hAnsi="Arial" w:cs="Arial"/>
        </w:rPr>
        <w:t>in this context</w:t>
      </w:r>
      <w:r w:rsidR="00D81A48" w:rsidRPr="00230449">
        <w:rPr>
          <w:rFonts w:ascii="Arial" w:hAnsi="Arial" w:cs="Arial"/>
        </w:rPr>
        <w:t>, ideas</w:t>
      </w:r>
      <w:r w:rsidR="00C64F4E" w:rsidRPr="00230449">
        <w:rPr>
          <w:rFonts w:ascii="Arial" w:hAnsi="Arial" w:cs="Arial"/>
        </w:rPr>
        <w:t xml:space="preserve">. </w:t>
      </w:r>
      <w:r w:rsidR="0021021F" w:rsidRPr="00230449">
        <w:rPr>
          <w:rFonts w:ascii="Arial" w:hAnsi="Arial" w:cs="Arial"/>
        </w:rPr>
        <w:t xml:space="preserve">In short, we need fresh ingredients. </w:t>
      </w:r>
    </w:p>
    <w:p w:rsidR="001A6864" w:rsidRPr="00230449" w:rsidRDefault="001A6864" w:rsidP="008B1208">
      <w:pPr>
        <w:spacing w:line="360" w:lineRule="auto"/>
        <w:jc w:val="both"/>
        <w:rPr>
          <w:rFonts w:ascii="Arial" w:hAnsi="Arial" w:cs="Arial"/>
        </w:rPr>
      </w:pPr>
    </w:p>
    <w:p w:rsidR="00E4139B" w:rsidRPr="00230449" w:rsidRDefault="00577441" w:rsidP="008B1208">
      <w:pPr>
        <w:spacing w:line="360" w:lineRule="auto"/>
        <w:jc w:val="both"/>
        <w:rPr>
          <w:rFonts w:ascii="Arial" w:hAnsi="Arial" w:cs="Arial"/>
        </w:rPr>
      </w:pPr>
      <w:r w:rsidRPr="00230449">
        <w:rPr>
          <w:rFonts w:ascii="Arial" w:hAnsi="Arial" w:cs="Arial"/>
        </w:rPr>
        <w:t>Where Nietzsche’s d</w:t>
      </w:r>
      <w:r w:rsidR="00592A7E" w:rsidRPr="00230449">
        <w:rPr>
          <w:rFonts w:ascii="Arial" w:hAnsi="Arial" w:cs="Arial"/>
        </w:rPr>
        <w:t>a</w:t>
      </w:r>
      <w:r w:rsidRPr="00230449">
        <w:rPr>
          <w:rFonts w:ascii="Arial" w:hAnsi="Arial" w:cs="Arial"/>
        </w:rPr>
        <w:t>emon asked</w:t>
      </w:r>
      <w:r w:rsidR="00272213" w:rsidRPr="00230449">
        <w:rPr>
          <w:rFonts w:ascii="Arial" w:hAnsi="Arial" w:cs="Arial"/>
        </w:rPr>
        <w:t>,</w:t>
      </w:r>
      <w:r w:rsidR="00E40EC7" w:rsidRPr="00230449">
        <w:rPr>
          <w:rFonts w:ascii="Arial" w:hAnsi="Arial" w:cs="Arial"/>
        </w:rPr>
        <w:t xml:space="preserve"> “Do you desire this once more and innumerable times more</w:t>
      </w:r>
      <w:r w:rsidRPr="00230449">
        <w:rPr>
          <w:rFonts w:ascii="Arial" w:hAnsi="Arial" w:cs="Arial"/>
        </w:rPr>
        <w:t>?”</w:t>
      </w:r>
      <w:r w:rsidR="007705AB" w:rsidRPr="00230449">
        <w:rPr>
          <w:rStyle w:val="FootnoteReference"/>
          <w:rFonts w:ascii="Arial" w:hAnsi="Arial"/>
        </w:rPr>
        <w:footnoteReference w:id="43"/>
      </w:r>
      <w:r w:rsidRPr="00230449">
        <w:rPr>
          <w:rFonts w:ascii="Arial" w:hAnsi="Arial" w:cs="Arial"/>
        </w:rPr>
        <w:t xml:space="preserve"> in the context </w:t>
      </w:r>
      <w:r w:rsidR="006A0510" w:rsidRPr="00230449">
        <w:rPr>
          <w:rFonts w:ascii="Arial" w:hAnsi="Arial" w:cs="Arial"/>
        </w:rPr>
        <w:t xml:space="preserve">of insolvency law reform the </w:t>
      </w:r>
      <w:r w:rsidRPr="00230449">
        <w:rPr>
          <w:rFonts w:ascii="Arial" w:hAnsi="Arial" w:cs="Arial"/>
        </w:rPr>
        <w:t>emp</w:t>
      </w:r>
      <w:r w:rsidR="006A0510" w:rsidRPr="00230449">
        <w:rPr>
          <w:rFonts w:ascii="Arial" w:hAnsi="Arial" w:cs="Arial"/>
        </w:rPr>
        <w:t>h</w:t>
      </w:r>
      <w:r w:rsidR="00416462" w:rsidRPr="00230449">
        <w:rPr>
          <w:rFonts w:ascii="Arial" w:hAnsi="Arial" w:cs="Arial"/>
        </w:rPr>
        <w:t>at</w:t>
      </w:r>
      <w:r w:rsidR="006A0510" w:rsidRPr="00230449">
        <w:rPr>
          <w:rFonts w:ascii="Arial" w:hAnsi="Arial" w:cs="Arial"/>
        </w:rPr>
        <w:t>ic response</w:t>
      </w:r>
      <w:r w:rsidR="000976BB" w:rsidRPr="00230449">
        <w:rPr>
          <w:rFonts w:ascii="Arial" w:hAnsi="Arial" w:cs="Arial"/>
        </w:rPr>
        <w:t xml:space="preserve"> must be no if the law is to flourish.</w:t>
      </w:r>
      <w:r w:rsidR="00FE77FC" w:rsidRPr="00230449">
        <w:rPr>
          <w:rFonts w:ascii="Arial" w:hAnsi="Arial" w:cs="Arial"/>
        </w:rPr>
        <w:t xml:space="preserve"> </w:t>
      </w:r>
      <w:r w:rsidR="00BD2EE5" w:rsidRPr="00230449">
        <w:rPr>
          <w:rFonts w:ascii="Arial" w:hAnsi="Arial" w:cs="Arial"/>
        </w:rPr>
        <w:t>The science of insolvency requires n</w:t>
      </w:r>
      <w:r w:rsidR="00FE77FC" w:rsidRPr="00230449">
        <w:rPr>
          <w:rFonts w:ascii="Arial" w:hAnsi="Arial" w:cs="Arial"/>
        </w:rPr>
        <w:t xml:space="preserve">o more of </w:t>
      </w:r>
      <w:r w:rsidR="00272213" w:rsidRPr="00230449">
        <w:rPr>
          <w:rFonts w:ascii="Arial" w:hAnsi="Arial" w:cs="Arial"/>
        </w:rPr>
        <w:t>the same old tired suggestions being mooted</w:t>
      </w:r>
      <w:r w:rsidR="00FE77FC" w:rsidRPr="00230449">
        <w:rPr>
          <w:rFonts w:ascii="Arial" w:hAnsi="Arial" w:cs="Arial"/>
        </w:rPr>
        <w:t xml:space="preserve"> for want of imagination</w:t>
      </w:r>
      <w:r w:rsidR="00BD2EE5" w:rsidRPr="00230449">
        <w:rPr>
          <w:rFonts w:ascii="Arial" w:hAnsi="Arial" w:cs="Arial"/>
        </w:rPr>
        <w:t xml:space="preserve"> and a lack of familiarity with what has come before</w:t>
      </w:r>
      <w:r w:rsidR="006A0510" w:rsidRPr="00230449">
        <w:rPr>
          <w:rFonts w:ascii="Arial" w:hAnsi="Arial" w:cs="Arial"/>
        </w:rPr>
        <w:t>.</w:t>
      </w:r>
      <w:r w:rsidRPr="00230449">
        <w:rPr>
          <w:rFonts w:ascii="Arial" w:hAnsi="Arial" w:cs="Arial"/>
        </w:rPr>
        <w:t xml:space="preserve"> We </w:t>
      </w:r>
      <w:r w:rsidR="00D0444D" w:rsidRPr="00230449">
        <w:rPr>
          <w:rFonts w:ascii="Arial" w:hAnsi="Arial" w:cs="Arial"/>
        </w:rPr>
        <w:t xml:space="preserve">desperately </w:t>
      </w:r>
      <w:r w:rsidRPr="00230449">
        <w:rPr>
          <w:rFonts w:ascii="Arial" w:hAnsi="Arial" w:cs="Arial"/>
        </w:rPr>
        <w:t xml:space="preserve">need and want something else.  </w:t>
      </w:r>
      <w:r w:rsidR="00EA0198" w:rsidRPr="00230449">
        <w:rPr>
          <w:rFonts w:ascii="Arial" w:hAnsi="Arial" w:cs="Arial"/>
        </w:rPr>
        <w:t xml:space="preserve"> </w:t>
      </w:r>
    </w:p>
    <w:p w:rsidR="000E227D" w:rsidRPr="00230449" w:rsidRDefault="000E227D" w:rsidP="008B1208">
      <w:pPr>
        <w:spacing w:line="360" w:lineRule="auto"/>
        <w:jc w:val="both"/>
        <w:rPr>
          <w:rFonts w:ascii="Arial" w:hAnsi="Arial" w:cs="Arial"/>
        </w:rPr>
      </w:pPr>
    </w:p>
    <w:p w:rsidR="000E227D" w:rsidRPr="00230449" w:rsidRDefault="000E227D" w:rsidP="008B1208">
      <w:pPr>
        <w:spacing w:line="360" w:lineRule="auto"/>
        <w:jc w:val="both"/>
        <w:rPr>
          <w:rFonts w:ascii="Arial" w:hAnsi="Arial" w:cs="Arial"/>
        </w:rPr>
      </w:pPr>
    </w:p>
    <w:p w:rsidR="00E4139B" w:rsidRPr="00230449" w:rsidRDefault="00035E21" w:rsidP="008B1208">
      <w:pPr>
        <w:spacing w:line="360" w:lineRule="auto"/>
        <w:jc w:val="both"/>
        <w:rPr>
          <w:rFonts w:ascii="Arial" w:hAnsi="Arial" w:cs="Arial"/>
          <w:u w:val="single"/>
        </w:rPr>
      </w:pPr>
      <w:r w:rsidRPr="00230449">
        <w:rPr>
          <w:rFonts w:ascii="Arial" w:hAnsi="Arial" w:cs="Arial"/>
          <w:u w:val="single"/>
        </w:rPr>
        <w:t xml:space="preserve">Eternal Recurrence </w:t>
      </w:r>
      <w:r w:rsidR="00E4139B" w:rsidRPr="00230449">
        <w:rPr>
          <w:rFonts w:ascii="Arial" w:hAnsi="Arial" w:cs="Arial"/>
          <w:u w:val="single"/>
        </w:rPr>
        <w:t>in Insolvency</w:t>
      </w:r>
      <w:r w:rsidR="008D2AFD" w:rsidRPr="00230449">
        <w:rPr>
          <w:rFonts w:ascii="Arial" w:hAnsi="Arial" w:cs="Arial"/>
          <w:u w:val="single"/>
        </w:rPr>
        <w:t xml:space="preserve"> Law</w:t>
      </w:r>
      <w:r w:rsidR="008D2AFD" w:rsidRPr="00230449">
        <w:rPr>
          <w:rStyle w:val="FootnoteReference"/>
          <w:rFonts w:ascii="Arial" w:hAnsi="Arial"/>
        </w:rPr>
        <w:footnoteReference w:id="44"/>
      </w:r>
      <w:r w:rsidR="00E4139B" w:rsidRPr="00230449">
        <w:rPr>
          <w:rFonts w:ascii="Arial" w:hAnsi="Arial" w:cs="Arial"/>
        </w:rPr>
        <w:t xml:space="preserve"> </w:t>
      </w:r>
    </w:p>
    <w:p w:rsidR="00E4139B" w:rsidRPr="00230449" w:rsidRDefault="00E4139B" w:rsidP="008B1208">
      <w:pPr>
        <w:spacing w:line="360" w:lineRule="auto"/>
        <w:jc w:val="both"/>
        <w:rPr>
          <w:rFonts w:ascii="Arial" w:hAnsi="Arial" w:cs="Arial"/>
        </w:rPr>
      </w:pPr>
    </w:p>
    <w:p w:rsidR="004B612C" w:rsidRPr="00230449" w:rsidRDefault="004B612C" w:rsidP="008B1208">
      <w:pPr>
        <w:spacing w:line="360" w:lineRule="auto"/>
        <w:jc w:val="both"/>
        <w:rPr>
          <w:rFonts w:ascii="Arial" w:hAnsi="Arial" w:cs="Arial"/>
        </w:rPr>
      </w:pPr>
      <w:r w:rsidRPr="00230449">
        <w:rPr>
          <w:rFonts w:ascii="Arial" w:hAnsi="Arial" w:cs="Arial"/>
        </w:rPr>
        <w:t xml:space="preserve">As noted above, </w:t>
      </w:r>
      <w:r w:rsidR="00946176" w:rsidRPr="00230449">
        <w:rPr>
          <w:rFonts w:ascii="Arial" w:hAnsi="Arial" w:cs="Arial"/>
        </w:rPr>
        <w:t>Eternal Recurrence</w:t>
      </w:r>
      <w:r w:rsidR="00E4139B" w:rsidRPr="00230449">
        <w:rPr>
          <w:rFonts w:ascii="Arial" w:hAnsi="Arial" w:cs="Arial"/>
        </w:rPr>
        <w:t xml:space="preserve"> is being used </w:t>
      </w:r>
      <w:r w:rsidRPr="00230449">
        <w:rPr>
          <w:rFonts w:ascii="Arial" w:hAnsi="Arial" w:cs="Arial"/>
        </w:rPr>
        <w:t xml:space="preserve">here </w:t>
      </w:r>
      <w:r w:rsidR="00E4139B" w:rsidRPr="00230449">
        <w:rPr>
          <w:rFonts w:ascii="Arial" w:hAnsi="Arial" w:cs="Arial"/>
        </w:rPr>
        <w:t>as a working theory to test movements and themes in English and Welsh insolvency law.</w:t>
      </w:r>
      <w:r w:rsidR="00EA1B7A" w:rsidRPr="00230449">
        <w:rPr>
          <w:rFonts w:ascii="Arial" w:hAnsi="Arial" w:cs="Arial"/>
          <w:color w:val="000000" w:themeColor="text1"/>
        </w:rPr>
        <w:t xml:space="preserve"> </w:t>
      </w:r>
      <w:r w:rsidR="00946176" w:rsidRPr="00230449">
        <w:rPr>
          <w:rFonts w:ascii="Arial" w:hAnsi="Arial" w:cs="Arial"/>
          <w:color w:val="000000" w:themeColor="text1"/>
        </w:rPr>
        <w:t>Eternal Recurrence is being used as a conceit, as a</w:t>
      </w:r>
      <w:r w:rsidR="00166561" w:rsidRPr="00230449">
        <w:rPr>
          <w:rFonts w:ascii="Arial" w:hAnsi="Arial" w:cs="Arial"/>
          <w:color w:val="000000" w:themeColor="text1"/>
        </w:rPr>
        <w:t>n extended metaphor, to</w:t>
      </w:r>
      <w:r w:rsidRPr="00230449">
        <w:rPr>
          <w:rFonts w:ascii="Arial" w:hAnsi="Arial" w:cs="Arial"/>
          <w:color w:val="000000" w:themeColor="text1"/>
        </w:rPr>
        <w:t xml:space="preserve"> shed fresh light on the movements and themes of insolvency. The unusual</w:t>
      </w:r>
      <w:r w:rsidR="00467067" w:rsidRPr="00230449">
        <w:rPr>
          <w:rFonts w:ascii="Arial" w:hAnsi="Arial" w:cs="Arial"/>
          <w:color w:val="000000" w:themeColor="text1"/>
        </w:rPr>
        <w:t xml:space="preserve"> </w:t>
      </w:r>
      <w:r w:rsidRPr="00230449">
        <w:rPr>
          <w:rFonts w:ascii="Arial" w:hAnsi="Arial" w:cs="Arial"/>
          <w:color w:val="000000" w:themeColor="text1"/>
        </w:rPr>
        <w:t>example of the Eternal Recurrence encourages close engagement with the thought experiment and the insolvency themes under discussion.</w:t>
      </w:r>
      <w:r w:rsidR="00467067" w:rsidRPr="00230449">
        <w:rPr>
          <w:rFonts w:ascii="Arial" w:hAnsi="Arial" w:cs="Arial"/>
          <w:color w:val="000000" w:themeColor="text1"/>
        </w:rPr>
        <w:t xml:space="preserve"> It makes the arguments more </w:t>
      </w:r>
      <w:r w:rsidR="000A3A6A" w:rsidRPr="00230449">
        <w:rPr>
          <w:rFonts w:ascii="Arial" w:hAnsi="Arial" w:cs="Arial"/>
          <w:color w:val="000000" w:themeColor="text1"/>
        </w:rPr>
        <w:t>compelling</w:t>
      </w:r>
      <w:r w:rsidR="00467067" w:rsidRPr="00230449">
        <w:rPr>
          <w:rFonts w:ascii="Arial" w:hAnsi="Arial" w:cs="Arial"/>
          <w:color w:val="000000" w:themeColor="text1"/>
        </w:rPr>
        <w:t xml:space="preserve"> and </w:t>
      </w:r>
      <w:r w:rsidR="001E6DC4" w:rsidRPr="00230449">
        <w:rPr>
          <w:rFonts w:ascii="Arial" w:hAnsi="Arial" w:cs="Arial"/>
          <w:color w:val="000000" w:themeColor="text1"/>
        </w:rPr>
        <w:t>stimulating</w:t>
      </w:r>
      <w:r w:rsidR="00C425C8" w:rsidRPr="00230449">
        <w:rPr>
          <w:rFonts w:ascii="Arial" w:hAnsi="Arial" w:cs="Arial"/>
          <w:color w:val="000000" w:themeColor="text1"/>
        </w:rPr>
        <w:t xml:space="preserve"> because it allows for an examination beyond doctrinal analysis into deeper</w:t>
      </w:r>
      <w:r w:rsidR="00C252CC" w:rsidRPr="00230449">
        <w:rPr>
          <w:rFonts w:ascii="Arial" w:hAnsi="Arial" w:cs="Arial"/>
          <w:color w:val="000000" w:themeColor="text1"/>
        </w:rPr>
        <w:t xml:space="preserve"> movements of law and policy</w:t>
      </w:r>
      <w:r w:rsidR="00C425C8" w:rsidRPr="00230449">
        <w:rPr>
          <w:rFonts w:ascii="Arial" w:hAnsi="Arial" w:cs="Arial"/>
          <w:color w:val="000000" w:themeColor="text1"/>
        </w:rPr>
        <w:t xml:space="preserve"> and potentially recurrent policy themes</w:t>
      </w:r>
      <w:r w:rsidR="00467067" w:rsidRPr="00230449">
        <w:rPr>
          <w:rFonts w:ascii="Arial" w:hAnsi="Arial" w:cs="Arial"/>
          <w:color w:val="000000" w:themeColor="text1"/>
        </w:rPr>
        <w:t xml:space="preserve">. </w:t>
      </w:r>
      <w:r w:rsidR="00C425C8" w:rsidRPr="00230449">
        <w:rPr>
          <w:rFonts w:ascii="Arial" w:hAnsi="Arial" w:cs="Arial"/>
          <w:color w:val="000000" w:themeColor="text1"/>
        </w:rPr>
        <w:t>Using the Eternal Recurrence</w:t>
      </w:r>
      <w:r w:rsidR="00C864FA" w:rsidRPr="00230449">
        <w:rPr>
          <w:rFonts w:ascii="Arial" w:hAnsi="Arial" w:cs="Arial"/>
          <w:color w:val="000000" w:themeColor="text1"/>
        </w:rPr>
        <w:t xml:space="preserve"> leads to a more sophisticated understanding of the insolvency movements and themes.</w:t>
      </w:r>
      <w:r w:rsidR="00C425C8" w:rsidRPr="00230449">
        <w:rPr>
          <w:rFonts w:ascii="Arial" w:hAnsi="Arial" w:cs="Arial"/>
          <w:color w:val="000000" w:themeColor="text1"/>
        </w:rPr>
        <w:t xml:space="preserve"> It pushes those engaging </w:t>
      </w:r>
      <w:r w:rsidR="00C252CC" w:rsidRPr="00230449">
        <w:rPr>
          <w:rFonts w:ascii="Arial" w:hAnsi="Arial" w:cs="Arial"/>
          <w:color w:val="000000" w:themeColor="text1"/>
        </w:rPr>
        <w:t xml:space="preserve">with insolvency law through the </w:t>
      </w:r>
      <w:r w:rsidR="00C252CC" w:rsidRPr="00230449">
        <w:rPr>
          <w:rFonts w:ascii="Arial" w:hAnsi="Arial" w:cs="Arial"/>
          <w:color w:val="000000" w:themeColor="text1"/>
        </w:rPr>
        <w:lastRenderedPageBreak/>
        <w:t>Eternal Recurrence</w:t>
      </w:r>
      <w:r w:rsidR="00C425C8" w:rsidRPr="00230449">
        <w:rPr>
          <w:rFonts w:ascii="Arial" w:hAnsi="Arial" w:cs="Arial"/>
          <w:color w:val="000000" w:themeColor="text1"/>
        </w:rPr>
        <w:t xml:space="preserve"> lens to look beyond the doctrinal to deeper movements</w:t>
      </w:r>
      <w:r w:rsidR="00AE2E61" w:rsidRPr="00230449">
        <w:rPr>
          <w:rFonts w:ascii="Arial" w:hAnsi="Arial" w:cs="Arial"/>
          <w:color w:val="000000" w:themeColor="text1"/>
        </w:rPr>
        <w:t xml:space="preserve"> which exist behind the temporary and</w:t>
      </w:r>
      <w:r w:rsidR="00C252CC" w:rsidRPr="00230449">
        <w:rPr>
          <w:rFonts w:ascii="Arial" w:hAnsi="Arial" w:cs="Arial"/>
          <w:color w:val="000000" w:themeColor="text1"/>
        </w:rPr>
        <w:t xml:space="preserve"> immediate. </w:t>
      </w:r>
      <w:r w:rsidR="00AE2E61" w:rsidRPr="00230449">
        <w:rPr>
          <w:rFonts w:ascii="Arial" w:hAnsi="Arial" w:cs="Arial"/>
          <w:color w:val="000000" w:themeColor="text1"/>
        </w:rPr>
        <w:t xml:space="preserve"> </w:t>
      </w:r>
    </w:p>
    <w:p w:rsidR="004B612C" w:rsidRPr="00230449" w:rsidRDefault="004B612C" w:rsidP="008B1208">
      <w:pPr>
        <w:spacing w:line="360" w:lineRule="auto"/>
        <w:jc w:val="both"/>
        <w:rPr>
          <w:rFonts w:ascii="Arial" w:hAnsi="Arial" w:cs="Arial"/>
        </w:rPr>
      </w:pPr>
    </w:p>
    <w:p w:rsidR="00EA1B7A" w:rsidRPr="00230449" w:rsidRDefault="00EA1B7A" w:rsidP="008B1208">
      <w:pPr>
        <w:spacing w:line="360" w:lineRule="auto"/>
        <w:jc w:val="both"/>
        <w:rPr>
          <w:rFonts w:ascii="Arial" w:hAnsi="Arial" w:cs="Arial"/>
        </w:rPr>
      </w:pPr>
      <w:r w:rsidRPr="00230449">
        <w:rPr>
          <w:rFonts w:ascii="Arial" w:hAnsi="Arial" w:cs="Arial"/>
        </w:rPr>
        <w:t xml:space="preserve">The nub of the approach is that repetition, as represented by Eternal Recurrence, stifles innovation in insolvency policy making and subsequent legislative reform. In this sense </w:t>
      </w:r>
      <w:r w:rsidR="00035E21" w:rsidRPr="00230449">
        <w:rPr>
          <w:rFonts w:ascii="Arial" w:hAnsi="Arial" w:cs="Arial"/>
        </w:rPr>
        <w:t xml:space="preserve">Eternal Recurrence </w:t>
      </w:r>
      <w:r w:rsidR="00007A2A" w:rsidRPr="00230449">
        <w:rPr>
          <w:rFonts w:ascii="Arial" w:hAnsi="Arial" w:cs="Arial"/>
        </w:rPr>
        <w:t>at a micro-level</w:t>
      </w:r>
      <w:r w:rsidRPr="00230449">
        <w:rPr>
          <w:rFonts w:ascii="Arial" w:hAnsi="Arial" w:cs="Arial"/>
        </w:rPr>
        <w:t xml:space="preserve"> could equally apply to numerous alternative areas of law.</w:t>
      </w:r>
      <w:r w:rsidR="003B3F84" w:rsidRPr="00230449">
        <w:rPr>
          <w:rFonts w:ascii="Arial" w:hAnsi="Arial" w:cs="Arial"/>
        </w:rPr>
        <w:t xml:space="preserve"> Insolvency law is neither special </w:t>
      </w:r>
      <w:r w:rsidR="00D81A48" w:rsidRPr="00230449">
        <w:rPr>
          <w:rFonts w:ascii="Arial" w:hAnsi="Arial" w:cs="Arial"/>
        </w:rPr>
        <w:t>n</w:t>
      </w:r>
      <w:r w:rsidR="003B3F84" w:rsidRPr="00230449">
        <w:rPr>
          <w:rFonts w:ascii="Arial" w:hAnsi="Arial" w:cs="Arial"/>
        </w:rPr>
        <w:t>or unique.</w:t>
      </w:r>
      <w:r w:rsidR="0091585D" w:rsidRPr="00230449">
        <w:rPr>
          <w:rStyle w:val="FootnoteReference"/>
          <w:rFonts w:ascii="Arial" w:hAnsi="Arial"/>
        </w:rPr>
        <w:footnoteReference w:id="45"/>
      </w:r>
      <w:r w:rsidR="0091585D" w:rsidRPr="00230449">
        <w:rPr>
          <w:rFonts w:ascii="Arial" w:hAnsi="Arial" w:cs="Arial"/>
        </w:rPr>
        <w:t xml:space="preserve"> </w:t>
      </w:r>
      <w:r w:rsidR="00035E21" w:rsidRPr="00230449">
        <w:rPr>
          <w:rFonts w:ascii="Arial" w:hAnsi="Arial" w:cs="Arial"/>
        </w:rPr>
        <w:t xml:space="preserve">Eternal Recurrence </w:t>
      </w:r>
      <w:r w:rsidR="003B3F84" w:rsidRPr="00230449">
        <w:rPr>
          <w:rFonts w:ascii="Arial" w:hAnsi="Arial" w:cs="Arial"/>
        </w:rPr>
        <w:t>as a signifier of repetition in policy formulation is a transferrable analytical tool that can be applied broadly.</w:t>
      </w:r>
      <w:r w:rsidR="00854DA5" w:rsidRPr="00230449">
        <w:rPr>
          <w:rFonts w:ascii="Arial" w:hAnsi="Arial" w:cs="Arial"/>
        </w:rPr>
        <w:t xml:space="preserve"> The approach fits </w:t>
      </w:r>
      <w:r w:rsidR="000A3A6A" w:rsidRPr="00230449">
        <w:rPr>
          <w:rFonts w:ascii="Arial" w:hAnsi="Arial" w:cs="Arial"/>
        </w:rPr>
        <w:t xml:space="preserve">particularly </w:t>
      </w:r>
      <w:r w:rsidR="00854DA5" w:rsidRPr="00230449">
        <w:rPr>
          <w:rFonts w:ascii="Arial" w:hAnsi="Arial" w:cs="Arial"/>
        </w:rPr>
        <w:t xml:space="preserve">well with insolvency law for two reasons. First, insolvency </w:t>
      </w:r>
      <w:r w:rsidR="00035E21" w:rsidRPr="00230449">
        <w:rPr>
          <w:rFonts w:ascii="Arial" w:hAnsi="Arial" w:cs="Arial"/>
        </w:rPr>
        <w:t xml:space="preserve">Eternal Recurrence </w:t>
      </w:r>
      <w:r w:rsidR="00854DA5" w:rsidRPr="00230449">
        <w:rPr>
          <w:rFonts w:ascii="Arial" w:hAnsi="Arial" w:cs="Arial"/>
        </w:rPr>
        <w:t>is occurring</w:t>
      </w:r>
      <w:r w:rsidR="00E26A1A" w:rsidRPr="00230449">
        <w:rPr>
          <w:rFonts w:ascii="Arial" w:hAnsi="Arial" w:cs="Arial"/>
        </w:rPr>
        <w:t xml:space="preserve"> as this paper demonstrates</w:t>
      </w:r>
      <w:r w:rsidR="00854DA5" w:rsidRPr="00230449">
        <w:rPr>
          <w:rFonts w:ascii="Arial" w:hAnsi="Arial" w:cs="Arial"/>
        </w:rPr>
        <w:t>. Secondly, Nietzsche’s own experience of insolvency issues and his writing on the debtor and creditor relationship</w:t>
      </w:r>
      <w:r w:rsidR="00E26A1A" w:rsidRPr="00230449">
        <w:rPr>
          <w:rStyle w:val="FootnoteReference"/>
          <w:rFonts w:ascii="Arial" w:hAnsi="Arial"/>
        </w:rPr>
        <w:footnoteReference w:id="46"/>
      </w:r>
      <w:r w:rsidR="00854DA5" w:rsidRPr="00230449">
        <w:rPr>
          <w:rFonts w:ascii="Arial" w:hAnsi="Arial" w:cs="Arial"/>
        </w:rPr>
        <w:t xml:space="preserve"> makes the application of on</w:t>
      </w:r>
      <w:r w:rsidR="00D23C5D" w:rsidRPr="00230449">
        <w:rPr>
          <w:rFonts w:ascii="Arial" w:hAnsi="Arial" w:cs="Arial"/>
        </w:rPr>
        <w:t>e of his thought experiments</w:t>
      </w:r>
      <w:r w:rsidR="00854DA5" w:rsidRPr="00230449">
        <w:rPr>
          <w:rFonts w:ascii="Arial" w:hAnsi="Arial" w:cs="Arial"/>
        </w:rPr>
        <w:t xml:space="preserve"> t</w:t>
      </w:r>
      <w:r w:rsidR="00D23C5D" w:rsidRPr="00230449">
        <w:rPr>
          <w:rFonts w:ascii="Arial" w:hAnsi="Arial" w:cs="Arial"/>
        </w:rPr>
        <w:t>o insolvency an interesting</w:t>
      </w:r>
      <w:r w:rsidR="00025D87" w:rsidRPr="00230449">
        <w:rPr>
          <w:rFonts w:ascii="Arial" w:hAnsi="Arial" w:cs="Arial"/>
        </w:rPr>
        <w:t xml:space="preserve"> exercise</w:t>
      </w:r>
      <w:r w:rsidR="00854DA5" w:rsidRPr="00230449">
        <w:rPr>
          <w:rFonts w:ascii="Arial" w:hAnsi="Arial" w:cs="Arial"/>
        </w:rPr>
        <w:t xml:space="preserve">.  </w:t>
      </w:r>
      <w:r w:rsidR="003B3F84" w:rsidRPr="00230449">
        <w:rPr>
          <w:rFonts w:ascii="Arial" w:hAnsi="Arial" w:cs="Arial"/>
        </w:rPr>
        <w:t xml:space="preserve"> </w:t>
      </w:r>
    </w:p>
    <w:p w:rsidR="00EA1B7A" w:rsidRPr="00230449" w:rsidRDefault="00EA1B7A" w:rsidP="008B1208">
      <w:pPr>
        <w:spacing w:line="360" w:lineRule="auto"/>
        <w:jc w:val="both"/>
        <w:rPr>
          <w:rFonts w:ascii="Arial" w:hAnsi="Arial" w:cs="Arial"/>
        </w:rPr>
      </w:pPr>
    </w:p>
    <w:p w:rsidR="00E4139B" w:rsidRPr="00230449" w:rsidRDefault="00025D87" w:rsidP="008B1208">
      <w:pPr>
        <w:spacing w:line="360" w:lineRule="auto"/>
        <w:jc w:val="both"/>
        <w:rPr>
          <w:rFonts w:ascii="Arial" w:hAnsi="Arial" w:cs="Arial"/>
        </w:rPr>
      </w:pPr>
      <w:r w:rsidRPr="00230449">
        <w:rPr>
          <w:rFonts w:ascii="Arial" w:hAnsi="Arial" w:cs="Arial"/>
        </w:rPr>
        <w:t xml:space="preserve">If insolvency </w:t>
      </w:r>
      <w:r w:rsidR="00035E21" w:rsidRPr="00230449">
        <w:rPr>
          <w:rFonts w:ascii="Arial" w:hAnsi="Arial" w:cs="Arial"/>
        </w:rPr>
        <w:t xml:space="preserve">Eternal Recurrence </w:t>
      </w:r>
      <w:r w:rsidRPr="00230449">
        <w:rPr>
          <w:rFonts w:ascii="Arial" w:hAnsi="Arial" w:cs="Arial"/>
        </w:rPr>
        <w:t>is v</w:t>
      </w:r>
      <w:r w:rsidR="00EA1B7A" w:rsidRPr="00230449">
        <w:rPr>
          <w:rFonts w:ascii="Arial" w:hAnsi="Arial" w:cs="Arial"/>
        </w:rPr>
        <w:t xml:space="preserve">iewed </w:t>
      </w:r>
      <w:r w:rsidRPr="00230449">
        <w:rPr>
          <w:rFonts w:ascii="Arial" w:hAnsi="Arial" w:cs="Arial"/>
        </w:rPr>
        <w:t xml:space="preserve">as a reform repetition </w:t>
      </w:r>
      <w:r w:rsidR="00D23C5D" w:rsidRPr="00230449">
        <w:rPr>
          <w:rFonts w:ascii="Arial" w:hAnsi="Arial" w:cs="Arial"/>
        </w:rPr>
        <w:t xml:space="preserve">signifier </w:t>
      </w:r>
      <w:r w:rsidR="00EA1B7A" w:rsidRPr="00230449">
        <w:rPr>
          <w:rFonts w:ascii="Arial" w:hAnsi="Arial" w:cs="Arial"/>
        </w:rPr>
        <w:t xml:space="preserve">there is no requirement to draw similarities with the characters in Nietzsche’s </w:t>
      </w:r>
      <w:r w:rsidR="00EA1B7A" w:rsidRPr="00230449">
        <w:rPr>
          <w:rFonts w:ascii="Arial" w:hAnsi="Arial" w:cs="Arial"/>
          <w:i/>
        </w:rPr>
        <w:t>The Gay Science</w:t>
      </w:r>
      <w:r w:rsidR="00EA1B7A" w:rsidRPr="00230449">
        <w:rPr>
          <w:rFonts w:ascii="Arial" w:hAnsi="Arial" w:cs="Arial"/>
        </w:rPr>
        <w:t xml:space="preserve"> aphorism</w:t>
      </w:r>
      <w:r w:rsidR="00954FD4" w:rsidRPr="00230449">
        <w:rPr>
          <w:rFonts w:ascii="Arial" w:hAnsi="Arial" w:cs="Arial"/>
        </w:rPr>
        <w:t>. We do not need to ask who</w:t>
      </w:r>
      <w:r w:rsidR="00C20FC0" w:rsidRPr="00230449">
        <w:rPr>
          <w:rFonts w:ascii="Arial" w:hAnsi="Arial" w:cs="Arial"/>
        </w:rPr>
        <w:t xml:space="preserve"> is </w:t>
      </w:r>
      <w:r w:rsidR="00EA1B7A" w:rsidRPr="00230449">
        <w:rPr>
          <w:rFonts w:ascii="Arial" w:hAnsi="Arial" w:cs="Arial"/>
        </w:rPr>
        <w:t>the d</w:t>
      </w:r>
      <w:r w:rsidR="00F161BB" w:rsidRPr="00230449">
        <w:rPr>
          <w:rFonts w:ascii="Arial" w:hAnsi="Arial" w:cs="Arial"/>
        </w:rPr>
        <w:t>a</w:t>
      </w:r>
      <w:r w:rsidR="00EA1B7A" w:rsidRPr="00230449">
        <w:rPr>
          <w:rFonts w:ascii="Arial" w:hAnsi="Arial" w:cs="Arial"/>
        </w:rPr>
        <w:t>emon and the potentia</w:t>
      </w:r>
      <w:r w:rsidR="00C20FC0" w:rsidRPr="00230449">
        <w:rPr>
          <w:rFonts w:ascii="Arial" w:hAnsi="Arial" w:cs="Arial"/>
        </w:rPr>
        <w:t>l great individual (</w:t>
      </w:r>
      <w:proofErr w:type="spellStart"/>
      <w:r w:rsidR="00C20FC0" w:rsidRPr="00230449">
        <w:rPr>
          <w:rFonts w:ascii="Arial" w:hAnsi="Arial" w:cs="Arial"/>
        </w:rPr>
        <w:t>Übermensch</w:t>
      </w:r>
      <w:proofErr w:type="spellEnd"/>
      <w:r w:rsidR="00C20FC0" w:rsidRPr="00230449">
        <w:rPr>
          <w:rFonts w:ascii="Arial" w:hAnsi="Arial" w:cs="Arial"/>
        </w:rPr>
        <w:t>)</w:t>
      </w:r>
      <w:r w:rsidR="00D23C5D" w:rsidRPr="00230449">
        <w:rPr>
          <w:rFonts w:ascii="Arial" w:hAnsi="Arial" w:cs="Arial"/>
        </w:rPr>
        <w:t xml:space="preserve"> when applying </w:t>
      </w:r>
      <w:r w:rsidR="00035E21" w:rsidRPr="00230449">
        <w:rPr>
          <w:rFonts w:ascii="Arial" w:hAnsi="Arial" w:cs="Arial"/>
        </w:rPr>
        <w:t xml:space="preserve">Eternal Recurrence </w:t>
      </w:r>
      <w:r w:rsidR="00D23C5D" w:rsidRPr="00230449">
        <w:rPr>
          <w:rFonts w:ascii="Arial" w:hAnsi="Arial" w:cs="Arial"/>
        </w:rPr>
        <w:t>to insolvency law</w:t>
      </w:r>
      <w:r w:rsidR="00954FD4" w:rsidRPr="00230449">
        <w:rPr>
          <w:rFonts w:ascii="Arial" w:hAnsi="Arial" w:cs="Arial"/>
        </w:rPr>
        <w:t>.</w:t>
      </w:r>
      <w:r w:rsidR="00EA1B7A" w:rsidRPr="00230449">
        <w:rPr>
          <w:rFonts w:ascii="Arial" w:hAnsi="Arial" w:cs="Arial"/>
        </w:rPr>
        <w:t xml:space="preserve"> It is</w:t>
      </w:r>
      <w:r w:rsidR="00C20FC0" w:rsidRPr="00230449">
        <w:rPr>
          <w:rFonts w:ascii="Arial" w:hAnsi="Arial" w:cs="Arial"/>
        </w:rPr>
        <w:t xml:space="preserve"> enough to view insolvency </w:t>
      </w:r>
      <w:r w:rsidR="00035E21" w:rsidRPr="00230449">
        <w:rPr>
          <w:rFonts w:ascii="Arial" w:hAnsi="Arial" w:cs="Arial"/>
        </w:rPr>
        <w:t xml:space="preserve">Eternal Recurrence </w:t>
      </w:r>
      <w:r w:rsidR="00C20FC0" w:rsidRPr="00230449">
        <w:rPr>
          <w:rFonts w:ascii="Arial" w:hAnsi="Arial" w:cs="Arial"/>
        </w:rPr>
        <w:t>as the suggestion of damaging repetition</w:t>
      </w:r>
      <w:r w:rsidR="002755CD" w:rsidRPr="00230449">
        <w:rPr>
          <w:rFonts w:ascii="Arial" w:hAnsi="Arial" w:cs="Arial"/>
        </w:rPr>
        <w:t xml:space="preserve"> that must be overcome and replaced with novel reform</w:t>
      </w:r>
      <w:r w:rsidR="00C20FC0" w:rsidRPr="00230449">
        <w:rPr>
          <w:rFonts w:ascii="Arial" w:hAnsi="Arial" w:cs="Arial"/>
        </w:rPr>
        <w:t>. However, parallels can be drawn</w:t>
      </w:r>
      <w:r w:rsidR="00EA1B7A" w:rsidRPr="00230449">
        <w:rPr>
          <w:rFonts w:ascii="Arial" w:hAnsi="Arial" w:cs="Arial"/>
        </w:rPr>
        <w:t>. The d</w:t>
      </w:r>
      <w:r w:rsidR="00F161BB" w:rsidRPr="00230449">
        <w:rPr>
          <w:rFonts w:ascii="Arial" w:hAnsi="Arial" w:cs="Arial"/>
        </w:rPr>
        <w:t>a</w:t>
      </w:r>
      <w:r w:rsidR="00EA1B7A" w:rsidRPr="00230449">
        <w:rPr>
          <w:rFonts w:ascii="Arial" w:hAnsi="Arial" w:cs="Arial"/>
        </w:rPr>
        <w:t>emon is representative of wider stakeholders</w:t>
      </w:r>
      <w:r w:rsidR="00331982" w:rsidRPr="00230449">
        <w:rPr>
          <w:rFonts w:ascii="Arial" w:hAnsi="Arial" w:cs="Arial"/>
        </w:rPr>
        <w:t>, or commentators</w:t>
      </w:r>
      <w:r w:rsidR="00C20FC0" w:rsidRPr="00230449">
        <w:rPr>
          <w:rFonts w:ascii="Arial" w:hAnsi="Arial" w:cs="Arial"/>
        </w:rPr>
        <w:t>,</w:t>
      </w:r>
      <w:r w:rsidR="00EA1B7A" w:rsidRPr="00230449">
        <w:rPr>
          <w:rFonts w:ascii="Arial" w:hAnsi="Arial" w:cs="Arial"/>
        </w:rPr>
        <w:t xml:space="preserve"> telling the Insolvency Service policy makers</w:t>
      </w:r>
      <w:r w:rsidR="00C20FC0" w:rsidRPr="00230449">
        <w:rPr>
          <w:rFonts w:ascii="Arial" w:hAnsi="Arial" w:cs="Arial"/>
        </w:rPr>
        <w:t>, and wider readers,</w:t>
      </w:r>
      <w:r w:rsidR="00EA1B7A" w:rsidRPr="00230449">
        <w:rPr>
          <w:rFonts w:ascii="Arial" w:hAnsi="Arial" w:cs="Arial"/>
        </w:rPr>
        <w:t xml:space="preserve"> that they need to accept </w:t>
      </w:r>
      <w:r w:rsidR="00C20FC0" w:rsidRPr="00230449">
        <w:rPr>
          <w:rFonts w:ascii="Arial" w:hAnsi="Arial" w:cs="Arial"/>
        </w:rPr>
        <w:t xml:space="preserve">the fact that insolvency </w:t>
      </w:r>
      <w:r w:rsidR="00035E21" w:rsidRPr="00230449">
        <w:rPr>
          <w:rFonts w:ascii="Arial" w:hAnsi="Arial" w:cs="Arial"/>
        </w:rPr>
        <w:t xml:space="preserve">Eternal Recurrence </w:t>
      </w:r>
      <w:r w:rsidR="00EA1B7A" w:rsidRPr="00230449">
        <w:rPr>
          <w:rFonts w:ascii="Arial" w:hAnsi="Arial" w:cs="Arial"/>
        </w:rPr>
        <w:t>is occurring and by extension a</w:t>
      </w:r>
      <w:r w:rsidR="00C20FC0" w:rsidRPr="00230449">
        <w:rPr>
          <w:rFonts w:ascii="Arial" w:hAnsi="Arial" w:cs="Arial"/>
        </w:rPr>
        <w:t xml:space="preserve">ddress its problematic effects. </w:t>
      </w:r>
      <w:r w:rsidR="00EA1B7A" w:rsidRPr="00230449">
        <w:rPr>
          <w:rFonts w:ascii="Arial" w:hAnsi="Arial" w:cs="Arial"/>
        </w:rPr>
        <w:t>The recipient</w:t>
      </w:r>
      <w:r w:rsidR="00331982" w:rsidRPr="00230449">
        <w:rPr>
          <w:rFonts w:ascii="Arial" w:hAnsi="Arial" w:cs="Arial"/>
        </w:rPr>
        <w:t>s</w:t>
      </w:r>
      <w:r w:rsidR="00EA1B7A" w:rsidRPr="00230449">
        <w:rPr>
          <w:rFonts w:ascii="Arial" w:hAnsi="Arial" w:cs="Arial"/>
        </w:rPr>
        <w:t xml:space="preserve"> of the information</w:t>
      </w:r>
      <w:r w:rsidR="00C20FC0" w:rsidRPr="00230449">
        <w:rPr>
          <w:rFonts w:ascii="Arial" w:hAnsi="Arial" w:cs="Arial"/>
        </w:rPr>
        <w:t xml:space="preserve"> </w:t>
      </w:r>
      <w:r w:rsidR="00331982" w:rsidRPr="00230449">
        <w:rPr>
          <w:rFonts w:ascii="Arial" w:hAnsi="Arial" w:cs="Arial"/>
        </w:rPr>
        <w:t xml:space="preserve">are </w:t>
      </w:r>
      <w:r w:rsidR="00C20FC0" w:rsidRPr="00230449">
        <w:rPr>
          <w:rFonts w:ascii="Arial" w:hAnsi="Arial" w:cs="Arial"/>
        </w:rPr>
        <w:t>the policy makers. They represent the great individual (</w:t>
      </w:r>
      <w:proofErr w:type="spellStart"/>
      <w:r w:rsidR="00C20FC0" w:rsidRPr="00230449">
        <w:rPr>
          <w:rFonts w:ascii="Arial" w:hAnsi="Arial" w:cs="Arial"/>
        </w:rPr>
        <w:t>Übermensch</w:t>
      </w:r>
      <w:proofErr w:type="spellEnd"/>
      <w:r w:rsidR="00C20FC0" w:rsidRPr="00230449">
        <w:rPr>
          <w:rFonts w:ascii="Arial" w:hAnsi="Arial" w:cs="Arial"/>
        </w:rPr>
        <w:t>) being asked to pass the test of the</w:t>
      </w:r>
      <w:r w:rsidR="00ED61DF" w:rsidRPr="00230449">
        <w:rPr>
          <w:rFonts w:ascii="Arial" w:hAnsi="Arial" w:cs="Arial"/>
        </w:rPr>
        <w:t xml:space="preserve"> insolvency</w:t>
      </w:r>
      <w:r w:rsidR="00C20FC0" w:rsidRPr="00230449">
        <w:rPr>
          <w:rFonts w:ascii="Arial" w:hAnsi="Arial" w:cs="Arial"/>
        </w:rPr>
        <w:t xml:space="preserve"> Eternal Recurrence. With insolvency </w:t>
      </w:r>
      <w:r w:rsidR="00035E21" w:rsidRPr="00230449">
        <w:rPr>
          <w:rFonts w:ascii="Arial" w:hAnsi="Arial" w:cs="Arial"/>
        </w:rPr>
        <w:t xml:space="preserve">Eternal Recurrence </w:t>
      </w:r>
      <w:r w:rsidR="00C20FC0" w:rsidRPr="00230449">
        <w:rPr>
          <w:rFonts w:ascii="Arial" w:hAnsi="Arial" w:cs="Arial"/>
        </w:rPr>
        <w:t>the test is whet</w:t>
      </w:r>
      <w:r w:rsidR="00ED61DF" w:rsidRPr="00230449">
        <w:rPr>
          <w:rFonts w:ascii="Arial" w:hAnsi="Arial" w:cs="Arial"/>
        </w:rPr>
        <w:t>her the recipient agrees that reform rep</w:t>
      </w:r>
      <w:r w:rsidR="00331982" w:rsidRPr="00230449">
        <w:rPr>
          <w:rFonts w:ascii="Arial" w:hAnsi="Arial" w:cs="Arial"/>
        </w:rPr>
        <w:t>et</w:t>
      </w:r>
      <w:r w:rsidR="00ED61DF" w:rsidRPr="00230449">
        <w:rPr>
          <w:rFonts w:ascii="Arial" w:hAnsi="Arial" w:cs="Arial"/>
        </w:rPr>
        <w:t>ition</w:t>
      </w:r>
      <w:r w:rsidR="00FC49D0" w:rsidRPr="00230449">
        <w:rPr>
          <w:rFonts w:ascii="Arial" w:hAnsi="Arial" w:cs="Arial"/>
        </w:rPr>
        <w:t xml:space="preserve"> exists; i</w:t>
      </w:r>
      <w:r w:rsidR="00C20FC0" w:rsidRPr="00230449">
        <w:rPr>
          <w:rFonts w:ascii="Arial" w:hAnsi="Arial" w:cs="Arial"/>
        </w:rPr>
        <w:t>f they do then they must respond.</w:t>
      </w:r>
      <w:r w:rsidR="00EA1B7A" w:rsidRPr="00230449">
        <w:rPr>
          <w:rFonts w:ascii="Arial" w:hAnsi="Arial" w:cs="Arial"/>
        </w:rPr>
        <w:t xml:space="preserve">   </w:t>
      </w:r>
    </w:p>
    <w:p w:rsidR="00E4139B" w:rsidRPr="00230449" w:rsidRDefault="00E4139B" w:rsidP="008B1208">
      <w:pPr>
        <w:spacing w:line="360" w:lineRule="auto"/>
        <w:jc w:val="both"/>
        <w:rPr>
          <w:rFonts w:ascii="Arial" w:hAnsi="Arial" w:cs="Arial"/>
        </w:rPr>
      </w:pPr>
    </w:p>
    <w:p w:rsidR="007B6137" w:rsidRPr="00230449" w:rsidRDefault="007B6137" w:rsidP="008B1208">
      <w:pPr>
        <w:spacing w:line="360" w:lineRule="auto"/>
        <w:jc w:val="both"/>
        <w:rPr>
          <w:rFonts w:ascii="Arial" w:hAnsi="Arial" w:cs="Arial"/>
        </w:rPr>
      </w:pPr>
    </w:p>
    <w:p w:rsidR="007B6137" w:rsidRPr="00230449" w:rsidRDefault="007B6137" w:rsidP="008B1208">
      <w:pPr>
        <w:spacing w:line="360" w:lineRule="auto"/>
        <w:jc w:val="both"/>
        <w:rPr>
          <w:rFonts w:ascii="Arial" w:hAnsi="Arial" w:cs="Arial"/>
          <w:u w:val="single"/>
        </w:rPr>
      </w:pPr>
      <w:r w:rsidRPr="00230449">
        <w:rPr>
          <w:rFonts w:ascii="Arial" w:hAnsi="Arial" w:cs="Arial"/>
          <w:u w:val="single"/>
        </w:rPr>
        <w:lastRenderedPageBreak/>
        <w:t xml:space="preserve">How does insolvency Eternal Recurrence arise? </w:t>
      </w:r>
    </w:p>
    <w:p w:rsidR="007B6137" w:rsidRPr="00230449" w:rsidRDefault="007B6137" w:rsidP="008B1208">
      <w:pPr>
        <w:spacing w:line="360" w:lineRule="auto"/>
        <w:jc w:val="both"/>
        <w:rPr>
          <w:rFonts w:ascii="Arial" w:hAnsi="Arial" w:cs="Arial"/>
        </w:rPr>
      </w:pPr>
    </w:p>
    <w:p w:rsidR="000D04BA" w:rsidRPr="00230449" w:rsidRDefault="00035E21" w:rsidP="008B1208">
      <w:pPr>
        <w:spacing w:line="360" w:lineRule="auto"/>
        <w:jc w:val="both"/>
        <w:rPr>
          <w:rFonts w:ascii="Arial" w:hAnsi="Arial" w:cs="Arial"/>
        </w:rPr>
      </w:pPr>
      <w:r w:rsidRPr="00230449">
        <w:rPr>
          <w:rFonts w:ascii="Arial" w:hAnsi="Arial" w:cs="Arial"/>
        </w:rPr>
        <w:t xml:space="preserve">Eternal Recurrence </w:t>
      </w:r>
      <w:r w:rsidR="000D04BA" w:rsidRPr="00230449">
        <w:rPr>
          <w:rFonts w:ascii="Arial" w:hAnsi="Arial" w:cs="Arial"/>
        </w:rPr>
        <w:t>exists in English and Welsh insolvency law in a number of ways and across a number of technical areas as Part (2) of this ar</w:t>
      </w:r>
      <w:r w:rsidR="002B1BF2" w:rsidRPr="00230449">
        <w:rPr>
          <w:rFonts w:ascii="Arial" w:hAnsi="Arial" w:cs="Arial"/>
        </w:rPr>
        <w:t xml:space="preserve">ticle </w:t>
      </w:r>
      <w:r w:rsidR="000D04BA" w:rsidRPr="00230449">
        <w:rPr>
          <w:rFonts w:ascii="Arial" w:hAnsi="Arial" w:cs="Arial"/>
        </w:rPr>
        <w:t>demonstrates</w:t>
      </w:r>
      <w:r w:rsidR="002B1BF2" w:rsidRPr="00230449">
        <w:rPr>
          <w:rFonts w:ascii="Arial" w:hAnsi="Arial" w:cs="Arial"/>
        </w:rPr>
        <w:t xml:space="preserve"> (</w:t>
      </w:r>
      <w:r w:rsidR="00E553DE" w:rsidRPr="00230449">
        <w:rPr>
          <w:rFonts w:ascii="Arial" w:hAnsi="Arial" w:cs="Arial"/>
        </w:rPr>
        <w:t xml:space="preserve">see </w:t>
      </w:r>
      <w:r w:rsidR="002B1BF2" w:rsidRPr="00230449">
        <w:rPr>
          <w:rFonts w:ascii="Arial" w:hAnsi="Arial" w:cs="Arial"/>
        </w:rPr>
        <w:t>below)</w:t>
      </w:r>
      <w:r w:rsidR="000D04BA" w:rsidRPr="00230449">
        <w:rPr>
          <w:rFonts w:ascii="Arial" w:hAnsi="Arial" w:cs="Arial"/>
        </w:rPr>
        <w:t>. Before examining those ar</w:t>
      </w:r>
      <w:r w:rsidR="00DA1C64" w:rsidRPr="00230449">
        <w:rPr>
          <w:rFonts w:ascii="Arial" w:hAnsi="Arial" w:cs="Arial"/>
        </w:rPr>
        <w:t xml:space="preserve">eas we must first explain how </w:t>
      </w:r>
      <w:r w:rsidRPr="00230449">
        <w:rPr>
          <w:rFonts w:ascii="Arial" w:hAnsi="Arial" w:cs="Arial"/>
        </w:rPr>
        <w:t xml:space="preserve">Eternal Recurrence </w:t>
      </w:r>
      <w:r w:rsidR="000D04BA" w:rsidRPr="00230449">
        <w:rPr>
          <w:rFonts w:ascii="Arial" w:hAnsi="Arial" w:cs="Arial"/>
        </w:rPr>
        <w:t>comes to exist in English and Welsh insolvency law</w:t>
      </w:r>
      <w:r w:rsidR="00DA1C64" w:rsidRPr="00230449">
        <w:rPr>
          <w:rFonts w:ascii="Arial" w:hAnsi="Arial" w:cs="Arial"/>
        </w:rPr>
        <w:t xml:space="preserve"> and what effect it has on policy formulation and subsequent legislation</w:t>
      </w:r>
      <w:r w:rsidR="000D04BA" w:rsidRPr="00230449">
        <w:rPr>
          <w:rFonts w:ascii="Arial" w:hAnsi="Arial" w:cs="Arial"/>
        </w:rPr>
        <w:t>.</w:t>
      </w:r>
      <w:r w:rsidR="00E553DE" w:rsidRPr="00230449">
        <w:rPr>
          <w:rStyle w:val="FootnoteReference"/>
          <w:rFonts w:ascii="Arial" w:hAnsi="Arial"/>
        </w:rPr>
        <w:footnoteReference w:id="47"/>
      </w:r>
      <w:r w:rsidR="000D04BA" w:rsidRPr="00230449">
        <w:rPr>
          <w:rFonts w:ascii="Arial" w:hAnsi="Arial" w:cs="Arial"/>
        </w:rPr>
        <w:t xml:space="preserve">  </w:t>
      </w:r>
    </w:p>
    <w:p w:rsidR="000D04BA" w:rsidRPr="00230449" w:rsidRDefault="000D04BA" w:rsidP="008B1208">
      <w:pPr>
        <w:spacing w:line="360" w:lineRule="auto"/>
        <w:jc w:val="both"/>
        <w:rPr>
          <w:rFonts w:ascii="Arial" w:hAnsi="Arial" w:cs="Arial"/>
        </w:rPr>
      </w:pPr>
    </w:p>
    <w:p w:rsidR="00AE31EA" w:rsidRPr="00230449" w:rsidRDefault="000D04BA" w:rsidP="008B1208">
      <w:pPr>
        <w:spacing w:line="360" w:lineRule="auto"/>
        <w:jc w:val="both"/>
        <w:rPr>
          <w:rFonts w:ascii="Arial" w:hAnsi="Arial" w:cs="Arial"/>
        </w:rPr>
      </w:pPr>
      <w:r w:rsidRPr="00230449">
        <w:rPr>
          <w:rFonts w:ascii="Arial" w:hAnsi="Arial" w:cs="Arial"/>
        </w:rPr>
        <w:t xml:space="preserve">The way in which the Insolvency Service, and the Civil Service more generally, recruits and manages its employees has a major effect on policy </w:t>
      </w:r>
      <w:r w:rsidR="00DA1C64" w:rsidRPr="00230449">
        <w:rPr>
          <w:rFonts w:ascii="Arial" w:hAnsi="Arial" w:cs="Arial"/>
        </w:rPr>
        <w:t xml:space="preserve">formulation and </w:t>
      </w:r>
      <w:r w:rsidR="00AE473A" w:rsidRPr="00230449">
        <w:rPr>
          <w:rFonts w:ascii="Arial" w:hAnsi="Arial" w:cs="Arial"/>
        </w:rPr>
        <w:t>t</w:t>
      </w:r>
      <w:r w:rsidR="005F11D6" w:rsidRPr="00230449">
        <w:rPr>
          <w:rFonts w:ascii="Arial" w:hAnsi="Arial" w:cs="Arial"/>
        </w:rPr>
        <w:t xml:space="preserve">he direction of </w:t>
      </w:r>
      <w:r w:rsidRPr="00230449">
        <w:rPr>
          <w:rFonts w:ascii="Arial" w:hAnsi="Arial" w:cs="Arial"/>
        </w:rPr>
        <w:t>decision making. This policy</w:t>
      </w:r>
      <w:r w:rsidR="005D3FE4" w:rsidRPr="00230449">
        <w:rPr>
          <w:rFonts w:ascii="Arial" w:hAnsi="Arial" w:cs="Arial"/>
        </w:rPr>
        <w:t xml:space="preserve"> formulation process</w:t>
      </w:r>
      <w:r w:rsidRPr="00230449">
        <w:rPr>
          <w:rFonts w:ascii="Arial" w:hAnsi="Arial" w:cs="Arial"/>
        </w:rPr>
        <w:t xml:space="preserve"> is</w:t>
      </w:r>
      <w:r w:rsidR="00AE473A" w:rsidRPr="00230449">
        <w:rPr>
          <w:rFonts w:ascii="Arial" w:hAnsi="Arial" w:cs="Arial"/>
        </w:rPr>
        <w:t xml:space="preserve"> </w:t>
      </w:r>
      <w:r w:rsidRPr="00230449">
        <w:rPr>
          <w:rFonts w:ascii="Arial" w:hAnsi="Arial" w:cs="Arial"/>
        </w:rPr>
        <w:t xml:space="preserve">important as it informs and drives what the final legislative provisions </w:t>
      </w:r>
      <w:r w:rsidR="000A3A6A" w:rsidRPr="00230449">
        <w:rPr>
          <w:rFonts w:ascii="Arial" w:hAnsi="Arial" w:cs="Arial"/>
        </w:rPr>
        <w:t xml:space="preserve">may </w:t>
      </w:r>
      <w:r w:rsidRPr="00230449">
        <w:rPr>
          <w:rFonts w:ascii="Arial" w:hAnsi="Arial" w:cs="Arial"/>
        </w:rPr>
        <w:t>contain.</w:t>
      </w:r>
      <w:r w:rsidR="00AE473A" w:rsidRPr="00230449">
        <w:rPr>
          <w:rFonts w:ascii="Arial" w:hAnsi="Arial" w:cs="Arial"/>
        </w:rPr>
        <w:t xml:space="preserve"> If</w:t>
      </w:r>
      <w:r w:rsidRPr="00230449">
        <w:rPr>
          <w:rFonts w:ascii="Arial" w:hAnsi="Arial" w:cs="Arial"/>
        </w:rPr>
        <w:t xml:space="preserve"> employees</w:t>
      </w:r>
      <w:r w:rsidR="00AE473A" w:rsidRPr="00230449">
        <w:rPr>
          <w:rFonts w:ascii="Arial" w:hAnsi="Arial" w:cs="Arial"/>
        </w:rPr>
        <w:t xml:space="preserve"> who formulate policy</w:t>
      </w:r>
      <w:r w:rsidRPr="00230449">
        <w:rPr>
          <w:rFonts w:ascii="Arial" w:hAnsi="Arial" w:cs="Arial"/>
        </w:rPr>
        <w:t xml:space="preserve"> are deployed</w:t>
      </w:r>
      <w:r w:rsidR="005D3FE4" w:rsidRPr="00230449">
        <w:rPr>
          <w:rFonts w:ascii="Arial" w:hAnsi="Arial" w:cs="Arial"/>
        </w:rPr>
        <w:t xml:space="preserve"> and re-deployed</w:t>
      </w:r>
      <w:r w:rsidRPr="00230449">
        <w:rPr>
          <w:rFonts w:ascii="Arial" w:hAnsi="Arial" w:cs="Arial"/>
        </w:rPr>
        <w:t xml:space="preserve"> on a </w:t>
      </w:r>
      <w:r w:rsidR="005D3FE4" w:rsidRPr="00230449">
        <w:rPr>
          <w:rFonts w:ascii="Arial" w:hAnsi="Arial" w:cs="Arial"/>
        </w:rPr>
        <w:t xml:space="preserve">regular and </w:t>
      </w:r>
      <w:r w:rsidRPr="00230449">
        <w:rPr>
          <w:rFonts w:ascii="Arial" w:hAnsi="Arial" w:cs="Arial"/>
        </w:rPr>
        <w:t>relatively transitory basis then they are</w:t>
      </w:r>
      <w:r w:rsidR="00C75775" w:rsidRPr="00230449">
        <w:rPr>
          <w:rFonts w:ascii="Arial" w:hAnsi="Arial" w:cs="Arial"/>
        </w:rPr>
        <w:t>,</w:t>
      </w:r>
      <w:r w:rsidR="00AE473A" w:rsidRPr="00230449">
        <w:rPr>
          <w:rFonts w:ascii="Arial" w:hAnsi="Arial" w:cs="Arial"/>
        </w:rPr>
        <w:t xml:space="preserve"> by definition</w:t>
      </w:r>
      <w:r w:rsidR="00C75775" w:rsidRPr="00230449">
        <w:rPr>
          <w:rFonts w:ascii="Arial" w:hAnsi="Arial" w:cs="Arial"/>
        </w:rPr>
        <w:t>,</w:t>
      </w:r>
      <w:r w:rsidRPr="00230449">
        <w:rPr>
          <w:rFonts w:ascii="Arial" w:hAnsi="Arial" w:cs="Arial"/>
        </w:rPr>
        <w:t xml:space="preserve"> not i</w:t>
      </w:r>
      <w:r w:rsidR="00AE473A" w:rsidRPr="00230449">
        <w:rPr>
          <w:rFonts w:ascii="Arial" w:hAnsi="Arial" w:cs="Arial"/>
        </w:rPr>
        <w:t>n post for</w:t>
      </w:r>
      <w:r w:rsidR="00AE31EA" w:rsidRPr="00230449">
        <w:rPr>
          <w:rFonts w:ascii="Arial" w:hAnsi="Arial" w:cs="Arial"/>
        </w:rPr>
        <w:t xml:space="preserve"> long. When t</w:t>
      </w:r>
      <w:r w:rsidR="00AE473A" w:rsidRPr="00230449">
        <w:rPr>
          <w:rFonts w:ascii="Arial" w:hAnsi="Arial" w:cs="Arial"/>
        </w:rPr>
        <w:t>hey</w:t>
      </w:r>
      <w:r w:rsidR="00AE31EA" w:rsidRPr="00230449">
        <w:rPr>
          <w:rFonts w:ascii="Arial" w:hAnsi="Arial" w:cs="Arial"/>
        </w:rPr>
        <w:t xml:space="preserve"> are moved </w:t>
      </w:r>
      <w:r w:rsidR="00AE473A" w:rsidRPr="00230449">
        <w:rPr>
          <w:rFonts w:ascii="Arial" w:hAnsi="Arial" w:cs="Arial"/>
        </w:rPr>
        <w:t>to their next position</w:t>
      </w:r>
      <w:r w:rsidR="00AE31EA" w:rsidRPr="00230449">
        <w:rPr>
          <w:rFonts w:ascii="Arial" w:hAnsi="Arial" w:cs="Arial"/>
        </w:rPr>
        <w:t xml:space="preserve"> they take</w:t>
      </w:r>
      <w:r w:rsidR="00C75775" w:rsidRPr="00230449">
        <w:rPr>
          <w:rFonts w:ascii="Arial" w:hAnsi="Arial" w:cs="Arial"/>
        </w:rPr>
        <w:t xml:space="preserve"> their accumu</w:t>
      </w:r>
      <w:r w:rsidR="00AE31EA" w:rsidRPr="00230449">
        <w:rPr>
          <w:rFonts w:ascii="Arial" w:hAnsi="Arial" w:cs="Arial"/>
        </w:rPr>
        <w:t>lated knowledge and expertise with them</w:t>
      </w:r>
      <w:r w:rsidRPr="00230449">
        <w:rPr>
          <w:rFonts w:ascii="Arial" w:hAnsi="Arial" w:cs="Arial"/>
        </w:rPr>
        <w:t>. This</w:t>
      </w:r>
      <w:r w:rsidR="00C75775" w:rsidRPr="00230449">
        <w:rPr>
          <w:rFonts w:ascii="Arial" w:hAnsi="Arial" w:cs="Arial"/>
        </w:rPr>
        <w:t xml:space="preserve"> type of posting arrangement</w:t>
      </w:r>
      <w:r w:rsidRPr="00230449">
        <w:rPr>
          <w:rFonts w:ascii="Arial" w:hAnsi="Arial" w:cs="Arial"/>
        </w:rPr>
        <w:t xml:space="preserve"> has advantages and disadvan</w:t>
      </w:r>
      <w:r w:rsidR="00C75775" w:rsidRPr="00230449">
        <w:rPr>
          <w:rFonts w:ascii="Arial" w:hAnsi="Arial" w:cs="Arial"/>
        </w:rPr>
        <w:t xml:space="preserve">tages. </w:t>
      </w:r>
    </w:p>
    <w:p w:rsidR="00AE31EA" w:rsidRPr="00230449" w:rsidRDefault="00AE31EA" w:rsidP="008B1208">
      <w:pPr>
        <w:spacing w:line="360" w:lineRule="auto"/>
        <w:jc w:val="both"/>
        <w:rPr>
          <w:rFonts w:ascii="Arial" w:hAnsi="Arial" w:cs="Arial"/>
        </w:rPr>
      </w:pPr>
    </w:p>
    <w:p w:rsidR="00ED61DF" w:rsidRPr="00230449" w:rsidRDefault="00C75775" w:rsidP="008B1208">
      <w:pPr>
        <w:spacing w:line="360" w:lineRule="auto"/>
        <w:jc w:val="both"/>
        <w:rPr>
          <w:rFonts w:ascii="Arial" w:hAnsi="Arial" w:cs="Arial"/>
        </w:rPr>
      </w:pPr>
      <w:r w:rsidRPr="00230449">
        <w:rPr>
          <w:rFonts w:ascii="Arial" w:hAnsi="Arial" w:cs="Arial"/>
        </w:rPr>
        <w:t>On the positive side these employees</w:t>
      </w:r>
      <w:r w:rsidR="000D04BA" w:rsidRPr="00230449">
        <w:rPr>
          <w:rFonts w:ascii="Arial" w:hAnsi="Arial" w:cs="Arial"/>
        </w:rPr>
        <w:t xml:space="preserve"> are able to inject new ideas and cross-fertilised</w:t>
      </w:r>
      <w:r w:rsidR="005D3FE4" w:rsidRPr="00230449">
        <w:rPr>
          <w:rFonts w:ascii="Arial" w:hAnsi="Arial" w:cs="Arial"/>
        </w:rPr>
        <w:t xml:space="preserve"> thinking from other Government departments</w:t>
      </w:r>
      <w:r w:rsidR="00AE473A" w:rsidRPr="00230449">
        <w:rPr>
          <w:rFonts w:ascii="Arial" w:hAnsi="Arial" w:cs="Arial"/>
        </w:rPr>
        <w:t xml:space="preserve"> or outside bodies, including </w:t>
      </w:r>
      <w:r w:rsidR="00F85B6A" w:rsidRPr="00230449">
        <w:rPr>
          <w:rFonts w:ascii="Arial" w:hAnsi="Arial" w:cs="Arial"/>
        </w:rPr>
        <w:t>non-governmental organisations (</w:t>
      </w:r>
      <w:r w:rsidR="00AE473A" w:rsidRPr="00230449">
        <w:rPr>
          <w:rFonts w:ascii="Arial" w:hAnsi="Arial" w:cs="Arial"/>
        </w:rPr>
        <w:t>NGOs</w:t>
      </w:r>
      <w:r w:rsidR="00F85B6A" w:rsidRPr="00230449">
        <w:rPr>
          <w:rFonts w:ascii="Arial" w:hAnsi="Arial" w:cs="Arial"/>
        </w:rPr>
        <w:t>)</w:t>
      </w:r>
      <w:r w:rsidR="00AE473A" w:rsidRPr="00230449">
        <w:rPr>
          <w:rFonts w:ascii="Arial" w:hAnsi="Arial" w:cs="Arial"/>
        </w:rPr>
        <w:t xml:space="preserve">, </w:t>
      </w:r>
      <w:r w:rsidR="00FC49D0" w:rsidRPr="00230449">
        <w:rPr>
          <w:rFonts w:ascii="Arial" w:hAnsi="Arial" w:cs="Arial"/>
        </w:rPr>
        <w:t>public companies, think tanks, u</w:t>
      </w:r>
      <w:r w:rsidR="00AE473A" w:rsidRPr="00230449">
        <w:rPr>
          <w:rFonts w:ascii="Arial" w:hAnsi="Arial" w:cs="Arial"/>
        </w:rPr>
        <w:t>niversities, etc</w:t>
      </w:r>
      <w:r w:rsidR="005D3FE4" w:rsidRPr="00230449">
        <w:rPr>
          <w:rFonts w:ascii="Arial" w:hAnsi="Arial" w:cs="Arial"/>
        </w:rPr>
        <w:t>. They are able to bring fresh perspectives and enliven the policy debate</w:t>
      </w:r>
      <w:r w:rsidRPr="00230449">
        <w:rPr>
          <w:rFonts w:ascii="Arial" w:hAnsi="Arial" w:cs="Arial"/>
        </w:rPr>
        <w:t xml:space="preserve"> within their new government department</w:t>
      </w:r>
      <w:r w:rsidR="005D3FE4" w:rsidRPr="00230449">
        <w:rPr>
          <w:rFonts w:ascii="Arial" w:hAnsi="Arial" w:cs="Arial"/>
        </w:rPr>
        <w:t>.</w:t>
      </w:r>
      <w:r w:rsidR="00F85B6A" w:rsidRPr="00230449">
        <w:rPr>
          <w:rFonts w:ascii="Arial" w:hAnsi="Arial" w:cs="Arial"/>
        </w:rPr>
        <w:t xml:space="preserve"> Differences in </w:t>
      </w:r>
      <w:r w:rsidR="008B27D0" w:rsidRPr="00230449">
        <w:rPr>
          <w:rFonts w:ascii="Arial" w:hAnsi="Arial" w:cs="Arial"/>
        </w:rPr>
        <w:t>government department</w:t>
      </w:r>
      <w:r w:rsidR="00F85B6A" w:rsidRPr="00230449">
        <w:rPr>
          <w:rFonts w:ascii="Arial" w:hAnsi="Arial" w:cs="Arial"/>
        </w:rPr>
        <w:t xml:space="preserve"> or business culture may</w:t>
      </w:r>
      <w:r w:rsidR="008B27D0" w:rsidRPr="00230449">
        <w:rPr>
          <w:rFonts w:ascii="Arial" w:hAnsi="Arial" w:cs="Arial"/>
        </w:rPr>
        <w:t xml:space="preserve"> help</w:t>
      </w:r>
      <w:r w:rsidR="00F85B6A" w:rsidRPr="00230449">
        <w:rPr>
          <w:rFonts w:ascii="Arial" w:hAnsi="Arial" w:cs="Arial"/>
        </w:rPr>
        <w:t xml:space="preserve"> inform the novelty of ideas.</w:t>
      </w:r>
    </w:p>
    <w:p w:rsidR="0044459E" w:rsidRPr="00230449" w:rsidRDefault="0044459E" w:rsidP="008B1208">
      <w:pPr>
        <w:spacing w:line="360" w:lineRule="auto"/>
        <w:jc w:val="both"/>
        <w:rPr>
          <w:rFonts w:ascii="Arial" w:hAnsi="Arial" w:cs="Arial"/>
        </w:rPr>
      </w:pPr>
    </w:p>
    <w:p w:rsidR="0044459E" w:rsidRPr="00230449" w:rsidRDefault="0044459E" w:rsidP="008B1208">
      <w:pPr>
        <w:spacing w:line="360" w:lineRule="auto"/>
        <w:jc w:val="both"/>
        <w:rPr>
          <w:rFonts w:ascii="Arial" w:hAnsi="Arial" w:cs="Arial"/>
        </w:rPr>
      </w:pPr>
    </w:p>
    <w:p w:rsidR="00C75775" w:rsidRPr="00230449" w:rsidRDefault="0044459E" w:rsidP="008B1208">
      <w:pPr>
        <w:spacing w:line="360" w:lineRule="auto"/>
        <w:jc w:val="both"/>
        <w:rPr>
          <w:rFonts w:ascii="Arial" w:hAnsi="Arial" w:cs="Arial"/>
          <w:u w:val="single"/>
        </w:rPr>
      </w:pPr>
      <w:r w:rsidRPr="00230449">
        <w:rPr>
          <w:rFonts w:ascii="Arial" w:hAnsi="Arial" w:cs="Arial"/>
          <w:u w:val="single"/>
        </w:rPr>
        <w:t xml:space="preserve">Narrow </w:t>
      </w:r>
      <w:r w:rsidR="00035E21" w:rsidRPr="00230449">
        <w:rPr>
          <w:rFonts w:ascii="Arial" w:hAnsi="Arial" w:cs="Arial"/>
          <w:u w:val="single"/>
        </w:rPr>
        <w:t xml:space="preserve">Eternal Recurrence </w:t>
      </w:r>
      <w:r w:rsidR="005D3FE4" w:rsidRPr="00230449">
        <w:rPr>
          <w:rFonts w:ascii="Arial" w:hAnsi="Arial" w:cs="Arial"/>
          <w:u w:val="single"/>
        </w:rPr>
        <w:t xml:space="preserve"> </w:t>
      </w:r>
    </w:p>
    <w:p w:rsidR="00C75775" w:rsidRPr="00230449" w:rsidRDefault="00C75775" w:rsidP="008B1208">
      <w:pPr>
        <w:spacing w:line="360" w:lineRule="auto"/>
        <w:jc w:val="both"/>
        <w:rPr>
          <w:rFonts w:ascii="Arial" w:hAnsi="Arial" w:cs="Arial"/>
        </w:rPr>
      </w:pPr>
    </w:p>
    <w:p w:rsidR="00D41E5A" w:rsidRPr="00230449" w:rsidRDefault="00734BB9" w:rsidP="008B1208">
      <w:pPr>
        <w:spacing w:line="360" w:lineRule="auto"/>
        <w:jc w:val="both"/>
        <w:rPr>
          <w:rFonts w:ascii="Arial" w:hAnsi="Arial" w:cs="Arial"/>
        </w:rPr>
      </w:pPr>
      <w:r w:rsidRPr="00230449">
        <w:rPr>
          <w:rFonts w:ascii="Arial" w:hAnsi="Arial" w:cs="Arial"/>
        </w:rPr>
        <w:t>On the negative side such</w:t>
      </w:r>
      <w:r w:rsidR="00C75775" w:rsidRPr="00230449">
        <w:rPr>
          <w:rFonts w:ascii="Arial" w:hAnsi="Arial" w:cs="Arial"/>
        </w:rPr>
        <w:t xml:space="preserve"> transitory employees</w:t>
      </w:r>
      <w:r w:rsidR="000D04BA" w:rsidRPr="00230449">
        <w:rPr>
          <w:rFonts w:ascii="Arial" w:hAnsi="Arial" w:cs="Arial"/>
        </w:rPr>
        <w:t xml:space="preserve"> are prone to re-invent the wheel.</w:t>
      </w:r>
      <w:r w:rsidRPr="00230449">
        <w:rPr>
          <w:rFonts w:ascii="Arial" w:hAnsi="Arial" w:cs="Arial"/>
        </w:rPr>
        <w:t xml:space="preserve"> They tend to be</w:t>
      </w:r>
      <w:r w:rsidR="005D3FE4" w:rsidRPr="00230449">
        <w:rPr>
          <w:rFonts w:ascii="Arial" w:hAnsi="Arial" w:cs="Arial"/>
        </w:rPr>
        <w:t xml:space="preserve"> unfamiliar with the</w:t>
      </w:r>
      <w:r w:rsidR="00C75775" w:rsidRPr="00230449">
        <w:rPr>
          <w:rFonts w:ascii="Arial" w:hAnsi="Arial" w:cs="Arial"/>
        </w:rPr>
        <w:t xml:space="preserve"> department and underlying</w:t>
      </w:r>
      <w:r w:rsidR="005D3FE4" w:rsidRPr="00230449">
        <w:rPr>
          <w:rFonts w:ascii="Arial" w:hAnsi="Arial" w:cs="Arial"/>
        </w:rPr>
        <w:t xml:space="preserve"> industry </w:t>
      </w:r>
      <w:r w:rsidRPr="00230449">
        <w:rPr>
          <w:rFonts w:ascii="Arial" w:hAnsi="Arial" w:cs="Arial"/>
        </w:rPr>
        <w:t>to which they have been appointed</w:t>
      </w:r>
      <w:r w:rsidR="005D3FE4" w:rsidRPr="00230449">
        <w:rPr>
          <w:rFonts w:ascii="Arial" w:hAnsi="Arial" w:cs="Arial"/>
        </w:rPr>
        <w:t>, e.g. insol</w:t>
      </w:r>
      <w:r w:rsidR="00FC49D0" w:rsidRPr="00230449">
        <w:rPr>
          <w:rFonts w:ascii="Arial" w:hAnsi="Arial" w:cs="Arial"/>
        </w:rPr>
        <w:t xml:space="preserve">vency. </w:t>
      </w:r>
      <w:r w:rsidR="00C75775" w:rsidRPr="00230449">
        <w:rPr>
          <w:rFonts w:ascii="Arial" w:hAnsi="Arial" w:cs="Arial"/>
        </w:rPr>
        <w:t>They exhibit a</w:t>
      </w:r>
      <w:r w:rsidR="005D3FE4" w:rsidRPr="00230449">
        <w:rPr>
          <w:rFonts w:ascii="Arial" w:hAnsi="Arial" w:cs="Arial"/>
        </w:rPr>
        <w:t xml:space="preserve"> lack knowledge of the history of developments in that area.</w:t>
      </w:r>
      <w:r w:rsidR="000D04BA" w:rsidRPr="00230449">
        <w:rPr>
          <w:rFonts w:ascii="Arial" w:hAnsi="Arial" w:cs="Arial"/>
        </w:rPr>
        <w:t xml:space="preserve"> This is wh</w:t>
      </w:r>
      <w:r w:rsidR="00C75775" w:rsidRPr="00230449">
        <w:rPr>
          <w:rFonts w:ascii="Arial" w:hAnsi="Arial" w:cs="Arial"/>
        </w:rPr>
        <w:t>en</w:t>
      </w:r>
      <w:r w:rsidR="00EA2F00" w:rsidRPr="00230449">
        <w:rPr>
          <w:rFonts w:ascii="Arial" w:hAnsi="Arial" w:cs="Arial"/>
        </w:rPr>
        <w:t xml:space="preserve"> the first version of</w:t>
      </w:r>
      <w:r w:rsidR="005D3FE4" w:rsidRPr="00230449">
        <w:rPr>
          <w:rFonts w:ascii="Arial" w:hAnsi="Arial" w:cs="Arial"/>
        </w:rPr>
        <w:t xml:space="preserve"> </w:t>
      </w:r>
      <w:r w:rsidR="00035E21" w:rsidRPr="00230449">
        <w:rPr>
          <w:rFonts w:ascii="Arial" w:hAnsi="Arial" w:cs="Arial"/>
        </w:rPr>
        <w:t xml:space="preserve">Eternal Recurrence </w:t>
      </w:r>
      <w:r w:rsidR="00C75775" w:rsidRPr="00230449">
        <w:rPr>
          <w:rFonts w:ascii="Arial" w:hAnsi="Arial" w:cs="Arial"/>
        </w:rPr>
        <w:t xml:space="preserve">is </w:t>
      </w:r>
      <w:r w:rsidR="00C75775" w:rsidRPr="00230449">
        <w:rPr>
          <w:rFonts w:ascii="Arial" w:hAnsi="Arial" w:cs="Arial"/>
        </w:rPr>
        <w:lastRenderedPageBreak/>
        <w:t>allowed to operate</w:t>
      </w:r>
      <w:r w:rsidR="005D3FE4" w:rsidRPr="00230449">
        <w:rPr>
          <w:rFonts w:ascii="Arial" w:hAnsi="Arial" w:cs="Arial"/>
        </w:rPr>
        <w:t>.</w:t>
      </w:r>
      <w:r w:rsidR="00EA2F00" w:rsidRPr="00230449">
        <w:rPr>
          <w:rFonts w:ascii="Arial" w:hAnsi="Arial" w:cs="Arial"/>
        </w:rPr>
        <w:t xml:space="preserve"> Here this is referred to as narrow eternal recurrence.</w:t>
      </w:r>
      <w:r w:rsidR="005D3FE4" w:rsidRPr="00230449">
        <w:rPr>
          <w:rFonts w:ascii="Arial" w:hAnsi="Arial" w:cs="Arial"/>
        </w:rPr>
        <w:t xml:space="preserve"> Unfortunately, on occasion</w:t>
      </w:r>
      <w:r w:rsidR="00BD2CFF" w:rsidRPr="00230449">
        <w:rPr>
          <w:rFonts w:ascii="Arial" w:hAnsi="Arial" w:cs="Arial"/>
        </w:rPr>
        <w:t xml:space="preserve"> supposedly new solutions are mooted for reform which amount </w:t>
      </w:r>
      <w:r w:rsidR="000D5395" w:rsidRPr="00230449">
        <w:rPr>
          <w:rFonts w:ascii="Arial" w:hAnsi="Arial" w:cs="Arial"/>
        </w:rPr>
        <w:t>to little more than a re</w:t>
      </w:r>
      <w:r w:rsidR="00BD2CFF" w:rsidRPr="00230449">
        <w:rPr>
          <w:rFonts w:ascii="Arial" w:hAnsi="Arial" w:cs="Arial"/>
        </w:rPr>
        <w:t>has</w:t>
      </w:r>
      <w:r w:rsidR="000D5395" w:rsidRPr="00230449">
        <w:rPr>
          <w:rFonts w:ascii="Arial" w:hAnsi="Arial" w:cs="Arial"/>
        </w:rPr>
        <w:t>h</w:t>
      </w:r>
      <w:r w:rsidR="00BD2CFF" w:rsidRPr="00230449">
        <w:rPr>
          <w:rFonts w:ascii="Arial" w:hAnsi="Arial" w:cs="Arial"/>
        </w:rPr>
        <w:t xml:space="preserve"> of previously rejected proposals.</w:t>
      </w:r>
      <w:r w:rsidR="002C78FC" w:rsidRPr="00230449">
        <w:rPr>
          <w:rStyle w:val="FootnoteReference"/>
          <w:rFonts w:ascii="Arial" w:hAnsi="Arial"/>
        </w:rPr>
        <w:footnoteReference w:id="48"/>
      </w:r>
      <w:r w:rsidR="00BD2CFF" w:rsidRPr="00230449">
        <w:rPr>
          <w:rFonts w:ascii="Arial" w:hAnsi="Arial" w:cs="Arial"/>
        </w:rPr>
        <w:t xml:space="preserve"> This represents a waste of precious reforming time, money</w:t>
      </w:r>
      <w:r w:rsidR="000D5395" w:rsidRPr="00230449">
        <w:rPr>
          <w:rFonts w:ascii="Arial" w:hAnsi="Arial" w:cs="Arial"/>
        </w:rPr>
        <w:t xml:space="preserve"> and general resource. That this</w:t>
      </w:r>
      <w:r w:rsidR="00BD2CFF" w:rsidRPr="00230449">
        <w:rPr>
          <w:rFonts w:ascii="Arial" w:hAnsi="Arial" w:cs="Arial"/>
        </w:rPr>
        <w:t xml:space="preserve"> stems from a lack of familiarity</w:t>
      </w:r>
      <w:r w:rsidR="00D31C25" w:rsidRPr="00230449">
        <w:rPr>
          <w:rFonts w:ascii="Arial" w:hAnsi="Arial" w:cs="Arial"/>
        </w:rPr>
        <w:t xml:space="preserve"> of</w:t>
      </w:r>
      <w:r w:rsidR="00BD2CFF" w:rsidRPr="00230449">
        <w:rPr>
          <w:rFonts w:ascii="Arial" w:hAnsi="Arial" w:cs="Arial"/>
        </w:rPr>
        <w:t xml:space="preserve"> previous reform movements is</w:t>
      </w:r>
      <w:r w:rsidR="00D31C25" w:rsidRPr="00230449">
        <w:rPr>
          <w:rFonts w:ascii="Arial" w:hAnsi="Arial" w:cs="Arial"/>
        </w:rPr>
        <w:t xml:space="preserve"> problematic</w:t>
      </w:r>
      <w:r w:rsidR="00BD2CFF" w:rsidRPr="00230449">
        <w:rPr>
          <w:rFonts w:ascii="Arial" w:hAnsi="Arial" w:cs="Arial"/>
        </w:rPr>
        <w:t>.</w:t>
      </w:r>
      <w:r w:rsidR="00C75775" w:rsidRPr="00230449">
        <w:rPr>
          <w:rFonts w:ascii="Arial" w:hAnsi="Arial" w:cs="Arial"/>
        </w:rPr>
        <w:t xml:space="preserve"> </w:t>
      </w:r>
      <w:r w:rsidR="0044459E" w:rsidRPr="00230449">
        <w:rPr>
          <w:rFonts w:ascii="Arial" w:hAnsi="Arial" w:cs="Arial"/>
        </w:rPr>
        <w:t xml:space="preserve">Policy makers have not reached, “the outlook of </w:t>
      </w:r>
      <w:r w:rsidR="00A674E1" w:rsidRPr="00230449">
        <w:rPr>
          <w:rFonts w:ascii="Arial" w:hAnsi="Arial" w:cs="Arial"/>
        </w:rPr>
        <w:t>the supra-historical man [which] leads to the eternal recurrence.”</w:t>
      </w:r>
      <w:r w:rsidR="00A674E1" w:rsidRPr="00230449">
        <w:rPr>
          <w:rStyle w:val="FootnoteReference"/>
          <w:rFonts w:ascii="Arial" w:hAnsi="Arial"/>
        </w:rPr>
        <w:footnoteReference w:id="49"/>
      </w:r>
      <w:r w:rsidR="00E2768A" w:rsidRPr="00230449">
        <w:rPr>
          <w:rFonts w:ascii="Arial" w:hAnsi="Arial" w:cs="Arial"/>
        </w:rPr>
        <w:t xml:space="preserve"> </w:t>
      </w:r>
      <w:r w:rsidR="00C75775" w:rsidRPr="00230449">
        <w:rPr>
          <w:rFonts w:ascii="Arial" w:hAnsi="Arial" w:cs="Arial"/>
        </w:rPr>
        <w:t>Whilst some ministers of state believe we can do without experts,</w:t>
      </w:r>
      <w:r w:rsidR="001806D0" w:rsidRPr="00230449">
        <w:rPr>
          <w:rStyle w:val="FootnoteReference"/>
          <w:rFonts w:ascii="Arial" w:hAnsi="Arial"/>
        </w:rPr>
        <w:footnoteReference w:id="50"/>
      </w:r>
      <w:r w:rsidR="00C75775" w:rsidRPr="00230449">
        <w:rPr>
          <w:rFonts w:ascii="Arial" w:hAnsi="Arial" w:cs="Arial"/>
        </w:rPr>
        <w:t xml:space="preserve"> some specialised knowledge in a given area is usually helpful</w:t>
      </w:r>
      <w:r w:rsidR="00D31C25" w:rsidRPr="00230449">
        <w:rPr>
          <w:rFonts w:ascii="Arial" w:hAnsi="Arial" w:cs="Arial"/>
        </w:rPr>
        <w:t>, particularly when the individual is</w:t>
      </w:r>
      <w:r w:rsidR="00690FF0" w:rsidRPr="00230449">
        <w:rPr>
          <w:rFonts w:ascii="Arial" w:hAnsi="Arial" w:cs="Arial"/>
        </w:rPr>
        <w:t xml:space="preserve"> for</w:t>
      </w:r>
      <w:r w:rsidR="00C75775" w:rsidRPr="00230449">
        <w:rPr>
          <w:rFonts w:ascii="Arial" w:hAnsi="Arial" w:cs="Arial"/>
        </w:rPr>
        <w:t>mulating policy that w</w:t>
      </w:r>
      <w:r w:rsidR="00690FF0" w:rsidRPr="00230449">
        <w:rPr>
          <w:rFonts w:ascii="Arial" w:hAnsi="Arial" w:cs="Arial"/>
        </w:rPr>
        <w:t xml:space="preserve">ill lead to </w:t>
      </w:r>
      <w:r w:rsidR="00C75775" w:rsidRPr="00230449">
        <w:rPr>
          <w:rFonts w:ascii="Arial" w:hAnsi="Arial" w:cs="Arial"/>
        </w:rPr>
        <w:t>legislation</w:t>
      </w:r>
      <w:r w:rsidR="00D31C25" w:rsidRPr="00230449">
        <w:rPr>
          <w:rFonts w:ascii="Arial" w:hAnsi="Arial" w:cs="Arial"/>
        </w:rPr>
        <w:t>.</w:t>
      </w:r>
      <w:r w:rsidR="000E5016" w:rsidRPr="00230449">
        <w:rPr>
          <w:rStyle w:val="FootnoteReference"/>
          <w:rFonts w:ascii="Arial" w:hAnsi="Arial"/>
        </w:rPr>
        <w:footnoteReference w:id="51"/>
      </w:r>
      <w:r w:rsidR="00D31C25" w:rsidRPr="00230449">
        <w:rPr>
          <w:rFonts w:ascii="Arial" w:hAnsi="Arial" w:cs="Arial"/>
        </w:rPr>
        <w:t xml:space="preserve"> This will in turn </w:t>
      </w:r>
      <w:r w:rsidR="00C75775" w:rsidRPr="00230449">
        <w:rPr>
          <w:rFonts w:ascii="Arial" w:hAnsi="Arial" w:cs="Arial"/>
        </w:rPr>
        <w:t>affect many thousands of people</w:t>
      </w:r>
      <w:r w:rsidR="00D31C25" w:rsidRPr="00230449">
        <w:rPr>
          <w:rFonts w:ascii="Arial" w:hAnsi="Arial" w:cs="Arial"/>
        </w:rPr>
        <w:t xml:space="preserve">, some of whom </w:t>
      </w:r>
      <w:r w:rsidR="000179B4" w:rsidRPr="00230449">
        <w:rPr>
          <w:rFonts w:ascii="Arial" w:hAnsi="Arial" w:cs="Arial"/>
        </w:rPr>
        <w:t>a</w:t>
      </w:r>
      <w:r w:rsidR="00D31C25" w:rsidRPr="00230449">
        <w:rPr>
          <w:rFonts w:ascii="Arial" w:hAnsi="Arial" w:cs="Arial"/>
        </w:rPr>
        <w:t>re desperate for relief and rehabilitation mechanisms that function effectively</w:t>
      </w:r>
      <w:r w:rsidR="00C75775" w:rsidRPr="00230449">
        <w:rPr>
          <w:rFonts w:ascii="Arial" w:hAnsi="Arial" w:cs="Arial"/>
        </w:rPr>
        <w:t xml:space="preserve">. </w:t>
      </w:r>
      <w:r w:rsidR="00BD2CFF" w:rsidRPr="00230449">
        <w:rPr>
          <w:rFonts w:ascii="Arial" w:hAnsi="Arial" w:cs="Arial"/>
        </w:rPr>
        <w:t xml:space="preserve"> </w:t>
      </w:r>
      <w:r w:rsidR="005D3FE4" w:rsidRPr="00230449">
        <w:rPr>
          <w:rFonts w:ascii="Arial" w:hAnsi="Arial" w:cs="Arial"/>
        </w:rPr>
        <w:t xml:space="preserve"> </w:t>
      </w:r>
    </w:p>
    <w:p w:rsidR="0044459E" w:rsidRPr="00230449" w:rsidRDefault="0044459E" w:rsidP="008B1208">
      <w:pPr>
        <w:spacing w:line="360" w:lineRule="auto"/>
        <w:jc w:val="both"/>
        <w:rPr>
          <w:rFonts w:ascii="Arial" w:hAnsi="Arial" w:cs="Arial"/>
        </w:rPr>
      </w:pPr>
    </w:p>
    <w:p w:rsidR="0044459E" w:rsidRPr="00230449" w:rsidRDefault="0044459E" w:rsidP="008B1208">
      <w:pPr>
        <w:spacing w:line="360" w:lineRule="auto"/>
        <w:jc w:val="both"/>
        <w:rPr>
          <w:rFonts w:ascii="Arial" w:hAnsi="Arial" w:cs="Arial"/>
        </w:rPr>
      </w:pPr>
    </w:p>
    <w:p w:rsidR="0044459E" w:rsidRPr="00230449" w:rsidRDefault="0044459E" w:rsidP="008B1208">
      <w:pPr>
        <w:spacing w:line="360" w:lineRule="auto"/>
        <w:jc w:val="both"/>
        <w:rPr>
          <w:rFonts w:ascii="Arial" w:hAnsi="Arial" w:cs="Arial"/>
          <w:u w:val="single"/>
        </w:rPr>
      </w:pPr>
      <w:r w:rsidRPr="00230449">
        <w:rPr>
          <w:rFonts w:ascii="Arial" w:hAnsi="Arial" w:cs="Arial"/>
          <w:u w:val="single"/>
        </w:rPr>
        <w:t xml:space="preserve">Broad </w:t>
      </w:r>
      <w:r w:rsidR="00035E21" w:rsidRPr="00230449">
        <w:rPr>
          <w:rFonts w:ascii="Arial" w:hAnsi="Arial" w:cs="Arial"/>
          <w:u w:val="single"/>
        </w:rPr>
        <w:t xml:space="preserve">Eternal Recurrence </w:t>
      </w:r>
    </w:p>
    <w:p w:rsidR="005D3FE4" w:rsidRPr="00230449" w:rsidRDefault="005D3FE4" w:rsidP="008B1208">
      <w:pPr>
        <w:spacing w:line="360" w:lineRule="auto"/>
        <w:jc w:val="both"/>
        <w:rPr>
          <w:rFonts w:ascii="Arial" w:hAnsi="Arial" w:cs="Arial"/>
        </w:rPr>
      </w:pPr>
    </w:p>
    <w:p w:rsidR="00433178" w:rsidRPr="00230449" w:rsidRDefault="00035E21" w:rsidP="008B1208">
      <w:pPr>
        <w:spacing w:line="360" w:lineRule="auto"/>
        <w:jc w:val="both"/>
        <w:rPr>
          <w:rFonts w:ascii="Arial" w:hAnsi="Arial" w:cs="Arial"/>
        </w:rPr>
      </w:pPr>
      <w:r w:rsidRPr="00230449">
        <w:rPr>
          <w:rFonts w:ascii="Arial" w:hAnsi="Arial" w:cs="Arial"/>
        </w:rPr>
        <w:t xml:space="preserve">Eternal Recurrence </w:t>
      </w:r>
      <w:r w:rsidR="005D3FE4" w:rsidRPr="00230449">
        <w:rPr>
          <w:rFonts w:ascii="Arial" w:hAnsi="Arial" w:cs="Arial"/>
        </w:rPr>
        <w:t>also occurs in a broader sense.</w:t>
      </w:r>
      <w:r w:rsidR="00EA2F00" w:rsidRPr="00230449">
        <w:rPr>
          <w:rFonts w:ascii="Arial" w:hAnsi="Arial" w:cs="Arial"/>
        </w:rPr>
        <w:t xml:space="preserve"> Here it </w:t>
      </w:r>
      <w:r w:rsidR="002461A1" w:rsidRPr="00230449">
        <w:rPr>
          <w:rFonts w:ascii="Arial" w:hAnsi="Arial" w:cs="Arial"/>
        </w:rPr>
        <w:t xml:space="preserve">is referred to </w:t>
      </w:r>
      <w:r w:rsidR="00EA2F00" w:rsidRPr="00230449">
        <w:rPr>
          <w:rFonts w:ascii="Arial" w:hAnsi="Arial" w:cs="Arial"/>
        </w:rPr>
        <w:t>as broad eternal recurrence.</w:t>
      </w:r>
      <w:r w:rsidR="005D3FE4" w:rsidRPr="00230449">
        <w:rPr>
          <w:rFonts w:ascii="Arial" w:hAnsi="Arial" w:cs="Arial"/>
        </w:rPr>
        <w:t xml:space="preserve"> There are </w:t>
      </w:r>
      <w:r w:rsidR="00B34684" w:rsidRPr="00230449">
        <w:rPr>
          <w:rFonts w:ascii="Arial" w:hAnsi="Arial" w:cs="Arial"/>
        </w:rPr>
        <w:t xml:space="preserve">broader cycles of ideas, </w:t>
      </w:r>
      <w:r w:rsidR="005D3FE4" w:rsidRPr="00230449">
        <w:rPr>
          <w:rFonts w:ascii="Arial" w:hAnsi="Arial" w:cs="Arial"/>
        </w:rPr>
        <w:t>themes</w:t>
      </w:r>
      <w:r w:rsidR="00B34684" w:rsidRPr="00230449">
        <w:rPr>
          <w:rFonts w:ascii="Arial" w:hAnsi="Arial" w:cs="Arial"/>
        </w:rPr>
        <w:t xml:space="preserve"> and agendas (collectively “approaches”)</w:t>
      </w:r>
      <w:r w:rsidR="005D3FE4" w:rsidRPr="00230449">
        <w:rPr>
          <w:rFonts w:ascii="Arial" w:hAnsi="Arial" w:cs="Arial"/>
        </w:rPr>
        <w:t xml:space="preserve"> that are prevalent within the subject of insolvency that appear again and again over time.</w:t>
      </w:r>
      <w:r w:rsidR="00433178" w:rsidRPr="00230449">
        <w:rPr>
          <w:rFonts w:ascii="Arial" w:hAnsi="Arial" w:cs="Arial"/>
        </w:rPr>
        <w:t xml:space="preserve"> Some of these approaches, e.g. collectivis</w:t>
      </w:r>
      <w:r w:rsidR="00690FF0" w:rsidRPr="00230449">
        <w:rPr>
          <w:rFonts w:ascii="Arial" w:hAnsi="Arial" w:cs="Arial"/>
        </w:rPr>
        <w:t>a</w:t>
      </w:r>
      <w:r w:rsidR="00433178" w:rsidRPr="00230449">
        <w:rPr>
          <w:rFonts w:ascii="Arial" w:hAnsi="Arial" w:cs="Arial"/>
        </w:rPr>
        <w:t>tion, have been persistent in insolvency law since its inception in England and Wales in 1542. Areas such as the control and management o</w:t>
      </w:r>
      <w:r w:rsidR="00FC49D0" w:rsidRPr="00230449">
        <w:rPr>
          <w:rFonts w:ascii="Arial" w:hAnsi="Arial" w:cs="Arial"/>
        </w:rPr>
        <w:t>f directorial behaviour also have</w:t>
      </w:r>
      <w:r w:rsidR="00433178" w:rsidRPr="00230449">
        <w:rPr>
          <w:rFonts w:ascii="Arial" w:hAnsi="Arial" w:cs="Arial"/>
        </w:rPr>
        <w:t xml:space="preserve"> a long and fluctuating history dating back into the mid-19</w:t>
      </w:r>
      <w:r w:rsidR="00433178" w:rsidRPr="00230449">
        <w:rPr>
          <w:rFonts w:ascii="Arial" w:hAnsi="Arial" w:cs="Arial"/>
          <w:vertAlign w:val="superscript"/>
        </w:rPr>
        <w:t>th</w:t>
      </w:r>
      <w:r w:rsidR="00433178" w:rsidRPr="00230449">
        <w:rPr>
          <w:rFonts w:ascii="Arial" w:hAnsi="Arial" w:cs="Arial"/>
        </w:rPr>
        <w:t xml:space="preserve"> century.</w:t>
      </w:r>
      <w:r w:rsidR="00754F34" w:rsidRPr="00230449">
        <w:rPr>
          <w:rFonts w:ascii="Arial" w:hAnsi="Arial" w:cs="Arial"/>
        </w:rPr>
        <w:t xml:space="preserve"> Over a similar time period the increasingly</w:t>
      </w:r>
      <w:r w:rsidR="00433178" w:rsidRPr="00230449">
        <w:rPr>
          <w:rFonts w:ascii="Arial" w:hAnsi="Arial" w:cs="Arial"/>
        </w:rPr>
        <w:t xml:space="preserve"> </w:t>
      </w:r>
      <w:r w:rsidR="00754F34" w:rsidRPr="00230449">
        <w:rPr>
          <w:rFonts w:ascii="Arial" w:hAnsi="Arial" w:cs="Arial"/>
        </w:rPr>
        <w:t xml:space="preserve">successful demands of security have also been recognised through the widespread use of receivership up until the reforms of 2002. </w:t>
      </w:r>
      <w:r w:rsidR="00EA2F00" w:rsidRPr="00230449">
        <w:rPr>
          <w:rFonts w:ascii="Arial" w:hAnsi="Arial" w:cs="Arial"/>
        </w:rPr>
        <w:t xml:space="preserve">Broad </w:t>
      </w:r>
      <w:r w:rsidRPr="00230449">
        <w:rPr>
          <w:rFonts w:ascii="Arial" w:hAnsi="Arial" w:cs="Arial"/>
        </w:rPr>
        <w:t xml:space="preserve">Eternal </w:t>
      </w:r>
      <w:r w:rsidRPr="00230449">
        <w:rPr>
          <w:rFonts w:ascii="Arial" w:hAnsi="Arial" w:cs="Arial"/>
        </w:rPr>
        <w:lastRenderedPageBreak/>
        <w:t xml:space="preserve">Recurrence </w:t>
      </w:r>
      <w:r w:rsidR="00EA2F00" w:rsidRPr="00230449">
        <w:rPr>
          <w:rFonts w:ascii="Arial" w:hAnsi="Arial" w:cs="Arial"/>
        </w:rPr>
        <w:t>is not the recycling of specific ideas, e.g. super priority financing, but rather the great debates that have been present in insolvency law</w:t>
      </w:r>
      <w:r w:rsidR="00151A01" w:rsidRPr="00230449">
        <w:rPr>
          <w:rFonts w:ascii="Arial" w:hAnsi="Arial" w:cs="Arial"/>
        </w:rPr>
        <w:t xml:space="preserve"> and policy formulation</w:t>
      </w:r>
      <w:r w:rsidR="00EA2F00" w:rsidRPr="00230449">
        <w:rPr>
          <w:rFonts w:ascii="Arial" w:hAnsi="Arial" w:cs="Arial"/>
        </w:rPr>
        <w:t xml:space="preserve">, in some instances for centuries. </w:t>
      </w:r>
      <w:r w:rsidR="00433178" w:rsidRPr="00230449">
        <w:rPr>
          <w:rFonts w:ascii="Arial" w:hAnsi="Arial" w:cs="Arial"/>
        </w:rPr>
        <w:t xml:space="preserve"> </w:t>
      </w:r>
    </w:p>
    <w:p w:rsidR="0044459E" w:rsidRPr="00230449" w:rsidRDefault="0044459E" w:rsidP="008B1208">
      <w:pPr>
        <w:spacing w:line="360" w:lineRule="auto"/>
        <w:jc w:val="both"/>
        <w:rPr>
          <w:rFonts w:ascii="Arial" w:hAnsi="Arial" w:cs="Arial"/>
        </w:rPr>
      </w:pPr>
    </w:p>
    <w:p w:rsidR="0044459E" w:rsidRPr="00230449" w:rsidRDefault="0044459E" w:rsidP="008B1208">
      <w:pPr>
        <w:spacing w:line="360" w:lineRule="auto"/>
        <w:jc w:val="both"/>
        <w:rPr>
          <w:rFonts w:ascii="Arial" w:hAnsi="Arial" w:cs="Arial"/>
        </w:rPr>
      </w:pPr>
    </w:p>
    <w:p w:rsidR="0044459E" w:rsidRPr="00230449" w:rsidRDefault="0044459E" w:rsidP="008B1208">
      <w:pPr>
        <w:spacing w:line="360" w:lineRule="auto"/>
        <w:jc w:val="both"/>
        <w:rPr>
          <w:rFonts w:ascii="Arial" w:hAnsi="Arial" w:cs="Arial"/>
          <w:u w:val="single"/>
        </w:rPr>
      </w:pPr>
      <w:r w:rsidRPr="00230449">
        <w:rPr>
          <w:rFonts w:ascii="Arial" w:hAnsi="Arial" w:cs="Arial"/>
          <w:u w:val="single"/>
        </w:rPr>
        <w:t>Deep Eternal Recurrence</w:t>
      </w:r>
    </w:p>
    <w:p w:rsidR="00AE17A7" w:rsidRPr="00230449" w:rsidRDefault="00AE17A7" w:rsidP="008B1208">
      <w:pPr>
        <w:spacing w:line="360" w:lineRule="auto"/>
        <w:jc w:val="both"/>
        <w:rPr>
          <w:rFonts w:ascii="Arial" w:hAnsi="Arial" w:cs="Arial"/>
        </w:rPr>
      </w:pPr>
    </w:p>
    <w:p w:rsidR="00AE17A7" w:rsidRPr="00230449" w:rsidRDefault="00AE17A7" w:rsidP="008B1208">
      <w:pPr>
        <w:spacing w:line="360" w:lineRule="auto"/>
        <w:jc w:val="both"/>
        <w:rPr>
          <w:rFonts w:ascii="Arial" w:hAnsi="Arial" w:cs="Arial"/>
        </w:rPr>
      </w:pPr>
      <w:r w:rsidRPr="00230449">
        <w:rPr>
          <w:rFonts w:ascii="Arial" w:hAnsi="Arial" w:cs="Arial"/>
        </w:rPr>
        <w:t xml:space="preserve">The final species of insolvency </w:t>
      </w:r>
      <w:r w:rsidR="00035E21" w:rsidRPr="00230449">
        <w:rPr>
          <w:rFonts w:ascii="Arial" w:hAnsi="Arial" w:cs="Arial"/>
        </w:rPr>
        <w:t xml:space="preserve">Eternal Recurrence </w:t>
      </w:r>
      <w:r w:rsidRPr="00230449">
        <w:rPr>
          <w:rFonts w:ascii="Arial" w:hAnsi="Arial" w:cs="Arial"/>
        </w:rPr>
        <w:t>goes beyond narrow and broad version, it is more elemental.</w:t>
      </w:r>
      <w:r w:rsidR="0044459E" w:rsidRPr="00230449">
        <w:rPr>
          <w:rFonts w:ascii="Arial" w:hAnsi="Arial" w:cs="Arial"/>
        </w:rPr>
        <w:t xml:space="preserve"> Here it is referred to as deep eternal recurrence.</w:t>
      </w:r>
      <w:r w:rsidRPr="00230449">
        <w:rPr>
          <w:rFonts w:ascii="Arial" w:hAnsi="Arial" w:cs="Arial"/>
        </w:rPr>
        <w:t xml:space="preserve"> </w:t>
      </w:r>
      <w:r w:rsidR="00023855" w:rsidRPr="00230449">
        <w:rPr>
          <w:rFonts w:ascii="Arial" w:hAnsi="Arial" w:cs="Arial"/>
        </w:rPr>
        <w:t>If Nietzsche’s work can be categorised as a description of atoms as energy and the movement and transfer of that energy,</w:t>
      </w:r>
      <w:r w:rsidR="00023855" w:rsidRPr="00230449">
        <w:rPr>
          <w:rStyle w:val="FootnoteReference"/>
          <w:rFonts w:ascii="Arial" w:hAnsi="Arial"/>
        </w:rPr>
        <w:footnoteReference w:id="52"/>
      </w:r>
      <w:r w:rsidR="00023855" w:rsidRPr="00230449">
        <w:rPr>
          <w:rFonts w:ascii="Arial" w:hAnsi="Arial" w:cs="Arial"/>
        </w:rPr>
        <w:t xml:space="preserve"> we might say the third species of </w:t>
      </w:r>
      <w:r w:rsidR="00035E21" w:rsidRPr="00230449">
        <w:rPr>
          <w:rFonts w:ascii="Arial" w:hAnsi="Arial" w:cs="Arial"/>
        </w:rPr>
        <w:t xml:space="preserve">Eternal Recurrence </w:t>
      </w:r>
      <w:r w:rsidR="00023855" w:rsidRPr="00230449">
        <w:rPr>
          <w:rFonts w:ascii="Arial" w:hAnsi="Arial" w:cs="Arial"/>
        </w:rPr>
        <w:t>in insolvency is sub-atomic. It represents deep tensions and movements beyond stakeholders in insolvency, so includes consideration of the transfer of wealth and value in a credit cycle, how debt and equity is used and shifts in the energy of production.</w:t>
      </w:r>
      <w:r w:rsidR="00C27944" w:rsidRPr="00230449">
        <w:rPr>
          <w:rFonts w:ascii="Arial" w:hAnsi="Arial" w:cs="Arial"/>
        </w:rPr>
        <w:t xml:space="preserve"> Indeed, Nietzsche dwelt on the debtor and creditor relationship and its consequences at some length.</w:t>
      </w:r>
      <w:r w:rsidR="00C27944" w:rsidRPr="00230449">
        <w:rPr>
          <w:rStyle w:val="FootnoteReference"/>
          <w:rFonts w:ascii="Arial" w:hAnsi="Arial"/>
        </w:rPr>
        <w:footnoteReference w:id="53"/>
      </w:r>
    </w:p>
    <w:p w:rsidR="00433178" w:rsidRPr="00230449" w:rsidRDefault="00433178" w:rsidP="008B1208">
      <w:pPr>
        <w:spacing w:line="360" w:lineRule="auto"/>
        <w:jc w:val="both"/>
        <w:rPr>
          <w:rFonts w:ascii="Arial" w:hAnsi="Arial" w:cs="Arial"/>
        </w:rPr>
      </w:pPr>
    </w:p>
    <w:p w:rsidR="00D86094" w:rsidRPr="00230449" w:rsidRDefault="00433178" w:rsidP="008B1208">
      <w:pPr>
        <w:spacing w:line="360" w:lineRule="auto"/>
        <w:jc w:val="both"/>
        <w:rPr>
          <w:rFonts w:ascii="Arial" w:hAnsi="Arial" w:cs="Arial"/>
        </w:rPr>
      </w:pPr>
      <w:r w:rsidRPr="00230449">
        <w:rPr>
          <w:rFonts w:ascii="Arial" w:hAnsi="Arial" w:cs="Arial"/>
        </w:rPr>
        <w:t>It may be the case that certain approaches</w:t>
      </w:r>
      <w:r w:rsidR="005D3FE4" w:rsidRPr="00230449">
        <w:rPr>
          <w:rFonts w:ascii="Arial" w:hAnsi="Arial" w:cs="Arial"/>
        </w:rPr>
        <w:t xml:space="preserve"> </w:t>
      </w:r>
      <w:r w:rsidR="00D86094" w:rsidRPr="00230449">
        <w:rPr>
          <w:rFonts w:ascii="Arial" w:hAnsi="Arial" w:cs="Arial"/>
        </w:rPr>
        <w:t xml:space="preserve">are </w:t>
      </w:r>
      <w:r w:rsidR="005D3FE4" w:rsidRPr="00230449">
        <w:rPr>
          <w:rFonts w:ascii="Arial" w:hAnsi="Arial" w:cs="Arial"/>
        </w:rPr>
        <w:t>the only solutions</w:t>
      </w:r>
      <w:r w:rsidRPr="00230449">
        <w:rPr>
          <w:rFonts w:ascii="Arial" w:hAnsi="Arial" w:cs="Arial"/>
        </w:rPr>
        <w:t xml:space="preserve"> to a given problem,</w:t>
      </w:r>
      <w:r w:rsidR="005D3FE4" w:rsidRPr="00230449">
        <w:rPr>
          <w:rFonts w:ascii="Arial" w:hAnsi="Arial" w:cs="Arial"/>
        </w:rPr>
        <w:t xml:space="preserve"> or </w:t>
      </w:r>
      <w:r w:rsidRPr="00230449">
        <w:rPr>
          <w:rFonts w:ascii="Arial" w:hAnsi="Arial" w:cs="Arial"/>
        </w:rPr>
        <w:t xml:space="preserve">perhaps </w:t>
      </w:r>
      <w:r w:rsidR="00FC49D0" w:rsidRPr="00230449">
        <w:rPr>
          <w:rFonts w:ascii="Arial" w:hAnsi="Arial" w:cs="Arial"/>
        </w:rPr>
        <w:t>(</w:t>
      </w:r>
      <w:r w:rsidRPr="00230449">
        <w:rPr>
          <w:rFonts w:ascii="Arial" w:hAnsi="Arial" w:cs="Arial"/>
        </w:rPr>
        <w:t>more depressingly</w:t>
      </w:r>
      <w:r w:rsidR="00FC49D0" w:rsidRPr="00230449">
        <w:rPr>
          <w:rFonts w:ascii="Arial" w:hAnsi="Arial" w:cs="Arial"/>
        </w:rPr>
        <w:t>)</w:t>
      </w:r>
      <w:r w:rsidR="00D86094" w:rsidRPr="00230449">
        <w:rPr>
          <w:rFonts w:ascii="Arial" w:hAnsi="Arial" w:cs="Arial"/>
        </w:rPr>
        <w:t>,</w:t>
      </w:r>
      <w:r w:rsidRPr="00230449">
        <w:rPr>
          <w:rFonts w:ascii="Arial" w:hAnsi="Arial" w:cs="Arial"/>
        </w:rPr>
        <w:t xml:space="preserve"> </w:t>
      </w:r>
      <w:r w:rsidR="00D86094" w:rsidRPr="00230449">
        <w:rPr>
          <w:rFonts w:ascii="Arial" w:hAnsi="Arial" w:cs="Arial"/>
        </w:rPr>
        <w:t>the policy ideas</w:t>
      </w:r>
      <w:r w:rsidR="005D3FE4" w:rsidRPr="00230449">
        <w:rPr>
          <w:rFonts w:ascii="Arial" w:hAnsi="Arial" w:cs="Arial"/>
        </w:rPr>
        <w:t xml:space="preserve"> could be the hackneyed solutions that a given body advocate because of vested interests.</w:t>
      </w:r>
      <w:r w:rsidR="00B34684" w:rsidRPr="00230449">
        <w:rPr>
          <w:rFonts w:ascii="Arial" w:hAnsi="Arial" w:cs="Arial"/>
        </w:rPr>
        <w:t xml:space="preserve"> </w:t>
      </w:r>
      <w:r w:rsidRPr="00230449">
        <w:rPr>
          <w:rFonts w:ascii="Arial" w:hAnsi="Arial" w:cs="Arial"/>
        </w:rPr>
        <w:t xml:space="preserve">This may be the case with security and its priority within the waterfall of distribution. </w:t>
      </w:r>
      <w:r w:rsidR="00301807" w:rsidRPr="00230449">
        <w:rPr>
          <w:rFonts w:ascii="Arial" w:hAnsi="Arial" w:cs="Arial"/>
        </w:rPr>
        <w:t>Either way certain</w:t>
      </w:r>
      <w:r w:rsidR="00B34684" w:rsidRPr="00230449">
        <w:rPr>
          <w:rFonts w:ascii="Arial" w:hAnsi="Arial" w:cs="Arial"/>
        </w:rPr>
        <w:t xml:space="preserve"> approaches</w:t>
      </w:r>
      <w:r w:rsidR="007364B5" w:rsidRPr="00230449">
        <w:rPr>
          <w:rFonts w:ascii="Arial" w:hAnsi="Arial" w:cs="Arial"/>
        </w:rPr>
        <w:t xml:space="preserve">, e.g. the dominance of security interests, </w:t>
      </w:r>
      <w:proofErr w:type="spellStart"/>
      <w:r w:rsidR="007364B5" w:rsidRPr="00230449">
        <w:rPr>
          <w:rFonts w:ascii="Arial" w:hAnsi="Arial" w:cs="Arial"/>
        </w:rPr>
        <w:t>collectivistion</w:t>
      </w:r>
      <w:proofErr w:type="spellEnd"/>
      <w:r w:rsidR="007364B5" w:rsidRPr="00230449">
        <w:rPr>
          <w:rFonts w:ascii="Arial" w:hAnsi="Arial" w:cs="Arial"/>
        </w:rPr>
        <w:t>, liberal director treatment, super-priority financing, moratoria,</w:t>
      </w:r>
      <w:r w:rsidR="00B34684" w:rsidRPr="00230449">
        <w:rPr>
          <w:rFonts w:ascii="Arial" w:hAnsi="Arial" w:cs="Arial"/>
        </w:rPr>
        <w:t xml:space="preserve"> appear with unnerving regularity. </w:t>
      </w:r>
    </w:p>
    <w:p w:rsidR="004E27BD" w:rsidRPr="00230449" w:rsidRDefault="004E27BD" w:rsidP="008B1208">
      <w:pPr>
        <w:spacing w:line="360" w:lineRule="auto"/>
        <w:jc w:val="both"/>
        <w:rPr>
          <w:rFonts w:ascii="Arial" w:hAnsi="Arial" w:cs="Arial"/>
        </w:rPr>
      </w:pPr>
    </w:p>
    <w:p w:rsidR="00DA5A57" w:rsidRPr="00230449" w:rsidRDefault="004E27BD" w:rsidP="008B1208">
      <w:pPr>
        <w:spacing w:line="360" w:lineRule="auto"/>
        <w:jc w:val="both"/>
        <w:rPr>
          <w:rFonts w:ascii="Arial" w:hAnsi="Arial" w:cs="Arial"/>
        </w:rPr>
      </w:pPr>
      <w:r w:rsidRPr="00230449">
        <w:rPr>
          <w:rFonts w:ascii="Arial" w:hAnsi="Arial" w:cs="Arial"/>
        </w:rPr>
        <w:t>For its novelty we could s</w:t>
      </w:r>
      <w:r w:rsidR="00DA5A57" w:rsidRPr="00230449">
        <w:rPr>
          <w:rFonts w:ascii="Arial" w:hAnsi="Arial" w:cs="Arial"/>
        </w:rPr>
        <w:t>ay tha</w:t>
      </w:r>
      <w:r w:rsidR="00BE4A23" w:rsidRPr="00230449">
        <w:rPr>
          <w:rFonts w:ascii="Arial" w:hAnsi="Arial" w:cs="Arial"/>
        </w:rPr>
        <w:t>t</w:t>
      </w:r>
      <w:r w:rsidR="00DA5A57" w:rsidRPr="00230449">
        <w:rPr>
          <w:rFonts w:ascii="Arial" w:hAnsi="Arial" w:cs="Arial"/>
        </w:rPr>
        <w:t xml:space="preserve"> the Cork Report</w:t>
      </w:r>
      <w:r w:rsidR="00A927D3" w:rsidRPr="00230449">
        <w:rPr>
          <w:rFonts w:ascii="Arial" w:hAnsi="Arial" w:cs="Arial"/>
        </w:rPr>
        <w:t xml:space="preserve"> and the resultant Insolvency Act 1986 marks </w:t>
      </w:r>
      <w:r w:rsidR="005C7414" w:rsidRPr="00230449">
        <w:rPr>
          <w:rFonts w:ascii="Arial" w:hAnsi="Arial" w:cs="Arial"/>
        </w:rPr>
        <w:t>the last great epoch</w:t>
      </w:r>
      <w:r w:rsidR="00306A77" w:rsidRPr="00230449">
        <w:rPr>
          <w:rFonts w:ascii="Arial" w:hAnsi="Arial" w:cs="Arial"/>
        </w:rPr>
        <w:t xml:space="preserve"> of insolvency reform</w:t>
      </w:r>
      <w:r w:rsidR="00A927D3" w:rsidRPr="00230449">
        <w:rPr>
          <w:rFonts w:ascii="Arial" w:hAnsi="Arial" w:cs="Arial"/>
        </w:rPr>
        <w:t>.</w:t>
      </w:r>
      <w:r w:rsidR="00A927D3" w:rsidRPr="00230449">
        <w:rPr>
          <w:rStyle w:val="FootnoteReference"/>
          <w:rFonts w:ascii="Arial" w:hAnsi="Arial"/>
          <w:color w:val="000000" w:themeColor="text1"/>
        </w:rPr>
        <w:footnoteReference w:id="54"/>
      </w:r>
      <w:r w:rsidR="00A927D3" w:rsidRPr="00230449">
        <w:rPr>
          <w:rFonts w:ascii="Arial" w:hAnsi="Arial" w:cs="Arial"/>
          <w:color w:val="000000" w:themeColor="text1"/>
        </w:rPr>
        <w:t xml:space="preserve"> </w:t>
      </w:r>
      <w:r w:rsidR="00A927D3" w:rsidRPr="00230449">
        <w:rPr>
          <w:rFonts w:ascii="Arial" w:hAnsi="Arial" w:cs="Arial"/>
        </w:rPr>
        <w:t xml:space="preserve"> The Cork Report promulgated a number</w:t>
      </w:r>
      <w:r w:rsidR="00DA5A57" w:rsidRPr="00230449">
        <w:rPr>
          <w:rFonts w:ascii="Arial" w:hAnsi="Arial" w:cs="Arial"/>
        </w:rPr>
        <w:t xml:space="preserve"> </w:t>
      </w:r>
      <w:r w:rsidR="00D21763" w:rsidRPr="00230449">
        <w:rPr>
          <w:rFonts w:ascii="Arial" w:hAnsi="Arial" w:cs="Arial"/>
        </w:rPr>
        <w:t xml:space="preserve">of </w:t>
      </w:r>
      <w:r w:rsidR="00DA5A57" w:rsidRPr="00230449">
        <w:rPr>
          <w:rFonts w:ascii="Arial" w:hAnsi="Arial" w:cs="Arial"/>
        </w:rPr>
        <w:t>entirely fresh an</w:t>
      </w:r>
      <w:r w:rsidR="005C7414" w:rsidRPr="00230449">
        <w:rPr>
          <w:rFonts w:ascii="Arial" w:hAnsi="Arial" w:cs="Arial"/>
        </w:rPr>
        <w:t>d</w:t>
      </w:r>
      <w:r w:rsidR="00DA5A57" w:rsidRPr="00230449">
        <w:rPr>
          <w:rFonts w:ascii="Arial" w:hAnsi="Arial" w:cs="Arial"/>
        </w:rPr>
        <w:t xml:space="preserve"> novel</w:t>
      </w:r>
      <w:r w:rsidR="00306A77" w:rsidRPr="00230449">
        <w:rPr>
          <w:rFonts w:ascii="Arial" w:hAnsi="Arial" w:cs="Arial"/>
        </w:rPr>
        <w:t xml:space="preserve"> ideas. These included, </w:t>
      </w:r>
      <w:r w:rsidR="00306A77" w:rsidRPr="00230449">
        <w:rPr>
          <w:rFonts w:ascii="Arial" w:hAnsi="Arial" w:cs="Arial"/>
          <w:i/>
        </w:rPr>
        <w:t>inter alia</w:t>
      </w:r>
      <w:r w:rsidR="00306A77" w:rsidRPr="00230449">
        <w:rPr>
          <w:rFonts w:ascii="Arial" w:hAnsi="Arial" w:cs="Arial"/>
        </w:rPr>
        <w:t>;</w:t>
      </w:r>
      <w:r w:rsidR="00DA5A57" w:rsidRPr="00230449">
        <w:rPr>
          <w:rFonts w:ascii="Arial" w:hAnsi="Arial" w:cs="Arial"/>
        </w:rPr>
        <w:t xml:space="preserve"> the Individual </w:t>
      </w:r>
      <w:r w:rsidR="00DA5A57" w:rsidRPr="00230449">
        <w:rPr>
          <w:rFonts w:ascii="Arial" w:hAnsi="Arial" w:cs="Arial"/>
        </w:rPr>
        <w:lastRenderedPageBreak/>
        <w:t>Voluntary Arrangement</w:t>
      </w:r>
      <w:r w:rsidR="00BE4A23" w:rsidRPr="00230449">
        <w:rPr>
          <w:rFonts w:ascii="Arial" w:hAnsi="Arial" w:cs="Arial"/>
        </w:rPr>
        <w:t xml:space="preserve"> (IVAs)</w:t>
      </w:r>
      <w:r w:rsidR="005C7414" w:rsidRPr="00230449">
        <w:rPr>
          <w:rFonts w:ascii="Arial" w:hAnsi="Arial" w:cs="Arial"/>
        </w:rPr>
        <w:t>,</w:t>
      </w:r>
      <w:r w:rsidR="00747BD6" w:rsidRPr="00230449">
        <w:rPr>
          <w:rStyle w:val="FootnoteReference"/>
          <w:rFonts w:ascii="Arial" w:hAnsi="Arial"/>
        </w:rPr>
        <w:footnoteReference w:id="55"/>
      </w:r>
      <w:r w:rsidR="005C7414" w:rsidRPr="00230449">
        <w:rPr>
          <w:rFonts w:ascii="Arial" w:hAnsi="Arial" w:cs="Arial"/>
        </w:rPr>
        <w:t xml:space="preserve"> a</w:t>
      </w:r>
      <w:r w:rsidR="00DA5A57" w:rsidRPr="00230449">
        <w:rPr>
          <w:rFonts w:ascii="Arial" w:hAnsi="Arial" w:cs="Arial"/>
        </w:rPr>
        <w:t>dministration (albeit with qualities drawn from receivership),</w:t>
      </w:r>
      <w:r w:rsidR="00747BD6" w:rsidRPr="00230449">
        <w:rPr>
          <w:rStyle w:val="FootnoteReference"/>
          <w:rFonts w:ascii="Arial" w:hAnsi="Arial"/>
        </w:rPr>
        <w:footnoteReference w:id="56"/>
      </w:r>
      <w:r w:rsidR="005C7414" w:rsidRPr="00230449">
        <w:rPr>
          <w:rFonts w:ascii="Arial" w:hAnsi="Arial" w:cs="Arial"/>
        </w:rPr>
        <w:t xml:space="preserve"> </w:t>
      </w:r>
      <w:r w:rsidR="005C7414" w:rsidRPr="00230449">
        <w:rPr>
          <w:rFonts w:ascii="Arial" w:hAnsi="Arial" w:cs="Arial"/>
          <w:color w:val="000000" w:themeColor="text1"/>
        </w:rPr>
        <w:t>and</w:t>
      </w:r>
      <w:r w:rsidR="00306A77" w:rsidRPr="00230449">
        <w:rPr>
          <w:rFonts w:ascii="Arial" w:hAnsi="Arial" w:cs="Arial"/>
          <w:color w:val="000000" w:themeColor="text1"/>
        </w:rPr>
        <w:t xml:space="preserve"> the professionalisation of insolvency practitioners (IPs)</w:t>
      </w:r>
      <w:r w:rsidR="00F856F3" w:rsidRPr="00230449">
        <w:rPr>
          <w:rFonts w:ascii="Arial" w:hAnsi="Arial" w:cs="Arial"/>
          <w:color w:val="000000" w:themeColor="text1"/>
        </w:rPr>
        <w:t xml:space="preserve"> with the introduction of compulsory examinations</w:t>
      </w:r>
      <w:r w:rsidR="00306A77" w:rsidRPr="00230449">
        <w:rPr>
          <w:rFonts w:ascii="Arial" w:hAnsi="Arial" w:cs="Arial"/>
          <w:color w:val="000000" w:themeColor="text1"/>
        </w:rPr>
        <w:t>.</w:t>
      </w:r>
      <w:r w:rsidR="004F2092" w:rsidRPr="00230449">
        <w:rPr>
          <w:rFonts w:ascii="Arial" w:hAnsi="Arial" w:cs="Arial"/>
          <w:color w:val="000000" w:themeColor="text1"/>
        </w:rPr>
        <w:t xml:space="preserve"> These were entirely new and represent the antithesis of eternal recurrence. </w:t>
      </w:r>
    </w:p>
    <w:p w:rsidR="00DA5A57" w:rsidRPr="00230449" w:rsidRDefault="00DA5A57" w:rsidP="008B1208">
      <w:pPr>
        <w:spacing w:line="360" w:lineRule="auto"/>
        <w:jc w:val="both"/>
        <w:rPr>
          <w:rFonts w:ascii="Arial" w:hAnsi="Arial" w:cs="Arial"/>
        </w:rPr>
      </w:pPr>
    </w:p>
    <w:p w:rsidR="00F856F3" w:rsidRPr="00230449" w:rsidRDefault="004F2092" w:rsidP="00EB77A4">
      <w:pPr>
        <w:spacing w:line="360" w:lineRule="auto"/>
        <w:jc w:val="both"/>
        <w:rPr>
          <w:rFonts w:ascii="Arial" w:hAnsi="Arial" w:cs="Arial"/>
        </w:rPr>
      </w:pPr>
      <w:r w:rsidRPr="00230449">
        <w:rPr>
          <w:rFonts w:ascii="Arial" w:hAnsi="Arial" w:cs="Arial"/>
        </w:rPr>
        <w:t>For the previous major shift predating</w:t>
      </w:r>
      <w:r w:rsidR="00DA5A57" w:rsidRPr="00230449">
        <w:rPr>
          <w:rFonts w:ascii="Arial" w:hAnsi="Arial" w:cs="Arial"/>
        </w:rPr>
        <w:t xml:space="preserve"> </w:t>
      </w:r>
      <w:r w:rsidR="00F856F3" w:rsidRPr="00230449">
        <w:rPr>
          <w:rFonts w:ascii="Arial" w:hAnsi="Arial" w:cs="Arial"/>
        </w:rPr>
        <w:t>Cork</w:t>
      </w:r>
      <w:r w:rsidR="00DA5A57" w:rsidRPr="00230449">
        <w:rPr>
          <w:rFonts w:ascii="Arial" w:hAnsi="Arial" w:cs="Arial"/>
        </w:rPr>
        <w:t xml:space="preserve"> we</w:t>
      </w:r>
      <w:r w:rsidR="005C7414" w:rsidRPr="00230449">
        <w:rPr>
          <w:rFonts w:ascii="Arial" w:hAnsi="Arial" w:cs="Arial"/>
        </w:rPr>
        <w:t xml:space="preserve"> need to travel</w:t>
      </w:r>
      <w:r w:rsidR="00DA5A57" w:rsidRPr="00230449">
        <w:rPr>
          <w:rFonts w:ascii="Arial" w:hAnsi="Arial" w:cs="Arial"/>
        </w:rPr>
        <w:t xml:space="preserve"> back to 1883 with the advent of official</w:t>
      </w:r>
      <w:r w:rsidR="005C7414" w:rsidRPr="00230449">
        <w:rPr>
          <w:rFonts w:ascii="Arial" w:hAnsi="Arial" w:cs="Arial"/>
        </w:rPr>
        <w:t>ism</w:t>
      </w:r>
      <w:r w:rsidRPr="00230449">
        <w:rPr>
          <w:rFonts w:ascii="Arial" w:hAnsi="Arial" w:cs="Arial"/>
        </w:rPr>
        <w:t>,</w:t>
      </w:r>
      <w:r w:rsidR="00DA5A57" w:rsidRPr="00230449">
        <w:rPr>
          <w:rFonts w:ascii="Arial" w:hAnsi="Arial" w:cs="Arial"/>
        </w:rPr>
        <w:t xml:space="preserve"> </w:t>
      </w:r>
      <w:r w:rsidR="00BC43C1" w:rsidRPr="00230449">
        <w:rPr>
          <w:rFonts w:ascii="Arial" w:hAnsi="Arial" w:cs="Arial"/>
        </w:rPr>
        <w:t xml:space="preserve">that is the </w:t>
      </w:r>
      <w:r w:rsidR="00ED505E" w:rsidRPr="00230449">
        <w:rPr>
          <w:rFonts w:ascii="Arial" w:hAnsi="Arial" w:cs="Arial"/>
        </w:rPr>
        <w:t xml:space="preserve">introduction of the Official Receiver and the advent of </w:t>
      </w:r>
      <w:r w:rsidR="00CB1A45" w:rsidRPr="00230449">
        <w:rPr>
          <w:rFonts w:ascii="Arial" w:hAnsi="Arial" w:cs="Arial"/>
        </w:rPr>
        <w:t>major government administration of</w:t>
      </w:r>
      <w:r w:rsidR="00ED505E" w:rsidRPr="00230449">
        <w:rPr>
          <w:rFonts w:ascii="Arial" w:hAnsi="Arial" w:cs="Arial"/>
        </w:rPr>
        <w:t xml:space="preserve"> </w:t>
      </w:r>
      <w:r w:rsidR="00CB1A45" w:rsidRPr="00230449">
        <w:rPr>
          <w:rFonts w:ascii="Arial" w:hAnsi="Arial" w:cs="Arial"/>
        </w:rPr>
        <w:t>insolvency</w:t>
      </w:r>
      <w:r w:rsidR="0096021D" w:rsidRPr="00230449">
        <w:rPr>
          <w:rFonts w:ascii="Arial" w:hAnsi="Arial" w:cs="Arial"/>
        </w:rPr>
        <w:t>.</w:t>
      </w:r>
      <w:r w:rsidR="00CB1A45" w:rsidRPr="00230449">
        <w:rPr>
          <w:rStyle w:val="FootnoteReference"/>
          <w:rFonts w:ascii="Arial" w:hAnsi="Arial"/>
        </w:rPr>
        <w:footnoteReference w:id="57"/>
      </w:r>
      <w:r w:rsidR="00CB1A45" w:rsidRPr="00230449">
        <w:rPr>
          <w:rFonts w:ascii="Arial" w:hAnsi="Arial" w:cs="Arial"/>
        </w:rPr>
        <w:t xml:space="preserve"> </w:t>
      </w:r>
      <w:r w:rsidR="00ED505E" w:rsidRPr="00230449">
        <w:rPr>
          <w:rFonts w:ascii="Arial" w:hAnsi="Arial" w:cs="Arial"/>
        </w:rPr>
        <w:t xml:space="preserve"> O</w:t>
      </w:r>
      <w:r w:rsidR="00DA5A57" w:rsidRPr="00230449">
        <w:rPr>
          <w:rFonts w:ascii="Arial" w:hAnsi="Arial" w:cs="Arial"/>
        </w:rPr>
        <w:t>r</w:t>
      </w:r>
      <w:r w:rsidR="00D573EE" w:rsidRPr="00230449">
        <w:rPr>
          <w:rFonts w:ascii="Arial" w:hAnsi="Arial" w:cs="Arial"/>
        </w:rPr>
        <w:t xml:space="preserve"> in the alternative we can travel to</w:t>
      </w:r>
      <w:r w:rsidR="00DA5A57" w:rsidRPr="00230449">
        <w:rPr>
          <w:rFonts w:ascii="Arial" w:hAnsi="Arial" w:cs="Arial"/>
        </w:rPr>
        <w:t xml:space="preserve"> 1869 with the abolition of impri</w:t>
      </w:r>
      <w:r w:rsidR="005C7414" w:rsidRPr="00230449">
        <w:rPr>
          <w:rFonts w:ascii="Arial" w:hAnsi="Arial" w:cs="Arial"/>
        </w:rPr>
        <w:t>sonment for debt</w:t>
      </w:r>
      <w:r w:rsidR="00F856F3" w:rsidRPr="00230449">
        <w:rPr>
          <w:rFonts w:ascii="Arial" w:hAnsi="Arial" w:cs="Arial"/>
        </w:rPr>
        <w:t xml:space="preserve"> and the opening up of </w:t>
      </w:r>
      <w:r w:rsidR="00B84DD5" w:rsidRPr="00230449">
        <w:rPr>
          <w:rFonts w:ascii="Arial" w:hAnsi="Arial" w:cs="Arial"/>
        </w:rPr>
        <w:t xml:space="preserve">the </w:t>
      </w:r>
      <w:r w:rsidR="00F856F3" w:rsidRPr="00230449">
        <w:rPr>
          <w:rFonts w:ascii="Arial" w:hAnsi="Arial" w:cs="Arial"/>
        </w:rPr>
        <w:t>bankruptcy</w:t>
      </w:r>
      <w:r w:rsidR="00B84DD5" w:rsidRPr="00230449">
        <w:rPr>
          <w:rFonts w:ascii="Arial" w:hAnsi="Arial" w:cs="Arial"/>
        </w:rPr>
        <w:t xml:space="preserve"> jurisdiction</w:t>
      </w:r>
      <w:r w:rsidR="00F856F3" w:rsidRPr="00230449">
        <w:rPr>
          <w:rFonts w:ascii="Arial" w:hAnsi="Arial" w:cs="Arial"/>
        </w:rPr>
        <w:t xml:space="preserve"> to non-traders.</w:t>
      </w:r>
      <w:r w:rsidR="005C7414" w:rsidRPr="00230449">
        <w:rPr>
          <w:rStyle w:val="FootnoteReference"/>
          <w:rFonts w:ascii="Arial" w:hAnsi="Arial"/>
        </w:rPr>
        <w:footnoteReference w:id="58"/>
      </w:r>
      <w:r w:rsidR="00EB77A4" w:rsidRPr="00230449">
        <w:rPr>
          <w:rFonts w:ascii="Arial" w:hAnsi="Arial" w:cs="Arial"/>
        </w:rPr>
        <w:t xml:space="preserve"> </w:t>
      </w:r>
      <w:r w:rsidR="0018462A" w:rsidRPr="00230449">
        <w:rPr>
          <w:rFonts w:ascii="Arial" w:hAnsi="Arial" w:cs="Arial"/>
        </w:rPr>
        <w:t>The</w:t>
      </w:r>
      <w:r w:rsidR="00F856F3" w:rsidRPr="00230449">
        <w:rPr>
          <w:rFonts w:ascii="Arial" w:hAnsi="Arial" w:cs="Arial"/>
        </w:rPr>
        <w:t xml:space="preserve"> reform</w:t>
      </w:r>
      <w:r w:rsidR="0018462A" w:rsidRPr="00230449">
        <w:rPr>
          <w:rFonts w:ascii="Arial" w:hAnsi="Arial" w:cs="Arial"/>
        </w:rPr>
        <w:t xml:space="preserve"> of the bankruptcy and imprisonment for debt jurisdictions</w:t>
      </w:r>
      <w:r w:rsidR="00F856F3" w:rsidRPr="00230449">
        <w:rPr>
          <w:rFonts w:ascii="Arial" w:hAnsi="Arial" w:cs="Arial"/>
        </w:rPr>
        <w:t xml:space="preserve"> became necessary as the</w:t>
      </w:r>
      <w:r w:rsidR="00B84DD5" w:rsidRPr="00230449">
        <w:rPr>
          <w:rFonts w:ascii="Arial" w:hAnsi="Arial" w:cs="Arial"/>
        </w:rPr>
        <w:t xml:space="preserve"> use of the</w:t>
      </w:r>
      <w:r w:rsidR="00F856F3" w:rsidRPr="00230449">
        <w:rPr>
          <w:rFonts w:ascii="Arial" w:hAnsi="Arial" w:cs="Arial"/>
        </w:rPr>
        <w:t xml:space="preserve"> limited liability form</w:t>
      </w:r>
      <w:r w:rsidR="00B84DD5" w:rsidRPr="00230449">
        <w:rPr>
          <w:rFonts w:ascii="Arial" w:hAnsi="Arial" w:cs="Arial"/>
        </w:rPr>
        <w:t xml:space="preserve"> for trade</w:t>
      </w:r>
      <w:r w:rsidR="00F856F3" w:rsidRPr="00230449">
        <w:rPr>
          <w:rFonts w:ascii="Arial" w:hAnsi="Arial" w:cs="Arial"/>
        </w:rPr>
        <w:t xml:space="preserve"> gradually usurped the need for limited liability through a bankruptcy law, a function </w:t>
      </w:r>
      <w:r w:rsidR="00B84DD5" w:rsidRPr="00230449">
        <w:rPr>
          <w:rFonts w:ascii="Arial" w:hAnsi="Arial" w:cs="Arial"/>
        </w:rPr>
        <w:t xml:space="preserve">the </w:t>
      </w:r>
      <w:r w:rsidR="00F856F3" w:rsidRPr="00230449">
        <w:rPr>
          <w:rFonts w:ascii="Arial" w:hAnsi="Arial" w:cs="Arial"/>
        </w:rPr>
        <w:t>bankruptcy</w:t>
      </w:r>
      <w:r w:rsidR="00B84DD5" w:rsidRPr="00230449">
        <w:rPr>
          <w:rFonts w:ascii="Arial" w:hAnsi="Arial" w:cs="Arial"/>
        </w:rPr>
        <w:t xml:space="preserve"> jurisdiction</w:t>
      </w:r>
      <w:r w:rsidR="00F856F3" w:rsidRPr="00230449">
        <w:rPr>
          <w:rFonts w:ascii="Arial" w:hAnsi="Arial" w:cs="Arial"/>
        </w:rPr>
        <w:t xml:space="preserve"> had provided to</w:t>
      </w:r>
      <w:r w:rsidR="00B84DD5" w:rsidRPr="00230449">
        <w:rPr>
          <w:rFonts w:ascii="Arial" w:hAnsi="Arial" w:cs="Arial"/>
        </w:rPr>
        <w:t xml:space="preserve"> </w:t>
      </w:r>
      <w:r w:rsidR="00F856F3" w:rsidRPr="00230449">
        <w:rPr>
          <w:rFonts w:ascii="Arial" w:hAnsi="Arial" w:cs="Arial"/>
        </w:rPr>
        <w:t>traders</w:t>
      </w:r>
      <w:r w:rsidR="000A214F" w:rsidRPr="00230449">
        <w:rPr>
          <w:rFonts w:ascii="Arial" w:hAnsi="Arial" w:cs="Arial"/>
        </w:rPr>
        <w:t>, as a narrowly defined term of art and legal fiction,</w:t>
      </w:r>
      <w:r w:rsidR="00F856F3" w:rsidRPr="00230449">
        <w:rPr>
          <w:rFonts w:ascii="Arial" w:hAnsi="Arial" w:cs="Arial"/>
        </w:rPr>
        <w:t xml:space="preserve"> since 1571.</w:t>
      </w:r>
      <w:r w:rsidR="00B84DD5" w:rsidRPr="00230449">
        <w:rPr>
          <w:rStyle w:val="FootnoteReference"/>
          <w:rFonts w:ascii="Arial" w:hAnsi="Arial"/>
        </w:rPr>
        <w:footnoteReference w:id="59"/>
      </w:r>
      <w:r w:rsidR="00F856F3" w:rsidRPr="00230449">
        <w:rPr>
          <w:rFonts w:ascii="Arial" w:hAnsi="Arial" w:cs="Arial"/>
        </w:rPr>
        <w:t xml:space="preserve"> </w:t>
      </w:r>
    </w:p>
    <w:p w:rsidR="00F856F3" w:rsidRPr="00230449" w:rsidRDefault="00F856F3" w:rsidP="00EB77A4">
      <w:pPr>
        <w:spacing w:line="360" w:lineRule="auto"/>
        <w:jc w:val="both"/>
        <w:rPr>
          <w:rFonts w:ascii="Arial" w:hAnsi="Arial" w:cs="Arial"/>
        </w:rPr>
      </w:pPr>
    </w:p>
    <w:p w:rsidR="00EB77A4" w:rsidRPr="00230449" w:rsidRDefault="00EB77A4" w:rsidP="00EB77A4">
      <w:pPr>
        <w:spacing w:line="360" w:lineRule="auto"/>
        <w:jc w:val="both"/>
        <w:rPr>
          <w:rFonts w:ascii="Arial" w:hAnsi="Arial" w:cs="Arial"/>
        </w:rPr>
      </w:pPr>
      <w:r w:rsidRPr="00230449">
        <w:rPr>
          <w:rFonts w:ascii="Arial" w:hAnsi="Arial" w:cs="Arial"/>
        </w:rPr>
        <w:t>Stretching back still further mention</w:t>
      </w:r>
      <w:r w:rsidR="00D573EE" w:rsidRPr="00230449">
        <w:rPr>
          <w:rFonts w:ascii="Arial" w:hAnsi="Arial" w:cs="Arial"/>
        </w:rPr>
        <w:t xml:space="preserve"> can be made of the</w:t>
      </w:r>
      <w:r w:rsidRPr="00230449">
        <w:rPr>
          <w:rFonts w:ascii="Arial" w:hAnsi="Arial" w:cs="Arial"/>
        </w:rPr>
        <w:t xml:space="preserve"> 1705</w:t>
      </w:r>
      <w:r w:rsidR="00D573EE" w:rsidRPr="00230449">
        <w:rPr>
          <w:rFonts w:ascii="Arial" w:hAnsi="Arial" w:cs="Arial"/>
        </w:rPr>
        <w:t xml:space="preserve"> statue of Queen Anne</w:t>
      </w:r>
      <w:r w:rsidRPr="00230449">
        <w:rPr>
          <w:rFonts w:ascii="Arial" w:hAnsi="Arial" w:cs="Arial"/>
        </w:rPr>
        <w:t xml:space="preserve"> and the introduction of </w:t>
      </w:r>
      <w:r w:rsidR="00D573EE" w:rsidRPr="00230449">
        <w:rPr>
          <w:rFonts w:ascii="Arial" w:hAnsi="Arial" w:cs="Arial"/>
        </w:rPr>
        <w:t xml:space="preserve">the aforementioned </w:t>
      </w:r>
      <w:r w:rsidRPr="00230449">
        <w:rPr>
          <w:rFonts w:ascii="Arial" w:hAnsi="Arial" w:cs="Arial"/>
        </w:rPr>
        <w:t>discharge</w:t>
      </w:r>
      <w:r w:rsidR="00D573EE" w:rsidRPr="00230449">
        <w:rPr>
          <w:rFonts w:ascii="Arial" w:hAnsi="Arial" w:cs="Arial"/>
        </w:rPr>
        <w:t xml:space="preserve"> provisions into the bankruptcy acts</w:t>
      </w:r>
      <w:r w:rsidR="00F856F3" w:rsidRPr="00230449">
        <w:rPr>
          <w:rFonts w:ascii="Arial" w:hAnsi="Arial" w:cs="Arial"/>
        </w:rPr>
        <w:t xml:space="preserve"> and the quality of limited liability</w:t>
      </w:r>
      <w:r w:rsidR="00D573EE" w:rsidRPr="00230449">
        <w:rPr>
          <w:rFonts w:ascii="Arial" w:hAnsi="Arial" w:cs="Arial"/>
        </w:rPr>
        <w:t xml:space="preserve"> for traders</w:t>
      </w:r>
      <w:r w:rsidR="00F856F3" w:rsidRPr="00230449">
        <w:rPr>
          <w:rFonts w:ascii="Arial" w:hAnsi="Arial" w:cs="Arial"/>
        </w:rPr>
        <w:t xml:space="preserve"> that has just been mentioned.</w:t>
      </w:r>
      <w:r w:rsidRPr="00230449">
        <w:rPr>
          <w:rStyle w:val="FootnoteReference"/>
          <w:rFonts w:ascii="Arial" w:hAnsi="Arial"/>
        </w:rPr>
        <w:footnoteReference w:id="60"/>
      </w:r>
      <w:r w:rsidR="00F856F3" w:rsidRPr="00230449">
        <w:rPr>
          <w:rFonts w:ascii="Arial" w:hAnsi="Arial" w:cs="Arial"/>
        </w:rPr>
        <w:t xml:space="preserve"> For completeness mention sho</w:t>
      </w:r>
      <w:r w:rsidR="00ED505E" w:rsidRPr="00230449">
        <w:rPr>
          <w:rFonts w:ascii="Arial" w:hAnsi="Arial" w:cs="Arial"/>
        </w:rPr>
        <w:t>uld also be made of the capital</w:t>
      </w:r>
      <w:r w:rsidR="00F856F3" w:rsidRPr="00230449">
        <w:rPr>
          <w:rFonts w:ascii="Arial" w:hAnsi="Arial" w:cs="Arial"/>
        </w:rPr>
        <w:t xml:space="preserve"> punishment aspects of the same statute</w:t>
      </w:r>
      <w:r w:rsidR="00ED505E" w:rsidRPr="00230449">
        <w:rPr>
          <w:rFonts w:ascii="Arial" w:hAnsi="Arial" w:cs="Arial"/>
        </w:rPr>
        <w:t>, an elevation of the corporal punishment that had come before. Debtors who were in contempt and who did not disclose the whereabouts of their assets to the commissioners in bankruptcy could be put to death</w:t>
      </w:r>
      <w:r w:rsidR="00F856F3" w:rsidRPr="00230449">
        <w:rPr>
          <w:rFonts w:ascii="Arial" w:hAnsi="Arial" w:cs="Arial"/>
        </w:rPr>
        <w:t>.</w:t>
      </w:r>
      <w:r w:rsidR="00F856F3" w:rsidRPr="00230449">
        <w:rPr>
          <w:rStyle w:val="FootnoteReference"/>
          <w:rFonts w:ascii="Arial" w:hAnsi="Arial"/>
        </w:rPr>
        <w:footnoteReference w:id="61"/>
      </w:r>
      <w:r w:rsidR="00F856F3" w:rsidRPr="00230449">
        <w:rPr>
          <w:rFonts w:ascii="Arial" w:hAnsi="Arial" w:cs="Arial"/>
        </w:rPr>
        <w:t xml:space="preserve"> </w:t>
      </w:r>
      <w:r w:rsidR="00D573EE" w:rsidRPr="00230449">
        <w:rPr>
          <w:rFonts w:ascii="Arial" w:hAnsi="Arial" w:cs="Arial"/>
        </w:rPr>
        <w:t>These epochs of insolvency are represented in Table One (below):</w:t>
      </w:r>
    </w:p>
    <w:p w:rsidR="00EB77A4" w:rsidRPr="00230449" w:rsidRDefault="00EB77A4" w:rsidP="008B1208">
      <w:pPr>
        <w:spacing w:line="360" w:lineRule="auto"/>
        <w:jc w:val="both"/>
        <w:rPr>
          <w:rFonts w:ascii="Arial" w:hAnsi="Arial" w:cs="Arial"/>
        </w:rPr>
      </w:pPr>
    </w:p>
    <w:p w:rsidR="00377C28" w:rsidRPr="00230449" w:rsidRDefault="00377C28" w:rsidP="00377C28">
      <w:pPr>
        <w:rPr>
          <w:rFonts w:ascii="Arial" w:hAnsi="Arial" w:cs="Arial"/>
          <w:b/>
          <w:i/>
          <w:sz w:val="20"/>
          <w:szCs w:val="20"/>
          <w:u w:val="single"/>
        </w:rPr>
      </w:pPr>
    </w:p>
    <w:p w:rsidR="007364B5" w:rsidRPr="00230449" w:rsidRDefault="007364B5">
      <w:pPr>
        <w:rPr>
          <w:rFonts w:ascii="Arial" w:hAnsi="Arial" w:cs="Arial"/>
          <w:b/>
          <w:i/>
          <w:sz w:val="20"/>
          <w:szCs w:val="20"/>
          <w:u w:val="single"/>
        </w:rPr>
      </w:pPr>
      <w:r w:rsidRPr="00230449">
        <w:rPr>
          <w:rFonts w:ascii="Arial" w:hAnsi="Arial" w:cs="Arial"/>
          <w:b/>
          <w:i/>
          <w:sz w:val="20"/>
          <w:szCs w:val="20"/>
          <w:u w:val="single"/>
        </w:rPr>
        <w:br w:type="page"/>
      </w:r>
    </w:p>
    <w:p w:rsidR="00377C28" w:rsidRPr="00230449" w:rsidRDefault="00377C28" w:rsidP="00377C28">
      <w:pPr>
        <w:rPr>
          <w:rFonts w:ascii="Arial" w:hAnsi="Arial" w:cs="Arial"/>
          <w:b/>
          <w:i/>
          <w:sz w:val="20"/>
          <w:szCs w:val="20"/>
          <w:u w:val="single"/>
        </w:rPr>
      </w:pPr>
    </w:p>
    <w:p w:rsidR="00C442E1" w:rsidRPr="00230449" w:rsidRDefault="00EB77A4" w:rsidP="00377C28">
      <w:pPr>
        <w:rPr>
          <w:rFonts w:ascii="Arial" w:hAnsi="Arial" w:cs="Arial"/>
          <w:b/>
          <w:i/>
          <w:sz w:val="20"/>
          <w:szCs w:val="20"/>
          <w:u w:val="single"/>
        </w:rPr>
      </w:pPr>
      <w:r w:rsidRPr="00230449">
        <w:rPr>
          <w:rFonts w:ascii="Arial" w:hAnsi="Arial" w:cs="Arial"/>
          <w:b/>
          <w:i/>
          <w:sz w:val="20"/>
          <w:szCs w:val="20"/>
          <w:u w:val="single"/>
        </w:rPr>
        <w:t xml:space="preserve">Table One: Insolvency Epochs </w:t>
      </w:r>
      <w:r w:rsidR="00CE412B" w:rsidRPr="00230449">
        <w:rPr>
          <w:rFonts w:ascii="Arial" w:hAnsi="Arial" w:cs="Arial"/>
          <w:b/>
          <w:i/>
          <w:sz w:val="20"/>
          <w:szCs w:val="20"/>
          <w:u w:val="single"/>
        </w:rPr>
        <w:t xml:space="preserve">from the </w:t>
      </w:r>
      <w:r w:rsidRPr="00230449">
        <w:rPr>
          <w:rFonts w:ascii="Arial" w:hAnsi="Arial" w:cs="Arial"/>
          <w:b/>
          <w:i/>
          <w:sz w:val="20"/>
          <w:szCs w:val="20"/>
          <w:u w:val="single"/>
        </w:rPr>
        <w:t>17</w:t>
      </w:r>
      <w:r w:rsidRPr="00230449">
        <w:rPr>
          <w:rFonts w:ascii="Arial" w:hAnsi="Arial" w:cs="Arial"/>
          <w:b/>
          <w:i/>
          <w:sz w:val="20"/>
          <w:szCs w:val="20"/>
          <w:u w:val="single"/>
          <w:vertAlign w:val="superscript"/>
        </w:rPr>
        <w:t>th</w:t>
      </w:r>
      <w:r w:rsidRPr="00230449">
        <w:rPr>
          <w:rFonts w:ascii="Arial" w:hAnsi="Arial" w:cs="Arial"/>
          <w:b/>
          <w:i/>
          <w:sz w:val="20"/>
          <w:szCs w:val="20"/>
          <w:u w:val="single"/>
        </w:rPr>
        <w:t xml:space="preserve"> century to the 21</w:t>
      </w:r>
      <w:r w:rsidRPr="00230449">
        <w:rPr>
          <w:rFonts w:ascii="Arial" w:hAnsi="Arial" w:cs="Arial"/>
          <w:b/>
          <w:i/>
          <w:sz w:val="20"/>
          <w:szCs w:val="20"/>
          <w:u w:val="single"/>
          <w:vertAlign w:val="superscript"/>
        </w:rPr>
        <w:t>st</w:t>
      </w:r>
      <w:r w:rsidR="00287526" w:rsidRPr="00230449">
        <w:rPr>
          <w:rFonts w:ascii="Arial" w:hAnsi="Arial" w:cs="Arial"/>
          <w:b/>
          <w:i/>
          <w:sz w:val="20"/>
          <w:szCs w:val="20"/>
          <w:u w:val="single"/>
        </w:rPr>
        <w:t xml:space="preserve"> century</w:t>
      </w:r>
    </w:p>
    <w:p w:rsidR="00C442E1" w:rsidRPr="00230449" w:rsidRDefault="00C442E1" w:rsidP="00377C28">
      <w:pPr>
        <w:rPr>
          <w:rFonts w:ascii="Arial" w:hAnsi="Arial" w:cs="Arial"/>
          <w:b/>
          <w:i/>
          <w:sz w:val="20"/>
          <w:szCs w:val="20"/>
          <w:u w:val="single"/>
        </w:rPr>
      </w:pPr>
    </w:p>
    <w:p w:rsidR="00287526" w:rsidRPr="00230449" w:rsidRDefault="001E6B36" w:rsidP="00377C28">
      <w:pPr>
        <w:rPr>
          <w:rFonts w:ascii="Arial" w:hAnsi="Arial" w:cs="Arial"/>
          <w:b/>
          <w:i/>
          <w:sz w:val="20"/>
          <w:szCs w:val="20"/>
          <w:u w:val="single"/>
        </w:rPr>
      </w:pPr>
      <w:r w:rsidRPr="00230449">
        <w:rPr>
          <w:rFonts w:ascii="Arial" w:hAnsi="Arial" w:cs="Arial"/>
          <w:noProof/>
        </w:rPr>
        <w:drawing>
          <wp:inline distT="0" distB="0" distL="0" distR="0" wp14:anchorId="574474C2" wp14:editId="78401C27">
            <wp:extent cx="5458899" cy="2865014"/>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1-18 at 14.06.24.png"/>
                    <pic:cNvPicPr/>
                  </pic:nvPicPr>
                  <pic:blipFill>
                    <a:blip r:embed="rId7">
                      <a:extLst>
                        <a:ext uri="{28A0092B-C50C-407E-A947-70E740481C1C}">
                          <a14:useLocalDpi xmlns:a14="http://schemas.microsoft.com/office/drawing/2010/main" val="0"/>
                        </a:ext>
                      </a:extLst>
                    </a:blip>
                    <a:stretch>
                      <a:fillRect/>
                    </a:stretch>
                  </pic:blipFill>
                  <pic:spPr>
                    <a:xfrm>
                      <a:off x="0" y="0"/>
                      <a:ext cx="5466838" cy="2869181"/>
                    </a:xfrm>
                    <a:prstGeom prst="rect">
                      <a:avLst/>
                    </a:prstGeom>
                  </pic:spPr>
                </pic:pic>
              </a:graphicData>
            </a:graphic>
          </wp:inline>
        </w:drawing>
      </w:r>
    </w:p>
    <w:p w:rsidR="00287526" w:rsidRPr="00230449" w:rsidRDefault="00287526" w:rsidP="008B1208">
      <w:pPr>
        <w:spacing w:line="360" w:lineRule="auto"/>
        <w:jc w:val="both"/>
        <w:rPr>
          <w:rFonts w:ascii="Arial" w:hAnsi="Arial" w:cs="Arial"/>
        </w:rPr>
      </w:pPr>
    </w:p>
    <w:p w:rsidR="00EB77A4" w:rsidRPr="00230449" w:rsidRDefault="00EB77A4" w:rsidP="008B1208">
      <w:pPr>
        <w:spacing w:line="360" w:lineRule="auto"/>
        <w:jc w:val="both"/>
        <w:rPr>
          <w:rFonts w:ascii="Arial" w:hAnsi="Arial" w:cs="Arial"/>
        </w:rPr>
      </w:pPr>
    </w:p>
    <w:p w:rsidR="00DA5A57" w:rsidRPr="00230449" w:rsidRDefault="0083528E" w:rsidP="008B1208">
      <w:pPr>
        <w:spacing w:line="360" w:lineRule="auto"/>
        <w:jc w:val="both"/>
        <w:rPr>
          <w:rFonts w:ascii="Arial" w:hAnsi="Arial" w:cs="Arial"/>
        </w:rPr>
      </w:pPr>
      <w:r w:rsidRPr="00230449">
        <w:rPr>
          <w:rFonts w:ascii="Arial" w:hAnsi="Arial" w:cs="Arial"/>
        </w:rPr>
        <w:t>In more recent history</w:t>
      </w:r>
      <w:r w:rsidR="00B8514C" w:rsidRPr="00230449">
        <w:rPr>
          <w:rFonts w:ascii="Arial" w:hAnsi="Arial" w:cs="Arial"/>
        </w:rPr>
        <w:t xml:space="preserve"> t</w:t>
      </w:r>
      <w:r w:rsidR="00DA5A57" w:rsidRPr="00230449">
        <w:rPr>
          <w:rFonts w:ascii="Arial" w:hAnsi="Arial" w:cs="Arial"/>
        </w:rPr>
        <w:t>he pre-pack version of administration threatened to move practice significantly</w:t>
      </w:r>
      <w:r w:rsidR="00B8514C" w:rsidRPr="00230449">
        <w:rPr>
          <w:rFonts w:ascii="Arial" w:hAnsi="Arial" w:cs="Arial"/>
        </w:rPr>
        <w:t xml:space="preserve"> onwards in the early 2000</w:t>
      </w:r>
      <w:r w:rsidR="00BA4F8F" w:rsidRPr="00230449">
        <w:rPr>
          <w:rFonts w:ascii="Arial" w:hAnsi="Arial" w:cs="Arial"/>
        </w:rPr>
        <w:t>s</w:t>
      </w:r>
      <w:r w:rsidR="004F2092" w:rsidRPr="00230449">
        <w:rPr>
          <w:rFonts w:ascii="Arial" w:hAnsi="Arial" w:cs="Arial"/>
        </w:rPr>
        <w:t>,</w:t>
      </w:r>
      <w:r w:rsidR="00DA5A57" w:rsidRPr="00230449">
        <w:rPr>
          <w:rFonts w:ascii="Arial" w:hAnsi="Arial" w:cs="Arial"/>
        </w:rPr>
        <w:t xml:space="preserve"> but liquidation far surpa</w:t>
      </w:r>
      <w:r w:rsidR="00EB77A4" w:rsidRPr="00230449">
        <w:rPr>
          <w:rFonts w:ascii="Arial" w:hAnsi="Arial" w:cs="Arial"/>
        </w:rPr>
        <w:t>sses administration as Table Two</w:t>
      </w:r>
      <w:r w:rsidR="00DA5A57" w:rsidRPr="00230449">
        <w:rPr>
          <w:rFonts w:ascii="Arial" w:hAnsi="Arial" w:cs="Arial"/>
        </w:rPr>
        <w:t xml:space="preserve"> makes clear.</w:t>
      </w:r>
      <w:r w:rsidR="004F2092" w:rsidRPr="00230449">
        <w:rPr>
          <w:rFonts w:ascii="Arial" w:hAnsi="Arial" w:cs="Arial"/>
        </w:rPr>
        <w:t xml:space="preserve"> Hiving off, or pre-packs, are not as prevalent as unsecured creditors may have feared.</w:t>
      </w:r>
      <w:r w:rsidR="004F2092" w:rsidRPr="00230449">
        <w:rPr>
          <w:rStyle w:val="FootnoteReference"/>
          <w:rFonts w:ascii="Arial" w:hAnsi="Arial"/>
        </w:rPr>
        <w:footnoteReference w:id="62"/>
      </w:r>
      <w:r w:rsidR="00DA5A57" w:rsidRPr="00230449">
        <w:rPr>
          <w:rFonts w:ascii="Arial" w:hAnsi="Arial" w:cs="Arial"/>
        </w:rPr>
        <w:t xml:space="preserve"> </w:t>
      </w:r>
      <w:r w:rsidR="002D5747" w:rsidRPr="00230449">
        <w:rPr>
          <w:rFonts w:ascii="Arial" w:hAnsi="Arial" w:cs="Arial"/>
        </w:rPr>
        <w:t>The diminishing importance of these variations of administration is perhaps indicated by the fact that they are now subsumed under “</w:t>
      </w:r>
      <w:r w:rsidR="002E47F8" w:rsidRPr="00230449">
        <w:rPr>
          <w:rFonts w:ascii="Arial" w:hAnsi="Arial" w:cs="Arial"/>
        </w:rPr>
        <w:t>O</w:t>
      </w:r>
      <w:r w:rsidR="002D5747" w:rsidRPr="00230449">
        <w:rPr>
          <w:rFonts w:ascii="Arial" w:hAnsi="Arial" w:cs="Arial"/>
        </w:rPr>
        <w:t>ther company insolvencies” in</w:t>
      </w:r>
      <w:r w:rsidR="002E47F8" w:rsidRPr="00230449">
        <w:rPr>
          <w:rFonts w:ascii="Arial" w:hAnsi="Arial" w:cs="Arial"/>
        </w:rPr>
        <w:t xml:space="preserve"> the official statistics where</w:t>
      </w:r>
      <w:r w:rsidR="002D5747" w:rsidRPr="00230449">
        <w:rPr>
          <w:rFonts w:ascii="Arial" w:hAnsi="Arial" w:cs="Arial"/>
        </w:rPr>
        <w:t xml:space="preserve"> previously they warranted their own specific graphical representation. </w:t>
      </w:r>
    </w:p>
    <w:p w:rsidR="002E47F8" w:rsidRPr="00230449" w:rsidRDefault="002E47F8">
      <w:pPr>
        <w:rPr>
          <w:rFonts w:ascii="Arial" w:hAnsi="Arial" w:cs="Arial"/>
        </w:rPr>
      </w:pPr>
      <w:r w:rsidRPr="00230449">
        <w:rPr>
          <w:rFonts w:ascii="Arial" w:hAnsi="Arial" w:cs="Arial"/>
        </w:rPr>
        <w:br w:type="page"/>
      </w:r>
    </w:p>
    <w:p w:rsidR="00DA5A57" w:rsidRPr="00230449" w:rsidRDefault="00DA5A57" w:rsidP="008B1208">
      <w:pPr>
        <w:spacing w:line="360" w:lineRule="auto"/>
        <w:jc w:val="both"/>
        <w:rPr>
          <w:rFonts w:ascii="Arial" w:hAnsi="Arial" w:cs="Arial"/>
        </w:rPr>
      </w:pPr>
    </w:p>
    <w:p w:rsidR="00DA5A57" w:rsidRPr="00230449" w:rsidRDefault="00EB77A4" w:rsidP="008B1208">
      <w:pPr>
        <w:spacing w:line="360" w:lineRule="auto"/>
        <w:jc w:val="both"/>
        <w:rPr>
          <w:rFonts w:ascii="Arial" w:hAnsi="Arial" w:cs="Arial"/>
          <w:b/>
          <w:i/>
          <w:sz w:val="20"/>
          <w:szCs w:val="20"/>
          <w:u w:val="single"/>
        </w:rPr>
      </w:pPr>
      <w:r w:rsidRPr="00230449">
        <w:rPr>
          <w:rFonts w:ascii="Arial" w:hAnsi="Arial" w:cs="Arial"/>
          <w:b/>
          <w:i/>
          <w:sz w:val="20"/>
          <w:szCs w:val="20"/>
          <w:u w:val="single"/>
        </w:rPr>
        <w:t>Table Two</w:t>
      </w:r>
      <w:r w:rsidR="00DA5A57" w:rsidRPr="00230449">
        <w:rPr>
          <w:rFonts w:ascii="Arial" w:hAnsi="Arial" w:cs="Arial"/>
          <w:b/>
          <w:i/>
          <w:sz w:val="20"/>
          <w:szCs w:val="20"/>
          <w:u w:val="single"/>
        </w:rPr>
        <w:t xml:space="preserve">: </w:t>
      </w:r>
      <w:r w:rsidR="005C7414" w:rsidRPr="00230449">
        <w:rPr>
          <w:rFonts w:ascii="Arial" w:hAnsi="Arial" w:cs="Arial"/>
          <w:b/>
          <w:i/>
          <w:sz w:val="20"/>
          <w:szCs w:val="20"/>
          <w:u w:val="single"/>
        </w:rPr>
        <w:t>Corporate Insolvency Statistics</w:t>
      </w:r>
      <w:r w:rsidR="00CE412B" w:rsidRPr="00230449">
        <w:rPr>
          <w:rFonts w:ascii="Arial" w:hAnsi="Arial" w:cs="Arial"/>
          <w:b/>
          <w:i/>
          <w:sz w:val="20"/>
          <w:szCs w:val="20"/>
          <w:u w:val="single"/>
        </w:rPr>
        <w:t xml:space="preserve"> in England and Wales:</w:t>
      </w:r>
      <w:r w:rsidR="005C7414" w:rsidRPr="00230449">
        <w:rPr>
          <w:rFonts w:ascii="Arial" w:hAnsi="Arial" w:cs="Arial"/>
          <w:b/>
          <w:i/>
          <w:sz w:val="20"/>
          <w:szCs w:val="20"/>
          <w:u w:val="single"/>
        </w:rPr>
        <w:t xml:space="preserve"> 2009-201</w:t>
      </w:r>
      <w:r w:rsidR="006B4D2A" w:rsidRPr="00230449">
        <w:rPr>
          <w:rFonts w:ascii="Arial" w:hAnsi="Arial" w:cs="Arial"/>
          <w:b/>
          <w:i/>
          <w:sz w:val="20"/>
          <w:szCs w:val="20"/>
          <w:u w:val="single"/>
        </w:rPr>
        <w:t>9</w:t>
      </w:r>
      <w:r w:rsidR="007513CD" w:rsidRPr="00230449">
        <w:rPr>
          <w:rStyle w:val="FootnoteReference"/>
          <w:rFonts w:ascii="Arial" w:hAnsi="Arial"/>
          <w:b/>
          <w:sz w:val="20"/>
          <w:szCs w:val="20"/>
        </w:rPr>
        <w:footnoteReference w:id="63"/>
      </w:r>
    </w:p>
    <w:p w:rsidR="00DA5A57" w:rsidRPr="00230449" w:rsidRDefault="006B4D2A" w:rsidP="008B1208">
      <w:pPr>
        <w:spacing w:line="360" w:lineRule="auto"/>
        <w:jc w:val="both"/>
        <w:rPr>
          <w:rFonts w:ascii="Arial" w:hAnsi="Arial" w:cs="Arial"/>
        </w:rPr>
      </w:pPr>
      <w:r w:rsidRPr="00230449">
        <w:rPr>
          <w:rFonts w:ascii="Arial" w:hAnsi="Arial" w:cs="Arial"/>
          <w:noProof/>
        </w:rPr>
        <w:drawing>
          <wp:inline distT="0" distB="0" distL="0" distR="0">
            <wp:extent cx="5607894" cy="337883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12 at 13.05.21.png"/>
                    <pic:cNvPicPr/>
                  </pic:nvPicPr>
                  <pic:blipFill>
                    <a:blip r:embed="rId8">
                      <a:extLst>
                        <a:ext uri="{28A0092B-C50C-407E-A947-70E740481C1C}">
                          <a14:useLocalDpi xmlns:a14="http://schemas.microsoft.com/office/drawing/2010/main" val="0"/>
                        </a:ext>
                      </a:extLst>
                    </a:blip>
                    <a:stretch>
                      <a:fillRect/>
                    </a:stretch>
                  </pic:blipFill>
                  <pic:spPr>
                    <a:xfrm>
                      <a:off x="0" y="0"/>
                      <a:ext cx="5630442" cy="3392420"/>
                    </a:xfrm>
                    <a:prstGeom prst="rect">
                      <a:avLst/>
                    </a:prstGeom>
                  </pic:spPr>
                </pic:pic>
              </a:graphicData>
            </a:graphic>
          </wp:inline>
        </w:drawing>
      </w:r>
    </w:p>
    <w:p w:rsidR="00DA5A57" w:rsidRPr="00230449" w:rsidRDefault="00DA5A57" w:rsidP="008B1208">
      <w:pPr>
        <w:spacing w:line="360" w:lineRule="auto"/>
        <w:jc w:val="both"/>
        <w:rPr>
          <w:rFonts w:ascii="Arial" w:hAnsi="Arial" w:cs="Arial"/>
        </w:rPr>
      </w:pPr>
    </w:p>
    <w:p w:rsidR="00D01DFC" w:rsidRPr="00230449" w:rsidRDefault="00DA5A57" w:rsidP="008B1208">
      <w:pPr>
        <w:spacing w:line="360" w:lineRule="auto"/>
        <w:jc w:val="both"/>
        <w:rPr>
          <w:rFonts w:ascii="Arial" w:hAnsi="Arial" w:cs="Arial"/>
        </w:rPr>
      </w:pPr>
      <w:r w:rsidRPr="00230449">
        <w:rPr>
          <w:rFonts w:ascii="Arial" w:hAnsi="Arial" w:cs="Arial"/>
        </w:rPr>
        <w:t>A new epoch of seismic and fundamental change has yet to arrive in the realm of insolvency law.</w:t>
      </w:r>
      <w:r w:rsidR="003D4825" w:rsidRPr="00230449">
        <w:rPr>
          <w:rFonts w:ascii="Arial" w:hAnsi="Arial" w:cs="Arial"/>
        </w:rPr>
        <w:t xml:space="preserve"> Without significant political change this is unlikely to occur.</w:t>
      </w:r>
      <w:r w:rsidR="006B4D2A" w:rsidRPr="00230449">
        <w:rPr>
          <w:rFonts w:ascii="Arial" w:hAnsi="Arial" w:cs="Arial"/>
        </w:rPr>
        <w:t xml:space="preserve"> If a fundamental change</w:t>
      </w:r>
      <w:r w:rsidR="003D4825" w:rsidRPr="00230449">
        <w:rPr>
          <w:rFonts w:ascii="Arial" w:hAnsi="Arial" w:cs="Arial"/>
        </w:rPr>
        <w:t xml:space="preserve"> did </w:t>
      </w:r>
      <w:r w:rsidR="009728BE" w:rsidRPr="00230449">
        <w:rPr>
          <w:rFonts w:ascii="Arial" w:hAnsi="Arial" w:cs="Arial"/>
        </w:rPr>
        <w:t xml:space="preserve">come to pass </w:t>
      </w:r>
      <w:r w:rsidR="003D4825" w:rsidRPr="00230449">
        <w:rPr>
          <w:rFonts w:ascii="Arial" w:hAnsi="Arial" w:cs="Arial"/>
        </w:rPr>
        <w:t>it might reflect values that are curre</w:t>
      </w:r>
      <w:r w:rsidR="009728BE" w:rsidRPr="00230449">
        <w:rPr>
          <w:rFonts w:ascii="Arial" w:hAnsi="Arial" w:cs="Arial"/>
        </w:rPr>
        <w:t xml:space="preserve">ntly under </w:t>
      </w:r>
      <w:r w:rsidR="003D4825" w:rsidRPr="00230449">
        <w:rPr>
          <w:rFonts w:ascii="Arial" w:hAnsi="Arial" w:cs="Arial"/>
        </w:rPr>
        <w:t>represented, i.e. communitarian interests of wider stakeholders and a greater emphasis on the plight of the employee in corporate insolvency.</w:t>
      </w:r>
      <w:r w:rsidR="003D4825" w:rsidRPr="00230449">
        <w:rPr>
          <w:rStyle w:val="FootnoteReference"/>
          <w:rFonts w:ascii="Arial" w:hAnsi="Arial"/>
        </w:rPr>
        <w:footnoteReference w:id="64"/>
      </w:r>
      <w:r w:rsidR="003D4825" w:rsidRPr="00230449">
        <w:rPr>
          <w:rFonts w:ascii="Arial" w:hAnsi="Arial" w:cs="Arial"/>
        </w:rPr>
        <w:t xml:space="preserve">  </w:t>
      </w:r>
      <w:r w:rsidRPr="00230449">
        <w:rPr>
          <w:rFonts w:ascii="Arial" w:hAnsi="Arial" w:cs="Arial"/>
        </w:rPr>
        <w:t xml:space="preserve"> </w:t>
      </w:r>
    </w:p>
    <w:p w:rsidR="00D01DFC" w:rsidRPr="00230449" w:rsidRDefault="00D01DFC" w:rsidP="008B1208">
      <w:pPr>
        <w:spacing w:line="360" w:lineRule="auto"/>
        <w:jc w:val="both"/>
        <w:rPr>
          <w:rFonts w:ascii="Arial" w:hAnsi="Arial" w:cs="Arial"/>
        </w:rPr>
      </w:pPr>
    </w:p>
    <w:p w:rsidR="00D01DFC" w:rsidRPr="00230449" w:rsidRDefault="00D01DFC" w:rsidP="008B1208">
      <w:pPr>
        <w:spacing w:line="360" w:lineRule="auto"/>
        <w:jc w:val="both"/>
        <w:rPr>
          <w:rFonts w:ascii="Arial" w:hAnsi="Arial" w:cs="Arial"/>
        </w:rPr>
      </w:pPr>
    </w:p>
    <w:p w:rsidR="00D01DFC" w:rsidRPr="00230449" w:rsidRDefault="00D01DFC" w:rsidP="008B1208">
      <w:pPr>
        <w:spacing w:line="360" w:lineRule="auto"/>
        <w:jc w:val="both"/>
        <w:rPr>
          <w:rFonts w:ascii="Arial" w:hAnsi="Arial" w:cs="Arial"/>
          <w:u w:val="single"/>
        </w:rPr>
      </w:pPr>
      <w:r w:rsidRPr="00230449">
        <w:rPr>
          <w:rFonts w:ascii="Arial" w:hAnsi="Arial" w:cs="Arial"/>
          <w:u w:val="single"/>
        </w:rPr>
        <w:t xml:space="preserve">Dogmatic Repetition? </w:t>
      </w:r>
    </w:p>
    <w:p w:rsidR="00D01DFC" w:rsidRPr="00230449" w:rsidRDefault="00D01DFC" w:rsidP="00D01DFC">
      <w:pPr>
        <w:spacing w:line="360" w:lineRule="auto"/>
        <w:jc w:val="both"/>
        <w:rPr>
          <w:rFonts w:ascii="Arial" w:hAnsi="Arial" w:cs="Arial"/>
        </w:rPr>
      </w:pPr>
    </w:p>
    <w:p w:rsidR="005D3FE4" w:rsidRPr="00230449" w:rsidRDefault="00D01DFC" w:rsidP="008B1208">
      <w:pPr>
        <w:spacing w:line="360" w:lineRule="auto"/>
        <w:jc w:val="both"/>
        <w:rPr>
          <w:rFonts w:ascii="Arial" w:hAnsi="Arial" w:cs="Arial"/>
        </w:rPr>
      </w:pPr>
      <w:r w:rsidRPr="00230449">
        <w:rPr>
          <w:rFonts w:ascii="Arial" w:hAnsi="Arial" w:cs="Arial"/>
        </w:rPr>
        <w:t xml:space="preserve">Insolvency </w:t>
      </w:r>
      <w:r w:rsidR="00035E21" w:rsidRPr="00230449">
        <w:rPr>
          <w:rFonts w:ascii="Arial" w:hAnsi="Arial" w:cs="Arial"/>
        </w:rPr>
        <w:t xml:space="preserve">Eternal Recurrence </w:t>
      </w:r>
      <w:r w:rsidRPr="00230449">
        <w:rPr>
          <w:rFonts w:ascii="Arial" w:hAnsi="Arial" w:cs="Arial"/>
        </w:rPr>
        <w:t>could also exist as a result of conscious agenda</w:t>
      </w:r>
      <w:r w:rsidR="006365CD" w:rsidRPr="00230449">
        <w:rPr>
          <w:rFonts w:ascii="Arial" w:hAnsi="Arial" w:cs="Arial"/>
        </w:rPr>
        <w:t xml:space="preserve"> setting</w:t>
      </w:r>
      <w:r w:rsidRPr="00230449">
        <w:rPr>
          <w:rFonts w:ascii="Arial" w:hAnsi="Arial" w:cs="Arial"/>
        </w:rPr>
        <w:t xml:space="preserve"> activity, i.e. </w:t>
      </w:r>
      <w:r w:rsidR="00B93EDA" w:rsidRPr="00230449">
        <w:rPr>
          <w:rFonts w:ascii="Arial" w:hAnsi="Arial" w:cs="Arial"/>
        </w:rPr>
        <w:t xml:space="preserve">to counteract </w:t>
      </w:r>
      <w:r w:rsidRPr="00230449">
        <w:rPr>
          <w:rFonts w:ascii="Arial" w:hAnsi="Arial" w:cs="Arial"/>
        </w:rPr>
        <w:t>the continued dominance of security the Insolvency Service ma</w:t>
      </w:r>
      <w:r w:rsidR="00B93EDA" w:rsidRPr="00230449">
        <w:rPr>
          <w:rFonts w:ascii="Arial" w:hAnsi="Arial" w:cs="Arial"/>
        </w:rPr>
        <w:t>y have repeatedly suggested reforms to the prescribed part</w:t>
      </w:r>
      <w:r w:rsidRPr="00230449">
        <w:rPr>
          <w:rFonts w:ascii="Arial" w:hAnsi="Arial" w:cs="Arial"/>
        </w:rPr>
        <w:t>. Or</w:t>
      </w:r>
      <w:r w:rsidR="006365CD" w:rsidRPr="00230449">
        <w:rPr>
          <w:rFonts w:ascii="Arial" w:hAnsi="Arial" w:cs="Arial"/>
        </w:rPr>
        <w:t>,</w:t>
      </w:r>
      <w:r w:rsidRPr="00230449">
        <w:rPr>
          <w:rFonts w:ascii="Arial" w:hAnsi="Arial" w:cs="Arial"/>
        </w:rPr>
        <w:t xml:space="preserve"> as an attempt to promote the rescue culture</w:t>
      </w:r>
      <w:r w:rsidR="002E47F8" w:rsidRPr="00230449">
        <w:rPr>
          <w:rFonts w:ascii="Arial" w:hAnsi="Arial" w:cs="Arial"/>
        </w:rPr>
        <w:t>,</w:t>
      </w:r>
      <w:r w:rsidRPr="00230449">
        <w:rPr>
          <w:rFonts w:ascii="Arial" w:hAnsi="Arial" w:cs="Arial"/>
        </w:rPr>
        <w:t xml:space="preserve"> the Insolvency Service may be repeatedly revisiting the question of super priority financing despite </w:t>
      </w:r>
      <w:r w:rsidR="006365CD" w:rsidRPr="00230449">
        <w:rPr>
          <w:rFonts w:ascii="Arial" w:hAnsi="Arial" w:cs="Arial"/>
        </w:rPr>
        <w:t xml:space="preserve">numerous </w:t>
      </w:r>
      <w:r w:rsidRPr="00230449">
        <w:rPr>
          <w:rFonts w:ascii="Arial" w:hAnsi="Arial" w:cs="Arial"/>
        </w:rPr>
        <w:t>rejection</w:t>
      </w:r>
      <w:r w:rsidR="006365CD" w:rsidRPr="00230449">
        <w:rPr>
          <w:rFonts w:ascii="Arial" w:hAnsi="Arial" w:cs="Arial"/>
        </w:rPr>
        <w:t>s of this policy</w:t>
      </w:r>
      <w:r w:rsidRPr="00230449">
        <w:rPr>
          <w:rFonts w:ascii="Arial" w:hAnsi="Arial" w:cs="Arial"/>
        </w:rPr>
        <w:t xml:space="preserve"> over </w:t>
      </w:r>
      <w:r w:rsidRPr="00230449">
        <w:rPr>
          <w:rFonts w:ascii="Arial" w:hAnsi="Arial" w:cs="Arial"/>
        </w:rPr>
        <w:lastRenderedPageBreak/>
        <w:t>time.</w:t>
      </w:r>
      <w:r w:rsidR="00726415" w:rsidRPr="00230449">
        <w:rPr>
          <w:rFonts w:ascii="Arial" w:hAnsi="Arial" w:cs="Arial"/>
        </w:rPr>
        <w:t xml:space="preserve"> This aspect of insolvency </w:t>
      </w:r>
      <w:r w:rsidR="00035E21" w:rsidRPr="00230449">
        <w:rPr>
          <w:rFonts w:ascii="Arial" w:hAnsi="Arial" w:cs="Arial"/>
        </w:rPr>
        <w:t xml:space="preserve">Eternal Recurrence </w:t>
      </w:r>
      <w:r w:rsidR="00726415" w:rsidRPr="00230449">
        <w:rPr>
          <w:rFonts w:ascii="Arial" w:hAnsi="Arial" w:cs="Arial"/>
        </w:rPr>
        <w:t xml:space="preserve">will be taken up in part (3) below. First, we must </w:t>
      </w:r>
      <w:r w:rsidR="00E67DC7" w:rsidRPr="00230449">
        <w:rPr>
          <w:rFonts w:ascii="Arial" w:hAnsi="Arial" w:cs="Arial"/>
        </w:rPr>
        <w:t>explore a number of</w:t>
      </w:r>
      <w:r w:rsidR="00B34684" w:rsidRPr="00230449">
        <w:rPr>
          <w:rFonts w:ascii="Arial" w:hAnsi="Arial" w:cs="Arial"/>
        </w:rPr>
        <w:t xml:space="preserve"> examples</w:t>
      </w:r>
      <w:r w:rsidR="00726415" w:rsidRPr="00230449">
        <w:rPr>
          <w:rFonts w:ascii="Arial" w:hAnsi="Arial" w:cs="Arial"/>
        </w:rPr>
        <w:t xml:space="preserve"> of both narrow </w:t>
      </w:r>
      <w:r w:rsidR="00035E21" w:rsidRPr="00230449">
        <w:rPr>
          <w:rFonts w:ascii="Arial" w:hAnsi="Arial" w:cs="Arial"/>
        </w:rPr>
        <w:t xml:space="preserve">Eternal Recurrence </w:t>
      </w:r>
      <w:r w:rsidR="00726415" w:rsidRPr="00230449">
        <w:rPr>
          <w:rFonts w:ascii="Arial" w:hAnsi="Arial" w:cs="Arial"/>
        </w:rPr>
        <w:t xml:space="preserve">and broad </w:t>
      </w:r>
      <w:r w:rsidR="00035E21" w:rsidRPr="00230449">
        <w:rPr>
          <w:rFonts w:ascii="Arial" w:hAnsi="Arial" w:cs="Arial"/>
        </w:rPr>
        <w:t xml:space="preserve">Eternal Recurrence </w:t>
      </w:r>
      <w:r w:rsidR="00D86094" w:rsidRPr="00230449">
        <w:rPr>
          <w:rFonts w:ascii="Arial" w:hAnsi="Arial" w:cs="Arial"/>
        </w:rPr>
        <w:t>in the context of English and Welsh insolvency law</w:t>
      </w:r>
      <w:r w:rsidR="00B93EDA" w:rsidRPr="00230449">
        <w:rPr>
          <w:rFonts w:ascii="Arial" w:hAnsi="Arial" w:cs="Arial"/>
        </w:rPr>
        <w:t xml:space="preserve"> to demonstrate how Nietzsche’s thought experiment can aid analysis, critique and </w:t>
      </w:r>
      <w:r w:rsidR="00E87B26" w:rsidRPr="00230449">
        <w:rPr>
          <w:rFonts w:ascii="Arial" w:hAnsi="Arial" w:cs="Arial"/>
        </w:rPr>
        <w:t xml:space="preserve">future </w:t>
      </w:r>
      <w:r w:rsidR="00B93EDA" w:rsidRPr="00230449">
        <w:rPr>
          <w:rFonts w:ascii="Arial" w:hAnsi="Arial" w:cs="Arial"/>
        </w:rPr>
        <w:t>reform of English and Welsh insolvency law</w:t>
      </w:r>
      <w:r w:rsidR="00B34684" w:rsidRPr="00230449">
        <w:rPr>
          <w:rFonts w:ascii="Arial" w:hAnsi="Arial" w:cs="Arial"/>
        </w:rPr>
        <w:t xml:space="preserve">.  </w:t>
      </w:r>
      <w:r w:rsidR="005D3FE4" w:rsidRPr="00230449">
        <w:rPr>
          <w:rFonts w:ascii="Arial" w:hAnsi="Arial" w:cs="Arial"/>
        </w:rPr>
        <w:t xml:space="preserve"> </w:t>
      </w:r>
    </w:p>
    <w:p w:rsidR="00D41E5A" w:rsidRPr="00230449" w:rsidRDefault="00D41E5A" w:rsidP="008B1208">
      <w:pPr>
        <w:jc w:val="both"/>
        <w:rPr>
          <w:rFonts w:ascii="Arial" w:hAnsi="Arial" w:cs="Arial"/>
        </w:rPr>
      </w:pPr>
    </w:p>
    <w:p w:rsidR="00D41E5A" w:rsidRPr="00230449" w:rsidRDefault="00D41E5A" w:rsidP="008B1208">
      <w:pPr>
        <w:spacing w:line="360" w:lineRule="auto"/>
        <w:jc w:val="both"/>
        <w:rPr>
          <w:rFonts w:ascii="Arial" w:hAnsi="Arial" w:cs="Arial"/>
          <w:b/>
          <w:u w:val="single"/>
        </w:rPr>
      </w:pPr>
    </w:p>
    <w:p w:rsidR="00C9578D" w:rsidRPr="00230449" w:rsidRDefault="00C9578D" w:rsidP="008B1208">
      <w:pPr>
        <w:spacing w:line="360" w:lineRule="auto"/>
        <w:jc w:val="both"/>
        <w:rPr>
          <w:rFonts w:ascii="Arial" w:hAnsi="Arial" w:cs="Arial"/>
          <w:b/>
          <w:u w:val="single"/>
        </w:rPr>
      </w:pPr>
    </w:p>
    <w:p w:rsidR="00D41E5A" w:rsidRPr="00230449" w:rsidRDefault="00D41E5A" w:rsidP="008B1208">
      <w:pPr>
        <w:pStyle w:val="ListParagraph"/>
        <w:numPr>
          <w:ilvl w:val="0"/>
          <w:numId w:val="1"/>
        </w:numPr>
        <w:spacing w:line="360" w:lineRule="auto"/>
        <w:jc w:val="both"/>
        <w:rPr>
          <w:rFonts w:ascii="Arial" w:hAnsi="Arial" w:cs="Arial"/>
          <w:b/>
          <w:u w:val="single"/>
        </w:rPr>
      </w:pPr>
      <w:r w:rsidRPr="00230449">
        <w:rPr>
          <w:rFonts w:ascii="Arial" w:hAnsi="Arial" w:cs="Arial"/>
          <w:b/>
          <w:u w:val="single"/>
        </w:rPr>
        <w:t xml:space="preserve">Examples of </w:t>
      </w:r>
      <w:r w:rsidR="00035E21" w:rsidRPr="00230449">
        <w:rPr>
          <w:rFonts w:ascii="Arial" w:hAnsi="Arial" w:cs="Arial"/>
          <w:b/>
          <w:u w:val="single"/>
        </w:rPr>
        <w:t xml:space="preserve">Eternal Recurrence </w:t>
      </w:r>
      <w:r w:rsidRPr="00230449">
        <w:rPr>
          <w:rFonts w:ascii="Arial" w:hAnsi="Arial" w:cs="Arial"/>
          <w:b/>
          <w:u w:val="single"/>
        </w:rPr>
        <w:t xml:space="preserve">in Insolvency </w:t>
      </w:r>
    </w:p>
    <w:p w:rsidR="00D41E5A" w:rsidRPr="00230449" w:rsidRDefault="00D41E5A" w:rsidP="008B1208">
      <w:pPr>
        <w:spacing w:line="360" w:lineRule="auto"/>
        <w:jc w:val="both"/>
        <w:rPr>
          <w:rFonts w:ascii="Arial" w:hAnsi="Arial" w:cs="Arial"/>
        </w:rPr>
      </w:pPr>
    </w:p>
    <w:p w:rsidR="00884609" w:rsidRPr="00230449" w:rsidRDefault="0073677E" w:rsidP="00884609">
      <w:pPr>
        <w:spacing w:line="360" w:lineRule="auto"/>
        <w:jc w:val="both"/>
        <w:rPr>
          <w:rFonts w:ascii="Arial" w:hAnsi="Arial" w:cs="Arial"/>
        </w:rPr>
      </w:pPr>
      <w:r w:rsidRPr="00230449">
        <w:rPr>
          <w:rFonts w:ascii="Arial" w:eastAsia="Times New Roman" w:hAnsi="Arial" w:cs="Arial"/>
          <w:color w:val="000000"/>
        </w:rPr>
        <w:t xml:space="preserve">There are </w:t>
      </w:r>
      <w:r w:rsidR="00884609" w:rsidRPr="00230449">
        <w:rPr>
          <w:rFonts w:ascii="Arial" w:eastAsia="Times New Roman" w:hAnsi="Arial" w:cs="Arial"/>
          <w:color w:val="000000"/>
        </w:rPr>
        <w:t xml:space="preserve">numerous </w:t>
      </w:r>
      <w:r w:rsidRPr="00230449">
        <w:rPr>
          <w:rFonts w:ascii="Arial" w:eastAsia="Times New Roman" w:hAnsi="Arial" w:cs="Arial"/>
          <w:color w:val="000000"/>
        </w:rPr>
        <w:t xml:space="preserve">examples </w:t>
      </w:r>
      <w:r w:rsidR="00884609" w:rsidRPr="00230449">
        <w:rPr>
          <w:rFonts w:ascii="Arial" w:eastAsia="Times New Roman" w:hAnsi="Arial" w:cs="Arial"/>
          <w:color w:val="000000"/>
        </w:rPr>
        <w:t xml:space="preserve">of </w:t>
      </w:r>
      <w:r w:rsidRPr="00230449">
        <w:rPr>
          <w:rFonts w:ascii="Arial" w:eastAsia="Times New Roman" w:hAnsi="Arial" w:cs="Arial"/>
          <w:color w:val="000000"/>
        </w:rPr>
        <w:t>themes,</w:t>
      </w:r>
      <w:r w:rsidR="001C2AB5" w:rsidRPr="00230449">
        <w:rPr>
          <w:rFonts w:ascii="Arial" w:eastAsia="Times New Roman" w:hAnsi="Arial" w:cs="Arial"/>
          <w:color w:val="000000"/>
        </w:rPr>
        <w:t xml:space="preserve"> undercurrents,</w:t>
      </w:r>
      <w:r w:rsidR="00C2098C" w:rsidRPr="00230449">
        <w:rPr>
          <w:rFonts w:ascii="Arial" w:eastAsia="Times New Roman" w:hAnsi="Arial" w:cs="Arial"/>
          <w:color w:val="000000"/>
        </w:rPr>
        <w:t xml:space="preserve"> idea</w:t>
      </w:r>
      <w:r w:rsidRPr="00230449">
        <w:rPr>
          <w:rFonts w:ascii="Arial" w:eastAsia="Times New Roman" w:hAnsi="Arial" w:cs="Arial"/>
          <w:color w:val="000000"/>
        </w:rPr>
        <w:t>s</w:t>
      </w:r>
      <w:r w:rsidR="00880FB6" w:rsidRPr="00230449">
        <w:rPr>
          <w:rFonts w:ascii="Arial" w:eastAsia="Times New Roman" w:hAnsi="Arial" w:cs="Arial"/>
          <w:color w:val="000000"/>
        </w:rPr>
        <w:t xml:space="preserve">, </w:t>
      </w:r>
      <w:r w:rsidRPr="00230449">
        <w:rPr>
          <w:rFonts w:ascii="Arial" w:eastAsia="Times New Roman" w:hAnsi="Arial" w:cs="Arial"/>
          <w:color w:val="000000"/>
        </w:rPr>
        <w:t xml:space="preserve">and </w:t>
      </w:r>
      <w:r w:rsidR="00880FB6" w:rsidRPr="00230449">
        <w:rPr>
          <w:rFonts w:ascii="Arial" w:eastAsia="Times New Roman" w:hAnsi="Arial" w:cs="Arial"/>
          <w:color w:val="000000"/>
        </w:rPr>
        <w:t xml:space="preserve">policy </w:t>
      </w:r>
      <w:r w:rsidR="00C2098C" w:rsidRPr="00230449">
        <w:rPr>
          <w:rFonts w:ascii="Arial" w:eastAsia="Times New Roman" w:hAnsi="Arial" w:cs="Arial"/>
          <w:color w:val="000000"/>
        </w:rPr>
        <w:t>proposals</w:t>
      </w:r>
      <w:r w:rsidR="0041065A" w:rsidRPr="00230449">
        <w:rPr>
          <w:rFonts w:ascii="Arial" w:eastAsia="Times New Roman" w:hAnsi="Arial" w:cs="Arial"/>
          <w:color w:val="000000"/>
        </w:rPr>
        <w:t xml:space="preserve"> (“approaches”)</w:t>
      </w:r>
      <w:r w:rsidR="00A557AC" w:rsidRPr="00230449">
        <w:rPr>
          <w:rFonts w:ascii="Arial" w:eastAsia="Times New Roman" w:hAnsi="Arial" w:cs="Arial"/>
          <w:color w:val="000000"/>
        </w:rPr>
        <w:t xml:space="preserve"> appearing recurrently </w:t>
      </w:r>
      <w:r w:rsidR="00884609" w:rsidRPr="00230449">
        <w:rPr>
          <w:rFonts w:ascii="Arial" w:eastAsia="Times New Roman" w:hAnsi="Arial" w:cs="Arial"/>
          <w:color w:val="000000"/>
        </w:rPr>
        <w:t xml:space="preserve">which </w:t>
      </w:r>
      <w:r w:rsidR="00CB7731" w:rsidRPr="00230449">
        <w:rPr>
          <w:rFonts w:ascii="Arial" w:hAnsi="Arial" w:cs="Arial"/>
        </w:rPr>
        <w:t xml:space="preserve">demonstrate broad and narrow </w:t>
      </w:r>
      <w:r w:rsidR="00035E21" w:rsidRPr="00230449">
        <w:rPr>
          <w:rFonts w:ascii="Arial" w:hAnsi="Arial" w:cs="Arial"/>
        </w:rPr>
        <w:t xml:space="preserve">Eternal Recurrence </w:t>
      </w:r>
      <w:r w:rsidR="00CB7731" w:rsidRPr="00230449">
        <w:rPr>
          <w:rFonts w:ascii="Arial" w:hAnsi="Arial" w:cs="Arial"/>
        </w:rPr>
        <w:t>that</w:t>
      </w:r>
      <w:r w:rsidR="00880FB6" w:rsidRPr="00230449">
        <w:rPr>
          <w:rFonts w:ascii="Arial" w:hAnsi="Arial" w:cs="Arial"/>
        </w:rPr>
        <w:t xml:space="preserve"> have vexed</w:t>
      </w:r>
      <w:r w:rsidR="00884609" w:rsidRPr="00230449">
        <w:rPr>
          <w:rFonts w:ascii="Arial" w:hAnsi="Arial" w:cs="Arial"/>
        </w:rPr>
        <w:t xml:space="preserve"> policy makers and the legislature</w:t>
      </w:r>
      <w:r w:rsidR="00DF51BB" w:rsidRPr="00230449">
        <w:rPr>
          <w:rFonts w:ascii="Arial" w:hAnsi="Arial" w:cs="Arial"/>
        </w:rPr>
        <w:t xml:space="preserve"> consistently </w:t>
      </w:r>
      <w:r w:rsidR="00884609" w:rsidRPr="00230449">
        <w:rPr>
          <w:rFonts w:ascii="Arial" w:hAnsi="Arial" w:cs="Arial"/>
        </w:rPr>
        <w:t>over time</w:t>
      </w:r>
      <w:r w:rsidR="00CB7731" w:rsidRPr="00230449">
        <w:rPr>
          <w:rFonts w:ascii="Arial" w:hAnsi="Arial" w:cs="Arial"/>
        </w:rPr>
        <w:t>. These</w:t>
      </w:r>
      <w:r w:rsidR="00884609" w:rsidRPr="00230449">
        <w:rPr>
          <w:rFonts w:ascii="Arial" w:hAnsi="Arial" w:cs="Arial"/>
        </w:rPr>
        <w:t xml:space="preserve"> have included</w:t>
      </w:r>
      <w:r w:rsidR="00A520B3" w:rsidRPr="00230449">
        <w:rPr>
          <w:rFonts w:ascii="Arial" w:hAnsi="Arial" w:cs="Arial"/>
        </w:rPr>
        <w:t xml:space="preserve">, </w:t>
      </w:r>
      <w:r w:rsidR="00A520B3" w:rsidRPr="00230449">
        <w:rPr>
          <w:rFonts w:ascii="Arial" w:hAnsi="Arial" w:cs="Arial"/>
          <w:i/>
        </w:rPr>
        <w:t>inter alia</w:t>
      </w:r>
      <w:r w:rsidR="00884609" w:rsidRPr="00230449">
        <w:rPr>
          <w:rFonts w:ascii="Arial" w:hAnsi="Arial" w:cs="Arial"/>
        </w:rPr>
        <w:t>:</w:t>
      </w:r>
      <w:r w:rsidR="000B0128" w:rsidRPr="00230449">
        <w:rPr>
          <w:rFonts w:ascii="Arial" w:hAnsi="Arial" w:cs="Arial"/>
        </w:rPr>
        <w:t xml:space="preserve"> </w:t>
      </w:r>
      <w:r w:rsidR="006D571F" w:rsidRPr="00230449">
        <w:rPr>
          <w:rFonts w:ascii="Arial" w:hAnsi="Arial" w:cs="Arial"/>
        </w:rPr>
        <w:t xml:space="preserve">systems of </w:t>
      </w:r>
      <w:r w:rsidR="00884609" w:rsidRPr="00230449">
        <w:rPr>
          <w:rFonts w:ascii="Arial" w:hAnsi="Arial" w:cs="Arial"/>
        </w:rPr>
        <w:t>priority within corporate insolvency</w:t>
      </w:r>
      <w:r w:rsidR="006D571F" w:rsidRPr="00230449">
        <w:rPr>
          <w:rFonts w:ascii="Arial" w:hAnsi="Arial" w:cs="Arial"/>
        </w:rPr>
        <w:t xml:space="preserve"> that promote the interests of certain classes of creditor</w:t>
      </w:r>
      <w:r w:rsidR="000B0128" w:rsidRPr="00230449">
        <w:rPr>
          <w:rFonts w:ascii="Arial" w:hAnsi="Arial" w:cs="Arial"/>
        </w:rPr>
        <w:t>, sometimes referred to as the “Waterfall”</w:t>
      </w:r>
      <w:r w:rsidR="006D571F" w:rsidRPr="00230449">
        <w:rPr>
          <w:rFonts w:ascii="Arial" w:hAnsi="Arial" w:cs="Arial"/>
        </w:rPr>
        <w:t>;</w:t>
      </w:r>
      <w:r w:rsidR="006D571F" w:rsidRPr="00230449">
        <w:rPr>
          <w:rStyle w:val="FootnoteReference"/>
          <w:rFonts w:ascii="Arial" w:hAnsi="Arial"/>
        </w:rPr>
        <w:footnoteReference w:id="65"/>
      </w:r>
      <w:r w:rsidR="000B0128" w:rsidRPr="00230449">
        <w:rPr>
          <w:rFonts w:ascii="Arial" w:hAnsi="Arial" w:cs="Arial"/>
        </w:rPr>
        <w:t xml:space="preserve"> </w:t>
      </w:r>
      <w:r w:rsidR="00884609" w:rsidRPr="00230449">
        <w:rPr>
          <w:rFonts w:ascii="Arial" w:hAnsi="Arial" w:cs="Arial"/>
        </w:rPr>
        <w:t>the balance between officialism and private practice</w:t>
      </w:r>
      <w:r w:rsidR="006D571F" w:rsidRPr="00230449">
        <w:rPr>
          <w:rFonts w:ascii="Arial" w:hAnsi="Arial" w:cs="Arial"/>
        </w:rPr>
        <w:t xml:space="preserve"> in relation to the administration and management of insolvent estates;</w:t>
      </w:r>
      <w:r w:rsidR="006D571F" w:rsidRPr="00230449">
        <w:rPr>
          <w:rStyle w:val="FootnoteReference"/>
          <w:rFonts w:ascii="Arial" w:hAnsi="Arial"/>
        </w:rPr>
        <w:footnoteReference w:id="66"/>
      </w:r>
      <w:r w:rsidR="000B0128" w:rsidRPr="00230449">
        <w:rPr>
          <w:rFonts w:ascii="Arial" w:hAnsi="Arial" w:cs="Arial"/>
        </w:rPr>
        <w:t xml:space="preserve"> </w:t>
      </w:r>
      <w:r w:rsidR="00884609" w:rsidRPr="00230449">
        <w:rPr>
          <w:rFonts w:ascii="Arial" w:hAnsi="Arial" w:cs="Arial"/>
        </w:rPr>
        <w:t>the nature and function of the rescue culture</w:t>
      </w:r>
      <w:r w:rsidR="007219F4" w:rsidRPr="00230449">
        <w:rPr>
          <w:rFonts w:ascii="Arial" w:hAnsi="Arial" w:cs="Arial"/>
        </w:rPr>
        <w:t xml:space="preserve"> in English and Welsh corporate insolvency law;</w:t>
      </w:r>
      <w:r w:rsidR="000419AC" w:rsidRPr="00230449">
        <w:rPr>
          <w:rStyle w:val="FootnoteReference"/>
          <w:rFonts w:ascii="Arial" w:hAnsi="Arial"/>
        </w:rPr>
        <w:footnoteReference w:id="67"/>
      </w:r>
      <w:r w:rsidR="00884609" w:rsidRPr="00230449">
        <w:rPr>
          <w:rFonts w:ascii="Arial" w:hAnsi="Arial" w:cs="Arial"/>
        </w:rPr>
        <w:t xml:space="preserve"> </w:t>
      </w:r>
      <w:r w:rsidR="00741E4A" w:rsidRPr="00230449">
        <w:rPr>
          <w:rFonts w:ascii="Arial" w:hAnsi="Arial" w:cs="Arial"/>
        </w:rPr>
        <w:t xml:space="preserve">debtor </w:t>
      </w:r>
      <w:r w:rsidR="00884609" w:rsidRPr="00230449">
        <w:rPr>
          <w:rFonts w:ascii="Arial" w:hAnsi="Arial" w:cs="Arial"/>
        </w:rPr>
        <w:t>discharge</w:t>
      </w:r>
      <w:r w:rsidR="00741E4A" w:rsidRPr="00230449">
        <w:rPr>
          <w:rFonts w:ascii="Arial" w:hAnsi="Arial" w:cs="Arial"/>
        </w:rPr>
        <w:t xml:space="preserve"> availability and</w:t>
      </w:r>
      <w:r w:rsidR="00884609" w:rsidRPr="00230449">
        <w:rPr>
          <w:rFonts w:ascii="Arial" w:hAnsi="Arial" w:cs="Arial"/>
        </w:rPr>
        <w:t xml:space="preserve"> </w:t>
      </w:r>
      <w:r w:rsidR="00741E4A" w:rsidRPr="00230449">
        <w:rPr>
          <w:rFonts w:ascii="Arial" w:hAnsi="Arial" w:cs="Arial"/>
        </w:rPr>
        <w:t>the length of discharge</w:t>
      </w:r>
      <w:r w:rsidR="00884609" w:rsidRPr="00230449">
        <w:rPr>
          <w:rFonts w:ascii="Arial" w:hAnsi="Arial" w:cs="Arial"/>
        </w:rPr>
        <w:t xml:space="preserve"> in personal</w:t>
      </w:r>
      <w:r w:rsidR="00741E4A" w:rsidRPr="00230449">
        <w:rPr>
          <w:rFonts w:ascii="Arial" w:hAnsi="Arial" w:cs="Arial"/>
        </w:rPr>
        <w:t xml:space="preserve"> insolvency as a constituent part of a mechanism for relief and rehabilitation;</w:t>
      </w:r>
      <w:r w:rsidR="00741E4A" w:rsidRPr="00230449">
        <w:rPr>
          <w:rStyle w:val="FootnoteReference"/>
          <w:rFonts w:ascii="Arial" w:hAnsi="Arial"/>
        </w:rPr>
        <w:footnoteReference w:id="68"/>
      </w:r>
      <w:r w:rsidR="00DC0824" w:rsidRPr="00230449">
        <w:rPr>
          <w:rFonts w:ascii="Arial" w:hAnsi="Arial" w:cs="Arial"/>
        </w:rPr>
        <w:t xml:space="preserve"> </w:t>
      </w:r>
      <w:r w:rsidR="00741E4A" w:rsidRPr="00230449">
        <w:rPr>
          <w:rFonts w:ascii="Arial" w:hAnsi="Arial" w:cs="Arial"/>
        </w:rPr>
        <w:t>the balance between rehabilitation and public protection in both corporate insolvency</w:t>
      </w:r>
      <w:r w:rsidR="00537E87" w:rsidRPr="00230449">
        <w:rPr>
          <w:rFonts w:ascii="Arial" w:hAnsi="Arial" w:cs="Arial"/>
        </w:rPr>
        <w:t xml:space="preserve"> (d</w:t>
      </w:r>
      <w:r w:rsidR="00741E4A" w:rsidRPr="00230449">
        <w:rPr>
          <w:rFonts w:ascii="Arial" w:hAnsi="Arial" w:cs="Arial"/>
        </w:rPr>
        <w:t>irectors’ disqualification order</w:t>
      </w:r>
      <w:r w:rsidR="00537E87" w:rsidRPr="00230449">
        <w:rPr>
          <w:rFonts w:ascii="Arial" w:hAnsi="Arial" w:cs="Arial"/>
        </w:rPr>
        <w:t>s</w:t>
      </w:r>
      <w:r w:rsidR="00741E4A" w:rsidRPr="00230449">
        <w:rPr>
          <w:rFonts w:ascii="Arial" w:hAnsi="Arial" w:cs="Arial"/>
        </w:rPr>
        <w:t xml:space="preserve"> and undertakings)</w:t>
      </w:r>
      <w:r w:rsidR="00094523" w:rsidRPr="00230449">
        <w:rPr>
          <w:rStyle w:val="FootnoteReference"/>
          <w:rFonts w:ascii="Arial" w:hAnsi="Arial"/>
        </w:rPr>
        <w:footnoteReference w:id="69"/>
      </w:r>
      <w:r w:rsidR="00741E4A" w:rsidRPr="00230449">
        <w:rPr>
          <w:rFonts w:ascii="Arial" w:hAnsi="Arial" w:cs="Arial"/>
        </w:rPr>
        <w:t xml:space="preserve"> and personal insolvency (bankruptcy restrictions orders and undertakings);</w:t>
      </w:r>
      <w:r w:rsidR="00741E4A" w:rsidRPr="00230449">
        <w:rPr>
          <w:rStyle w:val="FootnoteReference"/>
          <w:rFonts w:ascii="Arial" w:hAnsi="Arial"/>
        </w:rPr>
        <w:footnoteReference w:id="70"/>
      </w:r>
      <w:r w:rsidR="00741E4A" w:rsidRPr="00230449">
        <w:rPr>
          <w:rFonts w:ascii="Arial" w:hAnsi="Arial" w:cs="Arial"/>
        </w:rPr>
        <w:t xml:space="preserve"> </w:t>
      </w:r>
      <w:r w:rsidR="00884609" w:rsidRPr="00230449">
        <w:rPr>
          <w:rFonts w:ascii="Arial" w:hAnsi="Arial" w:cs="Arial"/>
        </w:rPr>
        <w:t xml:space="preserve"> </w:t>
      </w:r>
      <w:r w:rsidR="00710B76" w:rsidRPr="00230449">
        <w:rPr>
          <w:rFonts w:ascii="Arial" w:hAnsi="Arial" w:cs="Arial"/>
        </w:rPr>
        <w:t xml:space="preserve">the </w:t>
      </w:r>
      <w:r w:rsidR="00884609" w:rsidRPr="00230449">
        <w:rPr>
          <w:rFonts w:ascii="Arial" w:hAnsi="Arial" w:cs="Arial"/>
        </w:rPr>
        <w:t>adoption of employment contracts and the position of employees</w:t>
      </w:r>
      <w:r w:rsidR="00710B76" w:rsidRPr="00230449">
        <w:rPr>
          <w:rFonts w:ascii="Arial" w:hAnsi="Arial" w:cs="Arial"/>
        </w:rPr>
        <w:t xml:space="preserve"> in insolvency;</w:t>
      </w:r>
      <w:r w:rsidR="00710B76" w:rsidRPr="00230449">
        <w:rPr>
          <w:rStyle w:val="FootnoteReference"/>
          <w:rFonts w:ascii="Arial" w:hAnsi="Arial"/>
        </w:rPr>
        <w:footnoteReference w:id="71"/>
      </w:r>
      <w:r w:rsidR="00884609" w:rsidRPr="00230449">
        <w:rPr>
          <w:rFonts w:ascii="Arial" w:hAnsi="Arial" w:cs="Arial"/>
        </w:rPr>
        <w:t xml:space="preserve"> the balance between rescue</w:t>
      </w:r>
      <w:r w:rsidR="00710B76" w:rsidRPr="00230449">
        <w:rPr>
          <w:rFonts w:ascii="Arial" w:hAnsi="Arial" w:cs="Arial"/>
        </w:rPr>
        <w:t>, debtor company</w:t>
      </w:r>
      <w:r w:rsidR="00884609" w:rsidRPr="00230449">
        <w:rPr>
          <w:rFonts w:ascii="Arial" w:hAnsi="Arial" w:cs="Arial"/>
        </w:rPr>
        <w:t xml:space="preserve"> and landlord interests</w:t>
      </w:r>
      <w:r w:rsidR="00710B76" w:rsidRPr="00230449">
        <w:rPr>
          <w:rFonts w:ascii="Arial" w:hAnsi="Arial" w:cs="Arial"/>
        </w:rPr>
        <w:t xml:space="preserve"> in high street insolvency</w:t>
      </w:r>
      <w:r w:rsidR="00537E87" w:rsidRPr="00230449">
        <w:rPr>
          <w:rFonts w:ascii="Arial" w:hAnsi="Arial" w:cs="Arial"/>
        </w:rPr>
        <w:t>;</w:t>
      </w:r>
      <w:r w:rsidR="00710B76" w:rsidRPr="00230449">
        <w:rPr>
          <w:rStyle w:val="FootnoteReference"/>
          <w:rFonts w:ascii="Arial" w:hAnsi="Arial"/>
        </w:rPr>
        <w:footnoteReference w:id="72"/>
      </w:r>
      <w:r w:rsidR="00884609" w:rsidRPr="00230449">
        <w:rPr>
          <w:rFonts w:ascii="Arial" w:hAnsi="Arial" w:cs="Arial"/>
        </w:rPr>
        <w:t xml:space="preserve"> </w:t>
      </w:r>
      <w:r w:rsidR="007F52CA" w:rsidRPr="00230449">
        <w:rPr>
          <w:rFonts w:ascii="Arial" w:hAnsi="Arial" w:cs="Arial"/>
        </w:rPr>
        <w:t>the use and cost</w:t>
      </w:r>
      <w:r w:rsidR="00537E87" w:rsidRPr="00230449">
        <w:rPr>
          <w:rFonts w:ascii="Arial" w:hAnsi="Arial" w:cs="Arial"/>
        </w:rPr>
        <w:t xml:space="preserve"> of</w:t>
      </w:r>
      <w:r w:rsidR="007F52CA" w:rsidRPr="00230449">
        <w:rPr>
          <w:rFonts w:ascii="Arial" w:hAnsi="Arial" w:cs="Arial"/>
        </w:rPr>
        <w:t xml:space="preserve">, and regulatory compliance with, </w:t>
      </w:r>
      <w:r w:rsidR="00884609" w:rsidRPr="00230449">
        <w:rPr>
          <w:rFonts w:ascii="Arial" w:hAnsi="Arial" w:cs="Arial"/>
        </w:rPr>
        <w:lastRenderedPageBreak/>
        <w:t>morator</w:t>
      </w:r>
      <w:r w:rsidR="007F52CA" w:rsidRPr="00230449">
        <w:rPr>
          <w:rFonts w:ascii="Arial" w:hAnsi="Arial" w:cs="Arial"/>
        </w:rPr>
        <w:t>ia in corporate insolvency;</w:t>
      </w:r>
      <w:r w:rsidR="00884609" w:rsidRPr="00230449">
        <w:rPr>
          <w:rFonts w:ascii="Arial" w:hAnsi="Arial" w:cs="Arial"/>
        </w:rPr>
        <w:t xml:space="preserve"> </w:t>
      </w:r>
      <w:r w:rsidR="00A520B3" w:rsidRPr="00230449">
        <w:rPr>
          <w:rFonts w:ascii="Arial" w:hAnsi="Arial" w:cs="Arial"/>
        </w:rPr>
        <w:t>and,</w:t>
      </w:r>
      <w:r w:rsidR="007F52CA" w:rsidRPr="00230449">
        <w:rPr>
          <w:rFonts w:ascii="Arial" w:hAnsi="Arial" w:cs="Arial"/>
        </w:rPr>
        <w:t xml:space="preserve"> the use and adoption of </w:t>
      </w:r>
      <w:r w:rsidR="00884609" w:rsidRPr="00230449">
        <w:rPr>
          <w:rFonts w:ascii="Arial" w:hAnsi="Arial" w:cs="Arial"/>
        </w:rPr>
        <w:t>super p</w:t>
      </w:r>
      <w:r w:rsidR="00A520B3" w:rsidRPr="00230449">
        <w:rPr>
          <w:rFonts w:ascii="Arial" w:hAnsi="Arial" w:cs="Arial"/>
        </w:rPr>
        <w:t>riority financing</w:t>
      </w:r>
      <w:r w:rsidR="007F52CA" w:rsidRPr="00230449">
        <w:rPr>
          <w:rFonts w:ascii="Arial" w:hAnsi="Arial" w:cs="Arial"/>
        </w:rPr>
        <w:t xml:space="preserve"> in England and Wales</w:t>
      </w:r>
      <w:r w:rsidR="00B249F8" w:rsidRPr="00230449">
        <w:rPr>
          <w:rFonts w:ascii="Arial" w:hAnsi="Arial" w:cs="Arial"/>
        </w:rPr>
        <w:t xml:space="preserve"> has been raised on multiple occasions (</w:t>
      </w:r>
      <w:r w:rsidR="00D1701E" w:rsidRPr="00230449">
        <w:rPr>
          <w:rFonts w:ascii="Arial" w:hAnsi="Arial" w:cs="Arial"/>
        </w:rPr>
        <w:t xml:space="preserve">e.g. </w:t>
      </w:r>
      <w:r w:rsidR="00B249F8" w:rsidRPr="00230449">
        <w:rPr>
          <w:rFonts w:ascii="Arial" w:hAnsi="Arial" w:cs="Arial"/>
        </w:rPr>
        <w:t>2009,</w:t>
      </w:r>
      <w:r w:rsidR="00B249F8" w:rsidRPr="00230449">
        <w:rPr>
          <w:rStyle w:val="FootnoteReference"/>
          <w:rFonts w:ascii="Arial" w:hAnsi="Arial"/>
        </w:rPr>
        <w:footnoteReference w:id="73"/>
      </w:r>
      <w:r w:rsidR="00D1701E" w:rsidRPr="00230449">
        <w:rPr>
          <w:rFonts w:ascii="Arial" w:hAnsi="Arial" w:cs="Arial"/>
        </w:rPr>
        <w:t xml:space="preserve"> 2016</w:t>
      </w:r>
      <w:r w:rsidR="007F52CA" w:rsidRPr="00230449">
        <w:rPr>
          <w:rStyle w:val="FootnoteReference"/>
          <w:rFonts w:ascii="Arial" w:hAnsi="Arial"/>
        </w:rPr>
        <w:footnoteReference w:id="74"/>
      </w:r>
      <w:r w:rsidR="005967B1" w:rsidRPr="00230449">
        <w:rPr>
          <w:rFonts w:ascii="Arial" w:hAnsi="Arial" w:cs="Arial"/>
        </w:rPr>
        <w:t>).</w:t>
      </w:r>
      <w:r w:rsidR="00884609" w:rsidRPr="00230449">
        <w:rPr>
          <w:rFonts w:ascii="Arial" w:hAnsi="Arial" w:cs="Arial"/>
        </w:rPr>
        <w:t xml:space="preserve"> </w:t>
      </w:r>
      <w:r w:rsidR="00851FF7" w:rsidRPr="00230449">
        <w:rPr>
          <w:rFonts w:ascii="Arial" w:hAnsi="Arial" w:cs="Arial"/>
        </w:rPr>
        <w:t>Here</w:t>
      </w:r>
      <w:r w:rsidR="00525D15" w:rsidRPr="00230449">
        <w:rPr>
          <w:rFonts w:ascii="Arial" w:hAnsi="Arial" w:cs="Arial"/>
        </w:rPr>
        <w:t xml:space="preserve"> we will concentrate on three</w:t>
      </w:r>
      <w:r w:rsidR="00D266F5" w:rsidRPr="00230449">
        <w:rPr>
          <w:rFonts w:ascii="Arial" w:hAnsi="Arial" w:cs="Arial"/>
        </w:rPr>
        <w:t xml:space="preserve"> examples which</w:t>
      </w:r>
      <w:r w:rsidR="00137D9D" w:rsidRPr="00230449">
        <w:rPr>
          <w:rFonts w:ascii="Arial" w:hAnsi="Arial" w:cs="Arial"/>
        </w:rPr>
        <w:t xml:space="preserve"> are indicative of deep and pervasive issues within the subject of insolvency and which</w:t>
      </w:r>
      <w:r w:rsidR="00D266F5" w:rsidRPr="00230449">
        <w:rPr>
          <w:rFonts w:ascii="Arial" w:hAnsi="Arial" w:cs="Arial"/>
        </w:rPr>
        <w:t xml:space="preserve"> clearly demonstrate both</w:t>
      </w:r>
      <w:r w:rsidR="00851FF7" w:rsidRPr="00230449">
        <w:rPr>
          <w:rFonts w:ascii="Arial" w:hAnsi="Arial" w:cs="Arial"/>
        </w:rPr>
        <w:t xml:space="preserve"> b</w:t>
      </w:r>
      <w:r w:rsidR="00D266F5" w:rsidRPr="00230449">
        <w:rPr>
          <w:rFonts w:ascii="Arial" w:hAnsi="Arial" w:cs="Arial"/>
        </w:rPr>
        <w:t xml:space="preserve">road and narrow </w:t>
      </w:r>
      <w:r w:rsidR="00525D15" w:rsidRPr="00230449">
        <w:rPr>
          <w:rFonts w:ascii="Arial" w:hAnsi="Arial" w:cs="Arial"/>
        </w:rPr>
        <w:t>Eternal R</w:t>
      </w:r>
      <w:r w:rsidR="00851FF7" w:rsidRPr="00230449">
        <w:rPr>
          <w:rFonts w:ascii="Arial" w:hAnsi="Arial" w:cs="Arial"/>
        </w:rPr>
        <w:t>ecurrence.</w:t>
      </w:r>
      <w:r w:rsidR="00D266F5" w:rsidRPr="00230449">
        <w:rPr>
          <w:rFonts w:ascii="Arial" w:hAnsi="Arial" w:cs="Arial"/>
        </w:rPr>
        <w:t xml:space="preserve"> </w:t>
      </w:r>
      <w:r w:rsidR="00851FF7" w:rsidRPr="00230449">
        <w:rPr>
          <w:rFonts w:ascii="Arial" w:hAnsi="Arial" w:cs="Arial"/>
        </w:rPr>
        <w:t xml:space="preserve"> </w:t>
      </w:r>
    </w:p>
    <w:p w:rsidR="00C2098C" w:rsidRPr="00230449" w:rsidRDefault="00C2098C" w:rsidP="008B1208">
      <w:pPr>
        <w:spacing w:line="360" w:lineRule="auto"/>
        <w:jc w:val="both"/>
        <w:rPr>
          <w:rFonts w:ascii="Arial" w:eastAsia="Times New Roman" w:hAnsi="Arial" w:cs="Arial"/>
        </w:rPr>
      </w:pPr>
    </w:p>
    <w:p w:rsidR="00C2098C" w:rsidRPr="00230449" w:rsidRDefault="00C2098C" w:rsidP="008B1208">
      <w:pPr>
        <w:spacing w:line="360" w:lineRule="auto"/>
        <w:jc w:val="both"/>
        <w:rPr>
          <w:rFonts w:ascii="Arial" w:hAnsi="Arial" w:cs="Arial"/>
        </w:rPr>
      </w:pPr>
    </w:p>
    <w:p w:rsidR="00C2098C" w:rsidRPr="00230449" w:rsidRDefault="0073677E" w:rsidP="008B1208">
      <w:pPr>
        <w:pStyle w:val="ListParagraph"/>
        <w:numPr>
          <w:ilvl w:val="0"/>
          <w:numId w:val="4"/>
        </w:numPr>
        <w:spacing w:line="360" w:lineRule="auto"/>
        <w:jc w:val="both"/>
        <w:rPr>
          <w:rFonts w:ascii="Arial" w:hAnsi="Arial" w:cs="Arial"/>
          <w:b/>
          <w:u w:val="single"/>
        </w:rPr>
      </w:pPr>
      <w:r w:rsidRPr="00230449">
        <w:rPr>
          <w:rFonts w:ascii="Arial" w:hAnsi="Arial" w:cs="Arial"/>
          <w:b/>
          <w:u w:val="single"/>
        </w:rPr>
        <w:t>Unsecured Creditors</w:t>
      </w:r>
      <w:r w:rsidR="00BA5CDE" w:rsidRPr="00230449">
        <w:rPr>
          <w:rFonts w:ascii="Arial" w:hAnsi="Arial" w:cs="Arial"/>
          <w:b/>
          <w:u w:val="single"/>
        </w:rPr>
        <w:t xml:space="preserve">: </w:t>
      </w:r>
      <w:r w:rsidR="0041065A" w:rsidRPr="00230449">
        <w:rPr>
          <w:rFonts w:ascii="Arial" w:hAnsi="Arial" w:cs="Arial"/>
          <w:b/>
          <w:u w:val="single"/>
        </w:rPr>
        <w:t>themes of apathy and disregard</w:t>
      </w:r>
      <w:r w:rsidRPr="00230449">
        <w:rPr>
          <w:rFonts w:ascii="Arial" w:hAnsi="Arial" w:cs="Arial"/>
          <w:b/>
          <w:u w:val="single"/>
        </w:rPr>
        <w:t xml:space="preserve"> </w:t>
      </w:r>
    </w:p>
    <w:p w:rsidR="00EC67D3" w:rsidRPr="00230449" w:rsidRDefault="00EC67D3" w:rsidP="008B1208">
      <w:pPr>
        <w:spacing w:line="360" w:lineRule="auto"/>
        <w:jc w:val="both"/>
        <w:rPr>
          <w:rFonts w:ascii="Arial" w:hAnsi="Arial" w:cs="Arial"/>
        </w:rPr>
      </w:pPr>
    </w:p>
    <w:p w:rsidR="00BA5CDE" w:rsidRPr="00230449" w:rsidRDefault="00A65BFD" w:rsidP="008B1208">
      <w:pPr>
        <w:spacing w:line="360" w:lineRule="auto"/>
        <w:jc w:val="both"/>
        <w:rPr>
          <w:rFonts w:ascii="Arial" w:hAnsi="Arial" w:cs="Arial"/>
        </w:rPr>
      </w:pPr>
      <w:r w:rsidRPr="00230449">
        <w:rPr>
          <w:rFonts w:ascii="Arial" w:hAnsi="Arial" w:cs="Arial"/>
        </w:rPr>
        <w:t xml:space="preserve">In </w:t>
      </w:r>
      <w:r w:rsidR="0073677E" w:rsidRPr="00230449">
        <w:rPr>
          <w:rFonts w:ascii="Arial" w:hAnsi="Arial" w:cs="Arial"/>
        </w:rPr>
        <w:t xml:space="preserve">2011 </w:t>
      </w:r>
      <w:r w:rsidRPr="00230449">
        <w:rPr>
          <w:rFonts w:ascii="Arial" w:hAnsi="Arial" w:cs="Arial"/>
        </w:rPr>
        <w:t xml:space="preserve">the Insolvency Service published </w:t>
      </w:r>
      <w:r w:rsidR="00007A2A" w:rsidRPr="00230449">
        <w:rPr>
          <w:rFonts w:ascii="Arial" w:hAnsi="Arial" w:cs="Arial"/>
        </w:rPr>
        <w:t>its</w:t>
      </w:r>
      <w:r w:rsidR="0073677E" w:rsidRPr="00230449">
        <w:rPr>
          <w:rFonts w:ascii="Arial" w:hAnsi="Arial" w:cs="Arial"/>
        </w:rPr>
        <w:t xml:space="preserve"> consultation response</w:t>
      </w:r>
      <w:r w:rsidR="0073677E" w:rsidRPr="00230449">
        <w:rPr>
          <w:rStyle w:val="FootnoteReference"/>
          <w:rFonts w:ascii="Arial" w:hAnsi="Arial" w:cs="Arial"/>
        </w:rPr>
        <w:footnoteReference w:id="75"/>
      </w:r>
      <w:r w:rsidR="0073677E" w:rsidRPr="00230449">
        <w:rPr>
          <w:rFonts w:ascii="Arial" w:hAnsi="Arial" w:cs="Arial"/>
        </w:rPr>
        <w:t xml:space="preserve"> to the Office of Fair Trading’s July 2010 report</w:t>
      </w:r>
      <w:r w:rsidR="0073677E" w:rsidRPr="00230449">
        <w:rPr>
          <w:rStyle w:val="FootnoteReference"/>
          <w:rFonts w:ascii="Arial" w:hAnsi="Arial" w:cs="Arial"/>
        </w:rPr>
        <w:footnoteReference w:id="76"/>
      </w:r>
      <w:r w:rsidR="0073677E" w:rsidRPr="00230449">
        <w:rPr>
          <w:rFonts w:ascii="Arial" w:hAnsi="Arial" w:cs="Arial"/>
        </w:rPr>
        <w:t xml:space="preserve"> into the regulation of insolvency prac</w:t>
      </w:r>
      <w:r w:rsidRPr="00230449">
        <w:rPr>
          <w:rFonts w:ascii="Arial" w:hAnsi="Arial" w:cs="Arial"/>
        </w:rPr>
        <w:t>titioners (IPs)</w:t>
      </w:r>
      <w:r w:rsidR="003D31BA" w:rsidRPr="00230449">
        <w:rPr>
          <w:rFonts w:ascii="Arial" w:hAnsi="Arial" w:cs="Arial"/>
        </w:rPr>
        <w:t xml:space="preserve"> and the insolvency market</w:t>
      </w:r>
      <w:r w:rsidRPr="00230449">
        <w:rPr>
          <w:rFonts w:ascii="Arial" w:hAnsi="Arial" w:cs="Arial"/>
        </w:rPr>
        <w:t>. Both documents raised</w:t>
      </w:r>
      <w:r w:rsidR="0073677E" w:rsidRPr="00230449">
        <w:rPr>
          <w:rFonts w:ascii="Arial" w:hAnsi="Arial" w:cs="Arial"/>
        </w:rPr>
        <w:t xml:space="preserve"> a number of interesting issues</w:t>
      </w:r>
      <w:r w:rsidR="00C45F09" w:rsidRPr="00230449">
        <w:rPr>
          <w:rFonts w:ascii="Arial" w:hAnsi="Arial" w:cs="Arial"/>
        </w:rPr>
        <w:t>, t</w:t>
      </w:r>
      <w:r w:rsidRPr="00230449">
        <w:rPr>
          <w:rFonts w:ascii="Arial" w:hAnsi="Arial" w:cs="Arial"/>
        </w:rPr>
        <w:t xml:space="preserve">hese included the </w:t>
      </w:r>
      <w:r w:rsidR="0073677E" w:rsidRPr="00230449">
        <w:rPr>
          <w:rFonts w:ascii="Arial" w:hAnsi="Arial" w:cs="Arial"/>
        </w:rPr>
        <w:t xml:space="preserve">plight of the unsecured creditor in corporate insolvency. </w:t>
      </w:r>
      <w:r w:rsidR="003D31BA" w:rsidRPr="00230449">
        <w:rPr>
          <w:rFonts w:ascii="Arial" w:hAnsi="Arial" w:cs="Arial"/>
        </w:rPr>
        <w:t>The status of the unsecured creditor</w:t>
      </w:r>
      <w:r w:rsidRPr="00230449">
        <w:rPr>
          <w:rFonts w:ascii="Arial" w:hAnsi="Arial" w:cs="Arial"/>
        </w:rPr>
        <w:t xml:space="preserve"> is a constant and recurrent theme in corporate insolvency </w:t>
      </w:r>
      <w:r w:rsidR="00D756CF" w:rsidRPr="00230449">
        <w:rPr>
          <w:rFonts w:ascii="Arial" w:hAnsi="Arial" w:cs="Arial"/>
        </w:rPr>
        <w:t>law</w:t>
      </w:r>
      <w:r w:rsidRPr="00230449">
        <w:rPr>
          <w:rFonts w:ascii="Arial" w:hAnsi="Arial" w:cs="Arial"/>
        </w:rPr>
        <w:t>.</w:t>
      </w:r>
      <w:r w:rsidR="00BA5CDE" w:rsidRPr="00230449">
        <w:rPr>
          <w:rFonts w:ascii="Arial" w:hAnsi="Arial" w:cs="Arial"/>
        </w:rPr>
        <w:t xml:space="preserve"> It amounts to an example of</w:t>
      </w:r>
      <w:r w:rsidRPr="00230449">
        <w:rPr>
          <w:rFonts w:ascii="Arial" w:hAnsi="Arial" w:cs="Arial"/>
        </w:rPr>
        <w:t xml:space="preserve"> </w:t>
      </w:r>
      <w:r w:rsidR="00BA5CDE" w:rsidRPr="00230449">
        <w:rPr>
          <w:rFonts w:ascii="Arial" w:hAnsi="Arial" w:cs="Arial"/>
        </w:rPr>
        <w:t xml:space="preserve">broad insolvency Eternal Recurrence. </w:t>
      </w:r>
    </w:p>
    <w:p w:rsidR="00BA5CDE" w:rsidRPr="00230449" w:rsidRDefault="00BA5CDE" w:rsidP="008B1208">
      <w:pPr>
        <w:spacing w:line="360" w:lineRule="auto"/>
        <w:jc w:val="both"/>
        <w:rPr>
          <w:rFonts w:ascii="Arial" w:hAnsi="Arial" w:cs="Arial"/>
        </w:rPr>
      </w:pPr>
    </w:p>
    <w:p w:rsidR="0073677E" w:rsidRPr="00230449" w:rsidRDefault="00A65BFD" w:rsidP="008B1208">
      <w:pPr>
        <w:spacing w:line="360" w:lineRule="auto"/>
        <w:jc w:val="both"/>
        <w:rPr>
          <w:rFonts w:ascii="Arial" w:hAnsi="Arial" w:cs="Arial"/>
        </w:rPr>
      </w:pPr>
      <w:r w:rsidRPr="00230449">
        <w:rPr>
          <w:rFonts w:ascii="Arial" w:hAnsi="Arial" w:cs="Arial"/>
        </w:rPr>
        <w:t>However, despite this</w:t>
      </w:r>
      <w:r w:rsidR="00BA5CDE" w:rsidRPr="00230449">
        <w:rPr>
          <w:rFonts w:ascii="Arial" w:hAnsi="Arial" w:cs="Arial"/>
        </w:rPr>
        <w:t xml:space="preserve"> ever present tension</w:t>
      </w:r>
      <w:r w:rsidRPr="00230449">
        <w:rPr>
          <w:rFonts w:ascii="Arial" w:hAnsi="Arial" w:cs="Arial"/>
        </w:rPr>
        <w:t xml:space="preserve"> the</w:t>
      </w:r>
      <w:r w:rsidR="00DC0DAF" w:rsidRPr="00230449">
        <w:rPr>
          <w:rFonts w:ascii="Arial" w:hAnsi="Arial" w:cs="Arial"/>
        </w:rPr>
        <w:t xml:space="preserve"> Insolvency Service’s consultation featured</w:t>
      </w:r>
      <w:r w:rsidR="00DC0DAF" w:rsidRPr="00230449">
        <w:rPr>
          <w:rFonts w:ascii="Arial" w:hAnsi="Arial" w:cs="Arial"/>
          <w:i/>
        </w:rPr>
        <w:t xml:space="preserve"> </w:t>
      </w:r>
      <w:r w:rsidRPr="00230449">
        <w:rPr>
          <w:rFonts w:ascii="Arial" w:hAnsi="Arial" w:cs="Arial"/>
        </w:rPr>
        <w:t xml:space="preserve">terms of reference </w:t>
      </w:r>
      <w:r w:rsidR="00DC0DAF" w:rsidRPr="00230449">
        <w:rPr>
          <w:rFonts w:ascii="Arial" w:hAnsi="Arial" w:cs="Arial"/>
        </w:rPr>
        <w:t xml:space="preserve">that </w:t>
      </w:r>
      <w:r w:rsidRPr="00230449">
        <w:rPr>
          <w:rFonts w:ascii="Arial" w:hAnsi="Arial" w:cs="Arial"/>
        </w:rPr>
        <w:t>were</w:t>
      </w:r>
      <w:r w:rsidR="0073677E" w:rsidRPr="00230449">
        <w:rPr>
          <w:rFonts w:ascii="Arial" w:hAnsi="Arial" w:cs="Arial"/>
        </w:rPr>
        <w:t xml:space="preserve"> unduly limited particularly in relation to the unsecured creditor. </w:t>
      </w:r>
      <w:r w:rsidR="00223C84" w:rsidRPr="00230449">
        <w:rPr>
          <w:rFonts w:ascii="Arial" w:hAnsi="Arial" w:cs="Arial"/>
        </w:rPr>
        <w:t>Neglect of this stakeholder is particularly alarming when their contribution to lending is analysed. Over a decade ago this w</w:t>
      </w:r>
      <w:r w:rsidR="00D661B0" w:rsidRPr="00230449">
        <w:rPr>
          <w:rFonts w:ascii="Arial" w:hAnsi="Arial" w:cs="Arial"/>
        </w:rPr>
        <w:t>as put in the billions</w:t>
      </w:r>
      <w:r w:rsidR="00835618" w:rsidRPr="00230449">
        <w:rPr>
          <w:rFonts w:ascii="Arial" w:hAnsi="Arial" w:cs="Arial"/>
        </w:rPr>
        <w:t>,</w:t>
      </w:r>
      <w:r w:rsidR="00D661B0" w:rsidRPr="00230449">
        <w:rPr>
          <w:rFonts w:ascii="Arial" w:hAnsi="Arial" w:cs="Arial"/>
        </w:rPr>
        <w:t xml:space="preserve"> as Table</w:t>
      </w:r>
      <w:r w:rsidR="00223C84" w:rsidRPr="00230449">
        <w:rPr>
          <w:rFonts w:ascii="Arial" w:hAnsi="Arial" w:cs="Arial"/>
        </w:rPr>
        <w:t xml:space="preserve"> Three demonstrates</w:t>
      </w:r>
      <w:r w:rsidR="00D661B0" w:rsidRPr="00230449">
        <w:rPr>
          <w:rFonts w:ascii="Arial" w:hAnsi="Arial" w:cs="Arial"/>
        </w:rPr>
        <w:t>. The rates of lending were also higher than secured creditors. Protection was however very much lower.</w:t>
      </w:r>
    </w:p>
    <w:p w:rsidR="00223C84" w:rsidRPr="00230449" w:rsidRDefault="00223C84" w:rsidP="008B1208">
      <w:pPr>
        <w:spacing w:line="360" w:lineRule="auto"/>
        <w:jc w:val="both"/>
        <w:rPr>
          <w:rFonts w:ascii="Arial" w:hAnsi="Arial" w:cs="Arial"/>
        </w:rPr>
      </w:pPr>
    </w:p>
    <w:p w:rsidR="00223C84" w:rsidRPr="00230449" w:rsidRDefault="00D661B0" w:rsidP="008B1208">
      <w:pPr>
        <w:spacing w:line="360" w:lineRule="auto"/>
        <w:jc w:val="both"/>
        <w:rPr>
          <w:rFonts w:ascii="Arial" w:hAnsi="Arial" w:cs="Arial"/>
          <w:b/>
          <w:i/>
          <w:sz w:val="20"/>
          <w:szCs w:val="20"/>
          <w:u w:val="single"/>
        </w:rPr>
      </w:pPr>
      <w:r w:rsidRPr="00230449">
        <w:rPr>
          <w:rFonts w:ascii="Arial" w:hAnsi="Arial" w:cs="Arial"/>
          <w:b/>
          <w:i/>
          <w:sz w:val="20"/>
          <w:szCs w:val="20"/>
          <w:u w:val="single"/>
        </w:rPr>
        <w:t xml:space="preserve">Table Three: Unsecured Creditor Lending Rates, </w:t>
      </w:r>
      <w:r w:rsidR="00223C84" w:rsidRPr="00230449">
        <w:rPr>
          <w:rFonts w:ascii="Arial" w:hAnsi="Arial" w:cs="Arial"/>
          <w:b/>
          <w:i/>
          <w:sz w:val="20"/>
          <w:szCs w:val="20"/>
          <w:u w:val="single"/>
        </w:rPr>
        <w:t>OFT, 2009.</w:t>
      </w:r>
    </w:p>
    <w:p w:rsidR="00223C84" w:rsidRPr="00230449" w:rsidRDefault="00D661B0" w:rsidP="008B1208">
      <w:pPr>
        <w:spacing w:line="360" w:lineRule="auto"/>
        <w:jc w:val="both"/>
        <w:rPr>
          <w:rFonts w:ascii="Arial" w:hAnsi="Arial" w:cs="Arial"/>
        </w:rPr>
      </w:pPr>
      <w:r w:rsidRPr="00230449">
        <w:rPr>
          <w:rFonts w:ascii="Arial" w:hAnsi="Arial" w:cs="Arial"/>
          <w:noProof/>
        </w:rPr>
        <w:lastRenderedPageBreak/>
        <w:drawing>
          <wp:inline distT="0" distB="0" distL="0" distR="0">
            <wp:extent cx="4061691" cy="22609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5 at 11.24.18.png"/>
                    <pic:cNvPicPr/>
                  </pic:nvPicPr>
                  <pic:blipFill>
                    <a:blip r:embed="rId9">
                      <a:extLst>
                        <a:ext uri="{28A0092B-C50C-407E-A947-70E740481C1C}">
                          <a14:useLocalDpi xmlns:a14="http://schemas.microsoft.com/office/drawing/2010/main" val="0"/>
                        </a:ext>
                      </a:extLst>
                    </a:blip>
                    <a:stretch>
                      <a:fillRect/>
                    </a:stretch>
                  </pic:blipFill>
                  <pic:spPr>
                    <a:xfrm>
                      <a:off x="0" y="0"/>
                      <a:ext cx="4076967" cy="2269451"/>
                    </a:xfrm>
                    <a:prstGeom prst="rect">
                      <a:avLst/>
                    </a:prstGeom>
                  </pic:spPr>
                </pic:pic>
              </a:graphicData>
            </a:graphic>
          </wp:inline>
        </w:drawing>
      </w:r>
    </w:p>
    <w:p w:rsidR="00223C84" w:rsidRPr="00230449" w:rsidRDefault="00223C84" w:rsidP="008B1208">
      <w:pPr>
        <w:spacing w:line="360" w:lineRule="auto"/>
        <w:jc w:val="both"/>
        <w:rPr>
          <w:rFonts w:ascii="Arial" w:hAnsi="Arial" w:cs="Arial"/>
        </w:rPr>
      </w:pPr>
    </w:p>
    <w:p w:rsidR="00D661B0" w:rsidRPr="00230449" w:rsidRDefault="00D661B0" w:rsidP="008B1208">
      <w:pPr>
        <w:spacing w:line="360" w:lineRule="auto"/>
        <w:jc w:val="both"/>
        <w:rPr>
          <w:rFonts w:ascii="Arial" w:hAnsi="Arial" w:cs="Arial"/>
        </w:rPr>
      </w:pPr>
      <w:r w:rsidRPr="00230449">
        <w:rPr>
          <w:rFonts w:ascii="Arial" w:hAnsi="Arial" w:cs="Arial"/>
        </w:rPr>
        <w:t>Unsecured creditors’ rates of return on their lending activi</w:t>
      </w:r>
      <w:r w:rsidR="002332A5" w:rsidRPr="00230449">
        <w:rPr>
          <w:rFonts w:ascii="Arial" w:hAnsi="Arial" w:cs="Arial"/>
        </w:rPr>
        <w:t xml:space="preserve">ty was however shown to be </w:t>
      </w:r>
      <w:r w:rsidRPr="00230449">
        <w:rPr>
          <w:rFonts w:ascii="Arial" w:hAnsi="Arial" w:cs="Arial"/>
        </w:rPr>
        <w:t xml:space="preserve">abysmal, as Table Four demonstrates: </w:t>
      </w:r>
    </w:p>
    <w:p w:rsidR="00D661B0" w:rsidRPr="00230449" w:rsidRDefault="00D661B0" w:rsidP="008B1208">
      <w:pPr>
        <w:spacing w:line="360" w:lineRule="auto"/>
        <w:jc w:val="both"/>
        <w:rPr>
          <w:rFonts w:ascii="Arial" w:hAnsi="Arial" w:cs="Arial"/>
        </w:rPr>
      </w:pPr>
    </w:p>
    <w:p w:rsidR="00D661B0" w:rsidRPr="00230449" w:rsidRDefault="00B40705" w:rsidP="008B1208">
      <w:pPr>
        <w:spacing w:line="360" w:lineRule="auto"/>
        <w:jc w:val="both"/>
        <w:rPr>
          <w:rFonts w:ascii="Arial" w:hAnsi="Arial" w:cs="Arial"/>
          <w:b/>
          <w:i/>
          <w:sz w:val="20"/>
          <w:szCs w:val="20"/>
          <w:u w:val="single"/>
        </w:rPr>
      </w:pPr>
      <w:r w:rsidRPr="00230449">
        <w:rPr>
          <w:rFonts w:ascii="Arial" w:hAnsi="Arial" w:cs="Arial"/>
          <w:b/>
          <w:i/>
          <w:sz w:val="20"/>
          <w:szCs w:val="20"/>
          <w:u w:val="single"/>
        </w:rPr>
        <w:t>Table</w:t>
      </w:r>
      <w:r w:rsidR="00D661B0" w:rsidRPr="00230449">
        <w:rPr>
          <w:rFonts w:ascii="Arial" w:hAnsi="Arial" w:cs="Arial"/>
          <w:b/>
          <w:i/>
          <w:sz w:val="20"/>
          <w:szCs w:val="20"/>
          <w:u w:val="single"/>
        </w:rPr>
        <w:t xml:space="preserve"> Four: Unsecured Creditor Returns, OFT, 2009. </w:t>
      </w:r>
    </w:p>
    <w:p w:rsidR="0073677E" w:rsidRPr="00230449" w:rsidRDefault="00D661B0" w:rsidP="008B1208">
      <w:pPr>
        <w:spacing w:line="360" w:lineRule="auto"/>
        <w:jc w:val="both"/>
        <w:rPr>
          <w:rFonts w:ascii="Arial" w:hAnsi="Arial" w:cs="Arial"/>
          <w:b/>
          <w:u w:val="single"/>
        </w:rPr>
      </w:pPr>
      <w:r w:rsidRPr="00230449">
        <w:rPr>
          <w:rFonts w:ascii="Arial" w:hAnsi="Arial" w:cs="Arial"/>
          <w:b/>
          <w:noProof/>
          <w:u w:val="single"/>
        </w:rPr>
        <w:drawing>
          <wp:inline distT="0" distB="0" distL="0" distR="0">
            <wp:extent cx="4121063" cy="2301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4-05 at 11.24.33.png"/>
                    <pic:cNvPicPr/>
                  </pic:nvPicPr>
                  <pic:blipFill>
                    <a:blip r:embed="rId10">
                      <a:extLst>
                        <a:ext uri="{28A0092B-C50C-407E-A947-70E740481C1C}">
                          <a14:useLocalDpi xmlns:a14="http://schemas.microsoft.com/office/drawing/2010/main" val="0"/>
                        </a:ext>
                      </a:extLst>
                    </a:blip>
                    <a:stretch>
                      <a:fillRect/>
                    </a:stretch>
                  </pic:blipFill>
                  <pic:spPr>
                    <a:xfrm>
                      <a:off x="0" y="0"/>
                      <a:ext cx="4142062" cy="2313034"/>
                    </a:xfrm>
                    <a:prstGeom prst="rect">
                      <a:avLst/>
                    </a:prstGeom>
                  </pic:spPr>
                </pic:pic>
              </a:graphicData>
            </a:graphic>
          </wp:inline>
        </w:drawing>
      </w:r>
    </w:p>
    <w:p w:rsidR="00D661B0" w:rsidRPr="00230449" w:rsidRDefault="00D661B0" w:rsidP="008B1208">
      <w:pPr>
        <w:spacing w:line="360" w:lineRule="auto"/>
        <w:jc w:val="both"/>
        <w:rPr>
          <w:rFonts w:ascii="Arial" w:hAnsi="Arial" w:cs="Arial"/>
          <w:b/>
          <w:u w:val="single"/>
        </w:rPr>
      </w:pPr>
    </w:p>
    <w:p w:rsidR="004C21F9" w:rsidRPr="00230449" w:rsidRDefault="006379D0" w:rsidP="008B1208">
      <w:pPr>
        <w:spacing w:line="360" w:lineRule="auto"/>
        <w:jc w:val="both"/>
        <w:rPr>
          <w:rFonts w:ascii="Arial" w:hAnsi="Arial" w:cs="Arial"/>
        </w:rPr>
      </w:pPr>
      <w:r w:rsidRPr="00230449">
        <w:rPr>
          <w:rFonts w:ascii="Arial" w:hAnsi="Arial" w:cs="Arial"/>
        </w:rPr>
        <w:t>So an</w:t>
      </w:r>
      <w:r w:rsidR="0073677E" w:rsidRPr="00230449">
        <w:rPr>
          <w:rFonts w:ascii="Arial" w:hAnsi="Arial" w:cs="Arial"/>
        </w:rPr>
        <w:t xml:space="preserve"> </w:t>
      </w:r>
      <w:r w:rsidR="00007A2A" w:rsidRPr="00230449">
        <w:rPr>
          <w:rFonts w:ascii="Arial" w:hAnsi="Arial" w:cs="Arial"/>
        </w:rPr>
        <w:t>unsecured creditor’s lot is not</w:t>
      </w:r>
      <w:r w:rsidR="00D661B0" w:rsidRPr="00230449">
        <w:rPr>
          <w:rFonts w:ascii="Arial" w:hAnsi="Arial" w:cs="Arial"/>
        </w:rPr>
        <w:t xml:space="preserve"> </w:t>
      </w:r>
      <w:r w:rsidR="0073677E" w:rsidRPr="00230449">
        <w:rPr>
          <w:rFonts w:ascii="Arial" w:hAnsi="Arial" w:cs="Arial"/>
        </w:rPr>
        <w:t xml:space="preserve">a happy one. This fact was viewed with some “sympathy” as early as 1897 when the Lord </w:t>
      </w:r>
      <w:proofErr w:type="spellStart"/>
      <w:r w:rsidR="0073677E" w:rsidRPr="00230449">
        <w:rPr>
          <w:rFonts w:ascii="Arial" w:hAnsi="Arial" w:cs="Arial"/>
        </w:rPr>
        <w:t>Macnaghten</w:t>
      </w:r>
      <w:proofErr w:type="spellEnd"/>
      <w:r w:rsidR="0073677E" w:rsidRPr="00230449">
        <w:rPr>
          <w:rFonts w:ascii="Arial" w:hAnsi="Arial" w:cs="Arial"/>
        </w:rPr>
        <w:t xml:space="preserve"> gave judgment in the famous </w:t>
      </w:r>
      <w:r w:rsidR="0073677E" w:rsidRPr="00230449">
        <w:rPr>
          <w:rFonts w:ascii="Arial" w:hAnsi="Arial" w:cs="Arial"/>
          <w:i/>
        </w:rPr>
        <w:t>Salomon</w:t>
      </w:r>
      <w:r w:rsidR="0073677E" w:rsidRPr="00230449">
        <w:rPr>
          <w:rFonts w:ascii="Arial" w:hAnsi="Arial" w:cs="Arial"/>
        </w:rPr>
        <w:t xml:space="preserve"> case.</w:t>
      </w:r>
      <w:r w:rsidR="0073677E" w:rsidRPr="00230449">
        <w:rPr>
          <w:rStyle w:val="FootnoteReference"/>
          <w:rFonts w:ascii="Arial" w:hAnsi="Arial" w:cs="Arial"/>
        </w:rPr>
        <w:footnoteReference w:id="77"/>
      </w:r>
      <w:r w:rsidR="001B0686" w:rsidRPr="00230449">
        <w:rPr>
          <w:rFonts w:ascii="Arial" w:hAnsi="Arial" w:cs="Arial"/>
        </w:rPr>
        <w:t xml:space="preserve"> </w:t>
      </w:r>
      <w:r w:rsidR="00517325" w:rsidRPr="00230449">
        <w:rPr>
          <w:rFonts w:ascii="Arial" w:hAnsi="Arial" w:cs="Arial"/>
        </w:rPr>
        <w:t>Treatment of unsecured creditors was seemingly as poor in the 1890s as it is</w:t>
      </w:r>
      <w:r w:rsidR="00007A2A" w:rsidRPr="00230449">
        <w:rPr>
          <w:rFonts w:ascii="Arial" w:hAnsi="Arial" w:cs="Arial"/>
        </w:rPr>
        <w:t xml:space="preserve"> today. </w:t>
      </w:r>
      <w:r w:rsidR="001B0686" w:rsidRPr="00230449">
        <w:rPr>
          <w:rFonts w:ascii="Arial" w:hAnsi="Arial" w:cs="Arial"/>
        </w:rPr>
        <w:t>H</w:t>
      </w:r>
      <w:r w:rsidR="0073677E" w:rsidRPr="00230449">
        <w:rPr>
          <w:rFonts w:ascii="Arial" w:hAnsi="Arial" w:cs="Arial"/>
        </w:rPr>
        <w:t>is sympathetic approach was short-lived. He went on to observe that unsecured creditors, “…have only themselves to blame for their misfortunes…”</w:t>
      </w:r>
      <w:r w:rsidR="0073677E" w:rsidRPr="00230449">
        <w:rPr>
          <w:rStyle w:val="FootnoteReference"/>
          <w:rFonts w:ascii="Arial" w:hAnsi="Arial" w:cs="Arial"/>
        </w:rPr>
        <w:footnoteReference w:id="78"/>
      </w:r>
      <w:r w:rsidR="001B0686" w:rsidRPr="00230449">
        <w:rPr>
          <w:rFonts w:ascii="Arial" w:hAnsi="Arial" w:cs="Arial"/>
        </w:rPr>
        <w:t xml:space="preserve"> These</w:t>
      </w:r>
      <w:r w:rsidR="0073677E" w:rsidRPr="00230449">
        <w:rPr>
          <w:rFonts w:ascii="Arial" w:hAnsi="Arial" w:cs="Arial"/>
        </w:rPr>
        <w:t xml:space="preserve"> misfortunes </w:t>
      </w:r>
      <w:r w:rsidR="004C21F9" w:rsidRPr="00230449">
        <w:rPr>
          <w:rFonts w:ascii="Arial" w:hAnsi="Arial" w:cs="Arial"/>
        </w:rPr>
        <w:t xml:space="preserve">were </w:t>
      </w:r>
      <w:r w:rsidR="0073677E" w:rsidRPr="00230449">
        <w:rPr>
          <w:rFonts w:ascii="Arial" w:hAnsi="Arial" w:cs="Arial"/>
        </w:rPr>
        <w:t>exacerbated by the advent of the floating charge in 1870.</w:t>
      </w:r>
      <w:r w:rsidR="0073677E" w:rsidRPr="00230449">
        <w:rPr>
          <w:rStyle w:val="FootnoteReference"/>
          <w:rFonts w:ascii="Arial" w:hAnsi="Arial" w:cs="Arial"/>
        </w:rPr>
        <w:footnoteReference w:id="79"/>
      </w:r>
      <w:r w:rsidR="0073677E" w:rsidRPr="00230449">
        <w:rPr>
          <w:rFonts w:ascii="Arial" w:hAnsi="Arial" w:cs="Arial"/>
        </w:rPr>
        <w:t xml:space="preserve"> </w:t>
      </w:r>
      <w:r w:rsidR="0073677E" w:rsidRPr="00230449">
        <w:rPr>
          <w:rFonts w:ascii="Arial" w:hAnsi="Arial" w:cs="Arial"/>
        </w:rPr>
        <w:lastRenderedPageBreak/>
        <w:t xml:space="preserve">As </w:t>
      </w:r>
      <w:proofErr w:type="spellStart"/>
      <w:r w:rsidR="0073677E" w:rsidRPr="00230449">
        <w:rPr>
          <w:rFonts w:ascii="Arial" w:hAnsi="Arial" w:cs="Arial"/>
        </w:rPr>
        <w:t>Milman</w:t>
      </w:r>
      <w:proofErr w:type="spellEnd"/>
      <w:r w:rsidR="0073677E" w:rsidRPr="00230449">
        <w:rPr>
          <w:rFonts w:ascii="Arial" w:hAnsi="Arial" w:cs="Arial"/>
        </w:rPr>
        <w:t xml:space="preserve"> has acknowledged</w:t>
      </w:r>
      <w:r w:rsidR="00280A1A" w:rsidRPr="00230449">
        <w:rPr>
          <w:rFonts w:ascii="Arial" w:hAnsi="Arial" w:cs="Arial"/>
        </w:rPr>
        <w:t>,</w:t>
      </w:r>
      <w:r w:rsidR="0073677E" w:rsidRPr="00230449">
        <w:rPr>
          <w:rStyle w:val="FootnoteReference"/>
          <w:rFonts w:ascii="Arial" w:hAnsi="Arial" w:cs="Arial"/>
        </w:rPr>
        <w:footnoteReference w:id="80"/>
      </w:r>
      <w:r w:rsidR="0073677E" w:rsidRPr="00230449">
        <w:rPr>
          <w:rFonts w:ascii="Arial" w:hAnsi="Arial" w:cs="Arial"/>
        </w:rPr>
        <w:t xml:space="preserve"> the sweeping up effect of the floating charge did not actuate on Lord </w:t>
      </w:r>
      <w:proofErr w:type="spellStart"/>
      <w:r w:rsidR="0073677E" w:rsidRPr="00230449">
        <w:rPr>
          <w:rFonts w:ascii="Arial" w:hAnsi="Arial" w:cs="Arial"/>
        </w:rPr>
        <w:t>Macnag</w:t>
      </w:r>
      <w:r w:rsidR="003A372E" w:rsidRPr="00230449">
        <w:rPr>
          <w:rFonts w:ascii="Arial" w:hAnsi="Arial" w:cs="Arial"/>
        </w:rPr>
        <w:t>h</w:t>
      </w:r>
      <w:r w:rsidR="0073677E" w:rsidRPr="00230449">
        <w:rPr>
          <w:rFonts w:ascii="Arial" w:hAnsi="Arial" w:cs="Arial"/>
        </w:rPr>
        <w:t>ten’s</w:t>
      </w:r>
      <w:proofErr w:type="spellEnd"/>
      <w:r w:rsidR="0073677E" w:rsidRPr="00230449">
        <w:rPr>
          <w:rFonts w:ascii="Arial" w:hAnsi="Arial" w:cs="Arial"/>
        </w:rPr>
        <w:t xml:space="preserve"> mind sufficiently to cause him to ameliorate some of its effects on the unsecured creditor. On these instruments Lord </w:t>
      </w:r>
      <w:proofErr w:type="spellStart"/>
      <w:r w:rsidR="0073677E" w:rsidRPr="00230449">
        <w:rPr>
          <w:rFonts w:ascii="Arial" w:hAnsi="Arial" w:cs="Arial"/>
        </w:rPr>
        <w:t>Macnaghten</w:t>
      </w:r>
      <w:proofErr w:type="spellEnd"/>
      <w:r w:rsidR="0073677E" w:rsidRPr="00230449">
        <w:rPr>
          <w:rFonts w:ascii="Arial" w:hAnsi="Arial" w:cs="Arial"/>
        </w:rPr>
        <w:t xml:space="preserve"> went on to observe that, “a floating charge is too convenient a form of security to be lightly abolished.”</w:t>
      </w:r>
      <w:r w:rsidR="0073677E" w:rsidRPr="00230449">
        <w:rPr>
          <w:rStyle w:val="FootnoteReference"/>
          <w:rFonts w:ascii="Arial" w:hAnsi="Arial" w:cs="Arial"/>
        </w:rPr>
        <w:footnoteReference w:id="81"/>
      </w:r>
      <w:r w:rsidR="004C21F9" w:rsidRPr="00230449">
        <w:rPr>
          <w:rFonts w:ascii="Arial" w:hAnsi="Arial" w:cs="Arial"/>
        </w:rPr>
        <w:t xml:space="preserve"> Here we see the domi</w:t>
      </w:r>
      <w:r w:rsidR="001B0686" w:rsidRPr="00230449">
        <w:rPr>
          <w:rFonts w:ascii="Arial" w:hAnsi="Arial" w:cs="Arial"/>
        </w:rPr>
        <w:t xml:space="preserve">nance of secured creditors as an example of </w:t>
      </w:r>
      <w:r w:rsidR="003A372E" w:rsidRPr="00230449">
        <w:rPr>
          <w:rFonts w:ascii="Arial" w:hAnsi="Arial" w:cs="Arial"/>
        </w:rPr>
        <w:t>broad eternal recurrence</w:t>
      </w:r>
      <w:r w:rsidR="001B0686" w:rsidRPr="00230449">
        <w:rPr>
          <w:rFonts w:ascii="Arial" w:hAnsi="Arial" w:cs="Arial"/>
        </w:rPr>
        <w:t>.</w:t>
      </w:r>
      <w:r w:rsidR="001B0686" w:rsidRPr="00230449">
        <w:rPr>
          <w:rStyle w:val="FootnoteReference"/>
          <w:rFonts w:ascii="Arial" w:hAnsi="Arial"/>
        </w:rPr>
        <w:footnoteReference w:id="82"/>
      </w:r>
      <w:r w:rsidR="004C21F9" w:rsidRPr="00230449">
        <w:rPr>
          <w:rFonts w:ascii="Arial" w:hAnsi="Arial" w:cs="Arial"/>
        </w:rPr>
        <w:t xml:space="preserve"> </w:t>
      </w:r>
    </w:p>
    <w:p w:rsidR="004C21F9" w:rsidRPr="00230449" w:rsidRDefault="004C21F9" w:rsidP="008B1208">
      <w:pPr>
        <w:spacing w:line="360" w:lineRule="auto"/>
        <w:jc w:val="both"/>
        <w:rPr>
          <w:rFonts w:ascii="Arial" w:hAnsi="Arial" w:cs="Arial"/>
        </w:rPr>
      </w:pPr>
    </w:p>
    <w:p w:rsidR="00DE49E4" w:rsidRPr="00230449" w:rsidRDefault="004C21F9" w:rsidP="008B1208">
      <w:pPr>
        <w:spacing w:line="360" w:lineRule="auto"/>
        <w:jc w:val="both"/>
        <w:rPr>
          <w:rFonts w:ascii="Arial" w:hAnsi="Arial" w:cs="Arial"/>
        </w:rPr>
      </w:pPr>
      <w:r w:rsidRPr="00230449">
        <w:rPr>
          <w:rFonts w:ascii="Arial" w:hAnsi="Arial" w:cs="Arial"/>
        </w:rPr>
        <w:t>Eighty-</w:t>
      </w:r>
      <w:r w:rsidR="003A372E" w:rsidRPr="00230449">
        <w:rPr>
          <w:rFonts w:ascii="Arial" w:hAnsi="Arial" w:cs="Arial"/>
        </w:rPr>
        <w:t xml:space="preserve">five years after Lord </w:t>
      </w:r>
      <w:proofErr w:type="spellStart"/>
      <w:r w:rsidR="003A372E" w:rsidRPr="00230449">
        <w:rPr>
          <w:rFonts w:ascii="Arial" w:hAnsi="Arial" w:cs="Arial"/>
        </w:rPr>
        <w:t>Macnaghten’s</w:t>
      </w:r>
      <w:proofErr w:type="spellEnd"/>
      <w:r w:rsidR="003A372E" w:rsidRPr="00230449">
        <w:rPr>
          <w:rFonts w:ascii="Arial" w:hAnsi="Arial" w:cs="Arial"/>
        </w:rPr>
        <w:t xml:space="preserve"> opinion</w:t>
      </w:r>
      <w:r w:rsidRPr="00230449">
        <w:rPr>
          <w:rFonts w:ascii="Arial" w:hAnsi="Arial" w:cs="Arial"/>
        </w:rPr>
        <w:t xml:space="preserve"> th</w:t>
      </w:r>
      <w:r w:rsidR="0073677E" w:rsidRPr="00230449">
        <w:rPr>
          <w:rFonts w:ascii="Arial" w:hAnsi="Arial" w:cs="Arial"/>
        </w:rPr>
        <w:t>e Cork Committee</w:t>
      </w:r>
      <w:r w:rsidRPr="00230449">
        <w:rPr>
          <w:rFonts w:ascii="Arial" w:hAnsi="Arial" w:cs="Arial"/>
        </w:rPr>
        <w:t xml:space="preserve"> took a somewhat different view</w:t>
      </w:r>
      <w:r w:rsidR="0073677E" w:rsidRPr="00230449">
        <w:rPr>
          <w:rFonts w:ascii="Arial" w:hAnsi="Arial" w:cs="Arial"/>
        </w:rPr>
        <w:t xml:space="preserve"> </w:t>
      </w:r>
      <w:r w:rsidRPr="00230449">
        <w:rPr>
          <w:rFonts w:ascii="Arial" w:hAnsi="Arial" w:cs="Arial"/>
        </w:rPr>
        <w:t xml:space="preserve">about the benefits of the floating charge </w:t>
      </w:r>
      <w:r w:rsidR="0073677E" w:rsidRPr="00230449">
        <w:rPr>
          <w:rFonts w:ascii="Arial" w:hAnsi="Arial" w:cs="Arial"/>
        </w:rPr>
        <w:t xml:space="preserve">when they observed: </w:t>
      </w:r>
    </w:p>
    <w:p w:rsidR="00DE49E4" w:rsidRPr="00230449" w:rsidRDefault="00DE49E4" w:rsidP="008B1208">
      <w:pPr>
        <w:spacing w:line="360" w:lineRule="auto"/>
        <w:jc w:val="both"/>
        <w:rPr>
          <w:rFonts w:ascii="Arial" w:hAnsi="Arial" w:cs="Arial"/>
        </w:rPr>
      </w:pPr>
    </w:p>
    <w:p w:rsidR="00DE49E4" w:rsidRPr="00230449" w:rsidRDefault="0073677E" w:rsidP="00DE49E4">
      <w:pPr>
        <w:ind w:left="720"/>
        <w:jc w:val="both"/>
        <w:rPr>
          <w:rFonts w:ascii="Arial" w:hAnsi="Arial" w:cs="Arial"/>
          <w:i/>
          <w:sz w:val="22"/>
          <w:szCs w:val="22"/>
        </w:rPr>
      </w:pPr>
      <w:r w:rsidRPr="00230449">
        <w:rPr>
          <w:rFonts w:ascii="Arial" w:hAnsi="Arial" w:cs="Arial"/>
          <w:i/>
          <w:sz w:val="22"/>
          <w:szCs w:val="22"/>
        </w:rPr>
        <w:t>“The matter for wonder is that such a device should ever have been invented by a Court of Equity. It is not easy to discern on what principle of equity the holder of a floating charge should obtain security over goods for which his money has not paid, in priority to the claim of the unpaid supplier of the goods.”</w:t>
      </w:r>
      <w:r w:rsidRPr="00230449">
        <w:rPr>
          <w:rStyle w:val="FootnoteReference"/>
          <w:rFonts w:ascii="Arial" w:hAnsi="Arial" w:cs="Arial"/>
          <w:sz w:val="22"/>
          <w:szCs w:val="22"/>
        </w:rPr>
        <w:footnoteReference w:id="83"/>
      </w:r>
      <w:r w:rsidRPr="00230449">
        <w:rPr>
          <w:rFonts w:ascii="Arial" w:hAnsi="Arial" w:cs="Arial"/>
          <w:sz w:val="22"/>
          <w:szCs w:val="22"/>
        </w:rPr>
        <w:t xml:space="preserve"> </w:t>
      </w:r>
    </w:p>
    <w:p w:rsidR="00DE49E4" w:rsidRPr="00230449" w:rsidRDefault="00DE49E4" w:rsidP="008B1208">
      <w:pPr>
        <w:spacing w:line="360" w:lineRule="auto"/>
        <w:jc w:val="both"/>
        <w:rPr>
          <w:rFonts w:ascii="Arial" w:hAnsi="Arial" w:cs="Arial"/>
        </w:rPr>
      </w:pPr>
    </w:p>
    <w:p w:rsidR="0073677E" w:rsidRPr="00230449" w:rsidRDefault="003A372E" w:rsidP="008B1208">
      <w:pPr>
        <w:spacing w:line="360" w:lineRule="auto"/>
        <w:jc w:val="both"/>
        <w:rPr>
          <w:rFonts w:ascii="Arial" w:hAnsi="Arial" w:cs="Arial"/>
        </w:rPr>
      </w:pPr>
      <w:r w:rsidRPr="00230449">
        <w:rPr>
          <w:rFonts w:ascii="Arial" w:hAnsi="Arial" w:cs="Arial"/>
        </w:rPr>
        <w:t xml:space="preserve">This is a powerful insight, not least because it </w:t>
      </w:r>
      <w:r w:rsidR="005610DF" w:rsidRPr="00230449">
        <w:rPr>
          <w:rFonts w:ascii="Arial" w:hAnsi="Arial" w:cs="Arial"/>
        </w:rPr>
        <w:t>recognises an even broader thematic</w:t>
      </w:r>
      <w:r w:rsidRPr="00230449">
        <w:rPr>
          <w:rFonts w:ascii="Arial" w:hAnsi="Arial" w:cs="Arial"/>
        </w:rPr>
        <w:t xml:space="preserve"> influence</w:t>
      </w:r>
      <w:r w:rsidR="005610DF" w:rsidRPr="00230449">
        <w:rPr>
          <w:rFonts w:ascii="Arial" w:hAnsi="Arial" w:cs="Arial"/>
        </w:rPr>
        <w:t xml:space="preserve"> than broad eternal recurrence</w:t>
      </w:r>
      <w:r w:rsidRPr="00230449">
        <w:rPr>
          <w:rFonts w:ascii="Arial" w:hAnsi="Arial" w:cs="Arial"/>
        </w:rPr>
        <w:t xml:space="preserve">, namely, the approach </w:t>
      </w:r>
      <w:r w:rsidR="005610DF" w:rsidRPr="00230449">
        <w:rPr>
          <w:rFonts w:ascii="Arial" w:hAnsi="Arial" w:cs="Arial"/>
        </w:rPr>
        <w:t xml:space="preserve">of the Court of Equity </w:t>
      </w:r>
      <w:r w:rsidR="003E194C" w:rsidRPr="00230449">
        <w:rPr>
          <w:rFonts w:ascii="Arial" w:hAnsi="Arial" w:cs="Arial"/>
        </w:rPr>
        <w:t>in the</w:t>
      </w:r>
      <w:r w:rsidR="002813EF" w:rsidRPr="00230449">
        <w:rPr>
          <w:rFonts w:ascii="Arial" w:hAnsi="Arial" w:cs="Arial"/>
        </w:rPr>
        <w:t xml:space="preserve"> pre-Judicature Acts period.</w:t>
      </w:r>
      <w:r w:rsidR="00E6481F" w:rsidRPr="00230449">
        <w:rPr>
          <w:rFonts w:ascii="Arial" w:hAnsi="Arial" w:cs="Arial"/>
        </w:rPr>
        <w:t xml:space="preserve"> With the Court of Equity’s</w:t>
      </w:r>
      <w:r w:rsidR="005610DF" w:rsidRPr="00230449">
        <w:rPr>
          <w:rFonts w:ascii="Arial" w:hAnsi="Arial" w:cs="Arial"/>
        </w:rPr>
        <w:t xml:space="preserve"> unique development of a system of rules based on equitable maxims, unconscionability, </w:t>
      </w:r>
      <w:r w:rsidR="005610DF" w:rsidRPr="00230449">
        <w:rPr>
          <w:rFonts w:ascii="Arial" w:hAnsi="Arial" w:cs="Arial"/>
          <w:i/>
        </w:rPr>
        <w:t xml:space="preserve">in </w:t>
      </w:r>
      <w:proofErr w:type="spellStart"/>
      <w:r w:rsidR="005610DF" w:rsidRPr="00230449">
        <w:rPr>
          <w:rFonts w:ascii="Arial" w:hAnsi="Arial" w:cs="Arial"/>
          <w:i/>
        </w:rPr>
        <w:t>personam</w:t>
      </w:r>
      <w:proofErr w:type="spellEnd"/>
      <w:r w:rsidR="005610DF" w:rsidRPr="00230449">
        <w:rPr>
          <w:rFonts w:ascii="Arial" w:hAnsi="Arial" w:cs="Arial"/>
        </w:rPr>
        <w:t xml:space="preserve"> jurisdiction</w:t>
      </w:r>
      <w:r w:rsidR="00E6481F" w:rsidRPr="00230449">
        <w:rPr>
          <w:rFonts w:ascii="Arial" w:hAnsi="Arial" w:cs="Arial"/>
        </w:rPr>
        <w:t>, and</w:t>
      </w:r>
      <w:r w:rsidR="005610DF" w:rsidRPr="00230449">
        <w:rPr>
          <w:rFonts w:ascii="Arial" w:hAnsi="Arial" w:cs="Arial"/>
        </w:rPr>
        <w:t xml:space="preserve"> with its genesis in an effort to ameliorate the rigours of the common law</w:t>
      </w:r>
      <w:r w:rsidR="00E6481F" w:rsidRPr="00230449">
        <w:rPr>
          <w:rFonts w:ascii="Arial" w:hAnsi="Arial" w:cs="Arial"/>
        </w:rPr>
        <w:t>,</w:t>
      </w:r>
      <w:r w:rsidRPr="00230449">
        <w:rPr>
          <w:rStyle w:val="FootnoteReference"/>
          <w:rFonts w:ascii="Arial" w:hAnsi="Arial"/>
        </w:rPr>
        <w:footnoteReference w:id="84"/>
      </w:r>
      <w:r w:rsidR="002813EF" w:rsidRPr="00230449">
        <w:rPr>
          <w:rFonts w:ascii="Arial" w:hAnsi="Arial" w:cs="Arial"/>
        </w:rPr>
        <w:t xml:space="preserve"> </w:t>
      </w:r>
      <w:r w:rsidR="00E6481F" w:rsidRPr="00230449">
        <w:rPr>
          <w:rFonts w:ascii="Arial" w:hAnsi="Arial" w:cs="Arial"/>
        </w:rPr>
        <w:t xml:space="preserve">the Court of Equity </w:t>
      </w:r>
      <w:r w:rsidR="002813EF" w:rsidRPr="00230449">
        <w:rPr>
          <w:rFonts w:ascii="Arial" w:hAnsi="Arial" w:cs="Arial"/>
        </w:rPr>
        <w:t xml:space="preserve">seems to have introduced an instrument the effect of which </w:t>
      </w:r>
      <w:r w:rsidR="00E6481F" w:rsidRPr="00230449">
        <w:rPr>
          <w:rFonts w:ascii="Arial" w:hAnsi="Arial" w:cs="Arial"/>
        </w:rPr>
        <w:t>generates the</w:t>
      </w:r>
      <w:r w:rsidR="00BE5969" w:rsidRPr="00230449">
        <w:rPr>
          <w:rFonts w:ascii="Arial" w:hAnsi="Arial" w:cs="Arial"/>
        </w:rPr>
        <w:t xml:space="preserve"> very opposite of a fair outcome for all stakeholders in a corporate insolvency</w:t>
      </w:r>
      <w:r w:rsidR="00E6481F" w:rsidRPr="00230449">
        <w:rPr>
          <w:rFonts w:ascii="Arial" w:hAnsi="Arial" w:cs="Arial"/>
        </w:rPr>
        <w:t>.</w:t>
      </w:r>
    </w:p>
    <w:p w:rsidR="0073677E" w:rsidRPr="00230449" w:rsidRDefault="0073677E" w:rsidP="008B1208">
      <w:pPr>
        <w:spacing w:line="360" w:lineRule="auto"/>
        <w:jc w:val="both"/>
        <w:rPr>
          <w:rFonts w:ascii="Arial" w:hAnsi="Arial" w:cs="Arial"/>
        </w:rPr>
      </w:pPr>
    </w:p>
    <w:p w:rsidR="00AA43D9" w:rsidRPr="00230449" w:rsidRDefault="0073677E" w:rsidP="008B1208">
      <w:pPr>
        <w:spacing w:line="360" w:lineRule="auto"/>
        <w:jc w:val="both"/>
        <w:rPr>
          <w:rFonts w:ascii="Arial" w:hAnsi="Arial" w:cs="Arial"/>
        </w:rPr>
      </w:pPr>
      <w:r w:rsidRPr="00230449">
        <w:rPr>
          <w:rFonts w:ascii="Arial" w:hAnsi="Arial" w:cs="Arial"/>
        </w:rPr>
        <w:t>Kahn-Freu</w:t>
      </w:r>
      <w:r w:rsidR="004C21F9" w:rsidRPr="00230449">
        <w:rPr>
          <w:rFonts w:ascii="Arial" w:hAnsi="Arial" w:cs="Arial"/>
        </w:rPr>
        <w:t>nd</w:t>
      </w:r>
      <w:r w:rsidRPr="00230449">
        <w:rPr>
          <w:rFonts w:ascii="Arial" w:hAnsi="Arial" w:cs="Arial"/>
        </w:rPr>
        <w:t>’s 1944 defence of the interests of creditors took a slightly different and more global approach in that he focused on the consequences for creditors who dealt with limited liability companies. Nevertheless</w:t>
      </w:r>
      <w:r w:rsidR="000B1914" w:rsidRPr="00230449">
        <w:rPr>
          <w:rFonts w:ascii="Arial" w:hAnsi="Arial" w:cs="Arial"/>
        </w:rPr>
        <w:t>,</w:t>
      </w:r>
      <w:r w:rsidRPr="00230449">
        <w:rPr>
          <w:rFonts w:ascii="Arial" w:hAnsi="Arial" w:cs="Arial"/>
        </w:rPr>
        <w:t xml:space="preserve"> he was still able to show that creditors, and arguably unsecured creditors, could be defrauded and be “exposed to grave </w:t>
      </w:r>
      <w:r w:rsidRPr="00230449">
        <w:rPr>
          <w:rFonts w:ascii="Arial" w:hAnsi="Arial" w:cs="Arial"/>
        </w:rPr>
        <w:lastRenderedPageBreak/>
        <w:t>injury…”</w:t>
      </w:r>
      <w:r w:rsidRPr="00230449">
        <w:rPr>
          <w:rStyle w:val="FootnoteReference"/>
          <w:rFonts w:ascii="Arial" w:hAnsi="Arial" w:cs="Arial"/>
        </w:rPr>
        <w:footnoteReference w:id="85"/>
      </w:r>
      <w:r w:rsidRPr="00230449">
        <w:rPr>
          <w:rFonts w:ascii="Arial" w:hAnsi="Arial" w:cs="Arial"/>
        </w:rPr>
        <w:t xml:space="preserve"> Lord Walker ma</w:t>
      </w:r>
      <w:r w:rsidR="000B1914" w:rsidRPr="00230449">
        <w:rPr>
          <w:rFonts w:ascii="Arial" w:hAnsi="Arial" w:cs="Arial"/>
        </w:rPr>
        <w:t>de a similar point in his 2010</w:t>
      </w:r>
      <w:r w:rsidRPr="00230449">
        <w:rPr>
          <w:rFonts w:ascii="Arial" w:hAnsi="Arial" w:cs="Arial"/>
        </w:rPr>
        <w:t xml:space="preserve"> dissenting judgment in </w:t>
      </w:r>
      <w:r w:rsidRPr="00230449">
        <w:rPr>
          <w:rFonts w:ascii="Arial" w:hAnsi="Arial" w:cs="Arial"/>
          <w:i/>
        </w:rPr>
        <w:t>Holland v</w:t>
      </w:r>
      <w:r w:rsidR="00AA43D9" w:rsidRPr="00230449">
        <w:rPr>
          <w:rFonts w:ascii="Arial" w:hAnsi="Arial" w:cs="Arial"/>
          <w:i/>
        </w:rPr>
        <w:t>.</w:t>
      </w:r>
      <w:r w:rsidRPr="00230449">
        <w:rPr>
          <w:rFonts w:ascii="Arial" w:hAnsi="Arial" w:cs="Arial"/>
          <w:i/>
        </w:rPr>
        <w:t xml:space="preserve"> Revenue and Customs Commissioners and another</w:t>
      </w:r>
      <w:r w:rsidRPr="00230449">
        <w:rPr>
          <w:rStyle w:val="FootnoteReference"/>
          <w:rFonts w:ascii="Arial" w:hAnsi="Arial" w:cs="Arial"/>
        </w:rPr>
        <w:footnoteReference w:id="86"/>
      </w:r>
      <w:r w:rsidR="00AA43D9" w:rsidRPr="00230449">
        <w:rPr>
          <w:rFonts w:ascii="Arial" w:hAnsi="Arial" w:cs="Arial"/>
        </w:rPr>
        <w:t xml:space="preserve"> when he observed:</w:t>
      </w:r>
      <w:r w:rsidRPr="00230449">
        <w:rPr>
          <w:rFonts w:ascii="Arial" w:hAnsi="Arial" w:cs="Arial"/>
        </w:rPr>
        <w:t xml:space="preserve"> </w:t>
      </w:r>
    </w:p>
    <w:p w:rsidR="00AA43D9" w:rsidRPr="00230449" w:rsidRDefault="00AA43D9" w:rsidP="008B1208">
      <w:pPr>
        <w:spacing w:line="360" w:lineRule="auto"/>
        <w:jc w:val="both"/>
        <w:rPr>
          <w:rFonts w:ascii="Arial" w:hAnsi="Arial" w:cs="Arial"/>
        </w:rPr>
      </w:pPr>
    </w:p>
    <w:p w:rsidR="00AA43D9" w:rsidRPr="00230449" w:rsidRDefault="0073677E" w:rsidP="00AA43D9">
      <w:pPr>
        <w:ind w:left="720"/>
        <w:jc w:val="both"/>
        <w:rPr>
          <w:rFonts w:ascii="Arial" w:hAnsi="Arial" w:cs="Arial"/>
          <w:i/>
          <w:sz w:val="22"/>
          <w:szCs w:val="22"/>
        </w:rPr>
      </w:pPr>
      <w:r w:rsidRPr="00230449">
        <w:rPr>
          <w:rFonts w:ascii="Arial" w:hAnsi="Arial" w:cs="Arial"/>
          <w:i/>
          <w:sz w:val="22"/>
          <w:szCs w:val="22"/>
        </w:rPr>
        <w:t>“The court's decision will, I fear, make it easier for risk-averse individuals to use artificial corporate structures in order to insulate themselves against responsibility to an insolvent company's unsecured creditors.”</w:t>
      </w:r>
      <w:r w:rsidRPr="00230449">
        <w:rPr>
          <w:rStyle w:val="FootnoteReference"/>
          <w:rFonts w:ascii="Arial" w:hAnsi="Arial" w:cs="Arial"/>
          <w:i/>
          <w:sz w:val="22"/>
          <w:szCs w:val="22"/>
        </w:rPr>
        <w:footnoteReference w:id="87"/>
      </w:r>
      <w:r w:rsidRPr="00230449">
        <w:rPr>
          <w:rFonts w:ascii="Arial" w:hAnsi="Arial" w:cs="Arial"/>
          <w:i/>
          <w:sz w:val="22"/>
          <w:szCs w:val="22"/>
        </w:rPr>
        <w:t xml:space="preserve"> </w:t>
      </w:r>
    </w:p>
    <w:p w:rsidR="00845E67" w:rsidRPr="00230449" w:rsidRDefault="00845E67"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t xml:space="preserve">It could be argued </w:t>
      </w:r>
      <w:r w:rsidR="00D55120" w:rsidRPr="00230449">
        <w:rPr>
          <w:rFonts w:ascii="Arial" w:hAnsi="Arial" w:cs="Arial"/>
        </w:rPr>
        <w:t xml:space="preserve">that this limited liability </w:t>
      </w:r>
      <w:r w:rsidRPr="00230449">
        <w:rPr>
          <w:rFonts w:ascii="Arial" w:hAnsi="Arial" w:cs="Arial"/>
        </w:rPr>
        <w:t>critique</w:t>
      </w:r>
      <w:r w:rsidR="0064571B" w:rsidRPr="00230449">
        <w:rPr>
          <w:rFonts w:ascii="Arial" w:hAnsi="Arial" w:cs="Arial"/>
        </w:rPr>
        <w:t>,</w:t>
      </w:r>
      <w:r w:rsidRPr="00230449">
        <w:rPr>
          <w:rFonts w:ascii="Arial" w:hAnsi="Arial" w:cs="Arial"/>
        </w:rPr>
        <w:t xml:space="preserve"> and the sentiments that lay behind it</w:t>
      </w:r>
      <w:r w:rsidR="0064571B" w:rsidRPr="00230449">
        <w:rPr>
          <w:rFonts w:ascii="Arial" w:hAnsi="Arial" w:cs="Arial"/>
        </w:rPr>
        <w:t>,</w:t>
      </w:r>
      <w:r w:rsidRPr="00230449">
        <w:rPr>
          <w:rFonts w:ascii="Arial" w:hAnsi="Arial" w:cs="Arial"/>
        </w:rPr>
        <w:t xml:space="preserve"> has come to the fore again </w:t>
      </w:r>
      <w:r w:rsidR="0064571B" w:rsidRPr="00230449">
        <w:rPr>
          <w:rFonts w:ascii="Arial" w:hAnsi="Arial" w:cs="Arial"/>
        </w:rPr>
        <w:t xml:space="preserve">recently but </w:t>
      </w:r>
      <w:r w:rsidRPr="00230449">
        <w:rPr>
          <w:rFonts w:ascii="Arial" w:hAnsi="Arial" w:cs="Arial"/>
        </w:rPr>
        <w:t>not with general limited liability company use</w:t>
      </w:r>
      <w:r w:rsidR="0064571B" w:rsidRPr="00230449">
        <w:rPr>
          <w:rFonts w:ascii="Arial" w:hAnsi="Arial" w:cs="Arial"/>
        </w:rPr>
        <w:t>. Instead,</w:t>
      </w:r>
      <w:r w:rsidRPr="00230449">
        <w:rPr>
          <w:rFonts w:ascii="Arial" w:hAnsi="Arial" w:cs="Arial"/>
        </w:rPr>
        <w:t xml:space="preserve"> the use of pre-pack administrations</w:t>
      </w:r>
      <w:r w:rsidR="0064571B" w:rsidRPr="00230449">
        <w:rPr>
          <w:rFonts w:ascii="Arial" w:hAnsi="Arial" w:cs="Arial"/>
        </w:rPr>
        <w:t xml:space="preserve"> has caused difficulty. The effect this form of administration has</w:t>
      </w:r>
      <w:r w:rsidRPr="00230449">
        <w:rPr>
          <w:rFonts w:ascii="Arial" w:hAnsi="Arial" w:cs="Arial"/>
        </w:rPr>
        <w:t xml:space="preserve"> on the interests of unsecured creditors</w:t>
      </w:r>
      <w:r w:rsidR="0064571B" w:rsidRPr="00230449">
        <w:rPr>
          <w:rFonts w:ascii="Arial" w:hAnsi="Arial" w:cs="Arial"/>
        </w:rPr>
        <w:t xml:space="preserve"> is problematic</w:t>
      </w:r>
      <w:r w:rsidRPr="00230449">
        <w:rPr>
          <w:rFonts w:ascii="Arial" w:hAnsi="Arial" w:cs="Arial"/>
        </w:rPr>
        <w:t>.</w:t>
      </w:r>
      <w:r w:rsidRPr="00230449">
        <w:rPr>
          <w:rStyle w:val="FootnoteReference"/>
          <w:rFonts w:ascii="Arial" w:hAnsi="Arial" w:cs="Arial"/>
        </w:rPr>
        <w:footnoteReference w:id="88"/>
      </w:r>
      <w:r w:rsidRPr="00230449">
        <w:rPr>
          <w:rFonts w:ascii="Arial" w:hAnsi="Arial" w:cs="Arial"/>
        </w:rPr>
        <w:t xml:space="preserve"> As Finch has noted pre-pack administrations present a, “</w:t>
      </w:r>
      <w:r w:rsidRPr="00230449">
        <w:rPr>
          <w:rFonts w:ascii="Arial" w:hAnsi="Arial" w:cs="Arial"/>
          <w:i/>
        </w:rPr>
        <w:t xml:space="preserve">fait </w:t>
      </w:r>
      <w:proofErr w:type="spellStart"/>
      <w:r w:rsidRPr="00230449">
        <w:rPr>
          <w:rFonts w:ascii="Arial" w:hAnsi="Arial" w:cs="Arial"/>
          <w:i/>
        </w:rPr>
        <w:t>acompli</w:t>
      </w:r>
      <w:proofErr w:type="spellEnd"/>
      <w:r w:rsidRPr="00230449">
        <w:rPr>
          <w:rFonts w:ascii="Arial" w:hAnsi="Arial" w:cs="Arial"/>
        </w:rPr>
        <w:t xml:space="preserve"> which tends to ride roughshod over the procedural and substantive interests of less powerful creditors.”</w:t>
      </w:r>
      <w:r w:rsidRPr="00230449">
        <w:rPr>
          <w:rStyle w:val="FootnoteReference"/>
          <w:rFonts w:ascii="Arial" w:hAnsi="Arial" w:cs="Arial"/>
        </w:rPr>
        <w:footnoteReference w:id="89"/>
      </w:r>
      <w:r w:rsidRPr="00230449">
        <w:rPr>
          <w:rFonts w:ascii="Arial" w:hAnsi="Arial" w:cs="Arial"/>
        </w:rPr>
        <w:t xml:space="preserve"> This procedure represents another example of unsecur</w:t>
      </w:r>
      <w:r w:rsidR="00845E67" w:rsidRPr="00230449">
        <w:rPr>
          <w:rFonts w:ascii="Arial" w:hAnsi="Arial" w:cs="Arial"/>
        </w:rPr>
        <w:t xml:space="preserve">ed creditor disenfranchisement and our latest example of broad </w:t>
      </w:r>
      <w:r w:rsidR="00035E21" w:rsidRPr="00230449">
        <w:rPr>
          <w:rFonts w:ascii="Arial" w:hAnsi="Arial" w:cs="Arial"/>
        </w:rPr>
        <w:t xml:space="preserve">Eternal Recurrence </w:t>
      </w:r>
      <w:r w:rsidR="00845E67" w:rsidRPr="00230449">
        <w:rPr>
          <w:rFonts w:ascii="Arial" w:hAnsi="Arial" w:cs="Arial"/>
        </w:rPr>
        <w:t>in the context of unsecured creditors. The same arguments on priority and affect are being played out again</w:t>
      </w:r>
      <w:r w:rsidR="00DA30EF" w:rsidRPr="00230449">
        <w:rPr>
          <w:rFonts w:ascii="Arial" w:hAnsi="Arial" w:cs="Arial"/>
        </w:rPr>
        <w:t xml:space="preserve"> and again</w:t>
      </w:r>
      <w:r w:rsidR="00845E67" w:rsidRPr="00230449">
        <w:rPr>
          <w:rFonts w:ascii="Arial" w:hAnsi="Arial" w:cs="Arial"/>
        </w:rPr>
        <w:t xml:space="preserve">, </w:t>
      </w:r>
      <w:r w:rsidR="00DA30EF" w:rsidRPr="00230449">
        <w:rPr>
          <w:rFonts w:ascii="Arial" w:hAnsi="Arial" w:cs="Arial"/>
        </w:rPr>
        <w:t xml:space="preserve">with the latest iteration being in the </w:t>
      </w:r>
      <w:r w:rsidR="00845E67" w:rsidRPr="00230449">
        <w:rPr>
          <w:rFonts w:ascii="Arial" w:hAnsi="Arial" w:cs="Arial"/>
        </w:rPr>
        <w:t xml:space="preserve">context of pre-pack administrations. </w:t>
      </w: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t>The floating charge was not the only late 19</w:t>
      </w:r>
      <w:r w:rsidRPr="00230449">
        <w:rPr>
          <w:rFonts w:ascii="Arial" w:hAnsi="Arial" w:cs="Arial"/>
          <w:vertAlign w:val="superscript"/>
        </w:rPr>
        <w:t>th</w:t>
      </w:r>
      <w:r w:rsidRPr="00230449">
        <w:rPr>
          <w:rFonts w:ascii="Arial" w:hAnsi="Arial" w:cs="Arial"/>
        </w:rPr>
        <w:t xml:space="preserve"> century incursion</w:t>
      </w:r>
      <w:r w:rsidR="00845E67" w:rsidRPr="00230449">
        <w:rPr>
          <w:rFonts w:ascii="Arial" w:hAnsi="Arial" w:cs="Arial"/>
        </w:rPr>
        <w:t xml:space="preserve"> into the interests of the general body of creditors</w:t>
      </w:r>
      <w:r w:rsidRPr="00230449">
        <w:rPr>
          <w:rFonts w:ascii="Arial" w:hAnsi="Arial" w:cs="Arial"/>
        </w:rPr>
        <w:t xml:space="preserve">. The </w:t>
      </w:r>
      <w:r w:rsidRPr="00230449">
        <w:rPr>
          <w:rFonts w:ascii="Arial" w:hAnsi="Arial" w:cs="Arial"/>
          <w:i/>
        </w:rPr>
        <w:t xml:space="preserve">Preferential Payments in Bankruptcy Act 1888 </w:t>
      </w:r>
      <w:r w:rsidRPr="00230449">
        <w:rPr>
          <w:rFonts w:ascii="Arial" w:hAnsi="Arial" w:cs="Arial"/>
        </w:rPr>
        <w:t>saw the introduction of</w:t>
      </w:r>
      <w:r w:rsidR="004B3B57" w:rsidRPr="00230449">
        <w:rPr>
          <w:rFonts w:ascii="Arial" w:hAnsi="Arial" w:cs="Arial"/>
        </w:rPr>
        <w:t xml:space="preserve"> a further set of measures that</w:t>
      </w:r>
      <w:r w:rsidRPr="00230449">
        <w:rPr>
          <w:rFonts w:ascii="Arial" w:hAnsi="Arial" w:cs="Arial"/>
        </w:rPr>
        <w:t xml:space="preserve"> made inroads into the distributable pool.</w:t>
      </w:r>
      <w:r w:rsidRPr="00230449">
        <w:rPr>
          <w:rStyle w:val="FootnoteReference"/>
          <w:rFonts w:ascii="Arial" w:hAnsi="Arial" w:cs="Arial"/>
        </w:rPr>
        <w:footnoteReference w:id="90"/>
      </w:r>
    </w:p>
    <w:p w:rsidR="0073677E" w:rsidRPr="00230449" w:rsidRDefault="0073677E" w:rsidP="008B1208">
      <w:pPr>
        <w:spacing w:line="360" w:lineRule="auto"/>
        <w:jc w:val="both"/>
        <w:rPr>
          <w:rFonts w:ascii="Arial" w:hAnsi="Arial" w:cs="Arial"/>
        </w:rPr>
      </w:pPr>
    </w:p>
    <w:p w:rsidR="0077465D" w:rsidRPr="00230449" w:rsidRDefault="0073677E" w:rsidP="008B1208">
      <w:pPr>
        <w:spacing w:line="360" w:lineRule="auto"/>
        <w:jc w:val="both"/>
        <w:rPr>
          <w:rFonts w:ascii="Arial" w:hAnsi="Arial" w:cs="Arial"/>
        </w:rPr>
      </w:pPr>
      <w:r w:rsidRPr="00230449">
        <w:rPr>
          <w:rFonts w:ascii="Arial" w:hAnsi="Arial" w:cs="Arial"/>
        </w:rPr>
        <w:t xml:space="preserve">The unsecured creditor came in for mixed treatment in the 1970s. On the one hand </w:t>
      </w:r>
      <w:r w:rsidR="0038278C" w:rsidRPr="00230449">
        <w:rPr>
          <w:rFonts w:ascii="Arial" w:hAnsi="Arial" w:cs="Arial"/>
        </w:rPr>
        <w:t>they</w:t>
      </w:r>
      <w:r w:rsidRPr="00230449">
        <w:rPr>
          <w:rFonts w:ascii="Arial" w:hAnsi="Arial" w:cs="Arial"/>
        </w:rPr>
        <w:t xml:space="preserve"> suffered the multiple blows of the </w:t>
      </w:r>
      <w:proofErr w:type="spellStart"/>
      <w:r w:rsidRPr="00230449">
        <w:rPr>
          <w:rFonts w:ascii="Arial" w:hAnsi="Arial" w:cs="Arial"/>
          <w:i/>
        </w:rPr>
        <w:t>Romalpa</w:t>
      </w:r>
      <w:proofErr w:type="spellEnd"/>
      <w:r w:rsidRPr="00230449">
        <w:rPr>
          <w:rFonts w:ascii="Arial" w:hAnsi="Arial" w:cs="Arial"/>
        </w:rPr>
        <w:t xml:space="preserve"> clause</w:t>
      </w:r>
      <w:r w:rsidRPr="00230449">
        <w:rPr>
          <w:rStyle w:val="FootnoteReference"/>
          <w:rFonts w:ascii="Arial" w:hAnsi="Arial" w:cs="Arial"/>
        </w:rPr>
        <w:footnoteReference w:id="91"/>
      </w:r>
      <w:r w:rsidRPr="00230449">
        <w:rPr>
          <w:rFonts w:ascii="Arial" w:hAnsi="Arial" w:cs="Arial"/>
        </w:rPr>
        <w:t xml:space="preserve"> and the cunning deployment of trust instruments.</w:t>
      </w:r>
      <w:r w:rsidRPr="00230449">
        <w:rPr>
          <w:rStyle w:val="FootnoteReference"/>
          <w:rFonts w:ascii="Arial" w:hAnsi="Arial" w:cs="Arial"/>
        </w:rPr>
        <w:footnoteReference w:id="92"/>
      </w:r>
      <w:r w:rsidRPr="00230449">
        <w:rPr>
          <w:rFonts w:ascii="Arial" w:hAnsi="Arial" w:cs="Arial"/>
        </w:rPr>
        <w:t xml:space="preserve"> On the positive side the Cork Co</w:t>
      </w:r>
      <w:r w:rsidR="0038278C" w:rsidRPr="00230449">
        <w:rPr>
          <w:rFonts w:ascii="Arial" w:hAnsi="Arial" w:cs="Arial"/>
        </w:rPr>
        <w:t xml:space="preserve">mmittee attempted to come to </w:t>
      </w:r>
      <w:r w:rsidR="0038278C" w:rsidRPr="00230449">
        <w:rPr>
          <w:rFonts w:ascii="Arial" w:hAnsi="Arial" w:cs="Arial"/>
        </w:rPr>
        <w:lastRenderedPageBreak/>
        <w:t>their</w:t>
      </w:r>
      <w:r w:rsidRPr="00230449">
        <w:rPr>
          <w:rFonts w:ascii="Arial" w:hAnsi="Arial" w:cs="Arial"/>
        </w:rPr>
        <w:t xml:space="preserve"> aid with sympathetic rhetoric but also with some pr</w:t>
      </w:r>
      <w:r w:rsidR="0038278C" w:rsidRPr="00230449">
        <w:rPr>
          <w:rFonts w:ascii="Arial" w:hAnsi="Arial" w:cs="Arial"/>
        </w:rPr>
        <w:t>actical measures to increase their</w:t>
      </w:r>
      <w:r w:rsidRPr="00230449">
        <w:rPr>
          <w:rFonts w:ascii="Arial" w:hAnsi="Arial" w:cs="Arial"/>
        </w:rPr>
        <w:t xml:space="preserve"> participation, monetarily and procedurally, in the corporate insolvency p</w:t>
      </w:r>
      <w:r w:rsidR="0077465D" w:rsidRPr="00230449">
        <w:rPr>
          <w:rFonts w:ascii="Arial" w:hAnsi="Arial" w:cs="Arial"/>
        </w:rPr>
        <w:t>rocess</w:t>
      </w:r>
      <w:r w:rsidRPr="00230449">
        <w:rPr>
          <w:rFonts w:ascii="Arial" w:hAnsi="Arial" w:cs="Arial"/>
        </w:rPr>
        <w:t xml:space="preserve">. </w:t>
      </w:r>
    </w:p>
    <w:p w:rsidR="0077465D" w:rsidRPr="00230449" w:rsidRDefault="0077465D"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t xml:space="preserve">In </w:t>
      </w:r>
      <w:r w:rsidRPr="00230449">
        <w:rPr>
          <w:rFonts w:ascii="Arial" w:hAnsi="Arial" w:cs="Arial"/>
          <w:i/>
        </w:rPr>
        <w:t>Borden v. Scottish Timber Products</w:t>
      </w:r>
      <w:r w:rsidRPr="00230449">
        <w:rPr>
          <w:rStyle w:val="FootnoteReference"/>
          <w:rFonts w:ascii="Arial" w:hAnsi="Arial" w:cs="Arial"/>
        </w:rPr>
        <w:footnoteReference w:id="93"/>
      </w:r>
      <w:r w:rsidRPr="00230449">
        <w:rPr>
          <w:rFonts w:ascii="Arial" w:hAnsi="Arial" w:cs="Arial"/>
        </w:rPr>
        <w:t xml:space="preserve"> Templeman, LJ set the disgruntled tone when he lamented that </w:t>
      </w:r>
      <w:r w:rsidRPr="00230449">
        <w:rPr>
          <w:rFonts w:ascii="Arial" w:hAnsi="Arial" w:cs="Arial"/>
          <w:i/>
        </w:rPr>
        <w:t>“Unsecured creditors rank after preferential creditors, mortgagees and the holders of floating charges and they receive a raw deal.”</w:t>
      </w:r>
      <w:r w:rsidRPr="00230449">
        <w:rPr>
          <w:rStyle w:val="FootnoteReference"/>
          <w:rFonts w:ascii="Arial" w:hAnsi="Arial" w:cs="Arial"/>
        </w:rPr>
        <w:t xml:space="preserve"> </w:t>
      </w:r>
      <w:r w:rsidRPr="00230449">
        <w:rPr>
          <w:rStyle w:val="FootnoteReference"/>
          <w:rFonts w:ascii="Arial" w:hAnsi="Arial" w:cs="Arial"/>
        </w:rPr>
        <w:footnoteReference w:id="94"/>
      </w:r>
      <w:r w:rsidRPr="00230449">
        <w:rPr>
          <w:rFonts w:ascii="Arial" w:hAnsi="Arial" w:cs="Arial"/>
        </w:rPr>
        <w:t xml:space="preserve"> This theme was picked up by the Cork Committee</w:t>
      </w:r>
      <w:r w:rsidRPr="00230449">
        <w:rPr>
          <w:rStyle w:val="FootnoteReference"/>
          <w:rFonts w:ascii="Arial" w:hAnsi="Arial" w:cs="Arial"/>
        </w:rPr>
        <w:footnoteReference w:id="95"/>
      </w:r>
      <w:r w:rsidRPr="00230449">
        <w:rPr>
          <w:rFonts w:ascii="Arial" w:hAnsi="Arial" w:cs="Arial"/>
        </w:rPr>
        <w:t xml:space="preserve"> who when they examined the pli</w:t>
      </w:r>
      <w:r w:rsidR="004C7B4C" w:rsidRPr="00230449">
        <w:rPr>
          <w:rFonts w:ascii="Arial" w:hAnsi="Arial" w:cs="Arial"/>
        </w:rPr>
        <w:t>ght of the unsecured creditor</w:t>
      </w:r>
      <w:r w:rsidR="00820E1D" w:rsidRPr="00230449">
        <w:rPr>
          <w:rFonts w:ascii="Arial" w:hAnsi="Arial" w:cs="Arial"/>
        </w:rPr>
        <w:t>,</w:t>
      </w:r>
      <w:r w:rsidRPr="00230449">
        <w:rPr>
          <w:rFonts w:ascii="Arial" w:hAnsi="Arial" w:cs="Arial"/>
        </w:rPr>
        <w:t xml:space="preserve"> found much to regret. There are multiple references throughout the 1982 paragraphs of the report on both the unsatisfactory nature of the </w:t>
      </w:r>
      <w:proofErr w:type="spellStart"/>
      <w:r w:rsidR="00D56CE8" w:rsidRPr="00230449">
        <w:rPr>
          <w:rFonts w:ascii="Arial" w:hAnsi="Arial" w:cs="Arial"/>
        </w:rPr>
        <w:t>unsecureds</w:t>
      </w:r>
      <w:proofErr w:type="spellEnd"/>
      <w:r w:rsidRPr="00230449">
        <w:rPr>
          <w:rFonts w:ascii="Arial" w:hAnsi="Arial" w:cs="Arial"/>
        </w:rPr>
        <w:t xml:space="preserve">’ position, but also in relation to creditors’ failure to get involved in the process. This perhaps highlights an important issue which also comes across in the </w:t>
      </w:r>
      <w:r w:rsidRPr="00230449">
        <w:rPr>
          <w:rFonts w:ascii="Arial" w:hAnsi="Arial" w:cs="Arial"/>
          <w:i/>
        </w:rPr>
        <w:t>IS Consultation</w:t>
      </w:r>
      <w:r w:rsidRPr="00230449">
        <w:rPr>
          <w:rFonts w:ascii="Arial" w:hAnsi="Arial" w:cs="Arial"/>
        </w:rPr>
        <w:t xml:space="preserve">, i.e. mechanisms exist to involve creditors but they are not used. </w:t>
      </w:r>
    </w:p>
    <w:p w:rsidR="0073677E" w:rsidRPr="00230449" w:rsidRDefault="0073677E" w:rsidP="008B1208">
      <w:pPr>
        <w:spacing w:line="360" w:lineRule="auto"/>
        <w:jc w:val="both"/>
        <w:rPr>
          <w:rFonts w:ascii="Arial" w:hAnsi="Arial" w:cs="Arial"/>
        </w:rPr>
      </w:pPr>
    </w:p>
    <w:p w:rsidR="0073677E" w:rsidRPr="00230449" w:rsidRDefault="0053123A" w:rsidP="008B1208">
      <w:pPr>
        <w:spacing w:line="360" w:lineRule="auto"/>
        <w:jc w:val="both"/>
        <w:rPr>
          <w:rFonts w:ascii="Arial" w:hAnsi="Arial" w:cs="Arial"/>
        </w:rPr>
      </w:pPr>
      <w:r w:rsidRPr="00230449">
        <w:rPr>
          <w:rFonts w:ascii="Arial" w:hAnsi="Arial" w:cs="Arial"/>
        </w:rPr>
        <w:t xml:space="preserve">As </w:t>
      </w:r>
      <w:proofErr w:type="spellStart"/>
      <w:r w:rsidRPr="00230449">
        <w:rPr>
          <w:rFonts w:ascii="Arial" w:hAnsi="Arial" w:cs="Arial"/>
        </w:rPr>
        <w:t>Milman</w:t>
      </w:r>
      <w:proofErr w:type="spellEnd"/>
      <w:r w:rsidRPr="00230449">
        <w:rPr>
          <w:rFonts w:ascii="Arial" w:hAnsi="Arial" w:cs="Arial"/>
        </w:rPr>
        <w:t xml:space="preserve"> </w:t>
      </w:r>
      <w:r w:rsidR="000A667B" w:rsidRPr="00230449">
        <w:rPr>
          <w:rFonts w:ascii="Arial" w:hAnsi="Arial" w:cs="Arial"/>
        </w:rPr>
        <w:t>argues</w:t>
      </w:r>
      <w:r w:rsidR="0073677E" w:rsidRPr="00230449">
        <w:rPr>
          <w:rFonts w:ascii="Arial" w:hAnsi="Arial" w:cs="Arial"/>
        </w:rPr>
        <w:t xml:space="preserve"> the </w:t>
      </w:r>
      <w:r w:rsidR="0038278C" w:rsidRPr="00230449">
        <w:rPr>
          <w:rFonts w:ascii="Arial" w:hAnsi="Arial" w:cs="Arial"/>
        </w:rPr>
        <w:t xml:space="preserve">Cork </w:t>
      </w:r>
      <w:r w:rsidR="0073677E" w:rsidRPr="00230449">
        <w:rPr>
          <w:rFonts w:ascii="Arial" w:hAnsi="Arial" w:cs="Arial"/>
        </w:rPr>
        <w:t xml:space="preserve">Committee’s dissatisfaction with the plight of the unsecured creditor did not however cause them to look more closely at the global effect of what were then two relatively new devices, namely, </w:t>
      </w:r>
      <w:r w:rsidR="000A3A6A" w:rsidRPr="00230449">
        <w:rPr>
          <w:rFonts w:ascii="Arial" w:hAnsi="Arial" w:cs="Arial"/>
        </w:rPr>
        <w:t>retention of title (</w:t>
      </w:r>
      <w:proofErr w:type="spellStart"/>
      <w:r w:rsidR="0073677E" w:rsidRPr="00230449">
        <w:rPr>
          <w:rFonts w:ascii="Arial" w:hAnsi="Arial" w:cs="Arial"/>
        </w:rPr>
        <w:t>Romalpa</w:t>
      </w:r>
      <w:proofErr w:type="spellEnd"/>
      <w:r w:rsidR="000A3A6A" w:rsidRPr="00230449">
        <w:rPr>
          <w:rFonts w:ascii="Arial" w:hAnsi="Arial" w:cs="Arial"/>
        </w:rPr>
        <w:t>)</w:t>
      </w:r>
      <w:r w:rsidR="0073677E" w:rsidRPr="00230449">
        <w:rPr>
          <w:rFonts w:ascii="Arial" w:hAnsi="Arial" w:cs="Arial"/>
        </w:rPr>
        <w:t xml:space="preserve"> clauses or the u</w:t>
      </w:r>
      <w:r w:rsidR="00D56CE8" w:rsidRPr="00230449">
        <w:rPr>
          <w:rFonts w:ascii="Arial" w:hAnsi="Arial" w:cs="Arial"/>
        </w:rPr>
        <w:t>se effect of trusts on the make-</w:t>
      </w:r>
      <w:r w:rsidR="0073677E" w:rsidRPr="00230449">
        <w:rPr>
          <w:rFonts w:ascii="Arial" w:hAnsi="Arial" w:cs="Arial"/>
        </w:rPr>
        <w:t>up of the insolvent estate.</w:t>
      </w:r>
      <w:r w:rsidR="0038278C" w:rsidRPr="00230449">
        <w:rPr>
          <w:rFonts w:ascii="Arial" w:hAnsi="Arial" w:cs="Arial"/>
        </w:rPr>
        <w:t xml:space="preserve"> </w:t>
      </w:r>
      <w:proofErr w:type="spellStart"/>
      <w:r w:rsidR="0038278C" w:rsidRPr="00230449">
        <w:rPr>
          <w:rFonts w:ascii="Arial" w:hAnsi="Arial" w:cs="Arial"/>
        </w:rPr>
        <w:t>Milman</w:t>
      </w:r>
      <w:proofErr w:type="spellEnd"/>
      <w:r w:rsidR="0038278C" w:rsidRPr="00230449">
        <w:rPr>
          <w:rFonts w:ascii="Arial" w:hAnsi="Arial" w:cs="Arial"/>
        </w:rPr>
        <w:t xml:space="preserve"> </w:t>
      </w:r>
      <w:r w:rsidR="0073677E" w:rsidRPr="00230449">
        <w:rPr>
          <w:rFonts w:ascii="Arial" w:hAnsi="Arial" w:cs="Arial"/>
        </w:rPr>
        <w:t>lamented that, “these developments did offer an escape for a privileged few from the misery felt by most unsecured creditors, they merely exacerbated the plight of the remainder of the other unsecured creditors by removing from their grasp even more items from the pool of realisable assets.”</w:t>
      </w:r>
      <w:r w:rsidR="0073677E" w:rsidRPr="00230449">
        <w:rPr>
          <w:rStyle w:val="FootnoteReference"/>
          <w:rFonts w:ascii="Arial" w:hAnsi="Arial" w:cs="Arial"/>
        </w:rPr>
        <w:footnoteReference w:id="96"/>
      </w: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t xml:space="preserve">Nevertheless the </w:t>
      </w:r>
      <w:r w:rsidR="00C10F84" w:rsidRPr="00230449">
        <w:rPr>
          <w:rFonts w:ascii="Arial" w:hAnsi="Arial" w:cs="Arial"/>
        </w:rPr>
        <w:t xml:space="preserve">Cork </w:t>
      </w:r>
      <w:r w:rsidRPr="00230449">
        <w:rPr>
          <w:rFonts w:ascii="Arial" w:hAnsi="Arial" w:cs="Arial"/>
        </w:rPr>
        <w:t>Committee did propose the 10% fund.</w:t>
      </w:r>
      <w:r w:rsidRPr="00230449">
        <w:rPr>
          <w:rStyle w:val="FootnoteReference"/>
          <w:rFonts w:ascii="Arial" w:hAnsi="Arial" w:cs="Arial"/>
        </w:rPr>
        <w:footnoteReference w:id="97"/>
      </w:r>
      <w:r w:rsidRPr="00230449">
        <w:rPr>
          <w:rFonts w:ascii="Arial" w:hAnsi="Arial" w:cs="Arial"/>
        </w:rPr>
        <w:t xml:space="preserve"> This mechanism would </w:t>
      </w:r>
      <w:r w:rsidR="005E19B1" w:rsidRPr="00230449">
        <w:rPr>
          <w:rFonts w:ascii="Arial" w:hAnsi="Arial" w:cs="Arial"/>
        </w:rPr>
        <w:t xml:space="preserve">have </w:t>
      </w:r>
      <w:r w:rsidRPr="00230449">
        <w:rPr>
          <w:rFonts w:ascii="Arial" w:hAnsi="Arial" w:cs="Arial"/>
        </w:rPr>
        <w:t>directly benefit</w:t>
      </w:r>
      <w:r w:rsidR="005E19B1" w:rsidRPr="00230449">
        <w:rPr>
          <w:rFonts w:ascii="Arial" w:hAnsi="Arial" w:cs="Arial"/>
        </w:rPr>
        <w:t>ed</w:t>
      </w:r>
      <w:r w:rsidRPr="00230449">
        <w:rPr>
          <w:rFonts w:ascii="Arial" w:hAnsi="Arial" w:cs="Arial"/>
        </w:rPr>
        <w:t xml:space="preserve"> unsecured creditors as it allowed a receiver to allocate 10% of the proceeds of realisation for their benefit. This proposal was not taken up</w:t>
      </w:r>
      <w:r w:rsidR="00C10F84" w:rsidRPr="00230449">
        <w:rPr>
          <w:rFonts w:ascii="Arial" w:hAnsi="Arial" w:cs="Arial"/>
        </w:rPr>
        <w:t xml:space="preserve"> in the mid-1980s programme of legislative reform. It had to wait</w:t>
      </w:r>
      <w:r w:rsidRPr="00230449">
        <w:rPr>
          <w:rFonts w:ascii="Arial" w:hAnsi="Arial" w:cs="Arial"/>
        </w:rPr>
        <w:t>. It was</w:t>
      </w:r>
      <w:r w:rsidR="00C10F84" w:rsidRPr="00230449">
        <w:rPr>
          <w:rFonts w:ascii="Arial" w:hAnsi="Arial" w:cs="Arial"/>
        </w:rPr>
        <w:t xml:space="preserve"> not</w:t>
      </w:r>
      <w:r w:rsidRPr="00230449">
        <w:rPr>
          <w:rFonts w:ascii="Arial" w:hAnsi="Arial" w:cs="Arial"/>
        </w:rPr>
        <w:t xml:space="preserve"> until the enactment of s.176A of the Insolvency Act 1986, following the Enterpris</w:t>
      </w:r>
      <w:r w:rsidR="000A667B" w:rsidRPr="00230449">
        <w:rPr>
          <w:rFonts w:ascii="Arial" w:hAnsi="Arial" w:cs="Arial"/>
        </w:rPr>
        <w:t>e Act 2002 reforms that the “pre</w:t>
      </w:r>
      <w:r w:rsidRPr="00230449">
        <w:rPr>
          <w:rFonts w:ascii="Arial" w:hAnsi="Arial" w:cs="Arial"/>
        </w:rPr>
        <w:t xml:space="preserve">scribed part”, a version of the 10% fund promulgated by the Cork committee, was created. Section 176A states that a liquidator, administrator or receiver shall make a </w:t>
      </w:r>
      <w:r w:rsidRPr="00230449">
        <w:rPr>
          <w:rFonts w:ascii="Arial" w:hAnsi="Arial" w:cs="Arial"/>
        </w:rPr>
        <w:lastRenderedPageBreak/>
        <w:t>prescribed part of the company’s net property available for the satisfaction of unsecured debts, and shall not distribute that part to the proprietor of a floating charge except in so far as it exceeds the amount required for the satisfaction of unsecured debts. This enactment received fierce opposition from the banks</w:t>
      </w:r>
      <w:r w:rsidR="00D56CE8" w:rsidRPr="00230449">
        <w:rPr>
          <w:rFonts w:ascii="Arial" w:hAnsi="Arial" w:cs="Arial"/>
        </w:rPr>
        <w:t xml:space="preserve"> who suggested that they would be forced to r</w:t>
      </w:r>
      <w:r w:rsidRPr="00230449">
        <w:rPr>
          <w:rFonts w:ascii="Arial" w:hAnsi="Arial" w:cs="Arial"/>
        </w:rPr>
        <w:t>aise interest rates</w:t>
      </w:r>
      <w:r w:rsidR="00D56CE8" w:rsidRPr="00230449">
        <w:rPr>
          <w:rFonts w:ascii="Arial" w:hAnsi="Arial" w:cs="Arial"/>
        </w:rPr>
        <w:t xml:space="preserve"> and that they would r</w:t>
      </w:r>
      <w:r w:rsidRPr="00230449">
        <w:rPr>
          <w:rFonts w:ascii="Arial" w:hAnsi="Arial" w:cs="Arial"/>
        </w:rPr>
        <w:t>efuse to lend to riskier businesses</w:t>
      </w:r>
      <w:r w:rsidR="00D56CE8" w:rsidRPr="00230449">
        <w:rPr>
          <w:rFonts w:ascii="Arial" w:hAnsi="Arial" w:cs="Arial"/>
        </w:rPr>
        <w:t>.</w:t>
      </w: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t>The provision may not be particularly useful i</w:t>
      </w:r>
      <w:r w:rsidR="00DF0FF5" w:rsidRPr="00230449">
        <w:rPr>
          <w:rFonts w:ascii="Arial" w:hAnsi="Arial" w:cs="Arial"/>
        </w:rPr>
        <w:t>n practice</w:t>
      </w:r>
      <w:r w:rsidR="003C216F" w:rsidRPr="00230449">
        <w:rPr>
          <w:rStyle w:val="FootnoteReference"/>
          <w:rFonts w:ascii="Arial" w:hAnsi="Arial"/>
        </w:rPr>
        <w:footnoteReference w:id="98"/>
      </w:r>
      <w:r w:rsidR="00DF0FF5" w:rsidRPr="00230449">
        <w:rPr>
          <w:rFonts w:ascii="Arial" w:hAnsi="Arial" w:cs="Arial"/>
        </w:rPr>
        <w:t xml:space="preserve"> anyway as the </w:t>
      </w:r>
      <w:r w:rsidRPr="00230449">
        <w:rPr>
          <w:rFonts w:ascii="Arial" w:hAnsi="Arial" w:cs="Arial"/>
        </w:rPr>
        <w:t xml:space="preserve">case of </w:t>
      </w:r>
      <w:r w:rsidRPr="00230449">
        <w:rPr>
          <w:rFonts w:ascii="Arial" w:hAnsi="Arial" w:cs="Arial"/>
          <w:i/>
        </w:rPr>
        <w:t>Re Courts plc (in liquidation)</w:t>
      </w:r>
      <w:r w:rsidRPr="00230449">
        <w:rPr>
          <w:rStyle w:val="FootnoteReference"/>
          <w:rFonts w:ascii="Arial" w:hAnsi="Arial" w:cs="Arial"/>
        </w:rPr>
        <w:footnoteReference w:id="99"/>
      </w:r>
      <w:r w:rsidR="00DF0FF5" w:rsidRPr="00230449">
        <w:rPr>
          <w:rFonts w:ascii="Arial" w:hAnsi="Arial" w:cs="Arial"/>
        </w:rPr>
        <w:t xml:space="preserve"> demonstrates. L</w:t>
      </w:r>
      <w:r w:rsidRPr="00230449">
        <w:rPr>
          <w:rFonts w:ascii="Arial" w:hAnsi="Arial" w:cs="Arial"/>
        </w:rPr>
        <w:t>iquidators applied for an order und</w:t>
      </w:r>
      <w:r w:rsidR="00DF0FF5" w:rsidRPr="00230449">
        <w:rPr>
          <w:rFonts w:ascii="Arial" w:hAnsi="Arial" w:cs="Arial"/>
        </w:rPr>
        <w:t>er s.</w:t>
      </w:r>
      <w:r w:rsidRPr="00230449">
        <w:rPr>
          <w:rFonts w:ascii="Arial" w:hAnsi="Arial" w:cs="Arial"/>
        </w:rPr>
        <w:t>176A(5) of</w:t>
      </w:r>
      <w:r w:rsidR="00DF0FF5" w:rsidRPr="00230449">
        <w:rPr>
          <w:rFonts w:ascii="Arial" w:hAnsi="Arial" w:cs="Arial"/>
        </w:rPr>
        <w:t xml:space="preserve"> the Insolvency Act 1986 that s.</w:t>
      </w:r>
      <w:r w:rsidRPr="00230449">
        <w:rPr>
          <w:rFonts w:ascii="Arial" w:hAnsi="Arial" w:cs="Arial"/>
        </w:rPr>
        <w:t xml:space="preserve">176A(2) was not to apply so as to require a distribution of the prescribed part to unsecured creditors for £28,000 or less because the cost of making a distribution to unsecured creditors would be disproportionate to the benefits. </w:t>
      </w: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color w:val="FF0000"/>
        </w:rPr>
      </w:pPr>
      <w:r w:rsidRPr="00230449">
        <w:rPr>
          <w:rFonts w:ascii="Arial" w:hAnsi="Arial" w:cs="Arial"/>
        </w:rPr>
        <w:t>The other main effect of the Enterprise Act 2002 on unsecured creditor</w:t>
      </w:r>
      <w:r w:rsidR="00820E1D" w:rsidRPr="00230449">
        <w:rPr>
          <w:rFonts w:ascii="Arial" w:hAnsi="Arial" w:cs="Arial"/>
        </w:rPr>
        <w:t xml:space="preserve">s was the abolition </w:t>
      </w:r>
      <w:r w:rsidRPr="00230449">
        <w:rPr>
          <w:rFonts w:ascii="Arial" w:hAnsi="Arial" w:cs="Arial"/>
        </w:rPr>
        <w:t xml:space="preserve">of Crown preference as a result of s.251 of that statute. Finch has put total realisations from this </w:t>
      </w:r>
      <w:r w:rsidRPr="00230449">
        <w:rPr>
          <w:rFonts w:ascii="Arial" w:hAnsi="Arial" w:cs="Arial"/>
          <w:color w:val="000000" w:themeColor="text1"/>
        </w:rPr>
        <w:t>abolition at £70 million</w:t>
      </w:r>
      <w:r w:rsidRPr="00230449">
        <w:rPr>
          <w:rStyle w:val="FootnoteReference"/>
          <w:rFonts w:ascii="Arial" w:hAnsi="Arial" w:cs="Arial"/>
          <w:color w:val="000000" w:themeColor="text1"/>
        </w:rPr>
        <w:footnoteReference w:id="100"/>
      </w:r>
      <w:r w:rsidRPr="00230449">
        <w:rPr>
          <w:rFonts w:ascii="Arial" w:hAnsi="Arial" w:cs="Arial"/>
          <w:color w:val="000000" w:themeColor="text1"/>
        </w:rPr>
        <w:t xml:space="preserve"> whilst </w:t>
      </w:r>
      <w:r w:rsidR="00EB472D" w:rsidRPr="00230449">
        <w:rPr>
          <w:rFonts w:ascii="Arial" w:hAnsi="Arial" w:cs="Arial"/>
          <w:color w:val="000000" w:themeColor="text1"/>
        </w:rPr>
        <w:t>the figure of £110 million has also been given.</w:t>
      </w:r>
      <w:r w:rsidRPr="00230449">
        <w:rPr>
          <w:rStyle w:val="FootnoteReference"/>
          <w:rFonts w:ascii="Arial" w:hAnsi="Arial" w:cs="Arial"/>
          <w:color w:val="000000" w:themeColor="text1"/>
        </w:rPr>
        <w:footnoteReference w:id="101"/>
      </w:r>
      <w:r w:rsidR="00EB472D" w:rsidRPr="00230449">
        <w:rPr>
          <w:rFonts w:ascii="Arial" w:hAnsi="Arial" w:cs="Arial"/>
          <w:color w:val="000000" w:themeColor="text1"/>
        </w:rPr>
        <w:t xml:space="preserve"> </w:t>
      </w:r>
      <w:r w:rsidR="00D56CE8" w:rsidRPr="00230449">
        <w:rPr>
          <w:rFonts w:ascii="Arial" w:hAnsi="Arial" w:cs="Arial"/>
          <w:color w:val="000000" w:themeColor="text1"/>
        </w:rPr>
        <w:t xml:space="preserve">In the recurrent theme sense HMRC have </w:t>
      </w:r>
      <w:r w:rsidR="00DF0FF5" w:rsidRPr="00230449">
        <w:rPr>
          <w:rFonts w:ascii="Arial" w:hAnsi="Arial" w:cs="Arial"/>
          <w:color w:val="000000" w:themeColor="text1"/>
        </w:rPr>
        <w:t xml:space="preserve">recently </w:t>
      </w:r>
      <w:r w:rsidR="00D56CE8" w:rsidRPr="00230449">
        <w:rPr>
          <w:rFonts w:ascii="Arial" w:hAnsi="Arial" w:cs="Arial"/>
          <w:color w:val="000000" w:themeColor="text1"/>
        </w:rPr>
        <w:t>revisited the carefully thought through reforms and published a consultation document  in which they propose to re-introduce Crown preference.</w:t>
      </w:r>
      <w:r w:rsidR="00DF0FF5" w:rsidRPr="00230449">
        <w:rPr>
          <w:rStyle w:val="FootnoteReference"/>
          <w:rFonts w:ascii="Arial" w:hAnsi="Arial"/>
          <w:color w:val="000000" w:themeColor="text1"/>
        </w:rPr>
        <w:footnoteReference w:id="102"/>
      </w:r>
      <w:r w:rsidR="00D56CE8" w:rsidRPr="00230449">
        <w:rPr>
          <w:rFonts w:ascii="Arial" w:hAnsi="Arial" w:cs="Arial"/>
          <w:color w:val="000000" w:themeColor="text1"/>
        </w:rPr>
        <w:t xml:space="preserve"> Little regard seems to be paid to the interests of the rescue culture and knock on effect on unsecured creditors.</w:t>
      </w:r>
      <w:r w:rsidR="00D56CE8" w:rsidRPr="00230449">
        <w:rPr>
          <w:rStyle w:val="FootnoteReference"/>
          <w:rFonts w:ascii="Arial" w:hAnsi="Arial"/>
          <w:color w:val="000000" w:themeColor="text1"/>
        </w:rPr>
        <w:footnoteReference w:id="103"/>
      </w:r>
    </w:p>
    <w:p w:rsidR="0073677E" w:rsidRPr="00230449" w:rsidRDefault="0073677E" w:rsidP="008B1208">
      <w:pPr>
        <w:spacing w:line="360" w:lineRule="auto"/>
        <w:jc w:val="both"/>
        <w:rPr>
          <w:rFonts w:ascii="Arial" w:hAnsi="Arial" w:cs="Arial"/>
        </w:rPr>
      </w:pPr>
      <w:r w:rsidRPr="00230449">
        <w:rPr>
          <w:rFonts w:ascii="Arial" w:hAnsi="Arial" w:cs="Arial"/>
        </w:rPr>
        <w:t xml:space="preserve"> </w:t>
      </w:r>
    </w:p>
    <w:p w:rsidR="0073677E" w:rsidRPr="00230449" w:rsidRDefault="0073677E" w:rsidP="008B1208">
      <w:pPr>
        <w:spacing w:line="360" w:lineRule="auto"/>
        <w:jc w:val="both"/>
        <w:rPr>
          <w:rFonts w:ascii="Arial" w:hAnsi="Arial" w:cs="Arial"/>
        </w:rPr>
      </w:pPr>
      <w:r w:rsidRPr="00230449">
        <w:rPr>
          <w:rFonts w:ascii="Arial" w:hAnsi="Arial" w:cs="Arial"/>
        </w:rPr>
        <w:t xml:space="preserve">Despite these reform initiatives the </w:t>
      </w:r>
      <w:r w:rsidRPr="00230449">
        <w:rPr>
          <w:rFonts w:ascii="Arial" w:hAnsi="Arial" w:cs="Arial"/>
          <w:i/>
        </w:rPr>
        <w:t>OFT Report</w:t>
      </w:r>
      <w:r w:rsidRPr="00230449">
        <w:rPr>
          <w:rFonts w:ascii="Arial" w:hAnsi="Arial" w:cs="Arial"/>
        </w:rPr>
        <w:t xml:space="preserve"> still pointed out the weak ineffectual position of unsecured creditors. Whilst recognising that unsecured creditors “are responsible for a significant amount of credit in the economy”</w:t>
      </w:r>
      <w:r w:rsidRPr="00230449">
        <w:rPr>
          <w:rStyle w:val="FootnoteReference"/>
          <w:rFonts w:ascii="Arial" w:hAnsi="Arial" w:cs="Arial"/>
        </w:rPr>
        <w:footnoteReference w:id="104"/>
      </w:r>
      <w:r w:rsidRPr="00230449">
        <w:rPr>
          <w:rFonts w:ascii="Arial" w:hAnsi="Arial" w:cs="Arial"/>
        </w:rPr>
        <w:t xml:space="preserve"> the </w:t>
      </w:r>
      <w:r w:rsidRPr="00230449">
        <w:rPr>
          <w:rFonts w:ascii="Arial" w:hAnsi="Arial" w:cs="Arial"/>
          <w:i/>
        </w:rPr>
        <w:t>IS Consultation</w:t>
      </w:r>
      <w:r w:rsidRPr="00230449">
        <w:rPr>
          <w:rFonts w:ascii="Arial" w:hAnsi="Arial" w:cs="Arial"/>
        </w:rPr>
        <w:t xml:space="preserve"> goes on to note that, “IPs</w:t>
      </w:r>
      <w:r w:rsidR="00820E1D" w:rsidRPr="00230449">
        <w:rPr>
          <w:rFonts w:ascii="Arial" w:hAnsi="Arial" w:cs="Arial"/>
        </w:rPr>
        <w:t>’</w:t>
      </w:r>
      <w:r w:rsidRPr="00230449">
        <w:rPr>
          <w:rFonts w:ascii="Arial" w:hAnsi="Arial" w:cs="Arial"/>
        </w:rPr>
        <w:t xml:space="preserve"> fees can erode or exhaust what would otherwise be available to creditors, particularly unsecured creditors as the lowest ranking creditor </w:t>
      </w:r>
      <w:r w:rsidRPr="00230449">
        <w:rPr>
          <w:rFonts w:ascii="Arial" w:hAnsi="Arial" w:cs="Arial"/>
        </w:rPr>
        <w:lastRenderedPageBreak/>
        <w:t>group.”</w:t>
      </w:r>
      <w:r w:rsidRPr="00230449">
        <w:rPr>
          <w:rStyle w:val="FootnoteReference"/>
          <w:rFonts w:ascii="Arial" w:hAnsi="Arial" w:cs="Arial"/>
        </w:rPr>
        <w:footnoteReference w:id="105"/>
      </w:r>
      <w:r w:rsidRPr="00230449">
        <w:rPr>
          <w:rFonts w:ascii="Arial" w:hAnsi="Arial" w:cs="Arial"/>
        </w:rPr>
        <w:t xml:space="preserve"> Not only do unsecured creditors suffer due to their ranking position according to the </w:t>
      </w:r>
      <w:r w:rsidRPr="00230449">
        <w:rPr>
          <w:rFonts w:ascii="Arial" w:hAnsi="Arial" w:cs="Arial"/>
          <w:i/>
        </w:rPr>
        <w:t>OFT</w:t>
      </w:r>
      <w:r w:rsidRPr="00230449">
        <w:rPr>
          <w:rFonts w:ascii="Arial" w:hAnsi="Arial" w:cs="Arial"/>
        </w:rPr>
        <w:t>, but they also overpay by around £15</w:t>
      </w:r>
      <w:r w:rsidR="00281172" w:rsidRPr="00230449">
        <w:rPr>
          <w:rFonts w:ascii="Arial" w:hAnsi="Arial" w:cs="Arial"/>
        </w:rPr>
        <w:t xml:space="preserve"> </w:t>
      </w:r>
      <w:r w:rsidRPr="00230449">
        <w:rPr>
          <w:rFonts w:ascii="Arial" w:hAnsi="Arial" w:cs="Arial"/>
        </w:rPr>
        <w:t>million in fees per annum in the administration process.</w:t>
      </w:r>
      <w:r w:rsidRPr="00230449">
        <w:rPr>
          <w:rStyle w:val="FootnoteReference"/>
          <w:rFonts w:ascii="Arial" w:hAnsi="Arial" w:cs="Arial"/>
        </w:rPr>
        <w:footnoteReference w:id="106"/>
      </w: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t xml:space="preserve">Further judicial discontent with the unsecured creditor’s lot can be garnered from the law reports. The start point of analysis for this species of creditor invariably starts with a rather low expectation of their expected return, or with their status as unsecured creditors generally. For example, in </w:t>
      </w:r>
      <w:proofErr w:type="spellStart"/>
      <w:r w:rsidRPr="00230449">
        <w:rPr>
          <w:rFonts w:ascii="Arial" w:hAnsi="Arial" w:cs="Arial"/>
          <w:i/>
        </w:rPr>
        <w:t>Società</w:t>
      </w:r>
      <w:proofErr w:type="spellEnd"/>
      <w:r w:rsidRPr="00230449">
        <w:rPr>
          <w:rFonts w:ascii="Arial" w:hAnsi="Arial" w:cs="Arial"/>
          <w:i/>
        </w:rPr>
        <w:t xml:space="preserve"> </w:t>
      </w:r>
      <w:proofErr w:type="spellStart"/>
      <w:r w:rsidRPr="00230449">
        <w:rPr>
          <w:rFonts w:ascii="Arial" w:hAnsi="Arial" w:cs="Arial"/>
          <w:i/>
        </w:rPr>
        <w:t>Esplosivi</w:t>
      </w:r>
      <w:proofErr w:type="spellEnd"/>
      <w:r w:rsidRPr="00230449">
        <w:rPr>
          <w:rFonts w:ascii="Arial" w:hAnsi="Arial" w:cs="Arial"/>
          <w:i/>
        </w:rPr>
        <w:t xml:space="preserve"> </w:t>
      </w:r>
      <w:proofErr w:type="spellStart"/>
      <w:r w:rsidRPr="00230449">
        <w:rPr>
          <w:rFonts w:ascii="Arial" w:hAnsi="Arial" w:cs="Arial"/>
          <w:i/>
        </w:rPr>
        <w:t>Industriali</w:t>
      </w:r>
      <w:proofErr w:type="spellEnd"/>
      <w:r w:rsidRPr="00230449">
        <w:rPr>
          <w:rFonts w:ascii="Arial" w:hAnsi="Arial" w:cs="Arial"/>
          <w:i/>
        </w:rPr>
        <w:t xml:space="preserve"> Spa v</w:t>
      </w:r>
      <w:r w:rsidR="00BF5589" w:rsidRPr="00230449">
        <w:rPr>
          <w:rFonts w:ascii="Arial" w:hAnsi="Arial" w:cs="Arial"/>
          <w:i/>
        </w:rPr>
        <w:t>.</w:t>
      </w:r>
      <w:r w:rsidRPr="00230449">
        <w:rPr>
          <w:rFonts w:ascii="Arial" w:hAnsi="Arial" w:cs="Arial"/>
          <w:i/>
        </w:rPr>
        <w:t xml:space="preserve"> Ordnance Technologies (UK) Ltd (formerly SEI (UK) Ltd) and others (No 2</w:t>
      </w:r>
      <w:r w:rsidRPr="00230449">
        <w:rPr>
          <w:rFonts w:ascii="Arial" w:hAnsi="Arial" w:cs="Arial"/>
        </w:rPr>
        <w:t>)</w:t>
      </w:r>
      <w:r w:rsidRPr="00230449">
        <w:rPr>
          <w:rStyle w:val="FootnoteReference"/>
          <w:rFonts w:ascii="Arial" w:hAnsi="Arial" w:cs="Arial"/>
        </w:rPr>
        <w:footnoteReference w:id="107"/>
      </w:r>
      <w:r w:rsidRPr="00230449">
        <w:rPr>
          <w:rFonts w:ascii="Arial" w:hAnsi="Arial" w:cs="Arial"/>
        </w:rPr>
        <w:t xml:space="preserve"> Lindsay, J noted “I have not seen the statement of affairs in OTL's liquidation, nor have I been told what sort of dividend, if any, can be expected by its unsecured creditors.”</w:t>
      </w:r>
      <w:r w:rsidRPr="00230449">
        <w:rPr>
          <w:rStyle w:val="FootnoteReference"/>
          <w:rFonts w:ascii="Arial" w:hAnsi="Arial" w:cs="Arial"/>
        </w:rPr>
        <w:footnoteReference w:id="108"/>
      </w:r>
      <w:r w:rsidRPr="00230449">
        <w:rPr>
          <w:rFonts w:ascii="Arial" w:hAnsi="Arial" w:cs="Arial"/>
        </w:rPr>
        <w:t xml:space="preserve"> An expectation of zero return comes across in a number of judgments. For example, in </w:t>
      </w:r>
      <w:proofErr w:type="spellStart"/>
      <w:r w:rsidRPr="00230449">
        <w:rPr>
          <w:rFonts w:ascii="Arial" w:hAnsi="Arial" w:cs="Arial"/>
          <w:i/>
        </w:rPr>
        <w:t>Fiorentino</w:t>
      </w:r>
      <w:proofErr w:type="spellEnd"/>
      <w:r w:rsidRPr="00230449">
        <w:rPr>
          <w:rFonts w:ascii="Arial" w:hAnsi="Arial" w:cs="Arial"/>
          <w:i/>
        </w:rPr>
        <w:t xml:space="preserve"> </w:t>
      </w:r>
      <w:proofErr w:type="spellStart"/>
      <w:r w:rsidRPr="00230449">
        <w:rPr>
          <w:rFonts w:ascii="Arial" w:hAnsi="Arial" w:cs="Arial"/>
          <w:i/>
        </w:rPr>
        <w:t>Comm</w:t>
      </w:r>
      <w:proofErr w:type="spellEnd"/>
      <w:r w:rsidRPr="00230449">
        <w:rPr>
          <w:rFonts w:ascii="Arial" w:hAnsi="Arial" w:cs="Arial"/>
          <w:i/>
        </w:rPr>
        <w:t xml:space="preserve"> Giuseppe Sr1 v</w:t>
      </w:r>
      <w:r w:rsidR="00BF5589" w:rsidRPr="00230449">
        <w:rPr>
          <w:rFonts w:ascii="Arial" w:hAnsi="Arial" w:cs="Arial"/>
          <w:i/>
        </w:rPr>
        <w:t>.</w:t>
      </w:r>
      <w:r w:rsidRPr="00230449">
        <w:rPr>
          <w:rFonts w:ascii="Arial" w:hAnsi="Arial" w:cs="Arial"/>
          <w:i/>
        </w:rPr>
        <w:t xml:space="preserve"> </w:t>
      </w:r>
      <w:proofErr w:type="spellStart"/>
      <w:r w:rsidRPr="00230449">
        <w:rPr>
          <w:rFonts w:ascii="Arial" w:hAnsi="Arial" w:cs="Arial"/>
          <w:i/>
        </w:rPr>
        <w:t>Farnesi</w:t>
      </w:r>
      <w:proofErr w:type="spellEnd"/>
      <w:r w:rsidRPr="00230449">
        <w:rPr>
          <w:rFonts w:ascii="Arial" w:hAnsi="Arial" w:cs="Arial"/>
        </w:rPr>
        <w:t xml:space="preserve"> </w:t>
      </w:r>
      <w:r w:rsidRPr="00230449">
        <w:rPr>
          <w:rFonts w:ascii="Arial" w:hAnsi="Arial" w:cs="Arial"/>
          <w:i/>
        </w:rPr>
        <w:t>and another</w:t>
      </w:r>
      <w:r w:rsidRPr="00230449">
        <w:rPr>
          <w:rStyle w:val="FootnoteReference"/>
          <w:rFonts w:ascii="Arial" w:hAnsi="Arial" w:cs="Arial"/>
        </w:rPr>
        <w:footnoteReference w:id="109"/>
      </w:r>
      <w:r w:rsidRPr="00230449">
        <w:rPr>
          <w:rFonts w:ascii="Arial" w:hAnsi="Arial" w:cs="Arial"/>
        </w:rPr>
        <w:t xml:space="preserve"> Mr Nicholas Warren QC (sitting as a Deputy High Court Judge) noted, “I am satisfied—and this is not in any event disputed—that there will be no dividend for unsecured creditors.”</w:t>
      </w:r>
      <w:r w:rsidRPr="00230449">
        <w:rPr>
          <w:rStyle w:val="FootnoteReference"/>
          <w:rFonts w:ascii="Arial" w:hAnsi="Arial" w:cs="Arial"/>
        </w:rPr>
        <w:footnoteReference w:id="110"/>
      </w:r>
      <w:r w:rsidRPr="00230449">
        <w:rPr>
          <w:rFonts w:ascii="Arial" w:hAnsi="Arial" w:cs="Arial"/>
        </w:rPr>
        <w:t xml:space="preserve"> In </w:t>
      </w:r>
      <w:proofErr w:type="spellStart"/>
      <w:r w:rsidRPr="00230449">
        <w:rPr>
          <w:rFonts w:ascii="Arial" w:hAnsi="Arial" w:cs="Arial"/>
          <w:i/>
        </w:rPr>
        <w:t>Goel</w:t>
      </w:r>
      <w:proofErr w:type="spellEnd"/>
      <w:r w:rsidRPr="00230449">
        <w:rPr>
          <w:rFonts w:ascii="Arial" w:hAnsi="Arial" w:cs="Arial"/>
          <w:i/>
        </w:rPr>
        <w:t xml:space="preserve"> v</w:t>
      </w:r>
      <w:r w:rsidR="00BF5589" w:rsidRPr="00230449">
        <w:rPr>
          <w:rFonts w:ascii="Arial" w:hAnsi="Arial" w:cs="Arial"/>
          <w:i/>
        </w:rPr>
        <w:t>.</w:t>
      </w:r>
      <w:r w:rsidRPr="00230449">
        <w:rPr>
          <w:rFonts w:ascii="Arial" w:hAnsi="Arial" w:cs="Arial"/>
          <w:i/>
        </w:rPr>
        <w:t xml:space="preserve"> Pick</w:t>
      </w:r>
      <w:r w:rsidRPr="00230449">
        <w:rPr>
          <w:rStyle w:val="FootnoteReference"/>
          <w:rFonts w:ascii="Arial" w:hAnsi="Arial" w:cs="Arial"/>
        </w:rPr>
        <w:footnoteReference w:id="111"/>
      </w:r>
      <w:r w:rsidRPr="00230449">
        <w:rPr>
          <w:rFonts w:ascii="Arial" w:hAnsi="Arial" w:cs="Arial"/>
        </w:rPr>
        <w:t xml:space="preserve"> Sir Francis Ferris noted that the claimant, “…would only be an unsecured creditor in respect of any damages that might be awarded”</w:t>
      </w:r>
      <w:r w:rsidRPr="00230449">
        <w:rPr>
          <w:rStyle w:val="FootnoteReference"/>
          <w:rFonts w:ascii="Arial" w:hAnsi="Arial" w:cs="Arial"/>
        </w:rPr>
        <w:footnoteReference w:id="112"/>
      </w:r>
      <w:r w:rsidRPr="00230449">
        <w:rPr>
          <w:rFonts w:ascii="Arial" w:hAnsi="Arial" w:cs="Arial"/>
        </w:rPr>
        <w:t xml:space="preserve"> as if unsecured creditor status, perhaps quite rightly, has no real value at all.</w:t>
      </w:r>
      <w:r w:rsidRPr="00230449">
        <w:rPr>
          <w:rStyle w:val="FootnoteReference"/>
          <w:rFonts w:ascii="Arial" w:hAnsi="Arial" w:cs="Arial"/>
        </w:rPr>
        <w:footnoteReference w:id="113"/>
      </w:r>
      <w:r w:rsidRPr="00230449">
        <w:rPr>
          <w:rFonts w:ascii="Arial" w:hAnsi="Arial" w:cs="Arial"/>
        </w:rPr>
        <w:t xml:space="preserve"> In </w:t>
      </w:r>
      <w:r w:rsidRPr="00230449">
        <w:rPr>
          <w:rFonts w:ascii="Arial" w:hAnsi="Arial" w:cs="Arial"/>
          <w:i/>
        </w:rPr>
        <w:t>Re The Designer Room Ltd</w:t>
      </w:r>
      <w:r w:rsidRPr="00230449">
        <w:rPr>
          <w:rStyle w:val="FootnoteReference"/>
          <w:rFonts w:ascii="Arial" w:hAnsi="Arial" w:cs="Arial"/>
        </w:rPr>
        <w:footnoteReference w:id="114"/>
      </w:r>
      <w:r w:rsidRPr="00230449">
        <w:rPr>
          <w:rFonts w:ascii="Arial" w:hAnsi="Arial" w:cs="Arial"/>
        </w:rPr>
        <w:t xml:space="preserve"> </w:t>
      </w:r>
      <w:proofErr w:type="spellStart"/>
      <w:r w:rsidRPr="00230449">
        <w:rPr>
          <w:rFonts w:ascii="Arial" w:hAnsi="Arial" w:cs="Arial"/>
        </w:rPr>
        <w:t>Rimer</w:t>
      </w:r>
      <w:proofErr w:type="spellEnd"/>
      <w:r w:rsidRPr="00230449">
        <w:rPr>
          <w:rFonts w:ascii="Arial" w:hAnsi="Arial" w:cs="Arial"/>
        </w:rPr>
        <w:t>, J noted how the officeholder’s view of procedures was influenced by the lack of distributable funds for unsecured creditors. After observing that, “There will be nothing for any of the unsecured creditors”</w:t>
      </w:r>
      <w:r w:rsidRPr="00230449">
        <w:rPr>
          <w:rStyle w:val="FootnoteReference"/>
          <w:rFonts w:ascii="Arial" w:hAnsi="Arial" w:cs="Arial"/>
        </w:rPr>
        <w:footnoteReference w:id="115"/>
      </w:r>
      <w:r w:rsidRPr="00230449">
        <w:rPr>
          <w:rFonts w:ascii="Arial" w:hAnsi="Arial" w:cs="Arial"/>
        </w:rPr>
        <w:t xml:space="preserve"> he went on to observe that, “the administrators also consider that it would be uneconomic to prepare a proposal for a voluntary arrangement, circulate it to all creditors, and then hold a meeting to seek approval for the sole purpose of making a distribution to the preferential creditors.”</w:t>
      </w:r>
      <w:r w:rsidRPr="00230449">
        <w:rPr>
          <w:rStyle w:val="FootnoteReference"/>
          <w:rFonts w:ascii="Arial" w:hAnsi="Arial" w:cs="Arial"/>
        </w:rPr>
        <w:footnoteReference w:id="116"/>
      </w:r>
      <w:r w:rsidRPr="00230449">
        <w:rPr>
          <w:rFonts w:ascii="Arial" w:hAnsi="Arial" w:cs="Arial"/>
        </w:rPr>
        <w:t xml:space="preserve"> </w:t>
      </w: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lastRenderedPageBreak/>
        <w:t xml:space="preserve">The picture is perhaps not entirely bleak for unsecured creditors. Cases such as </w:t>
      </w:r>
      <w:r w:rsidRPr="00230449">
        <w:rPr>
          <w:rFonts w:ascii="Arial" w:hAnsi="Arial" w:cs="Arial"/>
          <w:i/>
        </w:rPr>
        <w:t>Re GHE Realisations Ltd (formerly Gatehouse Estates Ltd)</w:t>
      </w:r>
      <w:r w:rsidRPr="00230449">
        <w:rPr>
          <w:rStyle w:val="FootnoteReference"/>
          <w:rFonts w:ascii="Arial" w:hAnsi="Arial" w:cs="Arial"/>
          <w:i/>
        </w:rPr>
        <w:footnoteReference w:id="117"/>
      </w:r>
      <w:r w:rsidRPr="00230449">
        <w:rPr>
          <w:rFonts w:ascii="Arial" w:hAnsi="Arial" w:cs="Arial"/>
        </w:rPr>
        <w:t xml:space="preserve"> show that distributions are made to this residual class of creditor. Unfortunately, the distributions to this species of creditor are invariably low, if not non-existent. For an example of low distributions cases such as </w:t>
      </w:r>
      <w:r w:rsidRPr="00230449">
        <w:rPr>
          <w:rFonts w:ascii="Arial" w:hAnsi="Arial" w:cs="Arial"/>
          <w:i/>
        </w:rPr>
        <w:t xml:space="preserve">Re P F Murray A Debtor, Ex </w:t>
      </w:r>
      <w:proofErr w:type="spellStart"/>
      <w:r w:rsidRPr="00230449">
        <w:rPr>
          <w:rFonts w:ascii="Arial" w:hAnsi="Arial" w:cs="Arial"/>
          <w:i/>
        </w:rPr>
        <w:t>parte</w:t>
      </w:r>
      <w:proofErr w:type="spellEnd"/>
      <w:r w:rsidRPr="00230449">
        <w:rPr>
          <w:rFonts w:ascii="Arial" w:hAnsi="Arial" w:cs="Arial"/>
          <w:i/>
        </w:rPr>
        <w:t xml:space="preserve"> The Debtor v</w:t>
      </w:r>
      <w:r w:rsidR="009A1F9A" w:rsidRPr="00230449">
        <w:rPr>
          <w:rFonts w:ascii="Arial" w:hAnsi="Arial" w:cs="Arial"/>
          <w:i/>
        </w:rPr>
        <w:t>.</w:t>
      </w:r>
      <w:r w:rsidRPr="00230449">
        <w:rPr>
          <w:rFonts w:ascii="Arial" w:hAnsi="Arial" w:cs="Arial"/>
          <w:i/>
        </w:rPr>
        <w:t xml:space="preserve"> Official Receiver</w:t>
      </w:r>
      <w:r w:rsidRPr="00230449">
        <w:rPr>
          <w:rStyle w:val="FootnoteReference"/>
          <w:rFonts w:ascii="Arial" w:hAnsi="Arial" w:cs="Arial"/>
        </w:rPr>
        <w:footnoteReference w:id="118"/>
      </w:r>
      <w:r w:rsidRPr="00230449">
        <w:rPr>
          <w:rFonts w:ascii="Arial" w:hAnsi="Arial" w:cs="Arial"/>
        </w:rPr>
        <w:t xml:space="preserve"> are instructive.  In the case Cross, J noted that, “It is common ground that the amount required to pay the unsecured creditors</w:t>
      </w:r>
      <w:r w:rsidR="006D3A68" w:rsidRPr="00230449">
        <w:rPr>
          <w:rFonts w:ascii="Arial" w:hAnsi="Arial" w:cs="Arial"/>
        </w:rPr>
        <w:t xml:space="preserve"> is</w:t>
      </w:r>
      <w:r w:rsidRPr="00230449">
        <w:rPr>
          <w:rFonts w:ascii="Arial" w:hAnsi="Arial" w:cs="Arial"/>
        </w:rPr>
        <w:t xml:space="preserve"> 5s in the pound.”</w:t>
      </w: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u w:val="single"/>
        </w:rPr>
      </w:pPr>
      <w:r w:rsidRPr="00230449">
        <w:rPr>
          <w:rFonts w:ascii="Arial" w:hAnsi="Arial" w:cs="Arial"/>
          <w:u w:val="single"/>
        </w:rPr>
        <w:t>Are unsecured creditors apathetic</w:t>
      </w:r>
      <w:r w:rsidR="007B3C5D" w:rsidRPr="00230449">
        <w:rPr>
          <w:rFonts w:ascii="Arial" w:hAnsi="Arial" w:cs="Arial"/>
          <w:u w:val="single"/>
        </w:rPr>
        <w:t xml:space="preserve"> and does this allow insolvency Eternal Recurrence </w:t>
      </w:r>
      <w:r w:rsidRPr="00230449">
        <w:rPr>
          <w:rFonts w:ascii="Arial" w:hAnsi="Arial" w:cs="Arial"/>
          <w:u w:val="single"/>
        </w:rPr>
        <w:t>?</w:t>
      </w:r>
      <w:r w:rsidRPr="00230449">
        <w:rPr>
          <w:rStyle w:val="FootnoteReference"/>
          <w:rFonts w:ascii="Arial" w:hAnsi="Arial" w:cs="Arial"/>
        </w:rPr>
        <w:footnoteReference w:id="119"/>
      </w:r>
      <w:r w:rsidRPr="00230449">
        <w:rPr>
          <w:rFonts w:ascii="Arial" w:hAnsi="Arial" w:cs="Arial"/>
          <w:u w:val="single"/>
        </w:rPr>
        <w:t xml:space="preserve"> </w:t>
      </w: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t xml:space="preserve">As the Cork Committee, the OFT and the Insolvency Service have identified, and as noted above, there is a certain amount of apathy amongst </w:t>
      </w:r>
      <w:r w:rsidR="00E8011E" w:rsidRPr="00230449">
        <w:rPr>
          <w:rFonts w:ascii="Arial" w:hAnsi="Arial" w:cs="Arial"/>
        </w:rPr>
        <w:t xml:space="preserve">unsecured </w:t>
      </w:r>
      <w:r w:rsidRPr="00230449">
        <w:rPr>
          <w:rFonts w:ascii="Arial" w:hAnsi="Arial" w:cs="Arial"/>
        </w:rPr>
        <w:t>creditors. On this point the Cork Committee noted: “…it has been suggested to us that the elaborate structure for creditor control in bankruptcy and compulsory winding up is illusory, largely owing to apathy and indifference on the part of creditors themselves.”</w:t>
      </w:r>
      <w:r w:rsidRPr="00230449">
        <w:rPr>
          <w:rStyle w:val="FootnoteReference"/>
          <w:rFonts w:ascii="Arial" w:hAnsi="Arial" w:cs="Arial"/>
        </w:rPr>
        <w:footnoteReference w:id="120"/>
      </w:r>
      <w:r w:rsidRPr="00230449">
        <w:rPr>
          <w:rFonts w:ascii="Arial" w:hAnsi="Arial" w:cs="Arial"/>
        </w:rPr>
        <w:t xml:space="preserve"> They continued: </w:t>
      </w:r>
    </w:p>
    <w:p w:rsidR="0073677E" w:rsidRPr="00230449" w:rsidRDefault="0073677E" w:rsidP="008B1208">
      <w:pPr>
        <w:spacing w:line="360" w:lineRule="auto"/>
        <w:jc w:val="both"/>
        <w:rPr>
          <w:rFonts w:ascii="Arial" w:hAnsi="Arial" w:cs="Arial"/>
        </w:rPr>
      </w:pPr>
    </w:p>
    <w:p w:rsidR="0073677E" w:rsidRPr="00230449" w:rsidRDefault="0073677E" w:rsidP="00E8011E">
      <w:pPr>
        <w:ind w:left="720"/>
        <w:jc w:val="both"/>
        <w:rPr>
          <w:rFonts w:ascii="Arial" w:hAnsi="Arial" w:cs="Arial"/>
          <w:i/>
          <w:sz w:val="22"/>
          <w:szCs w:val="22"/>
        </w:rPr>
      </w:pPr>
      <w:r w:rsidRPr="00230449">
        <w:rPr>
          <w:rFonts w:ascii="Arial" w:hAnsi="Arial" w:cs="Arial"/>
          <w:i/>
          <w:sz w:val="22"/>
          <w:szCs w:val="22"/>
        </w:rPr>
        <w:t>“We consider it unsatisfactory that creditors, whose experience would be invaluable to the liquidator or trustee, are discouraged from participating in the administration of an insolvent estate. We are in no doubt that the machinery should be such as to allow, and indeed encourage, those creditors who have a genuine interest to involve themselves in all types of insolvent administration.”</w:t>
      </w:r>
      <w:r w:rsidRPr="00230449">
        <w:rPr>
          <w:rStyle w:val="FootnoteReference"/>
          <w:rFonts w:ascii="Arial" w:hAnsi="Arial" w:cs="Arial"/>
          <w:sz w:val="22"/>
          <w:szCs w:val="22"/>
        </w:rPr>
        <w:footnoteReference w:id="121"/>
      </w:r>
    </w:p>
    <w:p w:rsidR="0073677E" w:rsidRPr="00230449" w:rsidRDefault="0073677E" w:rsidP="008B1208">
      <w:pPr>
        <w:spacing w:line="360" w:lineRule="auto"/>
        <w:jc w:val="both"/>
        <w:rPr>
          <w:rFonts w:ascii="Arial" w:hAnsi="Arial" w:cs="Arial"/>
          <w:i/>
        </w:rPr>
      </w:pPr>
    </w:p>
    <w:p w:rsidR="0073677E" w:rsidRPr="00230449" w:rsidRDefault="0073677E" w:rsidP="008B1208">
      <w:pPr>
        <w:spacing w:line="360" w:lineRule="auto"/>
        <w:jc w:val="both"/>
        <w:rPr>
          <w:rFonts w:ascii="Arial" w:hAnsi="Arial" w:cs="Arial"/>
        </w:rPr>
      </w:pPr>
      <w:r w:rsidRPr="00230449">
        <w:rPr>
          <w:rFonts w:ascii="Arial" w:hAnsi="Arial" w:cs="Arial"/>
        </w:rPr>
        <w:t>On creditor apathy the Cork Committee noted that “because of the indifference of creditors towards supervising the administration of insolvent estates…there has also been an increasing measure of judicial control.”</w:t>
      </w:r>
      <w:r w:rsidRPr="00230449">
        <w:rPr>
          <w:rStyle w:val="FootnoteReference"/>
          <w:rFonts w:ascii="Arial" w:hAnsi="Arial" w:cs="Arial"/>
        </w:rPr>
        <w:footnoteReference w:id="122"/>
      </w:r>
      <w:r w:rsidRPr="00230449">
        <w:rPr>
          <w:rFonts w:ascii="Arial" w:hAnsi="Arial" w:cs="Arial"/>
          <w:i/>
        </w:rPr>
        <w:t xml:space="preserve"> </w:t>
      </w:r>
      <w:r w:rsidRPr="00230449">
        <w:rPr>
          <w:rFonts w:ascii="Arial" w:hAnsi="Arial" w:cs="Arial"/>
        </w:rPr>
        <w:t>The Cork Committee proposed three reasons for this indifference:</w:t>
      </w:r>
    </w:p>
    <w:p w:rsidR="0073677E" w:rsidRPr="00230449" w:rsidRDefault="0073677E" w:rsidP="008B1208">
      <w:pPr>
        <w:spacing w:line="360" w:lineRule="auto"/>
        <w:jc w:val="both"/>
        <w:rPr>
          <w:rFonts w:ascii="Arial" w:hAnsi="Arial" w:cs="Arial"/>
        </w:rPr>
      </w:pPr>
    </w:p>
    <w:p w:rsidR="0073677E" w:rsidRPr="00230449" w:rsidRDefault="0073677E" w:rsidP="00C871DC">
      <w:pPr>
        <w:ind w:left="720"/>
        <w:jc w:val="both"/>
        <w:rPr>
          <w:rFonts w:ascii="Arial" w:hAnsi="Arial" w:cs="Arial"/>
          <w:i/>
          <w:sz w:val="22"/>
          <w:szCs w:val="22"/>
        </w:rPr>
      </w:pPr>
      <w:r w:rsidRPr="00230449">
        <w:rPr>
          <w:rFonts w:ascii="Arial" w:hAnsi="Arial" w:cs="Arial"/>
          <w:i/>
          <w:sz w:val="22"/>
          <w:szCs w:val="22"/>
        </w:rPr>
        <w:lastRenderedPageBreak/>
        <w:t>“ - There is a generally held belief that most trustees and liquidators are efficient, reliable and experienced.</w:t>
      </w:r>
    </w:p>
    <w:p w:rsidR="0073677E" w:rsidRPr="00230449" w:rsidRDefault="0073677E" w:rsidP="00C871DC">
      <w:pPr>
        <w:ind w:left="720"/>
        <w:jc w:val="both"/>
        <w:rPr>
          <w:rFonts w:ascii="Arial" w:hAnsi="Arial" w:cs="Arial"/>
          <w:i/>
          <w:sz w:val="22"/>
          <w:szCs w:val="22"/>
        </w:rPr>
      </w:pPr>
      <w:r w:rsidRPr="00230449">
        <w:rPr>
          <w:rFonts w:ascii="Arial" w:hAnsi="Arial" w:cs="Arial"/>
          <w:i/>
          <w:sz w:val="22"/>
          <w:szCs w:val="22"/>
        </w:rPr>
        <w:t xml:space="preserve"> - There is a lack of interest on the part of business creditors, who allow for the occasional bad debt in fixing their prices and write if off when it occurs, thereby reducing their taxable profits.</w:t>
      </w:r>
    </w:p>
    <w:p w:rsidR="0073677E" w:rsidRPr="00230449" w:rsidRDefault="0073677E" w:rsidP="00C871DC">
      <w:pPr>
        <w:ind w:left="720"/>
        <w:jc w:val="both"/>
        <w:rPr>
          <w:rFonts w:ascii="Arial" w:hAnsi="Arial" w:cs="Arial"/>
          <w:i/>
        </w:rPr>
      </w:pPr>
      <w:r w:rsidRPr="00230449">
        <w:rPr>
          <w:rFonts w:ascii="Arial" w:hAnsi="Arial" w:cs="Arial"/>
          <w:i/>
          <w:sz w:val="22"/>
          <w:szCs w:val="22"/>
        </w:rPr>
        <w:t xml:space="preserve"> - Thirdly, and perhaps of greatest significance there is a resigned acceptance of the fact that in most cases the general body of </w:t>
      </w:r>
      <w:r w:rsidR="006647BA" w:rsidRPr="00230449">
        <w:rPr>
          <w:rFonts w:ascii="Arial" w:hAnsi="Arial" w:cs="Arial"/>
          <w:i/>
          <w:sz w:val="22"/>
          <w:szCs w:val="22"/>
        </w:rPr>
        <w:t xml:space="preserve">creditors </w:t>
      </w:r>
      <w:r w:rsidRPr="00230449">
        <w:rPr>
          <w:rFonts w:ascii="Arial" w:hAnsi="Arial" w:cs="Arial"/>
          <w:i/>
          <w:sz w:val="22"/>
          <w:szCs w:val="22"/>
        </w:rPr>
        <w:t>are only likely to receive a small divided.”</w:t>
      </w:r>
      <w:r w:rsidRPr="00230449">
        <w:rPr>
          <w:rStyle w:val="FootnoteReference"/>
          <w:rFonts w:ascii="Arial" w:hAnsi="Arial" w:cs="Arial"/>
          <w:sz w:val="22"/>
          <w:szCs w:val="22"/>
        </w:rPr>
        <w:footnoteReference w:id="123"/>
      </w:r>
      <w:r w:rsidRPr="00230449">
        <w:rPr>
          <w:rFonts w:ascii="Arial" w:hAnsi="Arial" w:cs="Arial"/>
          <w:sz w:val="22"/>
          <w:szCs w:val="22"/>
        </w:rPr>
        <w:t xml:space="preserve"> </w:t>
      </w:r>
    </w:p>
    <w:p w:rsidR="0073677E" w:rsidRPr="00230449" w:rsidRDefault="0073677E"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t>It could be argued that the position of unsecured creditors has parallels with shareholder</w:t>
      </w:r>
      <w:r w:rsidR="005E19B1" w:rsidRPr="00230449">
        <w:rPr>
          <w:rFonts w:ascii="Arial" w:hAnsi="Arial" w:cs="Arial"/>
        </w:rPr>
        <w:t xml:space="preserve">s in </w:t>
      </w:r>
      <w:r w:rsidRPr="00230449">
        <w:rPr>
          <w:rFonts w:ascii="Arial" w:hAnsi="Arial" w:cs="Arial"/>
        </w:rPr>
        <w:t>companies</w:t>
      </w:r>
      <w:r w:rsidR="005E19B1" w:rsidRPr="00230449">
        <w:rPr>
          <w:rFonts w:ascii="Arial" w:hAnsi="Arial" w:cs="Arial"/>
        </w:rPr>
        <w:t xml:space="preserve"> with dispersed ownership</w:t>
      </w:r>
      <w:r w:rsidRPr="00230449">
        <w:rPr>
          <w:rFonts w:ascii="Arial" w:hAnsi="Arial" w:cs="Arial"/>
        </w:rPr>
        <w:t xml:space="preserve">. The famous </w:t>
      </w:r>
      <w:proofErr w:type="spellStart"/>
      <w:r w:rsidRPr="00230449">
        <w:rPr>
          <w:rFonts w:ascii="Arial" w:hAnsi="Arial" w:cs="Arial"/>
        </w:rPr>
        <w:t>Berle</w:t>
      </w:r>
      <w:proofErr w:type="spellEnd"/>
      <w:r w:rsidRPr="00230449">
        <w:rPr>
          <w:rFonts w:ascii="Arial" w:hAnsi="Arial" w:cs="Arial"/>
        </w:rPr>
        <w:t xml:space="preserve"> and Means thesis</w:t>
      </w:r>
      <w:r w:rsidR="002B795D" w:rsidRPr="00230449">
        <w:rPr>
          <w:rStyle w:val="FootnoteReference"/>
          <w:rFonts w:ascii="Arial" w:hAnsi="Arial"/>
        </w:rPr>
        <w:footnoteReference w:id="124"/>
      </w:r>
      <w:r w:rsidRPr="00230449">
        <w:rPr>
          <w:rFonts w:ascii="Arial" w:hAnsi="Arial" w:cs="Arial"/>
        </w:rPr>
        <w:t xml:space="preserve"> showed that shareholders become apathetic within large widely dispersed ownership model companies as they can have little impact on the way in which the company is managed. The separation of ownership and control can lead, and </w:t>
      </w:r>
      <w:proofErr w:type="spellStart"/>
      <w:r w:rsidRPr="00230449">
        <w:rPr>
          <w:rFonts w:ascii="Arial" w:hAnsi="Arial" w:cs="Arial"/>
        </w:rPr>
        <w:t>Pettet</w:t>
      </w:r>
      <w:proofErr w:type="spellEnd"/>
      <w:r w:rsidRPr="00230449">
        <w:rPr>
          <w:rFonts w:ascii="Arial" w:hAnsi="Arial" w:cs="Arial"/>
        </w:rPr>
        <w:t xml:space="preserve"> has called this an axiom in modern times,</w:t>
      </w:r>
      <w:r w:rsidRPr="00230449">
        <w:rPr>
          <w:rStyle w:val="FootnoteReference"/>
          <w:rFonts w:ascii="Arial" w:hAnsi="Arial" w:cs="Arial"/>
        </w:rPr>
        <w:footnoteReference w:id="125"/>
      </w:r>
      <w:r w:rsidRPr="00230449">
        <w:rPr>
          <w:rFonts w:ascii="Arial" w:hAnsi="Arial" w:cs="Arial"/>
        </w:rPr>
        <w:t xml:space="preserve"> to the imposition of a self-perpetuating oligarchy.</w:t>
      </w:r>
      <w:r w:rsidRPr="00230449">
        <w:rPr>
          <w:rStyle w:val="FootnoteReference"/>
          <w:rFonts w:ascii="Arial" w:hAnsi="Arial" w:cs="Arial"/>
        </w:rPr>
        <w:footnoteReference w:id="126"/>
      </w:r>
      <w:r w:rsidRPr="00230449">
        <w:rPr>
          <w:rFonts w:ascii="Arial" w:hAnsi="Arial" w:cs="Arial"/>
        </w:rPr>
        <w:t xml:space="preserve"> Shareholders simply feel powerless and there</w:t>
      </w:r>
      <w:r w:rsidR="006647BA" w:rsidRPr="00230449">
        <w:rPr>
          <w:rFonts w:ascii="Arial" w:hAnsi="Arial" w:cs="Arial"/>
        </w:rPr>
        <w:t>fore</w:t>
      </w:r>
      <w:r w:rsidRPr="00230449">
        <w:rPr>
          <w:rFonts w:ascii="Arial" w:hAnsi="Arial" w:cs="Arial"/>
        </w:rPr>
        <w:t xml:space="preserve"> disengage with the proper monitoring of management. A similar pattern of behaviour may be occurring with unsecured creditors. The Cork Committee noted that unsecured creditors had little, if any involvement in Committees of Inspection because they felt </w:t>
      </w:r>
      <w:r w:rsidRPr="00230449">
        <w:rPr>
          <w:rFonts w:ascii="Arial" w:hAnsi="Arial" w:cs="Arial"/>
          <w:lang w:val="en-US"/>
        </w:rPr>
        <w:t>confusion over the rules governing the committees of inspection and how these were constituted. They noted that they “received evidence of confusion over the interpretation of these provisions and precise nature of the functions to be performed by Committees of Inspection…most unsatisfactory.”</w:t>
      </w:r>
      <w:r w:rsidRPr="00230449">
        <w:rPr>
          <w:rStyle w:val="FootnoteReference"/>
          <w:rFonts w:ascii="Arial" w:hAnsi="Arial" w:cs="Arial"/>
          <w:lang w:val="en-US"/>
        </w:rPr>
        <w:footnoteReference w:id="127"/>
      </w:r>
      <w:r w:rsidRPr="00230449">
        <w:rPr>
          <w:rFonts w:ascii="Arial" w:hAnsi="Arial" w:cs="Arial"/>
          <w:lang w:val="en-US"/>
        </w:rPr>
        <w:t xml:space="preserve"> </w:t>
      </w:r>
      <w:r w:rsidRPr="00230449">
        <w:rPr>
          <w:rFonts w:ascii="Arial" w:hAnsi="Arial" w:cs="Arial"/>
        </w:rPr>
        <w:t>Creditors should involve themselves in the insolvency process as “the underlying principle is that since the estate is being administered primarily for the benefit of the creditors, they are the persons best calculated to look after their own interests.”</w:t>
      </w:r>
      <w:r w:rsidRPr="00230449">
        <w:rPr>
          <w:rStyle w:val="FootnoteReference"/>
          <w:rFonts w:ascii="Arial" w:hAnsi="Arial" w:cs="Arial"/>
        </w:rPr>
        <w:footnoteReference w:id="128"/>
      </w:r>
    </w:p>
    <w:p w:rsidR="0073677E" w:rsidRPr="00230449" w:rsidRDefault="0073677E" w:rsidP="008B1208">
      <w:pPr>
        <w:spacing w:line="360" w:lineRule="auto"/>
        <w:jc w:val="both"/>
        <w:rPr>
          <w:rFonts w:ascii="Arial" w:hAnsi="Arial" w:cs="Arial"/>
        </w:rPr>
      </w:pPr>
    </w:p>
    <w:p w:rsidR="00ED6A1D" w:rsidRPr="00230449" w:rsidRDefault="0073677E" w:rsidP="008B1208">
      <w:pPr>
        <w:spacing w:line="360" w:lineRule="auto"/>
        <w:jc w:val="both"/>
        <w:rPr>
          <w:rFonts w:ascii="Arial" w:hAnsi="Arial" w:cs="Arial"/>
        </w:rPr>
      </w:pPr>
      <w:r w:rsidRPr="00230449">
        <w:rPr>
          <w:rFonts w:ascii="Arial" w:hAnsi="Arial" w:cs="Arial"/>
        </w:rPr>
        <w:t>One could respond to thi</w:t>
      </w:r>
      <w:r w:rsidR="003C7F72" w:rsidRPr="00230449">
        <w:rPr>
          <w:rFonts w:ascii="Arial" w:hAnsi="Arial" w:cs="Arial"/>
        </w:rPr>
        <w:t>s unsecured creditors apathy by arguing</w:t>
      </w:r>
      <w:r w:rsidRPr="00230449">
        <w:rPr>
          <w:rFonts w:ascii="Arial" w:hAnsi="Arial" w:cs="Arial"/>
        </w:rPr>
        <w:t xml:space="preserve"> that it is not that complaints mechanisms and such like are defective but that unsecured creditors engagement is problematic. It is that issue which is at the heart of the problem that the </w:t>
      </w:r>
      <w:r w:rsidRPr="00230449">
        <w:rPr>
          <w:rFonts w:ascii="Arial" w:hAnsi="Arial" w:cs="Arial"/>
          <w:i/>
        </w:rPr>
        <w:t xml:space="preserve">IS Consultation </w:t>
      </w:r>
      <w:r w:rsidRPr="00230449">
        <w:rPr>
          <w:rFonts w:ascii="Arial" w:hAnsi="Arial" w:cs="Arial"/>
        </w:rPr>
        <w:t xml:space="preserve">identifies and it is because of this that we need to examine why the </w:t>
      </w:r>
      <w:r w:rsidRPr="00230449">
        <w:rPr>
          <w:rFonts w:ascii="Arial" w:hAnsi="Arial" w:cs="Arial"/>
        </w:rPr>
        <w:lastRenderedPageBreak/>
        <w:t>quantity of unencumbered assets are so small, rather than focusing on participation in the management of distributing such a small fund. Methods of distribution are important,</w:t>
      </w:r>
      <w:r w:rsidRPr="00230449">
        <w:rPr>
          <w:rStyle w:val="FootnoteReference"/>
          <w:rFonts w:ascii="Arial" w:hAnsi="Arial" w:cs="Arial"/>
        </w:rPr>
        <w:footnoteReference w:id="129"/>
      </w:r>
      <w:r w:rsidRPr="00230449">
        <w:rPr>
          <w:rFonts w:ascii="Arial" w:hAnsi="Arial" w:cs="Arial"/>
        </w:rPr>
        <w:t xml:space="preserve"> but they do not resolve the question of the quantum of what is available to be distributed. A more far reaching evaluation of the nature and functions of our corporate insolvency laws is required for that task.</w:t>
      </w:r>
      <w:r w:rsidRPr="00230449">
        <w:rPr>
          <w:rStyle w:val="FootnoteReference"/>
          <w:rFonts w:ascii="Arial" w:hAnsi="Arial" w:cs="Arial"/>
        </w:rPr>
        <w:footnoteReference w:id="130"/>
      </w:r>
      <w:r w:rsidRPr="00230449">
        <w:rPr>
          <w:rFonts w:ascii="Arial" w:hAnsi="Arial" w:cs="Arial"/>
        </w:rPr>
        <w:t xml:space="preserve"> For well over 150 years unsecured creditors have experienced numerous incursions into the pot that may have been available for their satisfaction, but for IP fee claims,</w:t>
      </w:r>
      <w:r w:rsidRPr="00230449">
        <w:rPr>
          <w:rStyle w:val="FootnoteReference"/>
          <w:rFonts w:ascii="Arial" w:hAnsi="Arial" w:cs="Arial"/>
        </w:rPr>
        <w:footnoteReference w:id="131"/>
      </w:r>
      <w:r w:rsidRPr="00230449">
        <w:rPr>
          <w:rFonts w:ascii="Arial" w:hAnsi="Arial" w:cs="Arial"/>
        </w:rPr>
        <w:t xml:space="preserve"> security devices, ROT clauses, trust instruments, preferred creditors and such like. At a relatively recent Insolvency Service conference on the use of information technologies, the</w:t>
      </w:r>
      <w:r w:rsidR="00406734" w:rsidRPr="00230449">
        <w:rPr>
          <w:rFonts w:ascii="Arial" w:hAnsi="Arial" w:cs="Arial"/>
        </w:rPr>
        <w:t xml:space="preserve"> then</w:t>
      </w:r>
      <w:r w:rsidRPr="00230449">
        <w:rPr>
          <w:rFonts w:ascii="Arial" w:hAnsi="Arial" w:cs="Arial"/>
        </w:rPr>
        <w:t xml:space="preserve"> Director of Policy at the Insolvency Service, Nick Howard, responded to a question from Professor Sir Roy Goode QC by suggesting that he might like to chair a Cork Mark II.</w:t>
      </w:r>
      <w:r w:rsidRPr="00230449">
        <w:rPr>
          <w:rStyle w:val="FootnoteReference"/>
          <w:rFonts w:ascii="Arial" w:hAnsi="Arial" w:cs="Arial"/>
        </w:rPr>
        <w:footnoteReference w:id="132"/>
      </w:r>
      <w:r w:rsidRPr="00230449">
        <w:rPr>
          <w:rFonts w:ascii="Arial" w:hAnsi="Arial" w:cs="Arial"/>
        </w:rPr>
        <w:t xml:space="preserve"> </w:t>
      </w:r>
    </w:p>
    <w:p w:rsidR="00ED6A1D" w:rsidRPr="00230449" w:rsidRDefault="00ED6A1D" w:rsidP="008B1208">
      <w:pPr>
        <w:spacing w:line="360" w:lineRule="auto"/>
        <w:jc w:val="both"/>
        <w:rPr>
          <w:rFonts w:ascii="Arial" w:hAnsi="Arial" w:cs="Arial"/>
        </w:rPr>
      </w:pPr>
    </w:p>
    <w:p w:rsidR="0073677E" w:rsidRPr="00230449" w:rsidRDefault="0073677E" w:rsidP="008B1208">
      <w:pPr>
        <w:spacing w:line="360" w:lineRule="auto"/>
        <w:jc w:val="both"/>
        <w:rPr>
          <w:rFonts w:ascii="Arial" w:hAnsi="Arial" w:cs="Arial"/>
        </w:rPr>
      </w:pPr>
      <w:r w:rsidRPr="00230449">
        <w:rPr>
          <w:rFonts w:ascii="Arial" w:hAnsi="Arial" w:cs="Arial"/>
        </w:rPr>
        <w:t xml:space="preserve">The </w:t>
      </w:r>
      <w:r w:rsidRPr="00230449">
        <w:rPr>
          <w:rFonts w:ascii="Arial" w:hAnsi="Arial" w:cs="Arial"/>
          <w:i/>
        </w:rPr>
        <w:t>OFT</w:t>
      </w:r>
      <w:r w:rsidRPr="00230449">
        <w:rPr>
          <w:rFonts w:ascii="Arial" w:hAnsi="Arial" w:cs="Arial"/>
        </w:rPr>
        <w:t xml:space="preserve"> report perhaps highlights that this may not have been an entirely unreasonable suggestion. If there is no substantive change then strong creditors will continue to dominate corporate insolvency. It could therefore be argued that the </w:t>
      </w:r>
      <w:r w:rsidRPr="00230449">
        <w:rPr>
          <w:rFonts w:ascii="Arial" w:hAnsi="Arial" w:cs="Arial"/>
          <w:i/>
        </w:rPr>
        <w:t>OFT Report</w:t>
      </w:r>
      <w:r w:rsidRPr="00230449">
        <w:rPr>
          <w:rFonts w:ascii="Arial" w:hAnsi="Arial" w:cs="Arial"/>
        </w:rPr>
        <w:t xml:space="preserve"> and resulting </w:t>
      </w:r>
      <w:r w:rsidRPr="00230449">
        <w:rPr>
          <w:rFonts w:ascii="Arial" w:hAnsi="Arial" w:cs="Arial"/>
          <w:i/>
        </w:rPr>
        <w:t>IS Consultation</w:t>
      </w:r>
      <w:r w:rsidRPr="00230449">
        <w:rPr>
          <w:rFonts w:ascii="Arial" w:hAnsi="Arial" w:cs="Arial"/>
        </w:rPr>
        <w:t xml:space="preserve"> amount to nothing more than an exercise in moving the deck chairs around. Cork was critiqued by one commentator for not visiting the fundamentals,</w:t>
      </w:r>
      <w:r w:rsidRPr="00230449">
        <w:rPr>
          <w:rStyle w:val="FootnoteReference"/>
          <w:rFonts w:ascii="Arial" w:hAnsi="Arial" w:cs="Arial"/>
        </w:rPr>
        <w:footnoteReference w:id="133"/>
      </w:r>
      <w:r w:rsidRPr="00230449">
        <w:rPr>
          <w:rFonts w:ascii="Arial" w:hAnsi="Arial" w:cs="Arial"/>
        </w:rPr>
        <w:t xml:space="preserve"> a similar charge could perhaps be laid on the current consultation and reform process. One could respond however by noting that engaging in Warren like paternalism for unsecured  creditors is commendable, but like apathetic shareholders, or missing tutorial undergraduates, there comes a stage when this paternalism is destructive of individual creditor motivation. As the </w:t>
      </w:r>
      <w:r w:rsidRPr="00230449">
        <w:rPr>
          <w:rFonts w:ascii="Arial" w:hAnsi="Arial" w:cs="Arial"/>
          <w:i/>
        </w:rPr>
        <w:t>IS Consultation</w:t>
      </w:r>
      <w:r w:rsidRPr="00230449">
        <w:rPr>
          <w:rFonts w:ascii="Arial" w:hAnsi="Arial" w:cs="Arial"/>
        </w:rPr>
        <w:t xml:space="preserve"> has observed, the systems are there – use them!  </w:t>
      </w:r>
    </w:p>
    <w:p w:rsidR="0073677E" w:rsidRPr="00230449" w:rsidRDefault="0073677E" w:rsidP="008B1208">
      <w:pPr>
        <w:spacing w:line="360" w:lineRule="auto"/>
        <w:jc w:val="both"/>
        <w:rPr>
          <w:rFonts w:ascii="Arial" w:hAnsi="Arial" w:cs="Arial"/>
        </w:rPr>
      </w:pPr>
    </w:p>
    <w:p w:rsidR="0073677E" w:rsidRPr="00230449" w:rsidRDefault="003C7F72" w:rsidP="008B1208">
      <w:pPr>
        <w:spacing w:line="360" w:lineRule="auto"/>
        <w:jc w:val="both"/>
        <w:rPr>
          <w:rFonts w:ascii="Arial" w:hAnsi="Arial" w:cs="Arial"/>
        </w:rPr>
      </w:pPr>
      <w:r w:rsidRPr="00230449">
        <w:rPr>
          <w:rFonts w:ascii="Arial" w:hAnsi="Arial" w:cs="Arial"/>
        </w:rPr>
        <w:t>Reform which truly affects</w:t>
      </w:r>
      <w:r w:rsidR="0073677E" w:rsidRPr="00230449">
        <w:rPr>
          <w:rFonts w:ascii="Arial" w:hAnsi="Arial" w:cs="Arial"/>
        </w:rPr>
        <w:t xml:space="preserve"> unsecured creditors may involve, </w:t>
      </w:r>
      <w:r w:rsidR="0073677E" w:rsidRPr="00230449">
        <w:rPr>
          <w:rFonts w:ascii="Arial" w:hAnsi="Arial" w:cs="Arial"/>
          <w:i/>
        </w:rPr>
        <w:t>inter alia</w:t>
      </w:r>
      <w:r w:rsidR="0073677E" w:rsidRPr="00230449">
        <w:rPr>
          <w:rFonts w:ascii="Arial" w:hAnsi="Arial" w:cs="Arial"/>
        </w:rPr>
        <w:t xml:space="preserve">, a consideration of alternatives to </w:t>
      </w:r>
      <w:proofErr w:type="spellStart"/>
      <w:r w:rsidR="0073677E" w:rsidRPr="00230449">
        <w:rPr>
          <w:rFonts w:ascii="Arial" w:hAnsi="Arial" w:cs="Arial"/>
          <w:i/>
        </w:rPr>
        <w:t>pari</w:t>
      </w:r>
      <w:proofErr w:type="spellEnd"/>
      <w:r w:rsidR="0073677E" w:rsidRPr="00230449">
        <w:rPr>
          <w:rFonts w:ascii="Arial" w:hAnsi="Arial" w:cs="Arial"/>
          <w:i/>
        </w:rPr>
        <w:t xml:space="preserve"> </w:t>
      </w:r>
      <w:proofErr w:type="spellStart"/>
      <w:r w:rsidR="0073677E" w:rsidRPr="00230449">
        <w:rPr>
          <w:rFonts w:ascii="Arial" w:hAnsi="Arial" w:cs="Arial"/>
          <w:i/>
        </w:rPr>
        <w:t>passu</w:t>
      </w:r>
      <w:proofErr w:type="spellEnd"/>
      <w:r w:rsidR="0073677E" w:rsidRPr="00230449">
        <w:rPr>
          <w:rFonts w:ascii="Arial" w:hAnsi="Arial" w:cs="Arial"/>
        </w:rPr>
        <w:t xml:space="preserve"> such as paying in order of time of creation of the debt, </w:t>
      </w:r>
      <w:r w:rsidR="0073677E" w:rsidRPr="00230449">
        <w:rPr>
          <w:rFonts w:ascii="Arial" w:hAnsi="Arial" w:cs="Arial"/>
        </w:rPr>
        <w:lastRenderedPageBreak/>
        <w:t>payment by reference to ethical considerations, according to the size of sum owed, according to the need of each individual creditor and their inability to sustain losses, payment on public policy grounds, etc.</w:t>
      </w:r>
      <w:r w:rsidR="0073677E" w:rsidRPr="00230449">
        <w:rPr>
          <w:rStyle w:val="FootnoteReference"/>
          <w:rFonts w:ascii="Arial" w:hAnsi="Arial" w:cs="Arial"/>
        </w:rPr>
        <w:footnoteReference w:id="134"/>
      </w:r>
      <w:r w:rsidR="0072613C" w:rsidRPr="00230449">
        <w:rPr>
          <w:rFonts w:ascii="Arial" w:hAnsi="Arial" w:cs="Arial"/>
        </w:rPr>
        <w:t xml:space="preserve"> A</w:t>
      </w:r>
      <w:r w:rsidR="0073677E" w:rsidRPr="00230449">
        <w:rPr>
          <w:rFonts w:ascii="Arial" w:hAnsi="Arial" w:cs="Arial"/>
        </w:rPr>
        <w:t>n alter</w:t>
      </w:r>
      <w:r w:rsidR="0072613C" w:rsidRPr="00230449">
        <w:rPr>
          <w:rFonts w:ascii="Arial" w:hAnsi="Arial" w:cs="Arial"/>
        </w:rPr>
        <w:t>native view which has been suggested</w:t>
      </w:r>
      <w:r w:rsidR="0073677E" w:rsidRPr="00230449">
        <w:rPr>
          <w:rFonts w:ascii="Arial" w:hAnsi="Arial" w:cs="Arial"/>
        </w:rPr>
        <w:t xml:space="preserve"> by </w:t>
      </w:r>
      <w:proofErr w:type="spellStart"/>
      <w:r w:rsidR="0073677E" w:rsidRPr="00230449">
        <w:rPr>
          <w:rFonts w:ascii="Arial" w:hAnsi="Arial" w:cs="Arial"/>
        </w:rPr>
        <w:t>Milman</w:t>
      </w:r>
      <w:proofErr w:type="spellEnd"/>
      <w:r w:rsidR="0072613C" w:rsidRPr="00230449">
        <w:rPr>
          <w:rFonts w:ascii="Arial" w:hAnsi="Arial" w:cs="Arial"/>
        </w:rPr>
        <w:t xml:space="preserve"> is </w:t>
      </w:r>
      <w:r w:rsidR="0073677E" w:rsidRPr="00230449">
        <w:rPr>
          <w:rFonts w:ascii="Arial" w:hAnsi="Arial" w:cs="Arial"/>
        </w:rPr>
        <w:t>that, “as far as unsecured creditors generally are concerned, the main hope for the immediate future lies not in terms of classical priority rules being changed but more in the trend towards making directors personally liable for corporate debts.”</w:t>
      </w:r>
      <w:r w:rsidR="0073677E" w:rsidRPr="00230449">
        <w:rPr>
          <w:rStyle w:val="FootnoteReference"/>
          <w:rFonts w:ascii="Arial" w:hAnsi="Arial" w:cs="Arial"/>
        </w:rPr>
        <w:footnoteReference w:id="135"/>
      </w:r>
      <w:r w:rsidR="0073677E" w:rsidRPr="00230449">
        <w:rPr>
          <w:rFonts w:ascii="Arial" w:hAnsi="Arial" w:cs="Arial"/>
        </w:rPr>
        <w:t xml:space="preserve"> </w:t>
      </w:r>
      <w:r w:rsidR="0072613C" w:rsidRPr="00230449">
        <w:rPr>
          <w:rFonts w:ascii="Arial" w:hAnsi="Arial" w:cs="Arial"/>
        </w:rPr>
        <w:t>Given our traditional adherence to limited liability this is controversial and r</w:t>
      </w:r>
      <w:r w:rsidR="0073677E" w:rsidRPr="00230449">
        <w:rPr>
          <w:rFonts w:ascii="Arial" w:hAnsi="Arial" w:cs="Arial"/>
        </w:rPr>
        <w:t>ealisations from s.214 or s.</w:t>
      </w:r>
      <w:r w:rsidR="0072613C" w:rsidRPr="00230449">
        <w:rPr>
          <w:rFonts w:ascii="Arial" w:hAnsi="Arial" w:cs="Arial"/>
        </w:rPr>
        <w:t>239 of the Insolvency Act 1986 haven’t</w:t>
      </w:r>
      <w:r w:rsidR="0073677E" w:rsidRPr="00230449">
        <w:rPr>
          <w:rFonts w:ascii="Arial" w:hAnsi="Arial" w:cs="Arial"/>
        </w:rPr>
        <w:t xml:space="preserve"> recouped much for the unsecured creditors</w:t>
      </w:r>
      <w:r w:rsidR="00BF260D" w:rsidRPr="00230449">
        <w:rPr>
          <w:rFonts w:ascii="Arial" w:hAnsi="Arial" w:cs="Arial"/>
        </w:rPr>
        <w:t>.</w:t>
      </w:r>
      <w:r w:rsidR="00BF260D" w:rsidRPr="00230449">
        <w:rPr>
          <w:rStyle w:val="FootnoteReference"/>
          <w:rFonts w:ascii="Arial" w:hAnsi="Arial"/>
        </w:rPr>
        <w:footnoteReference w:id="136"/>
      </w:r>
      <w:r w:rsidR="00BF260D" w:rsidRPr="00230449">
        <w:rPr>
          <w:rFonts w:ascii="Arial" w:hAnsi="Arial" w:cs="Arial"/>
        </w:rPr>
        <w:t xml:space="preserve"> </w:t>
      </w:r>
      <w:r w:rsidR="000E11B5" w:rsidRPr="00230449">
        <w:rPr>
          <w:rFonts w:ascii="Arial" w:hAnsi="Arial" w:cs="Arial"/>
        </w:rPr>
        <w:t xml:space="preserve">However, things may change. </w:t>
      </w:r>
      <w:r w:rsidR="00BF260D" w:rsidRPr="00230449">
        <w:rPr>
          <w:rFonts w:ascii="Arial" w:hAnsi="Arial" w:cs="Arial"/>
        </w:rPr>
        <w:t>The rise of litigation funders, such as Manolete Partners PLC</w:t>
      </w:r>
      <w:r w:rsidR="000E11B5" w:rsidRPr="00230449">
        <w:rPr>
          <w:rFonts w:ascii="Arial" w:hAnsi="Arial" w:cs="Arial"/>
        </w:rPr>
        <w:t>,</w:t>
      </w:r>
      <w:r w:rsidR="000E11B5" w:rsidRPr="00230449">
        <w:rPr>
          <w:rStyle w:val="FootnoteReference"/>
          <w:rFonts w:ascii="Arial" w:hAnsi="Arial"/>
        </w:rPr>
        <w:footnoteReference w:id="137"/>
      </w:r>
      <w:r w:rsidR="00BF260D" w:rsidRPr="00230449">
        <w:rPr>
          <w:rFonts w:ascii="Arial" w:hAnsi="Arial" w:cs="Arial"/>
        </w:rPr>
        <w:t xml:space="preserve"> certainly seems to make the pursuit of this</w:t>
      </w:r>
      <w:r w:rsidR="006B1870" w:rsidRPr="00230449">
        <w:rPr>
          <w:rFonts w:ascii="Arial" w:hAnsi="Arial" w:cs="Arial"/>
        </w:rPr>
        <w:t xml:space="preserve"> species of</w:t>
      </w:r>
      <w:r w:rsidR="00BF260D" w:rsidRPr="00230449">
        <w:rPr>
          <w:rFonts w:ascii="Arial" w:hAnsi="Arial" w:cs="Arial"/>
        </w:rPr>
        <w:t xml:space="preserve"> litigation</w:t>
      </w:r>
      <w:r w:rsidR="006B1870" w:rsidRPr="00230449">
        <w:rPr>
          <w:rFonts w:ascii="Arial" w:hAnsi="Arial" w:cs="Arial"/>
        </w:rPr>
        <w:t>,</w:t>
      </w:r>
      <w:r w:rsidR="00BF260D" w:rsidRPr="00230449">
        <w:rPr>
          <w:rFonts w:ascii="Arial" w:hAnsi="Arial" w:cs="Arial"/>
        </w:rPr>
        <w:t xml:space="preserve"> and associated settlements</w:t>
      </w:r>
      <w:r w:rsidR="006B1870" w:rsidRPr="00230449">
        <w:rPr>
          <w:rFonts w:ascii="Arial" w:hAnsi="Arial" w:cs="Arial"/>
        </w:rPr>
        <w:t>,</w:t>
      </w:r>
      <w:r w:rsidR="00BF260D" w:rsidRPr="00230449">
        <w:rPr>
          <w:rFonts w:ascii="Arial" w:hAnsi="Arial" w:cs="Arial"/>
        </w:rPr>
        <w:t xml:space="preserve"> </w:t>
      </w:r>
      <w:r w:rsidR="000E11B5" w:rsidRPr="00230449">
        <w:rPr>
          <w:rFonts w:ascii="Arial" w:hAnsi="Arial" w:cs="Arial"/>
        </w:rPr>
        <w:t xml:space="preserve">much </w:t>
      </w:r>
      <w:r w:rsidR="00BF260D" w:rsidRPr="00230449">
        <w:rPr>
          <w:rFonts w:ascii="Arial" w:hAnsi="Arial" w:cs="Arial"/>
        </w:rPr>
        <w:t xml:space="preserve">more likely. </w:t>
      </w:r>
    </w:p>
    <w:p w:rsidR="00406734" w:rsidRPr="00230449" w:rsidRDefault="00406734" w:rsidP="008B1208">
      <w:pPr>
        <w:spacing w:line="360" w:lineRule="auto"/>
        <w:jc w:val="both"/>
        <w:rPr>
          <w:rFonts w:ascii="Arial" w:hAnsi="Arial" w:cs="Arial"/>
          <w:b/>
        </w:rPr>
      </w:pPr>
    </w:p>
    <w:p w:rsidR="0041065A" w:rsidRPr="00230449" w:rsidRDefault="0041065A" w:rsidP="008B1208">
      <w:pPr>
        <w:spacing w:line="360" w:lineRule="auto"/>
        <w:jc w:val="both"/>
        <w:rPr>
          <w:rFonts w:ascii="Arial" w:hAnsi="Arial" w:cs="Arial"/>
        </w:rPr>
      </w:pPr>
      <w:r w:rsidRPr="00230449">
        <w:rPr>
          <w:rFonts w:ascii="Arial" w:hAnsi="Arial" w:cs="Arial"/>
        </w:rPr>
        <w:t>The unsecured creditors’ position will only be ameliorated if the entire structure of corporate insolvency is re-evaluated and changed.</w:t>
      </w:r>
      <w:r w:rsidRPr="00230449">
        <w:rPr>
          <w:rStyle w:val="FootnoteReference"/>
          <w:rFonts w:ascii="Arial" w:hAnsi="Arial" w:cs="Arial"/>
        </w:rPr>
        <w:footnoteReference w:id="138"/>
      </w:r>
      <w:r w:rsidRPr="00230449">
        <w:rPr>
          <w:rFonts w:ascii="Arial" w:hAnsi="Arial" w:cs="Arial"/>
        </w:rPr>
        <w:t xml:space="preserve"> This calls for a wider reform process, a mere tinkering with the communication mechanisms for unsecured creditors will achieve little.  </w:t>
      </w:r>
    </w:p>
    <w:p w:rsidR="0073677E" w:rsidRPr="00230449" w:rsidRDefault="0073677E" w:rsidP="008B1208">
      <w:pPr>
        <w:spacing w:line="360" w:lineRule="auto"/>
        <w:jc w:val="both"/>
        <w:rPr>
          <w:rFonts w:ascii="Arial" w:hAnsi="Arial" w:cs="Arial"/>
        </w:rPr>
      </w:pPr>
    </w:p>
    <w:p w:rsidR="0073677E" w:rsidRPr="00230449" w:rsidRDefault="0073677E" w:rsidP="00BD1F88">
      <w:pPr>
        <w:jc w:val="both"/>
        <w:rPr>
          <w:rFonts w:ascii="Arial" w:hAnsi="Arial" w:cs="Arial"/>
        </w:rPr>
      </w:pPr>
    </w:p>
    <w:p w:rsidR="00C2098C" w:rsidRPr="00230449" w:rsidRDefault="00C2098C" w:rsidP="008627EC">
      <w:pPr>
        <w:jc w:val="both"/>
        <w:rPr>
          <w:rFonts w:ascii="Arial" w:hAnsi="Arial" w:cs="Arial"/>
        </w:rPr>
      </w:pPr>
    </w:p>
    <w:p w:rsidR="00C2098C" w:rsidRPr="00230449" w:rsidRDefault="00F625AE" w:rsidP="004746A5">
      <w:pPr>
        <w:pStyle w:val="ListParagraph"/>
        <w:numPr>
          <w:ilvl w:val="0"/>
          <w:numId w:val="4"/>
        </w:numPr>
        <w:ind w:left="714" w:hanging="357"/>
        <w:jc w:val="both"/>
        <w:rPr>
          <w:rFonts w:ascii="Arial" w:hAnsi="Arial" w:cs="Arial"/>
          <w:b/>
          <w:u w:val="single"/>
        </w:rPr>
      </w:pPr>
      <w:r w:rsidRPr="00230449">
        <w:rPr>
          <w:rFonts w:ascii="Arial" w:hAnsi="Arial" w:cs="Arial"/>
          <w:b/>
          <w:u w:val="single"/>
        </w:rPr>
        <w:t xml:space="preserve">The Protection Quest: </w:t>
      </w:r>
      <w:r w:rsidR="002B00EB" w:rsidRPr="00230449">
        <w:rPr>
          <w:rFonts w:ascii="Arial" w:hAnsi="Arial" w:cs="Arial"/>
          <w:b/>
          <w:u w:val="single"/>
        </w:rPr>
        <w:t xml:space="preserve">Trusts and insolvency </w:t>
      </w:r>
      <w:r w:rsidR="00B608B9" w:rsidRPr="00230449">
        <w:rPr>
          <w:rFonts w:ascii="Arial" w:hAnsi="Arial" w:cs="Arial"/>
          <w:b/>
          <w:u w:val="single"/>
        </w:rPr>
        <w:t>– themes of consolidation and</w:t>
      </w:r>
      <w:r w:rsidR="00587053" w:rsidRPr="00230449">
        <w:rPr>
          <w:rFonts w:ascii="Arial" w:hAnsi="Arial" w:cs="Arial"/>
          <w:b/>
          <w:u w:val="single"/>
        </w:rPr>
        <w:t xml:space="preserve"> “security” protection </w:t>
      </w:r>
      <w:r w:rsidR="00C2098C" w:rsidRPr="00230449">
        <w:rPr>
          <w:rFonts w:ascii="Arial" w:hAnsi="Arial" w:cs="Arial"/>
          <w:b/>
          <w:u w:val="single"/>
        </w:rPr>
        <w:t xml:space="preserve"> </w:t>
      </w:r>
    </w:p>
    <w:p w:rsidR="00C90A96" w:rsidRPr="00230449" w:rsidRDefault="00C90A96" w:rsidP="00C90A96">
      <w:pPr>
        <w:spacing w:line="360" w:lineRule="auto"/>
        <w:jc w:val="both"/>
        <w:rPr>
          <w:rFonts w:ascii="Arial" w:hAnsi="Arial" w:cs="Arial"/>
          <w:b/>
          <w:u w:val="single"/>
        </w:rPr>
      </w:pPr>
    </w:p>
    <w:p w:rsidR="002B00EB" w:rsidRPr="00230449" w:rsidRDefault="002B00EB" w:rsidP="007C0274">
      <w:pPr>
        <w:spacing w:line="360" w:lineRule="auto"/>
        <w:jc w:val="both"/>
        <w:rPr>
          <w:rFonts w:ascii="Arial" w:hAnsi="Arial" w:cs="Arial"/>
        </w:rPr>
      </w:pPr>
      <w:r w:rsidRPr="00230449">
        <w:rPr>
          <w:rFonts w:ascii="Arial" w:hAnsi="Arial" w:cs="Arial"/>
        </w:rPr>
        <w:t xml:space="preserve">Our second Nietzschean </w:t>
      </w:r>
      <w:r w:rsidR="00F9429F" w:rsidRPr="00230449">
        <w:rPr>
          <w:rFonts w:ascii="Arial" w:hAnsi="Arial" w:cs="Arial"/>
        </w:rPr>
        <w:t xml:space="preserve">broad </w:t>
      </w:r>
      <w:r w:rsidR="00035E21" w:rsidRPr="00230449">
        <w:rPr>
          <w:rFonts w:ascii="Arial" w:hAnsi="Arial" w:cs="Arial"/>
        </w:rPr>
        <w:t xml:space="preserve">Eternal Recurrence </w:t>
      </w:r>
      <w:r w:rsidRPr="00230449">
        <w:rPr>
          <w:rFonts w:ascii="Arial" w:hAnsi="Arial" w:cs="Arial"/>
        </w:rPr>
        <w:t>theme relates to</w:t>
      </w:r>
      <w:r w:rsidR="00F161BB" w:rsidRPr="00230449">
        <w:rPr>
          <w:rFonts w:ascii="Arial" w:hAnsi="Arial" w:cs="Arial"/>
        </w:rPr>
        <w:t xml:space="preserve"> the </w:t>
      </w:r>
      <w:r w:rsidR="00F625AE" w:rsidRPr="00230449">
        <w:rPr>
          <w:rFonts w:ascii="Arial" w:hAnsi="Arial" w:cs="Arial"/>
        </w:rPr>
        <w:t xml:space="preserve">seemingly permanent quest for protection. </w:t>
      </w:r>
      <w:r w:rsidR="00F9429F" w:rsidRPr="00230449">
        <w:rPr>
          <w:rFonts w:ascii="Arial" w:hAnsi="Arial" w:cs="Arial"/>
        </w:rPr>
        <w:t>T</w:t>
      </w:r>
      <w:r w:rsidRPr="00230449">
        <w:rPr>
          <w:rFonts w:ascii="Arial" w:hAnsi="Arial" w:cs="Arial"/>
        </w:rPr>
        <w:t xml:space="preserve">rusts and their deployment </w:t>
      </w:r>
      <w:r w:rsidR="00F625AE" w:rsidRPr="00230449">
        <w:rPr>
          <w:rFonts w:ascii="Arial" w:hAnsi="Arial" w:cs="Arial"/>
        </w:rPr>
        <w:t>within the realm of insol</w:t>
      </w:r>
      <w:r w:rsidR="00F9429F" w:rsidRPr="00230449">
        <w:rPr>
          <w:rFonts w:ascii="Arial" w:hAnsi="Arial" w:cs="Arial"/>
        </w:rPr>
        <w:t>vency are</w:t>
      </w:r>
      <w:r w:rsidR="00F161BB" w:rsidRPr="00230449">
        <w:rPr>
          <w:rFonts w:ascii="Arial" w:hAnsi="Arial" w:cs="Arial"/>
        </w:rPr>
        <w:t xml:space="preserve"> one example of this </w:t>
      </w:r>
      <w:r w:rsidR="00F625AE" w:rsidRPr="00230449">
        <w:rPr>
          <w:rFonts w:ascii="Arial" w:hAnsi="Arial" w:cs="Arial"/>
        </w:rPr>
        <w:t>attempt by one group of creditors</w:t>
      </w:r>
      <w:r w:rsidR="00C27FE4" w:rsidRPr="00230449">
        <w:rPr>
          <w:rFonts w:ascii="Arial" w:hAnsi="Arial" w:cs="Arial"/>
        </w:rPr>
        <w:t>,</w:t>
      </w:r>
      <w:r w:rsidR="00F625AE" w:rsidRPr="00230449">
        <w:rPr>
          <w:rFonts w:ascii="Arial" w:hAnsi="Arial" w:cs="Arial"/>
        </w:rPr>
        <w:t xml:space="preserve"> or a single creditor</w:t>
      </w:r>
      <w:r w:rsidR="00C27FE4" w:rsidRPr="00230449">
        <w:rPr>
          <w:rFonts w:ascii="Arial" w:hAnsi="Arial" w:cs="Arial"/>
        </w:rPr>
        <w:t>,</w:t>
      </w:r>
      <w:r w:rsidR="00F625AE" w:rsidRPr="00230449">
        <w:rPr>
          <w:rFonts w:ascii="Arial" w:hAnsi="Arial" w:cs="Arial"/>
        </w:rPr>
        <w:t xml:space="preserve"> to </w:t>
      </w:r>
      <w:r w:rsidR="0028604F" w:rsidRPr="00230449">
        <w:rPr>
          <w:rFonts w:ascii="Arial" w:hAnsi="Arial" w:cs="Arial"/>
        </w:rPr>
        <w:t xml:space="preserve">place themselves outside </w:t>
      </w:r>
      <w:r w:rsidR="00F625AE" w:rsidRPr="00230449">
        <w:rPr>
          <w:rFonts w:ascii="Arial" w:hAnsi="Arial" w:cs="Arial"/>
        </w:rPr>
        <w:t>the insolvency waterfall</w:t>
      </w:r>
      <w:r w:rsidR="00C27FE4" w:rsidRPr="00230449">
        <w:rPr>
          <w:rFonts w:ascii="Arial" w:hAnsi="Arial" w:cs="Arial"/>
        </w:rPr>
        <w:t xml:space="preserve"> and in the most </w:t>
      </w:r>
      <w:r w:rsidR="00C27FE4" w:rsidRPr="00230449">
        <w:rPr>
          <w:rFonts w:ascii="Arial" w:hAnsi="Arial" w:cs="Arial"/>
        </w:rPr>
        <w:lastRenderedPageBreak/>
        <w:t>favourable position upon insolvency. In so doing the creditor</w:t>
      </w:r>
      <w:r w:rsidR="00F625AE" w:rsidRPr="00230449">
        <w:rPr>
          <w:rFonts w:ascii="Arial" w:hAnsi="Arial" w:cs="Arial"/>
        </w:rPr>
        <w:t xml:space="preserve"> escape</w:t>
      </w:r>
      <w:r w:rsidR="00C27FE4" w:rsidRPr="00230449">
        <w:rPr>
          <w:rFonts w:ascii="Arial" w:hAnsi="Arial" w:cs="Arial"/>
        </w:rPr>
        <w:t>s</w:t>
      </w:r>
      <w:r w:rsidR="00F625AE" w:rsidRPr="00230449">
        <w:rPr>
          <w:rFonts w:ascii="Arial" w:hAnsi="Arial" w:cs="Arial"/>
        </w:rPr>
        <w:t xml:space="preserve"> the problems which</w:t>
      </w:r>
      <w:r w:rsidR="0028604F" w:rsidRPr="00230449">
        <w:rPr>
          <w:rFonts w:ascii="Arial" w:hAnsi="Arial" w:cs="Arial"/>
        </w:rPr>
        <w:t xml:space="preserve"> have just been discussed which</w:t>
      </w:r>
      <w:r w:rsidR="00F625AE" w:rsidRPr="00230449">
        <w:rPr>
          <w:rFonts w:ascii="Arial" w:hAnsi="Arial" w:cs="Arial"/>
        </w:rPr>
        <w:t xml:space="preserve"> attach to the unsecured creditor. </w:t>
      </w:r>
    </w:p>
    <w:p w:rsidR="002B00EB" w:rsidRPr="00230449" w:rsidRDefault="002B00EB" w:rsidP="007C0274">
      <w:pPr>
        <w:spacing w:line="360" w:lineRule="auto"/>
        <w:jc w:val="both"/>
        <w:rPr>
          <w:rFonts w:ascii="Arial" w:hAnsi="Arial" w:cs="Arial"/>
        </w:rPr>
      </w:pPr>
    </w:p>
    <w:p w:rsidR="002B00EB" w:rsidRPr="00230449" w:rsidRDefault="003E753D" w:rsidP="002B00EB">
      <w:pPr>
        <w:spacing w:line="360" w:lineRule="auto"/>
        <w:jc w:val="both"/>
        <w:rPr>
          <w:rFonts w:ascii="Arial" w:hAnsi="Arial" w:cs="Arial"/>
        </w:rPr>
      </w:pPr>
      <w:r w:rsidRPr="00230449">
        <w:rPr>
          <w:rFonts w:ascii="Arial" w:hAnsi="Arial" w:cs="Arial"/>
        </w:rPr>
        <w:t>There has been a</w:t>
      </w:r>
      <w:r w:rsidR="007C0274" w:rsidRPr="00230449">
        <w:rPr>
          <w:rFonts w:ascii="Arial" w:hAnsi="Arial" w:cs="Arial"/>
        </w:rPr>
        <w:t xml:space="preserve"> diminution in protection provided by security as a result of the EA2002 reforms</w:t>
      </w:r>
      <w:r w:rsidR="007C0274" w:rsidRPr="00230449">
        <w:rPr>
          <w:rStyle w:val="FootnoteReference"/>
          <w:rFonts w:ascii="Arial" w:hAnsi="Arial" w:cs="Arial"/>
        </w:rPr>
        <w:footnoteReference w:id="139"/>
      </w:r>
      <w:r w:rsidR="007C0274" w:rsidRPr="00230449">
        <w:rPr>
          <w:rFonts w:ascii="Arial" w:hAnsi="Arial" w:cs="Arial"/>
        </w:rPr>
        <w:t xml:space="preserve"> on administrative receivership and by extension fixed and floating charges</w:t>
      </w:r>
      <w:r w:rsidRPr="00230449">
        <w:rPr>
          <w:rFonts w:ascii="Arial" w:hAnsi="Arial" w:cs="Arial"/>
        </w:rPr>
        <w:t>.</w:t>
      </w:r>
      <w:r w:rsidR="007C0274" w:rsidRPr="00230449">
        <w:rPr>
          <w:rStyle w:val="FootnoteReference"/>
          <w:rFonts w:ascii="Arial" w:hAnsi="Arial" w:cs="Arial"/>
        </w:rPr>
        <w:footnoteReference w:id="140"/>
      </w:r>
      <w:r w:rsidRPr="00230449">
        <w:rPr>
          <w:rFonts w:ascii="Arial" w:hAnsi="Arial" w:cs="Arial"/>
        </w:rPr>
        <w:t xml:space="preserve"> </w:t>
      </w:r>
      <w:r w:rsidR="00834CCC" w:rsidRPr="00230449">
        <w:rPr>
          <w:rFonts w:ascii="Arial" w:hAnsi="Arial" w:cs="Arial"/>
        </w:rPr>
        <w:t>W</w:t>
      </w:r>
      <w:r w:rsidR="007C0274" w:rsidRPr="00230449">
        <w:rPr>
          <w:rFonts w:ascii="Arial" w:hAnsi="Arial" w:cs="Arial"/>
        </w:rPr>
        <w:t>hat alternatives exist that credit providers can seek redress to?</w:t>
      </w:r>
      <w:r w:rsidR="00834CCC" w:rsidRPr="00230449">
        <w:rPr>
          <w:rFonts w:ascii="Arial" w:hAnsi="Arial" w:cs="Arial"/>
        </w:rPr>
        <w:t xml:space="preserve"> </w:t>
      </w:r>
      <w:r w:rsidR="007C0274" w:rsidRPr="00230449">
        <w:rPr>
          <w:rFonts w:ascii="Arial" w:hAnsi="Arial" w:cs="Arial"/>
        </w:rPr>
        <w:t>Stevens and Finch, amongst others, have begun the search by highlighting the possible use of trusts in the context of post administration funding protection for creditors who advance new monies in a rescue environment.</w:t>
      </w:r>
      <w:r w:rsidR="007C0274" w:rsidRPr="00230449">
        <w:rPr>
          <w:rStyle w:val="FootnoteReference"/>
          <w:rFonts w:ascii="Arial" w:hAnsi="Arial" w:cs="Arial"/>
        </w:rPr>
        <w:footnoteReference w:id="141"/>
      </w:r>
      <w:r w:rsidR="007C0274" w:rsidRPr="00230449">
        <w:rPr>
          <w:rFonts w:ascii="Arial" w:hAnsi="Arial" w:cs="Arial"/>
        </w:rPr>
        <w:t xml:space="preserve"> </w:t>
      </w:r>
      <w:r w:rsidR="002B00EB" w:rsidRPr="00230449">
        <w:rPr>
          <w:rFonts w:ascii="Arial" w:hAnsi="Arial" w:cs="Arial"/>
        </w:rPr>
        <w:t xml:space="preserve">The establishment of a trust helps a given ‘creditor’ escape this ranking. </w:t>
      </w:r>
    </w:p>
    <w:p w:rsidR="002B00EB" w:rsidRPr="00230449" w:rsidRDefault="002B00EB" w:rsidP="002B00EB">
      <w:pPr>
        <w:spacing w:line="360" w:lineRule="auto"/>
        <w:jc w:val="both"/>
        <w:rPr>
          <w:rFonts w:ascii="Arial" w:hAnsi="Arial" w:cs="Arial"/>
        </w:rPr>
      </w:pPr>
    </w:p>
    <w:p w:rsidR="002B00EB" w:rsidRPr="00230449" w:rsidRDefault="00834CCC" w:rsidP="002B00EB">
      <w:pPr>
        <w:spacing w:line="360" w:lineRule="auto"/>
        <w:jc w:val="both"/>
        <w:rPr>
          <w:rFonts w:ascii="Arial" w:hAnsi="Arial" w:cs="Arial"/>
        </w:rPr>
      </w:pPr>
      <w:r w:rsidRPr="00230449">
        <w:rPr>
          <w:rFonts w:ascii="Arial" w:hAnsi="Arial" w:cs="Arial"/>
        </w:rPr>
        <w:t xml:space="preserve">Fletcher </w:t>
      </w:r>
      <w:r w:rsidR="002B00EB" w:rsidRPr="00230449">
        <w:rPr>
          <w:rFonts w:ascii="Arial" w:hAnsi="Arial" w:cs="Arial"/>
        </w:rPr>
        <w:t>observed that the establishment of a trust helps the creditor escape “the fate destined to be experienced by the other ordinary, unsecured creditors.”</w:t>
      </w:r>
      <w:r w:rsidR="002B00EB" w:rsidRPr="00230449">
        <w:rPr>
          <w:rStyle w:val="FootnoteReference"/>
          <w:rFonts w:ascii="Arial" w:hAnsi="Arial" w:cs="Arial"/>
        </w:rPr>
        <w:footnoteReference w:id="142"/>
      </w:r>
      <w:r w:rsidR="002B00EB" w:rsidRPr="00230449">
        <w:rPr>
          <w:rFonts w:ascii="Arial" w:hAnsi="Arial" w:cs="Arial"/>
        </w:rPr>
        <w:t xml:space="preserve"> The effect of escaping priority ranking or </w:t>
      </w:r>
      <w:proofErr w:type="spellStart"/>
      <w:r w:rsidR="002B00EB" w:rsidRPr="00230449">
        <w:rPr>
          <w:rFonts w:ascii="Arial" w:hAnsi="Arial" w:cs="Arial"/>
          <w:i/>
        </w:rPr>
        <w:t>pari</w:t>
      </w:r>
      <w:proofErr w:type="spellEnd"/>
      <w:r w:rsidR="002B00EB" w:rsidRPr="00230449">
        <w:rPr>
          <w:rFonts w:ascii="Arial" w:hAnsi="Arial" w:cs="Arial"/>
          <w:i/>
        </w:rPr>
        <w:t xml:space="preserve"> </w:t>
      </w:r>
      <w:proofErr w:type="spellStart"/>
      <w:r w:rsidR="002B00EB" w:rsidRPr="00230449">
        <w:rPr>
          <w:rFonts w:ascii="Arial" w:hAnsi="Arial" w:cs="Arial"/>
          <w:i/>
        </w:rPr>
        <w:t>passu</w:t>
      </w:r>
      <w:proofErr w:type="spellEnd"/>
      <w:r w:rsidR="002B00EB" w:rsidRPr="00230449">
        <w:rPr>
          <w:rFonts w:ascii="Arial" w:hAnsi="Arial" w:cs="Arial"/>
        </w:rPr>
        <w:t xml:space="preserve"> treatment is the same for the beneficiary of any trust, namely that they avoid participating in a pool of assets alongside other creditors in whatever form of participation is being used. If it is accepted that the use of a trust is a true exception to </w:t>
      </w:r>
      <w:proofErr w:type="spellStart"/>
      <w:r w:rsidR="002B00EB" w:rsidRPr="00230449">
        <w:rPr>
          <w:rFonts w:ascii="Arial" w:hAnsi="Arial" w:cs="Arial"/>
          <w:i/>
        </w:rPr>
        <w:t>pari</w:t>
      </w:r>
      <w:proofErr w:type="spellEnd"/>
      <w:r w:rsidR="002B00EB" w:rsidRPr="00230449">
        <w:rPr>
          <w:rFonts w:ascii="Arial" w:hAnsi="Arial" w:cs="Arial"/>
          <w:i/>
        </w:rPr>
        <w:t xml:space="preserve"> </w:t>
      </w:r>
      <w:proofErr w:type="spellStart"/>
      <w:r w:rsidR="002B00EB" w:rsidRPr="00230449">
        <w:rPr>
          <w:rFonts w:ascii="Arial" w:hAnsi="Arial" w:cs="Arial"/>
          <w:i/>
        </w:rPr>
        <w:t>passu</w:t>
      </w:r>
      <w:proofErr w:type="spellEnd"/>
      <w:r w:rsidR="002B00EB" w:rsidRPr="00230449">
        <w:rPr>
          <w:rFonts w:ascii="Arial" w:hAnsi="Arial" w:cs="Arial"/>
        </w:rPr>
        <w:t xml:space="preserve"> principles of distribution,</w:t>
      </w:r>
      <w:r w:rsidR="002B00EB" w:rsidRPr="00230449">
        <w:rPr>
          <w:rStyle w:val="FootnoteReference"/>
          <w:rFonts w:ascii="Arial" w:hAnsi="Arial" w:cs="Arial"/>
        </w:rPr>
        <w:footnoteReference w:id="143"/>
      </w:r>
      <w:r w:rsidR="002B00EB" w:rsidRPr="00230449">
        <w:rPr>
          <w:rFonts w:ascii="Arial" w:hAnsi="Arial" w:cs="Arial"/>
        </w:rPr>
        <w:t xml:space="preserve"> other examples can also be given, such as set-off</w:t>
      </w:r>
      <w:r w:rsidR="002B00EB" w:rsidRPr="00230449">
        <w:rPr>
          <w:rStyle w:val="FootnoteReference"/>
          <w:rFonts w:ascii="Arial" w:hAnsi="Arial" w:cs="Arial"/>
        </w:rPr>
        <w:footnoteReference w:id="144"/>
      </w:r>
      <w:r w:rsidR="002B00EB" w:rsidRPr="00230449">
        <w:rPr>
          <w:rFonts w:ascii="Arial" w:hAnsi="Arial" w:cs="Arial"/>
        </w:rPr>
        <w:t xml:space="preserve"> and </w:t>
      </w:r>
      <w:proofErr w:type="spellStart"/>
      <w:r w:rsidR="002B00EB" w:rsidRPr="00230449">
        <w:rPr>
          <w:rFonts w:ascii="Arial" w:hAnsi="Arial" w:cs="Arial"/>
        </w:rPr>
        <w:t>Romalpa</w:t>
      </w:r>
      <w:proofErr w:type="spellEnd"/>
      <w:r w:rsidR="002B00EB" w:rsidRPr="00230449">
        <w:rPr>
          <w:rFonts w:ascii="Arial" w:hAnsi="Arial" w:cs="Arial"/>
        </w:rPr>
        <w:t xml:space="preserve"> clauses</w:t>
      </w:r>
      <w:r w:rsidR="002B00EB" w:rsidRPr="00230449">
        <w:rPr>
          <w:rStyle w:val="FootnoteReference"/>
          <w:rFonts w:ascii="Arial" w:hAnsi="Arial" w:cs="Arial"/>
        </w:rPr>
        <w:footnoteReference w:id="145"/>
      </w:r>
      <w:r w:rsidR="002B00EB" w:rsidRPr="00230449">
        <w:rPr>
          <w:rFonts w:ascii="Arial" w:hAnsi="Arial" w:cs="Arial"/>
        </w:rPr>
        <w:t xml:space="preserve"> which aid one creditor in their attempts to circumvent the distribution mechanisms, or indeed the effect of the insolvency laws in their totality. This is because the property against which the creditors are seeking to claim, in</w:t>
      </w:r>
      <w:r w:rsidR="006F00D3" w:rsidRPr="00230449">
        <w:rPr>
          <w:rFonts w:ascii="Arial" w:hAnsi="Arial" w:cs="Arial"/>
        </w:rPr>
        <w:t xml:space="preserve"> the context of trusts and </w:t>
      </w:r>
      <w:proofErr w:type="spellStart"/>
      <w:r w:rsidR="006F00D3" w:rsidRPr="00230449">
        <w:rPr>
          <w:rFonts w:ascii="Arial" w:hAnsi="Arial" w:cs="Arial"/>
        </w:rPr>
        <w:t>R</w:t>
      </w:r>
      <w:r w:rsidR="002B00EB" w:rsidRPr="00230449">
        <w:rPr>
          <w:rFonts w:ascii="Arial" w:hAnsi="Arial" w:cs="Arial"/>
        </w:rPr>
        <w:t>omalpa</w:t>
      </w:r>
      <w:proofErr w:type="spellEnd"/>
      <w:r w:rsidR="002B00EB" w:rsidRPr="00230449">
        <w:rPr>
          <w:rFonts w:ascii="Arial" w:hAnsi="Arial" w:cs="Arial"/>
        </w:rPr>
        <w:t xml:space="preserve"> clauses, never formed part of the insolvent estate. Set-off of course does fall within the insolvency laws but operates automatically causing value to be removed before collectivised interests take hold. </w:t>
      </w:r>
      <w:r w:rsidR="006F00D3" w:rsidRPr="00230449">
        <w:rPr>
          <w:rFonts w:ascii="Arial" w:hAnsi="Arial" w:cs="Arial"/>
        </w:rPr>
        <w:t xml:space="preserve">The property in the trusts and </w:t>
      </w:r>
      <w:proofErr w:type="spellStart"/>
      <w:r w:rsidR="006F00D3" w:rsidRPr="00230449">
        <w:rPr>
          <w:rFonts w:ascii="Arial" w:hAnsi="Arial" w:cs="Arial"/>
        </w:rPr>
        <w:t>R</w:t>
      </w:r>
      <w:r w:rsidR="002B00EB" w:rsidRPr="00230449">
        <w:rPr>
          <w:rFonts w:ascii="Arial" w:hAnsi="Arial" w:cs="Arial"/>
        </w:rPr>
        <w:t>omalpa</w:t>
      </w:r>
      <w:proofErr w:type="spellEnd"/>
      <w:r w:rsidR="002B00EB" w:rsidRPr="00230449">
        <w:rPr>
          <w:rFonts w:ascii="Arial" w:hAnsi="Arial" w:cs="Arial"/>
        </w:rPr>
        <w:t xml:space="preserve"> sense is therefore, not available to the officeholder for realisation and subsequent distribution according to </w:t>
      </w:r>
      <w:r w:rsidR="002B00EB" w:rsidRPr="00230449">
        <w:rPr>
          <w:rFonts w:ascii="Arial" w:hAnsi="Arial" w:cs="Arial"/>
        </w:rPr>
        <w:lastRenderedPageBreak/>
        <w:t xml:space="preserve">collectivised interests and any given distribution mechanism, but can be sought by the trust ‘creditor’ alone to satisfy their claims as beneficiaries (or owners in the case of </w:t>
      </w:r>
      <w:proofErr w:type="spellStart"/>
      <w:r w:rsidR="002B00EB" w:rsidRPr="00230449">
        <w:rPr>
          <w:rFonts w:ascii="Arial" w:hAnsi="Arial" w:cs="Arial"/>
        </w:rPr>
        <w:t>Romalpa</w:t>
      </w:r>
      <w:proofErr w:type="spellEnd"/>
      <w:r w:rsidR="002B00EB" w:rsidRPr="00230449">
        <w:rPr>
          <w:rFonts w:ascii="Arial" w:hAnsi="Arial" w:cs="Arial"/>
        </w:rPr>
        <w:t xml:space="preserve"> clauses). </w:t>
      </w:r>
    </w:p>
    <w:p w:rsidR="00B802C8" w:rsidRPr="00230449" w:rsidRDefault="00B802C8" w:rsidP="007C0274">
      <w:pPr>
        <w:spacing w:line="360" w:lineRule="auto"/>
        <w:jc w:val="both"/>
        <w:rPr>
          <w:rFonts w:ascii="Arial" w:hAnsi="Arial" w:cs="Arial"/>
        </w:rPr>
      </w:pPr>
    </w:p>
    <w:p w:rsidR="007C0274" w:rsidRPr="00230449" w:rsidRDefault="007C0274" w:rsidP="007C0274">
      <w:pPr>
        <w:spacing w:line="360" w:lineRule="auto"/>
        <w:jc w:val="both"/>
        <w:rPr>
          <w:rFonts w:ascii="Arial" w:hAnsi="Arial" w:cs="Arial"/>
        </w:rPr>
      </w:pPr>
      <w:r w:rsidRPr="00230449">
        <w:rPr>
          <w:rFonts w:ascii="Arial" w:hAnsi="Arial" w:cs="Arial"/>
        </w:rPr>
        <w:t xml:space="preserve">The impact of equity and trusts on insolvent situations is of course long standing and has again risen to the fore recently with the case of </w:t>
      </w:r>
      <w:r w:rsidRPr="00230449">
        <w:rPr>
          <w:rFonts w:ascii="Arial" w:hAnsi="Arial" w:cs="Arial"/>
          <w:i/>
        </w:rPr>
        <w:t xml:space="preserve">Re </w:t>
      </w:r>
      <w:proofErr w:type="spellStart"/>
      <w:r w:rsidRPr="00230449">
        <w:rPr>
          <w:rFonts w:ascii="Arial" w:hAnsi="Arial" w:cs="Arial"/>
          <w:i/>
        </w:rPr>
        <w:t>Farepak</w:t>
      </w:r>
      <w:proofErr w:type="spellEnd"/>
      <w:r w:rsidRPr="00230449">
        <w:rPr>
          <w:rFonts w:ascii="Arial" w:hAnsi="Arial" w:cs="Arial"/>
          <w:i/>
        </w:rPr>
        <w:t xml:space="preserve"> Food and Gifts Ltd (in administration).</w:t>
      </w:r>
      <w:r w:rsidRPr="00230449">
        <w:rPr>
          <w:rStyle w:val="FootnoteReference"/>
          <w:rFonts w:ascii="Arial" w:hAnsi="Arial" w:cs="Arial"/>
        </w:rPr>
        <w:footnoteReference w:id="146"/>
      </w:r>
      <w:r w:rsidRPr="00230449">
        <w:rPr>
          <w:rFonts w:ascii="Arial" w:hAnsi="Arial" w:cs="Arial"/>
        </w:rPr>
        <w:t xml:space="preserve"> The law of insolvency</w:t>
      </w:r>
      <w:r w:rsidR="0083361D" w:rsidRPr="00230449">
        <w:rPr>
          <w:rFonts w:ascii="Arial" w:hAnsi="Arial" w:cs="Arial"/>
        </w:rPr>
        <w:t xml:space="preserve"> is itself a creature</w:t>
      </w:r>
      <w:r w:rsidRPr="00230449">
        <w:rPr>
          <w:rFonts w:ascii="Arial" w:hAnsi="Arial" w:cs="Arial"/>
        </w:rPr>
        <w:t xml:space="preserve"> </w:t>
      </w:r>
      <w:r w:rsidR="0083361D" w:rsidRPr="00230449">
        <w:rPr>
          <w:rFonts w:ascii="Arial" w:hAnsi="Arial" w:cs="Arial"/>
        </w:rPr>
        <w:t xml:space="preserve">of </w:t>
      </w:r>
      <w:r w:rsidRPr="00230449">
        <w:rPr>
          <w:rFonts w:ascii="Arial" w:hAnsi="Arial" w:cs="Arial"/>
        </w:rPr>
        <w:t>the equitable jurisdiction of the Court of Chancery.</w:t>
      </w:r>
      <w:r w:rsidRPr="00230449">
        <w:rPr>
          <w:rStyle w:val="FootnoteReference"/>
          <w:rFonts w:ascii="Arial" w:hAnsi="Arial" w:cs="Arial"/>
        </w:rPr>
        <w:footnoteReference w:id="147"/>
      </w:r>
      <w:r w:rsidRPr="00230449">
        <w:rPr>
          <w:rFonts w:ascii="Arial" w:hAnsi="Arial" w:cs="Arial"/>
        </w:rPr>
        <w:t xml:space="preserve"> </w:t>
      </w:r>
      <w:r w:rsidR="00FC2753" w:rsidRPr="00230449">
        <w:rPr>
          <w:rFonts w:ascii="Arial" w:hAnsi="Arial" w:cs="Arial"/>
        </w:rPr>
        <w:t>In a</w:t>
      </w:r>
      <w:r w:rsidRPr="00230449">
        <w:rPr>
          <w:rFonts w:ascii="Arial" w:hAnsi="Arial" w:cs="Arial"/>
        </w:rPr>
        <w:t xml:space="preserve"> post EA2002 lending environment </w:t>
      </w:r>
      <w:r w:rsidR="00FC2753" w:rsidRPr="00230449">
        <w:rPr>
          <w:rFonts w:ascii="Arial" w:hAnsi="Arial" w:cs="Arial"/>
        </w:rPr>
        <w:t>the trust can provide</w:t>
      </w:r>
      <w:r w:rsidRPr="00230449">
        <w:rPr>
          <w:rFonts w:ascii="Arial" w:hAnsi="Arial" w:cs="Arial"/>
        </w:rPr>
        <w:t>, “an indispensable protection against risk</w:t>
      </w:r>
      <w:r w:rsidR="00FC2753" w:rsidRPr="00230449">
        <w:rPr>
          <w:rFonts w:ascii="Arial" w:hAnsi="Arial" w:cs="Arial"/>
        </w:rPr>
        <w:t>.</w:t>
      </w:r>
      <w:r w:rsidRPr="00230449">
        <w:rPr>
          <w:rFonts w:ascii="Arial" w:hAnsi="Arial" w:cs="Arial"/>
        </w:rPr>
        <w:t>”</w:t>
      </w:r>
      <w:r w:rsidRPr="00230449">
        <w:rPr>
          <w:rStyle w:val="FootnoteReference"/>
          <w:rFonts w:ascii="Arial" w:hAnsi="Arial" w:cs="Arial"/>
        </w:rPr>
        <w:footnoteReference w:id="148"/>
      </w:r>
      <w:r w:rsidR="00FC2753" w:rsidRPr="00230449">
        <w:rPr>
          <w:rFonts w:ascii="Arial" w:hAnsi="Arial" w:cs="Arial"/>
        </w:rPr>
        <w:t xml:space="preserve"> Simply put, it can replace the dominance previously afforded to security devices. </w:t>
      </w:r>
    </w:p>
    <w:p w:rsidR="00C90A96" w:rsidRPr="00230449" w:rsidRDefault="00C90A96" w:rsidP="00C90A96">
      <w:pPr>
        <w:spacing w:line="360" w:lineRule="auto"/>
        <w:jc w:val="both"/>
        <w:rPr>
          <w:rFonts w:ascii="Arial" w:hAnsi="Arial" w:cs="Arial"/>
          <w:b/>
          <w:u w:val="single"/>
        </w:rPr>
      </w:pPr>
    </w:p>
    <w:p w:rsidR="00C90A96" w:rsidRPr="00230449" w:rsidRDefault="00C90A96" w:rsidP="00C90A96">
      <w:pPr>
        <w:spacing w:line="360" w:lineRule="auto"/>
        <w:jc w:val="both"/>
        <w:rPr>
          <w:rFonts w:ascii="Arial" w:hAnsi="Arial" w:cs="Arial"/>
          <w:b/>
          <w:u w:val="single"/>
        </w:rPr>
      </w:pPr>
    </w:p>
    <w:p w:rsidR="00C90A96" w:rsidRPr="00230449" w:rsidRDefault="00C90A96">
      <w:pPr>
        <w:rPr>
          <w:rFonts w:ascii="Arial" w:hAnsi="Arial" w:cs="Arial"/>
        </w:rPr>
      </w:pPr>
      <w:r w:rsidRPr="00230449">
        <w:rPr>
          <w:rFonts w:ascii="Arial" w:hAnsi="Arial" w:cs="Arial"/>
        </w:rPr>
        <w:br w:type="page"/>
      </w:r>
    </w:p>
    <w:p w:rsidR="00C90A96" w:rsidRPr="00230449" w:rsidRDefault="00C90A96" w:rsidP="00C90A96">
      <w:pPr>
        <w:spacing w:line="360" w:lineRule="auto"/>
        <w:jc w:val="both"/>
        <w:rPr>
          <w:rFonts w:ascii="Arial" w:hAnsi="Arial" w:cs="Arial"/>
        </w:rPr>
      </w:pPr>
    </w:p>
    <w:p w:rsidR="00C90A96" w:rsidRPr="00230449" w:rsidRDefault="003F206D" w:rsidP="00C90A96">
      <w:pPr>
        <w:pStyle w:val="ListParagraph"/>
        <w:numPr>
          <w:ilvl w:val="0"/>
          <w:numId w:val="4"/>
        </w:numPr>
        <w:spacing w:line="360" w:lineRule="auto"/>
        <w:jc w:val="both"/>
        <w:rPr>
          <w:rFonts w:ascii="Arial" w:hAnsi="Arial" w:cs="Arial"/>
          <w:b/>
          <w:u w:val="single"/>
        </w:rPr>
      </w:pPr>
      <w:r w:rsidRPr="00230449">
        <w:rPr>
          <w:rFonts w:ascii="Arial" w:hAnsi="Arial" w:cs="Arial"/>
          <w:b/>
          <w:u w:val="single"/>
        </w:rPr>
        <w:t>Accountability of Directors</w:t>
      </w:r>
      <w:r w:rsidR="007E1559" w:rsidRPr="00230449">
        <w:rPr>
          <w:rFonts w:ascii="Arial" w:hAnsi="Arial" w:cs="Arial"/>
          <w:b/>
          <w:u w:val="single"/>
        </w:rPr>
        <w:t xml:space="preserve"> - </w:t>
      </w:r>
      <w:r w:rsidR="00547964" w:rsidRPr="00230449">
        <w:rPr>
          <w:rFonts w:ascii="Arial" w:hAnsi="Arial" w:cs="Arial"/>
          <w:b/>
          <w:u w:val="single"/>
        </w:rPr>
        <w:t xml:space="preserve">the balance of human rights protection within insolvency  </w:t>
      </w:r>
      <w:r w:rsidRPr="00230449">
        <w:rPr>
          <w:rFonts w:ascii="Arial" w:hAnsi="Arial" w:cs="Arial"/>
          <w:b/>
          <w:u w:val="single"/>
        </w:rPr>
        <w:t xml:space="preserve"> </w:t>
      </w:r>
      <w:r w:rsidR="00C90A96" w:rsidRPr="00230449">
        <w:rPr>
          <w:rFonts w:ascii="Arial" w:hAnsi="Arial" w:cs="Arial"/>
          <w:b/>
          <w:u w:val="single"/>
        </w:rPr>
        <w:t xml:space="preserve"> </w:t>
      </w:r>
    </w:p>
    <w:p w:rsidR="00C90A96" w:rsidRPr="00230449" w:rsidRDefault="00C90A96" w:rsidP="00C90A96">
      <w:pPr>
        <w:spacing w:line="360" w:lineRule="auto"/>
        <w:jc w:val="both"/>
        <w:rPr>
          <w:rFonts w:ascii="Arial" w:hAnsi="Arial" w:cs="Arial"/>
        </w:rPr>
      </w:pPr>
    </w:p>
    <w:p w:rsidR="002F7988" w:rsidRPr="00230449" w:rsidRDefault="004746A5" w:rsidP="00C90A96">
      <w:pPr>
        <w:spacing w:line="360" w:lineRule="auto"/>
        <w:jc w:val="both"/>
        <w:rPr>
          <w:rFonts w:ascii="Arial" w:hAnsi="Arial" w:cs="Arial"/>
        </w:rPr>
      </w:pPr>
      <w:r w:rsidRPr="00230449">
        <w:rPr>
          <w:rFonts w:ascii="Arial" w:hAnsi="Arial" w:cs="Arial"/>
        </w:rPr>
        <w:t xml:space="preserve">Our third Nietzschean </w:t>
      </w:r>
      <w:r w:rsidR="00035E21" w:rsidRPr="00230449">
        <w:rPr>
          <w:rFonts w:ascii="Arial" w:hAnsi="Arial" w:cs="Arial"/>
        </w:rPr>
        <w:t xml:space="preserve">Eternal Recurrence </w:t>
      </w:r>
      <w:r w:rsidRPr="00230449">
        <w:rPr>
          <w:rFonts w:ascii="Arial" w:hAnsi="Arial" w:cs="Arial"/>
        </w:rPr>
        <w:t>theme relates to the treatment of directors and how they are held to account.</w:t>
      </w:r>
      <w:r w:rsidR="00B106BD" w:rsidRPr="00230449">
        <w:rPr>
          <w:rFonts w:ascii="Arial" w:hAnsi="Arial" w:cs="Arial"/>
        </w:rPr>
        <w:t xml:space="preserve"> This is an example of narrow </w:t>
      </w:r>
      <w:r w:rsidR="00035E21" w:rsidRPr="00230449">
        <w:rPr>
          <w:rFonts w:ascii="Arial" w:hAnsi="Arial" w:cs="Arial"/>
        </w:rPr>
        <w:t xml:space="preserve">Eternal Recurrence </w:t>
      </w:r>
      <w:r w:rsidR="00B106BD" w:rsidRPr="00230449">
        <w:rPr>
          <w:rFonts w:ascii="Arial" w:hAnsi="Arial" w:cs="Arial"/>
        </w:rPr>
        <w:t>in that it relates to a specific an</w:t>
      </w:r>
      <w:r w:rsidR="00133065" w:rsidRPr="00230449">
        <w:rPr>
          <w:rFonts w:ascii="Arial" w:hAnsi="Arial" w:cs="Arial"/>
        </w:rPr>
        <w:t>d relatively narrow time period</w:t>
      </w:r>
      <w:r w:rsidR="00B106BD" w:rsidRPr="00230449">
        <w:rPr>
          <w:rFonts w:ascii="Arial" w:hAnsi="Arial" w:cs="Arial"/>
        </w:rPr>
        <w:t>.</w:t>
      </w:r>
      <w:r w:rsidR="00773CFF" w:rsidRPr="00230449">
        <w:rPr>
          <w:rFonts w:ascii="Arial" w:hAnsi="Arial" w:cs="Arial"/>
        </w:rPr>
        <w:t xml:space="preserve"> It is</w:t>
      </w:r>
      <w:r w:rsidR="00133065" w:rsidRPr="00230449">
        <w:rPr>
          <w:rFonts w:ascii="Arial" w:hAnsi="Arial" w:cs="Arial"/>
        </w:rPr>
        <w:t xml:space="preserve"> also narrow as it relates to </w:t>
      </w:r>
      <w:r w:rsidR="00773CFF" w:rsidRPr="00230449">
        <w:rPr>
          <w:rFonts w:ascii="Arial" w:hAnsi="Arial" w:cs="Arial"/>
        </w:rPr>
        <w:t>specific statutory provision</w:t>
      </w:r>
      <w:r w:rsidR="00133065" w:rsidRPr="00230449">
        <w:rPr>
          <w:rFonts w:ascii="Arial" w:hAnsi="Arial" w:cs="Arial"/>
        </w:rPr>
        <w:t>s and their</w:t>
      </w:r>
      <w:r w:rsidR="00773CFF" w:rsidRPr="00230449">
        <w:rPr>
          <w:rFonts w:ascii="Arial" w:hAnsi="Arial" w:cs="Arial"/>
        </w:rPr>
        <w:t xml:space="preserve"> use and interpretation over time.</w:t>
      </w:r>
      <w:r w:rsidR="00B106BD" w:rsidRPr="00230449">
        <w:rPr>
          <w:rFonts w:ascii="Arial" w:hAnsi="Arial" w:cs="Arial"/>
        </w:rPr>
        <w:t xml:space="preserve"> The subject of director accountability i</w:t>
      </w:r>
      <w:r w:rsidRPr="00230449">
        <w:rPr>
          <w:rFonts w:ascii="Arial" w:hAnsi="Arial" w:cs="Arial"/>
        </w:rPr>
        <w:t>s voluminous if you include directors’ duties, wrongful and fraudulent trading, preference</w:t>
      </w:r>
      <w:r w:rsidR="00A84F16" w:rsidRPr="00230449">
        <w:rPr>
          <w:rFonts w:ascii="Arial" w:hAnsi="Arial" w:cs="Arial"/>
        </w:rPr>
        <w:t>s</w:t>
      </w:r>
      <w:r w:rsidRPr="00230449">
        <w:rPr>
          <w:rFonts w:ascii="Arial" w:hAnsi="Arial" w:cs="Arial"/>
        </w:rPr>
        <w:t>, transactions in fraud of creditor</w:t>
      </w:r>
      <w:r w:rsidR="007E1559" w:rsidRPr="00230449">
        <w:rPr>
          <w:rFonts w:ascii="Arial" w:hAnsi="Arial" w:cs="Arial"/>
        </w:rPr>
        <w:t xml:space="preserve">s, etc. </w:t>
      </w:r>
      <w:r w:rsidR="00A84F16" w:rsidRPr="00230449">
        <w:rPr>
          <w:rFonts w:ascii="Arial" w:hAnsi="Arial" w:cs="Arial"/>
        </w:rPr>
        <w:t xml:space="preserve">Here there is a </w:t>
      </w:r>
      <w:r w:rsidRPr="00230449">
        <w:rPr>
          <w:rFonts w:ascii="Arial" w:hAnsi="Arial" w:cs="Arial"/>
        </w:rPr>
        <w:t>focus on directors and their human rights</w:t>
      </w:r>
      <w:r w:rsidR="00A84F16" w:rsidRPr="00230449">
        <w:rPr>
          <w:rFonts w:ascii="Arial" w:hAnsi="Arial" w:cs="Arial"/>
        </w:rPr>
        <w:t xml:space="preserve"> set against the creditors’ desire to find out as much as possible about the insolvency.</w:t>
      </w:r>
      <w:r w:rsidR="00D82180" w:rsidRPr="00230449">
        <w:rPr>
          <w:rFonts w:ascii="Arial" w:hAnsi="Arial" w:cs="Arial"/>
        </w:rPr>
        <w:t xml:space="preserve"> This tension between a key officeholder, the director, and the creditors provides a key example of a relationship that has existed in insolvency since the creation of the company form in the 19</w:t>
      </w:r>
      <w:r w:rsidR="00D82180" w:rsidRPr="00230449">
        <w:rPr>
          <w:rFonts w:ascii="Arial" w:hAnsi="Arial" w:cs="Arial"/>
          <w:vertAlign w:val="superscript"/>
        </w:rPr>
        <w:t>th</w:t>
      </w:r>
      <w:r w:rsidR="00D82180" w:rsidRPr="00230449">
        <w:rPr>
          <w:rFonts w:ascii="Arial" w:hAnsi="Arial" w:cs="Arial"/>
        </w:rPr>
        <w:t xml:space="preserve"> century. This example, and how it has been treated in a relatively short time period, provides another area upon which the beam of insolvency Eternal Recurrence </w:t>
      </w:r>
      <w:r w:rsidR="00A46F62" w:rsidRPr="00230449">
        <w:rPr>
          <w:rFonts w:ascii="Arial" w:hAnsi="Arial" w:cs="Arial"/>
        </w:rPr>
        <w:t>can be shone.</w:t>
      </w:r>
    </w:p>
    <w:p w:rsidR="002F7988" w:rsidRPr="00230449" w:rsidRDefault="002F7988" w:rsidP="00C90A96">
      <w:pPr>
        <w:spacing w:line="360" w:lineRule="auto"/>
        <w:jc w:val="both"/>
        <w:rPr>
          <w:rFonts w:ascii="Arial" w:hAnsi="Arial" w:cs="Arial"/>
        </w:rPr>
      </w:pPr>
    </w:p>
    <w:p w:rsidR="00C90A96" w:rsidRPr="00230449" w:rsidRDefault="00C90A96" w:rsidP="00C90A96">
      <w:pPr>
        <w:spacing w:line="360" w:lineRule="auto"/>
        <w:jc w:val="both"/>
        <w:rPr>
          <w:rFonts w:ascii="Arial" w:hAnsi="Arial" w:cs="Arial"/>
        </w:rPr>
      </w:pPr>
      <w:r w:rsidRPr="00230449">
        <w:rPr>
          <w:rFonts w:ascii="Arial" w:hAnsi="Arial" w:cs="Arial"/>
        </w:rPr>
        <w:t>The rise in complex fraud cases in the 1980s and early 1990s</w:t>
      </w:r>
      <w:r w:rsidR="00D82180" w:rsidRPr="00230449">
        <w:rPr>
          <w:rStyle w:val="FootnoteReference"/>
          <w:rFonts w:ascii="Arial" w:hAnsi="Arial"/>
        </w:rPr>
        <w:footnoteReference w:id="149"/>
      </w:r>
      <w:r w:rsidRPr="00230449">
        <w:rPr>
          <w:rFonts w:ascii="Arial" w:hAnsi="Arial" w:cs="Arial"/>
        </w:rPr>
        <w:t xml:space="preserve"> highlighted the problem of on the one hand, balancing the basic right of a witness to rely on the privilege of not self-incriminating and the right to silence, against on the other hand, the public interest requirements in punishing and properly investigating such frauds. The matter h</w:t>
      </w:r>
      <w:r w:rsidR="00133065" w:rsidRPr="00230449">
        <w:rPr>
          <w:rFonts w:ascii="Arial" w:hAnsi="Arial" w:cs="Arial"/>
        </w:rPr>
        <w:t>as been somewhat resolved by section 11 of the</w:t>
      </w:r>
      <w:r w:rsidRPr="00230449">
        <w:rPr>
          <w:rFonts w:ascii="Arial" w:hAnsi="Arial" w:cs="Arial"/>
        </w:rPr>
        <w:t xml:space="preserve"> Insolvency Act 2000. Nevertheless, for a period of time</w:t>
      </w:r>
      <w:r w:rsidR="00862964" w:rsidRPr="00230449">
        <w:rPr>
          <w:rFonts w:ascii="Arial" w:hAnsi="Arial" w:cs="Arial"/>
        </w:rPr>
        <w:t xml:space="preserve"> during the 1980s</w:t>
      </w:r>
      <w:r w:rsidRPr="00230449">
        <w:rPr>
          <w:rFonts w:ascii="Arial" w:hAnsi="Arial" w:cs="Arial"/>
        </w:rPr>
        <w:t xml:space="preserve"> English and Welsh insolvency law and practice was not in step wi</w:t>
      </w:r>
      <w:r w:rsidR="003F206D" w:rsidRPr="00230449">
        <w:rPr>
          <w:rFonts w:ascii="Arial" w:hAnsi="Arial" w:cs="Arial"/>
        </w:rPr>
        <w:t>th the E</w:t>
      </w:r>
      <w:r w:rsidR="007E1559" w:rsidRPr="00230449">
        <w:rPr>
          <w:rFonts w:ascii="Arial" w:hAnsi="Arial" w:cs="Arial"/>
        </w:rPr>
        <w:t>uropean Court of Human Rights (E</w:t>
      </w:r>
      <w:r w:rsidR="003F206D" w:rsidRPr="00230449">
        <w:rPr>
          <w:rFonts w:ascii="Arial" w:hAnsi="Arial" w:cs="Arial"/>
        </w:rPr>
        <w:t>CHR</w:t>
      </w:r>
      <w:r w:rsidR="007E1559" w:rsidRPr="00230449">
        <w:rPr>
          <w:rFonts w:ascii="Arial" w:hAnsi="Arial" w:cs="Arial"/>
        </w:rPr>
        <w:t>)</w:t>
      </w:r>
      <w:r w:rsidR="00862964" w:rsidRPr="00230449">
        <w:rPr>
          <w:rFonts w:ascii="Arial" w:hAnsi="Arial" w:cs="Arial"/>
        </w:rPr>
        <w:t xml:space="preserve"> on the</w:t>
      </w:r>
      <w:r w:rsidR="003F206D" w:rsidRPr="00230449">
        <w:rPr>
          <w:rFonts w:ascii="Arial" w:hAnsi="Arial" w:cs="Arial"/>
        </w:rPr>
        <w:t xml:space="preserve"> issue.</w:t>
      </w:r>
      <w:r w:rsidR="0009628F" w:rsidRPr="00230449">
        <w:rPr>
          <w:rStyle w:val="FootnoteReference"/>
          <w:rFonts w:ascii="Arial" w:hAnsi="Arial"/>
        </w:rPr>
        <w:footnoteReference w:id="150"/>
      </w:r>
      <w:r w:rsidR="003F206D" w:rsidRPr="00230449">
        <w:rPr>
          <w:rFonts w:ascii="Arial" w:hAnsi="Arial" w:cs="Arial"/>
        </w:rPr>
        <w:t xml:space="preserve"> </w:t>
      </w:r>
    </w:p>
    <w:p w:rsidR="00C90A96" w:rsidRPr="00230449" w:rsidRDefault="00C90A96" w:rsidP="00C90A96">
      <w:pPr>
        <w:spacing w:line="360" w:lineRule="auto"/>
        <w:jc w:val="both"/>
        <w:rPr>
          <w:rFonts w:ascii="Arial" w:hAnsi="Arial" w:cs="Arial"/>
        </w:rPr>
      </w:pPr>
    </w:p>
    <w:p w:rsidR="00C90A96" w:rsidRPr="00230449" w:rsidRDefault="00C90A96" w:rsidP="00C90A96">
      <w:pPr>
        <w:spacing w:line="360" w:lineRule="auto"/>
        <w:jc w:val="both"/>
        <w:rPr>
          <w:rFonts w:ascii="Arial" w:hAnsi="Arial" w:cs="Arial"/>
        </w:rPr>
      </w:pPr>
      <w:r w:rsidRPr="00230449">
        <w:rPr>
          <w:rFonts w:ascii="Arial" w:hAnsi="Arial" w:cs="Arial"/>
        </w:rPr>
        <w:lastRenderedPageBreak/>
        <w:t>It is a fundamental principle of English law that an accused has a privilege against self-incrimination, together with a right to remain silent</w:t>
      </w:r>
      <w:r w:rsidR="007E1559" w:rsidRPr="00230449">
        <w:rPr>
          <w:rFonts w:ascii="Arial" w:hAnsi="Arial" w:cs="Arial"/>
        </w:rPr>
        <w:t>.</w:t>
      </w:r>
      <w:r w:rsidRPr="00230449">
        <w:rPr>
          <w:rStyle w:val="FootnoteReference"/>
          <w:rFonts w:ascii="Arial" w:hAnsi="Arial" w:cs="Arial"/>
        </w:rPr>
        <w:footnoteReference w:id="151"/>
      </w:r>
      <w:r w:rsidRPr="00230449">
        <w:rPr>
          <w:rFonts w:ascii="Arial" w:hAnsi="Arial" w:cs="Arial"/>
        </w:rPr>
        <w:t xml:space="preserve"> The genesis</w:t>
      </w:r>
      <w:r w:rsidRPr="00230449">
        <w:rPr>
          <w:rStyle w:val="FootnoteReference"/>
          <w:rFonts w:ascii="Arial" w:hAnsi="Arial" w:cs="Arial"/>
        </w:rPr>
        <w:footnoteReference w:id="152"/>
      </w:r>
      <w:r w:rsidR="004125D3" w:rsidRPr="00230449">
        <w:rPr>
          <w:rFonts w:ascii="Arial" w:hAnsi="Arial" w:cs="Arial"/>
        </w:rPr>
        <w:t xml:space="preserve"> of the</w:t>
      </w:r>
      <w:r w:rsidR="00133065" w:rsidRPr="00230449">
        <w:rPr>
          <w:rFonts w:ascii="Arial" w:hAnsi="Arial" w:cs="Arial"/>
        </w:rPr>
        <w:t>se</w:t>
      </w:r>
      <w:r w:rsidR="004125D3" w:rsidRPr="00230449">
        <w:rPr>
          <w:rFonts w:ascii="Arial" w:hAnsi="Arial" w:cs="Arial"/>
        </w:rPr>
        <w:t xml:space="preserve"> dual rights arose f</w:t>
      </w:r>
      <w:r w:rsidRPr="00230449">
        <w:rPr>
          <w:rFonts w:ascii="Arial" w:hAnsi="Arial" w:cs="Arial"/>
        </w:rPr>
        <w:t>r</w:t>
      </w:r>
      <w:r w:rsidR="004125D3" w:rsidRPr="00230449">
        <w:rPr>
          <w:rFonts w:ascii="Arial" w:hAnsi="Arial" w:cs="Arial"/>
        </w:rPr>
        <w:t>om the</w:t>
      </w:r>
      <w:r w:rsidRPr="00230449">
        <w:rPr>
          <w:rFonts w:ascii="Arial" w:hAnsi="Arial" w:cs="Arial"/>
        </w:rPr>
        <w:t xml:space="preserve"> activities of the Star Chamber compelling confessions on pain of personal injury</w:t>
      </w:r>
      <w:r w:rsidR="004125D3" w:rsidRPr="00230449">
        <w:rPr>
          <w:rFonts w:ascii="Arial" w:hAnsi="Arial" w:cs="Arial"/>
        </w:rPr>
        <w:t>.</w:t>
      </w:r>
      <w:r w:rsidRPr="00230449">
        <w:rPr>
          <w:rStyle w:val="FootnoteReference"/>
          <w:rFonts w:ascii="Arial" w:hAnsi="Arial" w:cs="Arial"/>
        </w:rPr>
        <w:footnoteReference w:id="153"/>
      </w:r>
      <w:r w:rsidRPr="00230449">
        <w:rPr>
          <w:rFonts w:ascii="Arial" w:hAnsi="Arial" w:cs="Arial"/>
        </w:rPr>
        <w:t xml:space="preserve"> These dual criminal law privileges have caused problems for the Department for Business Innovation and Skills</w:t>
      </w:r>
      <w:r w:rsidR="004125D3" w:rsidRPr="00230449">
        <w:rPr>
          <w:rFonts w:ascii="Arial" w:hAnsi="Arial" w:cs="Arial"/>
        </w:rPr>
        <w:t xml:space="preserve"> (BIS)</w:t>
      </w:r>
      <w:r w:rsidRPr="00230449">
        <w:rPr>
          <w:rFonts w:ascii="Arial" w:hAnsi="Arial" w:cs="Arial"/>
        </w:rPr>
        <w:t xml:space="preserve"> investigators when interviewing directors</w:t>
      </w:r>
      <w:r w:rsidR="004125D3" w:rsidRPr="00230449">
        <w:rPr>
          <w:rFonts w:ascii="Arial" w:hAnsi="Arial" w:cs="Arial"/>
        </w:rPr>
        <w:t xml:space="preserve"> who</w:t>
      </w:r>
      <w:r w:rsidRPr="00230449">
        <w:rPr>
          <w:rFonts w:ascii="Arial" w:hAnsi="Arial" w:cs="Arial"/>
        </w:rPr>
        <w:t xml:space="preserve"> have pleaded the dual </w:t>
      </w:r>
      <w:r w:rsidR="004125D3" w:rsidRPr="00230449">
        <w:rPr>
          <w:rFonts w:ascii="Arial" w:hAnsi="Arial" w:cs="Arial"/>
        </w:rPr>
        <w:t xml:space="preserve">rights in defence to questions </w:t>
      </w:r>
      <w:r w:rsidRPr="00230449">
        <w:rPr>
          <w:rFonts w:ascii="Arial" w:hAnsi="Arial" w:cs="Arial"/>
        </w:rPr>
        <w:t xml:space="preserve">and when the information is used pursuant to s.433 Insolvency Act 1986 (as enacted). Unfortunately, </w:t>
      </w:r>
      <w:r w:rsidR="00133065" w:rsidRPr="00230449">
        <w:rPr>
          <w:rFonts w:ascii="Arial" w:hAnsi="Arial" w:cs="Arial"/>
        </w:rPr>
        <w:t xml:space="preserve">the statute, as enacted, </w:t>
      </w:r>
      <w:r w:rsidRPr="00230449">
        <w:rPr>
          <w:rFonts w:ascii="Arial" w:hAnsi="Arial" w:cs="Arial"/>
        </w:rPr>
        <w:t>made no mention of the rights and the courts have had to grapple with this complex question</w:t>
      </w:r>
      <w:r w:rsidR="004125D3" w:rsidRPr="00230449">
        <w:rPr>
          <w:rFonts w:ascii="Arial" w:hAnsi="Arial" w:cs="Arial"/>
        </w:rPr>
        <w:t>.</w:t>
      </w:r>
      <w:r w:rsidRPr="00230449">
        <w:rPr>
          <w:rStyle w:val="FootnoteReference"/>
          <w:rFonts w:ascii="Arial" w:hAnsi="Arial" w:cs="Arial"/>
        </w:rPr>
        <w:footnoteReference w:id="154"/>
      </w:r>
      <w:r w:rsidRPr="00230449">
        <w:rPr>
          <w:rFonts w:ascii="Arial" w:hAnsi="Arial" w:cs="Arial"/>
        </w:rPr>
        <w:t xml:space="preserve"> </w:t>
      </w:r>
    </w:p>
    <w:p w:rsidR="003F206D" w:rsidRPr="00230449" w:rsidRDefault="003F206D" w:rsidP="00C90A96">
      <w:pPr>
        <w:spacing w:line="360" w:lineRule="auto"/>
        <w:jc w:val="both"/>
        <w:rPr>
          <w:rFonts w:ascii="Arial" w:hAnsi="Arial" w:cs="Arial"/>
        </w:rPr>
      </w:pPr>
    </w:p>
    <w:p w:rsidR="00BF28F6" w:rsidRPr="00230449" w:rsidRDefault="00C90A96" w:rsidP="00C90A96">
      <w:pPr>
        <w:spacing w:line="360" w:lineRule="auto"/>
        <w:jc w:val="both"/>
        <w:rPr>
          <w:rFonts w:ascii="Arial" w:hAnsi="Arial" w:cs="Arial"/>
        </w:rPr>
      </w:pPr>
      <w:r w:rsidRPr="00230449">
        <w:rPr>
          <w:rFonts w:ascii="Arial" w:hAnsi="Arial" w:cs="Arial"/>
        </w:rPr>
        <w:t xml:space="preserve">The case law in </w:t>
      </w:r>
      <w:r w:rsidR="004125D3" w:rsidRPr="00230449">
        <w:rPr>
          <w:rFonts w:ascii="Arial" w:hAnsi="Arial" w:cs="Arial"/>
        </w:rPr>
        <w:t xml:space="preserve">this area is voluminous and the </w:t>
      </w:r>
      <w:r w:rsidRPr="00230449">
        <w:rPr>
          <w:rFonts w:ascii="Arial" w:hAnsi="Arial" w:cs="Arial"/>
        </w:rPr>
        <w:t>enactment of the Human Rights Act 1998</w:t>
      </w:r>
      <w:r w:rsidR="00911235" w:rsidRPr="00230449">
        <w:rPr>
          <w:rFonts w:ascii="Arial" w:hAnsi="Arial" w:cs="Arial"/>
        </w:rPr>
        <w:t xml:space="preserve"> (HRA1998)</w:t>
      </w:r>
      <w:r w:rsidR="003F206D" w:rsidRPr="00230449">
        <w:rPr>
          <w:rFonts w:ascii="Arial" w:hAnsi="Arial" w:cs="Arial"/>
        </w:rPr>
        <w:t xml:space="preserve"> le</w:t>
      </w:r>
      <w:r w:rsidR="004125D3" w:rsidRPr="00230449">
        <w:rPr>
          <w:rFonts w:ascii="Arial" w:hAnsi="Arial" w:cs="Arial"/>
        </w:rPr>
        <w:t>d to much controversy in the</w:t>
      </w:r>
      <w:r w:rsidRPr="00230449">
        <w:rPr>
          <w:rFonts w:ascii="Arial" w:hAnsi="Arial" w:cs="Arial"/>
        </w:rPr>
        <w:t xml:space="preserve"> area</w:t>
      </w:r>
      <w:r w:rsidR="004125D3" w:rsidRPr="00230449">
        <w:rPr>
          <w:rFonts w:ascii="Arial" w:hAnsi="Arial" w:cs="Arial"/>
        </w:rPr>
        <w:t>.</w:t>
      </w:r>
      <w:r w:rsidRPr="00230449">
        <w:rPr>
          <w:rStyle w:val="FootnoteReference"/>
          <w:rFonts w:ascii="Arial" w:hAnsi="Arial" w:cs="Arial"/>
        </w:rPr>
        <w:footnoteReference w:id="155"/>
      </w:r>
      <w:r w:rsidRPr="00230449">
        <w:rPr>
          <w:rFonts w:ascii="Arial" w:hAnsi="Arial" w:cs="Arial"/>
        </w:rPr>
        <w:t xml:space="preserve"> The Companies Act 1985</w:t>
      </w:r>
      <w:r w:rsidR="004125D3" w:rsidRPr="00230449">
        <w:rPr>
          <w:rFonts w:ascii="Arial" w:hAnsi="Arial" w:cs="Arial"/>
        </w:rPr>
        <w:t xml:space="preserve"> (as it then was, no</w:t>
      </w:r>
      <w:r w:rsidR="00133065" w:rsidRPr="00230449">
        <w:rPr>
          <w:rFonts w:ascii="Arial" w:hAnsi="Arial" w:cs="Arial"/>
        </w:rPr>
        <w:t>w Companies Act 2006) and the Insolvency Act 1986</w:t>
      </w:r>
      <w:r w:rsidRPr="00230449">
        <w:rPr>
          <w:rFonts w:ascii="Arial" w:hAnsi="Arial" w:cs="Arial"/>
        </w:rPr>
        <w:t xml:space="preserve"> contained provisi</w:t>
      </w:r>
      <w:r w:rsidR="00133065" w:rsidRPr="00230449">
        <w:rPr>
          <w:rFonts w:ascii="Arial" w:hAnsi="Arial" w:cs="Arial"/>
        </w:rPr>
        <w:t xml:space="preserve">ons, which were broadly similar in terms of compulsion powers. </w:t>
      </w:r>
      <w:r w:rsidR="00CE67E9" w:rsidRPr="00230449">
        <w:rPr>
          <w:rFonts w:ascii="Arial" w:hAnsi="Arial" w:cs="Arial"/>
        </w:rPr>
        <w:t>Four</w:t>
      </w:r>
      <w:r w:rsidR="0009628F" w:rsidRPr="00230449">
        <w:rPr>
          <w:rFonts w:ascii="Arial" w:hAnsi="Arial" w:cs="Arial"/>
        </w:rPr>
        <w:t xml:space="preserve"> examples will be given.</w:t>
      </w:r>
      <w:r w:rsidR="0009628F" w:rsidRPr="00230449">
        <w:rPr>
          <w:rStyle w:val="FootnoteReference"/>
          <w:rFonts w:ascii="Arial" w:hAnsi="Arial"/>
        </w:rPr>
        <w:footnoteReference w:id="156"/>
      </w:r>
      <w:r w:rsidRPr="00230449">
        <w:rPr>
          <w:rFonts w:ascii="Arial" w:hAnsi="Arial" w:cs="Arial"/>
        </w:rPr>
        <w:t xml:space="preserve"> </w:t>
      </w:r>
    </w:p>
    <w:p w:rsidR="00BF28F6" w:rsidRPr="00230449" w:rsidRDefault="00BF28F6" w:rsidP="00C90A96">
      <w:pPr>
        <w:spacing w:line="360" w:lineRule="auto"/>
        <w:jc w:val="both"/>
        <w:rPr>
          <w:rFonts w:ascii="Arial" w:hAnsi="Arial" w:cs="Arial"/>
        </w:rPr>
      </w:pPr>
    </w:p>
    <w:p w:rsidR="00C90A96" w:rsidRPr="00230449" w:rsidRDefault="00C90A96" w:rsidP="00C90A96">
      <w:pPr>
        <w:spacing w:line="360" w:lineRule="auto"/>
        <w:jc w:val="both"/>
        <w:rPr>
          <w:rFonts w:ascii="Arial" w:hAnsi="Arial" w:cs="Arial"/>
        </w:rPr>
      </w:pPr>
      <w:r w:rsidRPr="00230449">
        <w:rPr>
          <w:rFonts w:ascii="Arial" w:hAnsi="Arial" w:cs="Arial"/>
          <w:i/>
        </w:rPr>
        <w:t>Re Jeffrey S Levitt Ltd</w:t>
      </w:r>
      <w:r w:rsidRPr="00230449">
        <w:rPr>
          <w:rStyle w:val="FootnoteReference"/>
          <w:rFonts w:ascii="Arial" w:hAnsi="Arial" w:cs="Arial"/>
        </w:rPr>
        <w:footnoteReference w:id="157"/>
      </w:r>
      <w:r w:rsidR="004125D3" w:rsidRPr="00230449">
        <w:rPr>
          <w:rFonts w:ascii="Arial" w:hAnsi="Arial" w:cs="Arial"/>
        </w:rPr>
        <w:t xml:space="preserve"> concerned IA 86 s.236 and  IA</w:t>
      </w:r>
      <w:r w:rsidRPr="00230449">
        <w:rPr>
          <w:rFonts w:ascii="Arial" w:hAnsi="Arial" w:cs="Arial"/>
        </w:rPr>
        <w:t xml:space="preserve">86 s.235 and the question of the right to the privilege against self-incrimination. </w:t>
      </w:r>
      <w:proofErr w:type="spellStart"/>
      <w:r w:rsidRPr="00230449">
        <w:rPr>
          <w:rFonts w:ascii="Arial" w:hAnsi="Arial" w:cs="Arial"/>
        </w:rPr>
        <w:t>Vinelott</w:t>
      </w:r>
      <w:proofErr w:type="spellEnd"/>
      <w:r w:rsidRPr="00230449">
        <w:rPr>
          <w:rFonts w:ascii="Arial" w:hAnsi="Arial" w:cs="Arial"/>
        </w:rPr>
        <w:t>, J held that an officer cannot refuse to answer question</w:t>
      </w:r>
      <w:r w:rsidR="00BF28F6" w:rsidRPr="00230449">
        <w:rPr>
          <w:rFonts w:ascii="Arial" w:hAnsi="Arial" w:cs="Arial"/>
        </w:rPr>
        <w:t>s</w:t>
      </w:r>
      <w:r w:rsidRPr="00230449">
        <w:rPr>
          <w:rFonts w:ascii="Arial" w:hAnsi="Arial" w:cs="Arial"/>
        </w:rPr>
        <w:t xml:space="preserve"> becaus</w:t>
      </w:r>
      <w:r w:rsidR="00BF28F6" w:rsidRPr="00230449">
        <w:rPr>
          <w:rFonts w:ascii="Arial" w:hAnsi="Arial" w:cs="Arial"/>
        </w:rPr>
        <w:t>e they might incriminate him</w:t>
      </w:r>
      <w:r w:rsidR="0009628F" w:rsidRPr="00230449">
        <w:rPr>
          <w:rFonts w:ascii="Arial" w:hAnsi="Arial" w:cs="Arial"/>
        </w:rPr>
        <w:t xml:space="preserve">. The judge held that </w:t>
      </w:r>
      <w:r w:rsidR="008A72BC" w:rsidRPr="00230449">
        <w:rPr>
          <w:rFonts w:ascii="Arial" w:hAnsi="Arial" w:cs="Arial"/>
        </w:rPr>
        <w:lastRenderedPageBreak/>
        <w:t>the office</w:t>
      </w:r>
      <w:r w:rsidRPr="00230449">
        <w:rPr>
          <w:rFonts w:ascii="Arial" w:hAnsi="Arial" w:cs="Arial"/>
        </w:rPr>
        <w:t>holder</w:t>
      </w:r>
      <w:r w:rsidR="00BF28F6" w:rsidRPr="00230449">
        <w:rPr>
          <w:rFonts w:ascii="Arial" w:hAnsi="Arial" w:cs="Arial"/>
        </w:rPr>
        <w:t>’</w:t>
      </w:r>
      <w:r w:rsidRPr="00230449">
        <w:rPr>
          <w:rFonts w:ascii="Arial" w:hAnsi="Arial" w:cs="Arial"/>
        </w:rPr>
        <w:t xml:space="preserve">s overriding statutory </w:t>
      </w:r>
      <w:r w:rsidR="00BF28F6" w:rsidRPr="00230449">
        <w:rPr>
          <w:rFonts w:ascii="Arial" w:hAnsi="Arial" w:cs="Arial"/>
        </w:rPr>
        <w:t>duty to assist the insolvency practitioner</w:t>
      </w:r>
      <w:r w:rsidR="0009628F" w:rsidRPr="00230449">
        <w:rPr>
          <w:rFonts w:ascii="Arial" w:hAnsi="Arial" w:cs="Arial"/>
        </w:rPr>
        <w:t xml:space="preserve"> trumped human rights considerations</w:t>
      </w:r>
      <w:r w:rsidR="00BF28F6" w:rsidRPr="00230449">
        <w:rPr>
          <w:rFonts w:ascii="Arial" w:hAnsi="Arial" w:cs="Arial"/>
        </w:rPr>
        <w:t>. The</w:t>
      </w:r>
      <w:r w:rsidRPr="00230449">
        <w:rPr>
          <w:rFonts w:ascii="Arial" w:hAnsi="Arial" w:cs="Arial"/>
        </w:rPr>
        <w:t xml:space="preserve"> decision was upheld by the Court of Appeal.</w:t>
      </w:r>
      <w:r w:rsidRPr="00230449">
        <w:rPr>
          <w:rStyle w:val="FootnoteReference"/>
          <w:rFonts w:ascii="Arial" w:hAnsi="Arial" w:cs="Arial"/>
        </w:rPr>
        <w:footnoteReference w:id="158"/>
      </w:r>
    </w:p>
    <w:p w:rsidR="00C90A96" w:rsidRPr="00230449" w:rsidRDefault="00C90A96" w:rsidP="00C90A96">
      <w:pPr>
        <w:spacing w:line="360" w:lineRule="auto"/>
        <w:jc w:val="both"/>
        <w:rPr>
          <w:rFonts w:ascii="Arial" w:hAnsi="Arial" w:cs="Arial"/>
        </w:rPr>
      </w:pPr>
    </w:p>
    <w:p w:rsidR="00C90A96" w:rsidRPr="00230449" w:rsidRDefault="00C90A96" w:rsidP="00C90A96">
      <w:pPr>
        <w:spacing w:line="360" w:lineRule="auto"/>
        <w:jc w:val="both"/>
        <w:rPr>
          <w:rFonts w:ascii="Arial" w:hAnsi="Arial" w:cs="Arial"/>
          <w:i/>
        </w:rPr>
      </w:pPr>
      <w:r w:rsidRPr="00230449">
        <w:rPr>
          <w:rFonts w:ascii="Arial" w:hAnsi="Arial" w:cs="Arial"/>
        </w:rPr>
        <w:t xml:space="preserve">In </w:t>
      </w:r>
      <w:r w:rsidRPr="00230449">
        <w:rPr>
          <w:rFonts w:ascii="Arial" w:hAnsi="Arial" w:cs="Arial"/>
          <w:i/>
        </w:rPr>
        <w:t>Re London United Investments plc</w:t>
      </w:r>
      <w:r w:rsidR="00BF28F6" w:rsidRPr="00230449">
        <w:rPr>
          <w:rFonts w:ascii="Arial" w:hAnsi="Arial" w:cs="Arial"/>
          <w:i/>
        </w:rPr>
        <w:t>,</w:t>
      </w:r>
      <w:r w:rsidRPr="00230449">
        <w:rPr>
          <w:rStyle w:val="FootnoteReference"/>
          <w:rFonts w:ascii="Arial" w:hAnsi="Arial" w:cs="Arial"/>
        </w:rPr>
        <w:footnoteReference w:id="159"/>
      </w:r>
      <w:r w:rsidRPr="00230449">
        <w:rPr>
          <w:rFonts w:ascii="Arial" w:hAnsi="Arial" w:cs="Arial"/>
        </w:rPr>
        <w:t xml:space="preserve"> the question before th</w:t>
      </w:r>
      <w:r w:rsidR="00BF28F6" w:rsidRPr="00230449">
        <w:rPr>
          <w:rFonts w:ascii="Arial" w:hAnsi="Arial" w:cs="Arial"/>
        </w:rPr>
        <w:t>e c</w:t>
      </w:r>
      <w:r w:rsidR="008A72BC" w:rsidRPr="00230449">
        <w:rPr>
          <w:rFonts w:ascii="Arial" w:hAnsi="Arial" w:cs="Arial"/>
        </w:rPr>
        <w:t>ourt concerned s.</w:t>
      </w:r>
      <w:r w:rsidR="00BF28F6" w:rsidRPr="00230449">
        <w:rPr>
          <w:rFonts w:ascii="Arial" w:hAnsi="Arial" w:cs="Arial"/>
        </w:rPr>
        <w:t xml:space="preserve">432 </w:t>
      </w:r>
      <w:r w:rsidRPr="00230449">
        <w:rPr>
          <w:rFonts w:ascii="Arial" w:hAnsi="Arial" w:cs="Arial"/>
        </w:rPr>
        <w:t>Companies Act 1985</w:t>
      </w:r>
      <w:r w:rsidR="004C695F" w:rsidRPr="00230449">
        <w:rPr>
          <w:rFonts w:ascii="Arial" w:hAnsi="Arial" w:cs="Arial"/>
        </w:rPr>
        <w:t xml:space="preserve"> (as it then was)</w:t>
      </w:r>
      <w:r w:rsidRPr="00230449">
        <w:rPr>
          <w:rFonts w:ascii="Arial" w:hAnsi="Arial" w:cs="Arial"/>
        </w:rPr>
        <w:t xml:space="preserve"> and whether the respondent was entitled to the privilege against self-incrimination. Scott, J held that a witness cannot rely on the privilege so as to refuse to answer questions put to him by the inspectors.</w:t>
      </w:r>
    </w:p>
    <w:p w:rsidR="00C90A96" w:rsidRPr="00230449" w:rsidRDefault="00C90A96" w:rsidP="00C90A96">
      <w:pPr>
        <w:spacing w:line="360" w:lineRule="auto"/>
        <w:jc w:val="both"/>
        <w:rPr>
          <w:rFonts w:ascii="Arial" w:hAnsi="Arial" w:cs="Arial"/>
          <w:i/>
        </w:rPr>
      </w:pPr>
    </w:p>
    <w:p w:rsidR="00C90A96" w:rsidRPr="00230449" w:rsidRDefault="00C90A96" w:rsidP="00C90A96">
      <w:pPr>
        <w:spacing w:line="360" w:lineRule="auto"/>
        <w:jc w:val="both"/>
        <w:rPr>
          <w:rFonts w:ascii="Arial" w:hAnsi="Arial" w:cs="Arial"/>
        </w:rPr>
      </w:pPr>
      <w:r w:rsidRPr="00230449">
        <w:rPr>
          <w:rFonts w:ascii="Arial" w:hAnsi="Arial" w:cs="Arial"/>
        </w:rPr>
        <w:t xml:space="preserve">In </w:t>
      </w:r>
      <w:r w:rsidRPr="00230449">
        <w:rPr>
          <w:rFonts w:ascii="Arial" w:hAnsi="Arial" w:cs="Arial"/>
          <w:i/>
        </w:rPr>
        <w:t>R v. Seelig</w:t>
      </w:r>
      <w:r w:rsidR="003F476F" w:rsidRPr="00230449">
        <w:rPr>
          <w:rFonts w:ascii="Arial" w:hAnsi="Arial" w:cs="Arial"/>
          <w:i/>
        </w:rPr>
        <w:t>,</w:t>
      </w:r>
      <w:r w:rsidRPr="00230449">
        <w:rPr>
          <w:rStyle w:val="FootnoteReference"/>
          <w:rFonts w:ascii="Arial" w:hAnsi="Arial" w:cs="Arial"/>
        </w:rPr>
        <w:footnoteReference w:id="160"/>
      </w:r>
      <w:r w:rsidRPr="00230449">
        <w:rPr>
          <w:rFonts w:ascii="Arial" w:hAnsi="Arial" w:cs="Arial"/>
        </w:rPr>
        <w:t xml:space="preserve"> one of the many cases arising from the take-over of Distillers Co plc by Guinness plc</w:t>
      </w:r>
      <w:r w:rsidRPr="00230449">
        <w:rPr>
          <w:rStyle w:val="FootnoteReference"/>
          <w:rFonts w:ascii="Arial" w:hAnsi="Arial" w:cs="Arial"/>
        </w:rPr>
        <w:footnoteReference w:id="161"/>
      </w:r>
      <w:r w:rsidRPr="00230449">
        <w:rPr>
          <w:rFonts w:ascii="Arial" w:hAnsi="Arial" w:cs="Arial"/>
        </w:rPr>
        <w:t>, the Court of Appeal held tha</w:t>
      </w:r>
      <w:r w:rsidR="002A67FF" w:rsidRPr="00230449">
        <w:rPr>
          <w:rFonts w:ascii="Arial" w:hAnsi="Arial" w:cs="Arial"/>
        </w:rPr>
        <w:t>t an answer given by a witness</w:t>
      </w:r>
      <w:r w:rsidRPr="00230449">
        <w:rPr>
          <w:rFonts w:ascii="Arial" w:hAnsi="Arial" w:cs="Arial"/>
        </w:rPr>
        <w:t xml:space="preserve"> to inspectors</w:t>
      </w:r>
      <w:r w:rsidRPr="00230449">
        <w:rPr>
          <w:rStyle w:val="FootnoteReference"/>
          <w:rFonts w:ascii="Arial" w:hAnsi="Arial" w:cs="Arial"/>
        </w:rPr>
        <w:footnoteReference w:id="162"/>
      </w:r>
      <w:r w:rsidRPr="00230449">
        <w:rPr>
          <w:rFonts w:ascii="Arial" w:hAnsi="Arial" w:cs="Arial"/>
        </w:rPr>
        <w:t xml:space="preserve"> could be used against them in criminal proceedings. The defendants were accused of attempting to induce the disposal and acquisition of securities. At a preparatory hearing it was held that the contents of the interviews obtained by the inspectors of the Department of Trade and Industry were admissible in evidence at their trial. The accused appealed contending that there was a conspiracy between the DTI inspectors and the CPS prosecutors to obtain evidence to convict them. Further, they claimed use of such evidence was unfair in that if they had known of its potential admissibility they would have remained silent and faced contempt proceedings. The Court of Appeal, agreeing with the reasoning of Henry, J held in light of</w:t>
      </w:r>
      <w:r w:rsidR="00436FC0" w:rsidRPr="00230449">
        <w:rPr>
          <w:rFonts w:ascii="Arial" w:hAnsi="Arial" w:cs="Arial"/>
        </w:rPr>
        <w:t xml:space="preserve"> the fact the defendants were, “</w:t>
      </w:r>
      <w:r w:rsidRPr="00230449">
        <w:rPr>
          <w:rFonts w:ascii="Arial" w:hAnsi="Arial" w:cs="Arial"/>
        </w:rPr>
        <w:t>extremely astute professional men who have been advised at one time or another by very experienced city solicitors</w:t>
      </w:r>
      <w:r w:rsidR="00436FC0" w:rsidRPr="00230449">
        <w:rPr>
          <w:rFonts w:ascii="Arial" w:hAnsi="Arial" w:cs="Arial"/>
        </w:rPr>
        <w:t>”</w:t>
      </w:r>
      <w:r w:rsidRPr="00230449">
        <w:rPr>
          <w:rFonts w:ascii="Arial" w:hAnsi="Arial" w:cs="Arial"/>
        </w:rPr>
        <w:t>, they had not been prejudiced by the admissibility of the evidence. The evidence being properly obtained in pursuance of the statutory purpose for which Parliament intended the relevant Companies Act provisions applied.</w:t>
      </w:r>
    </w:p>
    <w:p w:rsidR="00C90A96" w:rsidRPr="00230449" w:rsidRDefault="00C90A96" w:rsidP="00C90A96">
      <w:pPr>
        <w:spacing w:line="360" w:lineRule="auto"/>
        <w:jc w:val="both"/>
        <w:rPr>
          <w:rFonts w:ascii="Arial" w:hAnsi="Arial" w:cs="Arial"/>
        </w:rPr>
      </w:pPr>
    </w:p>
    <w:p w:rsidR="00C90A96" w:rsidRPr="00230449" w:rsidRDefault="00C90A96" w:rsidP="00C90A96">
      <w:pPr>
        <w:spacing w:line="360" w:lineRule="auto"/>
        <w:jc w:val="both"/>
        <w:rPr>
          <w:rFonts w:ascii="Arial" w:hAnsi="Arial" w:cs="Arial"/>
        </w:rPr>
      </w:pPr>
      <w:r w:rsidRPr="00230449">
        <w:rPr>
          <w:rFonts w:ascii="Arial" w:hAnsi="Arial" w:cs="Arial"/>
        </w:rPr>
        <w:t xml:space="preserve">Private examinations under the Insolvency Act 1986 again came before the House of Lords in </w:t>
      </w:r>
      <w:r w:rsidRPr="00230449">
        <w:rPr>
          <w:rFonts w:ascii="Arial" w:hAnsi="Arial" w:cs="Arial"/>
          <w:i/>
        </w:rPr>
        <w:t>Re Arrows Ltd (No.4)</w:t>
      </w:r>
      <w:r w:rsidR="003F476F" w:rsidRPr="00230449">
        <w:rPr>
          <w:rFonts w:ascii="Arial" w:hAnsi="Arial" w:cs="Arial"/>
          <w:i/>
        </w:rPr>
        <w:t>.</w:t>
      </w:r>
      <w:r w:rsidRPr="00230449">
        <w:rPr>
          <w:rStyle w:val="FootnoteReference"/>
          <w:rFonts w:ascii="Arial" w:hAnsi="Arial" w:cs="Arial"/>
        </w:rPr>
        <w:footnoteReference w:id="163"/>
      </w:r>
      <w:r w:rsidRPr="00230449">
        <w:rPr>
          <w:rFonts w:ascii="Arial" w:hAnsi="Arial" w:cs="Arial"/>
        </w:rPr>
        <w:t xml:space="preserve"> The case concerned an appeal against the Court of </w:t>
      </w:r>
      <w:r w:rsidRPr="00230449">
        <w:rPr>
          <w:rFonts w:ascii="Arial" w:hAnsi="Arial" w:cs="Arial"/>
        </w:rPr>
        <w:lastRenderedPageBreak/>
        <w:t>A</w:t>
      </w:r>
      <w:r w:rsidR="00CE67E9" w:rsidRPr="00230449">
        <w:rPr>
          <w:rFonts w:ascii="Arial" w:hAnsi="Arial" w:cs="Arial"/>
        </w:rPr>
        <w:t xml:space="preserve">ppeal’s reversal of </w:t>
      </w:r>
      <w:proofErr w:type="spellStart"/>
      <w:r w:rsidR="00CE67E9" w:rsidRPr="00230449">
        <w:rPr>
          <w:rFonts w:ascii="Arial" w:hAnsi="Arial" w:cs="Arial"/>
        </w:rPr>
        <w:t>Vinelo</w:t>
      </w:r>
      <w:r w:rsidRPr="00230449">
        <w:rPr>
          <w:rFonts w:ascii="Arial" w:hAnsi="Arial" w:cs="Arial"/>
        </w:rPr>
        <w:t>tt</w:t>
      </w:r>
      <w:proofErr w:type="spellEnd"/>
      <w:r w:rsidRPr="00230449">
        <w:rPr>
          <w:rFonts w:ascii="Arial" w:hAnsi="Arial" w:cs="Arial"/>
        </w:rPr>
        <w:t xml:space="preserve">, J decision in </w:t>
      </w:r>
      <w:r w:rsidRPr="00230449">
        <w:rPr>
          <w:rFonts w:ascii="Arial" w:hAnsi="Arial" w:cs="Arial"/>
          <w:i/>
        </w:rPr>
        <w:t>Re Arrows (No.2)</w:t>
      </w:r>
      <w:r w:rsidRPr="00230449">
        <w:rPr>
          <w:rFonts w:ascii="Arial" w:hAnsi="Arial" w:cs="Arial"/>
        </w:rPr>
        <w:t>, that access to transcripts of…… obtained under s.236 should be restricted</w:t>
      </w:r>
      <w:r w:rsidRPr="00230449">
        <w:rPr>
          <w:rStyle w:val="FootnoteReference"/>
          <w:rFonts w:ascii="Arial" w:hAnsi="Arial" w:cs="Arial"/>
        </w:rPr>
        <w:footnoteReference w:id="164"/>
      </w:r>
      <w:r w:rsidRPr="00230449">
        <w:rPr>
          <w:rFonts w:ascii="Arial" w:hAnsi="Arial" w:cs="Arial"/>
        </w:rPr>
        <w:t xml:space="preserve">. Following the decision in </w:t>
      </w:r>
      <w:r w:rsidRPr="00230449">
        <w:rPr>
          <w:rFonts w:ascii="Arial" w:hAnsi="Arial" w:cs="Arial"/>
          <w:i/>
        </w:rPr>
        <w:t>Bishopsgate Investment Management Ltd v. Maxwell</w:t>
      </w:r>
      <w:r w:rsidR="001E51DE" w:rsidRPr="00230449">
        <w:rPr>
          <w:rFonts w:ascii="Arial" w:hAnsi="Arial" w:cs="Arial"/>
          <w:i/>
        </w:rPr>
        <w:t>,</w:t>
      </w:r>
      <w:r w:rsidRPr="00230449">
        <w:rPr>
          <w:rStyle w:val="FootnoteReference"/>
          <w:rFonts w:ascii="Arial" w:hAnsi="Arial" w:cs="Arial"/>
        </w:rPr>
        <w:footnoteReference w:id="165"/>
      </w:r>
      <w:r w:rsidRPr="00230449">
        <w:rPr>
          <w:rFonts w:ascii="Arial" w:hAnsi="Arial" w:cs="Arial"/>
        </w:rPr>
        <w:t xml:space="preserve"> the House of Lords held that, “a person examined under s.236 can be compelled to give self-incriminating answers which are admissible against him in criminal proceedings”</w:t>
      </w:r>
      <w:r w:rsidRPr="00230449">
        <w:rPr>
          <w:rStyle w:val="FootnoteReference"/>
          <w:rFonts w:ascii="Arial" w:hAnsi="Arial" w:cs="Arial"/>
        </w:rPr>
        <w:footnoteReference w:id="166"/>
      </w:r>
      <w:r w:rsidRPr="00230449">
        <w:rPr>
          <w:rFonts w:ascii="Arial" w:hAnsi="Arial" w:cs="Arial"/>
        </w:rPr>
        <w:t>. The case however went further and as Lord Browne-Wilkinson noted, “the SFO is seeking to obtain answers given in the course of investigations initiated for the purpose of safeguarding the company’s property (and for that purpose deprived of the privilege against self-incrimination) for use in evidence in a criminal prosecution.”</w:t>
      </w:r>
      <w:r w:rsidRPr="00230449">
        <w:rPr>
          <w:rStyle w:val="FootnoteReference"/>
          <w:rFonts w:ascii="Arial" w:hAnsi="Arial" w:cs="Arial"/>
        </w:rPr>
        <w:footnoteReference w:id="167"/>
      </w:r>
    </w:p>
    <w:p w:rsidR="00C90A96" w:rsidRPr="00230449" w:rsidRDefault="00C90A96" w:rsidP="00C90A96">
      <w:pPr>
        <w:spacing w:line="360" w:lineRule="auto"/>
        <w:jc w:val="both"/>
        <w:rPr>
          <w:rFonts w:ascii="Arial" w:hAnsi="Arial" w:cs="Arial"/>
        </w:rPr>
      </w:pPr>
    </w:p>
    <w:p w:rsidR="00C90A96" w:rsidRPr="00230449" w:rsidRDefault="0025123B" w:rsidP="00C90A96">
      <w:pPr>
        <w:spacing w:line="360" w:lineRule="auto"/>
        <w:jc w:val="both"/>
        <w:rPr>
          <w:rFonts w:ascii="Arial" w:hAnsi="Arial" w:cs="Arial"/>
        </w:rPr>
      </w:pPr>
      <w:r w:rsidRPr="00230449">
        <w:rPr>
          <w:rFonts w:ascii="Arial" w:hAnsi="Arial" w:cs="Arial"/>
        </w:rPr>
        <w:t>So we have explored a</w:t>
      </w:r>
      <w:r w:rsidR="003F476F" w:rsidRPr="00230449">
        <w:rPr>
          <w:rFonts w:ascii="Arial" w:hAnsi="Arial" w:cs="Arial"/>
        </w:rPr>
        <w:t xml:space="preserve"> relatively small selection of cases from a much larger dataset which demonstrate narrow </w:t>
      </w:r>
      <w:r w:rsidR="00035E21" w:rsidRPr="00230449">
        <w:rPr>
          <w:rFonts w:ascii="Arial" w:hAnsi="Arial" w:cs="Arial"/>
        </w:rPr>
        <w:t xml:space="preserve">Eternal Recurrence </w:t>
      </w:r>
      <w:r w:rsidR="003F476F" w:rsidRPr="00230449">
        <w:rPr>
          <w:rFonts w:ascii="Arial" w:hAnsi="Arial" w:cs="Arial"/>
        </w:rPr>
        <w:t>in that the same solution is offered again and again</w:t>
      </w:r>
      <w:r w:rsidRPr="00230449">
        <w:rPr>
          <w:rFonts w:ascii="Arial" w:hAnsi="Arial" w:cs="Arial"/>
        </w:rPr>
        <w:t xml:space="preserve"> by the judges</w:t>
      </w:r>
      <w:r w:rsidR="003F476F" w:rsidRPr="00230449">
        <w:rPr>
          <w:rFonts w:ascii="Arial" w:hAnsi="Arial" w:cs="Arial"/>
        </w:rPr>
        <w:t xml:space="preserve"> in relation to a balanced and nuanced question on the extraction and admissibility of evidence in the context of an insolvent company</w:t>
      </w:r>
      <w:r w:rsidRPr="00230449">
        <w:rPr>
          <w:rFonts w:ascii="Arial" w:hAnsi="Arial" w:cs="Arial"/>
        </w:rPr>
        <w:t xml:space="preserve"> and its controlling directors. The cases</w:t>
      </w:r>
      <w:r w:rsidR="00C90A96" w:rsidRPr="00230449">
        <w:rPr>
          <w:rFonts w:ascii="Arial" w:hAnsi="Arial" w:cs="Arial"/>
        </w:rPr>
        <w:t xml:space="preserve"> demonstrate that English insolvency law has in the past taken an approach to the ECHR that was inconsistent with the Article 6. The </w:t>
      </w:r>
      <w:r w:rsidR="00C90A96" w:rsidRPr="00230449">
        <w:rPr>
          <w:rFonts w:ascii="Arial" w:hAnsi="Arial" w:cs="Arial"/>
          <w:i/>
        </w:rPr>
        <w:t>Saunders</w:t>
      </w:r>
      <w:r w:rsidR="00C90A96" w:rsidRPr="00230449">
        <w:rPr>
          <w:rFonts w:ascii="Arial" w:hAnsi="Arial" w:cs="Arial"/>
        </w:rPr>
        <w:t xml:space="preserve"> judgment (noted above) and the reforms which that caused will now be examined. Article 6</w:t>
      </w:r>
      <w:r w:rsidR="00C90A96" w:rsidRPr="00230449">
        <w:rPr>
          <w:rStyle w:val="FootnoteReference"/>
          <w:rFonts w:ascii="Arial" w:hAnsi="Arial" w:cs="Arial"/>
        </w:rPr>
        <w:footnoteReference w:id="168"/>
      </w:r>
      <w:r w:rsidR="00C90A96" w:rsidRPr="00230449">
        <w:rPr>
          <w:rFonts w:ascii="Arial" w:hAnsi="Arial" w:cs="Arial"/>
        </w:rPr>
        <w:t xml:space="preserve"> of the European Convention of Human Rights and Fundamental Freedoms states, </w:t>
      </w:r>
      <w:r w:rsidR="00C90A96" w:rsidRPr="00230449">
        <w:rPr>
          <w:rFonts w:ascii="Arial" w:hAnsi="Arial" w:cs="Arial"/>
          <w:i/>
        </w:rPr>
        <w:t>inter alia</w:t>
      </w:r>
      <w:r w:rsidR="002A67FF" w:rsidRPr="00230449">
        <w:rPr>
          <w:rFonts w:ascii="Arial" w:hAnsi="Arial" w:cs="Arial"/>
        </w:rPr>
        <w:t>, that:</w:t>
      </w:r>
    </w:p>
    <w:p w:rsidR="00C90A96" w:rsidRPr="00230449" w:rsidRDefault="00C90A96" w:rsidP="00C90A96">
      <w:pPr>
        <w:spacing w:line="360" w:lineRule="auto"/>
        <w:jc w:val="both"/>
        <w:rPr>
          <w:rFonts w:ascii="Arial" w:hAnsi="Arial" w:cs="Arial"/>
        </w:rPr>
      </w:pPr>
    </w:p>
    <w:p w:rsidR="00C90A96" w:rsidRPr="00230449" w:rsidRDefault="00C90A96" w:rsidP="00AC4D65">
      <w:pPr>
        <w:ind w:left="720"/>
        <w:jc w:val="both"/>
        <w:rPr>
          <w:rFonts w:ascii="Arial" w:hAnsi="Arial" w:cs="Arial"/>
          <w:sz w:val="22"/>
          <w:szCs w:val="22"/>
        </w:rPr>
      </w:pPr>
      <w:r w:rsidRPr="00230449">
        <w:rPr>
          <w:rFonts w:ascii="Arial" w:hAnsi="Arial" w:cs="Arial"/>
          <w:sz w:val="22"/>
          <w:szCs w:val="22"/>
        </w:rPr>
        <w:t>“</w:t>
      </w:r>
      <w:r w:rsidRPr="00230449">
        <w:rPr>
          <w:rFonts w:ascii="Arial" w:hAnsi="Arial" w:cs="Arial"/>
          <w:i/>
          <w:sz w:val="22"/>
          <w:szCs w:val="22"/>
        </w:rPr>
        <w:t xml:space="preserve">In the determination of his civil rights and obligations or of any criminal charge against him, everyone is entitled </w:t>
      </w:r>
      <w:r w:rsidRPr="00230449">
        <w:rPr>
          <w:rFonts w:ascii="Arial" w:hAnsi="Arial" w:cs="Arial"/>
          <w:b/>
          <w:i/>
          <w:sz w:val="22"/>
          <w:szCs w:val="22"/>
        </w:rPr>
        <w:t>to a fair and public hearing within a reasonable time by an independent and impartial tribunal established by law</w:t>
      </w:r>
      <w:r w:rsidRPr="00230449">
        <w:rPr>
          <w:rFonts w:ascii="Arial" w:hAnsi="Arial" w:cs="Arial"/>
          <w:i/>
          <w:sz w:val="22"/>
          <w:szCs w:val="22"/>
        </w:rPr>
        <w:t>...</w:t>
      </w:r>
      <w:r w:rsidRPr="00230449">
        <w:rPr>
          <w:rFonts w:ascii="Arial" w:hAnsi="Arial" w:cs="Arial"/>
          <w:sz w:val="22"/>
          <w:szCs w:val="22"/>
        </w:rPr>
        <w:t>”.</w:t>
      </w:r>
    </w:p>
    <w:p w:rsidR="00C90A96" w:rsidRPr="00230449" w:rsidRDefault="00C90A96" w:rsidP="00C90A96">
      <w:pPr>
        <w:spacing w:line="360" w:lineRule="auto"/>
        <w:jc w:val="both"/>
        <w:rPr>
          <w:rFonts w:ascii="Arial" w:hAnsi="Arial" w:cs="Arial"/>
        </w:rPr>
      </w:pPr>
      <w:r w:rsidRPr="00230449">
        <w:rPr>
          <w:rFonts w:ascii="Arial" w:hAnsi="Arial" w:cs="Arial"/>
        </w:rPr>
        <w:t xml:space="preserve"> </w:t>
      </w:r>
    </w:p>
    <w:p w:rsidR="00C90A96" w:rsidRPr="00230449" w:rsidRDefault="00C90A96" w:rsidP="00C90A96">
      <w:pPr>
        <w:spacing w:line="360" w:lineRule="auto"/>
        <w:jc w:val="both"/>
        <w:rPr>
          <w:rFonts w:ascii="Arial" w:hAnsi="Arial" w:cs="Arial"/>
        </w:rPr>
      </w:pPr>
      <w:r w:rsidRPr="00230449">
        <w:rPr>
          <w:rFonts w:ascii="Arial" w:hAnsi="Arial" w:cs="Arial"/>
        </w:rPr>
        <w:t>In a further case emanating from the Guinness plc takeover of Distillers plc</w:t>
      </w:r>
      <w:r w:rsidRPr="00230449">
        <w:rPr>
          <w:rFonts w:ascii="Arial" w:hAnsi="Arial" w:cs="Arial"/>
          <w:i/>
        </w:rPr>
        <w:t>, Saunders v. UK</w:t>
      </w:r>
      <w:r w:rsidRPr="00230449">
        <w:rPr>
          <w:rStyle w:val="FootnoteReference"/>
          <w:rFonts w:ascii="Arial" w:hAnsi="Arial" w:cs="Arial"/>
        </w:rPr>
        <w:footnoteReference w:id="169"/>
      </w:r>
      <w:r w:rsidRPr="00230449">
        <w:rPr>
          <w:rFonts w:ascii="Arial" w:hAnsi="Arial" w:cs="Arial"/>
        </w:rPr>
        <w:t xml:space="preserve">, the European Court of Human Rights had the opportunity to consider the </w:t>
      </w:r>
      <w:r w:rsidRPr="00230449">
        <w:rPr>
          <w:rFonts w:ascii="Arial" w:hAnsi="Arial" w:cs="Arial"/>
        </w:rPr>
        <w:lastRenderedPageBreak/>
        <w:t xml:space="preserve">legality of the admissibility of evidence obtained by compulsion and its compliance with Article 6 of the European Convention of Human Rights and Fundamental Freedoms. This case has had a fundamental effect on the usage of evidence obtained under the Companies and Insolvency Act and its subsequent admissibility in criminal trials. The court held by a majority of sixteen votes to four that the use of a self-incriminating statement, in criminal proceedings, obtained under compulsion pursuant to the Companies and Insolvency Acts provision was unfair and a breach of Article 6(1) of the European Convention on Human Rights. </w:t>
      </w:r>
    </w:p>
    <w:p w:rsidR="00C90A96" w:rsidRPr="00230449" w:rsidRDefault="00C90A96" w:rsidP="00C90A96">
      <w:pPr>
        <w:spacing w:line="360" w:lineRule="auto"/>
        <w:jc w:val="both"/>
        <w:rPr>
          <w:rFonts w:ascii="Arial" w:hAnsi="Arial" w:cs="Arial"/>
        </w:rPr>
      </w:pPr>
    </w:p>
    <w:p w:rsidR="00C90A96" w:rsidRPr="00230449" w:rsidRDefault="00C90A96" w:rsidP="00AC4D65">
      <w:pPr>
        <w:pStyle w:val="BodyText"/>
        <w:spacing w:line="360" w:lineRule="auto"/>
        <w:rPr>
          <w:rFonts w:ascii="Arial" w:hAnsi="Arial" w:cs="Arial"/>
        </w:rPr>
      </w:pPr>
      <w:r w:rsidRPr="00230449">
        <w:rPr>
          <w:rFonts w:ascii="Arial" w:hAnsi="Arial" w:cs="Arial"/>
        </w:rPr>
        <w:t xml:space="preserve">Section 11 of the Insolvency Act 2000, provides for an amendment to s.219 of the IA 1986 in light of the decision of the European Court of Human Rights in </w:t>
      </w:r>
      <w:r w:rsidRPr="00230449">
        <w:rPr>
          <w:rFonts w:ascii="Arial" w:hAnsi="Arial" w:cs="Arial"/>
          <w:i/>
        </w:rPr>
        <w:t>Saunders v. UK</w:t>
      </w:r>
      <w:r w:rsidRPr="00230449">
        <w:rPr>
          <w:rStyle w:val="FootnoteReference"/>
          <w:rFonts w:ascii="Arial" w:hAnsi="Arial" w:cs="Arial"/>
        </w:rPr>
        <w:footnoteReference w:id="170"/>
      </w:r>
      <w:r w:rsidRPr="00230449">
        <w:rPr>
          <w:rFonts w:ascii="Arial" w:hAnsi="Arial" w:cs="Arial"/>
        </w:rPr>
        <w:t xml:space="preserve">. As a result of this amendment there are restrictions on the use of answers obtained under compulsion, namely, any answers given under compulsion cannot be used against a director who would has been compelled to give answers pursuant to the IA 86 provisions except in limited circumstances. We are therefore now domestically in line with the approach of the ECHR. </w:t>
      </w:r>
    </w:p>
    <w:p w:rsidR="00AC4D65" w:rsidRPr="00230449" w:rsidRDefault="00AC4D65" w:rsidP="00AC4D65">
      <w:pPr>
        <w:pStyle w:val="BodyText"/>
        <w:spacing w:line="360" w:lineRule="auto"/>
        <w:rPr>
          <w:rFonts w:ascii="Arial" w:hAnsi="Arial" w:cs="Arial"/>
        </w:rPr>
      </w:pPr>
    </w:p>
    <w:p w:rsidR="00AC4D65" w:rsidRPr="00230449" w:rsidRDefault="00AC4D65" w:rsidP="00AC4D65">
      <w:pPr>
        <w:pStyle w:val="BodyText"/>
        <w:spacing w:line="360" w:lineRule="auto"/>
        <w:rPr>
          <w:rFonts w:ascii="Arial" w:hAnsi="Arial" w:cs="Arial"/>
        </w:rPr>
      </w:pPr>
      <w:r w:rsidRPr="00230449">
        <w:rPr>
          <w:rFonts w:ascii="Arial" w:hAnsi="Arial" w:cs="Arial"/>
        </w:rPr>
        <w:t xml:space="preserve">In terms of </w:t>
      </w:r>
      <w:r w:rsidR="006966D1" w:rsidRPr="00230449">
        <w:rPr>
          <w:rFonts w:ascii="Arial" w:hAnsi="Arial" w:cs="Arial"/>
        </w:rPr>
        <w:t xml:space="preserve">Nietzschean </w:t>
      </w:r>
      <w:r w:rsidR="00035E21" w:rsidRPr="00230449">
        <w:rPr>
          <w:rFonts w:ascii="Arial" w:hAnsi="Arial" w:cs="Arial"/>
        </w:rPr>
        <w:t xml:space="preserve">Eternal Recurrence </w:t>
      </w:r>
      <w:r w:rsidR="006966D1" w:rsidRPr="00230449">
        <w:rPr>
          <w:rFonts w:ascii="Arial" w:hAnsi="Arial" w:cs="Arial"/>
        </w:rPr>
        <w:t>we can see that it is the theme of director accountability and its obverse, creditor appeasing, that is in pla</w:t>
      </w:r>
      <w:r w:rsidR="007302FA" w:rsidRPr="00230449">
        <w:rPr>
          <w:rFonts w:ascii="Arial" w:hAnsi="Arial" w:cs="Arial"/>
        </w:rPr>
        <w:t xml:space="preserve">y in this run of cases. This </w:t>
      </w:r>
      <w:r w:rsidR="006966D1" w:rsidRPr="00230449">
        <w:rPr>
          <w:rFonts w:ascii="Arial" w:hAnsi="Arial" w:cs="Arial"/>
        </w:rPr>
        <w:t xml:space="preserve">creditor satisfaction theme is as old as the insolvency laws. </w:t>
      </w:r>
    </w:p>
    <w:p w:rsidR="00C2098C" w:rsidRPr="00230449" w:rsidRDefault="00C2098C" w:rsidP="008B1208">
      <w:pPr>
        <w:spacing w:line="360" w:lineRule="auto"/>
        <w:jc w:val="both"/>
        <w:rPr>
          <w:rFonts w:ascii="Arial" w:hAnsi="Arial" w:cs="Arial"/>
        </w:rPr>
      </w:pPr>
    </w:p>
    <w:p w:rsidR="00377C28" w:rsidRPr="00230449" w:rsidRDefault="00377C28" w:rsidP="00377C28">
      <w:pPr>
        <w:jc w:val="both"/>
        <w:rPr>
          <w:rFonts w:ascii="Arial" w:hAnsi="Arial" w:cs="Arial"/>
        </w:rPr>
      </w:pPr>
    </w:p>
    <w:p w:rsidR="00D41E5A" w:rsidRPr="00230449" w:rsidRDefault="00D41E5A" w:rsidP="008B1208">
      <w:pPr>
        <w:pStyle w:val="ListParagraph"/>
        <w:numPr>
          <w:ilvl w:val="0"/>
          <w:numId w:val="1"/>
        </w:numPr>
        <w:spacing w:line="360" w:lineRule="auto"/>
        <w:jc w:val="both"/>
        <w:rPr>
          <w:rFonts w:ascii="Arial" w:hAnsi="Arial" w:cs="Arial"/>
          <w:b/>
          <w:u w:val="single"/>
        </w:rPr>
      </w:pPr>
      <w:r w:rsidRPr="00230449">
        <w:rPr>
          <w:rFonts w:ascii="Arial" w:hAnsi="Arial" w:cs="Arial"/>
          <w:b/>
          <w:u w:val="single"/>
        </w:rPr>
        <w:t xml:space="preserve">Damage to or the </w:t>
      </w:r>
      <w:r w:rsidR="000B25E3" w:rsidRPr="00230449">
        <w:rPr>
          <w:rFonts w:ascii="Arial" w:hAnsi="Arial" w:cs="Arial"/>
          <w:b/>
          <w:u w:val="single"/>
        </w:rPr>
        <w:t>i</w:t>
      </w:r>
      <w:r w:rsidRPr="00230449">
        <w:rPr>
          <w:rFonts w:ascii="Arial" w:hAnsi="Arial" w:cs="Arial"/>
          <w:b/>
          <w:u w:val="single"/>
        </w:rPr>
        <w:t>mpossibility</w:t>
      </w:r>
      <w:r w:rsidR="000B25E3" w:rsidRPr="00230449">
        <w:rPr>
          <w:rFonts w:ascii="Arial" w:hAnsi="Arial" w:cs="Arial"/>
          <w:b/>
          <w:u w:val="single"/>
        </w:rPr>
        <w:t xml:space="preserve"> of i</w:t>
      </w:r>
      <w:r w:rsidRPr="00230449">
        <w:rPr>
          <w:rFonts w:ascii="Arial" w:hAnsi="Arial" w:cs="Arial"/>
          <w:b/>
          <w:u w:val="single"/>
        </w:rPr>
        <w:t xml:space="preserve">nnovation? </w:t>
      </w:r>
    </w:p>
    <w:p w:rsidR="00D41E5A" w:rsidRPr="00230449" w:rsidRDefault="00D41E5A" w:rsidP="0097493D">
      <w:pPr>
        <w:spacing w:line="360" w:lineRule="auto"/>
        <w:jc w:val="both"/>
        <w:rPr>
          <w:rFonts w:ascii="Arial" w:hAnsi="Arial" w:cs="Arial"/>
        </w:rPr>
      </w:pPr>
    </w:p>
    <w:p w:rsidR="0071008B" w:rsidRPr="00230449" w:rsidRDefault="00054944" w:rsidP="00683146">
      <w:pPr>
        <w:spacing w:line="360" w:lineRule="auto"/>
        <w:jc w:val="both"/>
        <w:rPr>
          <w:rFonts w:ascii="Arial" w:hAnsi="Arial" w:cs="Arial"/>
        </w:rPr>
      </w:pPr>
      <w:r w:rsidRPr="00230449">
        <w:rPr>
          <w:rFonts w:ascii="Arial" w:hAnsi="Arial" w:cs="Arial"/>
        </w:rPr>
        <w:t xml:space="preserve">The </w:t>
      </w:r>
      <w:r w:rsidR="00517D30" w:rsidRPr="00230449">
        <w:rPr>
          <w:rFonts w:ascii="Arial" w:hAnsi="Arial" w:cs="Arial"/>
        </w:rPr>
        <w:t xml:space="preserve">critical </w:t>
      </w:r>
      <w:r w:rsidR="0097493D" w:rsidRPr="00230449">
        <w:rPr>
          <w:rFonts w:ascii="Arial" w:hAnsi="Arial" w:cs="Arial"/>
        </w:rPr>
        <w:t xml:space="preserve">problem with </w:t>
      </w:r>
      <w:r w:rsidR="00517D30" w:rsidRPr="00230449">
        <w:rPr>
          <w:rFonts w:ascii="Arial" w:hAnsi="Arial" w:cs="Arial"/>
        </w:rPr>
        <w:t xml:space="preserve">insolvency </w:t>
      </w:r>
      <w:r w:rsidR="00035E21" w:rsidRPr="00230449">
        <w:rPr>
          <w:rFonts w:ascii="Arial" w:hAnsi="Arial" w:cs="Arial"/>
        </w:rPr>
        <w:t xml:space="preserve">Eternal Recurrence </w:t>
      </w:r>
      <w:r w:rsidR="0097493D" w:rsidRPr="00230449">
        <w:rPr>
          <w:rFonts w:ascii="Arial" w:hAnsi="Arial" w:cs="Arial"/>
        </w:rPr>
        <w:t xml:space="preserve">is that it stifles innovation and </w:t>
      </w:r>
      <w:r w:rsidR="004706FA" w:rsidRPr="00230449">
        <w:rPr>
          <w:rFonts w:ascii="Arial" w:hAnsi="Arial" w:cs="Arial"/>
        </w:rPr>
        <w:t>productive, genuinely</w:t>
      </w:r>
      <w:r w:rsidR="0097493D" w:rsidRPr="00230449">
        <w:rPr>
          <w:rFonts w:ascii="Arial" w:hAnsi="Arial" w:cs="Arial"/>
        </w:rPr>
        <w:t xml:space="preserve"> novel, </w:t>
      </w:r>
      <w:r w:rsidR="00151EF7" w:rsidRPr="00230449">
        <w:rPr>
          <w:rFonts w:ascii="Arial" w:hAnsi="Arial" w:cs="Arial"/>
        </w:rPr>
        <w:t>policy</w:t>
      </w:r>
      <w:r w:rsidR="0097493D" w:rsidRPr="00230449">
        <w:rPr>
          <w:rFonts w:ascii="Arial" w:hAnsi="Arial" w:cs="Arial"/>
        </w:rPr>
        <w:t xml:space="preserve">making. </w:t>
      </w:r>
      <w:r w:rsidR="004706FA" w:rsidRPr="00230449">
        <w:rPr>
          <w:rFonts w:ascii="Arial" w:hAnsi="Arial" w:cs="Arial"/>
        </w:rPr>
        <w:t>Instead</w:t>
      </w:r>
      <w:r w:rsidRPr="00230449">
        <w:rPr>
          <w:rFonts w:ascii="Arial" w:hAnsi="Arial" w:cs="Arial"/>
        </w:rPr>
        <w:t>,</w:t>
      </w:r>
      <w:r w:rsidR="004706FA" w:rsidRPr="00230449">
        <w:rPr>
          <w:rFonts w:ascii="Arial" w:hAnsi="Arial" w:cs="Arial"/>
        </w:rPr>
        <w:t xml:space="preserve"> we have</w:t>
      </w:r>
      <w:r w:rsidR="0097493D" w:rsidRPr="00230449">
        <w:rPr>
          <w:rFonts w:ascii="Arial" w:hAnsi="Arial" w:cs="Arial"/>
        </w:rPr>
        <w:t xml:space="preserve"> lazy recycling of tired old ideas</w:t>
      </w:r>
      <w:r w:rsidR="00C626D4" w:rsidRPr="00230449">
        <w:rPr>
          <w:rFonts w:ascii="Arial" w:hAnsi="Arial" w:cs="Arial"/>
        </w:rPr>
        <w:t xml:space="preserve"> that were no</w:t>
      </w:r>
      <w:r w:rsidR="0097493D" w:rsidRPr="00230449">
        <w:rPr>
          <w:rFonts w:ascii="Arial" w:hAnsi="Arial" w:cs="Arial"/>
        </w:rPr>
        <w:t xml:space="preserve">t deemed beneficial or helpful on their first venture into the policy consideration forum. </w:t>
      </w:r>
      <w:r w:rsidR="004706FA" w:rsidRPr="00230449">
        <w:rPr>
          <w:rFonts w:ascii="Arial" w:hAnsi="Arial" w:cs="Arial"/>
          <w:i/>
        </w:rPr>
        <w:t xml:space="preserve">Plus </w:t>
      </w:r>
      <w:proofErr w:type="spellStart"/>
      <w:r w:rsidR="004706FA" w:rsidRPr="00230449">
        <w:rPr>
          <w:rFonts w:ascii="Arial" w:hAnsi="Arial" w:cs="Arial"/>
          <w:i/>
        </w:rPr>
        <w:t>ça</w:t>
      </w:r>
      <w:proofErr w:type="spellEnd"/>
      <w:r w:rsidR="004706FA" w:rsidRPr="00230449">
        <w:rPr>
          <w:rFonts w:ascii="Arial" w:hAnsi="Arial" w:cs="Arial"/>
          <w:i/>
        </w:rPr>
        <w:t xml:space="preserve"> change, plus </w:t>
      </w:r>
      <w:proofErr w:type="spellStart"/>
      <w:r w:rsidR="004706FA" w:rsidRPr="00230449">
        <w:rPr>
          <w:rFonts w:ascii="Arial" w:hAnsi="Arial" w:cs="Arial"/>
          <w:i/>
        </w:rPr>
        <w:t>c'est</w:t>
      </w:r>
      <w:proofErr w:type="spellEnd"/>
      <w:r w:rsidR="004706FA" w:rsidRPr="00230449">
        <w:rPr>
          <w:rFonts w:ascii="Arial" w:hAnsi="Arial" w:cs="Arial"/>
          <w:i/>
        </w:rPr>
        <w:t xml:space="preserve"> la </w:t>
      </w:r>
      <w:proofErr w:type="spellStart"/>
      <w:r w:rsidR="004706FA" w:rsidRPr="00230449">
        <w:rPr>
          <w:rFonts w:ascii="Arial" w:hAnsi="Arial" w:cs="Arial"/>
          <w:i/>
        </w:rPr>
        <w:t>même</w:t>
      </w:r>
      <w:proofErr w:type="spellEnd"/>
      <w:r w:rsidR="004706FA" w:rsidRPr="00230449">
        <w:rPr>
          <w:rFonts w:ascii="Arial" w:hAnsi="Arial" w:cs="Arial"/>
          <w:i/>
        </w:rPr>
        <w:t xml:space="preserve"> chose</w:t>
      </w:r>
      <w:r w:rsidR="004706FA" w:rsidRPr="00230449">
        <w:rPr>
          <w:rFonts w:ascii="Arial" w:hAnsi="Arial" w:cs="Arial"/>
        </w:rPr>
        <w:t>!</w:t>
      </w:r>
      <w:r w:rsidR="000B25E3" w:rsidRPr="00230449">
        <w:rPr>
          <w:rFonts w:ascii="Arial" w:hAnsi="Arial" w:cs="Arial"/>
        </w:rPr>
        <w:t xml:space="preserve"> To wheel out the same solutions, no matter how often, will not make them more attractive. Indeed, to seemingly ignore the considered feedback of consultees </w:t>
      </w:r>
      <w:r w:rsidR="00BD442D" w:rsidRPr="00230449">
        <w:rPr>
          <w:rFonts w:ascii="Arial" w:hAnsi="Arial" w:cs="Arial"/>
        </w:rPr>
        <w:t xml:space="preserve">during various </w:t>
      </w:r>
      <w:r w:rsidR="00E5730E" w:rsidRPr="00230449">
        <w:rPr>
          <w:rFonts w:ascii="Arial" w:hAnsi="Arial" w:cs="Arial"/>
        </w:rPr>
        <w:t xml:space="preserve">and repeated </w:t>
      </w:r>
      <w:r w:rsidR="00BD442D" w:rsidRPr="00230449">
        <w:rPr>
          <w:rFonts w:ascii="Arial" w:hAnsi="Arial" w:cs="Arial"/>
        </w:rPr>
        <w:t xml:space="preserve">consultations </w:t>
      </w:r>
      <w:r w:rsidR="000B25E3" w:rsidRPr="00230449">
        <w:rPr>
          <w:rFonts w:ascii="Arial" w:hAnsi="Arial" w:cs="Arial"/>
        </w:rPr>
        <w:t xml:space="preserve">will eventually lead to the exasperation of </w:t>
      </w:r>
      <w:r w:rsidR="00E5730E" w:rsidRPr="00230449">
        <w:rPr>
          <w:rFonts w:ascii="Arial" w:hAnsi="Arial" w:cs="Arial"/>
        </w:rPr>
        <w:t>those</w:t>
      </w:r>
      <w:r w:rsidR="00DE4028" w:rsidRPr="00230449">
        <w:rPr>
          <w:rFonts w:ascii="Arial" w:hAnsi="Arial" w:cs="Arial"/>
        </w:rPr>
        <w:t xml:space="preserve"> </w:t>
      </w:r>
      <w:r w:rsidR="000B25E3" w:rsidRPr="00230449">
        <w:rPr>
          <w:rFonts w:ascii="Arial" w:hAnsi="Arial" w:cs="Arial"/>
        </w:rPr>
        <w:t>stakeholders</w:t>
      </w:r>
      <w:r w:rsidR="00DE4028" w:rsidRPr="00230449">
        <w:rPr>
          <w:rFonts w:ascii="Arial" w:hAnsi="Arial" w:cs="Arial"/>
        </w:rPr>
        <w:t xml:space="preserve"> from whom views have been solicited</w:t>
      </w:r>
      <w:r w:rsidR="000B25E3" w:rsidRPr="00230449">
        <w:rPr>
          <w:rFonts w:ascii="Arial" w:hAnsi="Arial" w:cs="Arial"/>
        </w:rPr>
        <w:t xml:space="preserve">. </w:t>
      </w:r>
      <w:r w:rsidR="007B3C5D" w:rsidRPr="00230449">
        <w:rPr>
          <w:rFonts w:ascii="Arial" w:hAnsi="Arial" w:cs="Arial"/>
        </w:rPr>
        <w:t>Eventually this may</w:t>
      </w:r>
      <w:r w:rsidR="00DE4028" w:rsidRPr="00230449">
        <w:rPr>
          <w:rFonts w:ascii="Arial" w:hAnsi="Arial" w:cs="Arial"/>
        </w:rPr>
        <w:t xml:space="preserve"> lead to a lack of</w:t>
      </w:r>
      <w:r w:rsidR="00BD442D" w:rsidRPr="00230449">
        <w:rPr>
          <w:rFonts w:ascii="Arial" w:hAnsi="Arial" w:cs="Arial"/>
        </w:rPr>
        <w:t xml:space="preserve"> meaningful </w:t>
      </w:r>
      <w:r w:rsidR="00BD442D" w:rsidRPr="00230449">
        <w:rPr>
          <w:rFonts w:ascii="Arial" w:hAnsi="Arial" w:cs="Arial"/>
        </w:rPr>
        <w:lastRenderedPageBreak/>
        <w:t>engagement</w:t>
      </w:r>
      <w:r w:rsidR="00DE4028" w:rsidRPr="00230449">
        <w:rPr>
          <w:rFonts w:ascii="Arial" w:hAnsi="Arial" w:cs="Arial"/>
        </w:rPr>
        <w:t xml:space="preserve"> in the reform process</w:t>
      </w:r>
      <w:r w:rsidR="00E5730E" w:rsidRPr="00230449">
        <w:rPr>
          <w:rFonts w:ascii="Arial" w:hAnsi="Arial" w:cs="Arial"/>
        </w:rPr>
        <w:t xml:space="preserve"> by the majority of stakeholders</w:t>
      </w:r>
      <w:r w:rsidR="00DE4028" w:rsidRPr="00230449">
        <w:rPr>
          <w:rFonts w:ascii="Arial" w:hAnsi="Arial" w:cs="Arial"/>
        </w:rPr>
        <w:t>.  M</w:t>
      </w:r>
      <w:r w:rsidR="00BD442D" w:rsidRPr="00230449">
        <w:rPr>
          <w:rFonts w:ascii="Arial" w:hAnsi="Arial" w:cs="Arial"/>
        </w:rPr>
        <w:t>uch tha</w:t>
      </w:r>
      <w:r w:rsidR="00DE4028" w:rsidRPr="00230449">
        <w:rPr>
          <w:rFonts w:ascii="Arial" w:hAnsi="Arial" w:cs="Arial"/>
        </w:rPr>
        <w:t xml:space="preserve">t could be productively done will </w:t>
      </w:r>
      <w:r w:rsidR="007B3C5D" w:rsidRPr="00230449">
        <w:rPr>
          <w:rFonts w:ascii="Arial" w:hAnsi="Arial" w:cs="Arial"/>
        </w:rPr>
        <w:t xml:space="preserve">potentially </w:t>
      </w:r>
      <w:r w:rsidR="00DE4028" w:rsidRPr="00230449">
        <w:rPr>
          <w:rFonts w:ascii="Arial" w:hAnsi="Arial" w:cs="Arial"/>
        </w:rPr>
        <w:t xml:space="preserve">be </w:t>
      </w:r>
      <w:r w:rsidR="00BD442D" w:rsidRPr="00230449">
        <w:rPr>
          <w:rFonts w:ascii="Arial" w:hAnsi="Arial" w:cs="Arial"/>
        </w:rPr>
        <w:t>lost.</w:t>
      </w:r>
      <w:r w:rsidR="00DE4028" w:rsidRPr="00230449">
        <w:rPr>
          <w:rFonts w:ascii="Arial" w:hAnsi="Arial" w:cs="Arial"/>
        </w:rPr>
        <w:t xml:space="preserve"> </w:t>
      </w:r>
    </w:p>
    <w:p w:rsidR="0071008B" w:rsidRPr="00230449" w:rsidRDefault="0071008B" w:rsidP="00683146">
      <w:pPr>
        <w:spacing w:line="360" w:lineRule="auto"/>
        <w:jc w:val="both"/>
        <w:rPr>
          <w:rFonts w:ascii="Arial" w:hAnsi="Arial" w:cs="Arial"/>
        </w:rPr>
      </w:pPr>
    </w:p>
    <w:p w:rsidR="00683146" w:rsidRPr="00230449" w:rsidRDefault="00DE4028" w:rsidP="00683146">
      <w:pPr>
        <w:spacing w:line="360" w:lineRule="auto"/>
        <w:jc w:val="both"/>
        <w:rPr>
          <w:rFonts w:ascii="Arial" w:hAnsi="Arial" w:cs="Arial"/>
        </w:rPr>
      </w:pPr>
      <w:r w:rsidRPr="00230449">
        <w:rPr>
          <w:rFonts w:ascii="Arial" w:hAnsi="Arial" w:cs="Arial"/>
        </w:rPr>
        <w:t>I</w:t>
      </w:r>
      <w:r w:rsidR="00E5730E" w:rsidRPr="00230449">
        <w:rPr>
          <w:rFonts w:ascii="Arial" w:hAnsi="Arial" w:cs="Arial"/>
        </w:rPr>
        <w:t>n</w:t>
      </w:r>
      <w:r w:rsidRPr="00230449">
        <w:rPr>
          <w:rFonts w:ascii="Arial" w:hAnsi="Arial" w:cs="Arial"/>
        </w:rPr>
        <w:t xml:space="preserve"> the wo</w:t>
      </w:r>
      <w:r w:rsidR="00151EF7" w:rsidRPr="00230449">
        <w:rPr>
          <w:rFonts w:ascii="Arial" w:hAnsi="Arial" w:cs="Arial"/>
        </w:rPr>
        <w:t>rst-</w:t>
      </w:r>
      <w:r w:rsidRPr="00230449">
        <w:rPr>
          <w:rFonts w:ascii="Arial" w:hAnsi="Arial" w:cs="Arial"/>
        </w:rPr>
        <w:t>case scenario certain stakeholders</w:t>
      </w:r>
      <w:r w:rsidR="0071008B" w:rsidRPr="00230449">
        <w:rPr>
          <w:rFonts w:ascii="Arial" w:hAnsi="Arial" w:cs="Arial"/>
        </w:rPr>
        <w:t>, such as secured creditors,</w:t>
      </w:r>
      <w:r w:rsidRPr="00230449">
        <w:rPr>
          <w:rFonts w:ascii="Arial" w:hAnsi="Arial" w:cs="Arial"/>
        </w:rPr>
        <w:t xml:space="preserve"> will capitalise on this reform apathy and will seek to monopolise and dictate the course of future r</w:t>
      </w:r>
      <w:r w:rsidR="00683146" w:rsidRPr="00230449">
        <w:rPr>
          <w:rFonts w:ascii="Arial" w:hAnsi="Arial" w:cs="Arial"/>
        </w:rPr>
        <w:t xml:space="preserve">eform for self-serving purposes. The repetitive </w:t>
      </w:r>
      <w:r w:rsidR="00683146" w:rsidRPr="00230449">
        <w:rPr>
          <w:rFonts w:ascii="Arial" w:hAnsi="Arial" w:cs="Arial"/>
          <w:i/>
        </w:rPr>
        <w:t>status quo</w:t>
      </w:r>
      <w:r w:rsidR="00683146" w:rsidRPr="00230449">
        <w:rPr>
          <w:rFonts w:ascii="Arial" w:hAnsi="Arial" w:cs="Arial"/>
        </w:rPr>
        <w:t xml:space="preserve"> cannot be permitted to continue. Unlike Zarathustra’s unreceptive bovine audience we need policy makers </w:t>
      </w:r>
      <w:r w:rsidR="00424AE0" w:rsidRPr="00230449">
        <w:rPr>
          <w:rFonts w:ascii="Arial" w:hAnsi="Arial" w:cs="Arial"/>
        </w:rPr>
        <w:t xml:space="preserve">to shake of their complacency. </w:t>
      </w:r>
      <w:r w:rsidR="00034179" w:rsidRPr="00230449">
        <w:rPr>
          <w:rFonts w:ascii="Arial" w:hAnsi="Arial" w:cs="Arial"/>
        </w:rPr>
        <w:t xml:space="preserve">They should instead be engaging in the </w:t>
      </w:r>
      <w:r w:rsidR="00231A3A" w:rsidRPr="00230449">
        <w:rPr>
          <w:rFonts w:ascii="Arial" w:hAnsi="Arial" w:cs="Arial"/>
        </w:rPr>
        <w:t>“hard and rigorous thought”</w:t>
      </w:r>
      <w:r w:rsidR="00231A3A" w:rsidRPr="00230449">
        <w:rPr>
          <w:rStyle w:val="FootnoteReference"/>
          <w:rFonts w:ascii="Arial" w:hAnsi="Arial"/>
        </w:rPr>
        <w:footnoteReference w:id="171"/>
      </w:r>
      <w:r w:rsidR="00231A3A" w:rsidRPr="00230449">
        <w:rPr>
          <w:rFonts w:ascii="Arial" w:hAnsi="Arial" w:cs="Arial"/>
        </w:rPr>
        <w:t xml:space="preserve"> Nietzsche was trying to encourage in </w:t>
      </w:r>
      <w:r w:rsidR="00231A3A" w:rsidRPr="00230449">
        <w:rPr>
          <w:rFonts w:ascii="Arial" w:hAnsi="Arial" w:cs="Arial"/>
          <w:i/>
        </w:rPr>
        <w:t>The Gay Science</w:t>
      </w:r>
      <w:r w:rsidR="00231A3A" w:rsidRPr="00230449">
        <w:rPr>
          <w:rFonts w:ascii="Arial" w:hAnsi="Arial" w:cs="Arial"/>
        </w:rPr>
        <w:t>.</w:t>
      </w:r>
      <w:r w:rsidR="009F55A5" w:rsidRPr="00230449">
        <w:rPr>
          <w:rFonts w:ascii="Arial" w:hAnsi="Arial" w:cs="Arial"/>
        </w:rPr>
        <w:t xml:space="preserve"> </w:t>
      </w:r>
      <w:r w:rsidR="0076166D" w:rsidRPr="00230449">
        <w:rPr>
          <w:rFonts w:ascii="Arial" w:hAnsi="Arial" w:cs="Arial"/>
        </w:rPr>
        <w:t>Nothing less than, “daring…creative bloody-mindedness”</w:t>
      </w:r>
      <w:r w:rsidR="0076166D" w:rsidRPr="00230449">
        <w:rPr>
          <w:rStyle w:val="FootnoteReference"/>
          <w:rFonts w:ascii="Arial" w:hAnsi="Arial"/>
        </w:rPr>
        <w:footnoteReference w:id="172"/>
      </w:r>
      <w:r w:rsidR="0076166D" w:rsidRPr="00230449">
        <w:rPr>
          <w:rFonts w:ascii="Arial" w:hAnsi="Arial" w:cs="Arial"/>
        </w:rPr>
        <w:t xml:space="preserve"> in the pursuit of thinking would satisfy Nietzsche.</w:t>
      </w:r>
      <w:r w:rsidR="00424AE0" w:rsidRPr="00230449">
        <w:rPr>
          <w:rFonts w:ascii="Arial" w:hAnsi="Arial" w:cs="Arial"/>
        </w:rPr>
        <w:t xml:space="preserve"> Policy makers should reject insolvency </w:t>
      </w:r>
      <w:r w:rsidR="00035E21" w:rsidRPr="00230449">
        <w:rPr>
          <w:rFonts w:ascii="Arial" w:hAnsi="Arial" w:cs="Arial"/>
        </w:rPr>
        <w:t xml:space="preserve">Eternal Recurrence </w:t>
      </w:r>
      <w:r w:rsidR="00424AE0" w:rsidRPr="00230449">
        <w:rPr>
          <w:rFonts w:ascii="Arial" w:hAnsi="Arial" w:cs="Arial"/>
        </w:rPr>
        <w:t xml:space="preserve">and the “peace of non-existence” in favour of novelty and fresh ideas. The should return to the fray with gusto and relish the challenge of innovation.  </w:t>
      </w:r>
    </w:p>
    <w:p w:rsidR="00683146" w:rsidRPr="00230449" w:rsidRDefault="00DE4028" w:rsidP="0097493D">
      <w:pPr>
        <w:spacing w:line="360" w:lineRule="auto"/>
        <w:jc w:val="both"/>
        <w:rPr>
          <w:rFonts w:ascii="Arial" w:hAnsi="Arial" w:cs="Arial"/>
        </w:rPr>
      </w:pPr>
      <w:r w:rsidRPr="00230449">
        <w:rPr>
          <w:rFonts w:ascii="Arial" w:hAnsi="Arial" w:cs="Arial"/>
        </w:rPr>
        <w:t xml:space="preserve"> </w:t>
      </w:r>
      <w:r w:rsidR="00BD442D" w:rsidRPr="00230449">
        <w:rPr>
          <w:rFonts w:ascii="Arial" w:hAnsi="Arial" w:cs="Arial"/>
        </w:rPr>
        <w:t xml:space="preserve"> </w:t>
      </w:r>
    </w:p>
    <w:p w:rsidR="00F3466E" w:rsidRPr="00230449" w:rsidRDefault="00E924F8" w:rsidP="0097493D">
      <w:pPr>
        <w:spacing w:line="360" w:lineRule="auto"/>
        <w:jc w:val="both"/>
        <w:rPr>
          <w:rFonts w:ascii="Arial" w:hAnsi="Arial" w:cs="Arial"/>
        </w:rPr>
      </w:pPr>
      <w:r w:rsidRPr="00230449">
        <w:rPr>
          <w:rFonts w:ascii="Arial" w:hAnsi="Arial" w:cs="Arial"/>
        </w:rPr>
        <w:t>If the insolvency community is</w:t>
      </w:r>
      <w:r w:rsidR="00F3466E" w:rsidRPr="00230449">
        <w:rPr>
          <w:rFonts w:ascii="Arial" w:hAnsi="Arial" w:cs="Arial"/>
        </w:rPr>
        <w:t xml:space="preserve"> not alive to the phenomena</w:t>
      </w:r>
      <w:r w:rsidR="00424AE0" w:rsidRPr="00230449">
        <w:rPr>
          <w:rFonts w:ascii="Arial" w:hAnsi="Arial" w:cs="Arial"/>
        </w:rPr>
        <w:t xml:space="preserve"> of insolvency </w:t>
      </w:r>
      <w:r w:rsidR="00035E21" w:rsidRPr="00230449">
        <w:rPr>
          <w:rFonts w:ascii="Arial" w:hAnsi="Arial" w:cs="Arial"/>
        </w:rPr>
        <w:t xml:space="preserve">Eternal Recurrence </w:t>
      </w:r>
      <w:r w:rsidR="00424AE0" w:rsidRPr="00230449">
        <w:rPr>
          <w:rFonts w:ascii="Arial" w:hAnsi="Arial" w:cs="Arial"/>
        </w:rPr>
        <w:t xml:space="preserve">and the repetition its represents </w:t>
      </w:r>
      <w:r w:rsidR="00F3466E" w:rsidRPr="00230449">
        <w:rPr>
          <w:rFonts w:ascii="Arial" w:hAnsi="Arial" w:cs="Arial"/>
        </w:rPr>
        <w:t xml:space="preserve">there is a </w:t>
      </w:r>
      <w:r w:rsidR="00424AE0" w:rsidRPr="00230449">
        <w:rPr>
          <w:rFonts w:ascii="Arial" w:hAnsi="Arial" w:cs="Arial"/>
        </w:rPr>
        <w:t xml:space="preserve">real </w:t>
      </w:r>
      <w:r w:rsidR="00F3466E" w:rsidRPr="00230449">
        <w:rPr>
          <w:rFonts w:ascii="Arial" w:hAnsi="Arial" w:cs="Arial"/>
        </w:rPr>
        <w:t>danger that innovation will be stifled.</w:t>
      </w:r>
      <w:r w:rsidRPr="00230449">
        <w:rPr>
          <w:rFonts w:ascii="Arial" w:hAnsi="Arial" w:cs="Arial"/>
        </w:rPr>
        <w:t xml:space="preserve"> This is deeply problematic. If we hope to identify and engage in the creation of a well-functioning insolvency law</w:t>
      </w:r>
      <w:r w:rsidR="00096099" w:rsidRPr="00230449">
        <w:rPr>
          <w:rFonts w:ascii="Arial" w:hAnsi="Arial" w:cs="Arial"/>
        </w:rPr>
        <w:t>, with settled targets, aims and objectives,</w:t>
      </w:r>
      <w:r w:rsidRPr="00230449">
        <w:rPr>
          <w:rFonts w:ascii="Arial" w:hAnsi="Arial" w:cs="Arial"/>
        </w:rPr>
        <w:t xml:space="preserve"> it is imperative that the super-</w:t>
      </w:r>
      <w:r w:rsidR="00096099" w:rsidRPr="00230449">
        <w:rPr>
          <w:rFonts w:ascii="Arial" w:hAnsi="Arial" w:cs="Arial"/>
        </w:rPr>
        <w:t>structure</w:t>
      </w:r>
      <w:r w:rsidRPr="00230449">
        <w:rPr>
          <w:rFonts w:ascii="Arial" w:hAnsi="Arial" w:cs="Arial"/>
        </w:rPr>
        <w:t xml:space="preserve"> within which</w:t>
      </w:r>
      <w:r w:rsidR="002A568D" w:rsidRPr="00230449">
        <w:rPr>
          <w:rFonts w:ascii="Arial" w:hAnsi="Arial" w:cs="Arial"/>
        </w:rPr>
        <w:t xml:space="preserve"> the</w:t>
      </w:r>
      <w:r w:rsidR="00C54396" w:rsidRPr="00230449">
        <w:rPr>
          <w:rFonts w:ascii="Arial" w:hAnsi="Arial" w:cs="Arial"/>
        </w:rPr>
        <w:t xml:space="preserve"> work is occurring is well </w:t>
      </w:r>
      <w:r w:rsidRPr="00230449">
        <w:rPr>
          <w:rFonts w:ascii="Arial" w:hAnsi="Arial" w:cs="Arial"/>
        </w:rPr>
        <w:t>understood</w:t>
      </w:r>
      <w:r w:rsidR="00096099" w:rsidRPr="00230449">
        <w:rPr>
          <w:rFonts w:ascii="Arial" w:hAnsi="Arial" w:cs="Arial"/>
        </w:rPr>
        <w:t>. A</w:t>
      </w:r>
      <w:r w:rsidRPr="00230449">
        <w:rPr>
          <w:rFonts w:ascii="Arial" w:hAnsi="Arial" w:cs="Arial"/>
        </w:rPr>
        <w:t xml:space="preserve">ny </w:t>
      </w:r>
      <w:r w:rsidR="00096099" w:rsidRPr="00230449">
        <w:rPr>
          <w:rFonts w:ascii="Arial" w:hAnsi="Arial" w:cs="Arial"/>
        </w:rPr>
        <w:t xml:space="preserve">peculiar features, </w:t>
      </w:r>
      <w:r w:rsidRPr="00230449">
        <w:rPr>
          <w:rFonts w:ascii="Arial" w:hAnsi="Arial" w:cs="Arial"/>
        </w:rPr>
        <w:t>reform foib</w:t>
      </w:r>
      <w:r w:rsidR="00096099" w:rsidRPr="00230449">
        <w:rPr>
          <w:rFonts w:ascii="Arial" w:hAnsi="Arial" w:cs="Arial"/>
        </w:rPr>
        <w:t>les or dangers to innovation must</w:t>
      </w:r>
      <w:r w:rsidRPr="00230449">
        <w:rPr>
          <w:rFonts w:ascii="Arial" w:hAnsi="Arial" w:cs="Arial"/>
        </w:rPr>
        <w:t xml:space="preserve"> </w:t>
      </w:r>
      <w:r w:rsidR="00C54396" w:rsidRPr="00230449">
        <w:rPr>
          <w:rFonts w:ascii="Arial" w:hAnsi="Arial" w:cs="Arial"/>
        </w:rPr>
        <w:t xml:space="preserve">be </w:t>
      </w:r>
      <w:r w:rsidR="006647BA" w:rsidRPr="00230449">
        <w:rPr>
          <w:rFonts w:ascii="Arial" w:hAnsi="Arial" w:cs="Arial"/>
        </w:rPr>
        <w:t>eliminated</w:t>
      </w:r>
      <w:r w:rsidRPr="00230449">
        <w:rPr>
          <w:rFonts w:ascii="Arial" w:hAnsi="Arial" w:cs="Arial"/>
        </w:rPr>
        <w:t xml:space="preserve"> in their infancy</w:t>
      </w:r>
      <w:r w:rsidR="00096099" w:rsidRPr="00230449">
        <w:rPr>
          <w:rFonts w:ascii="Arial" w:hAnsi="Arial" w:cs="Arial"/>
        </w:rPr>
        <w:t xml:space="preserve"> otherwise the </w:t>
      </w:r>
      <w:r w:rsidR="003F194B" w:rsidRPr="00230449">
        <w:rPr>
          <w:rFonts w:ascii="Arial" w:hAnsi="Arial" w:cs="Arial"/>
        </w:rPr>
        <w:t xml:space="preserve">given </w:t>
      </w:r>
      <w:r w:rsidR="00096099" w:rsidRPr="00230449">
        <w:rPr>
          <w:rFonts w:ascii="Arial" w:hAnsi="Arial" w:cs="Arial"/>
        </w:rPr>
        <w:t>target of reform</w:t>
      </w:r>
      <w:r w:rsidR="003F194B" w:rsidRPr="00230449">
        <w:rPr>
          <w:rFonts w:ascii="Arial" w:hAnsi="Arial" w:cs="Arial"/>
        </w:rPr>
        <w:t xml:space="preserve"> and perfection</w:t>
      </w:r>
      <w:r w:rsidR="00096099" w:rsidRPr="00230449">
        <w:rPr>
          <w:rFonts w:ascii="Arial" w:hAnsi="Arial" w:cs="Arial"/>
        </w:rPr>
        <w:t xml:space="preserve"> will be seriously undermined</w:t>
      </w:r>
      <w:r w:rsidR="003F194B" w:rsidRPr="00230449">
        <w:rPr>
          <w:rFonts w:ascii="Arial" w:hAnsi="Arial" w:cs="Arial"/>
        </w:rPr>
        <w:t>,</w:t>
      </w:r>
      <w:r w:rsidR="00096099" w:rsidRPr="00230449">
        <w:rPr>
          <w:rFonts w:ascii="Arial" w:hAnsi="Arial" w:cs="Arial"/>
        </w:rPr>
        <w:t xml:space="preserve"> if not </w:t>
      </w:r>
      <w:r w:rsidR="003F194B" w:rsidRPr="00230449">
        <w:rPr>
          <w:rFonts w:ascii="Arial" w:hAnsi="Arial" w:cs="Arial"/>
        </w:rPr>
        <w:t>lost entirely</w:t>
      </w:r>
      <w:r w:rsidRPr="00230449">
        <w:rPr>
          <w:rFonts w:ascii="Arial" w:hAnsi="Arial" w:cs="Arial"/>
        </w:rPr>
        <w:t xml:space="preserve">. </w:t>
      </w:r>
      <w:r w:rsidR="00F3466E" w:rsidRPr="00230449">
        <w:rPr>
          <w:rFonts w:ascii="Arial" w:hAnsi="Arial" w:cs="Arial"/>
        </w:rPr>
        <w:t xml:space="preserve">  </w:t>
      </w:r>
    </w:p>
    <w:p w:rsidR="0097493D" w:rsidRPr="00230449" w:rsidRDefault="0097493D" w:rsidP="0097493D">
      <w:pPr>
        <w:spacing w:line="360" w:lineRule="auto"/>
        <w:jc w:val="both"/>
        <w:rPr>
          <w:rFonts w:ascii="Arial" w:hAnsi="Arial" w:cs="Arial"/>
        </w:rPr>
      </w:pPr>
    </w:p>
    <w:p w:rsidR="006E628E" w:rsidRPr="00230449" w:rsidRDefault="004706FA" w:rsidP="0097493D">
      <w:pPr>
        <w:spacing w:line="360" w:lineRule="auto"/>
        <w:jc w:val="both"/>
        <w:rPr>
          <w:rFonts w:ascii="Arial" w:hAnsi="Arial" w:cs="Arial"/>
        </w:rPr>
      </w:pPr>
      <w:r w:rsidRPr="00230449">
        <w:rPr>
          <w:rFonts w:ascii="Arial" w:hAnsi="Arial" w:cs="Arial"/>
        </w:rPr>
        <w:t>To revitalise the rescue culture, or formulate an entirely new approach</w:t>
      </w:r>
      <w:r w:rsidR="00BD442D" w:rsidRPr="00230449">
        <w:rPr>
          <w:rFonts w:ascii="Arial" w:hAnsi="Arial" w:cs="Arial"/>
        </w:rPr>
        <w:t xml:space="preserve"> to English and Welsh insolvency law and policy</w:t>
      </w:r>
      <w:r w:rsidRPr="00230449">
        <w:rPr>
          <w:rFonts w:ascii="Arial" w:hAnsi="Arial" w:cs="Arial"/>
        </w:rPr>
        <w:t>, we n</w:t>
      </w:r>
      <w:r w:rsidR="00B72D15" w:rsidRPr="00230449">
        <w:rPr>
          <w:rFonts w:ascii="Arial" w:hAnsi="Arial" w:cs="Arial"/>
        </w:rPr>
        <w:t>eed to freshen up</w:t>
      </w:r>
      <w:r w:rsidR="0097493D" w:rsidRPr="00230449">
        <w:rPr>
          <w:rFonts w:ascii="Arial" w:hAnsi="Arial" w:cs="Arial"/>
        </w:rPr>
        <w:t xml:space="preserve"> thinking and ideas</w:t>
      </w:r>
      <w:r w:rsidR="00B72D15" w:rsidRPr="00230449">
        <w:rPr>
          <w:rFonts w:ascii="Arial" w:hAnsi="Arial" w:cs="Arial"/>
        </w:rPr>
        <w:t>, particularly those e</w:t>
      </w:r>
      <w:r w:rsidR="003822F4" w:rsidRPr="00230449">
        <w:rPr>
          <w:rFonts w:ascii="Arial" w:hAnsi="Arial" w:cs="Arial"/>
        </w:rPr>
        <w:t xml:space="preserve">manating from the policy sector. The same can also be said of </w:t>
      </w:r>
      <w:r w:rsidR="00B72D15" w:rsidRPr="00230449">
        <w:rPr>
          <w:rFonts w:ascii="Arial" w:hAnsi="Arial" w:cs="Arial"/>
        </w:rPr>
        <w:t>the academy and practice</w:t>
      </w:r>
      <w:r w:rsidR="0097493D" w:rsidRPr="00230449">
        <w:rPr>
          <w:rFonts w:ascii="Arial" w:hAnsi="Arial" w:cs="Arial"/>
        </w:rPr>
        <w:t xml:space="preserve">. </w:t>
      </w:r>
      <w:r w:rsidRPr="00230449">
        <w:rPr>
          <w:rFonts w:ascii="Arial" w:hAnsi="Arial" w:cs="Arial"/>
        </w:rPr>
        <w:t>This</w:t>
      </w:r>
      <w:r w:rsidR="003822F4" w:rsidRPr="00230449">
        <w:rPr>
          <w:rFonts w:ascii="Arial" w:hAnsi="Arial" w:cs="Arial"/>
        </w:rPr>
        <w:t xml:space="preserve"> renaissance</w:t>
      </w:r>
      <w:r w:rsidRPr="00230449">
        <w:rPr>
          <w:rFonts w:ascii="Arial" w:hAnsi="Arial" w:cs="Arial"/>
        </w:rPr>
        <w:t xml:space="preserve"> may also mean the abandonment of old principles</w:t>
      </w:r>
      <w:r w:rsidR="00B22D3B" w:rsidRPr="00230449">
        <w:rPr>
          <w:rFonts w:ascii="Arial" w:hAnsi="Arial" w:cs="Arial"/>
        </w:rPr>
        <w:t xml:space="preserve"> hitherto considered sacrosanct. Vulnerable areas ripe for re-consideration </w:t>
      </w:r>
      <w:r w:rsidR="00F3466E" w:rsidRPr="00230449">
        <w:rPr>
          <w:rFonts w:ascii="Arial" w:hAnsi="Arial" w:cs="Arial"/>
        </w:rPr>
        <w:t xml:space="preserve">could foreseeably </w:t>
      </w:r>
      <w:r w:rsidR="00B22D3B" w:rsidRPr="00230449">
        <w:rPr>
          <w:rFonts w:ascii="Arial" w:hAnsi="Arial" w:cs="Arial"/>
        </w:rPr>
        <w:t>include</w:t>
      </w:r>
      <w:r w:rsidRPr="00230449">
        <w:rPr>
          <w:rFonts w:ascii="Arial" w:hAnsi="Arial" w:cs="Arial"/>
        </w:rPr>
        <w:t xml:space="preserve"> the rescue culture, and vested interests, such as security</w:t>
      </w:r>
      <w:r w:rsidR="00BD442D" w:rsidRPr="00230449">
        <w:rPr>
          <w:rFonts w:ascii="Arial" w:hAnsi="Arial" w:cs="Arial"/>
        </w:rPr>
        <w:t xml:space="preserve"> and the waterfall</w:t>
      </w:r>
      <w:r w:rsidR="00F3466E" w:rsidRPr="00230449">
        <w:rPr>
          <w:rFonts w:ascii="Arial" w:hAnsi="Arial" w:cs="Arial"/>
        </w:rPr>
        <w:t>, preferential creditors, the prescribed part, self-regulation and the reduction of recognised professional bodies</w:t>
      </w:r>
      <w:r w:rsidRPr="00230449">
        <w:rPr>
          <w:rFonts w:ascii="Arial" w:hAnsi="Arial" w:cs="Arial"/>
        </w:rPr>
        <w:t>.</w:t>
      </w:r>
      <w:r w:rsidR="00B22D3B" w:rsidRPr="00230449">
        <w:rPr>
          <w:rFonts w:ascii="Arial" w:hAnsi="Arial" w:cs="Arial"/>
        </w:rPr>
        <w:t xml:space="preserve"> There should be no sacred cows.</w:t>
      </w:r>
      <w:r w:rsidRPr="00230449">
        <w:rPr>
          <w:rFonts w:ascii="Arial" w:hAnsi="Arial" w:cs="Arial"/>
        </w:rPr>
        <w:t xml:space="preserve"> We could either </w:t>
      </w:r>
      <w:r w:rsidRPr="00230449">
        <w:rPr>
          <w:rFonts w:ascii="Arial" w:hAnsi="Arial" w:cs="Arial"/>
        </w:rPr>
        <w:lastRenderedPageBreak/>
        <w:t xml:space="preserve">tinker in the Manson sense of piecemeal reform or undertake a Benthamite sweeping away of the old apparatus leaving us with an entirely clean slate upon which to build a new well-functioning and genuinely communitarian insolvency law. </w:t>
      </w:r>
    </w:p>
    <w:p w:rsidR="006E628E" w:rsidRPr="00230449" w:rsidRDefault="006E628E" w:rsidP="0097493D">
      <w:pPr>
        <w:spacing w:line="360" w:lineRule="auto"/>
        <w:jc w:val="both"/>
        <w:rPr>
          <w:rFonts w:ascii="Arial" w:hAnsi="Arial" w:cs="Arial"/>
        </w:rPr>
      </w:pPr>
    </w:p>
    <w:p w:rsidR="0097493D" w:rsidRPr="00230449" w:rsidRDefault="006E628E" w:rsidP="0097493D">
      <w:pPr>
        <w:spacing w:line="360" w:lineRule="auto"/>
        <w:jc w:val="both"/>
        <w:rPr>
          <w:rFonts w:ascii="Arial" w:hAnsi="Arial" w:cs="Arial"/>
        </w:rPr>
      </w:pPr>
      <w:r w:rsidRPr="00230449">
        <w:rPr>
          <w:rFonts w:ascii="Arial" w:hAnsi="Arial" w:cs="Arial"/>
        </w:rPr>
        <w:t>If possible</w:t>
      </w:r>
      <w:r w:rsidR="007C6765" w:rsidRPr="00230449">
        <w:rPr>
          <w:rFonts w:ascii="Arial" w:hAnsi="Arial" w:cs="Arial"/>
        </w:rPr>
        <w:t xml:space="preserve"> </w:t>
      </w:r>
      <w:r w:rsidR="00AB7F43" w:rsidRPr="00230449">
        <w:rPr>
          <w:rFonts w:ascii="Arial" w:hAnsi="Arial" w:cs="Arial"/>
        </w:rPr>
        <w:t xml:space="preserve">some of </w:t>
      </w:r>
      <w:r w:rsidRPr="00230449">
        <w:rPr>
          <w:rFonts w:ascii="Arial" w:hAnsi="Arial" w:cs="Arial"/>
        </w:rPr>
        <w:t xml:space="preserve">Nietzsche’s own </w:t>
      </w:r>
      <w:r w:rsidR="00AB7F43" w:rsidRPr="00230449">
        <w:rPr>
          <w:rFonts w:ascii="Arial" w:hAnsi="Arial" w:cs="Arial"/>
        </w:rPr>
        <w:t xml:space="preserve">apparent </w:t>
      </w:r>
      <w:r w:rsidRPr="00230449">
        <w:rPr>
          <w:rFonts w:ascii="Arial" w:hAnsi="Arial" w:cs="Arial"/>
        </w:rPr>
        <w:t>qualities</w:t>
      </w:r>
      <w:r w:rsidR="00AB7F43" w:rsidRPr="00230449">
        <w:rPr>
          <w:rFonts w:ascii="Arial" w:hAnsi="Arial" w:cs="Arial"/>
        </w:rPr>
        <w:t xml:space="preserve"> must be engendered</w:t>
      </w:r>
      <w:r w:rsidRPr="00230449">
        <w:rPr>
          <w:rFonts w:ascii="Arial" w:hAnsi="Arial" w:cs="Arial"/>
        </w:rPr>
        <w:t>. It has been said of him that, “</w:t>
      </w:r>
      <w:r w:rsidR="004014F9" w:rsidRPr="00230449">
        <w:rPr>
          <w:rFonts w:ascii="Arial" w:hAnsi="Arial" w:cs="Arial"/>
        </w:rPr>
        <w:t>Nietzsche</w:t>
      </w:r>
      <w:r w:rsidR="007C6765" w:rsidRPr="00230449">
        <w:rPr>
          <w:rFonts w:ascii="Arial" w:hAnsi="Arial" w:cs="Arial"/>
        </w:rPr>
        <w:t>’</w:t>
      </w:r>
      <w:r w:rsidR="004014F9" w:rsidRPr="00230449">
        <w:rPr>
          <w:rFonts w:ascii="Arial" w:hAnsi="Arial" w:cs="Arial"/>
        </w:rPr>
        <w:t>s originality and unusual ability to intuit and anticipate future developments and trends must be fully recognised…”</w:t>
      </w:r>
      <w:r w:rsidR="004014F9" w:rsidRPr="00230449">
        <w:rPr>
          <w:rStyle w:val="FootnoteReference"/>
          <w:rFonts w:ascii="Arial" w:hAnsi="Arial"/>
        </w:rPr>
        <w:footnoteReference w:id="173"/>
      </w:r>
      <w:r w:rsidR="007C6765" w:rsidRPr="00230449">
        <w:rPr>
          <w:rFonts w:ascii="Arial" w:hAnsi="Arial" w:cs="Arial"/>
        </w:rPr>
        <w:t xml:space="preserve"> </w:t>
      </w:r>
      <w:r w:rsidR="006A11D5" w:rsidRPr="00230449">
        <w:rPr>
          <w:rFonts w:ascii="Arial" w:hAnsi="Arial" w:cs="Arial"/>
        </w:rPr>
        <w:t>Some</w:t>
      </w:r>
      <w:r w:rsidR="005171B1" w:rsidRPr="00230449">
        <w:rPr>
          <w:rFonts w:ascii="Arial" w:hAnsi="Arial" w:cs="Arial"/>
        </w:rPr>
        <w:t xml:space="preserve"> attempts have been made to emulate Ibsen’s</w:t>
      </w:r>
      <w:r w:rsidR="006A11D5" w:rsidRPr="00230449">
        <w:rPr>
          <w:rFonts w:ascii="Arial" w:hAnsi="Arial" w:cs="Arial"/>
        </w:rPr>
        <w:t xml:space="preserve"> </w:t>
      </w:r>
      <w:proofErr w:type="spellStart"/>
      <w:r w:rsidR="000C1875" w:rsidRPr="00230449">
        <w:rPr>
          <w:rFonts w:ascii="Arial" w:hAnsi="Arial" w:cs="Arial"/>
        </w:rPr>
        <w:t>Eilert</w:t>
      </w:r>
      <w:proofErr w:type="spellEnd"/>
      <w:r w:rsidR="000C1875" w:rsidRPr="00230449">
        <w:rPr>
          <w:rFonts w:ascii="Arial" w:hAnsi="Arial" w:cs="Arial"/>
        </w:rPr>
        <w:t xml:space="preserve"> </w:t>
      </w:r>
      <w:proofErr w:type="spellStart"/>
      <w:r w:rsidR="000C1875" w:rsidRPr="00230449">
        <w:rPr>
          <w:rFonts w:ascii="Arial" w:hAnsi="Arial" w:cs="Arial"/>
        </w:rPr>
        <w:t>Løvbor</w:t>
      </w:r>
      <w:r w:rsidR="005171B1" w:rsidRPr="00230449">
        <w:rPr>
          <w:rFonts w:ascii="Arial" w:hAnsi="Arial" w:cs="Arial"/>
        </w:rPr>
        <w:t>g</w:t>
      </w:r>
      <w:proofErr w:type="spellEnd"/>
      <w:r w:rsidR="005171B1" w:rsidRPr="00230449">
        <w:rPr>
          <w:rFonts w:ascii="Arial" w:hAnsi="Arial" w:cs="Arial"/>
        </w:rPr>
        <w:t xml:space="preserve"> </w:t>
      </w:r>
      <w:r w:rsidR="009A08C4" w:rsidRPr="00230449">
        <w:rPr>
          <w:rFonts w:ascii="Arial" w:hAnsi="Arial" w:cs="Arial"/>
        </w:rPr>
        <w:t xml:space="preserve">but </w:t>
      </w:r>
      <w:r w:rsidR="005171B1" w:rsidRPr="00230449">
        <w:rPr>
          <w:rFonts w:ascii="Arial" w:hAnsi="Arial" w:cs="Arial"/>
        </w:rPr>
        <w:t xml:space="preserve">with </w:t>
      </w:r>
      <w:r w:rsidR="006A11D5" w:rsidRPr="00230449">
        <w:rPr>
          <w:rFonts w:ascii="Arial" w:hAnsi="Arial" w:cs="Arial"/>
          <w:color w:val="000000" w:themeColor="text1"/>
        </w:rPr>
        <w:t>future gazing</w:t>
      </w:r>
      <w:r w:rsidR="005171B1" w:rsidRPr="00230449">
        <w:rPr>
          <w:rFonts w:ascii="Arial" w:hAnsi="Arial" w:cs="Arial"/>
          <w:color w:val="000000" w:themeColor="text1"/>
        </w:rPr>
        <w:t xml:space="preserve"> </w:t>
      </w:r>
      <w:r w:rsidR="00A82FBC" w:rsidRPr="00230449">
        <w:rPr>
          <w:rFonts w:ascii="Arial" w:hAnsi="Arial" w:cs="Arial"/>
          <w:color w:val="000000" w:themeColor="text1"/>
        </w:rPr>
        <w:t>in the realm of insolvency</w:t>
      </w:r>
      <w:r w:rsidR="009A08C4" w:rsidRPr="00230449">
        <w:rPr>
          <w:rFonts w:ascii="Arial" w:hAnsi="Arial" w:cs="Arial"/>
          <w:color w:val="000000" w:themeColor="text1"/>
        </w:rPr>
        <w:t>.</w:t>
      </w:r>
      <w:r w:rsidR="00684C5E" w:rsidRPr="00230449">
        <w:rPr>
          <w:rStyle w:val="FootnoteReference"/>
          <w:rFonts w:ascii="Arial" w:hAnsi="Arial"/>
          <w:color w:val="000000" w:themeColor="text1"/>
        </w:rPr>
        <w:footnoteReference w:id="174"/>
      </w:r>
      <w:r w:rsidR="009A08C4" w:rsidRPr="00230449">
        <w:rPr>
          <w:rFonts w:ascii="Arial" w:hAnsi="Arial" w:cs="Arial"/>
          <w:color w:val="000000" w:themeColor="text1"/>
        </w:rPr>
        <w:t xml:space="preserve"> However, </w:t>
      </w:r>
      <w:r w:rsidR="000C1875" w:rsidRPr="00230449">
        <w:rPr>
          <w:rFonts w:ascii="Arial" w:hAnsi="Arial" w:cs="Arial"/>
          <w:color w:val="000000" w:themeColor="text1"/>
        </w:rPr>
        <w:t xml:space="preserve">much more work of this nature needs to be undertaken to alleviate the funk. </w:t>
      </w:r>
      <w:r w:rsidR="004706FA" w:rsidRPr="00230449">
        <w:rPr>
          <w:rFonts w:ascii="Arial" w:hAnsi="Arial" w:cs="Arial"/>
        </w:rPr>
        <w:t>T</w:t>
      </w:r>
      <w:r w:rsidR="00F3466E" w:rsidRPr="00230449">
        <w:rPr>
          <w:rFonts w:ascii="Arial" w:hAnsi="Arial" w:cs="Arial"/>
        </w:rPr>
        <w:t>aking a completely fresh and revitalised approach has occurred and paid dividends in other areas. For example, Birks’ work on</w:t>
      </w:r>
      <w:r w:rsidR="004706FA" w:rsidRPr="00230449">
        <w:rPr>
          <w:rFonts w:ascii="Arial" w:hAnsi="Arial" w:cs="Arial"/>
        </w:rPr>
        <w:t xml:space="preserve"> unju</w:t>
      </w:r>
      <w:r w:rsidR="00F3466E" w:rsidRPr="00230449">
        <w:rPr>
          <w:rFonts w:ascii="Arial" w:hAnsi="Arial" w:cs="Arial"/>
        </w:rPr>
        <w:t xml:space="preserve">st enrichment </w:t>
      </w:r>
      <w:r w:rsidR="004706FA" w:rsidRPr="00230449">
        <w:rPr>
          <w:rFonts w:ascii="Arial" w:hAnsi="Arial" w:cs="Arial"/>
        </w:rPr>
        <w:t xml:space="preserve">at Oxford provided for a </w:t>
      </w:r>
      <w:r w:rsidR="007B6224" w:rsidRPr="00230449">
        <w:rPr>
          <w:rFonts w:ascii="Arial" w:hAnsi="Arial" w:cs="Arial"/>
        </w:rPr>
        <w:t xml:space="preserve">novel </w:t>
      </w:r>
      <w:r w:rsidR="00F319E0" w:rsidRPr="00230449">
        <w:rPr>
          <w:rFonts w:ascii="Arial" w:hAnsi="Arial" w:cs="Arial"/>
        </w:rPr>
        <w:t xml:space="preserve">approach </w:t>
      </w:r>
      <w:r w:rsidR="004706FA" w:rsidRPr="00230449">
        <w:rPr>
          <w:rFonts w:ascii="Arial" w:hAnsi="Arial" w:cs="Arial"/>
        </w:rPr>
        <w:t>to private law.</w:t>
      </w:r>
      <w:r w:rsidR="00F3466E" w:rsidRPr="00230449">
        <w:rPr>
          <w:rStyle w:val="FootnoteReference"/>
          <w:rFonts w:ascii="Arial" w:hAnsi="Arial"/>
        </w:rPr>
        <w:footnoteReference w:id="175"/>
      </w:r>
      <w:r w:rsidR="00A04C66" w:rsidRPr="00230449">
        <w:rPr>
          <w:rFonts w:ascii="Arial" w:hAnsi="Arial" w:cs="Arial"/>
        </w:rPr>
        <w:t xml:space="preserve"> More of this in insolvency law and policy is sorely needed. </w:t>
      </w:r>
    </w:p>
    <w:p w:rsidR="000E2FB2" w:rsidRPr="00230449" w:rsidRDefault="000E2FB2" w:rsidP="0097493D">
      <w:pPr>
        <w:spacing w:line="360" w:lineRule="auto"/>
        <w:jc w:val="both"/>
        <w:rPr>
          <w:rFonts w:ascii="Arial" w:hAnsi="Arial" w:cs="Arial"/>
        </w:rPr>
      </w:pPr>
    </w:p>
    <w:p w:rsidR="002F2810" w:rsidRPr="00230449" w:rsidRDefault="002F2810" w:rsidP="0097493D">
      <w:pPr>
        <w:spacing w:line="360" w:lineRule="auto"/>
        <w:jc w:val="both"/>
        <w:rPr>
          <w:rFonts w:ascii="Arial" w:hAnsi="Arial" w:cs="Arial"/>
          <w:b/>
          <w:u w:val="single"/>
        </w:rPr>
      </w:pPr>
    </w:p>
    <w:p w:rsidR="000E2FB2" w:rsidRPr="00230449" w:rsidRDefault="000E2FB2" w:rsidP="0097493D">
      <w:pPr>
        <w:spacing w:line="360" w:lineRule="auto"/>
        <w:jc w:val="both"/>
        <w:rPr>
          <w:rFonts w:ascii="Arial" w:hAnsi="Arial" w:cs="Arial"/>
          <w:u w:val="single"/>
        </w:rPr>
      </w:pPr>
      <w:r w:rsidRPr="00230449">
        <w:rPr>
          <w:rFonts w:ascii="Arial" w:hAnsi="Arial" w:cs="Arial"/>
          <w:u w:val="single"/>
        </w:rPr>
        <w:t xml:space="preserve">New Areas of Thought </w:t>
      </w:r>
    </w:p>
    <w:p w:rsidR="000E2FB2" w:rsidRPr="00230449" w:rsidRDefault="000E2FB2" w:rsidP="000E2FB2">
      <w:pPr>
        <w:spacing w:line="360" w:lineRule="auto"/>
        <w:jc w:val="both"/>
        <w:rPr>
          <w:rFonts w:ascii="Arial" w:hAnsi="Arial" w:cs="Arial"/>
        </w:rPr>
      </w:pPr>
    </w:p>
    <w:p w:rsidR="00D81FD7" w:rsidRPr="00230449" w:rsidRDefault="00D81FD7" w:rsidP="000E2FB2">
      <w:pPr>
        <w:spacing w:line="360" w:lineRule="auto"/>
        <w:jc w:val="both"/>
        <w:rPr>
          <w:rFonts w:ascii="Arial" w:hAnsi="Arial" w:cs="Arial"/>
        </w:rPr>
      </w:pPr>
      <w:r w:rsidRPr="00230449">
        <w:rPr>
          <w:rFonts w:ascii="Arial" w:hAnsi="Arial" w:cs="Arial"/>
        </w:rPr>
        <w:t xml:space="preserve">We must move away from hackneyed recycling if it is stifling novel policy making. We must instead seek out fresh ideas. What else might be proposed which would move the agenda forward? </w:t>
      </w:r>
    </w:p>
    <w:p w:rsidR="00D81FD7" w:rsidRPr="00230449" w:rsidRDefault="00D81FD7" w:rsidP="000E2FB2">
      <w:pPr>
        <w:spacing w:line="360" w:lineRule="auto"/>
        <w:jc w:val="both"/>
        <w:rPr>
          <w:rFonts w:ascii="Arial" w:hAnsi="Arial" w:cs="Arial"/>
        </w:rPr>
      </w:pPr>
    </w:p>
    <w:p w:rsidR="00BF1A73" w:rsidRPr="00230449" w:rsidRDefault="00BF1A73" w:rsidP="000E2FB2">
      <w:pPr>
        <w:spacing w:line="360" w:lineRule="auto"/>
        <w:jc w:val="both"/>
        <w:rPr>
          <w:rFonts w:ascii="Arial" w:hAnsi="Arial" w:cs="Arial"/>
        </w:rPr>
      </w:pPr>
      <w:r w:rsidRPr="00230449">
        <w:rPr>
          <w:rFonts w:ascii="Arial" w:hAnsi="Arial" w:cs="Arial"/>
        </w:rPr>
        <w:t>We could advocate s</w:t>
      </w:r>
      <w:r w:rsidR="000E2FB2" w:rsidRPr="00230449">
        <w:rPr>
          <w:rFonts w:ascii="Arial" w:hAnsi="Arial" w:cs="Arial"/>
        </w:rPr>
        <w:t>weep</w:t>
      </w:r>
      <w:r w:rsidRPr="00230449">
        <w:rPr>
          <w:rFonts w:ascii="Arial" w:hAnsi="Arial" w:cs="Arial"/>
        </w:rPr>
        <w:t>ing</w:t>
      </w:r>
      <w:r w:rsidR="000E2FB2" w:rsidRPr="00230449">
        <w:rPr>
          <w:rFonts w:ascii="Arial" w:hAnsi="Arial" w:cs="Arial"/>
        </w:rPr>
        <w:t xml:space="preserve"> away security interests</w:t>
      </w:r>
      <w:r w:rsidRPr="00230449">
        <w:rPr>
          <w:rFonts w:ascii="Arial" w:hAnsi="Arial" w:cs="Arial"/>
        </w:rPr>
        <w:t xml:space="preserve"> entirely leading to a new kind of </w:t>
      </w:r>
      <w:r w:rsidR="000E2FB2" w:rsidRPr="00230449">
        <w:rPr>
          <w:rFonts w:ascii="Arial" w:hAnsi="Arial" w:cs="Arial"/>
        </w:rPr>
        <w:t>true pluralism</w:t>
      </w:r>
      <w:r w:rsidRPr="00230449">
        <w:rPr>
          <w:rFonts w:ascii="Arial" w:hAnsi="Arial" w:cs="Arial"/>
        </w:rPr>
        <w:t xml:space="preserve">. This would make all stakeholders equal. We could reject a system based on </w:t>
      </w:r>
      <w:r w:rsidR="000E2FB2" w:rsidRPr="00230449">
        <w:rPr>
          <w:rFonts w:ascii="Arial" w:hAnsi="Arial" w:cs="Arial"/>
        </w:rPr>
        <w:t>collectivization</w:t>
      </w:r>
      <w:r w:rsidR="00D147F8" w:rsidRPr="00230449">
        <w:rPr>
          <w:rFonts w:ascii="Arial" w:hAnsi="Arial" w:cs="Arial"/>
        </w:rPr>
        <w:t xml:space="preserve"> of creditor interests and introduce competitiveness with race to the bottom </w:t>
      </w:r>
      <w:r w:rsidR="00003EE3" w:rsidRPr="00230449">
        <w:rPr>
          <w:rFonts w:ascii="Arial" w:hAnsi="Arial" w:cs="Arial"/>
        </w:rPr>
        <w:t>techniques. We could reassess the theatre of claimants from a Marxist perspective.</w:t>
      </w:r>
      <w:r w:rsidR="00003EE3" w:rsidRPr="00230449">
        <w:rPr>
          <w:rStyle w:val="FootnoteReference"/>
          <w:rFonts w:ascii="Arial" w:hAnsi="Arial"/>
        </w:rPr>
        <w:footnoteReference w:id="176"/>
      </w:r>
      <w:r w:rsidR="00003EE3" w:rsidRPr="00230449">
        <w:rPr>
          <w:rFonts w:ascii="Arial" w:hAnsi="Arial" w:cs="Arial"/>
        </w:rPr>
        <w:t xml:space="preserve"> </w:t>
      </w:r>
      <w:r w:rsidRPr="00230449">
        <w:rPr>
          <w:rFonts w:ascii="Arial" w:hAnsi="Arial" w:cs="Arial"/>
        </w:rPr>
        <w:t xml:space="preserve">We could reject the language of insolvency which hides and masks the underlying tensions of what is in fact occurring. Unsecured creditor is </w:t>
      </w:r>
      <w:r w:rsidR="003F385C" w:rsidRPr="00230449">
        <w:rPr>
          <w:rFonts w:ascii="Arial" w:hAnsi="Arial" w:cs="Arial"/>
        </w:rPr>
        <w:t xml:space="preserve">relatively </w:t>
      </w:r>
      <w:r w:rsidRPr="00230449">
        <w:rPr>
          <w:rFonts w:ascii="Arial" w:hAnsi="Arial" w:cs="Arial"/>
        </w:rPr>
        <w:t>vague</w:t>
      </w:r>
      <w:r w:rsidR="00417108" w:rsidRPr="00230449">
        <w:rPr>
          <w:rFonts w:ascii="Arial" w:hAnsi="Arial" w:cs="Arial"/>
        </w:rPr>
        <w:t xml:space="preserve"> as a term of art and masks</w:t>
      </w:r>
      <w:r w:rsidRPr="00230449">
        <w:rPr>
          <w:rFonts w:ascii="Arial" w:hAnsi="Arial" w:cs="Arial"/>
        </w:rPr>
        <w:t xml:space="preserve"> who and what we might be dealing with, i.e. a jobless employee. </w:t>
      </w:r>
    </w:p>
    <w:p w:rsidR="0097493D" w:rsidRPr="00230449" w:rsidRDefault="0097493D" w:rsidP="0097493D">
      <w:pPr>
        <w:spacing w:line="360" w:lineRule="auto"/>
        <w:jc w:val="both"/>
        <w:rPr>
          <w:rFonts w:ascii="Arial" w:hAnsi="Arial" w:cs="Arial"/>
        </w:rPr>
      </w:pPr>
    </w:p>
    <w:p w:rsidR="0097493D" w:rsidRPr="00230449" w:rsidRDefault="0097493D" w:rsidP="008B5B04">
      <w:pPr>
        <w:rPr>
          <w:rFonts w:ascii="Arial" w:hAnsi="Arial" w:cs="Arial"/>
          <w:b/>
          <w:u w:val="single"/>
        </w:rPr>
      </w:pPr>
    </w:p>
    <w:p w:rsidR="00D41E5A" w:rsidRPr="00230449" w:rsidRDefault="00D41E5A" w:rsidP="0097493D">
      <w:pPr>
        <w:spacing w:line="360" w:lineRule="auto"/>
        <w:jc w:val="both"/>
        <w:rPr>
          <w:rFonts w:ascii="Arial" w:hAnsi="Arial" w:cs="Arial"/>
          <w:b/>
          <w:u w:val="single"/>
        </w:rPr>
      </w:pPr>
      <w:r w:rsidRPr="00230449">
        <w:rPr>
          <w:rFonts w:ascii="Arial" w:hAnsi="Arial" w:cs="Arial"/>
          <w:b/>
          <w:u w:val="single"/>
        </w:rPr>
        <w:t xml:space="preserve">Conclusion </w:t>
      </w:r>
    </w:p>
    <w:p w:rsidR="00BC1ADB" w:rsidRPr="00230449" w:rsidRDefault="00BC1ADB" w:rsidP="0097493D">
      <w:pPr>
        <w:spacing w:line="360" w:lineRule="auto"/>
        <w:jc w:val="both"/>
        <w:rPr>
          <w:rFonts w:ascii="Arial" w:hAnsi="Arial" w:cs="Arial"/>
        </w:rPr>
      </w:pPr>
    </w:p>
    <w:p w:rsidR="003D2C89" w:rsidRPr="00230449" w:rsidRDefault="003D2C89" w:rsidP="0095148A">
      <w:pPr>
        <w:spacing w:line="360" w:lineRule="auto"/>
        <w:jc w:val="both"/>
        <w:rPr>
          <w:rFonts w:ascii="Arial" w:hAnsi="Arial" w:cs="Arial"/>
        </w:rPr>
      </w:pPr>
      <w:r w:rsidRPr="00230449">
        <w:rPr>
          <w:rFonts w:ascii="Arial" w:hAnsi="Arial" w:cs="Arial"/>
        </w:rPr>
        <w:t xml:space="preserve">This article has </w:t>
      </w:r>
      <w:r w:rsidR="00CF4877" w:rsidRPr="00230449">
        <w:rPr>
          <w:rFonts w:ascii="Arial" w:hAnsi="Arial" w:cs="Arial"/>
        </w:rPr>
        <w:t xml:space="preserve">critically </w:t>
      </w:r>
      <w:r w:rsidRPr="00230449">
        <w:rPr>
          <w:rFonts w:ascii="Arial" w:hAnsi="Arial" w:cs="Arial"/>
        </w:rPr>
        <w:t>examined Nietzsche’s Eternal Recurrence thought experiment and how it can be applied to English and Welsh insolvency law through broad, narrow and</w:t>
      </w:r>
      <w:r w:rsidR="00CF4877" w:rsidRPr="00230449">
        <w:rPr>
          <w:rFonts w:ascii="Arial" w:hAnsi="Arial" w:cs="Arial"/>
        </w:rPr>
        <w:t xml:space="preserve"> deep</w:t>
      </w:r>
      <w:r w:rsidRPr="00230449">
        <w:rPr>
          <w:rFonts w:ascii="Arial" w:hAnsi="Arial" w:cs="Arial"/>
        </w:rPr>
        <w:t xml:space="preserve"> versions of </w:t>
      </w:r>
      <w:r w:rsidR="00CF4877" w:rsidRPr="00230449">
        <w:rPr>
          <w:rFonts w:ascii="Arial" w:hAnsi="Arial" w:cs="Arial"/>
        </w:rPr>
        <w:t xml:space="preserve">insolvency </w:t>
      </w:r>
      <w:r w:rsidRPr="00230449">
        <w:rPr>
          <w:rFonts w:ascii="Arial" w:hAnsi="Arial" w:cs="Arial"/>
        </w:rPr>
        <w:t xml:space="preserve">Eternal Recurrence. </w:t>
      </w:r>
      <w:r w:rsidR="00CF4877" w:rsidRPr="00230449">
        <w:rPr>
          <w:rFonts w:ascii="Arial" w:hAnsi="Arial" w:cs="Arial"/>
        </w:rPr>
        <w:t xml:space="preserve">The application of </w:t>
      </w:r>
      <w:r w:rsidRPr="00230449">
        <w:rPr>
          <w:rFonts w:ascii="Arial" w:hAnsi="Arial" w:cs="Arial"/>
        </w:rPr>
        <w:t>Nietzsche’s thought experiment</w:t>
      </w:r>
      <w:r w:rsidR="00CF4877" w:rsidRPr="00230449">
        <w:rPr>
          <w:rFonts w:ascii="Arial" w:hAnsi="Arial" w:cs="Arial"/>
        </w:rPr>
        <w:t xml:space="preserve"> and </w:t>
      </w:r>
      <w:r w:rsidR="008E25AF" w:rsidRPr="00230449">
        <w:rPr>
          <w:rFonts w:ascii="Arial" w:hAnsi="Arial" w:cs="Arial"/>
        </w:rPr>
        <w:t xml:space="preserve">the </w:t>
      </w:r>
      <w:r w:rsidR="00CF4877" w:rsidRPr="00230449">
        <w:rPr>
          <w:rFonts w:ascii="Arial" w:hAnsi="Arial" w:cs="Arial"/>
        </w:rPr>
        <w:t xml:space="preserve">original creation of insolvency versions of Eternal Recurrence </w:t>
      </w:r>
      <w:r w:rsidR="005B5FBA" w:rsidRPr="00230449">
        <w:rPr>
          <w:rFonts w:ascii="Arial" w:hAnsi="Arial" w:cs="Arial"/>
        </w:rPr>
        <w:t xml:space="preserve">in this article </w:t>
      </w:r>
      <w:r w:rsidR="00CF4877" w:rsidRPr="00230449">
        <w:rPr>
          <w:rFonts w:ascii="Arial" w:hAnsi="Arial" w:cs="Arial"/>
        </w:rPr>
        <w:t xml:space="preserve">has provided a novel contribution to the subject of insolvency in England and Wales.  </w:t>
      </w:r>
    </w:p>
    <w:p w:rsidR="003D2C89" w:rsidRPr="00230449" w:rsidRDefault="003D2C89" w:rsidP="0095148A">
      <w:pPr>
        <w:spacing w:line="360" w:lineRule="auto"/>
        <w:jc w:val="both"/>
        <w:rPr>
          <w:rFonts w:ascii="Arial" w:hAnsi="Arial" w:cs="Arial"/>
        </w:rPr>
      </w:pPr>
    </w:p>
    <w:p w:rsidR="00D41E5A" w:rsidRPr="00230449" w:rsidRDefault="000E0EAE" w:rsidP="0095148A">
      <w:pPr>
        <w:spacing w:line="360" w:lineRule="auto"/>
        <w:jc w:val="both"/>
        <w:rPr>
          <w:rFonts w:ascii="Arial" w:hAnsi="Arial" w:cs="Arial"/>
        </w:rPr>
      </w:pPr>
      <w:r w:rsidRPr="00230449">
        <w:rPr>
          <w:rFonts w:ascii="Arial" w:hAnsi="Arial" w:cs="Arial"/>
        </w:rPr>
        <w:t xml:space="preserve">This article has demonstrated that </w:t>
      </w:r>
      <w:r w:rsidR="008C260C" w:rsidRPr="00230449">
        <w:rPr>
          <w:rFonts w:ascii="Arial" w:hAnsi="Arial" w:cs="Arial"/>
        </w:rPr>
        <w:t xml:space="preserve">both broad and narrow </w:t>
      </w:r>
      <w:r w:rsidR="00035E21" w:rsidRPr="00230449">
        <w:rPr>
          <w:rFonts w:ascii="Arial" w:hAnsi="Arial" w:cs="Arial"/>
        </w:rPr>
        <w:t xml:space="preserve">Eternal Recurrence </w:t>
      </w:r>
      <w:r w:rsidRPr="00230449">
        <w:rPr>
          <w:rFonts w:ascii="Arial" w:hAnsi="Arial" w:cs="Arial"/>
        </w:rPr>
        <w:t xml:space="preserve">exists in English and Welsh insolvency law </w:t>
      </w:r>
      <w:r w:rsidR="00181E80" w:rsidRPr="00230449">
        <w:rPr>
          <w:rFonts w:ascii="Arial" w:hAnsi="Arial" w:cs="Arial"/>
        </w:rPr>
        <w:t>and that it debilitates</w:t>
      </w:r>
      <w:r w:rsidR="00B02217" w:rsidRPr="00230449">
        <w:rPr>
          <w:rFonts w:ascii="Arial" w:hAnsi="Arial" w:cs="Arial"/>
        </w:rPr>
        <w:t xml:space="preserve"> the process of policy formulation and subsequent reform. </w:t>
      </w:r>
      <w:r w:rsidR="00035E21" w:rsidRPr="00230449">
        <w:rPr>
          <w:rFonts w:ascii="Arial" w:hAnsi="Arial" w:cs="Arial"/>
        </w:rPr>
        <w:t xml:space="preserve">Eternal Recurrence </w:t>
      </w:r>
      <w:r w:rsidRPr="00230449">
        <w:rPr>
          <w:rFonts w:ascii="Arial" w:hAnsi="Arial" w:cs="Arial"/>
        </w:rPr>
        <w:t xml:space="preserve">stifles innovation </w:t>
      </w:r>
      <w:r w:rsidR="005B2D58" w:rsidRPr="00230449">
        <w:rPr>
          <w:rFonts w:ascii="Arial" w:hAnsi="Arial" w:cs="Arial"/>
        </w:rPr>
        <w:t>and novelty. Until policy makers</w:t>
      </w:r>
      <w:r w:rsidRPr="00230449">
        <w:rPr>
          <w:rFonts w:ascii="Arial" w:hAnsi="Arial" w:cs="Arial"/>
        </w:rPr>
        <w:t xml:space="preserve"> a</w:t>
      </w:r>
      <w:r w:rsidR="005B2D58" w:rsidRPr="00230449">
        <w:rPr>
          <w:rFonts w:ascii="Arial" w:hAnsi="Arial" w:cs="Arial"/>
        </w:rPr>
        <w:t>re</w:t>
      </w:r>
      <w:r w:rsidRPr="00230449">
        <w:rPr>
          <w:rFonts w:ascii="Arial" w:hAnsi="Arial" w:cs="Arial"/>
        </w:rPr>
        <w:t xml:space="preserve"> properly acquainted with previous policy consultations we cannot hope to break the cycle or repetition and staleness.</w:t>
      </w:r>
      <w:r w:rsidR="005B2D58" w:rsidRPr="00230449">
        <w:rPr>
          <w:rFonts w:ascii="Arial" w:hAnsi="Arial" w:cs="Arial"/>
        </w:rPr>
        <w:t xml:space="preserve"> If there is to be a</w:t>
      </w:r>
      <w:r w:rsidR="00981284" w:rsidRPr="00230449">
        <w:rPr>
          <w:rFonts w:ascii="Arial" w:hAnsi="Arial" w:cs="Arial"/>
        </w:rPr>
        <w:t xml:space="preserve"> Cork Mark II reform committee on insolvency law reform </w:t>
      </w:r>
      <w:r w:rsidR="005B2D58" w:rsidRPr="00230449">
        <w:rPr>
          <w:rFonts w:ascii="Arial" w:hAnsi="Arial" w:cs="Arial"/>
        </w:rPr>
        <w:t>then previous reform baggage must be ejected.</w:t>
      </w:r>
      <w:r w:rsidR="007779F0" w:rsidRPr="00230449">
        <w:rPr>
          <w:rFonts w:ascii="Arial" w:hAnsi="Arial" w:cs="Arial"/>
        </w:rPr>
        <w:t xml:space="preserve"> If this cannot be done then </w:t>
      </w:r>
      <w:r w:rsidR="00035E21" w:rsidRPr="00230449">
        <w:rPr>
          <w:rFonts w:ascii="Arial" w:hAnsi="Arial" w:cs="Arial"/>
        </w:rPr>
        <w:t xml:space="preserve">Eternal Recurrence </w:t>
      </w:r>
      <w:r w:rsidR="007779F0" w:rsidRPr="00230449">
        <w:rPr>
          <w:rFonts w:ascii="Arial" w:hAnsi="Arial" w:cs="Arial"/>
        </w:rPr>
        <w:t>should be a mantra, oft repeated, that</w:t>
      </w:r>
      <w:r w:rsidR="004E4E8B" w:rsidRPr="00230449">
        <w:rPr>
          <w:rFonts w:ascii="Arial" w:hAnsi="Arial" w:cs="Arial"/>
        </w:rPr>
        <w:t xml:space="preserve"> is constantly borne in mind</w:t>
      </w:r>
      <w:r w:rsidR="00E9419D" w:rsidRPr="00230449">
        <w:rPr>
          <w:rFonts w:ascii="Arial" w:hAnsi="Arial" w:cs="Arial"/>
        </w:rPr>
        <w:t xml:space="preserve"> during the currency of the policy formulation process</w:t>
      </w:r>
      <w:r w:rsidR="007779F0" w:rsidRPr="00230449">
        <w:rPr>
          <w:rFonts w:ascii="Arial" w:hAnsi="Arial" w:cs="Arial"/>
        </w:rPr>
        <w:t>.</w:t>
      </w:r>
    </w:p>
    <w:p w:rsidR="00B63926" w:rsidRPr="00230449" w:rsidRDefault="00B63926" w:rsidP="0095148A">
      <w:pPr>
        <w:spacing w:line="360" w:lineRule="auto"/>
        <w:jc w:val="both"/>
        <w:rPr>
          <w:rFonts w:ascii="Arial" w:hAnsi="Arial" w:cs="Arial"/>
        </w:rPr>
      </w:pPr>
    </w:p>
    <w:p w:rsidR="0054717D" w:rsidRDefault="0054717D" w:rsidP="0095148A">
      <w:pPr>
        <w:spacing w:line="360" w:lineRule="auto"/>
        <w:jc w:val="both"/>
        <w:rPr>
          <w:rFonts w:ascii="Arial" w:hAnsi="Arial" w:cs="Arial"/>
        </w:rPr>
      </w:pPr>
      <w:r w:rsidRPr="00230449">
        <w:rPr>
          <w:rFonts w:ascii="Arial" w:hAnsi="Arial" w:cs="Arial"/>
        </w:rPr>
        <w:t xml:space="preserve">To </w:t>
      </w:r>
      <w:r w:rsidR="00845DC5" w:rsidRPr="00230449">
        <w:rPr>
          <w:rFonts w:ascii="Arial" w:hAnsi="Arial" w:cs="Arial"/>
        </w:rPr>
        <w:t>move forward in a new and clear way policy makers need to</w:t>
      </w:r>
      <w:r w:rsidR="00D147F8" w:rsidRPr="00230449">
        <w:rPr>
          <w:rFonts w:ascii="Arial" w:hAnsi="Arial" w:cs="Arial"/>
        </w:rPr>
        <w:t xml:space="preserve"> b</w:t>
      </w:r>
      <w:r w:rsidR="00B63926" w:rsidRPr="00230449">
        <w:rPr>
          <w:rFonts w:ascii="Arial" w:hAnsi="Arial" w:cs="Arial"/>
        </w:rPr>
        <w:t>e more imaginative in policy setting</w:t>
      </w:r>
      <w:r w:rsidR="00D147F8" w:rsidRPr="00230449">
        <w:rPr>
          <w:rFonts w:ascii="Arial" w:hAnsi="Arial" w:cs="Arial"/>
        </w:rPr>
        <w:t xml:space="preserve"> and m</w:t>
      </w:r>
      <w:r w:rsidR="00B63926" w:rsidRPr="00230449">
        <w:rPr>
          <w:rFonts w:ascii="Arial" w:hAnsi="Arial" w:cs="Arial"/>
        </w:rPr>
        <w:t>ove away from vested interests and the constraints these bring to fresh policy making</w:t>
      </w:r>
      <w:r w:rsidR="00D147F8" w:rsidRPr="00230449">
        <w:rPr>
          <w:rFonts w:ascii="Arial" w:hAnsi="Arial" w:cs="Arial"/>
        </w:rPr>
        <w:t xml:space="preserve">. </w:t>
      </w:r>
      <w:r w:rsidRPr="00230449">
        <w:rPr>
          <w:rFonts w:ascii="Arial" w:hAnsi="Arial" w:cs="Arial"/>
        </w:rPr>
        <w:t xml:space="preserve">In this way we will be breaking the cycle of </w:t>
      </w:r>
      <w:r w:rsidR="00035E21" w:rsidRPr="00230449">
        <w:rPr>
          <w:rFonts w:ascii="Arial" w:hAnsi="Arial" w:cs="Arial"/>
        </w:rPr>
        <w:t xml:space="preserve">Eternal Recurrence </w:t>
      </w:r>
      <w:r w:rsidRPr="00230449">
        <w:rPr>
          <w:rFonts w:ascii="Arial" w:hAnsi="Arial" w:cs="Arial"/>
        </w:rPr>
        <w:t>(of the same ideas and approaches)</w:t>
      </w:r>
      <w:r w:rsidR="008B5B04" w:rsidRPr="00230449">
        <w:rPr>
          <w:rFonts w:ascii="Arial" w:hAnsi="Arial" w:cs="Arial"/>
        </w:rPr>
        <w:t xml:space="preserve"> in insolvency law. </w:t>
      </w:r>
      <w:r w:rsidR="00A86824" w:rsidRPr="00230449">
        <w:rPr>
          <w:rFonts w:ascii="Arial" w:hAnsi="Arial" w:cs="Arial"/>
        </w:rPr>
        <w:t>It is one discreet area of private law but it would provide a catalyst for change.</w:t>
      </w:r>
      <w:r w:rsidR="00A86824">
        <w:rPr>
          <w:rFonts w:ascii="Arial" w:hAnsi="Arial" w:cs="Arial"/>
        </w:rPr>
        <w:t xml:space="preserve"> </w:t>
      </w:r>
      <w:r>
        <w:rPr>
          <w:rFonts w:ascii="Arial" w:hAnsi="Arial" w:cs="Arial"/>
        </w:rPr>
        <w:t xml:space="preserve">  </w:t>
      </w:r>
    </w:p>
    <w:p w:rsidR="000179B4" w:rsidRDefault="000179B4" w:rsidP="0095148A">
      <w:pPr>
        <w:spacing w:line="360" w:lineRule="auto"/>
        <w:jc w:val="both"/>
        <w:rPr>
          <w:rFonts w:ascii="Arial" w:hAnsi="Arial" w:cs="Arial"/>
        </w:rPr>
      </w:pPr>
    </w:p>
    <w:p w:rsidR="000179B4" w:rsidRPr="00DD1E62" w:rsidRDefault="000179B4" w:rsidP="00DD1E62">
      <w:pPr>
        <w:rPr>
          <w:rFonts w:ascii="Arial" w:hAnsi="Arial" w:cs="Arial"/>
        </w:rPr>
      </w:pPr>
      <w:r w:rsidRPr="00DD1E62">
        <w:rPr>
          <w:rFonts w:ascii="Arial" w:hAnsi="Arial" w:cs="Arial"/>
        </w:rPr>
        <w:t xml:space="preserve"> </w:t>
      </w:r>
    </w:p>
    <w:sectPr w:rsidR="000179B4" w:rsidRPr="00DD1E62" w:rsidSect="007E504B">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2AD" w:rsidRDefault="001C52AD" w:rsidP="00D41E5A">
      <w:r>
        <w:separator/>
      </w:r>
    </w:p>
  </w:endnote>
  <w:endnote w:type="continuationSeparator" w:id="0">
    <w:p w:rsidR="001C52AD" w:rsidRDefault="001C52AD" w:rsidP="00D4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277825"/>
      <w:docPartObj>
        <w:docPartGallery w:val="Page Numbers (Bottom of Page)"/>
        <w:docPartUnique/>
      </w:docPartObj>
    </w:sdtPr>
    <w:sdtEndPr>
      <w:rPr>
        <w:rStyle w:val="PageNumber"/>
      </w:rPr>
    </w:sdtEndPr>
    <w:sdtContent>
      <w:p w:rsidR="00416B42" w:rsidRDefault="00416B42" w:rsidP="008F3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16B42" w:rsidRDefault="00416B42" w:rsidP="00D41E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2862701"/>
      <w:docPartObj>
        <w:docPartGallery w:val="Page Numbers (Bottom of Page)"/>
        <w:docPartUnique/>
      </w:docPartObj>
    </w:sdtPr>
    <w:sdtEndPr>
      <w:rPr>
        <w:rStyle w:val="PageNumber"/>
      </w:rPr>
    </w:sdtEndPr>
    <w:sdtContent>
      <w:p w:rsidR="00416B42" w:rsidRDefault="00416B42" w:rsidP="008F3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16B42" w:rsidRDefault="00416B42" w:rsidP="00D41E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2AD" w:rsidRDefault="001C52AD" w:rsidP="00D41E5A">
      <w:r>
        <w:separator/>
      </w:r>
    </w:p>
  </w:footnote>
  <w:footnote w:type="continuationSeparator" w:id="0">
    <w:p w:rsidR="001C52AD" w:rsidRDefault="001C52AD" w:rsidP="00D41E5A">
      <w:r>
        <w:continuationSeparator/>
      </w:r>
    </w:p>
  </w:footnote>
  <w:footnote w:id="1">
    <w:p w:rsidR="00416B42" w:rsidRPr="00A83994" w:rsidRDefault="00416B42" w:rsidP="00056B28">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For a discussion of Nietzsche’s philosophy see: Tanner, M. </w:t>
      </w:r>
      <w:r w:rsidRPr="00A83994">
        <w:rPr>
          <w:rFonts w:ascii="Arial" w:hAnsi="Arial" w:cs="Arial"/>
          <w:i/>
          <w:lang w:val="en-GB"/>
        </w:rPr>
        <w:t>Nietzsche.</w:t>
      </w:r>
      <w:r w:rsidRPr="00A83994">
        <w:rPr>
          <w:rFonts w:ascii="Arial" w:hAnsi="Arial" w:cs="Arial"/>
          <w:lang w:val="en-GB"/>
        </w:rPr>
        <w:t xml:space="preserve"> OUP, Oxford, 1995. See also: Staten, H. </w:t>
      </w:r>
      <w:r w:rsidRPr="00A83994">
        <w:rPr>
          <w:rFonts w:ascii="Arial" w:hAnsi="Arial" w:cs="Arial"/>
          <w:i/>
          <w:lang w:val="en-GB"/>
        </w:rPr>
        <w:t>Nietzsche’s Voice</w:t>
      </w:r>
      <w:r w:rsidRPr="00A83994">
        <w:rPr>
          <w:rFonts w:ascii="Arial" w:hAnsi="Arial" w:cs="Arial"/>
          <w:lang w:val="en-GB"/>
        </w:rPr>
        <w:t xml:space="preserve">. Cornell University Press, Ithaca, 1990. </w:t>
      </w:r>
    </w:p>
  </w:footnote>
  <w:footnote w:id="2">
    <w:p w:rsidR="00416B42" w:rsidRPr="00A83994" w:rsidRDefault="00416B42" w:rsidP="0049662B">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Nietzsche, F. </w:t>
      </w:r>
      <w:r w:rsidRPr="00A83994">
        <w:rPr>
          <w:rFonts w:ascii="Arial" w:hAnsi="Arial" w:cs="Arial"/>
          <w:i/>
        </w:rPr>
        <w:t>The Gay Science</w:t>
      </w:r>
      <w:r w:rsidRPr="00A83994">
        <w:rPr>
          <w:rFonts w:ascii="Arial" w:hAnsi="Arial" w:cs="Arial"/>
        </w:rPr>
        <w:t xml:space="preserve"> (1882). On </w:t>
      </w:r>
      <w:r w:rsidRPr="00A83994">
        <w:rPr>
          <w:rFonts w:ascii="Arial" w:hAnsi="Arial" w:cs="Arial"/>
          <w:i/>
        </w:rPr>
        <w:t>The Gay Science</w:t>
      </w:r>
      <w:r w:rsidRPr="00A83994">
        <w:rPr>
          <w:rFonts w:ascii="Arial" w:hAnsi="Arial" w:cs="Arial"/>
        </w:rPr>
        <w:t xml:space="preserve"> as law see: Yovel, J. </w:t>
      </w:r>
      <w:r w:rsidRPr="00A83994">
        <w:rPr>
          <w:rFonts w:ascii="Arial" w:hAnsi="Arial" w:cs="Arial"/>
          <w:i/>
        </w:rPr>
        <w:t>Gay Science as Law: An Outline for a Nietzsche Jurisprudence</w:t>
      </w:r>
      <w:r w:rsidRPr="00A83994">
        <w:rPr>
          <w:rFonts w:ascii="Arial" w:hAnsi="Arial" w:cs="Arial"/>
        </w:rPr>
        <w:t xml:space="preserve"> (2003) 24 Cardozo L. Rev. 635.  </w:t>
      </w:r>
    </w:p>
  </w:footnote>
  <w:footnote w:id="3">
    <w:p w:rsidR="00416B42" w:rsidRPr="00A83994" w:rsidRDefault="00416B42" w:rsidP="0049662B">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First coined in 1883 in  Nietzsche, F. </w:t>
      </w:r>
      <w:r w:rsidRPr="00A83994">
        <w:rPr>
          <w:rFonts w:ascii="Arial" w:hAnsi="Arial" w:cs="Arial"/>
          <w:i/>
        </w:rPr>
        <w:t>Thus Spoke Zarathustra</w:t>
      </w:r>
      <w:r w:rsidRPr="00A83994">
        <w:rPr>
          <w:rFonts w:ascii="Arial" w:hAnsi="Arial" w:cs="Arial"/>
        </w:rPr>
        <w:t xml:space="preserve"> (1883).</w:t>
      </w:r>
    </w:p>
  </w:footnote>
  <w:footnote w:id="4">
    <w:p w:rsidR="00416B42" w:rsidRPr="00A83994" w:rsidRDefault="00416B42" w:rsidP="0049662B">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On Nietzsche as a legal philosopher see: Riley P. </w:t>
      </w:r>
      <w:r w:rsidRPr="00A83994">
        <w:rPr>
          <w:rFonts w:ascii="Arial" w:hAnsi="Arial" w:cs="Arial"/>
          <w:i/>
          <w:lang w:val="en-GB"/>
        </w:rPr>
        <w:t>Nietzsche as a Philosopher of Law</w:t>
      </w:r>
      <w:r w:rsidRPr="00A83994">
        <w:rPr>
          <w:rFonts w:ascii="Arial" w:hAnsi="Arial" w:cs="Arial"/>
          <w:lang w:val="en-GB"/>
        </w:rPr>
        <w:t xml:space="preserve">, in: Pattaro, E., Canale, D., Grossi, P., Hofmann, H., Riley, P. (eds) </w:t>
      </w:r>
      <w:r w:rsidRPr="00A83994">
        <w:rPr>
          <w:rFonts w:ascii="Arial" w:hAnsi="Arial" w:cs="Arial"/>
          <w:i/>
          <w:lang w:val="en-GB"/>
        </w:rPr>
        <w:t>A Treatise of Legal Philosophy and General Jurisprudence</w:t>
      </w:r>
      <w:r w:rsidRPr="00A83994">
        <w:rPr>
          <w:rFonts w:ascii="Arial" w:hAnsi="Arial" w:cs="Arial"/>
          <w:lang w:val="en-GB"/>
        </w:rPr>
        <w:t xml:space="preserve">. Springer, Dordrecht. 2009. See also: Mootz, FJ &amp; Goodrich, P (Eds). </w:t>
      </w:r>
      <w:r w:rsidRPr="00A83994">
        <w:rPr>
          <w:rFonts w:ascii="Arial" w:hAnsi="Arial" w:cs="Arial"/>
          <w:i/>
          <w:lang w:val="en-GB"/>
        </w:rPr>
        <w:t xml:space="preserve">Nietzsche and Law - Philosophers and Law. </w:t>
      </w:r>
      <w:r w:rsidRPr="00A83994">
        <w:rPr>
          <w:rFonts w:ascii="Arial" w:hAnsi="Arial" w:cs="Arial"/>
          <w:lang w:val="en-GB"/>
        </w:rPr>
        <w:t>Routledge, London, 2008.</w:t>
      </w:r>
    </w:p>
  </w:footnote>
  <w:footnote w:id="5">
    <w:p w:rsidR="00416B42" w:rsidRPr="00A83994" w:rsidRDefault="00416B42" w:rsidP="00CC12DB">
      <w:pPr>
        <w:pStyle w:val="FootnoteText"/>
        <w:jc w:val="both"/>
        <w:rPr>
          <w:lang w:val="en-GB"/>
        </w:rPr>
      </w:pPr>
      <w:r w:rsidRPr="00A83994">
        <w:rPr>
          <w:rStyle w:val="FootnoteReference"/>
        </w:rPr>
        <w:footnoteRef/>
      </w:r>
      <w:r w:rsidRPr="00A83994">
        <w:t xml:space="preserve"> </w:t>
      </w:r>
      <w:r w:rsidRPr="00A83994">
        <w:rPr>
          <w:rFonts w:ascii="Arial" w:hAnsi="Arial" w:cs="Arial"/>
        </w:rPr>
        <w:t xml:space="preserve">Nietzsche, F. </w:t>
      </w:r>
      <w:r w:rsidRPr="00A83994">
        <w:rPr>
          <w:rFonts w:ascii="Arial" w:hAnsi="Arial" w:cs="Arial"/>
          <w:i/>
        </w:rPr>
        <w:t>The Gay Science</w:t>
      </w:r>
      <w:r w:rsidRPr="00A83994">
        <w:rPr>
          <w:rFonts w:ascii="Arial" w:hAnsi="Arial" w:cs="Arial"/>
        </w:rPr>
        <w:t xml:space="preserve">, edited by Bernard Williams. Cambridge Texts in the History of Philosophy. CUP, Cambridge, 2001, </w:t>
      </w:r>
      <w:r w:rsidRPr="00A83994">
        <w:rPr>
          <w:rFonts w:ascii="Arial" w:hAnsi="Arial" w:cs="Arial"/>
          <w:lang w:val="en-GB"/>
        </w:rPr>
        <w:t xml:space="preserve">p.xxiii. Hereafter </w:t>
      </w:r>
      <w:r w:rsidRPr="00A83994">
        <w:rPr>
          <w:rFonts w:ascii="Arial" w:hAnsi="Arial" w:cs="Arial"/>
          <w:i/>
          <w:lang w:val="en-GB"/>
        </w:rPr>
        <w:t>Nietzsche Gay Science</w:t>
      </w:r>
      <w:r w:rsidRPr="00A83994">
        <w:rPr>
          <w:rFonts w:ascii="Arial" w:hAnsi="Arial" w:cs="Arial"/>
          <w:lang w:val="en-GB"/>
        </w:rPr>
        <w:t>.</w:t>
      </w:r>
    </w:p>
  </w:footnote>
  <w:footnote w:id="6">
    <w:p w:rsidR="00416B42" w:rsidRPr="00A83994" w:rsidRDefault="00416B42" w:rsidP="00B92A5B">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Imprisonment for debt was abolished in the same year in England and Wales.</w:t>
      </w:r>
    </w:p>
  </w:footnote>
  <w:footnote w:id="7">
    <w:p w:rsidR="00416B42" w:rsidRPr="00A83994" w:rsidRDefault="00416B42" w:rsidP="00056B28">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On Nietzsche’s life see further: Hollingdale, RJ. </w:t>
      </w:r>
      <w:r w:rsidRPr="00A83994">
        <w:rPr>
          <w:rFonts w:ascii="Arial" w:hAnsi="Arial" w:cs="Arial"/>
          <w:i/>
          <w:lang w:val="en-GB"/>
        </w:rPr>
        <w:t>Nietzsche: The Man and his Philosophy</w:t>
      </w:r>
      <w:r w:rsidRPr="00A83994">
        <w:rPr>
          <w:rFonts w:ascii="Arial" w:hAnsi="Arial" w:cs="Arial"/>
          <w:lang w:val="en-GB"/>
        </w:rPr>
        <w:t xml:space="preserve">. CUP, Cambridge, 1999. Hereafter </w:t>
      </w:r>
      <w:r w:rsidRPr="00A83994">
        <w:rPr>
          <w:rFonts w:ascii="Arial" w:hAnsi="Arial" w:cs="Arial"/>
          <w:i/>
          <w:lang w:val="en-GB"/>
        </w:rPr>
        <w:t>Hollingdale Nietzsche.</w:t>
      </w:r>
      <w:r w:rsidRPr="00A83994">
        <w:rPr>
          <w:rFonts w:ascii="Arial" w:hAnsi="Arial" w:cs="Arial"/>
          <w:lang w:val="en-GB"/>
        </w:rPr>
        <w:t xml:space="preserve">  </w:t>
      </w:r>
    </w:p>
  </w:footnote>
  <w:footnote w:id="8">
    <w:p w:rsidR="00416B42" w:rsidRPr="00A83994" w:rsidRDefault="00416B42" w:rsidP="00D73B41">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Hollingdale Nietzsche</w:t>
      </w:r>
      <w:r w:rsidRPr="00A83994">
        <w:rPr>
          <w:rFonts w:ascii="Arial" w:hAnsi="Arial" w:cs="Arial"/>
          <w:lang w:val="en-GB"/>
        </w:rPr>
        <w:t>, p.30.</w:t>
      </w:r>
    </w:p>
  </w:footnote>
  <w:footnote w:id="9">
    <w:p w:rsidR="00416B42" w:rsidRPr="00A83994" w:rsidRDefault="00416B42" w:rsidP="0082305D">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Insolvency as a term of art is normally used to denote the factual position of insolvency (e.g. s.123 Insolvency Act 1986) and as indicative of a general inability to settle outstanding claims by both debtor companies and debtor humans. For humans this legal state of insolvency can lead to bankruptcy in English and Welsh law if the formal bankruptcy procedure has been used. Bankruptcy is also sometimes used in an international sense to refer to the position of a debtor’s insolvency. This reflects American usage, e.g. Chapter 11 bankruptcy. In this article bankruptcy is used in the broad sense to refer to an inability to pay debts as they fall due. Insolvency is used in the technical sense unless otherwise stated. </w:t>
      </w:r>
    </w:p>
  </w:footnote>
  <w:footnote w:id="10">
    <w:p w:rsidR="00416B42" w:rsidRPr="00A83994" w:rsidRDefault="00416B42" w:rsidP="00CF22FA">
      <w:pPr>
        <w:pStyle w:val="FootnoteText"/>
        <w:jc w:val="both"/>
        <w:rPr>
          <w:rFonts w:ascii="Arial" w:hAnsi="Arial" w:cs="Arial"/>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For an interesting use of Aristotelian ethics in the context of corporate law and directors’ duties see: Wheeler, S. </w:t>
      </w:r>
      <w:r w:rsidRPr="00A83994">
        <w:rPr>
          <w:rFonts w:ascii="Arial" w:hAnsi="Arial" w:cs="Arial"/>
          <w:i/>
          <w:color w:val="000000" w:themeColor="text1"/>
          <w:lang w:val="en-GB"/>
        </w:rPr>
        <w:t>Corporations and the Third Way</w:t>
      </w:r>
      <w:r w:rsidRPr="00A83994">
        <w:rPr>
          <w:rFonts w:ascii="Arial" w:hAnsi="Arial" w:cs="Arial"/>
          <w:color w:val="000000" w:themeColor="text1"/>
          <w:lang w:val="en-GB"/>
        </w:rPr>
        <w:t>. Hart Publishing, London, 2002.</w:t>
      </w:r>
    </w:p>
  </w:footnote>
  <w:footnote w:id="11">
    <w:p w:rsidR="00416B42" w:rsidRPr="00A83994" w:rsidRDefault="00416B42" w:rsidP="00C75EC4">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For an examination of Stigma, Compositions &amp; Moratoria, Liberalisation &amp; Discharge (SCAMLAD) in early modern insolvency law see: </w:t>
      </w:r>
      <w:r w:rsidRPr="00A83994">
        <w:rPr>
          <w:rFonts w:ascii="Arial" w:hAnsi="Arial" w:cs="Arial"/>
          <w:color w:val="000000" w:themeColor="text1"/>
          <w:lang w:val="en-GB"/>
        </w:rPr>
        <w:t>Tribe, J.</w:t>
      </w:r>
      <w:r w:rsidRPr="00A83994">
        <w:rPr>
          <w:rFonts w:ascii="Arial" w:hAnsi="Arial" w:cs="Arial"/>
          <w:i/>
          <w:color w:val="000000" w:themeColor="text1"/>
          <w:lang w:val="en-GB"/>
        </w:rPr>
        <w:t xml:space="preserve"> Debtor treatment themes in personal bankruptcy policy development from the early-modern period to the present day - plus ça change (plus c'est la même chose). </w:t>
      </w:r>
      <w:r w:rsidRPr="00A83994">
        <w:rPr>
          <w:rFonts w:ascii="Arial" w:hAnsi="Arial" w:cs="Arial"/>
          <w:color w:val="000000" w:themeColor="text1"/>
          <w:lang w:val="en-GB"/>
        </w:rPr>
        <w:t xml:space="preserve">Ph.D. thesis (unpublished) University College London (University of London), 2012. Hereafter </w:t>
      </w:r>
      <w:r w:rsidRPr="00A83994">
        <w:rPr>
          <w:rFonts w:ascii="Arial" w:hAnsi="Arial" w:cs="Arial"/>
          <w:i/>
          <w:color w:val="000000" w:themeColor="text1"/>
          <w:lang w:val="en-GB"/>
        </w:rPr>
        <w:t>Tribe Treatment.</w:t>
      </w:r>
      <w:r w:rsidRPr="00A83994">
        <w:rPr>
          <w:rFonts w:ascii="Arial" w:hAnsi="Arial" w:cs="Arial"/>
          <w:color w:val="000000" w:themeColor="text1"/>
          <w:lang w:val="en-GB"/>
        </w:rPr>
        <w:t xml:space="preserve"> </w:t>
      </w:r>
    </w:p>
  </w:footnote>
  <w:footnote w:id="12">
    <w:p w:rsidR="00416B42" w:rsidRPr="00A83994" w:rsidRDefault="00416B42" w:rsidP="00A432EB">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Herz, Z. </w:t>
      </w:r>
      <w:r w:rsidRPr="00A83994">
        <w:rPr>
          <w:rFonts w:ascii="Arial" w:hAnsi="Arial" w:cs="Arial"/>
          <w:i/>
        </w:rPr>
        <w:t>The Effect of Bankruptcy Law on Roman Credit Markets</w:t>
      </w:r>
      <w:r w:rsidRPr="00A83994">
        <w:rPr>
          <w:rFonts w:ascii="Arial" w:hAnsi="Arial" w:cs="Arial"/>
        </w:rPr>
        <w:t xml:space="preserve"> (2015) 2 Bus. &amp; Bankr. L.J. 207. See also: Grosz, E. </w:t>
      </w:r>
      <w:r w:rsidRPr="00A83994">
        <w:rPr>
          <w:rFonts w:ascii="Arial" w:hAnsi="Arial" w:cs="Arial"/>
          <w:i/>
        </w:rPr>
        <w:t>Nietzsche and the Stomach for Knowledge,</w:t>
      </w:r>
      <w:r w:rsidRPr="00A83994">
        <w:rPr>
          <w:rFonts w:ascii="Arial" w:hAnsi="Arial" w:cs="Arial"/>
        </w:rPr>
        <w:t xml:space="preserve"> in: Patton, P (Ed). </w:t>
      </w:r>
      <w:r w:rsidRPr="00A83994">
        <w:rPr>
          <w:rFonts w:ascii="Arial" w:hAnsi="Arial" w:cs="Arial"/>
          <w:i/>
        </w:rPr>
        <w:t>Nietzsche, Feminism and Political Theory</w:t>
      </w:r>
      <w:r w:rsidRPr="00A83994">
        <w:rPr>
          <w:rFonts w:ascii="Arial" w:hAnsi="Arial" w:cs="Arial"/>
        </w:rPr>
        <w:t xml:space="preserve">. 2002, </w:t>
      </w:r>
      <w:r w:rsidRPr="00A83994">
        <w:rPr>
          <w:rFonts w:ascii="Arial" w:hAnsi="Arial" w:cs="Arial"/>
          <w:color w:val="000000" w:themeColor="text1"/>
        </w:rPr>
        <w:t>pp.49,66.</w:t>
      </w:r>
    </w:p>
  </w:footnote>
  <w:footnote w:id="13">
    <w:p w:rsidR="00416B42" w:rsidRPr="00A83994" w:rsidRDefault="00416B42" w:rsidP="00E6071B">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Nietzsche, F. </w:t>
      </w:r>
      <w:r w:rsidRPr="00A83994">
        <w:rPr>
          <w:rFonts w:ascii="Arial" w:hAnsi="Arial" w:cs="Arial"/>
          <w:i/>
          <w:lang w:val="en-GB"/>
        </w:rPr>
        <w:t>On the Genealogy of Morality</w:t>
      </w:r>
      <w:r w:rsidRPr="00A83994">
        <w:rPr>
          <w:rFonts w:ascii="Arial" w:hAnsi="Arial" w:cs="Arial"/>
          <w:lang w:val="en-GB"/>
        </w:rPr>
        <w:t>,</w:t>
      </w:r>
      <w:r w:rsidRPr="00A83994">
        <w:rPr>
          <w:rFonts w:ascii="Arial" w:hAnsi="Arial" w:cs="Arial"/>
        </w:rPr>
        <w:t xml:space="preserve"> edited by Keith Ansell-Pearson. Cambridge Texts in the History of Philosophy. CUP, Cambridge, 3rd Ed, 2017, </w:t>
      </w:r>
      <w:r w:rsidRPr="00A83994">
        <w:rPr>
          <w:rFonts w:ascii="Arial" w:hAnsi="Arial" w:cs="Arial"/>
          <w:lang w:val="en-GB"/>
        </w:rPr>
        <w:t>pp.40-43</w:t>
      </w:r>
      <w:r w:rsidRPr="00A83994">
        <w:rPr>
          <w:rFonts w:ascii="Arial" w:hAnsi="Arial" w:cs="Arial"/>
          <w:color w:val="000000" w:themeColor="text1"/>
          <w:lang w:val="en-GB"/>
        </w:rPr>
        <w:t xml:space="preserve">. Hereafter </w:t>
      </w:r>
      <w:r w:rsidRPr="00A83994">
        <w:rPr>
          <w:rFonts w:ascii="Arial" w:hAnsi="Arial" w:cs="Arial"/>
          <w:i/>
          <w:color w:val="000000" w:themeColor="text1"/>
          <w:lang w:val="en-GB"/>
        </w:rPr>
        <w:t xml:space="preserve">Nietzsche Morality. </w:t>
      </w:r>
    </w:p>
  </w:footnote>
  <w:footnote w:id="14">
    <w:p w:rsidR="00416B42" w:rsidRPr="00A83994" w:rsidRDefault="00416B42" w:rsidP="000279B4">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On which see further: Tribe, J. </w:t>
      </w:r>
      <w:r w:rsidRPr="00A83994">
        <w:rPr>
          <w:rFonts w:ascii="Arial" w:hAnsi="Arial" w:cs="Arial"/>
          <w:i/>
          <w:lang w:val="en-GB"/>
        </w:rPr>
        <w:t xml:space="preserve">Nietzsche and the nature and effect of the debtor and creditor relationship </w:t>
      </w:r>
      <w:r w:rsidRPr="00A83994">
        <w:rPr>
          <w:rFonts w:ascii="Arial" w:hAnsi="Arial" w:cs="Arial"/>
          <w:lang w:val="en-GB"/>
        </w:rPr>
        <w:t xml:space="preserve">(forthcoming). Hereafter </w:t>
      </w:r>
      <w:r w:rsidRPr="00A83994">
        <w:rPr>
          <w:rFonts w:ascii="Arial" w:hAnsi="Arial" w:cs="Arial"/>
          <w:i/>
          <w:lang w:val="en-GB"/>
        </w:rPr>
        <w:t>Tribe Relationship.</w:t>
      </w:r>
      <w:r w:rsidRPr="00A83994">
        <w:rPr>
          <w:rFonts w:ascii="Arial" w:hAnsi="Arial" w:cs="Arial"/>
          <w:lang w:val="en-GB"/>
        </w:rPr>
        <w:t xml:space="preserve"> </w:t>
      </w:r>
    </w:p>
  </w:footnote>
  <w:footnote w:id="15">
    <w:p w:rsidR="00416B42" w:rsidRPr="00A83994" w:rsidRDefault="00416B42" w:rsidP="0032624C">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Hollingdale Nietzsche</w:t>
      </w:r>
      <w:r w:rsidRPr="00A83994">
        <w:rPr>
          <w:rFonts w:ascii="Arial" w:hAnsi="Arial" w:cs="Arial"/>
          <w:lang w:val="en-GB"/>
        </w:rPr>
        <w:t>, p.14.</w:t>
      </w:r>
    </w:p>
  </w:footnote>
  <w:footnote w:id="16">
    <w:p w:rsidR="00416B42" w:rsidRPr="00A83994" w:rsidRDefault="00416B42" w:rsidP="00231698">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“Was mich nicht umbringt macht mich stärker."</w:t>
      </w:r>
      <w:r w:rsidRPr="00A83994">
        <w:rPr>
          <w:rFonts w:ascii="Arial" w:hAnsi="Arial" w:cs="Arial"/>
          <w:lang w:val="en-GB"/>
        </w:rPr>
        <w:t xml:space="preserve"> From: Nietzsche, F. </w:t>
      </w:r>
      <w:r w:rsidRPr="00A83994">
        <w:rPr>
          <w:rFonts w:ascii="Arial" w:hAnsi="Arial" w:cs="Arial"/>
          <w:i/>
          <w:lang w:val="en-GB"/>
        </w:rPr>
        <w:t xml:space="preserve">Twilight of the Idols </w:t>
      </w:r>
      <w:r w:rsidRPr="00A83994">
        <w:rPr>
          <w:rFonts w:ascii="Arial" w:hAnsi="Arial" w:cs="Arial"/>
          <w:lang w:val="en-GB"/>
        </w:rPr>
        <w:t>(1888), in “Maxims and Arrows” I, 8.</w:t>
      </w:r>
    </w:p>
  </w:footnote>
  <w:footnote w:id="17">
    <w:p w:rsidR="00416B42" w:rsidRPr="00A83994" w:rsidRDefault="00416B42" w:rsidP="00231698">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In his 1858 collection of poems (</w:t>
      </w:r>
      <w:r w:rsidRPr="00A83994">
        <w:rPr>
          <w:rFonts w:ascii="Arial" w:hAnsi="Arial" w:cs="Arial"/>
          <w:i/>
          <w:lang w:val="en-GB"/>
        </w:rPr>
        <w:t>Aus meinem Leben</w:t>
      </w:r>
      <w:r w:rsidRPr="00A83994">
        <w:rPr>
          <w:rFonts w:ascii="Arial" w:hAnsi="Arial" w:cs="Arial"/>
          <w:lang w:val="en-GB"/>
        </w:rPr>
        <w:t>) Nietzsche wrote a poem entitled “Rescue”.</w:t>
      </w:r>
    </w:p>
  </w:footnote>
  <w:footnote w:id="18">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Gross, K. </w:t>
      </w:r>
      <w:r w:rsidRPr="00A83994">
        <w:rPr>
          <w:rFonts w:ascii="Arial" w:hAnsi="Arial" w:cs="Arial"/>
          <w:i/>
        </w:rPr>
        <w:t>Re-Vision of the Bankruptcy System: New Images of Individual Debtors (</w:t>
      </w:r>
      <w:r w:rsidRPr="00A83994">
        <w:rPr>
          <w:rFonts w:ascii="Arial" w:hAnsi="Arial" w:cs="Arial"/>
        </w:rPr>
        <w:t>1990) Michigan Law Review, Vol. 88, Issue 6, pp. 1506-1556.</w:t>
      </w:r>
    </w:p>
  </w:footnote>
  <w:footnote w:id="19">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Kutmas, CJ. </w:t>
      </w:r>
      <w:r w:rsidRPr="00A83994">
        <w:rPr>
          <w:rFonts w:ascii="Arial" w:hAnsi="Arial" w:cs="Arial"/>
          <w:i/>
        </w:rPr>
        <w:t>Piercing Sovereign Immunity in Bankruptcy: Myth or Reality</w:t>
      </w:r>
      <w:r w:rsidRPr="00A83994">
        <w:rPr>
          <w:rFonts w:ascii="Arial" w:hAnsi="Arial" w:cs="Arial"/>
        </w:rPr>
        <w:t xml:space="preserve"> (2001) 37 Tulsa L. Rev. 457.</w:t>
      </w:r>
    </w:p>
  </w:footnote>
  <w:footnote w:id="20">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Koffler, J. </w:t>
      </w:r>
      <w:r w:rsidRPr="00A83994">
        <w:rPr>
          <w:rFonts w:ascii="Arial" w:hAnsi="Arial" w:cs="Arial"/>
          <w:i/>
        </w:rPr>
        <w:t>Dionysus in Bankruptcy Land</w:t>
      </w:r>
      <w:r w:rsidRPr="00A83994">
        <w:rPr>
          <w:rFonts w:ascii="Arial" w:hAnsi="Arial" w:cs="Arial"/>
        </w:rPr>
        <w:t xml:space="preserve"> (1976) 7 Rutgers-Cam L.J. 655.</w:t>
      </w:r>
    </w:p>
  </w:footnote>
  <w:footnote w:id="21">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Korobkin, DR. </w:t>
      </w:r>
      <w:r w:rsidRPr="00A83994">
        <w:rPr>
          <w:rFonts w:ascii="Arial" w:hAnsi="Arial" w:cs="Arial"/>
          <w:i/>
        </w:rPr>
        <w:t>Bankruptcy Law, Ritual, and Performance</w:t>
      </w:r>
      <w:r w:rsidRPr="00A83994">
        <w:rPr>
          <w:rFonts w:ascii="Arial" w:hAnsi="Arial" w:cs="Arial"/>
        </w:rPr>
        <w:t xml:space="preserve"> (2003) 103 Colum. L. Rev. 2124.</w:t>
      </w:r>
    </w:p>
  </w:footnote>
  <w:footnote w:id="22">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Bratton, WW &amp; Skeel, DA. </w:t>
      </w:r>
      <w:r w:rsidRPr="00A83994">
        <w:rPr>
          <w:rFonts w:ascii="Arial" w:hAnsi="Arial" w:cs="Arial"/>
          <w:i/>
        </w:rPr>
        <w:t>Bankruptcy's New and Old Frontier</w:t>
      </w:r>
      <w:r w:rsidRPr="00A83994">
        <w:rPr>
          <w:rFonts w:ascii="Arial" w:hAnsi="Arial" w:cs="Arial"/>
        </w:rPr>
        <w:t xml:space="preserve"> (2018) 166 U. Pa. L. Rev. 157, citing: Nietzsche, F. </w:t>
      </w:r>
      <w:r w:rsidRPr="00A83994">
        <w:rPr>
          <w:rFonts w:ascii="Arial" w:hAnsi="Arial" w:cs="Arial"/>
          <w:i/>
        </w:rPr>
        <w:t>The Gay Science</w:t>
      </w:r>
      <w:r w:rsidRPr="00A83994">
        <w:rPr>
          <w:rFonts w:ascii="Arial" w:hAnsi="Arial" w:cs="Arial"/>
        </w:rPr>
        <w:t>. Walter Kaufman trans., Random House 1974, (1887), para.341.</w:t>
      </w:r>
    </w:p>
  </w:footnote>
  <w:footnote w:id="23">
    <w:p w:rsidR="00416B42" w:rsidRPr="00A83994" w:rsidRDefault="00416B42" w:rsidP="00F161BB">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Nietzsche’s use of demon in this passage refers to the Greek daemon. On which see further: Zweig, S. </w:t>
      </w:r>
      <w:r w:rsidRPr="00A83994">
        <w:rPr>
          <w:rFonts w:ascii="Arial" w:hAnsi="Arial" w:cs="Arial"/>
          <w:i/>
          <w:lang w:val="en-GB"/>
        </w:rPr>
        <w:t xml:space="preserve">The Struggle with the Daemon: Hölderlin, Kleist and Nietzsche. </w:t>
      </w:r>
      <w:r w:rsidRPr="00A83994">
        <w:rPr>
          <w:rFonts w:ascii="Arial" w:hAnsi="Arial" w:cs="Arial"/>
          <w:lang w:val="en-GB"/>
        </w:rPr>
        <w:t xml:space="preserve">Pushkin Press, 2012. </w:t>
      </w:r>
    </w:p>
  </w:footnote>
  <w:footnote w:id="24">
    <w:p w:rsidR="00416B42" w:rsidRPr="00A83994" w:rsidRDefault="00416B42" w:rsidP="00A94008">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Nietzsche Gay Science</w:t>
      </w:r>
      <w:r w:rsidRPr="00A83994">
        <w:rPr>
          <w:rFonts w:ascii="Arial" w:hAnsi="Arial" w:cs="Arial"/>
        </w:rPr>
        <w:t xml:space="preserve">, para.341, </w:t>
      </w:r>
      <w:r w:rsidRPr="00A83994">
        <w:rPr>
          <w:rFonts w:ascii="Arial" w:hAnsi="Arial" w:cs="Arial"/>
          <w:lang w:val="en-GB"/>
        </w:rPr>
        <w:t xml:space="preserve">p.194. On Eternal Recurrence see: Pfeffer, R. </w:t>
      </w:r>
      <w:r w:rsidRPr="00A83994">
        <w:rPr>
          <w:rFonts w:ascii="Arial" w:hAnsi="Arial" w:cs="Arial"/>
          <w:i/>
          <w:lang w:val="en-GB"/>
        </w:rPr>
        <w:t>Eternal Recurrence in Nietzsche's Philosophy</w:t>
      </w:r>
      <w:r w:rsidRPr="00A83994">
        <w:rPr>
          <w:rFonts w:ascii="Arial" w:hAnsi="Arial" w:cs="Arial"/>
          <w:lang w:val="en-GB"/>
        </w:rPr>
        <w:t xml:space="preserve"> (1965) The Review of Metaphysics, Vol. 19, No. 2 (Dec), pp. 276-300. Hereafter </w:t>
      </w:r>
      <w:r w:rsidRPr="00A83994">
        <w:rPr>
          <w:rFonts w:ascii="Arial" w:hAnsi="Arial" w:cs="Arial"/>
          <w:i/>
          <w:lang w:val="en-GB"/>
        </w:rPr>
        <w:t>Pfeffer Nietzsche</w:t>
      </w:r>
      <w:r w:rsidRPr="00A83994">
        <w:rPr>
          <w:rFonts w:ascii="Arial" w:hAnsi="Arial" w:cs="Arial"/>
          <w:lang w:val="en-GB"/>
        </w:rPr>
        <w:t xml:space="preserve">. See also: Löwith, K. </w:t>
      </w:r>
      <w:r w:rsidRPr="00A83994">
        <w:rPr>
          <w:rFonts w:ascii="Arial" w:hAnsi="Arial" w:cs="Arial"/>
          <w:i/>
          <w:lang w:val="en-GB"/>
        </w:rPr>
        <w:t xml:space="preserve">Nietzsche's Doctrine of Eternal Recurrence </w:t>
      </w:r>
      <w:r w:rsidRPr="00A83994">
        <w:rPr>
          <w:rFonts w:ascii="Arial" w:hAnsi="Arial" w:cs="Arial"/>
          <w:lang w:val="en-GB"/>
        </w:rPr>
        <w:t xml:space="preserve">(1945) Journal of the History of Ideas, Vol. 6, No. 3 (Jun), pp. 273-284. Hereafter </w:t>
      </w:r>
      <w:r w:rsidRPr="00A83994">
        <w:rPr>
          <w:rFonts w:ascii="Arial" w:hAnsi="Arial" w:cs="Arial"/>
          <w:i/>
          <w:lang w:val="en-GB"/>
        </w:rPr>
        <w:t>Löwith Doctrine</w:t>
      </w:r>
      <w:r w:rsidRPr="00A83994">
        <w:rPr>
          <w:rFonts w:ascii="Arial" w:hAnsi="Arial" w:cs="Arial"/>
          <w:lang w:val="en-GB"/>
        </w:rPr>
        <w:t xml:space="preserve">. See also: Löwith, K. </w:t>
      </w:r>
      <w:r w:rsidRPr="00A83994">
        <w:rPr>
          <w:rFonts w:ascii="Arial" w:hAnsi="Arial" w:cs="Arial"/>
          <w:i/>
          <w:lang w:val="en-GB"/>
        </w:rPr>
        <w:t>Nietzsche’s Philosophy of the Eternal Recurrence of the Same</w:t>
      </w:r>
      <w:r w:rsidRPr="00A83994">
        <w:rPr>
          <w:rFonts w:ascii="Arial" w:hAnsi="Arial" w:cs="Arial"/>
          <w:lang w:val="en-GB"/>
        </w:rPr>
        <w:t xml:space="preserve">. University of California Press, 1997. Hereafter </w:t>
      </w:r>
      <w:r w:rsidRPr="00A83994">
        <w:rPr>
          <w:rFonts w:ascii="Arial" w:hAnsi="Arial" w:cs="Arial"/>
          <w:i/>
          <w:lang w:val="en-GB"/>
        </w:rPr>
        <w:t>Löwith Eternal.</w:t>
      </w:r>
      <w:r w:rsidRPr="00A83994">
        <w:rPr>
          <w:rFonts w:ascii="Arial" w:hAnsi="Arial" w:cs="Arial"/>
          <w:lang w:val="en-GB"/>
        </w:rPr>
        <w:t xml:space="preserve"> </w:t>
      </w:r>
    </w:p>
  </w:footnote>
  <w:footnote w:id="25">
    <w:p w:rsidR="00416B42" w:rsidRPr="00A83994" w:rsidRDefault="00416B42" w:rsidP="001741A6">
      <w:pPr>
        <w:pStyle w:val="FootnoteText"/>
        <w:jc w:val="both"/>
        <w:rPr>
          <w:rFonts w:ascii="Arial" w:hAnsi="Arial" w:cs="Arial"/>
          <w:lang w:val="en-GB"/>
        </w:rPr>
      </w:pPr>
      <w:r w:rsidRPr="00A83994">
        <w:rPr>
          <w:rStyle w:val="FootnoteReference"/>
        </w:rPr>
        <w:footnoteRef/>
      </w:r>
      <w:r w:rsidRPr="00A83994">
        <w:t xml:space="preserve"> </w:t>
      </w:r>
      <w:r w:rsidRPr="00A83994">
        <w:rPr>
          <w:rFonts w:ascii="Arial" w:hAnsi="Arial" w:cs="Arial"/>
          <w:lang w:val="en-GB"/>
        </w:rPr>
        <w:t xml:space="preserve">See  Ridley, A. </w:t>
      </w:r>
      <w:r w:rsidRPr="00A83994">
        <w:rPr>
          <w:rFonts w:ascii="Arial" w:hAnsi="Arial" w:cs="Arial"/>
          <w:i/>
          <w:lang w:val="en-GB"/>
        </w:rPr>
        <w:t>Nietzsche's Greatest Weight</w:t>
      </w:r>
      <w:r w:rsidRPr="00A83994">
        <w:rPr>
          <w:rFonts w:ascii="Arial" w:hAnsi="Arial" w:cs="Arial"/>
          <w:lang w:val="en-GB"/>
        </w:rPr>
        <w:t xml:space="preserve"> (1997) Journal of Nietzsche Studies, No. 14, Eternal Recurrence (Autumn), pp. 19-25, p.19. Hereafter </w:t>
      </w:r>
      <w:r w:rsidRPr="00A83994">
        <w:rPr>
          <w:rFonts w:ascii="Arial" w:hAnsi="Arial" w:cs="Arial"/>
          <w:i/>
          <w:lang w:val="en-GB"/>
        </w:rPr>
        <w:t>Ridley Weight.</w:t>
      </w:r>
      <w:r w:rsidRPr="00A83994">
        <w:rPr>
          <w:rFonts w:ascii="Arial" w:hAnsi="Arial" w:cs="Arial"/>
          <w:lang w:val="en-GB"/>
        </w:rPr>
        <w:t xml:space="preserve"> </w:t>
      </w:r>
    </w:p>
  </w:footnote>
  <w:footnote w:id="26">
    <w:p w:rsidR="00416B42" w:rsidRPr="00A83994" w:rsidRDefault="00416B42" w:rsidP="00207706">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Nietzsche Gay Science</w:t>
      </w:r>
      <w:r w:rsidRPr="00A83994">
        <w:rPr>
          <w:rFonts w:ascii="Arial" w:hAnsi="Arial" w:cs="Arial"/>
        </w:rPr>
        <w:t>, p.xv.</w:t>
      </w:r>
    </w:p>
  </w:footnote>
  <w:footnote w:id="27">
    <w:p w:rsidR="00416B42" w:rsidRPr="00A83994" w:rsidRDefault="00416B42" w:rsidP="006F6A0E">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See: </w:t>
      </w:r>
      <w:r w:rsidRPr="00A83994">
        <w:rPr>
          <w:rFonts w:ascii="Arial" w:hAnsi="Arial" w:cs="Arial"/>
          <w:i/>
          <w:lang w:val="en-GB"/>
        </w:rPr>
        <w:t>Löwith Doctrine,</w:t>
      </w:r>
      <w:r w:rsidRPr="00A83994">
        <w:rPr>
          <w:rFonts w:ascii="Arial" w:hAnsi="Arial" w:cs="Arial"/>
          <w:lang w:val="en-GB"/>
        </w:rPr>
        <w:t xml:space="preserve"> p.273, who went on to call eternal recurrence, “the strangest if not the most absurd invention of a modern mind…Nietzsche’s gospel of Eternal Recurrence.” (p.274).</w:t>
      </w:r>
    </w:p>
  </w:footnote>
  <w:footnote w:id="28">
    <w:p w:rsidR="00416B42" w:rsidRPr="00A83994" w:rsidRDefault="00416B42" w:rsidP="006F6A0E">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Nehamas, A. </w:t>
      </w:r>
      <w:r w:rsidRPr="00A83994">
        <w:rPr>
          <w:rFonts w:ascii="Arial" w:hAnsi="Arial" w:cs="Arial"/>
          <w:i/>
        </w:rPr>
        <w:t>The Eternal Recurrence</w:t>
      </w:r>
      <w:r w:rsidRPr="00A83994">
        <w:rPr>
          <w:rFonts w:ascii="Arial" w:hAnsi="Arial" w:cs="Arial"/>
        </w:rPr>
        <w:t xml:space="preserve"> (1980) The Philosophical Review, Vol. 89, No. 3 (Jul), pp. 331-356, p.331.</w:t>
      </w:r>
    </w:p>
  </w:footnote>
  <w:footnote w:id="29">
    <w:p w:rsidR="00416B42" w:rsidRPr="00A83994" w:rsidRDefault="00416B42" w:rsidP="000F42D8">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Löwith Doctrine,</w:t>
      </w:r>
      <w:r w:rsidRPr="00A83994">
        <w:rPr>
          <w:rFonts w:ascii="Arial" w:hAnsi="Arial" w:cs="Arial"/>
          <w:lang w:val="en-GB"/>
        </w:rPr>
        <w:t xml:space="preserve"> p.277.</w:t>
      </w:r>
    </w:p>
  </w:footnote>
  <w:footnote w:id="30">
    <w:p w:rsidR="00416B42" w:rsidRPr="00A83994" w:rsidRDefault="00416B42" w:rsidP="004B249B">
      <w:pPr>
        <w:pStyle w:val="FootnoteText"/>
        <w:jc w:val="both"/>
        <w:rPr>
          <w:lang w:val="en-GB"/>
        </w:rPr>
      </w:pPr>
      <w:r w:rsidRPr="00A83994">
        <w:rPr>
          <w:rStyle w:val="FootnoteReference"/>
        </w:rPr>
        <w:footnoteRef/>
      </w:r>
      <w:r w:rsidRPr="00A83994">
        <w:t xml:space="preserve"> </w:t>
      </w:r>
      <w:r w:rsidRPr="00A83994">
        <w:rPr>
          <w:rFonts w:ascii="Arial" w:hAnsi="Arial" w:cs="Arial"/>
          <w:lang w:val="en-GB"/>
        </w:rPr>
        <w:t xml:space="preserve">Nietzsche, F. </w:t>
      </w:r>
      <w:r w:rsidRPr="00A83994">
        <w:rPr>
          <w:rFonts w:ascii="Arial" w:hAnsi="Arial" w:cs="Arial"/>
          <w:i/>
          <w:lang w:val="en-GB"/>
        </w:rPr>
        <w:t xml:space="preserve">Thus Spoke Zarathustra, </w:t>
      </w:r>
      <w:r w:rsidRPr="00A83994">
        <w:rPr>
          <w:rFonts w:ascii="Arial" w:hAnsi="Arial" w:cs="Arial"/>
          <w:lang w:val="en-GB"/>
        </w:rPr>
        <w:t xml:space="preserve">edited by Adrian Del Caro and Robert Pippin. Cambridge Texts in the History of Philosophy. CUP, Cambridge, 2006, p.177. Hereafter </w:t>
      </w:r>
      <w:r w:rsidRPr="00A83994">
        <w:rPr>
          <w:rFonts w:ascii="Arial" w:hAnsi="Arial" w:cs="Arial"/>
          <w:i/>
          <w:lang w:val="en-GB"/>
        </w:rPr>
        <w:t>Nietzsche Zarathustra,</w:t>
      </w:r>
      <w:r w:rsidRPr="00A83994">
        <w:rPr>
          <w:rFonts w:ascii="Arial" w:hAnsi="Arial" w:cs="Arial"/>
          <w:color w:val="000000" w:themeColor="text1"/>
          <w:lang w:val="en-GB"/>
        </w:rPr>
        <w:t xml:space="preserve"> p.III, 2-2. </w:t>
      </w:r>
    </w:p>
  </w:footnote>
  <w:footnote w:id="31">
    <w:p w:rsidR="00416B42" w:rsidRPr="00A83994" w:rsidRDefault="00416B42" w:rsidP="00BA40D3">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 xml:space="preserve">Nietzsche Zarathustra, </w:t>
      </w:r>
      <w:r w:rsidRPr="00A83994">
        <w:rPr>
          <w:rFonts w:ascii="Arial" w:hAnsi="Arial" w:cs="Arial"/>
          <w:lang w:val="en-GB"/>
        </w:rPr>
        <w:t>p.177.</w:t>
      </w:r>
    </w:p>
  </w:footnote>
  <w:footnote w:id="32">
    <w:p w:rsidR="00416B42" w:rsidRPr="00A83994" w:rsidRDefault="00416B42" w:rsidP="00BA40D3">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 xml:space="preserve">Nietzsche </w:t>
      </w:r>
      <w:r w:rsidRPr="00A83994">
        <w:rPr>
          <w:rFonts w:ascii="Arial" w:hAnsi="Arial" w:cs="Arial"/>
          <w:i/>
          <w:lang w:val="en-GB"/>
        </w:rPr>
        <w:t>Zarathustra</w:t>
      </w:r>
      <w:r w:rsidRPr="00A83994">
        <w:rPr>
          <w:rFonts w:ascii="Arial" w:hAnsi="Arial" w:cs="Arial"/>
          <w:lang w:val="en-GB"/>
        </w:rPr>
        <w:t>, p.178. See also p.184 and the “ring of recurrence.”</w:t>
      </w:r>
    </w:p>
  </w:footnote>
  <w:footnote w:id="33">
    <w:p w:rsidR="00416B42" w:rsidRPr="00A83994" w:rsidRDefault="00416B42" w:rsidP="00AD42D8">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Nietzsche, F. </w:t>
      </w:r>
      <w:r w:rsidRPr="00A83994">
        <w:rPr>
          <w:rFonts w:ascii="Arial" w:hAnsi="Arial" w:cs="Arial"/>
          <w:i/>
        </w:rPr>
        <w:t>The Anti-Christ, Ecce Homo, Twighlight of the Idols  and Other Writings</w:t>
      </w:r>
      <w:r w:rsidRPr="00A83994">
        <w:rPr>
          <w:rFonts w:ascii="Arial" w:hAnsi="Arial" w:cs="Arial"/>
        </w:rPr>
        <w:t xml:space="preserve">, edited by Aaron Ridley and  Judith Norman. Cambridge Texts in the History of Philosophy. CUP, Cambridge, 2005, </w:t>
      </w:r>
      <w:r w:rsidRPr="00A83994">
        <w:rPr>
          <w:rFonts w:ascii="Arial" w:hAnsi="Arial" w:cs="Arial"/>
          <w:lang w:val="en-GB"/>
        </w:rPr>
        <w:t>p.</w:t>
      </w:r>
      <w:r w:rsidRPr="00A83994">
        <w:rPr>
          <w:rFonts w:ascii="Arial" w:hAnsi="Arial" w:cs="Arial"/>
          <w:color w:val="000000" w:themeColor="text1"/>
          <w:lang w:val="en-GB"/>
        </w:rPr>
        <w:t xml:space="preserve">229. Hereafter </w:t>
      </w:r>
      <w:r w:rsidRPr="00A83994">
        <w:rPr>
          <w:rFonts w:ascii="Arial" w:hAnsi="Arial" w:cs="Arial"/>
          <w:i/>
          <w:color w:val="000000" w:themeColor="text1"/>
          <w:lang w:val="en-GB"/>
        </w:rPr>
        <w:t>Nietzsche Twilight/Ecce.</w:t>
      </w:r>
    </w:p>
  </w:footnote>
  <w:footnote w:id="34">
    <w:p w:rsidR="00416B42" w:rsidRPr="00A83994" w:rsidRDefault="00416B42" w:rsidP="008903BD">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There is some reference to Eternal Recurrence his unpublished notes (</w:t>
      </w:r>
      <w:r w:rsidRPr="00A83994">
        <w:rPr>
          <w:rFonts w:ascii="Arial" w:hAnsi="Arial" w:cs="Arial"/>
          <w:i/>
          <w:lang w:val="en-GB"/>
        </w:rPr>
        <w:t>Nachlass</w:t>
      </w:r>
      <w:r w:rsidRPr="00A83994">
        <w:rPr>
          <w:rFonts w:ascii="Arial" w:hAnsi="Arial" w:cs="Arial"/>
          <w:lang w:val="en-GB"/>
        </w:rPr>
        <w:t xml:space="preserve">). </w:t>
      </w:r>
    </w:p>
  </w:footnote>
  <w:footnote w:id="35">
    <w:p w:rsidR="00416B42" w:rsidRPr="00A83994" w:rsidRDefault="00416B42" w:rsidP="0086499A">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Heraclitus advocated a cycle of war and peace. Nietzsche also makes reference to him in </w:t>
      </w:r>
      <w:r w:rsidRPr="00A83994">
        <w:rPr>
          <w:rFonts w:ascii="Arial" w:hAnsi="Arial" w:cs="Arial"/>
          <w:i/>
          <w:lang w:val="en-GB"/>
        </w:rPr>
        <w:t>Nietzsche Gay Science</w:t>
      </w:r>
      <w:r w:rsidRPr="00A83994">
        <w:rPr>
          <w:rFonts w:ascii="Arial" w:hAnsi="Arial" w:cs="Arial"/>
          <w:lang w:val="en-GB"/>
        </w:rPr>
        <w:t>, para.285.</w:t>
      </w:r>
    </w:p>
  </w:footnote>
  <w:footnote w:id="36">
    <w:p w:rsidR="00416B42" w:rsidRPr="00A83994" w:rsidRDefault="00416B42" w:rsidP="00207706">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Hereafter </w:t>
      </w:r>
      <w:r w:rsidRPr="00A83994">
        <w:rPr>
          <w:rFonts w:ascii="Arial" w:hAnsi="Arial" w:cs="Arial"/>
          <w:i/>
          <w:lang w:val="en-GB"/>
        </w:rPr>
        <w:t>Nietzsche Ecce</w:t>
      </w:r>
      <w:r w:rsidRPr="00A83994">
        <w:rPr>
          <w:rFonts w:ascii="Arial" w:hAnsi="Arial" w:cs="Arial"/>
          <w:lang w:val="en-GB"/>
        </w:rPr>
        <w:t>, p.110.</w:t>
      </w:r>
    </w:p>
  </w:footnote>
  <w:footnote w:id="37">
    <w:p w:rsidR="00416B42" w:rsidRPr="00A83994" w:rsidRDefault="00416B42" w:rsidP="00E26A61">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Nietzsche Twilight/Ecce</w:t>
      </w:r>
      <w:r w:rsidRPr="00A83994">
        <w:rPr>
          <w:rFonts w:ascii="Arial" w:hAnsi="Arial" w:cs="Arial"/>
          <w:lang w:val="en-GB"/>
        </w:rPr>
        <w:t xml:space="preserve">, p. 123. Nietzsche’s italicised emphasis. </w:t>
      </w:r>
    </w:p>
  </w:footnote>
  <w:footnote w:id="38">
    <w:p w:rsidR="00416B42" w:rsidRPr="00A83994" w:rsidRDefault="00416B42" w:rsidP="00D46133">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Nietzsche Morality</w:t>
      </w:r>
      <w:r w:rsidRPr="00A83994">
        <w:rPr>
          <w:rFonts w:ascii="Arial" w:hAnsi="Arial" w:cs="Arial"/>
          <w:lang w:val="en-GB"/>
        </w:rPr>
        <w:t>, p.xxxiii.</w:t>
      </w:r>
    </w:p>
  </w:footnote>
  <w:footnote w:id="39">
    <w:p w:rsidR="00416B42" w:rsidRPr="00A83994" w:rsidRDefault="00416B42" w:rsidP="00CC447E">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Hollingdale Nietzsche,</w:t>
      </w:r>
      <w:r w:rsidRPr="00A83994">
        <w:rPr>
          <w:rFonts w:ascii="Arial" w:hAnsi="Arial" w:cs="Arial"/>
        </w:rPr>
        <w:t xml:space="preserve"> </w:t>
      </w:r>
      <w:r w:rsidRPr="00A83994">
        <w:rPr>
          <w:rFonts w:ascii="Arial" w:hAnsi="Arial" w:cs="Arial"/>
          <w:lang w:val="en-GB"/>
        </w:rPr>
        <w:t>p.145.</w:t>
      </w:r>
    </w:p>
  </w:footnote>
  <w:footnote w:id="40">
    <w:p w:rsidR="00416B42" w:rsidRPr="00A83994" w:rsidRDefault="00416B42" w:rsidP="00CC447E">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 xml:space="preserve">ibid, </w:t>
      </w:r>
      <w:r w:rsidRPr="00A83994">
        <w:rPr>
          <w:rFonts w:ascii="Arial" w:hAnsi="Arial" w:cs="Arial"/>
          <w:lang w:val="en-GB"/>
        </w:rPr>
        <w:t>p.164 &amp; 190.</w:t>
      </w:r>
    </w:p>
  </w:footnote>
  <w:footnote w:id="41">
    <w:p w:rsidR="00416B42" w:rsidRPr="00A83994" w:rsidRDefault="00416B42" w:rsidP="004A42D1">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Ridley Weight</w:t>
      </w:r>
      <w:r w:rsidRPr="00A83994">
        <w:rPr>
          <w:rFonts w:ascii="Arial" w:hAnsi="Arial" w:cs="Arial"/>
        </w:rPr>
        <w:t>, p.19.</w:t>
      </w:r>
    </w:p>
  </w:footnote>
  <w:footnote w:id="42">
    <w:p w:rsidR="00416B42" w:rsidRPr="00A83994" w:rsidRDefault="00416B42" w:rsidP="00C0470B">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Nietzsche, F. </w:t>
      </w:r>
      <w:r w:rsidRPr="00A83994">
        <w:rPr>
          <w:rFonts w:ascii="Arial" w:hAnsi="Arial" w:cs="Arial"/>
          <w:i/>
          <w:lang w:val="en-GB"/>
        </w:rPr>
        <w:t>Nachlass, Werke</w:t>
      </w:r>
      <w:r w:rsidRPr="00A83994">
        <w:rPr>
          <w:rFonts w:ascii="Arial" w:hAnsi="Arial" w:cs="Arial"/>
          <w:lang w:val="en-GB"/>
        </w:rPr>
        <w:t xml:space="preserve">, XII, pp.51ff </w:t>
      </w:r>
      <w:r w:rsidRPr="00A83994">
        <w:rPr>
          <w:rFonts w:ascii="Arial" w:hAnsi="Arial" w:cs="Arial"/>
          <w:color w:val="000000" w:themeColor="text1"/>
          <w:lang w:val="en-GB"/>
        </w:rPr>
        <w:t>and XVI, pp397 ff.</w:t>
      </w:r>
    </w:p>
  </w:footnote>
  <w:footnote w:id="43">
    <w:p w:rsidR="00416B42" w:rsidRPr="00A83994" w:rsidRDefault="00416B42" w:rsidP="00E945E9">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Nietzsche Gay Science</w:t>
      </w:r>
      <w:r w:rsidRPr="00A83994">
        <w:rPr>
          <w:rFonts w:ascii="Arial" w:hAnsi="Arial" w:cs="Arial"/>
        </w:rPr>
        <w:t xml:space="preserve">, para.341, </w:t>
      </w:r>
      <w:r w:rsidRPr="00A83994">
        <w:rPr>
          <w:rFonts w:ascii="Arial" w:hAnsi="Arial" w:cs="Arial"/>
          <w:lang w:val="en-GB"/>
        </w:rPr>
        <w:t>p.194.</w:t>
      </w:r>
    </w:p>
  </w:footnote>
  <w:footnote w:id="44">
    <w:p w:rsidR="00416B42" w:rsidRPr="00A83994" w:rsidRDefault="00416B42" w:rsidP="008D2AFD">
      <w:pPr>
        <w:pStyle w:val="FootnoteText"/>
        <w:jc w:val="both"/>
        <w:rPr>
          <w:lang w:val="en-GB"/>
        </w:rPr>
      </w:pPr>
      <w:r w:rsidRPr="00A83994">
        <w:rPr>
          <w:rStyle w:val="FootnoteReference"/>
        </w:rPr>
        <w:footnoteRef/>
      </w:r>
      <w:r w:rsidRPr="00A83994">
        <w:t xml:space="preserve"> </w:t>
      </w:r>
      <w:r w:rsidRPr="00A83994">
        <w:rPr>
          <w:rFonts w:ascii="Arial" w:hAnsi="Arial" w:cs="Arial"/>
          <w:lang w:val="en-GB"/>
        </w:rPr>
        <w:t xml:space="preserve">On Eternal Recurrence in legal practice see: Schroeder, JL. </w:t>
      </w:r>
      <w:r w:rsidRPr="00A83994">
        <w:rPr>
          <w:rFonts w:ascii="Arial" w:hAnsi="Arial" w:cs="Arial"/>
          <w:i/>
          <w:lang w:val="en-GB"/>
        </w:rPr>
        <w:t>Can Lawyers Be Cured: Eternal Recurrence and the Lacanian Death Drive</w:t>
      </w:r>
      <w:r w:rsidRPr="00A83994">
        <w:rPr>
          <w:rFonts w:ascii="Arial" w:hAnsi="Arial" w:cs="Arial"/>
          <w:lang w:val="en-GB"/>
        </w:rPr>
        <w:t xml:space="preserve"> (2003) 24 Cardozo L. Rev. 925.</w:t>
      </w:r>
    </w:p>
  </w:footnote>
  <w:footnote w:id="45">
    <w:p w:rsidR="0091585D" w:rsidRPr="00A83994" w:rsidRDefault="0091585D" w:rsidP="00BC69DC">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Indeed</w:t>
      </w:r>
      <w:r w:rsidR="00A53076" w:rsidRPr="00A83994">
        <w:rPr>
          <w:rFonts w:ascii="Arial" w:hAnsi="Arial" w:cs="Arial"/>
          <w:lang w:val="en-GB"/>
        </w:rPr>
        <w:t>,</w:t>
      </w:r>
      <w:r w:rsidRPr="00A83994">
        <w:rPr>
          <w:rFonts w:ascii="Arial" w:hAnsi="Arial" w:cs="Arial"/>
          <w:lang w:val="en-GB"/>
        </w:rPr>
        <w:t xml:space="preserve"> law is not unique</w:t>
      </w:r>
      <w:r w:rsidR="00A53076" w:rsidRPr="00A83994">
        <w:rPr>
          <w:rFonts w:ascii="Arial" w:hAnsi="Arial" w:cs="Arial"/>
          <w:lang w:val="en-GB"/>
        </w:rPr>
        <w:t xml:space="preserve"> as a broad discipline</w:t>
      </w:r>
      <w:r w:rsidRPr="00A83994">
        <w:rPr>
          <w:rFonts w:ascii="Arial" w:hAnsi="Arial" w:cs="Arial"/>
          <w:lang w:val="en-GB"/>
        </w:rPr>
        <w:t xml:space="preserve"> in being subjected to the Eternal Recurrence </w:t>
      </w:r>
      <w:r w:rsidR="00A53076" w:rsidRPr="00A83994">
        <w:rPr>
          <w:rFonts w:ascii="Arial" w:hAnsi="Arial" w:cs="Arial"/>
          <w:lang w:val="en-GB"/>
        </w:rPr>
        <w:t xml:space="preserve">thought experiment </w:t>
      </w:r>
      <w:r w:rsidRPr="00A83994">
        <w:rPr>
          <w:rFonts w:ascii="Arial" w:hAnsi="Arial" w:cs="Arial"/>
          <w:lang w:val="en-GB"/>
        </w:rPr>
        <w:t>lens critique. Literature has also been viewed through this critical lens. See for example:</w:t>
      </w:r>
      <w:r w:rsidR="00A53076" w:rsidRPr="00A83994">
        <w:rPr>
          <w:rFonts w:ascii="Arial" w:hAnsi="Arial" w:cs="Arial"/>
          <w:lang w:val="en-GB"/>
        </w:rPr>
        <w:t xml:space="preserve"> </w:t>
      </w:r>
      <w:proofErr w:type="spellStart"/>
      <w:r w:rsidR="00111175" w:rsidRPr="00A83994">
        <w:rPr>
          <w:rFonts w:ascii="Arial" w:hAnsi="Arial" w:cs="Arial"/>
          <w:lang w:val="en-GB"/>
        </w:rPr>
        <w:t>Ebbatson</w:t>
      </w:r>
      <w:proofErr w:type="spellEnd"/>
      <w:r w:rsidR="00111175" w:rsidRPr="00A83994">
        <w:rPr>
          <w:rFonts w:ascii="Arial" w:hAnsi="Arial" w:cs="Arial"/>
          <w:lang w:val="en-GB"/>
        </w:rPr>
        <w:t xml:space="preserve">, R. </w:t>
      </w:r>
      <w:r w:rsidR="00111175" w:rsidRPr="00A83994">
        <w:rPr>
          <w:rFonts w:ascii="Arial" w:hAnsi="Arial" w:cs="Arial"/>
          <w:i/>
          <w:lang w:val="en-GB"/>
        </w:rPr>
        <w:t>Landscapes of Eternal Return: Tennyson to Hardy</w:t>
      </w:r>
      <w:r w:rsidR="00111175" w:rsidRPr="00A83994">
        <w:rPr>
          <w:rFonts w:ascii="Arial" w:hAnsi="Arial" w:cs="Arial"/>
          <w:lang w:val="en-GB"/>
        </w:rPr>
        <w:t xml:space="preserve">. Palgrave Macmillan. 2016. </w:t>
      </w:r>
      <w:r w:rsidRPr="00A83994">
        <w:rPr>
          <w:rFonts w:ascii="Arial" w:hAnsi="Arial" w:cs="Arial"/>
          <w:lang w:val="en-GB"/>
        </w:rPr>
        <w:t xml:space="preserve">  </w:t>
      </w:r>
    </w:p>
  </w:footnote>
  <w:footnote w:id="46">
    <w:p w:rsidR="00416B42" w:rsidRPr="00A83994" w:rsidRDefault="00416B42" w:rsidP="00E26A1A">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See: </w:t>
      </w:r>
      <w:r w:rsidRPr="00A83994">
        <w:rPr>
          <w:rFonts w:ascii="Arial" w:hAnsi="Arial" w:cs="Arial"/>
          <w:i/>
          <w:lang w:val="en-GB"/>
        </w:rPr>
        <w:t>Tribe Relationship.</w:t>
      </w:r>
      <w:r w:rsidRPr="00A83994">
        <w:rPr>
          <w:lang w:val="en-GB"/>
        </w:rPr>
        <w:t xml:space="preserve"> </w:t>
      </w:r>
    </w:p>
  </w:footnote>
  <w:footnote w:id="47">
    <w:p w:rsidR="00416B42" w:rsidRPr="00A83994" w:rsidRDefault="00416B42" w:rsidP="00E553DE">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On policy making and the legislative process in insolvency see: Tribe, J. </w:t>
      </w:r>
      <w:r w:rsidRPr="00A83994">
        <w:rPr>
          <w:rFonts w:ascii="Arial" w:hAnsi="Arial" w:cs="Arial"/>
          <w:i/>
          <w:lang w:val="en-GB"/>
        </w:rPr>
        <w:t xml:space="preserve">“Policy Subversion” in Corporate Insolvency: Political science, Marxism and the role of power interests during the passage of insolvency legislation </w:t>
      </w:r>
      <w:r w:rsidRPr="00A83994">
        <w:rPr>
          <w:rFonts w:ascii="Arial" w:hAnsi="Arial" w:cs="Arial"/>
          <w:lang w:val="en-GB"/>
        </w:rPr>
        <w:t>(2019) Insol.Intel, (32(2)), 59-66.</w:t>
      </w:r>
    </w:p>
  </w:footnote>
  <w:footnote w:id="48">
    <w:p w:rsidR="00416B42" w:rsidRPr="00A83994" w:rsidRDefault="00416B42" w:rsidP="00A14927">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Moratoria and s</w:t>
      </w:r>
      <w:r w:rsidR="00514366" w:rsidRPr="00A83994">
        <w:rPr>
          <w:rFonts w:ascii="Arial" w:hAnsi="Arial" w:cs="Arial"/>
          <w:lang w:val="en-GB"/>
        </w:rPr>
        <w:t>uper priority financing are</w:t>
      </w:r>
      <w:r w:rsidRPr="00A83994">
        <w:rPr>
          <w:rFonts w:ascii="Arial" w:hAnsi="Arial" w:cs="Arial"/>
          <w:lang w:val="en-GB"/>
        </w:rPr>
        <w:t xml:space="preserve"> example</w:t>
      </w:r>
      <w:r w:rsidR="00514366" w:rsidRPr="00A83994">
        <w:rPr>
          <w:rFonts w:ascii="Arial" w:hAnsi="Arial" w:cs="Arial"/>
          <w:lang w:val="en-GB"/>
        </w:rPr>
        <w:t>s of the proverbial insolvency bad penny. Both areas have been mooted over time</w:t>
      </w:r>
      <w:r w:rsidR="00923482" w:rsidRPr="00A83994">
        <w:rPr>
          <w:rFonts w:ascii="Arial" w:hAnsi="Arial" w:cs="Arial"/>
          <w:lang w:val="en-GB"/>
        </w:rPr>
        <w:t>. Changing market conditions have been cited as one justification for the repetition</w:t>
      </w:r>
      <w:r w:rsidR="003E1757" w:rsidRPr="00A83994">
        <w:rPr>
          <w:rFonts w:ascii="Arial" w:hAnsi="Arial" w:cs="Arial"/>
          <w:lang w:val="en-GB"/>
        </w:rPr>
        <w:t xml:space="preserve"> on super-priority financing</w:t>
      </w:r>
      <w:r w:rsidR="00923482" w:rsidRPr="00A83994">
        <w:rPr>
          <w:rFonts w:ascii="Arial" w:hAnsi="Arial" w:cs="Arial"/>
          <w:lang w:val="en-GB"/>
        </w:rPr>
        <w:t xml:space="preserve">. </w:t>
      </w:r>
      <w:r w:rsidR="004006C9" w:rsidRPr="00A83994">
        <w:rPr>
          <w:rFonts w:ascii="Arial" w:hAnsi="Arial" w:cs="Arial"/>
          <w:lang w:val="en-GB"/>
        </w:rPr>
        <w:t>See for example a proposal for super-priority financing in 2009 (</w:t>
      </w:r>
      <w:r w:rsidR="00A14927" w:rsidRPr="00A83994">
        <w:rPr>
          <w:rFonts w:ascii="Arial" w:hAnsi="Arial" w:cs="Arial"/>
          <w:lang w:val="en-GB"/>
        </w:rPr>
        <w:t xml:space="preserve">Insolvency Service. </w:t>
      </w:r>
      <w:r w:rsidR="00A14927" w:rsidRPr="00A83994">
        <w:rPr>
          <w:rFonts w:ascii="Arial" w:hAnsi="Arial" w:cs="Arial"/>
          <w:i/>
          <w:lang w:val="en-GB"/>
        </w:rPr>
        <w:t>Encouraging Rescue-a consultation</w:t>
      </w:r>
      <w:r w:rsidR="00A14927" w:rsidRPr="00A83994">
        <w:rPr>
          <w:rFonts w:ascii="Arial" w:hAnsi="Arial" w:cs="Arial"/>
          <w:lang w:val="en-GB"/>
        </w:rPr>
        <w:t>. Insolvency Service, London, June 2009, p.8</w:t>
      </w:r>
      <w:r w:rsidR="004006C9" w:rsidRPr="00A83994">
        <w:rPr>
          <w:rFonts w:ascii="Arial" w:hAnsi="Arial" w:cs="Arial"/>
          <w:lang w:val="en-GB"/>
        </w:rPr>
        <w:t xml:space="preserve">) and again in 2016 (Insolvency Service. </w:t>
      </w:r>
      <w:r w:rsidR="004006C9" w:rsidRPr="00A83994">
        <w:rPr>
          <w:rFonts w:ascii="Arial" w:hAnsi="Arial" w:cs="Arial"/>
          <w:i/>
          <w:lang w:val="en-GB"/>
        </w:rPr>
        <w:t>Summary of Responses: A Review of the Corporate Insolvency Framework</w:t>
      </w:r>
      <w:r w:rsidR="004006C9" w:rsidRPr="00A83994">
        <w:rPr>
          <w:rFonts w:ascii="Arial" w:hAnsi="Arial" w:cs="Arial"/>
          <w:lang w:val="en-GB"/>
        </w:rPr>
        <w:t>. Insolvency Service, London, September 2016). The proposed reforms were rejected on both</w:t>
      </w:r>
      <w:r w:rsidR="00F727C5" w:rsidRPr="00A83994">
        <w:rPr>
          <w:rFonts w:ascii="Arial" w:hAnsi="Arial" w:cs="Arial"/>
          <w:lang w:val="en-GB"/>
        </w:rPr>
        <w:t xml:space="preserve"> occasions. Pre-existing security interests were deemed paramount.  </w:t>
      </w:r>
      <w:r w:rsidR="00514366" w:rsidRPr="00A83994">
        <w:rPr>
          <w:rFonts w:ascii="Arial" w:hAnsi="Arial" w:cs="Arial"/>
          <w:lang w:val="en-GB"/>
        </w:rPr>
        <w:t xml:space="preserve">  </w:t>
      </w:r>
      <w:r w:rsidRPr="00A83994">
        <w:rPr>
          <w:rFonts w:ascii="Arial" w:hAnsi="Arial" w:cs="Arial"/>
          <w:lang w:val="en-GB"/>
        </w:rPr>
        <w:t xml:space="preserve"> </w:t>
      </w:r>
    </w:p>
  </w:footnote>
  <w:footnote w:id="49">
    <w:p w:rsidR="00416B42" w:rsidRPr="00A83994" w:rsidRDefault="00416B42">
      <w:pPr>
        <w:pStyle w:val="FootnoteText"/>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Hollingdale Nietzsche</w:t>
      </w:r>
      <w:r w:rsidRPr="00A83994">
        <w:rPr>
          <w:rFonts w:ascii="Arial" w:hAnsi="Arial" w:cs="Arial"/>
          <w:lang w:val="en-GB"/>
        </w:rPr>
        <w:t>, p.102.</w:t>
      </w:r>
    </w:p>
  </w:footnote>
  <w:footnote w:id="50">
    <w:p w:rsidR="001806D0" w:rsidRPr="00A83994" w:rsidRDefault="001806D0" w:rsidP="00B07F2B">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See for example: </w:t>
      </w:r>
      <w:proofErr w:type="spellStart"/>
      <w:r w:rsidRPr="00A83994">
        <w:rPr>
          <w:rFonts w:ascii="Arial" w:hAnsi="Arial" w:cs="Arial"/>
          <w:lang w:val="en-GB"/>
        </w:rPr>
        <w:t>Mance</w:t>
      </w:r>
      <w:proofErr w:type="spellEnd"/>
      <w:r w:rsidRPr="00A83994">
        <w:rPr>
          <w:rFonts w:ascii="Arial" w:hAnsi="Arial" w:cs="Arial"/>
          <w:lang w:val="en-GB"/>
        </w:rPr>
        <w:t xml:space="preserve">, H. </w:t>
      </w:r>
      <w:r w:rsidRPr="00A83994">
        <w:rPr>
          <w:rFonts w:ascii="Arial" w:hAnsi="Arial" w:cs="Arial"/>
          <w:i/>
          <w:lang w:val="en-GB"/>
        </w:rPr>
        <w:t>Britain has had enough of experts, says Gove</w:t>
      </w:r>
      <w:r w:rsidRPr="00A83994">
        <w:rPr>
          <w:rFonts w:ascii="Arial" w:hAnsi="Arial" w:cs="Arial"/>
          <w:lang w:val="en-GB"/>
        </w:rPr>
        <w:t>. Financial Times. June 3</w:t>
      </w:r>
      <w:r w:rsidRPr="00A83994">
        <w:rPr>
          <w:rFonts w:ascii="Arial" w:hAnsi="Arial" w:cs="Arial"/>
          <w:vertAlign w:val="superscript"/>
          <w:lang w:val="en-GB"/>
        </w:rPr>
        <w:t>rd</w:t>
      </w:r>
      <w:r w:rsidRPr="00A83994">
        <w:rPr>
          <w:rFonts w:ascii="Arial" w:hAnsi="Arial" w:cs="Arial"/>
          <w:lang w:val="en-GB"/>
        </w:rPr>
        <w:t xml:space="preserve"> 2016.</w:t>
      </w:r>
    </w:p>
  </w:footnote>
  <w:footnote w:id="51">
    <w:p w:rsidR="000E5016" w:rsidRPr="00A83994" w:rsidRDefault="000E5016" w:rsidP="00330511">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00330511" w:rsidRPr="00A83994">
        <w:rPr>
          <w:rFonts w:ascii="Arial" w:hAnsi="Arial" w:cs="Arial"/>
          <w:lang w:val="en-GB"/>
        </w:rPr>
        <w:t>T</w:t>
      </w:r>
      <w:r w:rsidRPr="00A83994">
        <w:rPr>
          <w:rFonts w:ascii="Arial" w:hAnsi="Arial" w:cs="Arial"/>
          <w:lang w:val="en-GB"/>
        </w:rPr>
        <w:t xml:space="preserve">he Prime Minister’s </w:t>
      </w:r>
      <w:r w:rsidR="00330511" w:rsidRPr="00A83994">
        <w:rPr>
          <w:rFonts w:ascii="Arial" w:hAnsi="Arial" w:cs="Arial"/>
          <w:lang w:val="en-GB"/>
        </w:rPr>
        <w:t xml:space="preserve">principal </w:t>
      </w:r>
      <w:r w:rsidRPr="00A83994">
        <w:rPr>
          <w:rFonts w:ascii="Arial" w:hAnsi="Arial" w:cs="Arial"/>
          <w:lang w:val="en-GB"/>
        </w:rPr>
        <w:t>advisor</w:t>
      </w:r>
      <w:r w:rsidR="00330511" w:rsidRPr="00A83994">
        <w:rPr>
          <w:rFonts w:ascii="Arial" w:hAnsi="Arial" w:cs="Arial"/>
          <w:lang w:val="en-GB"/>
        </w:rPr>
        <w:t xml:space="preserve">, Dominic Cummings, has recently noted in the context of Government policy formulation that: “There are not enough people with deep expertise in specific fields.” See: </w:t>
      </w:r>
      <w:r w:rsidRPr="00A83994">
        <w:rPr>
          <w:rFonts w:ascii="Arial" w:hAnsi="Arial" w:cs="Arial"/>
          <w:lang w:val="en-GB"/>
        </w:rPr>
        <w:t>Cummins, D.</w:t>
      </w:r>
      <w:r w:rsidR="00330511" w:rsidRPr="00A83994">
        <w:rPr>
          <w:rFonts w:ascii="Arial" w:hAnsi="Arial" w:cs="Arial"/>
          <w:lang w:val="en-GB"/>
        </w:rPr>
        <w:t xml:space="preserve"> </w:t>
      </w:r>
      <w:hyperlink r:id="rId1" w:history="1">
        <w:r w:rsidR="00330511" w:rsidRPr="00A83994">
          <w:rPr>
            <w:rStyle w:val="Hyperlink"/>
            <w:rFonts w:ascii="Arial" w:hAnsi="Arial" w:cs="Arial"/>
            <w:lang w:val="en-GB"/>
          </w:rPr>
          <w:t>https://dominiccummings.com/2020/01/02/two-hands-are-a-lot-were-hiring-data-scientists-project-managers-policy-experts-assorted-weirdos/</w:t>
        </w:r>
      </w:hyperlink>
      <w:r w:rsidR="00330511" w:rsidRPr="00A83994">
        <w:rPr>
          <w:rFonts w:ascii="Arial" w:hAnsi="Arial" w:cs="Arial"/>
          <w:lang w:val="en-GB"/>
        </w:rPr>
        <w:t xml:space="preserve"> See also: </w:t>
      </w:r>
      <w:r w:rsidRPr="00A83994">
        <w:rPr>
          <w:rFonts w:ascii="Arial" w:hAnsi="Arial" w:cs="Arial"/>
          <w:lang w:val="en-GB"/>
        </w:rPr>
        <w:t xml:space="preserve"> </w:t>
      </w:r>
      <w:r w:rsidR="00330511" w:rsidRPr="00A83994">
        <w:rPr>
          <w:rFonts w:ascii="Arial" w:hAnsi="Arial" w:cs="Arial"/>
          <w:lang w:val="en-GB"/>
        </w:rPr>
        <w:t xml:space="preserve">Helm, T. </w:t>
      </w:r>
      <w:r w:rsidR="00330511" w:rsidRPr="00A83994">
        <w:rPr>
          <w:rFonts w:ascii="Arial" w:hAnsi="Arial" w:cs="Arial"/>
          <w:i/>
          <w:lang w:val="en-GB"/>
        </w:rPr>
        <w:t xml:space="preserve">Cummings warned over civil service shake-up plan. </w:t>
      </w:r>
      <w:r w:rsidR="00330511" w:rsidRPr="00A83994">
        <w:rPr>
          <w:rFonts w:ascii="Arial" w:hAnsi="Arial" w:cs="Arial"/>
          <w:lang w:val="en-GB"/>
        </w:rPr>
        <w:t>The Guardian, Sunday 5</w:t>
      </w:r>
      <w:r w:rsidR="00330511" w:rsidRPr="00A83994">
        <w:rPr>
          <w:rFonts w:ascii="Arial" w:hAnsi="Arial" w:cs="Arial"/>
          <w:vertAlign w:val="superscript"/>
          <w:lang w:val="en-GB"/>
        </w:rPr>
        <w:t>th</w:t>
      </w:r>
      <w:r w:rsidR="00330511" w:rsidRPr="00A83994">
        <w:rPr>
          <w:rFonts w:ascii="Arial" w:hAnsi="Arial" w:cs="Arial"/>
          <w:lang w:val="en-GB"/>
        </w:rPr>
        <w:t xml:space="preserve"> January 2020. </w:t>
      </w:r>
    </w:p>
  </w:footnote>
  <w:footnote w:id="52">
    <w:p w:rsidR="00416B42" w:rsidRPr="00A83994" w:rsidRDefault="00416B42" w:rsidP="00794190">
      <w:pPr>
        <w:pStyle w:val="FootnoteText"/>
        <w:jc w:val="both"/>
        <w:rPr>
          <w:rFonts w:ascii="Arial" w:hAnsi="Arial" w:cs="Arial"/>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w:t>
      </w:r>
      <w:r w:rsidRPr="00A83994">
        <w:rPr>
          <w:rFonts w:ascii="Arial" w:hAnsi="Arial" w:cs="Arial"/>
          <w:i/>
          <w:color w:val="000000" w:themeColor="text1"/>
          <w:lang w:val="en-GB"/>
        </w:rPr>
        <w:t>Pfeffer Nietzsche.</w:t>
      </w:r>
    </w:p>
  </w:footnote>
  <w:footnote w:id="53">
    <w:p w:rsidR="00416B42" w:rsidRPr="00A83994" w:rsidRDefault="00416B42" w:rsidP="00794190">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See: </w:t>
      </w:r>
      <w:r w:rsidRPr="00A83994">
        <w:rPr>
          <w:rFonts w:ascii="Arial" w:hAnsi="Arial" w:cs="Arial"/>
          <w:i/>
          <w:lang w:val="en-GB"/>
        </w:rPr>
        <w:t>Nietzsche Morality</w:t>
      </w:r>
      <w:r w:rsidRPr="00A83994">
        <w:rPr>
          <w:rFonts w:ascii="Arial" w:hAnsi="Arial" w:cs="Arial"/>
          <w:lang w:val="en-GB"/>
        </w:rPr>
        <w:t xml:space="preserve">. See also: </w:t>
      </w:r>
      <w:r w:rsidRPr="00A83994">
        <w:rPr>
          <w:rFonts w:ascii="Arial" w:hAnsi="Arial" w:cs="Arial"/>
          <w:i/>
          <w:lang w:val="en-GB"/>
        </w:rPr>
        <w:t>Tribe Relationship.</w:t>
      </w:r>
      <w:r w:rsidRPr="00A83994">
        <w:rPr>
          <w:lang w:val="en-GB"/>
        </w:rPr>
        <w:t xml:space="preserve"> </w:t>
      </w:r>
    </w:p>
  </w:footnote>
  <w:footnote w:id="54">
    <w:p w:rsidR="00416B42" w:rsidRPr="00A83994" w:rsidRDefault="00416B42" w:rsidP="00A927D3">
      <w:pPr>
        <w:pStyle w:val="FootnoteText"/>
        <w:jc w:val="both"/>
        <w:rPr>
          <w:rFonts w:ascii="Arial" w:hAnsi="Arial" w:cs="Arial"/>
          <w:color w:val="000000" w:themeColor="text1"/>
          <w:lang w:val="en-GB"/>
        </w:rPr>
      </w:pPr>
      <w:r w:rsidRPr="00A83994">
        <w:rPr>
          <w:rStyle w:val="FootnoteReference"/>
          <w:rFonts w:ascii="Arial" w:hAnsi="Arial" w:cs="Arial"/>
        </w:rPr>
        <w:footnoteRef/>
      </w:r>
      <w:r w:rsidRPr="00A83994">
        <w:rPr>
          <w:rFonts w:ascii="Arial" w:hAnsi="Arial" w:cs="Arial"/>
        </w:rPr>
        <w:t xml:space="preserve"> See: </w:t>
      </w:r>
      <w:r w:rsidRPr="00A83994">
        <w:rPr>
          <w:rFonts w:ascii="Arial" w:hAnsi="Arial" w:cs="Arial"/>
          <w:i/>
        </w:rPr>
        <w:t>Report of the Review Committee, Insolvency Law and Practice.</w:t>
      </w:r>
      <w:r w:rsidRPr="00A83994">
        <w:rPr>
          <w:rFonts w:ascii="Arial" w:hAnsi="Arial" w:cs="Arial"/>
        </w:rPr>
        <w:t xml:space="preserve"> (Cmnd 8558, 1982), para.606. (hereafter Cork Report) See the Government’s belated response: </w:t>
      </w:r>
      <w:r w:rsidRPr="00A83994">
        <w:rPr>
          <w:rFonts w:ascii="Arial" w:hAnsi="Arial" w:cs="Arial"/>
          <w:i/>
        </w:rPr>
        <w:t xml:space="preserve">A Revised Framework for Insolvency Law. </w:t>
      </w:r>
      <w:r w:rsidRPr="00A83994">
        <w:rPr>
          <w:rFonts w:ascii="Arial" w:hAnsi="Arial" w:cs="Arial"/>
        </w:rPr>
        <w:t xml:space="preserve">(HMSO, London, Cmnd. 9175, 1984) (hereafter Revised Framework). On Cork generally see: Hare, D &amp; Milman, D. </w:t>
      </w:r>
      <w:r w:rsidRPr="00A83994">
        <w:rPr>
          <w:rFonts w:ascii="Arial" w:hAnsi="Arial" w:cs="Arial"/>
          <w:i/>
        </w:rPr>
        <w:t xml:space="preserve">Corporate insolvency: The Cork Committee proposals </w:t>
      </w:r>
      <w:r w:rsidRPr="00A83994">
        <w:rPr>
          <w:rFonts w:ascii="Arial" w:hAnsi="Arial" w:cs="Arial"/>
        </w:rPr>
        <w:t xml:space="preserve">(1983) SJ, 127. pp. 230-335 and: Milman, D &amp; Hare, D. </w:t>
      </w:r>
      <w:r w:rsidRPr="00A83994">
        <w:rPr>
          <w:rFonts w:ascii="Arial" w:hAnsi="Arial" w:cs="Arial"/>
          <w:i/>
        </w:rPr>
        <w:t>Cutting Cork down to size</w:t>
      </w:r>
      <w:r w:rsidRPr="00A83994">
        <w:rPr>
          <w:rFonts w:ascii="Arial" w:hAnsi="Arial" w:cs="Arial"/>
        </w:rPr>
        <w:t xml:space="preserve"> (1984) SJ, 128. pp. 340-343. Cork’s personal </w:t>
      </w:r>
      <w:r w:rsidRPr="00A83994">
        <w:rPr>
          <w:rFonts w:ascii="Arial" w:hAnsi="Arial" w:cs="Arial"/>
          <w:color w:val="000000" w:themeColor="text1"/>
        </w:rPr>
        <w:t xml:space="preserve">view of the whole process see: Cork, K. </w:t>
      </w:r>
      <w:r w:rsidRPr="00A83994">
        <w:rPr>
          <w:rFonts w:ascii="Arial" w:hAnsi="Arial" w:cs="Arial"/>
          <w:i/>
          <w:color w:val="000000" w:themeColor="text1"/>
        </w:rPr>
        <w:t>Cork on Cork</w:t>
      </w:r>
      <w:r w:rsidRPr="00A83994">
        <w:rPr>
          <w:rFonts w:ascii="Arial" w:hAnsi="Arial" w:cs="Arial"/>
          <w:color w:val="000000" w:themeColor="text1"/>
        </w:rPr>
        <w:t>. Macmillan, London, 1988.</w:t>
      </w:r>
    </w:p>
  </w:footnote>
  <w:footnote w:id="55">
    <w:p w:rsidR="00416B42" w:rsidRPr="00A83994" w:rsidRDefault="00416B42" w:rsidP="00747BD6">
      <w:pPr>
        <w:pStyle w:val="FootnoteText"/>
        <w:jc w:val="both"/>
        <w:rPr>
          <w:rFonts w:ascii="Arial" w:hAnsi="Arial" w:cs="Arial"/>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further: Tribe, J. &amp; Briggs, J. </w:t>
      </w:r>
      <w:r w:rsidRPr="00A83994">
        <w:rPr>
          <w:rFonts w:ascii="Arial" w:hAnsi="Arial" w:cs="Arial"/>
          <w:i/>
          <w:color w:val="000000" w:themeColor="text1"/>
          <w:lang w:val="en-GB"/>
        </w:rPr>
        <w:t>Muir Hunter on Personal Insolvency</w:t>
      </w:r>
      <w:r w:rsidRPr="00A83994">
        <w:rPr>
          <w:rFonts w:ascii="Arial" w:hAnsi="Arial" w:cs="Arial"/>
          <w:color w:val="000000" w:themeColor="text1"/>
          <w:lang w:val="en-GB"/>
        </w:rPr>
        <w:t xml:space="preserve"> (Vol. 2, 78th ed.). Sweet &amp; Maxwell, London, 2018, para.3-22.</w:t>
      </w:r>
    </w:p>
  </w:footnote>
  <w:footnote w:id="56">
    <w:p w:rsidR="00416B42" w:rsidRPr="00A83994" w:rsidRDefault="00416B42" w:rsidP="00747BD6">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On administration see: Fletcher, IF. </w:t>
      </w:r>
      <w:r w:rsidRPr="00A83994">
        <w:rPr>
          <w:rFonts w:ascii="Arial" w:hAnsi="Arial" w:cs="Arial"/>
          <w:i/>
          <w:lang w:val="en-GB"/>
        </w:rPr>
        <w:t>The Law of Insolvency</w:t>
      </w:r>
      <w:r w:rsidRPr="00A83994">
        <w:rPr>
          <w:rFonts w:ascii="Arial" w:hAnsi="Arial" w:cs="Arial"/>
          <w:lang w:val="en-GB"/>
        </w:rPr>
        <w:t>. 5</w:t>
      </w:r>
      <w:r w:rsidRPr="00A83994">
        <w:rPr>
          <w:rFonts w:ascii="Arial" w:hAnsi="Arial" w:cs="Arial"/>
          <w:vertAlign w:val="superscript"/>
          <w:lang w:val="en-GB"/>
        </w:rPr>
        <w:t>th</w:t>
      </w:r>
      <w:r w:rsidRPr="00A83994">
        <w:rPr>
          <w:rFonts w:ascii="Arial" w:hAnsi="Arial" w:cs="Arial"/>
          <w:lang w:val="en-GB"/>
        </w:rPr>
        <w:t xml:space="preserve"> Ed. Sweet &amp; Maxwell Ltd, London, 2017</w:t>
      </w:r>
      <w:r w:rsidRPr="00A83994">
        <w:rPr>
          <w:rFonts w:ascii="Arial" w:hAnsi="Arial" w:cs="Arial"/>
          <w:color w:val="000000" w:themeColor="text1"/>
          <w:lang w:val="en-GB"/>
        </w:rPr>
        <w:t>, para.16-001.</w:t>
      </w:r>
    </w:p>
  </w:footnote>
  <w:footnote w:id="57">
    <w:p w:rsidR="00416B42" w:rsidRPr="00A83994" w:rsidRDefault="00416B42" w:rsidP="00CB1A45">
      <w:pPr>
        <w:pStyle w:val="FootnoteText"/>
        <w:jc w:val="both"/>
        <w:rPr>
          <w:rFonts w:ascii="Arial" w:hAnsi="Arial" w:cs="Arial"/>
          <w:i/>
          <w:color w:val="FF0000"/>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See further: Markham Lester, V.</w:t>
      </w:r>
      <w:r w:rsidRPr="00A83994">
        <w:rPr>
          <w:rFonts w:ascii="Arial" w:hAnsi="Arial" w:cs="Arial"/>
          <w:i/>
          <w:color w:val="000000" w:themeColor="text1"/>
          <w:lang w:val="en-GB"/>
        </w:rPr>
        <w:t xml:space="preserve"> Victorian Insolvency - Bankruptcy, Imprisonment for Debt, and Company Winding-up in Nineteenth-Century England</w:t>
      </w:r>
      <w:r w:rsidRPr="00A83994">
        <w:rPr>
          <w:rFonts w:ascii="Arial" w:hAnsi="Arial" w:cs="Arial"/>
          <w:color w:val="000000" w:themeColor="text1"/>
          <w:lang w:val="en-GB"/>
        </w:rPr>
        <w:t xml:space="preserve">. OUP, Oxford, 1995. </w:t>
      </w:r>
    </w:p>
  </w:footnote>
  <w:footnote w:id="58">
    <w:p w:rsidR="00416B42" w:rsidRPr="00A83994" w:rsidRDefault="00416B42" w:rsidP="007721D7">
      <w:pPr>
        <w:pStyle w:val="FootnoteText"/>
        <w:jc w:val="both"/>
        <w:rPr>
          <w:rFonts w:ascii="Arial" w:hAnsi="Arial" w:cs="Arial"/>
          <w:color w:val="FF0000"/>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Tribe, J. </w:t>
      </w:r>
      <w:r w:rsidRPr="00A83994">
        <w:rPr>
          <w:rFonts w:ascii="Arial" w:hAnsi="Arial" w:cs="Arial"/>
          <w:i/>
          <w:color w:val="000000" w:themeColor="text1"/>
          <w:lang w:val="en-GB"/>
        </w:rPr>
        <w:t>The Imprisonment for Debt Jurisdiction</w:t>
      </w:r>
      <w:r w:rsidRPr="00A83994">
        <w:rPr>
          <w:rFonts w:ascii="Arial" w:hAnsi="Arial" w:cs="Arial"/>
          <w:color w:val="000000" w:themeColor="text1"/>
          <w:lang w:val="en-GB"/>
        </w:rPr>
        <w:t xml:space="preserve"> (2018) Insol.Intel, (31(3)), 92-100.</w:t>
      </w:r>
    </w:p>
  </w:footnote>
  <w:footnote w:id="59">
    <w:p w:rsidR="00416B42" w:rsidRPr="00A83994" w:rsidRDefault="00416B42" w:rsidP="00343CF0">
      <w:pPr>
        <w:pStyle w:val="FootnoteText"/>
        <w:jc w:val="both"/>
        <w:rPr>
          <w:rFonts w:ascii="Arial" w:hAnsi="Arial" w:cs="Arial"/>
          <w:i/>
          <w:color w:val="FF0000"/>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See: </w:t>
      </w:r>
      <w:r w:rsidRPr="00A83994">
        <w:rPr>
          <w:rFonts w:ascii="Arial" w:hAnsi="Arial" w:cs="Arial"/>
          <w:i/>
          <w:color w:val="000000" w:themeColor="text1"/>
          <w:lang w:val="en-GB"/>
        </w:rPr>
        <w:t xml:space="preserve">Tribe Treatment. </w:t>
      </w:r>
    </w:p>
  </w:footnote>
  <w:footnote w:id="60">
    <w:p w:rsidR="00416B42" w:rsidRPr="00A83994" w:rsidRDefault="00416B42" w:rsidP="00235AE7">
      <w:pPr>
        <w:pStyle w:val="FootnoteText"/>
        <w:jc w:val="both"/>
        <w:rPr>
          <w:rFonts w:ascii="Arial" w:hAnsi="Arial" w:cs="Arial"/>
          <w:color w:val="FF0000"/>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Tribe, J. </w:t>
      </w:r>
      <w:r w:rsidRPr="00A83994">
        <w:rPr>
          <w:rFonts w:ascii="Arial" w:hAnsi="Arial" w:cs="Arial"/>
          <w:i/>
          <w:color w:val="000000" w:themeColor="text1"/>
          <w:lang w:val="en-GB"/>
        </w:rPr>
        <w:t>Discharge in bankruptcy: an historical and comparative examination of personal insolvency relief in England and Australia</w:t>
      </w:r>
      <w:r w:rsidRPr="00A83994">
        <w:rPr>
          <w:rFonts w:ascii="Arial" w:hAnsi="Arial" w:cs="Arial"/>
          <w:color w:val="000000" w:themeColor="text1"/>
          <w:lang w:val="en-GB"/>
        </w:rPr>
        <w:t xml:space="preserve"> (2012) Insolvency Law Journal, 20(1), 240-263.</w:t>
      </w:r>
    </w:p>
  </w:footnote>
  <w:footnote w:id="61">
    <w:p w:rsidR="00416B42" w:rsidRPr="00A83994" w:rsidRDefault="00416B42" w:rsidP="007739D3">
      <w:pPr>
        <w:pStyle w:val="FootnoteText"/>
        <w:jc w:val="both"/>
        <w:rPr>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See further: Tribe, J. </w:t>
      </w:r>
      <w:r w:rsidRPr="00A83994">
        <w:rPr>
          <w:rFonts w:ascii="Arial" w:hAnsi="Arial" w:cs="Arial"/>
          <w:i/>
          <w:color w:val="000000" w:themeColor="text1"/>
        </w:rPr>
        <w:t>Bankruptcy and capital punishment in the 18th and 19th centuries</w:t>
      </w:r>
      <w:r w:rsidRPr="00A83994">
        <w:rPr>
          <w:rFonts w:ascii="Arial" w:hAnsi="Arial" w:cs="Arial"/>
          <w:color w:val="000000" w:themeColor="text1"/>
        </w:rPr>
        <w:t xml:space="preserve"> (2009) Insol.Intel, 22(3), 44-47.</w:t>
      </w:r>
    </w:p>
  </w:footnote>
  <w:footnote w:id="62">
    <w:p w:rsidR="00416B42" w:rsidRPr="00A83994" w:rsidRDefault="00416B42" w:rsidP="007D4CFD">
      <w:pPr>
        <w:pStyle w:val="FootnoteText"/>
        <w:jc w:val="both"/>
        <w:rPr>
          <w:rFonts w:ascii="Arial" w:hAnsi="Arial" w:cs="Arial"/>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further: Wood, J. </w:t>
      </w:r>
      <w:r w:rsidRPr="00A83994">
        <w:rPr>
          <w:rFonts w:ascii="Arial" w:hAnsi="Arial" w:cs="Arial"/>
          <w:i/>
          <w:color w:val="000000" w:themeColor="text1"/>
          <w:lang w:val="en-GB"/>
        </w:rPr>
        <w:t>The Sun is Setting: is it time to legislate pre-packs?</w:t>
      </w:r>
      <w:r w:rsidRPr="00A83994">
        <w:rPr>
          <w:rFonts w:ascii="Arial" w:hAnsi="Arial" w:cs="Arial"/>
          <w:color w:val="000000" w:themeColor="text1"/>
          <w:lang w:val="en-GB"/>
        </w:rPr>
        <w:t xml:space="preserve"> (2016) 67(2) NILQ pp.173-88.</w:t>
      </w:r>
    </w:p>
  </w:footnote>
  <w:footnote w:id="63">
    <w:p w:rsidR="007513CD" w:rsidRPr="00A83994" w:rsidRDefault="007513CD" w:rsidP="007A0CB9">
      <w:pPr>
        <w:pStyle w:val="FootnoteText"/>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See further: </w:t>
      </w:r>
      <w:hyperlink r:id="rId2" w:history="1">
        <w:r w:rsidR="007A0CB9" w:rsidRPr="00A83994">
          <w:rPr>
            <w:rStyle w:val="Hyperlink"/>
            <w:rFonts w:ascii="Arial" w:hAnsi="Arial" w:cs="Arial"/>
            <w:lang w:val="en-GB"/>
          </w:rPr>
          <w:t>https://assets.publishing.service.gov.uk/government/uploads/system/uploads/attachment_data/file/821413/Commentary_-_Company_Insolvency_Statistics_Q2_2019.pdf</w:t>
        </w:r>
      </w:hyperlink>
      <w:r w:rsidR="007A0CB9" w:rsidRPr="00A83994">
        <w:rPr>
          <w:rFonts w:ascii="Arial" w:hAnsi="Arial" w:cs="Arial"/>
          <w:lang w:val="en-GB"/>
        </w:rPr>
        <w:t xml:space="preserve"> (p.3) </w:t>
      </w:r>
    </w:p>
  </w:footnote>
  <w:footnote w:id="64">
    <w:p w:rsidR="003D4825" w:rsidRPr="00A83994" w:rsidRDefault="003D4825" w:rsidP="00F50724">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On which see further: Tribe, J. </w:t>
      </w:r>
      <w:r w:rsidRPr="00A83994">
        <w:rPr>
          <w:rFonts w:ascii="Arial" w:hAnsi="Arial" w:cs="Arial"/>
          <w:i/>
          <w:lang w:val="en-GB"/>
        </w:rPr>
        <w:t>Corporate Insolvency Law: Challenging Orthodoxies in Theory, Design and Use</w:t>
      </w:r>
      <w:r w:rsidRPr="00A83994">
        <w:rPr>
          <w:rFonts w:ascii="Arial" w:hAnsi="Arial" w:cs="Arial"/>
          <w:lang w:val="en-GB"/>
        </w:rPr>
        <w:t xml:space="preserve">. Edward Elgar, Cheltenham, (forthcoming). </w:t>
      </w:r>
      <w:r w:rsidR="00F50724" w:rsidRPr="00A83994">
        <w:rPr>
          <w:rFonts w:ascii="Arial" w:hAnsi="Arial" w:cs="Arial"/>
          <w:lang w:val="en-GB"/>
        </w:rPr>
        <w:t xml:space="preserve">Hereafter </w:t>
      </w:r>
      <w:r w:rsidR="00F50724" w:rsidRPr="00A83994">
        <w:rPr>
          <w:rFonts w:ascii="Arial" w:hAnsi="Arial" w:cs="Arial"/>
          <w:i/>
          <w:lang w:val="en-GB"/>
        </w:rPr>
        <w:t>Tribe Orthodoxy</w:t>
      </w:r>
      <w:r w:rsidR="00F50724" w:rsidRPr="00A83994">
        <w:rPr>
          <w:rFonts w:ascii="Arial" w:hAnsi="Arial" w:cs="Arial"/>
          <w:lang w:val="en-GB"/>
        </w:rPr>
        <w:t xml:space="preserve">. </w:t>
      </w:r>
    </w:p>
  </w:footnote>
  <w:footnote w:id="65">
    <w:p w:rsidR="00416B42" w:rsidRPr="00A83994" w:rsidRDefault="00416B42">
      <w:pPr>
        <w:pStyle w:val="FootnoteText"/>
        <w:rPr>
          <w:rFonts w:ascii="Arial" w:hAnsi="Arial" w:cs="Arial"/>
          <w:color w:val="FF0000"/>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On </w:t>
      </w:r>
      <w:proofErr w:type="spellStart"/>
      <w:r w:rsidRPr="00A83994">
        <w:rPr>
          <w:rFonts w:ascii="Arial" w:hAnsi="Arial" w:cs="Arial"/>
          <w:color w:val="000000" w:themeColor="text1"/>
        </w:rPr>
        <w:t>aspects</w:t>
      </w:r>
      <w:proofErr w:type="spellEnd"/>
      <w:r w:rsidRPr="00A83994">
        <w:rPr>
          <w:rFonts w:ascii="Arial" w:hAnsi="Arial" w:cs="Arial"/>
          <w:color w:val="000000" w:themeColor="text1"/>
        </w:rPr>
        <w:t xml:space="preserve"> of </w:t>
      </w:r>
      <w:proofErr w:type="spellStart"/>
      <w:r w:rsidRPr="00A83994">
        <w:rPr>
          <w:rFonts w:ascii="Arial" w:hAnsi="Arial" w:cs="Arial"/>
          <w:color w:val="000000" w:themeColor="text1"/>
        </w:rPr>
        <w:t>this</w:t>
      </w:r>
      <w:proofErr w:type="spellEnd"/>
      <w:r w:rsidRPr="00A83994">
        <w:rPr>
          <w:rFonts w:ascii="Arial" w:hAnsi="Arial" w:cs="Arial"/>
          <w:color w:val="000000" w:themeColor="text1"/>
        </w:rPr>
        <w:t xml:space="preserve"> </w:t>
      </w:r>
      <w:proofErr w:type="spellStart"/>
      <w:r w:rsidRPr="00A83994">
        <w:rPr>
          <w:rFonts w:ascii="Arial" w:hAnsi="Arial" w:cs="Arial"/>
          <w:color w:val="000000" w:themeColor="text1"/>
        </w:rPr>
        <w:t>ongoing</w:t>
      </w:r>
      <w:proofErr w:type="spellEnd"/>
      <w:r w:rsidRPr="00A83994">
        <w:rPr>
          <w:rFonts w:ascii="Arial" w:hAnsi="Arial" w:cs="Arial"/>
          <w:color w:val="000000" w:themeColor="text1"/>
        </w:rPr>
        <w:t xml:space="preserve"> </w:t>
      </w:r>
      <w:proofErr w:type="spellStart"/>
      <w:r w:rsidRPr="00A83994">
        <w:rPr>
          <w:rFonts w:ascii="Arial" w:hAnsi="Arial" w:cs="Arial"/>
          <w:color w:val="000000" w:themeColor="text1"/>
        </w:rPr>
        <w:t>battle</w:t>
      </w:r>
      <w:proofErr w:type="spellEnd"/>
      <w:r w:rsidRPr="00A83994">
        <w:rPr>
          <w:rFonts w:ascii="Arial" w:hAnsi="Arial" w:cs="Arial"/>
          <w:color w:val="000000" w:themeColor="text1"/>
        </w:rPr>
        <w:t xml:space="preserve"> </w:t>
      </w:r>
      <w:proofErr w:type="spellStart"/>
      <w:r w:rsidRPr="00A83994">
        <w:rPr>
          <w:rFonts w:ascii="Arial" w:hAnsi="Arial" w:cs="Arial"/>
          <w:color w:val="000000" w:themeColor="text1"/>
        </w:rPr>
        <w:t>see</w:t>
      </w:r>
      <w:proofErr w:type="spellEnd"/>
      <w:r w:rsidRPr="00A83994">
        <w:rPr>
          <w:rFonts w:ascii="Arial" w:hAnsi="Arial" w:cs="Arial"/>
          <w:color w:val="000000" w:themeColor="text1"/>
        </w:rPr>
        <w:t xml:space="preserve">:  </w:t>
      </w:r>
      <w:proofErr w:type="spellStart"/>
      <w:r w:rsidRPr="00A83994">
        <w:rPr>
          <w:rFonts w:ascii="Arial" w:hAnsi="Arial" w:cs="Arial"/>
          <w:color w:val="000000" w:themeColor="text1"/>
          <w:lang w:val="en-GB"/>
        </w:rPr>
        <w:t>Symes</w:t>
      </w:r>
      <w:proofErr w:type="spellEnd"/>
      <w:r w:rsidRPr="00A83994">
        <w:rPr>
          <w:rFonts w:ascii="Arial" w:hAnsi="Arial" w:cs="Arial"/>
          <w:color w:val="000000" w:themeColor="text1"/>
          <w:lang w:val="en-GB"/>
        </w:rPr>
        <w:t>, C.</w:t>
      </w:r>
      <w:r w:rsidRPr="00A83994">
        <w:rPr>
          <w:rFonts w:ascii="Arial" w:hAnsi="Arial" w:cs="Arial"/>
          <w:i/>
          <w:color w:val="000000" w:themeColor="text1"/>
          <w:lang w:val="en-GB"/>
        </w:rPr>
        <w:t xml:space="preserve"> Statutory Priorities in Corporate Insolvency Law: An Analysis of Preferred Creditor Status</w:t>
      </w:r>
      <w:r w:rsidRPr="00A83994">
        <w:rPr>
          <w:rFonts w:ascii="Arial" w:hAnsi="Arial" w:cs="Arial"/>
          <w:color w:val="000000" w:themeColor="text1"/>
          <w:lang w:val="en-GB"/>
        </w:rPr>
        <w:t xml:space="preserve">. Routledge, London, 2008. </w:t>
      </w:r>
    </w:p>
  </w:footnote>
  <w:footnote w:id="66">
    <w:p w:rsidR="00416B42" w:rsidRPr="00A83994" w:rsidRDefault="00416B42">
      <w:pPr>
        <w:pStyle w:val="FootnoteText"/>
        <w:rPr>
          <w:rFonts w:ascii="Arial" w:hAnsi="Arial" w:cs="Arial"/>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i/>
          <w:color w:val="000000" w:themeColor="text1"/>
        </w:rPr>
        <w:t>Op cit</w:t>
      </w:r>
      <w:r w:rsidRPr="00A83994">
        <w:rPr>
          <w:rFonts w:ascii="Arial" w:hAnsi="Arial" w:cs="Arial"/>
          <w:color w:val="000000" w:themeColor="text1"/>
        </w:rPr>
        <w:t xml:space="preserve"> n. 53.</w:t>
      </w:r>
    </w:p>
  </w:footnote>
  <w:footnote w:id="67">
    <w:p w:rsidR="00416B42" w:rsidRPr="00A83994" w:rsidRDefault="00416B42" w:rsidP="007D6FA9">
      <w:pPr>
        <w:pStyle w:val="FootnoteText"/>
        <w:rPr>
          <w:rFonts w:ascii="Arial" w:hAnsi="Arial" w:cs="Arial"/>
          <w:color w:val="FF0000"/>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color w:val="000000" w:themeColor="text1"/>
        </w:rPr>
        <w:t xml:space="preserve">See further: </w:t>
      </w:r>
      <w:r w:rsidRPr="00A83994">
        <w:rPr>
          <w:rFonts w:ascii="Arial" w:hAnsi="Arial" w:cs="Arial"/>
          <w:color w:val="000000" w:themeColor="text1"/>
          <w:lang w:val="en-GB"/>
        </w:rPr>
        <w:t xml:space="preserve">Hunter, M. </w:t>
      </w:r>
      <w:r w:rsidRPr="00A83994">
        <w:rPr>
          <w:rFonts w:ascii="Arial" w:hAnsi="Arial" w:cs="Arial"/>
          <w:i/>
          <w:color w:val="000000" w:themeColor="text1"/>
          <w:lang w:val="en-GB"/>
        </w:rPr>
        <w:t>The nature and functions of a rescue</w:t>
      </w:r>
      <w:r w:rsidRPr="00A83994">
        <w:rPr>
          <w:rFonts w:ascii="Arial" w:hAnsi="Arial" w:cs="Arial"/>
          <w:color w:val="000000" w:themeColor="text1"/>
          <w:lang w:val="en-GB"/>
        </w:rPr>
        <w:t xml:space="preserve"> culture [1999] J.B.L, Nov, 491-520.</w:t>
      </w:r>
    </w:p>
  </w:footnote>
  <w:footnote w:id="68">
    <w:p w:rsidR="00416B42" w:rsidRPr="00A83994" w:rsidRDefault="00416B42" w:rsidP="00E06B59">
      <w:pPr>
        <w:pStyle w:val="FootnoteText"/>
        <w:jc w:val="both"/>
        <w:rPr>
          <w:color w:val="FF0000"/>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further: Kadens, E. </w:t>
      </w:r>
      <w:r w:rsidRPr="00A83994">
        <w:rPr>
          <w:rFonts w:ascii="Arial" w:hAnsi="Arial" w:cs="Arial"/>
          <w:i/>
          <w:color w:val="000000" w:themeColor="text1"/>
          <w:lang w:val="en-GB"/>
        </w:rPr>
        <w:t xml:space="preserve">The Last Bankrupt Hanged: Balancing Incentives in the Development of Bankruptcy Law </w:t>
      </w:r>
      <w:r w:rsidRPr="00A83994">
        <w:rPr>
          <w:rFonts w:ascii="Arial" w:hAnsi="Arial" w:cs="Arial"/>
          <w:color w:val="000000" w:themeColor="text1"/>
          <w:lang w:val="en-GB"/>
        </w:rPr>
        <w:t>(2010) 59 Duke Law Journal 1229.</w:t>
      </w:r>
    </w:p>
  </w:footnote>
  <w:footnote w:id="69">
    <w:p w:rsidR="00416B42" w:rsidRPr="00A83994" w:rsidRDefault="00416B42" w:rsidP="00490233">
      <w:pPr>
        <w:pStyle w:val="FootnoteText"/>
        <w:jc w:val="both"/>
        <w:rPr>
          <w:rFonts w:ascii="Arial" w:hAnsi="Arial" w:cs="Arial"/>
          <w:color w:val="FF0000"/>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further: Walters, A &amp; Davis-White, M. </w:t>
      </w:r>
      <w:r w:rsidRPr="00A83994">
        <w:rPr>
          <w:rFonts w:ascii="Arial" w:hAnsi="Arial" w:cs="Arial"/>
          <w:i/>
          <w:color w:val="000000" w:themeColor="text1"/>
          <w:lang w:val="en-GB"/>
        </w:rPr>
        <w:t>Directors' Disqualification and Insolvency Restrictions.</w:t>
      </w:r>
      <w:r w:rsidRPr="00A83994">
        <w:rPr>
          <w:rFonts w:ascii="Arial" w:hAnsi="Arial" w:cs="Arial"/>
          <w:color w:val="000000" w:themeColor="text1"/>
          <w:lang w:val="en-GB"/>
        </w:rPr>
        <w:t xml:space="preserve"> 3rd ed. Sweet &amp; Maxwell, London, 2009. </w:t>
      </w:r>
    </w:p>
  </w:footnote>
  <w:footnote w:id="70">
    <w:p w:rsidR="00416B42" w:rsidRPr="00A83994" w:rsidRDefault="00416B42" w:rsidP="00DA3AAE">
      <w:pPr>
        <w:pStyle w:val="FootnoteText"/>
        <w:jc w:val="both"/>
        <w:rPr>
          <w:rFonts w:ascii="Arial" w:hAnsi="Arial" w:cs="Arial"/>
          <w:color w:val="000000" w:themeColor="text1"/>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On BROs see: Tribe, J. </w:t>
      </w:r>
      <w:r w:rsidRPr="00A83994">
        <w:rPr>
          <w:rFonts w:ascii="Arial" w:hAnsi="Arial" w:cs="Arial"/>
          <w:i/>
          <w:color w:val="000000" w:themeColor="text1"/>
        </w:rPr>
        <w:t>Parliamentarians and Bankruptcy: The Disqualification of MPs and Peers from Sitting in the Palace of Westminster</w:t>
      </w:r>
      <w:r w:rsidRPr="00A83994">
        <w:rPr>
          <w:rFonts w:ascii="Arial" w:hAnsi="Arial" w:cs="Arial"/>
          <w:color w:val="000000" w:themeColor="text1"/>
        </w:rPr>
        <w:t xml:space="preserve"> (2014) KLJ, 25(1), 79-101.</w:t>
      </w:r>
    </w:p>
  </w:footnote>
  <w:footnote w:id="71">
    <w:p w:rsidR="00416B42" w:rsidRPr="00A83994" w:rsidRDefault="00416B42" w:rsidP="00C92685">
      <w:pPr>
        <w:pStyle w:val="FootnoteText"/>
        <w:jc w:val="both"/>
        <w:rPr>
          <w:rFonts w:ascii="Arial" w:hAnsi="Arial" w:cs="Arial"/>
          <w:color w:val="FF0000"/>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w:t>
      </w:r>
      <w:r w:rsidRPr="00A83994">
        <w:rPr>
          <w:rFonts w:ascii="Arial" w:hAnsi="Arial" w:cs="Arial"/>
          <w:i/>
          <w:color w:val="000000" w:themeColor="text1"/>
          <w:lang w:val="en-GB"/>
        </w:rPr>
        <w:t>Powdrill v. Watson</w:t>
      </w:r>
      <w:r w:rsidRPr="00A83994">
        <w:rPr>
          <w:rFonts w:ascii="Arial" w:hAnsi="Arial" w:cs="Arial"/>
          <w:color w:val="000000" w:themeColor="text1"/>
          <w:lang w:val="en-GB"/>
        </w:rPr>
        <w:t xml:space="preserve"> [1995] 2 A.C. 394. See also: Collins, H. </w:t>
      </w:r>
      <w:r w:rsidRPr="00A83994">
        <w:rPr>
          <w:rFonts w:ascii="Arial" w:hAnsi="Arial" w:cs="Arial"/>
          <w:i/>
          <w:color w:val="000000" w:themeColor="text1"/>
          <w:lang w:val="en-GB"/>
        </w:rPr>
        <w:t xml:space="preserve">Transfer of undertakings and insolvency </w:t>
      </w:r>
      <w:r w:rsidRPr="00A83994">
        <w:rPr>
          <w:rFonts w:ascii="Arial" w:hAnsi="Arial" w:cs="Arial"/>
          <w:color w:val="000000" w:themeColor="text1"/>
          <w:lang w:val="en-GB"/>
        </w:rPr>
        <w:t>(1989) ILJ 18(3), 144-158.</w:t>
      </w:r>
    </w:p>
  </w:footnote>
  <w:footnote w:id="72">
    <w:p w:rsidR="00416B42" w:rsidRPr="00A83994" w:rsidRDefault="00416B42" w:rsidP="00465821">
      <w:pPr>
        <w:pStyle w:val="FootnoteText"/>
        <w:jc w:val="both"/>
        <w:rPr>
          <w:rFonts w:ascii="Arial" w:hAnsi="Arial" w:cs="Arial"/>
          <w:color w:val="FF0000"/>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further: Lamont, C. </w:t>
      </w:r>
      <w:r w:rsidRPr="00A83994">
        <w:rPr>
          <w:rFonts w:ascii="Arial" w:hAnsi="Arial" w:cs="Arial"/>
          <w:i/>
          <w:color w:val="000000" w:themeColor="text1"/>
          <w:lang w:val="en-GB"/>
        </w:rPr>
        <w:t>Re-structuring leasehold estates under Chapter 11 of the US Bankruptcy Code and in England and Wales - a comparison</w:t>
      </w:r>
      <w:r w:rsidRPr="00A83994">
        <w:rPr>
          <w:rFonts w:ascii="Arial" w:hAnsi="Arial" w:cs="Arial"/>
          <w:color w:val="000000" w:themeColor="text1"/>
          <w:lang w:val="en-GB"/>
        </w:rPr>
        <w:t xml:space="preserve"> (2018) Insol.Int, 31(3), 69-77.</w:t>
      </w:r>
    </w:p>
  </w:footnote>
  <w:footnote w:id="73">
    <w:p w:rsidR="00416B42" w:rsidRPr="00A83994" w:rsidRDefault="00416B42">
      <w:pPr>
        <w:pStyle w:val="FootnoteText"/>
        <w:rPr>
          <w:rFonts w:ascii="Arial" w:hAnsi="Arial" w:cs="Arial"/>
          <w:color w:val="000000" w:themeColor="text1"/>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i/>
          <w:color w:val="000000" w:themeColor="text1"/>
        </w:rPr>
        <w:t xml:space="preserve">Encouraging Company Rescue – a consultation, </w:t>
      </w:r>
      <w:r w:rsidRPr="00A83994">
        <w:rPr>
          <w:rFonts w:ascii="Arial" w:hAnsi="Arial" w:cs="Arial"/>
          <w:color w:val="000000" w:themeColor="text1"/>
        </w:rPr>
        <w:t>Insolvency Service, London, 2009.</w:t>
      </w:r>
    </w:p>
  </w:footnote>
  <w:footnote w:id="74">
    <w:p w:rsidR="00416B42" w:rsidRPr="00A83994" w:rsidRDefault="00416B42" w:rsidP="00B249F8">
      <w:pPr>
        <w:pStyle w:val="FootnoteText"/>
        <w:jc w:val="both"/>
        <w:rPr>
          <w:rFonts w:ascii="Arial" w:hAnsi="Arial" w:cs="Arial"/>
          <w:color w:val="000000" w:themeColor="text1"/>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i/>
          <w:color w:val="000000" w:themeColor="text1"/>
        </w:rPr>
        <w:t>A Review of the Corporate Insolvency Framework - A consultation on options for reform</w:t>
      </w:r>
      <w:r w:rsidRPr="00A83994">
        <w:rPr>
          <w:rFonts w:ascii="Arial" w:hAnsi="Arial" w:cs="Arial"/>
          <w:color w:val="000000" w:themeColor="text1"/>
        </w:rPr>
        <w:t xml:space="preserve">. Insolvency Service, London, May 2016, </w:t>
      </w:r>
      <w:r w:rsidRPr="00A83994">
        <w:rPr>
          <w:rFonts w:ascii="Arial" w:hAnsi="Arial" w:cs="Arial"/>
          <w:color w:val="000000" w:themeColor="text1"/>
          <w:lang w:val="en-GB"/>
        </w:rPr>
        <w:t>para.10.27.</w:t>
      </w:r>
    </w:p>
  </w:footnote>
  <w:footnote w:id="75">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Consultation on Reforms to the Regulation of Insolvency Practitioners</w:t>
      </w:r>
      <w:r w:rsidRPr="00A83994">
        <w:rPr>
          <w:rFonts w:ascii="Arial" w:hAnsi="Arial" w:cs="Arial"/>
        </w:rPr>
        <w:t xml:space="preserve">, Insolvency Service, February 2011 -  Available at: </w:t>
      </w:r>
      <w:hyperlink r:id="rId3" w:history="1">
        <w:r w:rsidRPr="00A83994">
          <w:rPr>
            <w:rStyle w:val="Hyperlink"/>
            <w:rFonts w:ascii="Arial" w:hAnsi="Arial" w:cs="Arial"/>
          </w:rPr>
          <w:t>http://www.insolvency.gov.uk/insolvencyprofessionandlegislation/con_doc_register/IPConsult.pdf</w:t>
        </w:r>
      </w:hyperlink>
      <w:r w:rsidRPr="00A83994">
        <w:rPr>
          <w:rFonts w:ascii="Arial" w:hAnsi="Arial" w:cs="Arial"/>
        </w:rPr>
        <w:t xml:space="preserve"> - (hereafter </w:t>
      </w:r>
      <w:r w:rsidRPr="00A83994">
        <w:rPr>
          <w:rFonts w:ascii="Arial" w:hAnsi="Arial" w:cs="Arial"/>
          <w:i/>
        </w:rPr>
        <w:t>IS Consultation</w:t>
      </w:r>
      <w:r w:rsidRPr="00A83994">
        <w:rPr>
          <w:rFonts w:ascii="Arial" w:hAnsi="Arial" w:cs="Arial"/>
        </w:rPr>
        <w:t>)</w:t>
      </w:r>
    </w:p>
  </w:footnote>
  <w:footnote w:id="76">
    <w:p w:rsidR="00416B42" w:rsidRPr="00A83994" w:rsidRDefault="00416B42" w:rsidP="00401BE0">
      <w:pPr>
        <w:pStyle w:val="FootnoteText"/>
        <w:jc w:val="both"/>
        <w:rPr>
          <w:rFonts w:ascii="Arial" w:hAnsi="Arial" w:cs="Arial"/>
          <w:i/>
          <w:color w:val="222222"/>
          <w:lang w:val="en-US"/>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color w:val="222222"/>
          <w:lang w:val="en-US"/>
        </w:rPr>
        <w:t xml:space="preserve">The Market for Insolvency Practitioners in Corporate Insolvencies. </w:t>
      </w:r>
      <w:r w:rsidRPr="00A83994">
        <w:rPr>
          <w:rFonts w:ascii="Arial" w:hAnsi="Arial" w:cs="Arial"/>
          <w:color w:val="222222"/>
          <w:lang w:val="en-US"/>
        </w:rPr>
        <w:t>Office of Fair Trading, July 2010</w:t>
      </w:r>
      <w:r w:rsidRPr="00A83994">
        <w:rPr>
          <w:rFonts w:ascii="Arial" w:hAnsi="Arial" w:cs="Arial"/>
          <w:i/>
          <w:color w:val="222222"/>
          <w:lang w:val="en-US"/>
        </w:rPr>
        <w:t xml:space="preserve"> – available at: </w:t>
      </w:r>
      <w:hyperlink r:id="rId4" w:history="1">
        <w:r w:rsidRPr="00A83994">
          <w:rPr>
            <w:rStyle w:val="Hyperlink"/>
            <w:rFonts w:ascii="Arial" w:hAnsi="Arial" w:cs="Arial"/>
            <w:i/>
            <w:lang w:val="en-US"/>
          </w:rPr>
          <w:t>http://www.oft.gov.uk/shared_oft/reports/Insolvency/oft1245</w:t>
        </w:r>
      </w:hyperlink>
      <w:r w:rsidRPr="00A83994">
        <w:rPr>
          <w:rFonts w:ascii="Arial" w:hAnsi="Arial" w:cs="Arial"/>
          <w:i/>
          <w:color w:val="222222"/>
          <w:lang w:val="en-US"/>
        </w:rPr>
        <w:t xml:space="preserve"> - </w:t>
      </w:r>
      <w:r w:rsidRPr="00A83994">
        <w:rPr>
          <w:rFonts w:ascii="Arial" w:hAnsi="Arial" w:cs="Arial"/>
          <w:color w:val="222222"/>
          <w:lang w:val="en-US"/>
        </w:rPr>
        <w:t xml:space="preserve">(hereafter </w:t>
      </w:r>
      <w:r w:rsidRPr="00A83994">
        <w:rPr>
          <w:rFonts w:ascii="Arial" w:hAnsi="Arial" w:cs="Arial"/>
          <w:i/>
          <w:color w:val="222222"/>
          <w:lang w:val="en-US"/>
        </w:rPr>
        <w:t>OFT Report).</w:t>
      </w:r>
    </w:p>
  </w:footnote>
  <w:footnote w:id="77">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Salomon v. Salomon</w:t>
      </w:r>
      <w:r w:rsidRPr="00A83994">
        <w:rPr>
          <w:rFonts w:ascii="Arial" w:hAnsi="Arial" w:cs="Arial"/>
        </w:rPr>
        <w:t xml:space="preserve"> [1897] AC 22. </w:t>
      </w:r>
    </w:p>
  </w:footnote>
  <w:footnote w:id="78">
    <w:p w:rsidR="00416B42" w:rsidRPr="00A83994" w:rsidRDefault="00416B42" w:rsidP="00401BE0">
      <w:pPr>
        <w:pStyle w:val="FootnoteText"/>
        <w:jc w:val="both"/>
        <w:rPr>
          <w:rFonts w:ascii="Arial" w:hAnsi="Arial" w:cs="Arial"/>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i/>
          <w:color w:val="000000" w:themeColor="text1"/>
        </w:rPr>
        <w:t>ibid,</w:t>
      </w:r>
      <w:r w:rsidRPr="00A83994">
        <w:rPr>
          <w:rFonts w:ascii="Arial" w:hAnsi="Arial" w:cs="Arial"/>
          <w:color w:val="000000" w:themeColor="text1"/>
        </w:rPr>
        <w:t xml:space="preserve"> p.53.</w:t>
      </w:r>
    </w:p>
  </w:footnote>
  <w:footnote w:id="79">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On this watershed moment in insolvency law history see Giffard, LJ’s judgment in: </w:t>
      </w:r>
      <w:r w:rsidRPr="00A83994">
        <w:rPr>
          <w:rFonts w:ascii="Arial" w:hAnsi="Arial" w:cs="Arial"/>
          <w:i/>
        </w:rPr>
        <w:t xml:space="preserve">Re Panama, New Zealand, and Australian Royal Mail Company </w:t>
      </w:r>
      <w:r w:rsidRPr="00A83994">
        <w:rPr>
          <w:rFonts w:ascii="Arial" w:hAnsi="Arial" w:cs="Arial"/>
        </w:rPr>
        <w:t>(1870) Ch App 318. One the instrument Giffard, LJ noted, “</w:t>
      </w:r>
      <w:r w:rsidRPr="00A83994">
        <w:rPr>
          <w:rFonts w:ascii="Arial" w:hAnsi="Arial" w:cs="Arial"/>
          <w:lang w:val="en-US"/>
        </w:rPr>
        <w:t xml:space="preserve">I see no difficulty or inconvenience in giving that effect to this instrument." It is perhaps from this point that unsecured creditors’ fate was struck. </w:t>
      </w:r>
    </w:p>
  </w:footnote>
  <w:footnote w:id="80">
    <w:p w:rsidR="00416B42" w:rsidRPr="00A83994" w:rsidRDefault="00416B42" w:rsidP="002257C1">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Milman, D. </w:t>
      </w:r>
      <w:r w:rsidRPr="00A83994">
        <w:rPr>
          <w:rFonts w:ascii="Arial" w:hAnsi="Arial" w:cs="Arial"/>
          <w:i/>
        </w:rPr>
        <w:t>Priority rights on corporate insolvency</w:t>
      </w:r>
      <w:r w:rsidRPr="00A83994">
        <w:rPr>
          <w:rFonts w:ascii="Arial" w:hAnsi="Arial" w:cs="Arial"/>
        </w:rPr>
        <w:t xml:space="preserve">. In: Clarke, A (Ed). </w:t>
      </w:r>
      <w:r w:rsidRPr="00A83994">
        <w:rPr>
          <w:rFonts w:ascii="Arial" w:hAnsi="Arial" w:cs="Arial"/>
          <w:i/>
        </w:rPr>
        <w:t>Current issues in insolvency law. Current legal problems</w:t>
      </w:r>
      <w:r w:rsidRPr="00A83994">
        <w:rPr>
          <w:rFonts w:ascii="Arial" w:hAnsi="Arial" w:cs="Arial"/>
        </w:rPr>
        <w:t>. Stevens, London, 1991, pp. 57-85,</w:t>
      </w:r>
      <w:r w:rsidRPr="00A83994">
        <w:rPr>
          <w:rFonts w:ascii="Arial" w:hAnsi="Arial" w:cs="Arial"/>
          <w:b/>
          <w:color w:val="FF0000"/>
        </w:rPr>
        <w:t xml:space="preserve"> </w:t>
      </w:r>
      <w:r w:rsidRPr="00A83994">
        <w:rPr>
          <w:rFonts w:ascii="Arial" w:hAnsi="Arial" w:cs="Arial"/>
        </w:rPr>
        <w:t xml:space="preserve">(Hereafter </w:t>
      </w:r>
      <w:r w:rsidRPr="00A83994">
        <w:rPr>
          <w:rFonts w:ascii="Arial" w:hAnsi="Arial" w:cs="Arial"/>
          <w:i/>
        </w:rPr>
        <w:t>Milman Priority).</w:t>
      </w:r>
      <w:r w:rsidRPr="00A83994">
        <w:rPr>
          <w:rFonts w:ascii="Arial" w:hAnsi="Arial" w:cs="Arial"/>
        </w:rPr>
        <w:t xml:space="preserve"> See also Lord Hope of Craighead in </w:t>
      </w:r>
      <w:r w:rsidRPr="00A83994">
        <w:rPr>
          <w:rFonts w:ascii="Arial" w:hAnsi="Arial" w:cs="Arial"/>
          <w:i/>
        </w:rPr>
        <w:t>Re Spectrum Plus Ltd; National Westminster Bank plc v. Spectrum Plus Ltd and others</w:t>
      </w:r>
      <w:r w:rsidRPr="00A83994">
        <w:rPr>
          <w:rFonts w:ascii="Arial" w:hAnsi="Arial" w:cs="Arial"/>
        </w:rPr>
        <w:t xml:space="preserve"> [2005] UKHL 41, [2005] 4 All ER 209, para 97.</w:t>
      </w:r>
    </w:p>
  </w:footnote>
  <w:footnote w:id="81">
    <w:p w:rsidR="00416B42" w:rsidRPr="00A83994" w:rsidRDefault="00416B42" w:rsidP="002257C1">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ibid.</w:t>
      </w:r>
    </w:p>
  </w:footnote>
  <w:footnote w:id="82">
    <w:p w:rsidR="00416B42" w:rsidRPr="00A83994" w:rsidRDefault="00416B42">
      <w:pPr>
        <w:pStyle w:val="FootnoteText"/>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See further: </w:t>
      </w:r>
      <w:r w:rsidRPr="00A83994">
        <w:rPr>
          <w:rFonts w:ascii="Arial" w:hAnsi="Arial" w:cs="Arial"/>
          <w:i/>
          <w:lang w:val="en-GB"/>
        </w:rPr>
        <w:t>Tribe</w:t>
      </w:r>
      <w:r w:rsidR="00714573" w:rsidRPr="00A83994">
        <w:rPr>
          <w:rFonts w:ascii="Arial" w:hAnsi="Arial" w:cs="Arial"/>
          <w:i/>
          <w:lang w:val="en-GB"/>
        </w:rPr>
        <w:t xml:space="preserve"> Orthodoxy.</w:t>
      </w:r>
      <w:r w:rsidR="00714573" w:rsidRPr="00A83994">
        <w:rPr>
          <w:rFonts w:ascii="Arial" w:hAnsi="Arial" w:cs="Arial"/>
          <w:lang w:val="en-GB"/>
        </w:rPr>
        <w:t xml:space="preserve"> </w:t>
      </w:r>
    </w:p>
  </w:footnote>
  <w:footnote w:id="83">
    <w:p w:rsidR="00416B42" w:rsidRPr="00A83994" w:rsidRDefault="00416B42" w:rsidP="002257C1">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w:t>
      </w:r>
      <w:r w:rsidRPr="00A83994">
        <w:rPr>
          <w:rFonts w:ascii="Arial" w:hAnsi="Arial" w:cs="Arial"/>
          <w:i/>
        </w:rPr>
        <w:t>Cork Report.</w:t>
      </w:r>
    </w:p>
  </w:footnote>
  <w:footnote w:id="84">
    <w:p w:rsidR="00416B42" w:rsidRPr="00A83994" w:rsidRDefault="00416B42" w:rsidP="002257C1">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color w:val="000000" w:themeColor="text1"/>
          <w:lang w:val="en-GB"/>
        </w:rPr>
        <w:t xml:space="preserve">See further: Hudson, A. </w:t>
      </w:r>
      <w:r w:rsidRPr="00A83994">
        <w:rPr>
          <w:rFonts w:ascii="Arial" w:hAnsi="Arial" w:cs="Arial"/>
          <w:i/>
          <w:color w:val="000000" w:themeColor="text1"/>
          <w:lang w:val="en-GB"/>
        </w:rPr>
        <w:t xml:space="preserve">Great Debates in Equity and Trusts. </w:t>
      </w:r>
      <w:r w:rsidRPr="00A83994">
        <w:rPr>
          <w:rFonts w:ascii="Arial" w:hAnsi="Arial" w:cs="Arial"/>
          <w:color w:val="000000" w:themeColor="text1"/>
          <w:lang w:val="en-GB"/>
        </w:rPr>
        <w:t xml:space="preserve">Palgrave Macmillan, London, 2014. See also: Mitchell, C &amp; Mitchell, P (Eds). </w:t>
      </w:r>
      <w:r w:rsidRPr="00A83994">
        <w:rPr>
          <w:rFonts w:ascii="Arial" w:hAnsi="Arial" w:cs="Arial"/>
          <w:i/>
          <w:color w:val="000000" w:themeColor="text1"/>
          <w:lang w:val="en-GB"/>
        </w:rPr>
        <w:t>Landmark Cases in Equity</w:t>
      </w:r>
      <w:r w:rsidRPr="00A83994">
        <w:rPr>
          <w:rFonts w:ascii="Arial" w:hAnsi="Arial" w:cs="Arial"/>
          <w:color w:val="000000" w:themeColor="text1"/>
          <w:lang w:val="en-GB"/>
        </w:rPr>
        <w:t xml:space="preserve">. Hart Publishing, Oxford, 2014. </w:t>
      </w:r>
    </w:p>
  </w:footnote>
  <w:footnote w:id="85">
    <w:p w:rsidR="00416B42" w:rsidRPr="00A83994" w:rsidRDefault="00416B42" w:rsidP="00401BE0">
      <w:pPr>
        <w:pStyle w:val="FootnoteText"/>
        <w:jc w:val="both"/>
        <w:rPr>
          <w:rFonts w:ascii="Arial" w:hAnsi="Arial" w:cs="Arial"/>
          <w:color w:val="FF0000"/>
        </w:rPr>
      </w:pPr>
      <w:r w:rsidRPr="00A83994">
        <w:rPr>
          <w:rStyle w:val="FootnoteReference"/>
          <w:rFonts w:ascii="Arial" w:hAnsi="Arial" w:cs="Arial"/>
        </w:rPr>
        <w:footnoteRef/>
      </w:r>
      <w:r w:rsidRPr="00A83994">
        <w:rPr>
          <w:rFonts w:ascii="Arial" w:hAnsi="Arial" w:cs="Arial"/>
        </w:rPr>
        <w:t xml:space="preserve"> Kahn-Freund, O. </w:t>
      </w:r>
      <w:r w:rsidRPr="00A83994">
        <w:rPr>
          <w:rFonts w:ascii="Arial" w:hAnsi="Arial" w:cs="Arial"/>
          <w:i/>
        </w:rPr>
        <w:t xml:space="preserve">Some Reflections on Company Law Reform </w:t>
      </w:r>
      <w:r w:rsidRPr="00A83994">
        <w:rPr>
          <w:rFonts w:ascii="Arial" w:hAnsi="Arial" w:cs="Arial"/>
        </w:rPr>
        <w:t>(1943-1944) vol.7,  MLR, Issues 1&amp;2, pp. 54-66.</w:t>
      </w:r>
      <w:r w:rsidRPr="00A83994">
        <w:rPr>
          <w:rFonts w:ascii="Arial" w:hAnsi="Arial" w:cs="Arial"/>
          <w:color w:val="FF0000"/>
        </w:rPr>
        <w:t xml:space="preserve"> </w:t>
      </w:r>
    </w:p>
  </w:footnote>
  <w:footnote w:id="86">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[2010] UKSC 51, [2011] 1 All ER 430.</w:t>
      </w:r>
    </w:p>
  </w:footnote>
  <w:footnote w:id="87">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ibid, per</w:t>
      </w:r>
      <w:r w:rsidRPr="00A83994">
        <w:rPr>
          <w:rFonts w:ascii="Arial" w:hAnsi="Arial" w:cs="Arial"/>
        </w:rPr>
        <w:t xml:space="preserve"> Lord Walker SCJ, para.101.</w:t>
      </w:r>
    </w:p>
  </w:footnote>
  <w:footnote w:id="88">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On pre-pack administration generally see: Frisby, S. </w:t>
      </w:r>
      <w:r w:rsidRPr="00A83994">
        <w:rPr>
          <w:rFonts w:ascii="Arial" w:hAnsi="Arial" w:cs="Arial"/>
          <w:i/>
        </w:rPr>
        <w:t>The second-chance culture and beyond: some observations on the pre-pack contribution</w:t>
      </w:r>
      <w:r w:rsidRPr="00A83994">
        <w:rPr>
          <w:rFonts w:ascii="Arial" w:hAnsi="Arial" w:cs="Arial"/>
        </w:rPr>
        <w:t xml:space="preserve"> (2009) Law and Financial Markets Review, 3(3), 242-247.</w:t>
      </w:r>
    </w:p>
  </w:footnote>
  <w:footnote w:id="89">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Finch, V. </w:t>
      </w:r>
      <w:r w:rsidRPr="00A83994">
        <w:rPr>
          <w:rFonts w:ascii="Arial" w:hAnsi="Arial" w:cs="Arial"/>
          <w:i/>
        </w:rPr>
        <w:t>Pre-packaged administrations: bargains in the shadow of insolvency or shadowy bargains?</w:t>
      </w:r>
      <w:r w:rsidRPr="00A83994">
        <w:rPr>
          <w:rFonts w:ascii="Arial" w:hAnsi="Arial" w:cs="Arial"/>
        </w:rPr>
        <w:t xml:space="preserve">  (2006) JBL, (Sep). pp. 568-588.</w:t>
      </w:r>
    </w:p>
  </w:footnote>
  <w:footnote w:id="90">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On a compelling case for the inclusion of employees as preferential creditors see: Cantlie, S. </w:t>
      </w:r>
      <w:r w:rsidRPr="00A83994">
        <w:rPr>
          <w:rFonts w:ascii="Arial" w:hAnsi="Arial" w:cs="Arial"/>
          <w:i/>
        </w:rPr>
        <w:t>Preferred Priority in Bankruptcy</w:t>
      </w:r>
      <w:r w:rsidRPr="00A83994">
        <w:rPr>
          <w:rFonts w:ascii="Arial" w:hAnsi="Arial" w:cs="Arial"/>
        </w:rPr>
        <w:t xml:space="preserve">, in Ziegel, J (Ed). </w:t>
      </w:r>
      <w:r w:rsidRPr="00A83994">
        <w:rPr>
          <w:rFonts w:ascii="Arial" w:hAnsi="Arial" w:cs="Arial"/>
          <w:i/>
        </w:rPr>
        <w:t>Current Developments Current Developments in International and Comparative Corporate Insolvency Law</w:t>
      </w:r>
      <w:r w:rsidRPr="00A83994">
        <w:rPr>
          <w:rFonts w:ascii="Arial" w:hAnsi="Arial" w:cs="Arial"/>
        </w:rPr>
        <w:t>. OUP, Oxford, 1994, Chapter 17.</w:t>
      </w:r>
    </w:p>
  </w:footnote>
  <w:footnote w:id="91">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further: Tribe, J. </w:t>
      </w:r>
      <w:r w:rsidRPr="00A83994">
        <w:rPr>
          <w:rFonts w:ascii="Arial" w:hAnsi="Arial" w:cs="Arial"/>
          <w:i/>
        </w:rPr>
        <w:t>The morality of Romalpa clauses in corporate insolvency: a case for reform?</w:t>
      </w:r>
      <w:r w:rsidRPr="00A83994">
        <w:rPr>
          <w:rFonts w:ascii="Arial" w:hAnsi="Arial" w:cs="Arial"/>
        </w:rPr>
        <w:t xml:space="preserve"> (2001) IL&amp;P, 17(5), pp. 166-175. </w:t>
      </w:r>
    </w:p>
  </w:footnote>
  <w:footnote w:id="92">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On this are see further: McCormack, G. </w:t>
      </w:r>
      <w:r w:rsidRPr="00A83994">
        <w:rPr>
          <w:rFonts w:ascii="Arial" w:hAnsi="Arial" w:cs="Arial"/>
          <w:i/>
        </w:rPr>
        <w:t>Proprietary Claims and Insolvency</w:t>
      </w:r>
      <w:r w:rsidRPr="00A83994">
        <w:rPr>
          <w:rFonts w:ascii="Arial" w:hAnsi="Arial" w:cs="Arial"/>
        </w:rPr>
        <w:t>. Sweet &amp; Maxwell, London, 1997.</w:t>
      </w:r>
    </w:p>
  </w:footnote>
  <w:footnote w:id="93">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[1979] 3 WLR 672.</w:t>
      </w:r>
    </w:p>
  </w:footnote>
  <w:footnote w:id="94">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İbid.</w:t>
      </w:r>
    </w:p>
  </w:footnote>
  <w:footnote w:id="95">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Cork Report</w:t>
      </w:r>
      <w:r w:rsidRPr="00A83994">
        <w:rPr>
          <w:rFonts w:ascii="Arial" w:hAnsi="Arial" w:cs="Arial"/>
        </w:rPr>
        <w:t>.</w:t>
      </w:r>
      <w:r w:rsidRPr="00A83994">
        <w:rPr>
          <w:rFonts w:ascii="Arial" w:hAnsi="Arial" w:cs="Arial"/>
          <w:color w:val="FF0000"/>
        </w:rPr>
        <w:t xml:space="preserve"> </w:t>
      </w:r>
    </w:p>
  </w:footnote>
  <w:footnote w:id="96">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Milman Priority</w:t>
      </w:r>
      <w:r w:rsidRPr="00A83994">
        <w:rPr>
          <w:rFonts w:ascii="Arial" w:hAnsi="Arial" w:cs="Arial"/>
        </w:rPr>
        <w:t>.</w:t>
      </w:r>
    </w:p>
  </w:footnote>
  <w:footnote w:id="97">
    <w:p w:rsidR="00416B42" w:rsidRPr="00A83994" w:rsidRDefault="00416B42" w:rsidP="00151DE6">
      <w:pPr>
        <w:pStyle w:val="FootnoteText"/>
        <w:jc w:val="both"/>
        <w:rPr>
          <w:rFonts w:ascii="Arial" w:hAnsi="Arial" w:cs="Arial"/>
          <w:color w:val="FF0000"/>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See: Goode, R. </w:t>
      </w:r>
      <w:r w:rsidRPr="00A83994">
        <w:rPr>
          <w:rFonts w:ascii="Arial" w:hAnsi="Arial" w:cs="Arial"/>
          <w:i/>
          <w:color w:val="000000" w:themeColor="text1"/>
        </w:rPr>
        <w:t>Is the Law Too Favourable to Secured Creditors?</w:t>
      </w:r>
      <w:r w:rsidRPr="00A83994">
        <w:rPr>
          <w:rFonts w:ascii="Arial" w:hAnsi="Arial" w:cs="Arial"/>
          <w:color w:val="000000" w:themeColor="text1"/>
        </w:rPr>
        <w:t xml:space="preserve"> [1983] Canadian Business Law Journal, Vol. 8, Issue 1, pp. 53-80.</w:t>
      </w:r>
    </w:p>
  </w:footnote>
  <w:footnote w:id="98">
    <w:p w:rsidR="003C216F" w:rsidRPr="00A83994" w:rsidRDefault="003C216F" w:rsidP="00D05518">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For a discussion of the prescribed part’s usefulness see: Akintola, K. </w:t>
      </w:r>
      <w:r w:rsidRPr="00A83994">
        <w:rPr>
          <w:rFonts w:ascii="Arial" w:hAnsi="Arial" w:cs="Arial"/>
          <w:i/>
          <w:lang w:val="en-GB"/>
        </w:rPr>
        <w:t xml:space="preserve">The prescribed part for unsecured creditors: a pithy review </w:t>
      </w:r>
      <w:r w:rsidRPr="00A83994">
        <w:rPr>
          <w:rFonts w:ascii="Arial" w:hAnsi="Arial" w:cs="Arial"/>
          <w:lang w:val="en-GB"/>
        </w:rPr>
        <w:t xml:space="preserve">(2017) </w:t>
      </w:r>
      <w:proofErr w:type="spellStart"/>
      <w:r w:rsidRPr="00A83994">
        <w:rPr>
          <w:rFonts w:ascii="Arial" w:hAnsi="Arial" w:cs="Arial"/>
          <w:lang w:val="en-GB"/>
        </w:rPr>
        <w:t>Insolv</w:t>
      </w:r>
      <w:proofErr w:type="spellEnd"/>
      <w:r w:rsidRPr="00A83994">
        <w:rPr>
          <w:rFonts w:ascii="Arial" w:hAnsi="Arial" w:cs="Arial"/>
          <w:lang w:val="en-GB"/>
        </w:rPr>
        <w:t xml:space="preserve">. </w:t>
      </w:r>
      <w:proofErr w:type="spellStart"/>
      <w:r w:rsidRPr="00A83994">
        <w:rPr>
          <w:rFonts w:ascii="Arial" w:hAnsi="Arial" w:cs="Arial"/>
          <w:lang w:val="en-GB"/>
        </w:rPr>
        <w:t>Int</w:t>
      </w:r>
      <w:proofErr w:type="spellEnd"/>
      <w:r w:rsidRPr="00A83994">
        <w:rPr>
          <w:rFonts w:ascii="Arial" w:hAnsi="Arial" w:cs="Arial"/>
          <w:lang w:val="en-GB"/>
        </w:rPr>
        <w:t>, 30(4), 55-58.</w:t>
      </w:r>
      <w:r w:rsidR="00D05518" w:rsidRPr="00A83994">
        <w:rPr>
          <w:rFonts w:ascii="Arial" w:hAnsi="Arial" w:cs="Arial"/>
          <w:lang w:val="en-GB"/>
        </w:rPr>
        <w:t xml:space="preserve"> See also: </w:t>
      </w:r>
      <w:proofErr w:type="spellStart"/>
      <w:r w:rsidR="00D05518" w:rsidRPr="00A83994">
        <w:rPr>
          <w:rFonts w:ascii="Arial" w:hAnsi="Arial" w:cs="Arial"/>
          <w:lang w:val="en-GB"/>
        </w:rPr>
        <w:t>Keay</w:t>
      </w:r>
      <w:proofErr w:type="spellEnd"/>
      <w:r w:rsidR="00D05518" w:rsidRPr="00A83994">
        <w:rPr>
          <w:rFonts w:ascii="Arial" w:hAnsi="Arial" w:cs="Arial"/>
          <w:lang w:val="en-GB"/>
        </w:rPr>
        <w:t xml:space="preserve">, A. </w:t>
      </w:r>
      <w:r w:rsidR="00D05518" w:rsidRPr="00A83994">
        <w:rPr>
          <w:rFonts w:ascii="Arial" w:hAnsi="Arial" w:cs="Arial"/>
          <w:i/>
          <w:lang w:val="en-GB"/>
        </w:rPr>
        <w:t xml:space="preserve">The prescribed part: sharing around the company's funds </w:t>
      </w:r>
      <w:r w:rsidR="00D05518" w:rsidRPr="00A83994">
        <w:rPr>
          <w:rFonts w:ascii="Arial" w:hAnsi="Arial" w:cs="Arial"/>
          <w:lang w:val="en-GB"/>
        </w:rPr>
        <w:t xml:space="preserve">(2011) </w:t>
      </w:r>
      <w:proofErr w:type="spellStart"/>
      <w:r w:rsidR="00D05518" w:rsidRPr="00A83994">
        <w:rPr>
          <w:rFonts w:ascii="Arial" w:hAnsi="Arial" w:cs="Arial"/>
          <w:lang w:val="en-GB"/>
        </w:rPr>
        <w:t>Insolv</w:t>
      </w:r>
      <w:proofErr w:type="spellEnd"/>
      <w:r w:rsidR="00D05518" w:rsidRPr="00A83994">
        <w:rPr>
          <w:rFonts w:ascii="Arial" w:hAnsi="Arial" w:cs="Arial"/>
          <w:lang w:val="en-GB"/>
        </w:rPr>
        <w:t xml:space="preserve">. </w:t>
      </w:r>
      <w:proofErr w:type="spellStart"/>
      <w:r w:rsidR="00D05518" w:rsidRPr="00A83994">
        <w:rPr>
          <w:rFonts w:ascii="Arial" w:hAnsi="Arial" w:cs="Arial"/>
          <w:lang w:val="en-GB"/>
        </w:rPr>
        <w:t>Int</w:t>
      </w:r>
      <w:proofErr w:type="spellEnd"/>
      <w:r w:rsidR="00D05518" w:rsidRPr="00A83994">
        <w:rPr>
          <w:rFonts w:ascii="Arial" w:hAnsi="Arial" w:cs="Arial"/>
          <w:lang w:val="en-GB"/>
        </w:rPr>
        <w:t>, 24(6), 81-85.</w:t>
      </w:r>
    </w:p>
  </w:footnote>
  <w:footnote w:id="99">
    <w:p w:rsidR="00416B42" w:rsidRPr="00A83994" w:rsidRDefault="00416B42" w:rsidP="003C216F">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[2008] EWHC 2339 (</w:t>
      </w:r>
      <w:proofErr w:type="spellStart"/>
      <w:r w:rsidRPr="00A83994">
        <w:rPr>
          <w:rFonts w:ascii="Arial" w:hAnsi="Arial" w:cs="Arial"/>
        </w:rPr>
        <w:t>Ch</w:t>
      </w:r>
      <w:proofErr w:type="spellEnd"/>
      <w:r w:rsidRPr="00A83994">
        <w:rPr>
          <w:rFonts w:ascii="Arial" w:hAnsi="Arial" w:cs="Arial"/>
        </w:rPr>
        <w:t xml:space="preserve">), [2009] 2 </w:t>
      </w:r>
      <w:proofErr w:type="spellStart"/>
      <w:r w:rsidRPr="00A83994">
        <w:rPr>
          <w:rFonts w:ascii="Arial" w:hAnsi="Arial" w:cs="Arial"/>
        </w:rPr>
        <w:t>All</w:t>
      </w:r>
      <w:proofErr w:type="spellEnd"/>
      <w:r w:rsidRPr="00A83994">
        <w:rPr>
          <w:rFonts w:ascii="Arial" w:hAnsi="Arial" w:cs="Arial"/>
        </w:rPr>
        <w:t xml:space="preserve"> ER 402.</w:t>
      </w:r>
    </w:p>
  </w:footnote>
  <w:footnote w:id="100">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w:t>
      </w:r>
      <w:r w:rsidRPr="00A83994">
        <w:rPr>
          <w:rFonts w:ascii="Arial" w:hAnsi="Arial" w:cs="Arial"/>
          <w:i/>
        </w:rPr>
        <w:t>Finch Perspectives</w:t>
      </w:r>
      <w:r w:rsidRPr="00A83994">
        <w:rPr>
          <w:rFonts w:ascii="Arial" w:hAnsi="Arial" w:cs="Arial"/>
        </w:rPr>
        <w:t>.</w:t>
      </w:r>
    </w:p>
  </w:footnote>
  <w:footnote w:id="101">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Getzler, J &amp; Payne, J (Eds). </w:t>
      </w:r>
      <w:r w:rsidRPr="00A83994">
        <w:rPr>
          <w:rFonts w:ascii="Arial" w:hAnsi="Arial" w:cs="Arial"/>
          <w:i/>
        </w:rPr>
        <w:t>Company Charges: Spectrum and Beyond</w:t>
      </w:r>
      <w:r w:rsidRPr="00A83994">
        <w:rPr>
          <w:rFonts w:ascii="Arial" w:hAnsi="Arial" w:cs="Arial"/>
        </w:rPr>
        <w:t>. OUP, Oxford, 2006.</w:t>
      </w:r>
    </w:p>
  </w:footnote>
  <w:footnote w:id="102">
    <w:p w:rsidR="00416B42" w:rsidRPr="00A83994" w:rsidRDefault="00416B42">
      <w:pPr>
        <w:pStyle w:val="FootnoteText"/>
        <w:rPr>
          <w:rFonts w:ascii="Arial" w:hAnsi="Arial" w:cs="Arial"/>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further: </w:t>
      </w:r>
      <w:r w:rsidRPr="00A83994">
        <w:rPr>
          <w:rFonts w:ascii="Arial" w:hAnsi="Arial" w:cs="Arial"/>
          <w:i/>
          <w:color w:val="000000" w:themeColor="text1"/>
          <w:lang w:val="en-GB"/>
        </w:rPr>
        <w:t>Protecting your Assets in Insolvency – Consultation Document.</w:t>
      </w:r>
      <w:r w:rsidRPr="00A83994">
        <w:rPr>
          <w:rFonts w:ascii="Arial" w:hAnsi="Arial" w:cs="Arial"/>
          <w:color w:val="000000" w:themeColor="text1"/>
          <w:lang w:val="en-GB"/>
        </w:rPr>
        <w:t xml:space="preserve"> HMRC, London, 2019.</w:t>
      </w:r>
    </w:p>
  </w:footnote>
  <w:footnote w:id="103">
    <w:p w:rsidR="00416B42" w:rsidRPr="00A83994" w:rsidRDefault="00416B42" w:rsidP="00DC1D83">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For a discussion of this development see: Akintola, K. </w:t>
      </w:r>
      <w:r w:rsidRPr="00A83994">
        <w:rPr>
          <w:rFonts w:ascii="Arial" w:hAnsi="Arial" w:cs="Arial"/>
          <w:i/>
          <w:lang w:val="en-GB"/>
        </w:rPr>
        <w:t xml:space="preserve">The prescribed part for unsecured creditors: a further review </w:t>
      </w:r>
      <w:r w:rsidRPr="00A83994">
        <w:rPr>
          <w:rFonts w:ascii="Arial" w:hAnsi="Arial" w:cs="Arial"/>
          <w:lang w:val="en-GB"/>
        </w:rPr>
        <w:t>(2019) Insolv. Int, 32(2), 67-70.</w:t>
      </w:r>
    </w:p>
  </w:footnote>
  <w:footnote w:id="104">
    <w:p w:rsidR="00416B42" w:rsidRPr="00A83994" w:rsidRDefault="00416B42" w:rsidP="00D56CE8">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IS Consultation,</w:t>
      </w:r>
      <w:r w:rsidRPr="00A83994">
        <w:rPr>
          <w:rFonts w:ascii="Arial" w:hAnsi="Arial" w:cs="Arial"/>
        </w:rPr>
        <w:t xml:space="preserve"> para.2.20.</w:t>
      </w:r>
    </w:p>
  </w:footnote>
  <w:footnote w:id="105">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IS Consultation</w:t>
      </w:r>
      <w:r w:rsidRPr="00A83994">
        <w:rPr>
          <w:rFonts w:ascii="Arial" w:hAnsi="Arial" w:cs="Arial"/>
        </w:rPr>
        <w:t>, para.2.22.</w:t>
      </w:r>
    </w:p>
  </w:footnote>
  <w:footnote w:id="106">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ibid.</w:t>
      </w:r>
    </w:p>
  </w:footnote>
  <w:footnote w:id="107">
    <w:p w:rsidR="00416B42" w:rsidRPr="00A83994" w:rsidRDefault="00416B42" w:rsidP="00401BE0">
      <w:pPr>
        <w:jc w:val="both"/>
        <w:rPr>
          <w:rFonts w:ascii="Arial" w:hAnsi="Arial" w:cs="Arial"/>
          <w:sz w:val="20"/>
          <w:szCs w:val="20"/>
        </w:rPr>
      </w:pPr>
      <w:r w:rsidRPr="00A83994">
        <w:rPr>
          <w:rStyle w:val="FootnoteReference"/>
          <w:rFonts w:ascii="Arial" w:hAnsi="Arial" w:cs="Arial"/>
          <w:sz w:val="20"/>
          <w:szCs w:val="20"/>
        </w:rPr>
        <w:footnoteRef/>
      </w:r>
      <w:r w:rsidRPr="00A83994">
        <w:rPr>
          <w:rFonts w:ascii="Arial" w:hAnsi="Arial" w:cs="Arial"/>
          <w:sz w:val="20"/>
          <w:szCs w:val="20"/>
        </w:rPr>
        <w:t xml:space="preserve"> [2007] EWHC 2875 (Ch), [2008] 2 All ER 622.</w:t>
      </w:r>
    </w:p>
  </w:footnote>
  <w:footnote w:id="108">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ibid</w:t>
      </w:r>
      <w:r w:rsidRPr="00A83994">
        <w:rPr>
          <w:rFonts w:ascii="Arial" w:hAnsi="Arial" w:cs="Arial"/>
        </w:rPr>
        <w:t>, para.3.</w:t>
      </w:r>
    </w:p>
  </w:footnote>
  <w:footnote w:id="109">
    <w:p w:rsidR="00416B42" w:rsidRPr="00A83994" w:rsidRDefault="00416B42" w:rsidP="00401BE0">
      <w:pPr>
        <w:jc w:val="both"/>
        <w:rPr>
          <w:rFonts w:ascii="Arial" w:hAnsi="Arial" w:cs="Arial"/>
          <w:sz w:val="20"/>
          <w:szCs w:val="20"/>
        </w:rPr>
      </w:pPr>
      <w:r w:rsidRPr="00A83994">
        <w:rPr>
          <w:rStyle w:val="FootnoteReference"/>
          <w:rFonts w:ascii="Arial" w:hAnsi="Arial" w:cs="Arial"/>
          <w:sz w:val="20"/>
          <w:szCs w:val="20"/>
        </w:rPr>
        <w:footnoteRef/>
      </w:r>
      <w:r w:rsidRPr="00A83994">
        <w:rPr>
          <w:rFonts w:ascii="Arial" w:hAnsi="Arial" w:cs="Arial"/>
          <w:sz w:val="20"/>
          <w:szCs w:val="20"/>
        </w:rPr>
        <w:t xml:space="preserve"> [2005] EWHC 160 (Ch), [2005] 2 All ER 737.</w:t>
      </w:r>
    </w:p>
  </w:footnote>
  <w:footnote w:id="110">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 xml:space="preserve">ibid, </w:t>
      </w:r>
      <w:r w:rsidRPr="00A83994">
        <w:rPr>
          <w:rFonts w:ascii="Arial" w:hAnsi="Arial" w:cs="Arial"/>
        </w:rPr>
        <w:t>para 10.</w:t>
      </w:r>
    </w:p>
  </w:footnote>
  <w:footnote w:id="111">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[2006] EWHC 833 (Ch), [2007] 1 All ER 982.</w:t>
      </w:r>
    </w:p>
  </w:footnote>
  <w:footnote w:id="112">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ibid</w:t>
      </w:r>
      <w:r w:rsidRPr="00A83994">
        <w:rPr>
          <w:rFonts w:ascii="Arial" w:hAnsi="Arial" w:cs="Arial"/>
        </w:rPr>
        <w:t>, para.24.</w:t>
      </w:r>
    </w:p>
  </w:footnote>
  <w:footnote w:id="113">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A similar point was made in </w:t>
      </w:r>
      <w:r w:rsidRPr="00A83994">
        <w:rPr>
          <w:rFonts w:ascii="Arial" w:hAnsi="Arial" w:cs="Arial"/>
          <w:i/>
        </w:rPr>
        <w:t>Re C L Nye Ltd</w:t>
      </w:r>
      <w:r w:rsidRPr="00A83994">
        <w:rPr>
          <w:rFonts w:ascii="Arial" w:hAnsi="Arial" w:cs="Arial"/>
        </w:rPr>
        <w:t xml:space="preserve"> [1970] 3 All ER 1061 where Harman, LJ referred to this species of creditor as “a mere unsecured creditor.”</w:t>
      </w:r>
    </w:p>
  </w:footnote>
  <w:footnote w:id="114">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[2004] EWHC 720 (Ch), [2004] 3 All ER 679.</w:t>
      </w:r>
    </w:p>
  </w:footnote>
  <w:footnote w:id="115">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ibid</w:t>
      </w:r>
      <w:r w:rsidRPr="00A83994">
        <w:rPr>
          <w:rFonts w:ascii="Arial" w:hAnsi="Arial" w:cs="Arial"/>
        </w:rPr>
        <w:t>, para.5.</w:t>
      </w:r>
    </w:p>
  </w:footnote>
  <w:footnote w:id="116">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ibid.</w:t>
      </w:r>
    </w:p>
  </w:footnote>
  <w:footnote w:id="117">
    <w:p w:rsidR="00416B42" w:rsidRPr="00A83994" w:rsidRDefault="00416B42" w:rsidP="00401BE0">
      <w:pPr>
        <w:jc w:val="both"/>
        <w:rPr>
          <w:rFonts w:ascii="Arial" w:hAnsi="Arial" w:cs="Arial"/>
          <w:sz w:val="20"/>
          <w:szCs w:val="20"/>
        </w:rPr>
      </w:pPr>
      <w:r w:rsidRPr="00A83994">
        <w:rPr>
          <w:rStyle w:val="FootnoteReference"/>
          <w:rFonts w:ascii="Arial" w:hAnsi="Arial" w:cs="Arial"/>
          <w:sz w:val="20"/>
          <w:szCs w:val="20"/>
        </w:rPr>
        <w:footnoteRef/>
      </w:r>
      <w:r w:rsidRPr="00A83994">
        <w:rPr>
          <w:rFonts w:ascii="Arial" w:hAnsi="Arial" w:cs="Arial"/>
          <w:sz w:val="20"/>
          <w:szCs w:val="20"/>
        </w:rPr>
        <w:t xml:space="preserve"> [2005] EWHC 2400 (Ch), [2006] 1 All ER 357.</w:t>
      </w:r>
    </w:p>
  </w:footnote>
  <w:footnote w:id="118">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[1969] 1 All ER 441.</w:t>
      </w:r>
    </w:p>
  </w:footnote>
  <w:footnote w:id="119">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For an example of proactive unsecured creditor behaviour see the Privy Council case: </w:t>
      </w:r>
      <w:r w:rsidRPr="00A83994">
        <w:rPr>
          <w:rFonts w:ascii="Arial" w:hAnsi="Arial" w:cs="Arial"/>
          <w:i/>
        </w:rPr>
        <w:t>Cambridge Gas Transport Corp v Official Committee of Unsecured Creditors of Navigator Holdings plc and others</w:t>
      </w:r>
      <w:r w:rsidRPr="00A83994">
        <w:rPr>
          <w:rFonts w:ascii="Arial" w:hAnsi="Arial" w:cs="Arial"/>
        </w:rPr>
        <w:t xml:space="preserve"> [2006] UKPC 26, [2006] 3 All ER 829.</w:t>
      </w:r>
    </w:p>
  </w:footnote>
  <w:footnote w:id="120">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Cork Report</w:t>
      </w:r>
      <w:r w:rsidRPr="00A83994">
        <w:rPr>
          <w:rFonts w:ascii="Arial" w:hAnsi="Arial" w:cs="Arial"/>
        </w:rPr>
        <w:t>, para.914.</w:t>
      </w:r>
    </w:p>
  </w:footnote>
  <w:footnote w:id="121">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Cork Report</w:t>
      </w:r>
      <w:r w:rsidRPr="00A83994">
        <w:rPr>
          <w:rFonts w:ascii="Arial" w:hAnsi="Arial" w:cs="Arial"/>
        </w:rPr>
        <w:t>, para.917.</w:t>
      </w:r>
    </w:p>
  </w:footnote>
  <w:footnote w:id="122">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Cork Report</w:t>
      </w:r>
      <w:r w:rsidRPr="00A83994">
        <w:rPr>
          <w:rFonts w:ascii="Arial" w:hAnsi="Arial" w:cs="Arial"/>
        </w:rPr>
        <w:t>, para.916.</w:t>
      </w:r>
    </w:p>
  </w:footnote>
  <w:footnote w:id="123">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Cork Report,</w:t>
      </w:r>
      <w:r w:rsidRPr="00A83994">
        <w:rPr>
          <w:rFonts w:ascii="Arial" w:hAnsi="Arial" w:cs="Arial"/>
        </w:rPr>
        <w:t xml:space="preserve"> para.914.</w:t>
      </w:r>
    </w:p>
  </w:footnote>
  <w:footnote w:id="124">
    <w:p w:rsidR="002B795D" w:rsidRPr="00A83994" w:rsidRDefault="002B795D" w:rsidP="002B795D">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proofErr w:type="spellStart"/>
      <w:r w:rsidRPr="00A83994">
        <w:rPr>
          <w:rFonts w:ascii="Arial" w:hAnsi="Arial" w:cs="Arial"/>
        </w:rPr>
        <w:t>Berle</w:t>
      </w:r>
      <w:proofErr w:type="spellEnd"/>
      <w:r w:rsidRPr="00A83994">
        <w:rPr>
          <w:rFonts w:ascii="Arial" w:hAnsi="Arial" w:cs="Arial"/>
        </w:rPr>
        <w:t xml:space="preserve">, A &amp; </w:t>
      </w:r>
      <w:proofErr w:type="spellStart"/>
      <w:r w:rsidRPr="00A83994">
        <w:rPr>
          <w:rFonts w:ascii="Arial" w:hAnsi="Arial" w:cs="Arial"/>
        </w:rPr>
        <w:t>Means</w:t>
      </w:r>
      <w:proofErr w:type="spellEnd"/>
      <w:r w:rsidRPr="00A83994">
        <w:rPr>
          <w:rFonts w:ascii="Arial" w:hAnsi="Arial" w:cs="Arial"/>
        </w:rPr>
        <w:t xml:space="preserve">, G. </w:t>
      </w:r>
      <w:proofErr w:type="spellStart"/>
      <w:r w:rsidRPr="00A83994">
        <w:rPr>
          <w:rFonts w:ascii="Arial" w:hAnsi="Arial" w:cs="Arial"/>
          <w:i/>
        </w:rPr>
        <w:t>The</w:t>
      </w:r>
      <w:proofErr w:type="spellEnd"/>
      <w:r w:rsidRPr="00A83994">
        <w:rPr>
          <w:rFonts w:ascii="Arial" w:hAnsi="Arial" w:cs="Arial"/>
          <w:i/>
        </w:rPr>
        <w:t xml:space="preserve"> Modern Corporation </w:t>
      </w:r>
      <w:proofErr w:type="spellStart"/>
      <w:r w:rsidRPr="00A83994">
        <w:rPr>
          <w:rFonts w:ascii="Arial" w:hAnsi="Arial" w:cs="Arial"/>
          <w:i/>
        </w:rPr>
        <w:t>and</w:t>
      </w:r>
      <w:proofErr w:type="spellEnd"/>
      <w:r w:rsidRPr="00A83994">
        <w:rPr>
          <w:rFonts w:ascii="Arial" w:hAnsi="Arial" w:cs="Arial"/>
          <w:i/>
        </w:rPr>
        <w:t xml:space="preserve"> </w:t>
      </w:r>
      <w:proofErr w:type="spellStart"/>
      <w:r w:rsidRPr="00A83994">
        <w:rPr>
          <w:rFonts w:ascii="Arial" w:hAnsi="Arial" w:cs="Arial"/>
          <w:i/>
        </w:rPr>
        <w:t>Private</w:t>
      </w:r>
      <w:proofErr w:type="spellEnd"/>
      <w:r w:rsidRPr="00A83994">
        <w:rPr>
          <w:rFonts w:ascii="Arial" w:hAnsi="Arial" w:cs="Arial"/>
          <w:i/>
        </w:rPr>
        <w:t xml:space="preserve"> </w:t>
      </w:r>
      <w:proofErr w:type="spellStart"/>
      <w:r w:rsidRPr="00A83994">
        <w:rPr>
          <w:rFonts w:ascii="Arial" w:hAnsi="Arial" w:cs="Arial"/>
          <w:i/>
        </w:rPr>
        <w:t>Property</w:t>
      </w:r>
      <w:proofErr w:type="spellEnd"/>
      <w:r w:rsidRPr="00A83994">
        <w:rPr>
          <w:rFonts w:ascii="Arial" w:hAnsi="Arial" w:cs="Arial"/>
        </w:rPr>
        <w:t xml:space="preserve">. </w:t>
      </w:r>
      <w:proofErr w:type="spellStart"/>
      <w:r w:rsidRPr="00A83994">
        <w:rPr>
          <w:rFonts w:ascii="Arial" w:hAnsi="Arial" w:cs="Arial"/>
        </w:rPr>
        <w:t>Revised</w:t>
      </w:r>
      <w:proofErr w:type="spellEnd"/>
      <w:r w:rsidRPr="00A83994">
        <w:rPr>
          <w:rFonts w:ascii="Arial" w:hAnsi="Arial" w:cs="Arial"/>
        </w:rPr>
        <w:t xml:space="preserve"> Edition. </w:t>
      </w:r>
      <w:proofErr w:type="spellStart"/>
      <w:r w:rsidRPr="00A83994">
        <w:rPr>
          <w:rFonts w:ascii="Arial" w:hAnsi="Arial" w:cs="Arial"/>
        </w:rPr>
        <w:t>Harcourt</w:t>
      </w:r>
      <w:proofErr w:type="spellEnd"/>
      <w:r w:rsidRPr="00A83994">
        <w:rPr>
          <w:rFonts w:ascii="Arial" w:hAnsi="Arial" w:cs="Arial"/>
        </w:rPr>
        <w:t xml:space="preserve">, New York. 1968. </w:t>
      </w:r>
      <w:proofErr w:type="spellStart"/>
      <w:r w:rsidRPr="00A83994">
        <w:rPr>
          <w:rFonts w:ascii="Arial" w:hAnsi="Arial" w:cs="Arial"/>
        </w:rPr>
        <w:t>For</w:t>
      </w:r>
      <w:proofErr w:type="spellEnd"/>
      <w:r w:rsidRPr="00A83994">
        <w:rPr>
          <w:rFonts w:ascii="Arial" w:hAnsi="Arial" w:cs="Arial"/>
        </w:rPr>
        <w:t xml:space="preserve"> a </w:t>
      </w:r>
      <w:proofErr w:type="spellStart"/>
      <w:r w:rsidRPr="00A83994">
        <w:rPr>
          <w:rFonts w:ascii="Arial" w:hAnsi="Arial" w:cs="Arial"/>
        </w:rPr>
        <w:t>critique</w:t>
      </w:r>
      <w:proofErr w:type="spellEnd"/>
      <w:r w:rsidRPr="00A83994">
        <w:rPr>
          <w:rFonts w:ascii="Arial" w:hAnsi="Arial" w:cs="Arial"/>
        </w:rPr>
        <w:t xml:space="preserve"> of </w:t>
      </w:r>
      <w:proofErr w:type="spellStart"/>
      <w:r w:rsidRPr="00A83994">
        <w:rPr>
          <w:rFonts w:ascii="Arial" w:hAnsi="Arial" w:cs="Arial"/>
        </w:rPr>
        <w:t>their</w:t>
      </w:r>
      <w:proofErr w:type="spellEnd"/>
      <w:r w:rsidRPr="00A83994">
        <w:rPr>
          <w:rFonts w:ascii="Arial" w:hAnsi="Arial" w:cs="Arial"/>
        </w:rPr>
        <w:t xml:space="preserve"> </w:t>
      </w:r>
      <w:proofErr w:type="spellStart"/>
      <w:r w:rsidRPr="00A83994">
        <w:rPr>
          <w:rFonts w:ascii="Arial" w:hAnsi="Arial" w:cs="Arial"/>
        </w:rPr>
        <w:t>work</w:t>
      </w:r>
      <w:proofErr w:type="spellEnd"/>
      <w:r w:rsidRPr="00A83994">
        <w:rPr>
          <w:rFonts w:ascii="Arial" w:hAnsi="Arial" w:cs="Arial"/>
        </w:rPr>
        <w:t xml:space="preserve"> </w:t>
      </w:r>
      <w:proofErr w:type="spellStart"/>
      <w:r w:rsidRPr="00A83994">
        <w:rPr>
          <w:rFonts w:ascii="Arial" w:hAnsi="Arial" w:cs="Arial"/>
        </w:rPr>
        <w:t>see</w:t>
      </w:r>
      <w:proofErr w:type="spellEnd"/>
      <w:r w:rsidRPr="00A83994">
        <w:rPr>
          <w:rFonts w:ascii="Arial" w:hAnsi="Arial" w:cs="Arial"/>
        </w:rPr>
        <w:t xml:space="preserve">: </w:t>
      </w:r>
      <w:proofErr w:type="spellStart"/>
      <w:r w:rsidRPr="00A83994">
        <w:rPr>
          <w:rFonts w:ascii="Arial" w:hAnsi="Arial" w:cs="Arial"/>
        </w:rPr>
        <w:t>Herman</w:t>
      </w:r>
      <w:proofErr w:type="spellEnd"/>
      <w:r w:rsidRPr="00A83994">
        <w:rPr>
          <w:rFonts w:ascii="Arial" w:hAnsi="Arial" w:cs="Arial"/>
        </w:rPr>
        <w:t xml:space="preserve">. </w:t>
      </w:r>
      <w:proofErr w:type="spellStart"/>
      <w:r w:rsidRPr="00A83994">
        <w:rPr>
          <w:rFonts w:ascii="Arial" w:hAnsi="Arial" w:cs="Arial"/>
          <w:i/>
        </w:rPr>
        <w:t>Corporate</w:t>
      </w:r>
      <w:proofErr w:type="spellEnd"/>
      <w:r w:rsidRPr="00A83994">
        <w:rPr>
          <w:rFonts w:ascii="Arial" w:hAnsi="Arial" w:cs="Arial"/>
          <w:i/>
        </w:rPr>
        <w:t xml:space="preserve"> Control, </w:t>
      </w:r>
      <w:proofErr w:type="spellStart"/>
      <w:r w:rsidRPr="00A83994">
        <w:rPr>
          <w:rFonts w:ascii="Arial" w:hAnsi="Arial" w:cs="Arial"/>
          <w:i/>
        </w:rPr>
        <w:t>Corporate</w:t>
      </w:r>
      <w:proofErr w:type="spellEnd"/>
      <w:r w:rsidRPr="00A83994">
        <w:rPr>
          <w:rFonts w:ascii="Arial" w:hAnsi="Arial" w:cs="Arial"/>
          <w:i/>
        </w:rPr>
        <w:t xml:space="preserve"> </w:t>
      </w:r>
      <w:proofErr w:type="spellStart"/>
      <w:r w:rsidRPr="00A83994">
        <w:rPr>
          <w:rFonts w:ascii="Arial" w:hAnsi="Arial" w:cs="Arial"/>
          <w:i/>
        </w:rPr>
        <w:t>Power</w:t>
      </w:r>
      <w:proofErr w:type="spellEnd"/>
      <w:r w:rsidRPr="00A83994">
        <w:rPr>
          <w:rFonts w:ascii="Arial" w:hAnsi="Arial" w:cs="Arial"/>
        </w:rPr>
        <w:t xml:space="preserve">. Cambridge </w:t>
      </w:r>
      <w:proofErr w:type="spellStart"/>
      <w:r w:rsidRPr="00A83994">
        <w:rPr>
          <w:rFonts w:ascii="Arial" w:hAnsi="Arial" w:cs="Arial"/>
        </w:rPr>
        <w:t>University</w:t>
      </w:r>
      <w:proofErr w:type="spellEnd"/>
      <w:r w:rsidRPr="00A83994">
        <w:rPr>
          <w:rFonts w:ascii="Arial" w:hAnsi="Arial" w:cs="Arial"/>
        </w:rPr>
        <w:t xml:space="preserve"> </w:t>
      </w:r>
      <w:proofErr w:type="spellStart"/>
      <w:r w:rsidRPr="00A83994">
        <w:rPr>
          <w:rFonts w:ascii="Arial" w:hAnsi="Arial" w:cs="Arial"/>
        </w:rPr>
        <w:t>Press</w:t>
      </w:r>
      <w:proofErr w:type="spellEnd"/>
      <w:r w:rsidRPr="00A83994">
        <w:rPr>
          <w:rFonts w:ascii="Arial" w:hAnsi="Arial" w:cs="Arial"/>
        </w:rPr>
        <w:t xml:space="preserve">, Cambridge. 1981. </w:t>
      </w:r>
      <w:proofErr w:type="spellStart"/>
      <w:r w:rsidRPr="00A83994">
        <w:rPr>
          <w:rFonts w:ascii="Arial" w:hAnsi="Arial" w:cs="Arial"/>
        </w:rPr>
        <w:t>Hereafter</w:t>
      </w:r>
      <w:proofErr w:type="spellEnd"/>
      <w:r w:rsidRPr="00A83994">
        <w:rPr>
          <w:rFonts w:ascii="Arial" w:hAnsi="Arial" w:cs="Arial"/>
        </w:rPr>
        <w:t xml:space="preserve"> </w:t>
      </w:r>
      <w:proofErr w:type="spellStart"/>
      <w:r w:rsidRPr="00A83994">
        <w:rPr>
          <w:rFonts w:ascii="Arial" w:hAnsi="Arial" w:cs="Arial"/>
          <w:i/>
        </w:rPr>
        <w:t>Berle</w:t>
      </w:r>
      <w:proofErr w:type="spellEnd"/>
      <w:r w:rsidRPr="00A83994">
        <w:rPr>
          <w:rFonts w:ascii="Arial" w:hAnsi="Arial" w:cs="Arial"/>
          <w:i/>
        </w:rPr>
        <w:t xml:space="preserve"> &amp; </w:t>
      </w:r>
      <w:proofErr w:type="spellStart"/>
      <w:r w:rsidRPr="00A83994">
        <w:rPr>
          <w:rFonts w:ascii="Arial" w:hAnsi="Arial" w:cs="Arial"/>
          <w:i/>
        </w:rPr>
        <w:t>Means</w:t>
      </w:r>
      <w:proofErr w:type="spellEnd"/>
      <w:r w:rsidRPr="00A83994">
        <w:rPr>
          <w:rFonts w:ascii="Arial" w:hAnsi="Arial" w:cs="Arial"/>
        </w:rPr>
        <w:t>.</w:t>
      </w:r>
    </w:p>
  </w:footnote>
  <w:footnote w:id="125">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proofErr w:type="spellStart"/>
      <w:r w:rsidRPr="00A83994">
        <w:rPr>
          <w:rFonts w:ascii="Arial" w:hAnsi="Arial" w:cs="Arial"/>
        </w:rPr>
        <w:t>Pettet</w:t>
      </w:r>
      <w:proofErr w:type="spellEnd"/>
      <w:r w:rsidRPr="00A83994">
        <w:rPr>
          <w:rFonts w:ascii="Arial" w:hAnsi="Arial" w:cs="Arial"/>
        </w:rPr>
        <w:t xml:space="preserve">, B. </w:t>
      </w:r>
      <w:r w:rsidRPr="00A83994">
        <w:rPr>
          <w:rFonts w:ascii="Arial" w:hAnsi="Arial" w:cs="Arial"/>
          <w:i/>
        </w:rPr>
        <w:t>Company Law</w:t>
      </w:r>
      <w:r w:rsidRPr="00A83994">
        <w:rPr>
          <w:rFonts w:ascii="Arial" w:hAnsi="Arial" w:cs="Arial"/>
        </w:rPr>
        <w:t>. 2nd Edition. Longman, London. 2004.</w:t>
      </w:r>
    </w:p>
  </w:footnote>
  <w:footnote w:id="126">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proofErr w:type="spellStart"/>
      <w:r w:rsidR="002B795D" w:rsidRPr="00A83994">
        <w:rPr>
          <w:rFonts w:ascii="Arial" w:hAnsi="Arial" w:cs="Arial"/>
          <w:i/>
        </w:rPr>
        <w:t>Berle</w:t>
      </w:r>
      <w:proofErr w:type="spellEnd"/>
      <w:r w:rsidR="002B795D" w:rsidRPr="00A83994">
        <w:rPr>
          <w:rFonts w:ascii="Arial" w:hAnsi="Arial" w:cs="Arial"/>
          <w:i/>
        </w:rPr>
        <w:t xml:space="preserve"> &amp; </w:t>
      </w:r>
      <w:proofErr w:type="spellStart"/>
      <w:r w:rsidR="002B795D" w:rsidRPr="00A83994">
        <w:rPr>
          <w:rFonts w:ascii="Arial" w:hAnsi="Arial" w:cs="Arial"/>
          <w:i/>
        </w:rPr>
        <w:t>Means</w:t>
      </w:r>
      <w:proofErr w:type="spellEnd"/>
      <w:r w:rsidR="002B795D" w:rsidRPr="00A83994">
        <w:rPr>
          <w:rFonts w:ascii="Arial" w:hAnsi="Arial" w:cs="Arial"/>
          <w:i/>
        </w:rPr>
        <w:t>.</w:t>
      </w:r>
    </w:p>
  </w:footnote>
  <w:footnote w:id="127">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US"/>
        </w:rPr>
        <w:t>Cork Report</w:t>
      </w:r>
      <w:r w:rsidRPr="00A83994">
        <w:rPr>
          <w:rFonts w:ascii="Arial" w:hAnsi="Arial" w:cs="Arial"/>
          <w:lang w:val="en-US"/>
        </w:rPr>
        <w:t>, para.918.</w:t>
      </w:r>
    </w:p>
  </w:footnote>
  <w:footnote w:id="128">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Cork Report</w:t>
      </w:r>
      <w:r w:rsidRPr="00A83994">
        <w:rPr>
          <w:rFonts w:ascii="Arial" w:hAnsi="Arial" w:cs="Arial"/>
        </w:rPr>
        <w:t>, para.913.</w:t>
      </w:r>
    </w:p>
  </w:footnote>
  <w:footnote w:id="129">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w:t>
      </w:r>
      <w:r w:rsidRPr="00A83994">
        <w:rPr>
          <w:rFonts w:ascii="Arial" w:hAnsi="Arial" w:cs="Arial"/>
          <w:i/>
        </w:rPr>
        <w:t>Tribe Orthodoxy.</w:t>
      </w:r>
      <w:r w:rsidRPr="00A83994">
        <w:rPr>
          <w:rFonts w:ascii="Arial" w:hAnsi="Arial" w:cs="Arial"/>
        </w:rPr>
        <w:t xml:space="preserve"> </w:t>
      </w:r>
    </w:p>
  </w:footnote>
  <w:footnote w:id="130">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For two opposing views see: Warren, E. </w:t>
      </w:r>
      <w:r w:rsidRPr="00A83994">
        <w:rPr>
          <w:rFonts w:ascii="Arial" w:hAnsi="Arial" w:cs="Arial"/>
          <w:i/>
        </w:rPr>
        <w:t>Bankruptcy Policy</w:t>
      </w:r>
      <w:r w:rsidRPr="00A83994">
        <w:rPr>
          <w:rFonts w:ascii="Arial" w:hAnsi="Arial" w:cs="Arial"/>
        </w:rPr>
        <w:t xml:space="preserve"> (1987) 54 Univ.Chicago L Rev. 775 and; Barid, D. </w:t>
      </w:r>
      <w:r w:rsidRPr="00A83994">
        <w:rPr>
          <w:rFonts w:ascii="Arial" w:hAnsi="Arial" w:cs="Arial"/>
          <w:i/>
        </w:rPr>
        <w:t>Loss Distribution, Forum Shopping and Bankruptcy: A Reply to Warren</w:t>
      </w:r>
      <w:r w:rsidRPr="00A83994">
        <w:rPr>
          <w:rFonts w:ascii="Arial" w:hAnsi="Arial" w:cs="Arial"/>
        </w:rPr>
        <w:t xml:space="preserve"> (1987) 54 Univ.Chicago L Rev. 815. For a more recent and novel approach see: Mokal, RJ. </w:t>
      </w:r>
      <w:r w:rsidRPr="00A83994">
        <w:rPr>
          <w:rFonts w:ascii="Arial" w:hAnsi="Arial" w:cs="Arial"/>
          <w:i/>
        </w:rPr>
        <w:t>Corporate Insolvency Law – Theory and Application.</w:t>
      </w:r>
      <w:r w:rsidRPr="00A83994">
        <w:rPr>
          <w:rFonts w:ascii="Arial" w:hAnsi="Arial" w:cs="Arial"/>
        </w:rPr>
        <w:t xml:space="preserve"> Oxford: OUP, 2005.</w:t>
      </w:r>
    </w:p>
  </w:footnote>
  <w:footnote w:id="131">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further: </w:t>
      </w:r>
      <w:r w:rsidRPr="00A83994">
        <w:rPr>
          <w:rFonts w:ascii="Arial" w:hAnsi="Arial" w:cs="Arial"/>
          <w:i/>
        </w:rPr>
        <w:t>Buchler v Talbot</w:t>
      </w:r>
      <w:r w:rsidRPr="00A83994">
        <w:rPr>
          <w:rFonts w:ascii="Arial" w:hAnsi="Arial" w:cs="Arial"/>
        </w:rPr>
        <w:t xml:space="preserve"> [2004] UKHL 9; [2004] 2 A.C. 298 and the subsequent amendment to the IA86 reversing the affect of this judgment: s.176ZA IA86.</w:t>
      </w:r>
    </w:p>
  </w:footnote>
  <w:footnote w:id="132">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further: </w:t>
      </w:r>
      <w:hyperlink r:id="rId5" w:history="1">
        <w:r w:rsidRPr="00A83994">
          <w:rPr>
            <w:rStyle w:val="Hyperlink"/>
            <w:rFonts w:ascii="Arial" w:hAnsi="Arial" w:cs="Arial"/>
          </w:rPr>
          <w:t>http://bankruptcyandinsolvency.blogspot.com/2009/10/insolvency-services-one-day-insolvency.html</w:t>
        </w:r>
      </w:hyperlink>
      <w:r w:rsidRPr="00A83994">
        <w:rPr>
          <w:rFonts w:ascii="Arial" w:hAnsi="Arial" w:cs="Arial"/>
        </w:rPr>
        <w:t xml:space="preserve"> </w:t>
      </w:r>
    </w:p>
  </w:footnote>
  <w:footnote w:id="133">
    <w:p w:rsidR="00416B42" w:rsidRPr="00A83994" w:rsidRDefault="00416B42" w:rsidP="000E11B5">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Milman Priority</w:t>
      </w:r>
      <w:r w:rsidRPr="00A83994">
        <w:rPr>
          <w:rFonts w:ascii="Arial" w:hAnsi="Arial" w:cs="Arial"/>
        </w:rPr>
        <w:t>.</w:t>
      </w:r>
    </w:p>
  </w:footnote>
  <w:footnote w:id="134">
    <w:p w:rsidR="00416B42" w:rsidRPr="00A83994" w:rsidRDefault="00416B42" w:rsidP="000E11B5">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On these alternatives to </w:t>
      </w:r>
      <w:r w:rsidRPr="00A83994">
        <w:rPr>
          <w:rFonts w:ascii="Arial" w:hAnsi="Arial" w:cs="Arial"/>
          <w:i/>
        </w:rPr>
        <w:t>pari passu</w:t>
      </w:r>
      <w:r w:rsidRPr="00A83994">
        <w:rPr>
          <w:rFonts w:ascii="Arial" w:hAnsi="Arial" w:cs="Arial"/>
        </w:rPr>
        <w:t xml:space="preserve"> see: Finch, V. </w:t>
      </w:r>
      <w:r w:rsidRPr="00A83994">
        <w:rPr>
          <w:rFonts w:ascii="Arial" w:hAnsi="Arial" w:cs="Arial"/>
          <w:i/>
        </w:rPr>
        <w:t>Is pari passu passé?</w:t>
      </w:r>
      <w:r w:rsidRPr="00A83994">
        <w:rPr>
          <w:rFonts w:ascii="Arial" w:hAnsi="Arial" w:cs="Arial"/>
        </w:rPr>
        <w:t xml:space="preserve"> (2000) Insol.L, 5 (Oct). pp. 194-210. </w:t>
      </w:r>
    </w:p>
  </w:footnote>
  <w:footnote w:id="135">
    <w:p w:rsidR="00416B42" w:rsidRPr="00A83994" w:rsidRDefault="00416B42" w:rsidP="000E11B5">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Milman Priority</w:t>
      </w:r>
      <w:r w:rsidRPr="00A83994">
        <w:rPr>
          <w:rFonts w:ascii="Arial" w:hAnsi="Arial" w:cs="Arial"/>
        </w:rPr>
        <w:t>.</w:t>
      </w:r>
    </w:p>
  </w:footnote>
  <w:footnote w:id="136">
    <w:p w:rsidR="00416B42" w:rsidRPr="00A83994" w:rsidRDefault="00416B42" w:rsidP="000E11B5">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See further: See also: Williams, R. </w:t>
      </w:r>
      <w:r w:rsidRPr="00A83994">
        <w:rPr>
          <w:rFonts w:ascii="Arial" w:hAnsi="Arial" w:cs="Arial"/>
          <w:i/>
          <w:lang w:val="en-GB"/>
        </w:rPr>
        <w:t xml:space="preserve">What can we expect to gain from reforming the insolvent trading remedy? </w:t>
      </w:r>
      <w:r w:rsidRPr="00A83994">
        <w:rPr>
          <w:rFonts w:ascii="Arial" w:hAnsi="Arial" w:cs="Arial"/>
          <w:lang w:val="en-GB"/>
        </w:rPr>
        <w:t xml:space="preserve">(2015) M.L.R, 78(1), 55-84. On wrongful trading generally see: Moss, G. </w:t>
      </w:r>
      <w:r w:rsidRPr="00A83994">
        <w:rPr>
          <w:rFonts w:ascii="Arial" w:hAnsi="Arial" w:cs="Arial"/>
          <w:i/>
          <w:lang w:val="en-GB"/>
        </w:rPr>
        <w:t>No compensation for wrongful trading - where did it all go wrong?</w:t>
      </w:r>
      <w:r w:rsidRPr="00A83994">
        <w:rPr>
          <w:rFonts w:ascii="Arial" w:hAnsi="Arial" w:cs="Arial"/>
          <w:lang w:val="en-GB"/>
        </w:rPr>
        <w:t xml:space="preserve"> (2017) Insolv. Int, 30(4), 49-53. </w:t>
      </w:r>
    </w:p>
  </w:footnote>
  <w:footnote w:id="137">
    <w:p w:rsidR="00416B42" w:rsidRPr="00A83994" w:rsidRDefault="00416B42" w:rsidP="000E11B5">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See further: </w:t>
      </w:r>
      <w:hyperlink r:id="rId6" w:history="1">
        <w:r w:rsidRPr="00A83994">
          <w:rPr>
            <w:rStyle w:val="Hyperlink"/>
            <w:rFonts w:ascii="Arial" w:hAnsi="Arial" w:cs="Arial"/>
            <w:lang w:val="en-GB"/>
          </w:rPr>
          <w:t>https://www.manolete-partners.com/</w:t>
        </w:r>
      </w:hyperlink>
      <w:r w:rsidRPr="00A83994">
        <w:rPr>
          <w:rFonts w:ascii="Arial" w:hAnsi="Arial" w:cs="Arial"/>
          <w:lang w:val="en-GB"/>
        </w:rPr>
        <w:t xml:space="preserve"> who note: “Manolete always assumes the entire risk of the case enabling the IP to make best use of his or her Insolvency Act powers </w:t>
      </w:r>
      <w:r w:rsidRPr="00A83994">
        <w:rPr>
          <w:rFonts w:ascii="Arial" w:hAnsi="Arial" w:cs="Arial"/>
          <w:i/>
          <w:lang w:val="en-GB"/>
        </w:rPr>
        <w:t>in the interests of creditors</w:t>
      </w:r>
      <w:r w:rsidRPr="00A83994">
        <w:rPr>
          <w:rFonts w:ascii="Arial" w:hAnsi="Arial" w:cs="Arial"/>
          <w:lang w:val="en-GB"/>
        </w:rPr>
        <w:t xml:space="preserve">.” Elsewhere they note, “…This enables us to deliver maximum returns to Creditor Estates.” and “with Manolete financing the work of the IP and lawyers to make </w:t>
      </w:r>
      <w:r w:rsidRPr="00A83994">
        <w:rPr>
          <w:rFonts w:ascii="Arial" w:hAnsi="Arial" w:cs="Arial"/>
          <w:i/>
          <w:lang w:val="en-GB"/>
        </w:rPr>
        <w:t>maximum recoveries for the creditor estates that they represent</w:t>
      </w:r>
      <w:r w:rsidRPr="00A83994">
        <w:rPr>
          <w:rFonts w:ascii="Arial" w:hAnsi="Arial" w:cs="Arial"/>
          <w:lang w:val="en-GB"/>
        </w:rPr>
        <w:t>.” (Author’s italicised emphasis).</w:t>
      </w:r>
    </w:p>
  </w:footnote>
  <w:footnote w:id="138">
    <w:p w:rsidR="00416B42" w:rsidRPr="00A83994" w:rsidRDefault="00416B42" w:rsidP="000E11B5">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Although the OFT did not identify “any problems with the fundamental structure of insolvency regulation.” See </w:t>
      </w:r>
      <w:r w:rsidRPr="00A83994">
        <w:rPr>
          <w:rFonts w:ascii="Arial" w:hAnsi="Arial" w:cs="Arial"/>
          <w:i/>
        </w:rPr>
        <w:t xml:space="preserve">IS Consultation </w:t>
      </w:r>
      <w:r w:rsidRPr="00A83994">
        <w:rPr>
          <w:rFonts w:ascii="Arial" w:hAnsi="Arial" w:cs="Arial"/>
        </w:rPr>
        <w:t>para. 2.12.</w:t>
      </w:r>
    </w:p>
  </w:footnote>
  <w:footnote w:id="139">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On the Enterprise Act 2002 generally see: Davies, S (Ed). </w:t>
      </w:r>
      <w:r w:rsidRPr="00A83994">
        <w:rPr>
          <w:rFonts w:ascii="Arial" w:hAnsi="Arial" w:cs="Arial"/>
          <w:i/>
        </w:rPr>
        <w:t>Insolvency and the Enterprise Act 2002.</w:t>
      </w:r>
      <w:r w:rsidRPr="00A83994">
        <w:rPr>
          <w:rFonts w:ascii="Arial" w:hAnsi="Arial" w:cs="Arial"/>
        </w:rPr>
        <w:t xml:space="preserve"> Jordans Publishing Ltd, Bristol, 2003. See also: Frisby, S. </w:t>
      </w:r>
      <w:r w:rsidRPr="00A83994">
        <w:rPr>
          <w:rFonts w:ascii="Arial" w:hAnsi="Arial" w:cs="Arial"/>
          <w:i/>
        </w:rPr>
        <w:t>In search of a rescue regime: the Enterprise Act 2002</w:t>
      </w:r>
      <w:r w:rsidRPr="00A83994">
        <w:rPr>
          <w:rFonts w:ascii="Arial" w:hAnsi="Arial" w:cs="Arial"/>
        </w:rPr>
        <w:t xml:space="preserve"> [2004] M.L.R, 67(2), 247-272. On security in the post EA 2002 world see: Stevens, R. </w:t>
      </w:r>
      <w:r w:rsidRPr="00A83994">
        <w:rPr>
          <w:rFonts w:ascii="Arial" w:hAnsi="Arial" w:cs="Arial"/>
          <w:i/>
        </w:rPr>
        <w:t>Security after the Enterprise Act</w:t>
      </w:r>
      <w:r w:rsidRPr="00A83994">
        <w:rPr>
          <w:rFonts w:ascii="Arial" w:hAnsi="Arial" w:cs="Arial"/>
        </w:rPr>
        <w:t xml:space="preserve">, in J Getzler, J and Payne, J (Ed.) </w:t>
      </w:r>
      <w:r w:rsidRPr="00A83994">
        <w:rPr>
          <w:rFonts w:ascii="Arial" w:hAnsi="Arial" w:cs="Arial"/>
          <w:i/>
        </w:rPr>
        <w:t>Company Charges: Spectrum and Beyond</w:t>
      </w:r>
      <w:r w:rsidRPr="00A83994">
        <w:rPr>
          <w:rFonts w:ascii="Arial" w:hAnsi="Arial" w:cs="Arial"/>
        </w:rPr>
        <w:t xml:space="preserve"> (Oxford University Press, 2006), 15.</w:t>
      </w:r>
    </w:p>
  </w:footnote>
  <w:footnote w:id="140">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On the floating charge see further: Mokal, RJ. </w:t>
      </w:r>
      <w:r w:rsidRPr="00A83994">
        <w:rPr>
          <w:rFonts w:ascii="Arial" w:hAnsi="Arial" w:cs="Arial"/>
          <w:i/>
        </w:rPr>
        <w:t>The Floating Charge – An Elegy</w:t>
      </w:r>
      <w:r w:rsidRPr="00A83994">
        <w:rPr>
          <w:rFonts w:ascii="Arial" w:hAnsi="Arial" w:cs="Arial"/>
        </w:rPr>
        <w:t xml:space="preserve">, in Worthington, S (Ed). </w:t>
      </w:r>
      <w:r w:rsidRPr="00A83994">
        <w:rPr>
          <w:rFonts w:ascii="Arial" w:hAnsi="Arial" w:cs="Arial"/>
          <w:i/>
        </w:rPr>
        <w:t>Commercial Law and Commercial Practice</w:t>
      </w:r>
      <w:r w:rsidRPr="00A83994">
        <w:rPr>
          <w:rFonts w:ascii="Arial" w:hAnsi="Arial" w:cs="Arial"/>
        </w:rPr>
        <w:t xml:space="preserve">. Hart, Oxford, 2003, pp.479-509. </w:t>
      </w:r>
    </w:p>
  </w:footnote>
  <w:footnote w:id="141">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color w:val="000000" w:themeColor="text1"/>
        </w:rPr>
        <w:t xml:space="preserve">Stevens, R. </w:t>
      </w:r>
      <w:r w:rsidRPr="00A83994">
        <w:rPr>
          <w:rFonts w:ascii="Arial" w:hAnsi="Arial" w:cs="Arial"/>
          <w:i/>
          <w:color w:val="000000" w:themeColor="text1"/>
        </w:rPr>
        <w:t>Insolvency</w:t>
      </w:r>
      <w:r w:rsidRPr="00A83994">
        <w:rPr>
          <w:rFonts w:ascii="Arial" w:hAnsi="Arial" w:cs="Arial"/>
          <w:color w:val="000000" w:themeColor="text1"/>
        </w:rPr>
        <w:t xml:space="preserve">, in Swadling, W (Ed). </w:t>
      </w:r>
      <w:r w:rsidRPr="00A83994">
        <w:rPr>
          <w:rFonts w:ascii="Arial" w:hAnsi="Arial" w:cs="Arial"/>
          <w:i/>
          <w:color w:val="000000" w:themeColor="text1"/>
        </w:rPr>
        <w:t xml:space="preserve">The </w:t>
      </w:r>
      <w:r w:rsidRPr="00A83994">
        <w:rPr>
          <w:rFonts w:ascii="Arial" w:hAnsi="Arial" w:cs="Arial"/>
          <w:i/>
        </w:rPr>
        <w:t>Quistclose Trust: Critical Essays.</w:t>
      </w:r>
      <w:r w:rsidRPr="00A83994">
        <w:rPr>
          <w:rFonts w:ascii="Arial" w:hAnsi="Arial" w:cs="Arial"/>
        </w:rPr>
        <w:t xml:space="preserve"> Hart, Oxford, 2004, at Chapter 8. See: </w:t>
      </w:r>
      <w:r w:rsidRPr="00A83994">
        <w:rPr>
          <w:rFonts w:ascii="Arial" w:hAnsi="Arial" w:cs="Arial"/>
          <w:i/>
        </w:rPr>
        <w:t xml:space="preserve">Finch Corporate Insolvency, </w:t>
      </w:r>
      <w:r w:rsidRPr="00A83994">
        <w:rPr>
          <w:rFonts w:ascii="Arial" w:hAnsi="Arial" w:cs="Arial"/>
        </w:rPr>
        <w:t xml:space="preserve">p.479. </w:t>
      </w:r>
    </w:p>
  </w:footnote>
  <w:footnote w:id="142">
    <w:p w:rsidR="00416B42" w:rsidRPr="00A83994" w:rsidRDefault="00416B42" w:rsidP="002B00EB">
      <w:pPr>
        <w:jc w:val="both"/>
        <w:rPr>
          <w:rFonts w:ascii="Arial" w:hAnsi="Arial" w:cs="Arial"/>
          <w:sz w:val="20"/>
          <w:szCs w:val="20"/>
        </w:rPr>
      </w:pPr>
      <w:r w:rsidRPr="00A83994">
        <w:rPr>
          <w:rStyle w:val="FootnoteReference"/>
          <w:rFonts w:ascii="Arial" w:hAnsi="Arial" w:cs="Arial"/>
          <w:sz w:val="20"/>
          <w:szCs w:val="20"/>
        </w:rPr>
        <w:footnoteRef/>
      </w:r>
      <w:r w:rsidRPr="00A83994">
        <w:rPr>
          <w:rFonts w:ascii="Arial" w:hAnsi="Arial" w:cs="Arial"/>
          <w:sz w:val="20"/>
          <w:szCs w:val="20"/>
        </w:rPr>
        <w:t xml:space="preserve"> Fletcher, I.F. </w:t>
      </w:r>
      <w:r w:rsidRPr="00A83994">
        <w:rPr>
          <w:rFonts w:ascii="Arial" w:hAnsi="Arial" w:cs="Arial"/>
          <w:i/>
          <w:sz w:val="20"/>
          <w:szCs w:val="20"/>
        </w:rPr>
        <w:t>The Law of Insolvency</w:t>
      </w:r>
      <w:r w:rsidRPr="00A83994">
        <w:rPr>
          <w:rFonts w:ascii="Arial" w:hAnsi="Arial" w:cs="Arial"/>
          <w:sz w:val="20"/>
          <w:szCs w:val="20"/>
        </w:rPr>
        <w:t>. 3</w:t>
      </w:r>
      <w:r w:rsidRPr="00A83994">
        <w:rPr>
          <w:rFonts w:ascii="Arial" w:hAnsi="Arial" w:cs="Arial"/>
          <w:sz w:val="20"/>
          <w:szCs w:val="20"/>
          <w:vertAlign w:val="superscript"/>
        </w:rPr>
        <w:t>rd</w:t>
      </w:r>
      <w:r w:rsidRPr="00A83994">
        <w:rPr>
          <w:rFonts w:ascii="Arial" w:hAnsi="Arial" w:cs="Arial"/>
          <w:sz w:val="20"/>
          <w:szCs w:val="20"/>
        </w:rPr>
        <w:t xml:space="preserve"> Edition. Sweet &amp; Maxwell Ltd. London, 2002, para 26-019. </w:t>
      </w:r>
    </w:p>
  </w:footnote>
  <w:footnote w:id="143">
    <w:p w:rsidR="00416B42" w:rsidRPr="00A83994" w:rsidRDefault="00416B42" w:rsidP="002B00EB">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Finch, V. </w:t>
      </w:r>
      <w:r w:rsidRPr="00A83994">
        <w:rPr>
          <w:rFonts w:ascii="Arial" w:hAnsi="Arial" w:cs="Arial"/>
          <w:i/>
        </w:rPr>
        <w:t xml:space="preserve">Is pari passu passé? </w:t>
      </w:r>
      <w:r w:rsidRPr="00A83994">
        <w:rPr>
          <w:rFonts w:ascii="Arial" w:hAnsi="Arial" w:cs="Arial"/>
        </w:rPr>
        <w:t>[2000] Insol.L, 5, 194.</w:t>
      </w:r>
    </w:p>
  </w:footnote>
  <w:footnote w:id="144">
    <w:p w:rsidR="00416B42" w:rsidRPr="00A83994" w:rsidRDefault="00416B42" w:rsidP="002B00EB">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further: Derham SR. </w:t>
      </w:r>
      <w:r w:rsidRPr="00A83994">
        <w:rPr>
          <w:rFonts w:ascii="Arial" w:hAnsi="Arial" w:cs="Arial"/>
          <w:i/>
        </w:rPr>
        <w:t>The Law of Set Off</w:t>
      </w:r>
      <w:r w:rsidRPr="00A83994">
        <w:rPr>
          <w:rFonts w:ascii="Arial" w:hAnsi="Arial" w:cs="Arial"/>
        </w:rPr>
        <w:t>. 3</w:t>
      </w:r>
      <w:r w:rsidRPr="00A83994">
        <w:rPr>
          <w:rFonts w:ascii="Arial" w:hAnsi="Arial" w:cs="Arial"/>
          <w:vertAlign w:val="superscript"/>
        </w:rPr>
        <w:t>rd</w:t>
      </w:r>
      <w:r w:rsidRPr="00A83994">
        <w:rPr>
          <w:rFonts w:ascii="Arial" w:hAnsi="Arial" w:cs="Arial"/>
        </w:rPr>
        <w:t xml:space="preserve"> Ed. OUP, Oxford, 2003.</w:t>
      </w:r>
    </w:p>
  </w:footnote>
  <w:footnote w:id="145">
    <w:p w:rsidR="00416B42" w:rsidRPr="00A83994" w:rsidRDefault="00416B42" w:rsidP="002B00EB">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further: Tribe, J. </w:t>
      </w:r>
      <w:r w:rsidRPr="00A83994">
        <w:rPr>
          <w:rFonts w:ascii="Arial" w:hAnsi="Arial" w:cs="Arial"/>
          <w:i/>
        </w:rPr>
        <w:t>The morality of Romalpa clauses in corporate insolvency: a case for reform</w:t>
      </w:r>
      <w:r w:rsidRPr="00A83994">
        <w:rPr>
          <w:rFonts w:ascii="Arial" w:hAnsi="Arial" w:cs="Arial"/>
        </w:rPr>
        <w:t xml:space="preserve"> [2001] IL&amp;P, vol.17, no.5, pp 166-175. </w:t>
      </w:r>
    </w:p>
  </w:footnote>
  <w:footnote w:id="146">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[2006] EWHC 3272. </w:t>
      </w:r>
    </w:p>
  </w:footnote>
  <w:footnote w:id="147">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On the development of that court see: Parkes, J. </w:t>
      </w:r>
      <w:r w:rsidRPr="00A83994">
        <w:rPr>
          <w:rFonts w:ascii="Arial" w:hAnsi="Arial" w:cs="Arial"/>
          <w:i/>
        </w:rPr>
        <w:t>A History of the Court of Chancery; with practical remarks on the recent commission, report, and evidence, and on the means of improving the administration of Justice in the English Courts of Equity</w:t>
      </w:r>
      <w:r w:rsidRPr="00A83994">
        <w:rPr>
          <w:rFonts w:ascii="Arial" w:hAnsi="Arial" w:cs="Arial"/>
        </w:rPr>
        <w:t xml:space="preserve">. London, 1828. See also: Ritchie, J (Ed). </w:t>
      </w:r>
      <w:r w:rsidRPr="00A83994">
        <w:rPr>
          <w:rFonts w:ascii="Arial" w:hAnsi="Arial" w:cs="Arial"/>
          <w:i/>
        </w:rPr>
        <w:t>Reports of Cases decided by Francis Bacon in the High Court of Chancery (1617-1621)</w:t>
      </w:r>
      <w:r w:rsidRPr="00A83994">
        <w:rPr>
          <w:rFonts w:ascii="Arial" w:hAnsi="Arial" w:cs="Arial"/>
        </w:rPr>
        <w:t xml:space="preserve">, Oxford, 1932, which includes a number of judgments on insolvency issues. See further: Tribe, J &amp; Graham, D. </w:t>
      </w:r>
      <w:r w:rsidRPr="00A83994">
        <w:rPr>
          <w:rFonts w:ascii="Arial" w:hAnsi="Arial" w:cs="Arial"/>
          <w:i/>
        </w:rPr>
        <w:t>Bacon in Debt - The Insolvency Judgments of Francis, Lord Verulam</w:t>
      </w:r>
      <w:r w:rsidRPr="00A83994">
        <w:rPr>
          <w:rFonts w:ascii="Arial" w:hAnsi="Arial" w:cs="Arial"/>
        </w:rPr>
        <w:t xml:space="preserve"> [2006] IL&amp;P, vol.22(1), 11-16. </w:t>
      </w:r>
    </w:p>
  </w:footnote>
  <w:footnote w:id="148">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Wood, PR. </w:t>
      </w:r>
      <w:r w:rsidRPr="00A83994">
        <w:rPr>
          <w:rFonts w:ascii="Arial" w:hAnsi="Arial" w:cs="Arial"/>
          <w:i/>
        </w:rPr>
        <w:t>Law and Practice of International Finance</w:t>
      </w:r>
      <w:r w:rsidRPr="00A83994">
        <w:rPr>
          <w:rFonts w:ascii="Arial" w:hAnsi="Arial" w:cs="Arial"/>
        </w:rPr>
        <w:t xml:space="preserve">. Sweet &amp; Maxwell, London, 2008, para.19-01. </w:t>
      </w:r>
    </w:p>
  </w:footnote>
  <w:footnote w:id="149">
    <w:p w:rsidR="00D82180" w:rsidRPr="00A83994" w:rsidRDefault="00D82180">
      <w:pPr>
        <w:pStyle w:val="FootnoteText"/>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e.g. Barlow Clowes, Polly Peck, Guinness. </w:t>
      </w:r>
    </w:p>
  </w:footnote>
  <w:footnote w:id="150">
    <w:p w:rsidR="00416B42" w:rsidRPr="00A83994" w:rsidRDefault="00416B42" w:rsidP="0009628F">
      <w:pPr>
        <w:pStyle w:val="FootnoteText"/>
        <w:jc w:val="both"/>
        <w:rPr>
          <w:lang w:val="en-GB"/>
        </w:rPr>
      </w:pPr>
      <w:r w:rsidRPr="00A83994">
        <w:rPr>
          <w:rStyle w:val="FootnoteReference"/>
          <w:rFonts w:ascii="Arial" w:hAnsi="Arial" w:cs="Arial"/>
        </w:rPr>
        <w:footnoteRef/>
      </w:r>
      <w:r w:rsidRPr="00A83994">
        <w:rPr>
          <w:rFonts w:ascii="Arial" w:hAnsi="Arial" w:cs="Arial"/>
        </w:rPr>
        <w:t xml:space="preserve"> </w:t>
      </w:r>
      <w:proofErr w:type="spellStart"/>
      <w:r w:rsidRPr="00A83994">
        <w:rPr>
          <w:rFonts w:ascii="Arial" w:hAnsi="Arial" w:cs="Arial"/>
        </w:rPr>
        <w:t>See</w:t>
      </w:r>
      <w:proofErr w:type="spellEnd"/>
      <w:r w:rsidRPr="00A83994">
        <w:rPr>
          <w:rFonts w:ascii="Arial" w:hAnsi="Arial" w:cs="Arial"/>
        </w:rPr>
        <w:t xml:space="preserve"> </w:t>
      </w:r>
      <w:proofErr w:type="spellStart"/>
      <w:r w:rsidRPr="00A83994">
        <w:rPr>
          <w:rFonts w:ascii="Arial" w:hAnsi="Arial" w:cs="Arial"/>
        </w:rPr>
        <w:t>also</w:t>
      </w:r>
      <w:proofErr w:type="spellEnd"/>
      <w:r w:rsidRPr="00A83994">
        <w:rPr>
          <w:rFonts w:ascii="Arial" w:hAnsi="Arial" w:cs="Arial"/>
        </w:rPr>
        <w:t xml:space="preserve">: </w:t>
      </w:r>
      <w:proofErr w:type="spellStart"/>
      <w:r w:rsidRPr="00A83994">
        <w:rPr>
          <w:rFonts w:ascii="Arial" w:hAnsi="Arial" w:cs="Arial"/>
        </w:rPr>
        <w:t>Rajak</w:t>
      </w:r>
      <w:proofErr w:type="spellEnd"/>
      <w:r w:rsidRPr="00A83994">
        <w:rPr>
          <w:rFonts w:ascii="Arial" w:hAnsi="Arial" w:cs="Arial"/>
        </w:rPr>
        <w:t xml:space="preserve">, H. </w:t>
      </w:r>
      <w:r w:rsidRPr="00A83994">
        <w:rPr>
          <w:rFonts w:ascii="Arial" w:hAnsi="Arial" w:cs="Arial"/>
          <w:i/>
        </w:rPr>
        <w:t>Fundamental principles – rhetoric and reality</w:t>
      </w:r>
      <w:r w:rsidRPr="00A83994">
        <w:rPr>
          <w:rFonts w:ascii="Arial" w:hAnsi="Arial" w:cs="Arial"/>
        </w:rPr>
        <w:t xml:space="preserve"> (1993-94) K.C.L.J, 4, 126-130; </w:t>
      </w:r>
      <w:r w:rsidRPr="00A83994">
        <w:rPr>
          <w:rFonts w:ascii="Arial" w:hAnsi="Arial" w:cs="Arial"/>
          <w:i/>
        </w:rPr>
        <w:t>Appeal court Clarifies right of silence</w:t>
      </w:r>
      <w:r w:rsidRPr="00A83994">
        <w:rPr>
          <w:rFonts w:ascii="Arial" w:hAnsi="Arial" w:cs="Arial"/>
        </w:rPr>
        <w:t xml:space="preserve"> (1992) L.S.G, 89(5), 7; Bamforth, R. </w:t>
      </w:r>
      <w:r w:rsidRPr="00A83994">
        <w:rPr>
          <w:rFonts w:ascii="Arial" w:hAnsi="Arial" w:cs="Arial"/>
          <w:i/>
        </w:rPr>
        <w:t>No right to silence: another step forward for office holders</w:t>
      </w:r>
      <w:r w:rsidRPr="00A83994">
        <w:rPr>
          <w:rFonts w:ascii="Arial" w:hAnsi="Arial" w:cs="Arial"/>
        </w:rPr>
        <w:t xml:space="preserve"> (1992) I.C.C.L.R., 3(4), 129-130.</w:t>
      </w:r>
    </w:p>
  </w:footnote>
  <w:footnote w:id="151">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 the </w:t>
      </w:r>
      <w:r w:rsidRPr="00A83994">
        <w:rPr>
          <w:rFonts w:ascii="Arial" w:hAnsi="Arial" w:cs="Arial"/>
          <w:i/>
        </w:rPr>
        <w:t>locus classicus</w:t>
      </w:r>
      <w:r w:rsidRPr="00A83994">
        <w:rPr>
          <w:rFonts w:ascii="Arial" w:hAnsi="Arial" w:cs="Arial"/>
        </w:rPr>
        <w:t xml:space="preserve"> dictum of Goddard LJ p.257 in </w:t>
      </w:r>
      <w:r w:rsidRPr="00A83994">
        <w:rPr>
          <w:rFonts w:ascii="Arial" w:hAnsi="Arial" w:cs="Arial"/>
          <w:i/>
        </w:rPr>
        <w:t>Blunt v. Park Lane Hotel</w:t>
      </w:r>
      <w:r w:rsidRPr="00A83994">
        <w:rPr>
          <w:rFonts w:ascii="Arial" w:hAnsi="Arial" w:cs="Arial"/>
        </w:rPr>
        <w:t xml:space="preserve"> [1972] 2 KB 253. See: </w:t>
      </w:r>
      <w:r w:rsidRPr="00A83994">
        <w:rPr>
          <w:rFonts w:ascii="Arial" w:hAnsi="Arial" w:cs="Arial"/>
          <w:i/>
        </w:rPr>
        <w:t>Istel Ltd v. Tully</w:t>
      </w:r>
      <w:r w:rsidRPr="00A83994">
        <w:rPr>
          <w:rFonts w:ascii="Arial" w:hAnsi="Arial" w:cs="Arial"/>
        </w:rPr>
        <w:t xml:space="preserve"> [1992] 3 WLR 344. See; </w:t>
      </w:r>
      <w:r w:rsidRPr="00A83994">
        <w:rPr>
          <w:rFonts w:ascii="Arial" w:hAnsi="Arial" w:cs="Arial"/>
          <w:i/>
        </w:rPr>
        <w:t>Lam Chi-Ming v. R</w:t>
      </w:r>
      <w:r w:rsidRPr="00A83994">
        <w:rPr>
          <w:rFonts w:ascii="Arial" w:hAnsi="Arial" w:cs="Arial"/>
        </w:rPr>
        <w:t xml:space="preserve"> [1991] 3 All ER 172, [1991] 2 AC 212 at 222 where Lord Griffiths stated; “the privilege against self-incrimination is deep rooted in English law.” See also; </w:t>
      </w:r>
      <w:r w:rsidRPr="00A83994">
        <w:rPr>
          <w:rFonts w:ascii="Arial" w:hAnsi="Arial" w:cs="Arial"/>
          <w:i/>
        </w:rPr>
        <w:t>R v. Seelig</w:t>
      </w:r>
      <w:r w:rsidRPr="00A83994">
        <w:rPr>
          <w:rFonts w:ascii="Arial" w:hAnsi="Arial" w:cs="Arial"/>
        </w:rPr>
        <w:t xml:space="preserve"> [1991] BCLC 869, per Watkins, LJ, p. 881 (c), “the privilege against self-incrimination must of course, unless there is good reason to the contrary, be upheld.”</w:t>
      </w:r>
    </w:p>
  </w:footnote>
  <w:footnote w:id="152">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Morgan. </w:t>
      </w:r>
      <w:r w:rsidRPr="00A83994">
        <w:rPr>
          <w:rFonts w:ascii="Arial" w:hAnsi="Arial" w:cs="Arial"/>
          <w:i/>
        </w:rPr>
        <w:t>The Privilege Against Self-incrimination</w:t>
      </w:r>
      <w:r w:rsidRPr="00A83994">
        <w:rPr>
          <w:rFonts w:ascii="Arial" w:hAnsi="Arial" w:cs="Arial"/>
        </w:rPr>
        <w:t xml:space="preserve"> (1949) 34 Minn.LR 1.</w:t>
      </w:r>
    </w:p>
  </w:footnote>
  <w:footnote w:id="153">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w:t>
      </w:r>
      <w:r w:rsidRPr="00A83994">
        <w:rPr>
          <w:rFonts w:ascii="Arial" w:hAnsi="Arial" w:cs="Arial"/>
          <w:i/>
        </w:rPr>
        <w:t>Re London United Investments plc</w:t>
      </w:r>
      <w:r w:rsidRPr="00A83994">
        <w:rPr>
          <w:rFonts w:ascii="Arial" w:hAnsi="Arial" w:cs="Arial"/>
        </w:rPr>
        <w:t xml:space="preserve"> [1992] 2 WLR 850 at 860 per Dillon LJ. See also: </w:t>
      </w:r>
      <w:r w:rsidRPr="00A83994">
        <w:rPr>
          <w:rFonts w:ascii="Arial" w:hAnsi="Arial" w:cs="Arial"/>
          <w:i/>
        </w:rPr>
        <w:t>Re Arrows</w:t>
      </w:r>
      <w:r w:rsidRPr="00A83994">
        <w:rPr>
          <w:rFonts w:ascii="Arial" w:hAnsi="Arial" w:cs="Arial"/>
        </w:rPr>
        <w:t xml:space="preserve"> (No.4) [1994] BCC 641, p.646, where Lord Browne-Wilkinson noted that, ‘the principle evolved from the abhorence felt for the procedures of the Star Chamber under which the prisoner was forced, by the use of torture, to answer self-incriminating questions on the basis of which he was subsequently convicted’.</w:t>
      </w:r>
    </w:p>
  </w:footnote>
  <w:footnote w:id="154">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Parliament has specifically legislated for the removal of the right in other areas, see Theft Act 1968, s.31 and the Criminal Justice Act 1987 s.2 (2). See; Murphy, P (Ed) </w:t>
      </w:r>
      <w:r w:rsidRPr="00A83994">
        <w:rPr>
          <w:rFonts w:ascii="Arial" w:hAnsi="Arial" w:cs="Arial"/>
          <w:i/>
        </w:rPr>
        <w:t>Blackstone’s Criminal Practice</w:t>
      </w:r>
      <w:r w:rsidRPr="00A83994">
        <w:rPr>
          <w:rFonts w:ascii="Arial" w:hAnsi="Arial" w:cs="Arial"/>
        </w:rPr>
        <w:t xml:space="preserve">. OUP. 2002 at F9.10 to F9.14; see also; </w:t>
      </w:r>
      <w:r w:rsidRPr="00A83994">
        <w:rPr>
          <w:rFonts w:ascii="Arial" w:hAnsi="Arial" w:cs="Arial"/>
          <w:i/>
        </w:rPr>
        <w:t>Kirk and Woodcock: Serious Fraud – Investigation and Trial.</w:t>
      </w:r>
      <w:r w:rsidRPr="00A83994">
        <w:rPr>
          <w:rFonts w:ascii="Arial" w:hAnsi="Arial" w:cs="Arial"/>
        </w:rPr>
        <w:t xml:space="preserve"> 2</w:t>
      </w:r>
      <w:r w:rsidRPr="00A83994">
        <w:rPr>
          <w:rFonts w:ascii="Arial" w:hAnsi="Arial" w:cs="Arial"/>
          <w:vertAlign w:val="superscript"/>
        </w:rPr>
        <w:t>nd</w:t>
      </w:r>
      <w:r w:rsidRPr="00A83994">
        <w:rPr>
          <w:rFonts w:ascii="Arial" w:hAnsi="Arial" w:cs="Arial"/>
        </w:rPr>
        <w:t xml:space="preserve"> Edition. Butterworths, London, 1997, p.2.1.</w:t>
      </w:r>
    </w:p>
  </w:footnote>
  <w:footnote w:id="155">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Fletcher, IF. </w:t>
      </w:r>
      <w:r w:rsidRPr="00A83994">
        <w:rPr>
          <w:rFonts w:ascii="Arial" w:hAnsi="Arial" w:cs="Arial"/>
          <w:i/>
        </w:rPr>
        <w:t xml:space="preserve">The Silence of the Wolves: confidentiality and self incrimination issues in proceedings under the Insolvency Act </w:t>
      </w:r>
      <w:r w:rsidRPr="00A83994">
        <w:rPr>
          <w:rFonts w:ascii="Arial" w:hAnsi="Arial" w:cs="Arial"/>
        </w:rPr>
        <w:t xml:space="preserve">[1992] JBL 442; McCormack, G. </w:t>
      </w:r>
      <w:r w:rsidRPr="00A83994">
        <w:rPr>
          <w:rFonts w:ascii="Arial" w:hAnsi="Arial" w:cs="Arial"/>
          <w:i/>
        </w:rPr>
        <w:t xml:space="preserve">Self-Incrimination in the Corporate Context </w:t>
      </w:r>
      <w:r w:rsidRPr="00A83994">
        <w:rPr>
          <w:rFonts w:ascii="Arial" w:hAnsi="Arial" w:cs="Arial"/>
        </w:rPr>
        <w:t xml:space="preserve">[1993] JBL 425; Fletcher, IF. </w:t>
      </w:r>
      <w:r w:rsidRPr="00A83994">
        <w:rPr>
          <w:rFonts w:ascii="Arial" w:hAnsi="Arial" w:cs="Arial"/>
          <w:i/>
        </w:rPr>
        <w:t>Juggling with Norms: the Conflict Between Collective Individual Rights Under Insolvency Law,</w:t>
      </w:r>
      <w:r w:rsidRPr="00A83994">
        <w:rPr>
          <w:rFonts w:ascii="Arial" w:hAnsi="Arial" w:cs="Arial"/>
        </w:rPr>
        <w:t xml:space="preserve"> in Cranston, R (ed.) </w:t>
      </w:r>
      <w:r w:rsidRPr="00A83994">
        <w:rPr>
          <w:rFonts w:ascii="Arial" w:hAnsi="Arial" w:cs="Arial"/>
          <w:i/>
        </w:rPr>
        <w:t>Making Commercial Law</w:t>
      </w:r>
      <w:r w:rsidRPr="00A83994">
        <w:rPr>
          <w:rFonts w:ascii="Arial" w:hAnsi="Arial" w:cs="Arial"/>
        </w:rPr>
        <w:t xml:space="preserve"> (Essays for Roy Goode) (1997), Chapter 17.</w:t>
      </w:r>
    </w:p>
  </w:footnote>
  <w:footnote w:id="156">
    <w:p w:rsidR="00416B42" w:rsidRPr="00A83994" w:rsidRDefault="00416B42" w:rsidP="00CE67E9">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 xml:space="preserve">See also: </w:t>
      </w:r>
      <w:r w:rsidRPr="00A83994">
        <w:rPr>
          <w:rFonts w:ascii="Arial" w:hAnsi="Arial" w:cs="Arial"/>
          <w:i/>
          <w:lang w:val="en-GB"/>
        </w:rPr>
        <w:t>Cloverbay Ltd v. Bank of Credit and Commerce International</w:t>
      </w:r>
      <w:r w:rsidRPr="00A83994">
        <w:rPr>
          <w:rFonts w:ascii="Arial" w:hAnsi="Arial" w:cs="Arial"/>
          <w:lang w:val="en-GB"/>
        </w:rPr>
        <w:t xml:space="preserve"> [1991] Ch.90 (CA); </w:t>
      </w:r>
      <w:r w:rsidRPr="00A83994">
        <w:rPr>
          <w:rFonts w:ascii="Arial" w:hAnsi="Arial" w:cs="Arial"/>
          <w:i/>
          <w:lang w:val="en-GB"/>
        </w:rPr>
        <w:t>Bishopsgate Investment Management Ltd v. Maxwell</w:t>
      </w:r>
      <w:r w:rsidRPr="00A83994">
        <w:rPr>
          <w:rFonts w:ascii="Arial" w:hAnsi="Arial" w:cs="Arial"/>
          <w:lang w:val="en-GB"/>
        </w:rPr>
        <w:t xml:space="preserve"> [1991] BCLC 869; </w:t>
      </w:r>
      <w:r w:rsidRPr="00A83994">
        <w:rPr>
          <w:rFonts w:ascii="Arial" w:hAnsi="Arial" w:cs="Arial"/>
          <w:i/>
          <w:lang w:val="en-GB"/>
        </w:rPr>
        <w:t>Re Arrows Ltd (No.2)</w:t>
      </w:r>
      <w:r w:rsidRPr="00A83994">
        <w:rPr>
          <w:rFonts w:ascii="Arial" w:hAnsi="Arial" w:cs="Arial"/>
          <w:lang w:val="en-GB"/>
        </w:rPr>
        <w:t xml:space="preserve"> [1992] BCC 446; </w:t>
      </w:r>
      <w:r w:rsidRPr="00A83994">
        <w:rPr>
          <w:rFonts w:ascii="Arial" w:hAnsi="Arial" w:cs="Arial"/>
          <w:i/>
          <w:lang w:val="en-GB"/>
        </w:rPr>
        <w:t>British &amp; Commonwealth Holdings plc v. Spicer &amp; Oppenheimer</w:t>
      </w:r>
      <w:r w:rsidRPr="00A83994">
        <w:rPr>
          <w:rFonts w:ascii="Arial" w:hAnsi="Arial" w:cs="Arial"/>
          <w:lang w:val="en-GB"/>
        </w:rPr>
        <w:t xml:space="preserve"> [1992] 3 WLR 853, HL.</w:t>
      </w:r>
    </w:p>
  </w:footnote>
  <w:footnote w:id="157">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[1992] 2 All ER 509, [1992] Ch. 457, [1992] BCC 137. See: Mercer, S. </w:t>
      </w:r>
      <w:r w:rsidRPr="00A83994">
        <w:rPr>
          <w:rFonts w:ascii="Arial" w:hAnsi="Arial" w:cs="Arial"/>
          <w:i/>
        </w:rPr>
        <w:t>Availability of privilege against self-incrimination in insolvency proceedings</w:t>
      </w:r>
      <w:r w:rsidRPr="00A83994">
        <w:rPr>
          <w:rFonts w:ascii="Arial" w:hAnsi="Arial" w:cs="Arial"/>
        </w:rPr>
        <w:t xml:space="preserve"> (1992) J.Crim.L., 56(4), 400-402; Stallworthy, M. </w:t>
      </w:r>
      <w:r w:rsidRPr="00A83994">
        <w:rPr>
          <w:rFonts w:ascii="Arial" w:hAnsi="Arial" w:cs="Arial"/>
          <w:i/>
        </w:rPr>
        <w:t>Privillege against self-incrimination in civil proceedings: how far does it go?</w:t>
      </w:r>
      <w:r w:rsidRPr="00A83994">
        <w:rPr>
          <w:rFonts w:ascii="Arial" w:hAnsi="Arial" w:cs="Arial"/>
        </w:rPr>
        <w:t xml:space="preserve"> (1992) J.I.B.L, 7(9), 378-381.</w:t>
      </w:r>
    </w:p>
  </w:footnote>
  <w:footnote w:id="158">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[1991] BCC 202 (Dillon, Mustill and Stuart-Smith LJ).</w:t>
      </w:r>
    </w:p>
  </w:footnote>
  <w:footnote w:id="159">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[1991] BCC 760, affirmed CA [1992] 2 All ER 842.</w:t>
      </w:r>
    </w:p>
  </w:footnote>
  <w:footnote w:id="160">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[1991] BCLC 869. This case involved s.435(6) Companies Act 1985.See; </w:t>
      </w:r>
      <w:r w:rsidRPr="00A83994">
        <w:rPr>
          <w:rFonts w:ascii="Arial" w:hAnsi="Arial" w:cs="Arial"/>
          <w:i/>
        </w:rPr>
        <w:t>DTI  investigations: no privilege against self-</w:t>
      </w:r>
      <w:r w:rsidRPr="00A83994">
        <w:rPr>
          <w:rFonts w:ascii="Arial" w:hAnsi="Arial" w:cs="Arial"/>
        </w:rPr>
        <w:t>incrimination (1992) Insolv.Int, 5(4), 30.</w:t>
      </w:r>
    </w:p>
  </w:footnote>
  <w:footnote w:id="161">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w:t>
      </w:r>
      <w:r w:rsidRPr="00A83994">
        <w:rPr>
          <w:rFonts w:ascii="Arial" w:hAnsi="Arial" w:cs="Arial"/>
          <w:i/>
        </w:rPr>
        <w:t>Guinness v. Saunders</w:t>
      </w:r>
      <w:r w:rsidRPr="00A83994">
        <w:rPr>
          <w:rFonts w:ascii="Arial" w:hAnsi="Arial" w:cs="Arial"/>
        </w:rPr>
        <w:t xml:space="preserve"> [1990] BCC 205. See also; Pettet, B. </w:t>
      </w:r>
      <w:r w:rsidRPr="00A83994">
        <w:rPr>
          <w:rFonts w:ascii="Arial" w:hAnsi="Arial" w:cs="Arial"/>
          <w:i/>
        </w:rPr>
        <w:t>Company Law</w:t>
      </w:r>
      <w:r w:rsidRPr="00A83994">
        <w:rPr>
          <w:rFonts w:ascii="Arial" w:hAnsi="Arial" w:cs="Arial"/>
        </w:rPr>
        <w:t>. 1</w:t>
      </w:r>
      <w:r w:rsidRPr="00A83994">
        <w:rPr>
          <w:rFonts w:ascii="Arial" w:hAnsi="Arial" w:cs="Arial"/>
          <w:vertAlign w:val="superscript"/>
        </w:rPr>
        <w:t>st</w:t>
      </w:r>
      <w:r w:rsidRPr="00A83994">
        <w:rPr>
          <w:rFonts w:ascii="Arial" w:hAnsi="Arial" w:cs="Arial"/>
        </w:rPr>
        <w:t xml:space="preserve"> Ed. Longman, Harlow, England. 2001, p.162.</w:t>
      </w:r>
    </w:p>
  </w:footnote>
  <w:footnote w:id="162">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Appointed pursuant  to Pt XIV of the Companies Act 1985.</w:t>
      </w:r>
    </w:p>
  </w:footnote>
  <w:footnote w:id="163">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[1994] BCC 641 (L, [1993] BCC 473 (CA). See: Stallworthy, M. </w:t>
      </w:r>
      <w:r w:rsidRPr="00A83994">
        <w:rPr>
          <w:rFonts w:ascii="Arial" w:hAnsi="Arial" w:cs="Arial"/>
          <w:i/>
        </w:rPr>
        <w:t>Insolvency and complex fraud investigations in the United Kingdom: a blurring of boundaries</w:t>
      </w:r>
      <w:r w:rsidRPr="00A83994">
        <w:rPr>
          <w:rFonts w:ascii="Arial" w:hAnsi="Arial" w:cs="Arial"/>
        </w:rPr>
        <w:t xml:space="preserve"> (1994) ICCLR 5 (12), 418-422; </w:t>
      </w:r>
      <w:r w:rsidRPr="00A83994">
        <w:rPr>
          <w:rFonts w:ascii="Arial" w:hAnsi="Arial" w:cs="Arial"/>
          <w:i/>
        </w:rPr>
        <w:t>Confidentiality and self-incrimination issues: further developments</w:t>
      </w:r>
      <w:r w:rsidRPr="00A83994">
        <w:rPr>
          <w:rFonts w:ascii="Arial" w:hAnsi="Arial" w:cs="Arial"/>
        </w:rPr>
        <w:t xml:space="preserve"> (1994) JBL, May, 282-283.</w:t>
      </w:r>
    </w:p>
  </w:footnote>
  <w:footnote w:id="164">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above at </w:t>
      </w:r>
      <w:r w:rsidRPr="00A83994">
        <w:rPr>
          <w:rFonts w:ascii="Arial" w:hAnsi="Arial" w:cs="Arial"/>
          <w:i/>
        </w:rPr>
        <w:t>op cit</w:t>
      </w:r>
      <w:r w:rsidRPr="00A83994">
        <w:rPr>
          <w:rFonts w:ascii="Arial" w:hAnsi="Arial" w:cs="Arial"/>
        </w:rPr>
        <w:t xml:space="preserve"> n. for a discussion of </w:t>
      </w:r>
      <w:r w:rsidRPr="00A83994">
        <w:rPr>
          <w:rFonts w:ascii="Arial" w:hAnsi="Arial" w:cs="Arial"/>
          <w:i/>
        </w:rPr>
        <w:t>Re Arrows (No.2)</w:t>
      </w:r>
      <w:r w:rsidRPr="00A83994">
        <w:rPr>
          <w:rFonts w:ascii="Arial" w:hAnsi="Arial" w:cs="Arial"/>
        </w:rPr>
        <w:t>.</w:t>
      </w:r>
    </w:p>
  </w:footnote>
  <w:footnote w:id="165">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lang w:val="en-GB"/>
        </w:rPr>
        <w:t>[1991] BCLC 869.</w:t>
      </w:r>
    </w:p>
  </w:footnote>
  <w:footnote w:id="166">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[1994] BCC 641, </w:t>
      </w:r>
      <w:r w:rsidRPr="00A83994">
        <w:rPr>
          <w:rFonts w:ascii="Arial" w:hAnsi="Arial" w:cs="Arial"/>
          <w:i/>
        </w:rPr>
        <w:t>per</w:t>
      </w:r>
      <w:r w:rsidRPr="00A83994">
        <w:rPr>
          <w:rFonts w:ascii="Arial" w:hAnsi="Arial" w:cs="Arial"/>
        </w:rPr>
        <w:t xml:space="preserve"> Lord Browne-Wilkinson, p.644(G).</w:t>
      </w:r>
    </w:p>
  </w:footnote>
  <w:footnote w:id="167">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[1994] BCC 641, per Lord Browne-Wilkinson, p.647 (B).</w:t>
      </w:r>
    </w:p>
  </w:footnote>
  <w:footnote w:id="168">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w:t>
      </w:r>
      <w:r w:rsidRPr="00A83994">
        <w:rPr>
          <w:rFonts w:ascii="Arial" w:hAnsi="Arial" w:cs="Arial"/>
          <w:i/>
        </w:rPr>
        <w:t>Funke, Cremieux and Miailhe v. France</w:t>
      </w:r>
      <w:r w:rsidRPr="00A83994">
        <w:rPr>
          <w:rFonts w:ascii="Arial" w:hAnsi="Arial" w:cs="Arial"/>
        </w:rPr>
        <w:t xml:space="preserve"> (82/1991/334/407), where it was held that a demand to prodce self-incriminating documents was unlawful. See also; </w:t>
      </w:r>
      <w:r w:rsidRPr="00A83994">
        <w:rPr>
          <w:rFonts w:ascii="Arial" w:hAnsi="Arial" w:cs="Arial"/>
          <w:i/>
        </w:rPr>
        <w:t xml:space="preserve">Orkem v. Commission of the European Communities </w:t>
      </w:r>
      <w:r w:rsidRPr="00A83994">
        <w:rPr>
          <w:rFonts w:ascii="Arial" w:hAnsi="Arial" w:cs="Arial"/>
        </w:rPr>
        <w:t>(Case 374/87)[1991] 2 CEC 19; [1989] ECR 3283</w:t>
      </w:r>
      <w:r w:rsidRPr="00A83994">
        <w:rPr>
          <w:rFonts w:ascii="Arial" w:hAnsi="Arial" w:cs="Arial"/>
          <w:i/>
        </w:rPr>
        <w:t>; Otto BV v. Postbank NV</w:t>
      </w:r>
      <w:r w:rsidRPr="00A83994">
        <w:rPr>
          <w:rFonts w:ascii="Arial" w:hAnsi="Arial" w:cs="Arial"/>
        </w:rPr>
        <w:t xml:space="preserve"> (Case C-60/92, 10 November 1993.</w:t>
      </w:r>
    </w:p>
  </w:footnote>
  <w:footnote w:id="169">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rPr>
        <w:t>Case No 19187/91</w:t>
      </w:r>
      <w:r w:rsidRPr="00A83994">
        <w:rPr>
          <w:rFonts w:ascii="Arial" w:hAnsi="Arial" w:cs="Arial"/>
        </w:rPr>
        <w:t xml:space="preserve"> (17 December 1986), (1997) 23 EHRR 313. [1997] EHRR 313; [1997] BCC 872. See also: Stallworthy, M. </w:t>
      </w:r>
      <w:r w:rsidRPr="00A83994">
        <w:rPr>
          <w:rFonts w:ascii="Arial" w:hAnsi="Arial" w:cs="Arial"/>
          <w:i/>
        </w:rPr>
        <w:t xml:space="preserve">Company investigations and the prosecution of fraud in the United Kingdom: conflicting public interests </w:t>
      </w:r>
      <w:r w:rsidRPr="00A83994">
        <w:rPr>
          <w:rFonts w:ascii="Arial" w:hAnsi="Arial" w:cs="Arial"/>
        </w:rPr>
        <w:t xml:space="preserve">(1997) ICCLR, 8(4), 115-119; Taylor, K. </w:t>
      </w:r>
      <w:r w:rsidRPr="00A83994">
        <w:rPr>
          <w:rFonts w:ascii="Arial" w:hAnsi="Arial" w:cs="Arial"/>
          <w:i/>
        </w:rPr>
        <w:t>Insolvency Act office holders’ powers of investigation: self-incrimination, disclosure and the potential effects of Saunders v. United Kingdom</w:t>
      </w:r>
      <w:r w:rsidRPr="00A83994">
        <w:rPr>
          <w:rFonts w:ascii="Arial" w:hAnsi="Arial" w:cs="Arial"/>
        </w:rPr>
        <w:t xml:space="preserve"> (1997) SLPQ, 2(4), 297-308. </w:t>
      </w:r>
    </w:p>
  </w:footnote>
  <w:footnote w:id="170">
    <w:p w:rsidR="00416B42" w:rsidRPr="00A83994" w:rsidRDefault="00416B42" w:rsidP="00401BE0">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[1997] BCC 872.</w:t>
      </w:r>
    </w:p>
  </w:footnote>
  <w:footnote w:id="171">
    <w:p w:rsidR="00416B42" w:rsidRPr="00A83994" w:rsidRDefault="00416B42" w:rsidP="00231A3A">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Nietzsche Gay Science</w:t>
      </w:r>
      <w:r w:rsidRPr="00A83994">
        <w:rPr>
          <w:rFonts w:ascii="Arial" w:hAnsi="Arial" w:cs="Arial"/>
          <w:lang w:val="en-GB"/>
        </w:rPr>
        <w:t>, p.x.</w:t>
      </w:r>
    </w:p>
  </w:footnote>
  <w:footnote w:id="172">
    <w:p w:rsidR="00416B42" w:rsidRPr="00A83994" w:rsidRDefault="00416B42">
      <w:pPr>
        <w:pStyle w:val="FootnoteText"/>
        <w:rPr>
          <w:lang w:val="en-GB"/>
        </w:rPr>
      </w:pPr>
      <w:r w:rsidRPr="00A83994">
        <w:rPr>
          <w:rStyle w:val="FootnoteReference"/>
          <w:rFonts w:ascii="Arial" w:hAnsi="Arial" w:cs="Arial"/>
        </w:rPr>
        <w:footnoteRef/>
      </w:r>
      <w:r w:rsidRPr="00A83994">
        <w:rPr>
          <w:rFonts w:ascii="Arial" w:hAnsi="Arial" w:cs="Arial"/>
          <w:i/>
        </w:rPr>
        <w:t xml:space="preserve"> </w:t>
      </w:r>
      <w:r w:rsidRPr="00A83994">
        <w:rPr>
          <w:rFonts w:ascii="Arial" w:hAnsi="Arial" w:cs="Arial"/>
          <w:i/>
          <w:lang w:val="en-GB"/>
        </w:rPr>
        <w:t>ibid</w:t>
      </w:r>
      <w:r w:rsidRPr="00A83994">
        <w:rPr>
          <w:rFonts w:ascii="Arial" w:hAnsi="Arial" w:cs="Arial"/>
          <w:lang w:val="en-GB"/>
        </w:rPr>
        <w:t>, p.xiv.</w:t>
      </w:r>
    </w:p>
  </w:footnote>
  <w:footnote w:id="173">
    <w:p w:rsidR="00416B42" w:rsidRPr="00A83994" w:rsidRDefault="00416B42" w:rsidP="004014F9">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Pfeffer Nietzsche</w:t>
      </w:r>
      <w:r w:rsidRPr="00A83994">
        <w:rPr>
          <w:rFonts w:ascii="Arial" w:hAnsi="Arial" w:cs="Arial"/>
          <w:lang w:val="en-GB"/>
        </w:rPr>
        <w:t>, p.280.</w:t>
      </w:r>
    </w:p>
  </w:footnote>
  <w:footnote w:id="174">
    <w:p w:rsidR="00416B42" w:rsidRPr="00A83994" w:rsidRDefault="00416B42" w:rsidP="00490ED8">
      <w:pPr>
        <w:pStyle w:val="FootnoteText"/>
        <w:jc w:val="both"/>
        <w:rPr>
          <w:rFonts w:ascii="Arial" w:hAnsi="Arial" w:cs="Arial"/>
        </w:rPr>
      </w:pPr>
      <w:r w:rsidRPr="00A83994">
        <w:rPr>
          <w:rStyle w:val="FootnoteReference"/>
          <w:rFonts w:ascii="Arial" w:hAnsi="Arial" w:cs="Arial"/>
        </w:rPr>
        <w:footnoteRef/>
      </w:r>
      <w:r w:rsidRPr="00A83994">
        <w:rPr>
          <w:rFonts w:ascii="Arial" w:hAnsi="Arial" w:cs="Arial"/>
        </w:rPr>
        <w:t xml:space="preserve"> See: Tribe, J. </w:t>
      </w:r>
      <w:r w:rsidRPr="00A83994">
        <w:rPr>
          <w:rFonts w:ascii="Arial" w:hAnsi="Arial" w:cs="Arial"/>
          <w:i/>
        </w:rPr>
        <w:t>Crystal balls and insolvency: what does the future hold?</w:t>
      </w:r>
      <w:r w:rsidRPr="00A83994">
        <w:rPr>
          <w:rFonts w:ascii="Arial" w:hAnsi="Arial" w:cs="Arial"/>
        </w:rPr>
        <w:t xml:space="preserve"> (2012) ICCLR, 23(12), 405-411. See also: Fletcher, IF. </w:t>
      </w:r>
      <w:r w:rsidRPr="00A83994">
        <w:rPr>
          <w:rFonts w:ascii="Arial" w:hAnsi="Arial" w:cs="Arial"/>
          <w:i/>
        </w:rPr>
        <w:t>Spreading the gospel: the mission of insolvency law, and insolvency practitioners, in the early 21st century</w:t>
      </w:r>
      <w:r w:rsidRPr="00A83994">
        <w:rPr>
          <w:rFonts w:ascii="Arial" w:hAnsi="Arial" w:cs="Arial"/>
        </w:rPr>
        <w:t xml:space="preserve"> (2014) J.B.L, 7, 523-540.</w:t>
      </w:r>
    </w:p>
  </w:footnote>
  <w:footnote w:id="175">
    <w:p w:rsidR="00416B42" w:rsidRPr="00A83994" w:rsidRDefault="00416B42" w:rsidP="0090200E">
      <w:pPr>
        <w:pStyle w:val="FootnoteText"/>
        <w:jc w:val="both"/>
        <w:rPr>
          <w:rFonts w:ascii="Arial" w:hAnsi="Arial" w:cs="Arial"/>
          <w:color w:val="FF0000"/>
          <w:lang w:val="en-GB"/>
        </w:rPr>
      </w:pPr>
      <w:r w:rsidRPr="00A83994">
        <w:rPr>
          <w:rStyle w:val="FootnoteReference"/>
          <w:rFonts w:ascii="Arial" w:hAnsi="Arial" w:cs="Arial"/>
          <w:color w:val="000000" w:themeColor="text1"/>
        </w:rPr>
        <w:footnoteRef/>
      </w:r>
      <w:r w:rsidRPr="00A83994">
        <w:rPr>
          <w:rFonts w:ascii="Arial" w:hAnsi="Arial" w:cs="Arial"/>
          <w:color w:val="000000" w:themeColor="text1"/>
        </w:rPr>
        <w:t xml:space="preserve"> </w:t>
      </w:r>
      <w:r w:rsidRPr="00A83994">
        <w:rPr>
          <w:rFonts w:ascii="Arial" w:hAnsi="Arial" w:cs="Arial"/>
          <w:color w:val="000000" w:themeColor="text1"/>
          <w:lang w:val="en-GB"/>
        </w:rPr>
        <w:t xml:space="preserve">See further: Birks, P. </w:t>
      </w:r>
      <w:r w:rsidRPr="00A83994">
        <w:rPr>
          <w:rFonts w:ascii="Arial" w:hAnsi="Arial" w:cs="Arial"/>
          <w:i/>
          <w:color w:val="000000" w:themeColor="text1"/>
          <w:lang w:val="en-GB"/>
        </w:rPr>
        <w:t>Unjust Enrichment.</w:t>
      </w:r>
      <w:r w:rsidRPr="00A83994">
        <w:rPr>
          <w:rFonts w:ascii="Arial" w:hAnsi="Arial" w:cs="Arial"/>
          <w:color w:val="000000" w:themeColor="text1"/>
          <w:lang w:val="en-GB"/>
        </w:rPr>
        <w:t xml:space="preserve"> 2</w:t>
      </w:r>
      <w:r w:rsidRPr="00A83994">
        <w:rPr>
          <w:rFonts w:ascii="Arial" w:hAnsi="Arial" w:cs="Arial"/>
          <w:color w:val="000000" w:themeColor="text1"/>
          <w:vertAlign w:val="superscript"/>
          <w:lang w:val="en-GB"/>
        </w:rPr>
        <w:t>nd</w:t>
      </w:r>
      <w:r w:rsidRPr="00A83994">
        <w:rPr>
          <w:rFonts w:ascii="Arial" w:hAnsi="Arial" w:cs="Arial"/>
          <w:color w:val="000000" w:themeColor="text1"/>
          <w:lang w:val="en-GB"/>
        </w:rPr>
        <w:t xml:space="preserve"> Ed. Oxford University Press, Oxford, 2005.</w:t>
      </w:r>
    </w:p>
  </w:footnote>
  <w:footnote w:id="176">
    <w:p w:rsidR="00416B42" w:rsidRPr="00003EE3" w:rsidRDefault="00416B42" w:rsidP="00003EE3">
      <w:pPr>
        <w:pStyle w:val="FootnoteText"/>
        <w:jc w:val="both"/>
        <w:rPr>
          <w:rFonts w:ascii="Arial" w:hAnsi="Arial" w:cs="Arial"/>
          <w:lang w:val="en-GB"/>
        </w:rPr>
      </w:pPr>
      <w:r w:rsidRPr="00A83994">
        <w:rPr>
          <w:rStyle w:val="FootnoteReference"/>
          <w:rFonts w:ascii="Arial" w:hAnsi="Arial" w:cs="Arial"/>
        </w:rPr>
        <w:footnoteRef/>
      </w:r>
      <w:r w:rsidRPr="00A83994">
        <w:rPr>
          <w:rFonts w:ascii="Arial" w:hAnsi="Arial" w:cs="Arial"/>
        </w:rPr>
        <w:t xml:space="preserve"> </w:t>
      </w:r>
      <w:r w:rsidRPr="00A83994">
        <w:rPr>
          <w:rFonts w:ascii="Arial" w:hAnsi="Arial" w:cs="Arial"/>
          <w:i/>
          <w:lang w:val="en-GB"/>
        </w:rPr>
        <w:t>Tribe</w:t>
      </w:r>
      <w:r w:rsidR="00FD2393" w:rsidRPr="00A83994">
        <w:rPr>
          <w:rFonts w:ascii="Arial" w:hAnsi="Arial" w:cs="Arial"/>
          <w:i/>
          <w:lang w:val="en-GB"/>
        </w:rPr>
        <w:t xml:space="preserve"> Orthodoxy.</w:t>
      </w:r>
      <w:bookmarkStart w:id="0" w:name="_GoBack"/>
      <w:bookmarkEnd w:id="0"/>
    </w:p>
    <w:p w:rsidR="00416B42" w:rsidRPr="00003EE3" w:rsidRDefault="00416B4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B42" w:rsidRDefault="00416B42" w:rsidP="00D41E5A">
    <w:pPr>
      <w:rPr>
        <w:sz w:val="16"/>
        <w:szCs w:val="16"/>
      </w:rPr>
    </w:pPr>
    <w:r w:rsidRPr="00D41E5A">
      <w:rPr>
        <w:sz w:val="16"/>
        <w:szCs w:val="16"/>
      </w:rPr>
      <w:t xml:space="preserve">Nietzsche and Insolvency Reform </w:t>
    </w:r>
  </w:p>
  <w:p w:rsidR="00416B42" w:rsidRPr="00D41E5A" w:rsidRDefault="00416B42" w:rsidP="00D41E5A">
    <w:pPr>
      <w:rPr>
        <w:sz w:val="16"/>
        <w:szCs w:val="16"/>
      </w:rPr>
    </w:pPr>
  </w:p>
  <w:p w:rsidR="00416B42" w:rsidRDefault="00416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D1AEE"/>
    <w:multiLevelType w:val="hybridMultilevel"/>
    <w:tmpl w:val="F376A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A77E6"/>
    <w:multiLevelType w:val="hybridMultilevel"/>
    <w:tmpl w:val="01F2FE04"/>
    <w:lvl w:ilvl="0" w:tplc="0A0AEA4C">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0C4DFE"/>
    <w:multiLevelType w:val="hybridMultilevel"/>
    <w:tmpl w:val="9A2C1862"/>
    <w:lvl w:ilvl="0" w:tplc="0A0AEA4C">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F365B4"/>
    <w:multiLevelType w:val="hybridMultilevel"/>
    <w:tmpl w:val="FBAA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77491"/>
    <w:multiLevelType w:val="hybridMultilevel"/>
    <w:tmpl w:val="5ADE85D2"/>
    <w:lvl w:ilvl="0" w:tplc="88E8D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5407D"/>
    <w:multiLevelType w:val="hybridMultilevel"/>
    <w:tmpl w:val="3B5EEF10"/>
    <w:lvl w:ilvl="0" w:tplc="2A3278D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5A"/>
    <w:rsid w:val="000008A9"/>
    <w:rsid w:val="000036B6"/>
    <w:rsid w:val="00003D19"/>
    <w:rsid w:val="00003EE3"/>
    <w:rsid w:val="00007A2A"/>
    <w:rsid w:val="00012817"/>
    <w:rsid w:val="000179B4"/>
    <w:rsid w:val="000227CC"/>
    <w:rsid w:val="00023855"/>
    <w:rsid w:val="00023CAF"/>
    <w:rsid w:val="00025D87"/>
    <w:rsid w:val="000279B4"/>
    <w:rsid w:val="00030D51"/>
    <w:rsid w:val="0003148C"/>
    <w:rsid w:val="00034179"/>
    <w:rsid w:val="00035E21"/>
    <w:rsid w:val="000415E8"/>
    <w:rsid w:val="000419AC"/>
    <w:rsid w:val="0004385A"/>
    <w:rsid w:val="00054944"/>
    <w:rsid w:val="00056B28"/>
    <w:rsid w:val="0005715D"/>
    <w:rsid w:val="0006214E"/>
    <w:rsid w:val="00063A8B"/>
    <w:rsid w:val="0007258C"/>
    <w:rsid w:val="000734FE"/>
    <w:rsid w:val="00081CD3"/>
    <w:rsid w:val="000858B1"/>
    <w:rsid w:val="00093BC1"/>
    <w:rsid w:val="00094523"/>
    <w:rsid w:val="00096099"/>
    <w:rsid w:val="0009628F"/>
    <w:rsid w:val="00097516"/>
    <w:rsid w:val="000976BB"/>
    <w:rsid w:val="000A214F"/>
    <w:rsid w:val="000A3A6A"/>
    <w:rsid w:val="000A443C"/>
    <w:rsid w:val="000A5270"/>
    <w:rsid w:val="000A667B"/>
    <w:rsid w:val="000B0128"/>
    <w:rsid w:val="000B1914"/>
    <w:rsid w:val="000B20D1"/>
    <w:rsid w:val="000B25E3"/>
    <w:rsid w:val="000B702D"/>
    <w:rsid w:val="000C1875"/>
    <w:rsid w:val="000C5BF7"/>
    <w:rsid w:val="000D00FA"/>
    <w:rsid w:val="000D04BA"/>
    <w:rsid w:val="000D28C2"/>
    <w:rsid w:val="000D5395"/>
    <w:rsid w:val="000E0EAE"/>
    <w:rsid w:val="000E11B5"/>
    <w:rsid w:val="000E227D"/>
    <w:rsid w:val="000E2802"/>
    <w:rsid w:val="000E2FB2"/>
    <w:rsid w:val="000E33C4"/>
    <w:rsid w:val="000E5016"/>
    <w:rsid w:val="000F42D8"/>
    <w:rsid w:val="00111175"/>
    <w:rsid w:val="00115A76"/>
    <w:rsid w:val="00133065"/>
    <w:rsid w:val="00133C53"/>
    <w:rsid w:val="0013488C"/>
    <w:rsid w:val="00135124"/>
    <w:rsid w:val="001371C7"/>
    <w:rsid w:val="00137C31"/>
    <w:rsid w:val="00137D9D"/>
    <w:rsid w:val="00141DBD"/>
    <w:rsid w:val="001478D0"/>
    <w:rsid w:val="00151A01"/>
    <w:rsid w:val="00151B21"/>
    <w:rsid w:val="00151DE6"/>
    <w:rsid w:val="00151EF7"/>
    <w:rsid w:val="00152ED2"/>
    <w:rsid w:val="001532EA"/>
    <w:rsid w:val="001546A3"/>
    <w:rsid w:val="0015578B"/>
    <w:rsid w:val="001664CE"/>
    <w:rsid w:val="00166561"/>
    <w:rsid w:val="00171C74"/>
    <w:rsid w:val="0017218C"/>
    <w:rsid w:val="001741A6"/>
    <w:rsid w:val="0017489B"/>
    <w:rsid w:val="0017541F"/>
    <w:rsid w:val="00177421"/>
    <w:rsid w:val="00177E94"/>
    <w:rsid w:val="001806D0"/>
    <w:rsid w:val="001807D3"/>
    <w:rsid w:val="00181127"/>
    <w:rsid w:val="00181E80"/>
    <w:rsid w:val="0018462A"/>
    <w:rsid w:val="00191EB9"/>
    <w:rsid w:val="001A2BBE"/>
    <w:rsid w:val="001A652F"/>
    <w:rsid w:val="001A6864"/>
    <w:rsid w:val="001B0686"/>
    <w:rsid w:val="001B2AB2"/>
    <w:rsid w:val="001C0257"/>
    <w:rsid w:val="001C0EB7"/>
    <w:rsid w:val="001C2A70"/>
    <w:rsid w:val="001C2AB5"/>
    <w:rsid w:val="001C52AD"/>
    <w:rsid w:val="001C6629"/>
    <w:rsid w:val="001D21B7"/>
    <w:rsid w:val="001D2C7B"/>
    <w:rsid w:val="001E1516"/>
    <w:rsid w:val="001E23D0"/>
    <w:rsid w:val="001E51DE"/>
    <w:rsid w:val="001E6B36"/>
    <w:rsid w:val="001E6DC4"/>
    <w:rsid w:val="001F5175"/>
    <w:rsid w:val="00200223"/>
    <w:rsid w:val="00201FB5"/>
    <w:rsid w:val="00207706"/>
    <w:rsid w:val="0021021F"/>
    <w:rsid w:val="0021464E"/>
    <w:rsid w:val="00222739"/>
    <w:rsid w:val="00223C84"/>
    <w:rsid w:val="002257C1"/>
    <w:rsid w:val="00230449"/>
    <w:rsid w:val="00231698"/>
    <w:rsid w:val="00231A3A"/>
    <w:rsid w:val="002332A5"/>
    <w:rsid w:val="00233EBE"/>
    <w:rsid w:val="00235AE7"/>
    <w:rsid w:val="00243CBF"/>
    <w:rsid w:val="00244CA8"/>
    <w:rsid w:val="002461A1"/>
    <w:rsid w:val="0024630F"/>
    <w:rsid w:val="002464FF"/>
    <w:rsid w:val="002502FF"/>
    <w:rsid w:val="0025123B"/>
    <w:rsid w:val="002525FE"/>
    <w:rsid w:val="00254F5C"/>
    <w:rsid w:val="00257B45"/>
    <w:rsid w:val="00262D00"/>
    <w:rsid w:val="00262DB9"/>
    <w:rsid w:val="00263952"/>
    <w:rsid w:val="00272213"/>
    <w:rsid w:val="002755CD"/>
    <w:rsid w:val="00280A1A"/>
    <w:rsid w:val="00281172"/>
    <w:rsid w:val="002813EF"/>
    <w:rsid w:val="002819D7"/>
    <w:rsid w:val="0028604F"/>
    <w:rsid w:val="00287526"/>
    <w:rsid w:val="002A2FD4"/>
    <w:rsid w:val="002A3FCC"/>
    <w:rsid w:val="002A4DC0"/>
    <w:rsid w:val="002A568D"/>
    <w:rsid w:val="002A5D7E"/>
    <w:rsid w:val="002A67FF"/>
    <w:rsid w:val="002B00EB"/>
    <w:rsid w:val="002B1BF2"/>
    <w:rsid w:val="002B4579"/>
    <w:rsid w:val="002B795D"/>
    <w:rsid w:val="002B7D99"/>
    <w:rsid w:val="002C0F8F"/>
    <w:rsid w:val="002C78FC"/>
    <w:rsid w:val="002D3369"/>
    <w:rsid w:val="002D5747"/>
    <w:rsid w:val="002D7BB7"/>
    <w:rsid w:val="002E47F8"/>
    <w:rsid w:val="002E4DFF"/>
    <w:rsid w:val="002E61D2"/>
    <w:rsid w:val="002F2810"/>
    <w:rsid w:val="002F44B9"/>
    <w:rsid w:val="002F7988"/>
    <w:rsid w:val="00300C96"/>
    <w:rsid w:val="00301807"/>
    <w:rsid w:val="00306A77"/>
    <w:rsid w:val="00311F49"/>
    <w:rsid w:val="00322D62"/>
    <w:rsid w:val="0032612D"/>
    <w:rsid w:val="0032624C"/>
    <w:rsid w:val="003269B9"/>
    <w:rsid w:val="00327647"/>
    <w:rsid w:val="00330511"/>
    <w:rsid w:val="00330E0D"/>
    <w:rsid w:val="00331982"/>
    <w:rsid w:val="003324CF"/>
    <w:rsid w:val="00340C97"/>
    <w:rsid w:val="00343CF0"/>
    <w:rsid w:val="00345331"/>
    <w:rsid w:val="00346AF6"/>
    <w:rsid w:val="0035032A"/>
    <w:rsid w:val="00352F61"/>
    <w:rsid w:val="003632E8"/>
    <w:rsid w:val="00364187"/>
    <w:rsid w:val="0036676C"/>
    <w:rsid w:val="00366CF5"/>
    <w:rsid w:val="00372206"/>
    <w:rsid w:val="00377251"/>
    <w:rsid w:val="00377C28"/>
    <w:rsid w:val="003822F4"/>
    <w:rsid w:val="0038278C"/>
    <w:rsid w:val="00386336"/>
    <w:rsid w:val="00395971"/>
    <w:rsid w:val="003A372E"/>
    <w:rsid w:val="003A48FD"/>
    <w:rsid w:val="003A5E1C"/>
    <w:rsid w:val="003B01F0"/>
    <w:rsid w:val="003B16E7"/>
    <w:rsid w:val="003B1BAB"/>
    <w:rsid w:val="003B3F84"/>
    <w:rsid w:val="003B58CB"/>
    <w:rsid w:val="003B6327"/>
    <w:rsid w:val="003C216F"/>
    <w:rsid w:val="003C6641"/>
    <w:rsid w:val="003C7F72"/>
    <w:rsid w:val="003D2C89"/>
    <w:rsid w:val="003D31BA"/>
    <w:rsid w:val="003D4825"/>
    <w:rsid w:val="003D5B0E"/>
    <w:rsid w:val="003E1757"/>
    <w:rsid w:val="003E194C"/>
    <w:rsid w:val="003E2B02"/>
    <w:rsid w:val="003E3F27"/>
    <w:rsid w:val="003E6FA8"/>
    <w:rsid w:val="003E753D"/>
    <w:rsid w:val="003F194B"/>
    <w:rsid w:val="003F206D"/>
    <w:rsid w:val="003F385C"/>
    <w:rsid w:val="003F476F"/>
    <w:rsid w:val="003F7AAD"/>
    <w:rsid w:val="004006C9"/>
    <w:rsid w:val="004014F9"/>
    <w:rsid w:val="00401BE0"/>
    <w:rsid w:val="00402235"/>
    <w:rsid w:val="00405F95"/>
    <w:rsid w:val="00406734"/>
    <w:rsid w:val="0041065A"/>
    <w:rsid w:val="004125D3"/>
    <w:rsid w:val="00415D6D"/>
    <w:rsid w:val="00416462"/>
    <w:rsid w:val="00416B42"/>
    <w:rsid w:val="00417108"/>
    <w:rsid w:val="00424AE0"/>
    <w:rsid w:val="00425494"/>
    <w:rsid w:val="00425DC8"/>
    <w:rsid w:val="00433178"/>
    <w:rsid w:val="00436FC0"/>
    <w:rsid w:val="0044459E"/>
    <w:rsid w:val="00464EB8"/>
    <w:rsid w:val="00465821"/>
    <w:rsid w:val="00465A98"/>
    <w:rsid w:val="00467067"/>
    <w:rsid w:val="004706FA"/>
    <w:rsid w:val="00472374"/>
    <w:rsid w:val="00472D93"/>
    <w:rsid w:val="004746A5"/>
    <w:rsid w:val="00490233"/>
    <w:rsid w:val="00490252"/>
    <w:rsid w:val="00490ED8"/>
    <w:rsid w:val="0049662B"/>
    <w:rsid w:val="004A42D1"/>
    <w:rsid w:val="004B249B"/>
    <w:rsid w:val="004B2BA7"/>
    <w:rsid w:val="004B3B57"/>
    <w:rsid w:val="004B612C"/>
    <w:rsid w:val="004B7148"/>
    <w:rsid w:val="004C21F9"/>
    <w:rsid w:val="004C25E1"/>
    <w:rsid w:val="004C30FE"/>
    <w:rsid w:val="004C695F"/>
    <w:rsid w:val="004C7B4C"/>
    <w:rsid w:val="004D46BB"/>
    <w:rsid w:val="004D5796"/>
    <w:rsid w:val="004D6BA9"/>
    <w:rsid w:val="004E27BD"/>
    <w:rsid w:val="004E293C"/>
    <w:rsid w:val="004E4E8B"/>
    <w:rsid w:val="004E5BA0"/>
    <w:rsid w:val="004E6024"/>
    <w:rsid w:val="004E7BBB"/>
    <w:rsid w:val="004F2092"/>
    <w:rsid w:val="004F301B"/>
    <w:rsid w:val="004F4DF1"/>
    <w:rsid w:val="004F6BE8"/>
    <w:rsid w:val="004F7151"/>
    <w:rsid w:val="00505289"/>
    <w:rsid w:val="00514366"/>
    <w:rsid w:val="005146B6"/>
    <w:rsid w:val="005171B1"/>
    <w:rsid w:val="00517325"/>
    <w:rsid w:val="00517520"/>
    <w:rsid w:val="00517D30"/>
    <w:rsid w:val="00523329"/>
    <w:rsid w:val="005253A1"/>
    <w:rsid w:val="005253A2"/>
    <w:rsid w:val="00525D15"/>
    <w:rsid w:val="0053123A"/>
    <w:rsid w:val="00532DB5"/>
    <w:rsid w:val="00532F71"/>
    <w:rsid w:val="00533359"/>
    <w:rsid w:val="00536970"/>
    <w:rsid w:val="00537E87"/>
    <w:rsid w:val="00540061"/>
    <w:rsid w:val="0054080C"/>
    <w:rsid w:val="005420C3"/>
    <w:rsid w:val="005423B8"/>
    <w:rsid w:val="0054717D"/>
    <w:rsid w:val="0054765C"/>
    <w:rsid w:val="00547964"/>
    <w:rsid w:val="005610DF"/>
    <w:rsid w:val="00577109"/>
    <w:rsid w:val="00577441"/>
    <w:rsid w:val="00581A66"/>
    <w:rsid w:val="005862A2"/>
    <w:rsid w:val="00586314"/>
    <w:rsid w:val="00587053"/>
    <w:rsid w:val="005929F5"/>
    <w:rsid w:val="00592A7E"/>
    <w:rsid w:val="00594623"/>
    <w:rsid w:val="005967B1"/>
    <w:rsid w:val="005A2E01"/>
    <w:rsid w:val="005B2D58"/>
    <w:rsid w:val="005B3BF3"/>
    <w:rsid w:val="005B5FBA"/>
    <w:rsid w:val="005B7B87"/>
    <w:rsid w:val="005C5B7E"/>
    <w:rsid w:val="005C7414"/>
    <w:rsid w:val="005D3FE4"/>
    <w:rsid w:val="005E19B1"/>
    <w:rsid w:val="005E1E2B"/>
    <w:rsid w:val="005E2C93"/>
    <w:rsid w:val="005E5A3D"/>
    <w:rsid w:val="005E690A"/>
    <w:rsid w:val="005F11D6"/>
    <w:rsid w:val="005F473F"/>
    <w:rsid w:val="00607F08"/>
    <w:rsid w:val="00611C75"/>
    <w:rsid w:val="006227A9"/>
    <w:rsid w:val="00624BB6"/>
    <w:rsid w:val="00631C89"/>
    <w:rsid w:val="006365CD"/>
    <w:rsid w:val="006379D0"/>
    <w:rsid w:val="006403C0"/>
    <w:rsid w:val="00642B63"/>
    <w:rsid w:val="0064571B"/>
    <w:rsid w:val="006561DE"/>
    <w:rsid w:val="00657C21"/>
    <w:rsid w:val="006647BA"/>
    <w:rsid w:val="006706C8"/>
    <w:rsid w:val="00674F0A"/>
    <w:rsid w:val="006764A5"/>
    <w:rsid w:val="00682F58"/>
    <w:rsid w:val="00683146"/>
    <w:rsid w:val="00684C5E"/>
    <w:rsid w:val="00690FF0"/>
    <w:rsid w:val="006915C9"/>
    <w:rsid w:val="006924EE"/>
    <w:rsid w:val="00695338"/>
    <w:rsid w:val="00696492"/>
    <w:rsid w:val="006966D1"/>
    <w:rsid w:val="006A0510"/>
    <w:rsid w:val="006A11D5"/>
    <w:rsid w:val="006A2AAF"/>
    <w:rsid w:val="006B0FC2"/>
    <w:rsid w:val="006B1870"/>
    <w:rsid w:val="006B4D2A"/>
    <w:rsid w:val="006C5261"/>
    <w:rsid w:val="006C6541"/>
    <w:rsid w:val="006C71A3"/>
    <w:rsid w:val="006D0664"/>
    <w:rsid w:val="006D0E2C"/>
    <w:rsid w:val="006D3A68"/>
    <w:rsid w:val="006D571F"/>
    <w:rsid w:val="006E628E"/>
    <w:rsid w:val="006F00D3"/>
    <w:rsid w:val="006F18DC"/>
    <w:rsid w:val="006F1C6F"/>
    <w:rsid w:val="006F2A2F"/>
    <w:rsid w:val="006F6A0E"/>
    <w:rsid w:val="0071008B"/>
    <w:rsid w:val="00710B76"/>
    <w:rsid w:val="00714573"/>
    <w:rsid w:val="007168C3"/>
    <w:rsid w:val="007219F4"/>
    <w:rsid w:val="00725725"/>
    <w:rsid w:val="0072613C"/>
    <w:rsid w:val="00726415"/>
    <w:rsid w:val="007302FA"/>
    <w:rsid w:val="00732CA5"/>
    <w:rsid w:val="00734BB9"/>
    <w:rsid w:val="007364B5"/>
    <w:rsid w:val="0073677E"/>
    <w:rsid w:val="00736D8D"/>
    <w:rsid w:val="007414F5"/>
    <w:rsid w:val="00741E4A"/>
    <w:rsid w:val="00744439"/>
    <w:rsid w:val="00746758"/>
    <w:rsid w:val="007468A5"/>
    <w:rsid w:val="00747BD6"/>
    <w:rsid w:val="007513CD"/>
    <w:rsid w:val="0075153E"/>
    <w:rsid w:val="00753FFC"/>
    <w:rsid w:val="00754F34"/>
    <w:rsid w:val="007576C5"/>
    <w:rsid w:val="0076166D"/>
    <w:rsid w:val="0076512D"/>
    <w:rsid w:val="00766DCA"/>
    <w:rsid w:val="007705AB"/>
    <w:rsid w:val="007721D7"/>
    <w:rsid w:val="007739D3"/>
    <w:rsid w:val="00773CFF"/>
    <w:rsid w:val="0077465D"/>
    <w:rsid w:val="007779F0"/>
    <w:rsid w:val="007812C9"/>
    <w:rsid w:val="007862D7"/>
    <w:rsid w:val="007871A5"/>
    <w:rsid w:val="00794190"/>
    <w:rsid w:val="007A0B1D"/>
    <w:rsid w:val="007A0CB9"/>
    <w:rsid w:val="007A159E"/>
    <w:rsid w:val="007A3A85"/>
    <w:rsid w:val="007A3E10"/>
    <w:rsid w:val="007A7704"/>
    <w:rsid w:val="007B3C5D"/>
    <w:rsid w:val="007B5B6F"/>
    <w:rsid w:val="007B6137"/>
    <w:rsid w:val="007B6224"/>
    <w:rsid w:val="007B68B4"/>
    <w:rsid w:val="007B6942"/>
    <w:rsid w:val="007C0274"/>
    <w:rsid w:val="007C0B0F"/>
    <w:rsid w:val="007C6765"/>
    <w:rsid w:val="007D0AB3"/>
    <w:rsid w:val="007D15C3"/>
    <w:rsid w:val="007D4CFD"/>
    <w:rsid w:val="007D4F93"/>
    <w:rsid w:val="007D6FA9"/>
    <w:rsid w:val="007E08CC"/>
    <w:rsid w:val="007E1559"/>
    <w:rsid w:val="007E2004"/>
    <w:rsid w:val="007E504B"/>
    <w:rsid w:val="007E59E3"/>
    <w:rsid w:val="007E64F7"/>
    <w:rsid w:val="007E791F"/>
    <w:rsid w:val="007F52CA"/>
    <w:rsid w:val="00801F2F"/>
    <w:rsid w:val="00803B96"/>
    <w:rsid w:val="00804E8D"/>
    <w:rsid w:val="008124F9"/>
    <w:rsid w:val="00813E1A"/>
    <w:rsid w:val="008159C8"/>
    <w:rsid w:val="00820E1D"/>
    <w:rsid w:val="0082305D"/>
    <w:rsid w:val="0083361D"/>
    <w:rsid w:val="00834CCC"/>
    <w:rsid w:val="0083528E"/>
    <w:rsid w:val="00835618"/>
    <w:rsid w:val="008365A5"/>
    <w:rsid w:val="0083733C"/>
    <w:rsid w:val="00837866"/>
    <w:rsid w:val="00845DC5"/>
    <w:rsid w:val="00845E67"/>
    <w:rsid w:val="008462B9"/>
    <w:rsid w:val="00846895"/>
    <w:rsid w:val="00850BC7"/>
    <w:rsid w:val="00851FF7"/>
    <w:rsid w:val="00854DA5"/>
    <w:rsid w:val="008627EC"/>
    <w:rsid w:val="00862964"/>
    <w:rsid w:val="00862993"/>
    <w:rsid w:val="0086499A"/>
    <w:rsid w:val="00873C1D"/>
    <w:rsid w:val="008747CF"/>
    <w:rsid w:val="00880FB6"/>
    <w:rsid w:val="00884609"/>
    <w:rsid w:val="008903BD"/>
    <w:rsid w:val="0089360A"/>
    <w:rsid w:val="0089402D"/>
    <w:rsid w:val="008950C0"/>
    <w:rsid w:val="00896760"/>
    <w:rsid w:val="008A3076"/>
    <w:rsid w:val="008A568E"/>
    <w:rsid w:val="008A72BC"/>
    <w:rsid w:val="008B008D"/>
    <w:rsid w:val="008B1208"/>
    <w:rsid w:val="008B27D0"/>
    <w:rsid w:val="008B5B04"/>
    <w:rsid w:val="008B5FC2"/>
    <w:rsid w:val="008B6D0A"/>
    <w:rsid w:val="008C127A"/>
    <w:rsid w:val="008C260C"/>
    <w:rsid w:val="008C35B6"/>
    <w:rsid w:val="008C7CB5"/>
    <w:rsid w:val="008D2AFD"/>
    <w:rsid w:val="008D6C23"/>
    <w:rsid w:val="008E1332"/>
    <w:rsid w:val="008E25AF"/>
    <w:rsid w:val="008E3B64"/>
    <w:rsid w:val="008E7942"/>
    <w:rsid w:val="008F13C0"/>
    <w:rsid w:val="008F38D8"/>
    <w:rsid w:val="008F60DD"/>
    <w:rsid w:val="00900719"/>
    <w:rsid w:val="0090200E"/>
    <w:rsid w:val="00905234"/>
    <w:rsid w:val="00907DC9"/>
    <w:rsid w:val="00911235"/>
    <w:rsid w:val="0091585D"/>
    <w:rsid w:val="00923482"/>
    <w:rsid w:val="009335AE"/>
    <w:rsid w:val="00946176"/>
    <w:rsid w:val="0095148A"/>
    <w:rsid w:val="00953892"/>
    <w:rsid w:val="00954FD4"/>
    <w:rsid w:val="0095648E"/>
    <w:rsid w:val="0096021D"/>
    <w:rsid w:val="00962A42"/>
    <w:rsid w:val="009728BE"/>
    <w:rsid w:val="0097493D"/>
    <w:rsid w:val="00974BED"/>
    <w:rsid w:val="009754F1"/>
    <w:rsid w:val="00981284"/>
    <w:rsid w:val="009872A9"/>
    <w:rsid w:val="00991745"/>
    <w:rsid w:val="00991EB7"/>
    <w:rsid w:val="009958DD"/>
    <w:rsid w:val="009A08C4"/>
    <w:rsid w:val="009A1F9A"/>
    <w:rsid w:val="009A2EE6"/>
    <w:rsid w:val="009A3885"/>
    <w:rsid w:val="009A7C94"/>
    <w:rsid w:val="009B5137"/>
    <w:rsid w:val="009D1806"/>
    <w:rsid w:val="009D21E8"/>
    <w:rsid w:val="009E5002"/>
    <w:rsid w:val="009F55A5"/>
    <w:rsid w:val="00A04C66"/>
    <w:rsid w:val="00A078D1"/>
    <w:rsid w:val="00A14927"/>
    <w:rsid w:val="00A221B4"/>
    <w:rsid w:val="00A23D7E"/>
    <w:rsid w:val="00A25110"/>
    <w:rsid w:val="00A36491"/>
    <w:rsid w:val="00A376D7"/>
    <w:rsid w:val="00A40940"/>
    <w:rsid w:val="00A4175C"/>
    <w:rsid w:val="00A432EB"/>
    <w:rsid w:val="00A45906"/>
    <w:rsid w:val="00A46F62"/>
    <w:rsid w:val="00A520B3"/>
    <w:rsid w:val="00A53076"/>
    <w:rsid w:val="00A557AC"/>
    <w:rsid w:val="00A622EA"/>
    <w:rsid w:val="00A625A5"/>
    <w:rsid w:val="00A65BFD"/>
    <w:rsid w:val="00A674E1"/>
    <w:rsid w:val="00A72B22"/>
    <w:rsid w:val="00A82FBC"/>
    <w:rsid w:val="00A83994"/>
    <w:rsid w:val="00A849ED"/>
    <w:rsid w:val="00A84F16"/>
    <w:rsid w:val="00A86815"/>
    <w:rsid w:val="00A86824"/>
    <w:rsid w:val="00A87669"/>
    <w:rsid w:val="00A927D3"/>
    <w:rsid w:val="00A94008"/>
    <w:rsid w:val="00AA43D9"/>
    <w:rsid w:val="00AA5BD4"/>
    <w:rsid w:val="00AB1D01"/>
    <w:rsid w:val="00AB49D4"/>
    <w:rsid w:val="00AB694B"/>
    <w:rsid w:val="00AB6DD3"/>
    <w:rsid w:val="00AB7F43"/>
    <w:rsid w:val="00AC05B6"/>
    <w:rsid w:val="00AC25D6"/>
    <w:rsid w:val="00AC4D65"/>
    <w:rsid w:val="00AC7BDA"/>
    <w:rsid w:val="00AD1C73"/>
    <w:rsid w:val="00AD1D10"/>
    <w:rsid w:val="00AD42D8"/>
    <w:rsid w:val="00AD53C5"/>
    <w:rsid w:val="00AE17A7"/>
    <w:rsid w:val="00AE22C5"/>
    <w:rsid w:val="00AE2E61"/>
    <w:rsid w:val="00AE31EA"/>
    <w:rsid w:val="00AE473A"/>
    <w:rsid w:val="00AF1743"/>
    <w:rsid w:val="00B0119C"/>
    <w:rsid w:val="00B02217"/>
    <w:rsid w:val="00B02FFC"/>
    <w:rsid w:val="00B07F2B"/>
    <w:rsid w:val="00B106BD"/>
    <w:rsid w:val="00B129BE"/>
    <w:rsid w:val="00B167EE"/>
    <w:rsid w:val="00B22A76"/>
    <w:rsid w:val="00B22D3B"/>
    <w:rsid w:val="00B23172"/>
    <w:rsid w:val="00B249F8"/>
    <w:rsid w:val="00B2528C"/>
    <w:rsid w:val="00B25AE0"/>
    <w:rsid w:val="00B34684"/>
    <w:rsid w:val="00B40705"/>
    <w:rsid w:val="00B45C43"/>
    <w:rsid w:val="00B462E8"/>
    <w:rsid w:val="00B608B9"/>
    <w:rsid w:val="00B62AF6"/>
    <w:rsid w:val="00B63926"/>
    <w:rsid w:val="00B64BF1"/>
    <w:rsid w:val="00B716CC"/>
    <w:rsid w:val="00B72D15"/>
    <w:rsid w:val="00B802C8"/>
    <w:rsid w:val="00B81F9B"/>
    <w:rsid w:val="00B83428"/>
    <w:rsid w:val="00B83A62"/>
    <w:rsid w:val="00B84DD5"/>
    <w:rsid w:val="00B84FF4"/>
    <w:rsid w:val="00B8514C"/>
    <w:rsid w:val="00B90659"/>
    <w:rsid w:val="00B92A5B"/>
    <w:rsid w:val="00B9330E"/>
    <w:rsid w:val="00B93EDA"/>
    <w:rsid w:val="00B960A6"/>
    <w:rsid w:val="00BA40D3"/>
    <w:rsid w:val="00BA4F8F"/>
    <w:rsid w:val="00BA5CDE"/>
    <w:rsid w:val="00BA6CCA"/>
    <w:rsid w:val="00BB20CF"/>
    <w:rsid w:val="00BB35AD"/>
    <w:rsid w:val="00BB3627"/>
    <w:rsid w:val="00BB494D"/>
    <w:rsid w:val="00BC0139"/>
    <w:rsid w:val="00BC1ADB"/>
    <w:rsid w:val="00BC43C1"/>
    <w:rsid w:val="00BC69DC"/>
    <w:rsid w:val="00BD1F88"/>
    <w:rsid w:val="00BD24A0"/>
    <w:rsid w:val="00BD2CFF"/>
    <w:rsid w:val="00BD2EE5"/>
    <w:rsid w:val="00BD30D1"/>
    <w:rsid w:val="00BD442D"/>
    <w:rsid w:val="00BD760B"/>
    <w:rsid w:val="00BE437E"/>
    <w:rsid w:val="00BE4A23"/>
    <w:rsid w:val="00BE5969"/>
    <w:rsid w:val="00BF1A73"/>
    <w:rsid w:val="00BF260D"/>
    <w:rsid w:val="00BF28F6"/>
    <w:rsid w:val="00BF5589"/>
    <w:rsid w:val="00BF63F7"/>
    <w:rsid w:val="00BF6ADB"/>
    <w:rsid w:val="00BF7320"/>
    <w:rsid w:val="00C00A55"/>
    <w:rsid w:val="00C02C75"/>
    <w:rsid w:val="00C0470B"/>
    <w:rsid w:val="00C05B51"/>
    <w:rsid w:val="00C10F84"/>
    <w:rsid w:val="00C1673C"/>
    <w:rsid w:val="00C20016"/>
    <w:rsid w:val="00C2098C"/>
    <w:rsid w:val="00C20FC0"/>
    <w:rsid w:val="00C229F6"/>
    <w:rsid w:val="00C252CC"/>
    <w:rsid w:val="00C27944"/>
    <w:rsid w:val="00C27FE4"/>
    <w:rsid w:val="00C3163C"/>
    <w:rsid w:val="00C36F11"/>
    <w:rsid w:val="00C379C6"/>
    <w:rsid w:val="00C40107"/>
    <w:rsid w:val="00C425C8"/>
    <w:rsid w:val="00C442E1"/>
    <w:rsid w:val="00C45F09"/>
    <w:rsid w:val="00C515BA"/>
    <w:rsid w:val="00C54396"/>
    <w:rsid w:val="00C626D4"/>
    <w:rsid w:val="00C64F4E"/>
    <w:rsid w:val="00C65C76"/>
    <w:rsid w:val="00C66393"/>
    <w:rsid w:val="00C66727"/>
    <w:rsid w:val="00C71519"/>
    <w:rsid w:val="00C72203"/>
    <w:rsid w:val="00C741F1"/>
    <w:rsid w:val="00C75775"/>
    <w:rsid w:val="00C75E00"/>
    <w:rsid w:val="00C75EC4"/>
    <w:rsid w:val="00C863E6"/>
    <w:rsid w:val="00C864FA"/>
    <w:rsid w:val="00C871DC"/>
    <w:rsid w:val="00C90A96"/>
    <w:rsid w:val="00C91D17"/>
    <w:rsid w:val="00C92685"/>
    <w:rsid w:val="00C9578D"/>
    <w:rsid w:val="00C9590E"/>
    <w:rsid w:val="00C95F9A"/>
    <w:rsid w:val="00CA0AAE"/>
    <w:rsid w:val="00CA4EE9"/>
    <w:rsid w:val="00CB1A45"/>
    <w:rsid w:val="00CB4F38"/>
    <w:rsid w:val="00CB57DD"/>
    <w:rsid w:val="00CB7731"/>
    <w:rsid w:val="00CC12DB"/>
    <w:rsid w:val="00CC447E"/>
    <w:rsid w:val="00CC5BCC"/>
    <w:rsid w:val="00CD19A8"/>
    <w:rsid w:val="00CD45D4"/>
    <w:rsid w:val="00CD54A2"/>
    <w:rsid w:val="00CE128B"/>
    <w:rsid w:val="00CE412B"/>
    <w:rsid w:val="00CE67E9"/>
    <w:rsid w:val="00CF22FA"/>
    <w:rsid w:val="00CF4877"/>
    <w:rsid w:val="00D01DFC"/>
    <w:rsid w:val="00D0444D"/>
    <w:rsid w:val="00D04A51"/>
    <w:rsid w:val="00D04D29"/>
    <w:rsid w:val="00D05518"/>
    <w:rsid w:val="00D05BDE"/>
    <w:rsid w:val="00D1054A"/>
    <w:rsid w:val="00D147F8"/>
    <w:rsid w:val="00D1701E"/>
    <w:rsid w:val="00D20D6F"/>
    <w:rsid w:val="00D21763"/>
    <w:rsid w:val="00D21817"/>
    <w:rsid w:val="00D23C5D"/>
    <w:rsid w:val="00D266F5"/>
    <w:rsid w:val="00D319AF"/>
    <w:rsid w:val="00D31C25"/>
    <w:rsid w:val="00D41E5A"/>
    <w:rsid w:val="00D43215"/>
    <w:rsid w:val="00D442B3"/>
    <w:rsid w:val="00D45653"/>
    <w:rsid w:val="00D46133"/>
    <w:rsid w:val="00D46343"/>
    <w:rsid w:val="00D5164E"/>
    <w:rsid w:val="00D55120"/>
    <w:rsid w:val="00D56CE8"/>
    <w:rsid w:val="00D573EE"/>
    <w:rsid w:val="00D6258A"/>
    <w:rsid w:val="00D661B0"/>
    <w:rsid w:val="00D73B41"/>
    <w:rsid w:val="00D756CF"/>
    <w:rsid w:val="00D80D0D"/>
    <w:rsid w:val="00D81A48"/>
    <w:rsid w:val="00D81FD7"/>
    <w:rsid w:val="00D82180"/>
    <w:rsid w:val="00D86094"/>
    <w:rsid w:val="00D91865"/>
    <w:rsid w:val="00DA1C64"/>
    <w:rsid w:val="00DA1DDF"/>
    <w:rsid w:val="00DA25AE"/>
    <w:rsid w:val="00DA30EF"/>
    <w:rsid w:val="00DA3AAE"/>
    <w:rsid w:val="00DA445A"/>
    <w:rsid w:val="00DA5A57"/>
    <w:rsid w:val="00DB58DA"/>
    <w:rsid w:val="00DB61DE"/>
    <w:rsid w:val="00DC0351"/>
    <w:rsid w:val="00DC0824"/>
    <w:rsid w:val="00DC0DAF"/>
    <w:rsid w:val="00DC1189"/>
    <w:rsid w:val="00DC1D83"/>
    <w:rsid w:val="00DD1DDC"/>
    <w:rsid w:val="00DD1E62"/>
    <w:rsid w:val="00DD40D1"/>
    <w:rsid w:val="00DD6B14"/>
    <w:rsid w:val="00DE383A"/>
    <w:rsid w:val="00DE4028"/>
    <w:rsid w:val="00DE4528"/>
    <w:rsid w:val="00DE49E4"/>
    <w:rsid w:val="00DE7FF0"/>
    <w:rsid w:val="00DF0FF5"/>
    <w:rsid w:val="00DF13C2"/>
    <w:rsid w:val="00DF51BB"/>
    <w:rsid w:val="00E06AFA"/>
    <w:rsid w:val="00E06B59"/>
    <w:rsid w:val="00E17736"/>
    <w:rsid w:val="00E21A29"/>
    <w:rsid w:val="00E23541"/>
    <w:rsid w:val="00E26A1A"/>
    <w:rsid w:val="00E26A61"/>
    <w:rsid w:val="00E2768A"/>
    <w:rsid w:val="00E308FF"/>
    <w:rsid w:val="00E36D37"/>
    <w:rsid w:val="00E40EC7"/>
    <w:rsid w:val="00E4139B"/>
    <w:rsid w:val="00E429CF"/>
    <w:rsid w:val="00E447A1"/>
    <w:rsid w:val="00E514A2"/>
    <w:rsid w:val="00E553DE"/>
    <w:rsid w:val="00E56BF9"/>
    <w:rsid w:val="00E5730E"/>
    <w:rsid w:val="00E6071B"/>
    <w:rsid w:val="00E62F05"/>
    <w:rsid w:val="00E6481F"/>
    <w:rsid w:val="00E64974"/>
    <w:rsid w:val="00E67DC7"/>
    <w:rsid w:val="00E708A6"/>
    <w:rsid w:val="00E72FFA"/>
    <w:rsid w:val="00E74155"/>
    <w:rsid w:val="00E76F45"/>
    <w:rsid w:val="00E8011E"/>
    <w:rsid w:val="00E80408"/>
    <w:rsid w:val="00E80DFF"/>
    <w:rsid w:val="00E80FF6"/>
    <w:rsid w:val="00E87B26"/>
    <w:rsid w:val="00E924F8"/>
    <w:rsid w:val="00E9419D"/>
    <w:rsid w:val="00E945E9"/>
    <w:rsid w:val="00EA0198"/>
    <w:rsid w:val="00EA1B7A"/>
    <w:rsid w:val="00EA2F00"/>
    <w:rsid w:val="00EB472D"/>
    <w:rsid w:val="00EB77A4"/>
    <w:rsid w:val="00EC0443"/>
    <w:rsid w:val="00EC0B15"/>
    <w:rsid w:val="00EC2A3F"/>
    <w:rsid w:val="00EC67D3"/>
    <w:rsid w:val="00ED505E"/>
    <w:rsid w:val="00ED61DF"/>
    <w:rsid w:val="00ED6A1D"/>
    <w:rsid w:val="00EF42B3"/>
    <w:rsid w:val="00EF46AA"/>
    <w:rsid w:val="00EF47E6"/>
    <w:rsid w:val="00F0069A"/>
    <w:rsid w:val="00F058EB"/>
    <w:rsid w:val="00F06AAE"/>
    <w:rsid w:val="00F13369"/>
    <w:rsid w:val="00F161BB"/>
    <w:rsid w:val="00F17D30"/>
    <w:rsid w:val="00F2050B"/>
    <w:rsid w:val="00F30DD6"/>
    <w:rsid w:val="00F319E0"/>
    <w:rsid w:val="00F3466E"/>
    <w:rsid w:val="00F50724"/>
    <w:rsid w:val="00F50BAE"/>
    <w:rsid w:val="00F57C43"/>
    <w:rsid w:val="00F6057B"/>
    <w:rsid w:val="00F625AE"/>
    <w:rsid w:val="00F727C5"/>
    <w:rsid w:val="00F8148E"/>
    <w:rsid w:val="00F83A49"/>
    <w:rsid w:val="00F8461D"/>
    <w:rsid w:val="00F856F3"/>
    <w:rsid w:val="00F85B6A"/>
    <w:rsid w:val="00F9050F"/>
    <w:rsid w:val="00F9429F"/>
    <w:rsid w:val="00F97982"/>
    <w:rsid w:val="00FA0A30"/>
    <w:rsid w:val="00FB0AC8"/>
    <w:rsid w:val="00FB2409"/>
    <w:rsid w:val="00FB3A7A"/>
    <w:rsid w:val="00FC2753"/>
    <w:rsid w:val="00FC49D0"/>
    <w:rsid w:val="00FD2393"/>
    <w:rsid w:val="00FD5352"/>
    <w:rsid w:val="00FD555F"/>
    <w:rsid w:val="00FE087A"/>
    <w:rsid w:val="00FE2CE9"/>
    <w:rsid w:val="00FE5595"/>
    <w:rsid w:val="00FE70AD"/>
    <w:rsid w:val="00FE77FC"/>
    <w:rsid w:val="00FF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049A882-86A6-D745-AB6B-3A6B4541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90A96"/>
    <w:pPr>
      <w:keepNext/>
      <w:jc w:val="both"/>
      <w:outlineLvl w:val="0"/>
    </w:pPr>
    <w:rPr>
      <w:rFonts w:ascii="Times New Roman" w:eastAsia="Times New Roman" w:hAnsi="Times New Roman" w:cs="Times New Roman"/>
      <w:u w:val="single"/>
    </w:rPr>
  </w:style>
  <w:style w:type="paragraph" w:styleId="Heading2">
    <w:name w:val="heading 2"/>
    <w:basedOn w:val="Normal"/>
    <w:next w:val="Normal"/>
    <w:link w:val="Heading2Char"/>
    <w:uiPriority w:val="9"/>
    <w:semiHidden/>
    <w:unhideWhenUsed/>
    <w:qFormat/>
    <w:rsid w:val="00DC1D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E5A"/>
    <w:pPr>
      <w:tabs>
        <w:tab w:val="center" w:pos="4680"/>
        <w:tab w:val="right" w:pos="9360"/>
      </w:tabs>
    </w:pPr>
  </w:style>
  <w:style w:type="character" w:customStyle="1" w:styleId="HeaderChar">
    <w:name w:val="Header Char"/>
    <w:basedOn w:val="DefaultParagraphFont"/>
    <w:link w:val="Header"/>
    <w:uiPriority w:val="99"/>
    <w:rsid w:val="00D41E5A"/>
  </w:style>
  <w:style w:type="paragraph" w:styleId="Footer">
    <w:name w:val="footer"/>
    <w:basedOn w:val="Normal"/>
    <w:link w:val="FooterChar"/>
    <w:uiPriority w:val="99"/>
    <w:unhideWhenUsed/>
    <w:rsid w:val="00D41E5A"/>
    <w:pPr>
      <w:tabs>
        <w:tab w:val="center" w:pos="4680"/>
        <w:tab w:val="right" w:pos="9360"/>
      </w:tabs>
    </w:pPr>
  </w:style>
  <w:style w:type="character" w:customStyle="1" w:styleId="FooterChar">
    <w:name w:val="Footer Char"/>
    <w:basedOn w:val="DefaultParagraphFont"/>
    <w:link w:val="Footer"/>
    <w:uiPriority w:val="99"/>
    <w:rsid w:val="00D41E5A"/>
  </w:style>
  <w:style w:type="character" w:styleId="PageNumber">
    <w:name w:val="page number"/>
    <w:basedOn w:val="DefaultParagraphFont"/>
    <w:uiPriority w:val="99"/>
    <w:semiHidden/>
    <w:unhideWhenUsed/>
    <w:rsid w:val="00D41E5A"/>
  </w:style>
  <w:style w:type="paragraph" w:styleId="FootnoteText">
    <w:name w:val="footnote text"/>
    <w:basedOn w:val="Normal"/>
    <w:link w:val="FootnoteTextChar"/>
    <w:rsid w:val="00D41E5A"/>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rsid w:val="00D41E5A"/>
    <w:rPr>
      <w:rFonts w:ascii="Times New Roman" w:eastAsia="Times New Roman" w:hAnsi="Times New Roman" w:cs="Times New Roman"/>
      <w:sz w:val="20"/>
      <w:szCs w:val="20"/>
      <w:lang w:val="tr-TR" w:eastAsia="tr-TR"/>
    </w:rPr>
  </w:style>
  <w:style w:type="character" w:styleId="FootnoteReference">
    <w:name w:val="footnote reference"/>
    <w:basedOn w:val="DefaultParagraphFont"/>
    <w:rsid w:val="00D41E5A"/>
    <w:rPr>
      <w:rFonts w:cs="Times New Roman"/>
      <w:vertAlign w:val="superscript"/>
    </w:rPr>
  </w:style>
  <w:style w:type="character" w:styleId="Hyperlink">
    <w:name w:val="Hyperlink"/>
    <w:basedOn w:val="DefaultParagraphFont"/>
    <w:uiPriority w:val="99"/>
    <w:unhideWhenUsed/>
    <w:rsid w:val="00D41E5A"/>
    <w:rPr>
      <w:color w:val="0563C1" w:themeColor="hyperlink"/>
      <w:u w:val="single"/>
    </w:rPr>
  </w:style>
  <w:style w:type="paragraph" w:styleId="ListParagraph">
    <w:name w:val="List Paragraph"/>
    <w:basedOn w:val="Normal"/>
    <w:uiPriority w:val="34"/>
    <w:qFormat/>
    <w:rsid w:val="00D41E5A"/>
    <w:pPr>
      <w:ind w:left="720"/>
      <w:contextualSpacing/>
    </w:pPr>
  </w:style>
  <w:style w:type="paragraph" w:styleId="NormalWeb">
    <w:name w:val="Normal (Web)"/>
    <w:basedOn w:val="Normal"/>
    <w:uiPriority w:val="99"/>
    <w:semiHidden/>
    <w:unhideWhenUsed/>
    <w:rsid w:val="00C2098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C90A96"/>
    <w:rPr>
      <w:rFonts w:ascii="Times New Roman" w:eastAsia="Times New Roman" w:hAnsi="Times New Roman" w:cs="Times New Roman"/>
      <w:u w:val="single"/>
    </w:rPr>
  </w:style>
  <w:style w:type="paragraph" w:styleId="BodyText">
    <w:name w:val="Body Text"/>
    <w:basedOn w:val="Normal"/>
    <w:link w:val="BodyTextChar"/>
    <w:rsid w:val="00C90A96"/>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C90A9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E11B5"/>
    <w:rPr>
      <w:color w:val="808080"/>
      <w:shd w:val="clear" w:color="auto" w:fill="E6E6E6"/>
    </w:rPr>
  </w:style>
  <w:style w:type="character" w:styleId="FollowedHyperlink">
    <w:name w:val="FollowedHyperlink"/>
    <w:basedOn w:val="DefaultParagraphFont"/>
    <w:uiPriority w:val="99"/>
    <w:semiHidden/>
    <w:unhideWhenUsed/>
    <w:rsid w:val="0006214E"/>
    <w:rPr>
      <w:color w:val="954F72" w:themeColor="followedHyperlink"/>
      <w:u w:val="single"/>
    </w:rPr>
  </w:style>
  <w:style w:type="character" w:customStyle="1" w:styleId="Heading2Char">
    <w:name w:val="Heading 2 Char"/>
    <w:basedOn w:val="DefaultParagraphFont"/>
    <w:link w:val="Heading2"/>
    <w:uiPriority w:val="9"/>
    <w:semiHidden/>
    <w:rsid w:val="00DC1D8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25201">
      <w:bodyDiv w:val="1"/>
      <w:marLeft w:val="0"/>
      <w:marRight w:val="0"/>
      <w:marTop w:val="0"/>
      <w:marBottom w:val="0"/>
      <w:divBdr>
        <w:top w:val="none" w:sz="0" w:space="0" w:color="auto"/>
        <w:left w:val="none" w:sz="0" w:space="0" w:color="auto"/>
        <w:bottom w:val="none" w:sz="0" w:space="0" w:color="auto"/>
        <w:right w:val="none" w:sz="0" w:space="0" w:color="auto"/>
      </w:divBdr>
    </w:div>
    <w:div w:id="17241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solvency.gov.uk/insolvencyprofessionandlegislation/con_doc_register/IPConsult.pdf" TargetMode="External"/><Relationship Id="rId2" Type="http://schemas.openxmlformats.org/officeDocument/2006/relationships/hyperlink" Target="https://assets.publishing.service.gov.uk/government/uploads/system/uploads/attachment_data/file/821413/Commentary_-_Company_Insolvency_Statistics_Q2_2019.pdf" TargetMode="External"/><Relationship Id="rId1" Type="http://schemas.openxmlformats.org/officeDocument/2006/relationships/hyperlink" Target="https://dominiccummings.com/2020/01/02/two-hands-are-a-lot-were-hiring-data-scientists-project-managers-policy-experts-assorted-weirdos/" TargetMode="External"/><Relationship Id="rId6" Type="http://schemas.openxmlformats.org/officeDocument/2006/relationships/hyperlink" Target="https://www.manolete-partners.com/" TargetMode="External"/><Relationship Id="rId5" Type="http://schemas.openxmlformats.org/officeDocument/2006/relationships/hyperlink" Target="http://bankruptcyandinsolvency.blogspot.com/2009/10/insolvency-services-one-day-insolvency.html" TargetMode="External"/><Relationship Id="rId4" Type="http://schemas.openxmlformats.org/officeDocument/2006/relationships/hyperlink" Target="http://www.oft.gov.uk/shared_oft/reports/Insolvency/oft1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38</Pages>
  <Words>9819</Words>
  <Characters>55483</Characters>
  <Application>Microsoft Office Word</Application>
  <DocSecurity>0</DocSecurity>
  <Lines>2920</Lines>
  <Paragraphs>1632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Tribe</dc:creator>
  <cp:keywords/>
  <dc:description/>
  <cp:lastModifiedBy>John Tribe</cp:lastModifiedBy>
  <cp:revision>113</cp:revision>
  <cp:lastPrinted>2019-04-10T10:52:00Z</cp:lastPrinted>
  <dcterms:created xsi:type="dcterms:W3CDTF">2019-11-18T13:46:00Z</dcterms:created>
  <dcterms:modified xsi:type="dcterms:W3CDTF">2020-04-27T12:56:00Z</dcterms:modified>
</cp:coreProperties>
</file>