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8FEA9" w14:textId="77777777" w:rsidR="009F4C40" w:rsidRDefault="009F4C40" w:rsidP="009F4C40">
      <w:pPr>
        <w:jc w:val="center"/>
        <w:rPr>
          <w:rFonts w:ascii="Arial" w:hAnsi="Arial" w:cs="Arial"/>
          <w:b/>
          <w:bCs/>
          <w:i/>
          <w:iCs/>
          <w:sz w:val="40"/>
          <w:szCs w:val="40"/>
          <w:u w:val="single"/>
        </w:rPr>
      </w:pPr>
    </w:p>
    <w:p w14:paraId="52FE5FAD" w14:textId="77777777" w:rsidR="009F4C40" w:rsidRPr="009F4C40" w:rsidRDefault="00FB309A" w:rsidP="009F4C40">
      <w:pPr>
        <w:jc w:val="center"/>
        <w:rPr>
          <w:rFonts w:ascii="Arial" w:hAnsi="Arial" w:cs="Arial"/>
          <w:b/>
          <w:bCs/>
          <w:sz w:val="40"/>
          <w:szCs w:val="40"/>
          <w:u w:val="single"/>
        </w:rPr>
      </w:pPr>
      <w:r>
        <w:rPr>
          <w:rFonts w:ascii="Arial" w:hAnsi="Arial" w:cs="Arial"/>
          <w:b/>
          <w:bCs/>
          <w:i/>
          <w:iCs/>
          <w:sz w:val="40"/>
          <w:szCs w:val="40"/>
          <w:u w:val="single"/>
        </w:rPr>
        <w:t xml:space="preserve">“Policy Subversion” in Corporate Insolvency: </w:t>
      </w:r>
      <w:r w:rsidR="00BA558B">
        <w:rPr>
          <w:rFonts w:ascii="Arial" w:hAnsi="Arial" w:cs="Arial"/>
          <w:b/>
          <w:bCs/>
          <w:i/>
          <w:iCs/>
          <w:sz w:val="40"/>
          <w:szCs w:val="40"/>
          <w:u w:val="single"/>
        </w:rPr>
        <w:t>Political s</w:t>
      </w:r>
      <w:r w:rsidR="009C0A41">
        <w:rPr>
          <w:rFonts w:ascii="Arial" w:hAnsi="Arial" w:cs="Arial"/>
          <w:b/>
          <w:bCs/>
          <w:i/>
          <w:iCs/>
          <w:sz w:val="40"/>
          <w:szCs w:val="40"/>
          <w:u w:val="single"/>
        </w:rPr>
        <w:t>cience</w:t>
      </w:r>
      <w:r w:rsidR="005D0AB0">
        <w:rPr>
          <w:rFonts w:ascii="Arial" w:hAnsi="Arial" w:cs="Arial"/>
          <w:b/>
          <w:bCs/>
          <w:i/>
          <w:iCs/>
          <w:sz w:val="40"/>
          <w:szCs w:val="40"/>
          <w:u w:val="single"/>
        </w:rPr>
        <w:t xml:space="preserve">, </w:t>
      </w:r>
      <w:proofErr w:type="spellStart"/>
      <w:r w:rsidR="005D0AB0">
        <w:rPr>
          <w:rFonts w:ascii="Arial" w:hAnsi="Arial" w:cs="Arial"/>
          <w:b/>
          <w:bCs/>
          <w:i/>
          <w:iCs/>
          <w:sz w:val="40"/>
          <w:szCs w:val="40"/>
          <w:u w:val="single"/>
        </w:rPr>
        <w:t>marxism</w:t>
      </w:r>
      <w:proofErr w:type="spellEnd"/>
      <w:r w:rsidR="00BA558B">
        <w:rPr>
          <w:rFonts w:ascii="Arial" w:hAnsi="Arial" w:cs="Arial"/>
          <w:b/>
          <w:bCs/>
          <w:i/>
          <w:iCs/>
          <w:sz w:val="40"/>
          <w:szCs w:val="40"/>
          <w:u w:val="single"/>
        </w:rPr>
        <w:t xml:space="preserve"> and t</w:t>
      </w:r>
      <w:r>
        <w:rPr>
          <w:rFonts w:ascii="Arial" w:hAnsi="Arial" w:cs="Arial"/>
          <w:b/>
          <w:bCs/>
          <w:i/>
          <w:iCs/>
          <w:sz w:val="40"/>
          <w:szCs w:val="40"/>
          <w:u w:val="single"/>
        </w:rPr>
        <w:t xml:space="preserve">he role of </w:t>
      </w:r>
      <w:r w:rsidR="00BA558B">
        <w:rPr>
          <w:rFonts w:ascii="Arial" w:hAnsi="Arial" w:cs="Arial"/>
          <w:b/>
          <w:bCs/>
          <w:i/>
          <w:iCs/>
          <w:sz w:val="40"/>
          <w:szCs w:val="40"/>
          <w:u w:val="single"/>
        </w:rPr>
        <w:t>power</w:t>
      </w:r>
      <w:r w:rsidR="00C302AC">
        <w:rPr>
          <w:rFonts w:ascii="Arial" w:hAnsi="Arial" w:cs="Arial"/>
          <w:b/>
          <w:bCs/>
          <w:i/>
          <w:iCs/>
          <w:sz w:val="40"/>
          <w:szCs w:val="40"/>
          <w:u w:val="single"/>
        </w:rPr>
        <w:t xml:space="preserve"> </w:t>
      </w:r>
      <w:r w:rsidR="00AC0FD7">
        <w:rPr>
          <w:rFonts w:ascii="Arial" w:hAnsi="Arial" w:cs="Arial"/>
          <w:b/>
          <w:bCs/>
          <w:i/>
          <w:iCs/>
          <w:sz w:val="40"/>
          <w:szCs w:val="40"/>
          <w:u w:val="single"/>
        </w:rPr>
        <w:t xml:space="preserve">interests </w:t>
      </w:r>
      <w:r>
        <w:rPr>
          <w:rFonts w:ascii="Arial" w:hAnsi="Arial" w:cs="Arial"/>
          <w:b/>
          <w:bCs/>
          <w:i/>
          <w:iCs/>
          <w:sz w:val="40"/>
          <w:szCs w:val="40"/>
          <w:u w:val="single"/>
        </w:rPr>
        <w:t>during the passage of insolvency l</w:t>
      </w:r>
      <w:r w:rsidR="009F4C40" w:rsidRPr="009F4C40">
        <w:rPr>
          <w:rFonts w:ascii="Arial" w:hAnsi="Arial" w:cs="Arial"/>
          <w:b/>
          <w:bCs/>
          <w:i/>
          <w:iCs/>
          <w:sz w:val="40"/>
          <w:szCs w:val="40"/>
          <w:u w:val="single"/>
        </w:rPr>
        <w:t>egislati</w:t>
      </w:r>
      <w:r>
        <w:rPr>
          <w:rFonts w:ascii="Arial" w:hAnsi="Arial" w:cs="Arial"/>
          <w:b/>
          <w:bCs/>
          <w:i/>
          <w:iCs/>
          <w:sz w:val="40"/>
          <w:szCs w:val="40"/>
          <w:u w:val="single"/>
        </w:rPr>
        <w:t>on</w:t>
      </w:r>
    </w:p>
    <w:p w14:paraId="03A9583A" w14:textId="77777777" w:rsidR="009F4C40" w:rsidRPr="009F4C40" w:rsidRDefault="009F4C40" w:rsidP="009F4C40">
      <w:pPr>
        <w:jc w:val="center"/>
        <w:rPr>
          <w:rFonts w:ascii="Arial" w:hAnsi="Arial" w:cs="Arial"/>
          <w:b/>
          <w:bCs/>
          <w:lang w:val="en-US"/>
        </w:rPr>
      </w:pPr>
    </w:p>
    <w:p w14:paraId="12AA5D86" w14:textId="77777777" w:rsidR="009F4C40" w:rsidRPr="009F4C40" w:rsidRDefault="009F4C40" w:rsidP="009F4C40">
      <w:pPr>
        <w:jc w:val="center"/>
        <w:rPr>
          <w:rFonts w:ascii="Arial" w:hAnsi="Arial" w:cs="Arial"/>
          <w:b/>
          <w:bCs/>
          <w:lang w:val="en-US"/>
        </w:rPr>
      </w:pPr>
    </w:p>
    <w:p w14:paraId="2CD296DA" w14:textId="77777777" w:rsidR="009F4C40" w:rsidRPr="009F4C40" w:rsidRDefault="009F4C40" w:rsidP="009F4C40">
      <w:pPr>
        <w:jc w:val="center"/>
        <w:rPr>
          <w:rFonts w:ascii="Arial" w:hAnsi="Arial" w:cs="Arial"/>
        </w:rPr>
      </w:pPr>
    </w:p>
    <w:p w14:paraId="25F1F360" w14:textId="77777777" w:rsidR="009F4C40" w:rsidRPr="009F4C40" w:rsidRDefault="009F4C40" w:rsidP="009F4C40">
      <w:pPr>
        <w:jc w:val="center"/>
        <w:rPr>
          <w:rFonts w:ascii="Arial" w:hAnsi="Arial" w:cs="Arial"/>
        </w:rPr>
      </w:pPr>
      <w:r w:rsidRPr="009F4C40">
        <w:rPr>
          <w:rFonts w:ascii="Arial" w:hAnsi="Arial" w:cs="Arial"/>
        </w:rPr>
        <w:t>By</w:t>
      </w:r>
    </w:p>
    <w:p w14:paraId="4E127CF8" w14:textId="77777777" w:rsidR="009F4C40" w:rsidRPr="009F4C40" w:rsidRDefault="009F4C40" w:rsidP="009F4C40">
      <w:pPr>
        <w:jc w:val="center"/>
        <w:rPr>
          <w:rFonts w:ascii="Arial" w:hAnsi="Arial" w:cs="Arial"/>
        </w:rPr>
      </w:pPr>
    </w:p>
    <w:p w14:paraId="365120CB" w14:textId="77777777" w:rsidR="009F4C40" w:rsidRPr="009F4C40" w:rsidRDefault="009F4C40" w:rsidP="009F4C40">
      <w:pPr>
        <w:jc w:val="center"/>
        <w:outlineLvl w:val="0"/>
        <w:rPr>
          <w:rFonts w:ascii="Arial" w:hAnsi="Arial" w:cs="Arial"/>
        </w:rPr>
      </w:pPr>
      <w:proofErr w:type="spellStart"/>
      <w:r w:rsidRPr="009F4C40">
        <w:rPr>
          <w:rFonts w:ascii="Arial" w:hAnsi="Arial" w:cs="Arial"/>
        </w:rPr>
        <w:t>Dr.</w:t>
      </w:r>
      <w:proofErr w:type="spellEnd"/>
      <w:r w:rsidRPr="009F4C40">
        <w:rPr>
          <w:rFonts w:ascii="Arial" w:hAnsi="Arial" w:cs="Arial"/>
        </w:rPr>
        <w:t xml:space="preserve"> John Tribe</w:t>
      </w:r>
      <w:r w:rsidRPr="009F4C40">
        <w:rPr>
          <w:rStyle w:val="FootnoteReference"/>
          <w:rFonts w:ascii="Arial" w:hAnsi="Arial" w:cs="Arial"/>
        </w:rPr>
        <w:footnoteReference w:customMarkFollows="1" w:id="1"/>
        <w:sym w:font="Symbol" w:char="F0A7"/>
      </w:r>
    </w:p>
    <w:p w14:paraId="6163D865" w14:textId="77777777" w:rsidR="009F4C40" w:rsidRPr="009F4C40" w:rsidRDefault="009F4C40" w:rsidP="009F4C40">
      <w:pPr>
        <w:jc w:val="both"/>
        <w:rPr>
          <w:rFonts w:ascii="Arial" w:hAnsi="Arial" w:cs="Arial"/>
          <w:b/>
          <w:bCs/>
          <w:lang w:val="en-US"/>
        </w:rPr>
      </w:pPr>
    </w:p>
    <w:p w14:paraId="4E7193ED" w14:textId="77777777" w:rsidR="009F4C40" w:rsidRPr="009F4C40" w:rsidRDefault="009F4C40" w:rsidP="009F4C40">
      <w:pPr>
        <w:jc w:val="both"/>
        <w:rPr>
          <w:rFonts w:ascii="Arial" w:hAnsi="Arial" w:cs="Arial"/>
          <w:b/>
          <w:bCs/>
          <w:lang w:val="en-US"/>
        </w:rPr>
      </w:pPr>
    </w:p>
    <w:p w14:paraId="7644C0E3" w14:textId="77777777" w:rsidR="009F4C40" w:rsidRPr="009F4C40" w:rsidRDefault="009F4C40" w:rsidP="009F4C40">
      <w:pPr>
        <w:jc w:val="both"/>
        <w:rPr>
          <w:rFonts w:ascii="Arial" w:hAnsi="Arial" w:cs="Arial"/>
          <w:b/>
          <w:bCs/>
          <w:lang w:val="en-US"/>
        </w:rPr>
      </w:pPr>
    </w:p>
    <w:p w14:paraId="46A8C3D8" w14:textId="77777777" w:rsidR="00FF395E" w:rsidRPr="009F4C40" w:rsidRDefault="00FF395E" w:rsidP="009F4C40">
      <w:pPr>
        <w:jc w:val="both"/>
        <w:rPr>
          <w:rFonts w:ascii="Arial" w:hAnsi="Arial" w:cs="Arial"/>
          <w:sz w:val="20"/>
          <w:szCs w:val="20"/>
          <w:u w:val="single"/>
        </w:rPr>
      </w:pPr>
      <w:r w:rsidRPr="009F4C40">
        <w:rPr>
          <w:rFonts w:ascii="Arial" w:hAnsi="Arial" w:cs="Arial"/>
          <w:b/>
          <w:bCs/>
          <w:sz w:val="20"/>
          <w:szCs w:val="20"/>
          <w:u w:val="single"/>
          <w:lang w:val="en-US"/>
        </w:rPr>
        <w:t xml:space="preserve">Abstract </w:t>
      </w:r>
    </w:p>
    <w:p w14:paraId="536E0737" w14:textId="77777777" w:rsidR="009F4C40" w:rsidRPr="009F4C40" w:rsidRDefault="009F4C40" w:rsidP="009F4C40">
      <w:pPr>
        <w:jc w:val="both"/>
        <w:rPr>
          <w:rFonts w:ascii="Arial" w:hAnsi="Arial" w:cs="Arial"/>
          <w:i/>
          <w:iCs/>
          <w:sz w:val="20"/>
          <w:szCs w:val="20"/>
        </w:rPr>
      </w:pPr>
    </w:p>
    <w:p w14:paraId="3F17A957" w14:textId="77777777" w:rsidR="009F4C40" w:rsidRPr="009F4C40" w:rsidRDefault="001D3AAE" w:rsidP="009F4C40">
      <w:pPr>
        <w:jc w:val="both"/>
        <w:rPr>
          <w:rFonts w:ascii="Arial" w:hAnsi="Arial" w:cs="Arial"/>
          <w:i/>
          <w:iCs/>
          <w:sz w:val="20"/>
          <w:szCs w:val="20"/>
        </w:rPr>
      </w:pPr>
      <w:r w:rsidRPr="009F4C40">
        <w:rPr>
          <w:rFonts w:ascii="Arial" w:hAnsi="Arial" w:cs="Arial"/>
          <w:i/>
          <w:iCs/>
          <w:sz w:val="20"/>
          <w:szCs w:val="20"/>
        </w:rPr>
        <w:t>It is well know that the “transmutation” of administration occurred during the passage of the Ente</w:t>
      </w:r>
      <w:r w:rsidR="00CC3FAA">
        <w:rPr>
          <w:rFonts w:ascii="Arial" w:hAnsi="Arial" w:cs="Arial"/>
          <w:i/>
          <w:iCs/>
          <w:sz w:val="20"/>
          <w:szCs w:val="20"/>
        </w:rPr>
        <w:t>rprise Bill leading up to the enactment</w:t>
      </w:r>
      <w:r w:rsidRPr="009F4C40">
        <w:rPr>
          <w:rFonts w:ascii="Arial" w:hAnsi="Arial" w:cs="Arial"/>
          <w:i/>
          <w:iCs/>
          <w:sz w:val="20"/>
          <w:szCs w:val="20"/>
        </w:rPr>
        <w:t xml:space="preserve"> of the Enterprise Act 2002</w:t>
      </w:r>
      <w:r w:rsidR="00CC3FAA">
        <w:rPr>
          <w:rFonts w:ascii="Arial" w:hAnsi="Arial" w:cs="Arial"/>
          <w:i/>
          <w:iCs/>
          <w:sz w:val="20"/>
          <w:szCs w:val="20"/>
        </w:rPr>
        <w:t xml:space="preserve"> and the reforms that statute made to the Insolvency Act 1986</w:t>
      </w:r>
      <w:r w:rsidRPr="009F4C40">
        <w:rPr>
          <w:rFonts w:ascii="Arial" w:hAnsi="Arial" w:cs="Arial"/>
          <w:i/>
          <w:iCs/>
          <w:sz w:val="20"/>
          <w:szCs w:val="20"/>
        </w:rPr>
        <w:t>. Similarly, the directors</w:t>
      </w:r>
      <w:r w:rsidR="003C1543">
        <w:rPr>
          <w:rFonts w:ascii="Arial" w:hAnsi="Arial" w:cs="Arial"/>
          <w:i/>
          <w:iCs/>
          <w:sz w:val="20"/>
          <w:szCs w:val="20"/>
        </w:rPr>
        <w:t>’</w:t>
      </w:r>
      <w:r w:rsidRPr="009F4C40">
        <w:rPr>
          <w:rFonts w:ascii="Arial" w:hAnsi="Arial" w:cs="Arial"/>
          <w:i/>
          <w:iCs/>
          <w:sz w:val="20"/>
          <w:szCs w:val="20"/>
        </w:rPr>
        <w:t xml:space="preserve"> disqualification regime also suffered from last minute interference during its passage through the House of Lords who were examining, and influencing, the Insolvency and Companies Bills of the mid-1980s. Sir Kenneth Cork himself expressed dissatisfaction with this legislative meddling. The effect of which was to undermine the carefully considered plans of the Cork Committee meaning their final proposals in the famous Command Paper 8558 were not taken up in their totality by the Government in their Command Paper 9175 response, or in the subsequent Insolvency Act 1986 and associated statutes.</w:t>
      </w:r>
    </w:p>
    <w:p w14:paraId="09C838B7" w14:textId="77777777" w:rsidR="001D3AAE" w:rsidRPr="009F4C40" w:rsidRDefault="001D3AAE" w:rsidP="009F4C40">
      <w:pPr>
        <w:jc w:val="both"/>
        <w:rPr>
          <w:rFonts w:ascii="Arial" w:hAnsi="Arial" w:cs="Arial"/>
          <w:sz w:val="20"/>
          <w:szCs w:val="20"/>
        </w:rPr>
      </w:pPr>
      <w:r w:rsidRPr="009F4C40">
        <w:rPr>
          <w:rFonts w:ascii="Arial" w:hAnsi="Arial" w:cs="Arial"/>
          <w:i/>
          <w:iCs/>
          <w:sz w:val="20"/>
          <w:szCs w:val="20"/>
        </w:rPr>
        <w:t xml:space="preserve"> </w:t>
      </w:r>
    </w:p>
    <w:p w14:paraId="61346A3E" w14:textId="77777777" w:rsidR="001D3AAE" w:rsidRPr="009F4C40" w:rsidRDefault="001D3AAE" w:rsidP="009F4C40">
      <w:pPr>
        <w:jc w:val="both"/>
        <w:rPr>
          <w:rFonts w:ascii="Arial" w:hAnsi="Arial" w:cs="Arial"/>
          <w:i/>
          <w:iCs/>
          <w:sz w:val="20"/>
          <w:szCs w:val="20"/>
        </w:rPr>
      </w:pPr>
      <w:r w:rsidRPr="009F4C40">
        <w:rPr>
          <w:rFonts w:ascii="Arial" w:hAnsi="Arial" w:cs="Arial"/>
          <w:i/>
          <w:iCs/>
          <w:sz w:val="20"/>
          <w:szCs w:val="20"/>
        </w:rPr>
        <w:t>Drawing on the Cork Archive at the University of Liverpool, these and further examples are cr</w:t>
      </w:r>
      <w:r w:rsidR="00DD1C4A">
        <w:rPr>
          <w:rFonts w:ascii="Arial" w:hAnsi="Arial" w:cs="Arial"/>
          <w:i/>
          <w:iCs/>
          <w:sz w:val="20"/>
          <w:szCs w:val="20"/>
        </w:rPr>
        <w:t>itically evaluated in this article</w:t>
      </w:r>
      <w:r w:rsidRPr="009F4C40">
        <w:rPr>
          <w:rFonts w:ascii="Arial" w:hAnsi="Arial" w:cs="Arial"/>
          <w:i/>
          <w:iCs/>
          <w:sz w:val="20"/>
          <w:szCs w:val="20"/>
        </w:rPr>
        <w:t xml:space="preserve"> to demonstrate how carefully considered insolvency policy has been subverted during the legislative process in both 1986 and 2002 by various vested </w:t>
      </w:r>
      <w:r w:rsidR="000F2FC1">
        <w:rPr>
          <w:rFonts w:ascii="Arial" w:hAnsi="Arial" w:cs="Arial"/>
          <w:i/>
          <w:iCs/>
          <w:sz w:val="20"/>
          <w:szCs w:val="20"/>
        </w:rPr>
        <w:t xml:space="preserve">power </w:t>
      </w:r>
      <w:r w:rsidRPr="009F4C40">
        <w:rPr>
          <w:rFonts w:ascii="Arial" w:hAnsi="Arial" w:cs="Arial"/>
          <w:i/>
          <w:iCs/>
          <w:sz w:val="20"/>
          <w:szCs w:val="20"/>
        </w:rPr>
        <w:t xml:space="preserve">interests. It is argued that future reform activity should safeguard against these subversive diversions from carefully constructed policy approaches so as to ensure that the totality of the policy’s effect is </w:t>
      </w:r>
      <w:r w:rsidR="009F4C40" w:rsidRPr="009F4C40">
        <w:rPr>
          <w:rFonts w:ascii="Arial" w:hAnsi="Arial" w:cs="Arial"/>
          <w:i/>
          <w:iCs/>
          <w:sz w:val="20"/>
          <w:szCs w:val="20"/>
        </w:rPr>
        <w:t>not lost for all stakeholders.</w:t>
      </w:r>
    </w:p>
    <w:p w14:paraId="32DCBB58" w14:textId="77777777" w:rsidR="009F4C40" w:rsidRPr="009F4C40" w:rsidRDefault="009F4C40" w:rsidP="009F4C40">
      <w:pPr>
        <w:jc w:val="both"/>
        <w:rPr>
          <w:rFonts w:ascii="Arial" w:hAnsi="Arial" w:cs="Arial"/>
          <w:i/>
          <w:iCs/>
        </w:rPr>
      </w:pPr>
    </w:p>
    <w:p w14:paraId="590BEB3F" w14:textId="77777777" w:rsidR="009F4C40" w:rsidRDefault="009F4C40" w:rsidP="009F4C40">
      <w:pPr>
        <w:jc w:val="both"/>
        <w:rPr>
          <w:rFonts w:ascii="Arial" w:hAnsi="Arial" w:cs="Arial"/>
          <w:i/>
          <w:iCs/>
        </w:rPr>
      </w:pPr>
    </w:p>
    <w:p w14:paraId="394CA648" w14:textId="77777777" w:rsidR="009F4C40" w:rsidRPr="009F4C40" w:rsidRDefault="009F4C40" w:rsidP="009F4C40">
      <w:pPr>
        <w:jc w:val="both"/>
        <w:rPr>
          <w:rFonts w:ascii="Arial" w:hAnsi="Arial" w:cs="Arial"/>
          <w:i/>
          <w:iCs/>
        </w:rPr>
      </w:pPr>
    </w:p>
    <w:p w14:paraId="4C93DC31" w14:textId="77777777" w:rsidR="009F4C40" w:rsidRDefault="009F4C40">
      <w:pPr>
        <w:rPr>
          <w:rFonts w:ascii="Arial" w:hAnsi="Arial" w:cs="Arial"/>
          <w:b/>
          <w:iCs/>
          <w:u w:val="single"/>
        </w:rPr>
      </w:pPr>
      <w:r>
        <w:rPr>
          <w:rFonts w:ascii="Arial" w:hAnsi="Arial" w:cs="Arial"/>
          <w:b/>
          <w:iCs/>
          <w:u w:val="single"/>
        </w:rPr>
        <w:br w:type="page"/>
      </w:r>
    </w:p>
    <w:p w14:paraId="5F731AF1" w14:textId="77777777" w:rsidR="009F4C40" w:rsidRPr="009F4C40" w:rsidRDefault="009F4C40" w:rsidP="009F4C40">
      <w:pPr>
        <w:jc w:val="both"/>
        <w:rPr>
          <w:rFonts w:ascii="Arial" w:hAnsi="Arial" w:cs="Arial"/>
          <w:b/>
          <w:iCs/>
          <w:u w:val="single"/>
        </w:rPr>
      </w:pPr>
      <w:r w:rsidRPr="009F4C40">
        <w:rPr>
          <w:rFonts w:ascii="Arial" w:hAnsi="Arial" w:cs="Arial"/>
          <w:b/>
          <w:iCs/>
          <w:u w:val="single"/>
        </w:rPr>
        <w:lastRenderedPageBreak/>
        <w:t>Introduction</w:t>
      </w:r>
    </w:p>
    <w:p w14:paraId="5DDD72E7" w14:textId="77777777" w:rsidR="009F4C40" w:rsidRPr="009F4C40" w:rsidRDefault="009F4C40" w:rsidP="009F4C40">
      <w:pPr>
        <w:jc w:val="both"/>
        <w:rPr>
          <w:rFonts w:ascii="Arial" w:hAnsi="Arial" w:cs="Arial"/>
          <w:i/>
          <w:iCs/>
        </w:rPr>
      </w:pPr>
    </w:p>
    <w:p w14:paraId="138E0294" w14:textId="77777777" w:rsidR="004F7386" w:rsidRDefault="004F7386" w:rsidP="00836DBB">
      <w:pPr>
        <w:spacing w:line="360" w:lineRule="auto"/>
        <w:jc w:val="both"/>
        <w:rPr>
          <w:rFonts w:ascii="Arial" w:hAnsi="Arial" w:cs="Arial"/>
        </w:rPr>
      </w:pPr>
    </w:p>
    <w:p w14:paraId="4A05A881" w14:textId="77777777" w:rsidR="004F7386" w:rsidRDefault="00836DBB" w:rsidP="00836DBB">
      <w:pPr>
        <w:spacing w:line="360" w:lineRule="auto"/>
        <w:jc w:val="both"/>
        <w:rPr>
          <w:rFonts w:ascii="Arial" w:hAnsi="Arial" w:cs="Arial"/>
        </w:rPr>
      </w:pPr>
      <w:r>
        <w:rPr>
          <w:rFonts w:ascii="Arial" w:hAnsi="Arial" w:cs="Arial"/>
        </w:rPr>
        <w:t>This article examines how insolvency policy is translated into legislation</w:t>
      </w:r>
      <w:r w:rsidR="003737AC">
        <w:rPr>
          <w:rFonts w:ascii="Arial" w:hAnsi="Arial" w:cs="Arial"/>
        </w:rPr>
        <w:t>.</w:t>
      </w:r>
      <w:r w:rsidR="00B32B5A">
        <w:rPr>
          <w:rFonts w:ascii="Arial" w:hAnsi="Arial" w:cs="Arial"/>
        </w:rPr>
        <w:t xml:space="preserve"> </w:t>
      </w:r>
      <w:r w:rsidR="00AE39D4">
        <w:rPr>
          <w:rFonts w:ascii="Arial" w:hAnsi="Arial" w:cs="Arial"/>
        </w:rPr>
        <w:t xml:space="preserve">A political science and Marxist </w:t>
      </w:r>
      <w:r w:rsidR="00B32B5A">
        <w:rPr>
          <w:rFonts w:ascii="Arial" w:hAnsi="Arial" w:cs="Arial"/>
        </w:rPr>
        <w:t>lens</w:t>
      </w:r>
      <w:r w:rsidR="00AE39D4">
        <w:rPr>
          <w:rFonts w:ascii="Arial" w:hAnsi="Arial" w:cs="Arial"/>
        </w:rPr>
        <w:t xml:space="preserve"> is used to critique the process and outcomes</w:t>
      </w:r>
      <w:r w:rsidR="00B32B5A">
        <w:rPr>
          <w:rFonts w:ascii="Arial" w:hAnsi="Arial" w:cs="Arial"/>
        </w:rPr>
        <w:t>.</w:t>
      </w:r>
      <w:r w:rsidR="00DB381F">
        <w:rPr>
          <w:rStyle w:val="FootnoteReference"/>
          <w:rFonts w:ascii="Arial" w:hAnsi="Arial" w:cs="Arial"/>
        </w:rPr>
        <w:footnoteReference w:id="2"/>
      </w:r>
      <w:r w:rsidR="00B32B5A">
        <w:rPr>
          <w:rFonts w:ascii="Arial" w:hAnsi="Arial" w:cs="Arial"/>
        </w:rPr>
        <w:t xml:space="preserve"> It is argued that during the legislative</w:t>
      </w:r>
      <w:r>
        <w:rPr>
          <w:rFonts w:ascii="Arial" w:hAnsi="Arial" w:cs="Arial"/>
        </w:rPr>
        <w:t xml:space="preserve"> process a form of poli</w:t>
      </w:r>
      <w:r w:rsidR="00B32B5A">
        <w:rPr>
          <w:rFonts w:ascii="Arial" w:hAnsi="Arial" w:cs="Arial"/>
        </w:rPr>
        <w:t xml:space="preserve">cy undermining occurs where </w:t>
      </w:r>
      <w:r>
        <w:rPr>
          <w:rFonts w:ascii="Arial" w:hAnsi="Arial" w:cs="Arial"/>
        </w:rPr>
        <w:t>carefully thought through policy is subverted by vested</w:t>
      </w:r>
      <w:r w:rsidR="00B32B5A">
        <w:rPr>
          <w:rFonts w:ascii="Arial" w:hAnsi="Arial" w:cs="Arial"/>
        </w:rPr>
        <w:t xml:space="preserve"> power</w:t>
      </w:r>
      <w:r>
        <w:rPr>
          <w:rFonts w:ascii="Arial" w:hAnsi="Arial" w:cs="Arial"/>
        </w:rPr>
        <w:t xml:space="preserve"> interests</w:t>
      </w:r>
      <w:r w:rsidR="002E6773">
        <w:rPr>
          <w:rStyle w:val="FootnoteReference"/>
          <w:rFonts w:ascii="Arial" w:hAnsi="Arial" w:cs="Arial"/>
        </w:rPr>
        <w:footnoteReference w:id="3"/>
      </w:r>
      <w:r>
        <w:rPr>
          <w:rFonts w:ascii="Arial" w:hAnsi="Arial" w:cs="Arial"/>
        </w:rPr>
        <w:t xml:space="preserve"> </w:t>
      </w:r>
      <w:r w:rsidR="00B32B5A">
        <w:rPr>
          <w:rFonts w:ascii="Arial" w:hAnsi="Arial" w:cs="Arial"/>
        </w:rPr>
        <w:t xml:space="preserve">as </w:t>
      </w:r>
      <w:r>
        <w:rPr>
          <w:rFonts w:ascii="Arial" w:hAnsi="Arial" w:cs="Arial"/>
        </w:rPr>
        <w:t>the legislation</w:t>
      </w:r>
      <w:r w:rsidR="00B32B5A">
        <w:rPr>
          <w:rFonts w:ascii="Arial" w:hAnsi="Arial" w:cs="Arial"/>
        </w:rPr>
        <w:t xml:space="preserve"> passes through the </w:t>
      </w:r>
      <w:r w:rsidR="00F635CD">
        <w:rPr>
          <w:rFonts w:ascii="Arial" w:hAnsi="Arial" w:cs="Arial"/>
        </w:rPr>
        <w:t xml:space="preserve">various </w:t>
      </w:r>
      <w:r w:rsidR="00B32B5A">
        <w:rPr>
          <w:rFonts w:ascii="Arial" w:hAnsi="Arial" w:cs="Arial"/>
        </w:rPr>
        <w:t>legislative stages</w:t>
      </w:r>
      <w:r>
        <w:rPr>
          <w:rFonts w:ascii="Arial" w:hAnsi="Arial" w:cs="Arial"/>
        </w:rPr>
        <w:t>.</w:t>
      </w:r>
      <w:r w:rsidR="00D92341">
        <w:rPr>
          <w:rStyle w:val="FootnoteReference"/>
          <w:rFonts w:ascii="Arial" w:hAnsi="Arial" w:cs="Arial"/>
        </w:rPr>
        <w:footnoteReference w:id="4"/>
      </w:r>
      <w:r w:rsidR="004F7386">
        <w:rPr>
          <w:rFonts w:ascii="Arial" w:hAnsi="Arial" w:cs="Arial"/>
        </w:rPr>
        <w:t xml:space="preserve"> The consequence is that the resulting legislation is a </w:t>
      </w:r>
      <w:r w:rsidR="00F46B11">
        <w:rPr>
          <w:rFonts w:ascii="Arial" w:hAnsi="Arial" w:cs="Arial"/>
        </w:rPr>
        <w:t>mélange</w:t>
      </w:r>
      <w:r w:rsidR="004F7386">
        <w:rPr>
          <w:rFonts w:ascii="Arial" w:hAnsi="Arial" w:cs="Arial"/>
        </w:rPr>
        <w:t xml:space="preserve"> of ill-thought through provisions that achieve very little of what the original fr</w:t>
      </w:r>
      <w:r w:rsidR="00696FEF">
        <w:rPr>
          <w:rFonts w:ascii="Arial" w:hAnsi="Arial" w:cs="Arial"/>
        </w:rPr>
        <w:t>amers had in mind with a</w:t>
      </w:r>
      <w:r w:rsidR="004F7386">
        <w:rPr>
          <w:rFonts w:ascii="Arial" w:hAnsi="Arial" w:cs="Arial"/>
        </w:rPr>
        <w:t xml:space="preserve"> well-rounded and developed</w:t>
      </w:r>
      <w:r w:rsidR="000F2FC1">
        <w:rPr>
          <w:rFonts w:ascii="Arial" w:hAnsi="Arial" w:cs="Arial"/>
        </w:rPr>
        <w:t xml:space="preserve"> set of insolvency</w:t>
      </w:r>
      <w:r w:rsidR="004F7386">
        <w:rPr>
          <w:rFonts w:ascii="Arial" w:hAnsi="Arial" w:cs="Arial"/>
        </w:rPr>
        <w:t xml:space="preserve"> procedure</w:t>
      </w:r>
      <w:r w:rsidR="000F2FC1">
        <w:rPr>
          <w:rFonts w:ascii="Arial" w:hAnsi="Arial" w:cs="Arial"/>
        </w:rPr>
        <w:t>s</w:t>
      </w:r>
      <w:r w:rsidR="004F7386">
        <w:rPr>
          <w:rFonts w:ascii="Arial" w:hAnsi="Arial" w:cs="Arial"/>
        </w:rPr>
        <w:t xml:space="preserve">. </w:t>
      </w:r>
      <w:r w:rsidR="00696FEF">
        <w:rPr>
          <w:rFonts w:ascii="Arial" w:hAnsi="Arial" w:cs="Arial"/>
        </w:rPr>
        <w:t>For the purposes of this article we will call this “policy subversion”</w:t>
      </w:r>
      <w:r w:rsidR="00E4785F">
        <w:rPr>
          <w:rFonts w:ascii="Arial" w:hAnsi="Arial" w:cs="Arial"/>
        </w:rPr>
        <w:t xml:space="preserve"> from the original policy intent. </w:t>
      </w:r>
      <w:r w:rsidR="00B32B5A">
        <w:rPr>
          <w:rFonts w:ascii="Arial" w:hAnsi="Arial" w:cs="Arial"/>
        </w:rPr>
        <w:t xml:space="preserve">The upshot of this policy subversion is that </w:t>
      </w:r>
      <w:r w:rsidR="005D08E7">
        <w:rPr>
          <w:rFonts w:ascii="Arial" w:hAnsi="Arial" w:cs="Arial"/>
        </w:rPr>
        <w:t xml:space="preserve">existing </w:t>
      </w:r>
      <w:r w:rsidR="00B32B5A">
        <w:rPr>
          <w:rFonts w:ascii="Arial" w:hAnsi="Arial" w:cs="Arial"/>
        </w:rPr>
        <w:t>power interests are cemented and solidified through the apparatus of law</w:t>
      </w:r>
      <w:r w:rsidR="00F635CD">
        <w:rPr>
          <w:rFonts w:ascii="Arial" w:hAnsi="Arial" w:cs="Arial"/>
        </w:rPr>
        <w:t>, particularly the interests</w:t>
      </w:r>
      <w:r w:rsidR="00B32B5A">
        <w:rPr>
          <w:rFonts w:ascii="Arial" w:hAnsi="Arial" w:cs="Arial"/>
        </w:rPr>
        <w:t xml:space="preserve"> of the banking hegemony. </w:t>
      </w:r>
    </w:p>
    <w:p w14:paraId="561E344E" w14:textId="77777777" w:rsidR="00667623" w:rsidRDefault="00667623" w:rsidP="00836DBB">
      <w:pPr>
        <w:spacing w:line="360" w:lineRule="auto"/>
        <w:jc w:val="both"/>
        <w:rPr>
          <w:rFonts w:ascii="Arial" w:hAnsi="Arial" w:cs="Arial"/>
        </w:rPr>
      </w:pPr>
    </w:p>
    <w:p w14:paraId="5FC96D33" w14:textId="77777777" w:rsidR="00E21415" w:rsidRDefault="00696FEF" w:rsidP="00836DBB">
      <w:pPr>
        <w:spacing w:line="360" w:lineRule="auto"/>
        <w:jc w:val="both"/>
        <w:rPr>
          <w:rFonts w:ascii="Arial" w:hAnsi="Arial" w:cs="Arial"/>
        </w:rPr>
      </w:pPr>
      <w:r>
        <w:rPr>
          <w:rFonts w:ascii="Arial" w:hAnsi="Arial" w:cs="Arial"/>
        </w:rPr>
        <w:t>There are a bewildering number</w:t>
      </w:r>
      <w:r w:rsidR="004F7386">
        <w:rPr>
          <w:rFonts w:ascii="Arial" w:hAnsi="Arial" w:cs="Arial"/>
        </w:rPr>
        <w:t xml:space="preserve"> of stages that potential legislation has to pass through after the policy formulation stage</w:t>
      </w:r>
      <w:r w:rsidR="00E21415">
        <w:rPr>
          <w:rFonts w:ascii="Arial" w:hAnsi="Arial" w:cs="Arial"/>
        </w:rPr>
        <w:t xml:space="preserve"> as Figure One (below) demonstrates</w:t>
      </w:r>
      <w:r w:rsidR="004F7386">
        <w:rPr>
          <w:rFonts w:ascii="Arial" w:hAnsi="Arial" w:cs="Arial"/>
        </w:rPr>
        <w:t xml:space="preserve">. </w:t>
      </w:r>
      <w:r>
        <w:rPr>
          <w:rFonts w:ascii="Arial" w:hAnsi="Arial" w:cs="Arial"/>
        </w:rPr>
        <w:t>Policy s</w:t>
      </w:r>
      <w:r w:rsidR="00E4785F">
        <w:rPr>
          <w:rFonts w:ascii="Arial" w:hAnsi="Arial" w:cs="Arial"/>
        </w:rPr>
        <w:t xml:space="preserve">ubversion can </w:t>
      </w:r>
      <w:r w:rsidR="004F7386">
        <w:rPr>
          <w:rFonts w:ascii="Arial" w:hAnsi="Arial" w:cs="Arial"/>
        </w:rPr>
        <w:t>creep in at any stage, although the House of Lords appear</w:t>
      </w:r>
      <w:r w:rsidR="00E4785F">
        <w:rPr>
          <w:rFonts w:ascii="Arial" w:hAnsi="Arial" w:cs="Arial"/>
        </w:rPr>
        <w:t>s to be a major forum for policy subversion interference</w:t>
      </w:r>
      <w:r w:rsidR="00F635CD">
        <w:rPr>
          <w:rFonts w:ascii="Arial" w:hAnsi="Arial" w:cs="Arial"/>
        </w:rPr>
        <w:t xml:space="preserve"> in insolvency bills</w:t>
      </w:r>
      <w:r>
        <w:rPr>
          <w:rFonts w:ascii="Arial" w:hAnsi="Arial" w:cs="Arial"/>
        </w:rPr>
        <w:t xml:space="preserve"> as will be demonstra</w:t>
      </w:r>
      <w:r w:rsidR="00E4785F">
        <w:rPr>
          <w:rFonts w:ascii="Arial" w:hAnsi="Arial" w:cs="Arial"/>
        </w:rPr>
        <w:t xml:space="preserve">ted below. These </w:t>
      </w:r>
      <w:r w:rsidR="00F635CD">
        <w:rPr>
          <w:rFonts w:ascii="Arial" w:hAnsi="Arial" w:cs="Arial"/>
        </w:rPr>
        <w:t xml:space="preserve">legislative </w:t>
      </w:r>
      <w:r w:rsidR="00E4785F">
        <w:rPr>
          <w:rFonts w:ascii="Arial" w:hAnsi="Arial" w:cs="Arial"/>
        </w:rPr>
        <w:t>stages raise a number of</w:t>
      </w:r>
      <w:r>
        <w:rPr>
          <w:rFonts w:ascii="Arial" w:hAnsi="Arial" w:cs="Arial"/>
        </w:rPr>
        <w:t xml:space="preserve"> important </w:t>
      </w:r>
      <w:r w:rsidR="00E4785F">
        <w:rPr>
          <w:rFonts w:ascii="Arial" w:hAnsi="Arial" w:cs="Arial"/>
        </w:rPr>
        <w:t xml:space="preserve">contradictory </w:t>
      </w:r>
      <w:r>
        <w:rPr>
          <w:rFonts w:ascii="Arial" w:hAnsi="Arial" w:cs="Arial"/>
        </w:rPr>
        <w:t>point</w:t>
      </w:r>
      <w:r w:rsidR="00E4785F">
        <w:rPr>
          <w:rFonts w:ascii="Arial" w:hAnsi="Arial" w:cs="Arial"/>
        </w:rPr>
        <w:t>s</w:t>
      </w:r>
      <w:r>
        <w:rPr>
          <w:rFonts w:ascii="Arial" w:hAnsi="Arial" w:cs="Arial"/>
        </w:rPr>
        <w:t>, and the major rebuttals to t</w:t>
      </w:r>
      <w:r w:rsidR="004F7386">
        <w:rPr>
          <w:rFonts w:ascii="Arial" w:hAnsi="Arial" w:cs="Arial"/>
        </w:rPr>
        <w:t>he central argument in this article</w:t>
      </w:r>
      <w:r>
        <w:rPr>
          <w:rFonts w:ascii="Arial" w:hAnsi="Arial" w:cs="Arial"/>
        </w:rPr>
        <w:t xml:space="preserve">. </w:t>
      </w:r>
    </w:p>
    <w:p w14:paraId="4D6F27B3" w14:textId="77777777" w:rsidR="00E21415" w:rsidRDefault="00E21415" w:rsidP="00E21415">
      <w:pPr>
        <w:jc w:val="both"/>
        <w:rPr>
          <w:rFonts w:ascii="Arial" w:hAnsi="Arial" w:cs="Arial"/>
        </w:rPr>
      </w:pPr>
    </w:p>
    <w:p w14:paraId="3C52E6A1" w14:textId="77777777" w:rsidR="004C0BF7" w:rsidRDefault="004C0BF7">
      <w:pPr>
        <w:rPr>
          <w:rFonts w:ascii="Arial" w:hAnsi="Arial" w:cs="Arial"/>
          <w:b/>
          <w:sz w:val="18"/>
          <w:szCs w:val="18"/>
          <w:u w:val="single"/>
        </w:rPr>
      </w:pPr>
      <w:r>
        <w:rPr>
          <w:rFonts w:ascii="Arial" w:hAnsi="Arial" w:cs="Arial"/>
          <w:b/>
          <w:sz w:val="18"/>
          <w:szCs w:val="18"/>
          <w:u w:val="single"/>
        </w:rPr>
        <w:br w:type="page"/>
      </w:r>
    </w:p>
    <w:p w14:paraId="536677D8" w14:textId="77777777" w:rsidR="00E21415" w:rsidRPr="00280E7D" w:rsidRDefault="00E21415" w:rsidP="00E21415">
      <w:pPr>
        <w:jc w:val="both"/>
        <w:rPr>
          <w:rFonts w:ascii="Arial" w:hAnsi="Arial" w:cs="Arial"/>
          <w:b/>
          <w:sz w:val="18"/>
          <w:szCs w:val="18"/>
          <w:u w:val="single"/>
        </w:rPr>
      </w:pPr>
      <w:r w:rsidRPr="00280E7D">
        <w:rPr>
          <w:rFonts w:ascii="Arial" w:hAnsi="Arial" w:cs="Arial"/>
          <w:b/>
          <w:sz w:val="18"/>
          <w:szCs w:val="18"/>
          <w:u w:val="single"/>
        </w:rPr>
        <w:lastRenderedPageBreak/>
        <w:t xml:space="preserve">Figure One: Legislative Process – an Insolvency Example  </w:t>
      </w:r>
    </w:p>
    <w:p w14:paraId="1D106CA4" w14:textId="77777777" w:rsidR="00E21415" w:rsidRDefault="00E21415" w:rsidP="00E21415">
      <w:pPr>
        <w:jc w:val="both"/>
        <w:rPr>
          <w:b/>
          <w:bCs/>
        </w:rPr>
      </w:pPr>
    </w:p>
    <w:p w14:paraId="1A249AE2" w14:textId="77777777" w:rsidR="00E21415" w:rsidRDefault="00E21415" w:rsidP="00E21415">
      <w:pPr>
        <w:jc w:val="both"/>
        <w:rPr>
          <w:rFonts w:ascii="Arial" w:hAnsi="Arial" w:cs="Arial"/>
        </w:rPr>
      </w:pPr>
      <w:r>
        <w:rPr>
          <w:rFonts w:ascii="Arial" w:hAnsi="Arial" w:cs="Arial"/>
          <w:noProof/>
          <w:lang w:eastAsia="en-GB"/>
        </w:rPr>
        <w:drawing>
          <wp:inline distT="0" distB="0" distL="0" distR="0" wp14:anchorId="6AF794D6" wp14:editId="3715B98C">
            <wp:extent cx="5727700" cy="3202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22 at 08.28.02.png"/>
                    <pic:cNvPicPr/>
                  </pic:nvPicPr>
                  <pic:blipFill>
                    <a:blip r:embed="rId8">
                      <a:extLst>
                        <a:ext uri="{28A0092B-C50C-407E-A947-70E740481C1C}">
                          <a14:useLocalDpi xmlns:a14="http://schemas.microsoft.com/office/drawing/2010/main" val="0"/>
                        </a:ext>
                      </a:extLst>
                    </a:blip>
                    <a:stretch>
                      <a:fillRect/>
                    </a:stretch>
                  </pic:blipFill>
                  <pic:spPr>
                    <a:xfrm>
                      <a:off x="0" y="0"/>
                      <a:ext cx="5727700" cy="3202305"/>
                    </a:xfrm>
                    <a:prstGeom prst="rect">
                      <a:avLst/>
                    </a:prstGeom>
                  </pic:spPr>
                </pic:pic>
              </a:graphicData>
            </a:graphic>
          </wp:inline>
        </w:drawing>
      </w:r>
    </w:p>
    <w:p w14:paraId="095698A3" w14:textId="77777777" w:rsidR="00E21415" w:rsidRDefault="00E21415" w:rsidP="00E21415">
      <w:pPr>
        <w:jc w:val="both"/>
        <w:rPr>
          <w:rFonts w:ascii="Arial" w:hAnsi="Arial" w:cs="Arial"/>
        </w:rPr>
      </w:pPr>
    </w:p>
    <w:p w14:paraId="5A2A5218" w14:textId="77777777" w:rsidR="006B1846" w:rsidRDefault="006B1846" w:rsidP="00836DBB">
      <w:pPr>
        <w:spacing w:line="360" w:lineRule="auto"/>
        <w:jc w:val="both"/>
        <w:rPr>
          <w:rFonts w:ascii="Arial" w:hAnsi="Arial" w:cs="Arial"/>
        </w:rPr>
      </w:pPr>
    </w:p>
    <w:p w14:paraId="249C5B5B" w14:textId="5527D320" w:rsidR="00F30813" w:rsidRDefault="00F635CD" w:rsidP="00836DBB">
      <w:pPr>
        <w:spacing w:line="360" w:lineRule="auto"/>
        <w:jc w:val="both"/>
        <w:rPr>
          <w:rFonts w:ascii="Arial" w:hAnsi="Arial" w:cs="Arial"/>
        </w:rPr>
      </w:pPr>
      <w:r>
        <w:rPr>
          <w:rFonts w:ascii="Arial" w:hAnsi="Arial" w:cs="Arial"/>
        </w:rPr>
        <w:t>The policy subversion thesis</w:t>
      </w:r>
      <w:r w:rsidR="00696FEF">
        <w:rPr>
          <w:rFonts w:ascii="Arial" w:hAnsi="Arial" w:cs="Arial"/>
        </w:rPr>
        <w:t xml:space="preserve"> can potentially be </w:t>
      </w:r>
      <w:r w:rsidR="004F7386">
        <w:rPr>
          <w:rFonts w:ascii="Arial" w:hAnsi="Arial" w:cs="Arial"/>
        </w:rPr>
        <w:t xml:space="preserve">rebutted on two grounds. </w:t>
      </w:r>
      <w:r w:rsidR="00E21415">
        <w:rPr>
          <w:rFonts w:ascii="Arial" w:hAnsi="Arial" w:cs="Arial"/>
        </w:rPr>
        <w:t>First, amendment</w:t>
      </w:r>
      <w:r w:rsidR="00696FEF">
        <w:rPr>
          <w:rFonts w:ascii="Arial" w:hAnsi="Arial" w:cs="Arial"/>
        </w:rPr>
        <w:t>, tinkering and reflection</w:t>
      </w:r>
      <w:r w:rsidR="004F7386">
        <w:rPr>
          <w:rFonts w:ascii="Arial" w:hAnsi="Arial" w:cs="Arial"/>
        </w:rPr>
        <w:t xml:space="preserve"> is </w:t>
      </w:r>
      <w:r w:rsidR="00696FEF">
        <w:rPr>
          <w:rFonts w:ascii="Arial" w:hAnsi="Arial" w:cs="Arial"/>
        </w:rPr>
        <w:t>part of the leg</w:t>
      </w:r>
      <w:r w:rsidR="00E21415">
        <w:rPr>
          <w:rFonts w:ascii="Arial" w:hAnsi="Arial" w:cs="Arial"/>
        </w:rPr>
        <w:t>islative process. It is normal</w:t>
      </w:r>
      <w:r w:rsidR="00696FEF">
        <w:rPr>
          <w:rFonts w:ascii="Arial" w:hAnsi="Arial" w:cs="Arial"/>
        </w:rPr>
        <w:t xml:space="preserve"> for influence to be brought to bear on the original policy</w:t>
      </w:r>
      <w:r w:rsidR="00173E74">
        <w:rPr>
          <w:rFonts w:ascii="Arial" w:hAnsi="Arial" w:cs="Arial"/>
        </w:rPr>
        <w:t xml:space="preserve"> proposals and for policy</w:t>
      </w:r>
      <w:r w:rsidR="00696FEF">
        <w:rPr>
          <w:rFonts w:ascii="Arial" w:hAnsi="Arial" w:cs="Arial"/>
        </w:rPr>
        <w:t xml:space="preserve"> to change and morph as it progresses through the legislature. Second, and related, </w:t>
      </w:r>
      <w:r w:rsidR="004F7386">
        <w:rPr>
          <w:rFonts w:ascii="Arial" w:hAnsi="Arial" w:cs="Arial"/>
        </w:rPr>
        <w:t>it is naïve t</w:t>
      </w:r>
      <w:r w:rsidR="00173E74">
        <w:rPr>
          <w:rFonts w:ascii="Arial" w:hAnsi="Arial" w:cs="Arial"/>
        </w:rPr>
        <w:t>o think that this sort of influence</w:t>
      </w:r>
      <w:r w:rsidR="004F7386">
        <w:rPr>
          <w:rFonts w:ascii="Arial" w:hAnsi="Arial" w:cs="Arial"/>
        </w:rPr>
        <w:t xml:space="preserve"> o</w:t>
      </w:r>
      <w:r w:rsidR="00696FEF">
        <w:rPr>
          <w:rFonts w:ascii="Arial" w:hAnsi="Arial" w:cs="Arial"/>
        </w:rPr>
        <w:t xml:space="preserve">n policy is not going to occur, particularly when </w:t>
      </w:r>
      <w:r w:rsidR="00E21415">
        <w:rPr>
          <w:rFonts w:ascii="Arial" w:hAnsi="Arial" w:cs="Arial"/>
        </w:rPr>
        <w:t xml:space="preserve">one examines the power </w:t>
      </w:r>
      <w:r w:rsidR="00696FEF">
        <w:rPr>
          <w:rFonts w:ascii="Arial" w:hAnsi="Arial" w:cs="Arial"/>
        </w:rPr>
        <w:t>of the vested interests involved, particularly</w:t>
      </w:r>
      <w:r w:rsidR="00173E74">
        <w:rPr>
          <w:rFonts w:ascii="Arial" w:hAnsi="Arial" w:cs="Arial"/>
        </w:rPr>
        <w:t xml:space="preserve"> secured creditor interests</w:t>
      </w:r>
      <w:r w:rsidR="00696FEF">
        <w:rPr>
          <w:rFonts w:ascii="Arial" w:hAnsi="Arial" w:cs="Arial"/>
        </w:rPr>
        <w:t>. For over a century the interests of secured creditors have</w:t>
      </w:r>
      <w:r w:rsidR="005D08E7">
        <w:rPr>
          <w:rFonts w:ascii="Arial" w:hAnsi="Arial" w:cs="Arial"/>
        </w:rPr>
        <w:t xml:space="preserve"> dominated</w:t>
      </w:r>
      <w:r w:rsidR="004B0A00">
        <w:rPr>
          <w:rFonts w:ascii="Arial" w:hAnsi="Arial" w:cs="Arial"/>
        </w:rPr>
        <w:t xml:space="preserve"> all other classes of creditors and wider non-contracting stakeholders. The secured </w:t>
      </w:r>
      <w:r w:rsidR="005D08E7">
        <w:rPr>
          <w:rFonts w:ascii="Arial" w:hAnsi="Arial" w:cs="Arial"/>
        </w:rPr>
        <w:t>creditor has</w:t>
      </w:r>
      <w:r w:rsidR="00696FEF">
        <w:rPr>
          <w:rFonts w:ascii="Arial" w:hAnsi="Arial" w:cs="Arial"/>
        </w:rPr>
        <w:t xml:space="preserve"> been all powerful</w:t>
      </w:r>
      <w:r w:rsidR="005D08E7">
        <w:rPr>
          <w:rFonts w:ascii="Arial" w:hAnsi="Arial" w:cs="Arial"/>
        </w:rPr>
        <w:t xml:space="preserve"> in exercising control over property and the management and strategic direction of insolvent estates</w:t>
      </w:r>
      <w:r w:rsidR="004B0A00">
        <w:rPr>
          <w:rFonts w:ascii="Arial" w:hAnsi="Arial" w:cs="Arial"/>
        </w:rPr>
        <w:t>, ably assisted by the apparatus of a legal regime that facilitates secured creditor dominance</w:t>
      </w:r>
      <w:r w:rsidR="005D08E7">
        <w:rPr>
          <w:rFonts w:ascii="Arial" w:hAnsi="Arial" w:cs="Arial"/>
        </w:rPr>
        <w:t>.</w:t>
      </w:r>
      <w:r w:rsidR="00696FEF">
        <w:rPr>
          <w:rStyle w:val="FootnoteReference"/>
          <w:rFonts w:ascii="Arial" w:hAnsi="Arial" w:cs="Arial"/>
        </w:rPr>
        <w:footnoteReference w:id="5"/>
      </w:r>
      <w:r w:rsidR="005D08E7">
        <w:rPr>
          <w:rFonts w:ascii="Arial" w:hAnsi="Arial" w:cs="Arial"/>
        </w:rPr>
        <w:t xml:space="preserve"> Why would this pervasive influence</w:t>
      </w:r>
      <w:r w:rsidR="00696FEF">
        <w:rPr>
          <w:rFonts w:ascii="Arial" w:hAnsi="Arial" w:cs="Arial"/>
        </w:rPr>
        <w:t xml:space="preserve"> change now</w:t>
      </w:r>
      <w:r w:rsidR="00E21415">
        <w:rPr>
          <w:rFonts w:ascii="Arial" w:hAnsi="Arial" w:cs="Arial"/>
        </w:rPr>
        <w:t xml:space="preserve"> </w:t>
      </w:r>
      <w:r w:rsidR="005D08E7">
        <w:rPr>
          <w:rFonts w:ascii="Arial" w:hAnsi="Arial" w:cs="Arial"/>
        </w:rPr>
        <w:t xml:space="preserve">and reduce in </w:t>
      </w:r>
      <w:r w:rsidR="00E21415">
        <w:rPr>
          <w:rFonts w:ascii="Arial" w:hAnsi="Arial" w:cs="Arial"/>
        </w:rPr>
        <w:t>influence</w:t>
      </w:r>
      <w:r w:rsidR="00696FEF">
        <w:rPr>
          <w:rFonts w:ascii="Arial" w:hAnsi="Arial" w:cs="Arial"/>
        </w:rPr>
        <w:t xml:space="preserve">? </w:t>
      </w:r>
      <w:r w:rsidR="00E21415">
        <w:rPr>
          <w:rFonts w:ascii="Arial" w:hAnsi="Arial" w:cs="Arial"/>
        </w:rPr>
        <w:t>That said there have been some recent attempts to address this dominance</w:t>
      </w:r>
      <w:r w:rsidR="004B0A00">
        <w:rPr>
          <w:rFonts w:ascii="Arial" w:hAnsi="Arial" w:cs="Arial"/>
        </w:rPr>
        <w:t xml:space="preserve"> and rebalance </w:t>
      </w:r>
      <w:r w:rsidR="00F86E33">
        <w:rPr>
          <w:rFonts w:ascii="Arial" w:hAnsi="Arial" w:cs="Arial"/>
        </w:rPr>
        <w:t>interests in favour of other stakeholders having in mind their long experience subjugation</w:t>
      </w:r>
      <w:r w:rsidR="00E21415">
        <w:rPr>
          <w:rFonts w:ascii="Arial" w:hAnsi="Arial" w:cs="Arial"/>
        </w:rPr>
        <w:t xml:space="preserve">, e.g. </w:t>
      </w:r>
      <w:r w:rsidR="00696FEF">
        <w:rPr>
          <w:rFonts w:ascii="Arial" w:hAnsi="Arial" w:cs="Arial"/>
        </w:rPr>
        <w:t>the eventual introduct</w:t>
      </w:r>
      <w:r w:rsidR="00B33C15">
        <w:rPr>
          <w:rFonts w:ascii="Arial" w:hAnsi="Arial" w:cs="Arial"/>
        </w:rPr>
        <w:t>ion of the prescribed part</w:t>
      </w:r>
      <w:r w:rsidR="00E21415">
        <w:rPr>
          <w:rFonts w:ascii="Arial" w:hAnsi="Arial" w:cs="Arial"/>
        </w:rPr>
        <w:t>,</w:t>
      </w:r>
      <w:r w:rsidR="00696FEF">
        <w:rPr>
          <w:rFonts w:ascii="Arial" w:hAnsi="Arial" w:cs="Arial"/>
        </w:rPr>
        <w:t xml:space="preserve"> the abolition of receivership (in intent if not form)</w:t>
      </w:r>
      <w:r w:rsidR="00B33C15">
        <w:rPr>
          <w:rFonts w:ascii="Arial" w:hAnsi="Arial" w:cs="Arial"/>
        </w:rPr>
        <w:t xml:space="preserve"> wrought by the </w:t>
      </w:r>
      <w:r w:rsidR="00B33C15">
        <w:rPr>
          <w:rFonts w:ascii="Arial" w:hAnsi="Arial" w:cs="Arial"/>
        </w:rPr>
        <w:lastRenderedPageBreak/>
        <w:t xml:space="preserve">Enterprise Act 2002 and the House of Lords decision in </w:t>
      </w:r>
      <w:r w:rsidR="00B33C15" w:rsidRPr="00B33C15">
        <w:rPr>
          <w:rFonts w:ascii="Arial" w:hAnsi="Arial" w:cs="Arial"/>
          <w:i/>
        </w:rPr>
        <w:t>Re Spectrum</w:t>
      </w:r>
      <w:r w:rsidR="00F7681A">
        <w:rPr>
          <w:rFonts w:ascii="Arial" w:hAnsi="Arial" w:cs="Arial"/>
          <w:i/>
        </w:rPr>
        <w:t xml:space="preserve"> Plus Ltd</w:t>
      </w:r>
      <w:r w:rsidR="00E21415">
        <w:rPr>
          <w:rFonts w:ascii="Arial" w:hAnsi="Arial" w:cs="Arial"/>
        </w:rPr>
        <w:t>,</w:t>
      </w:r>
      <w:r w:rsidR="00280E7D">
        <w:rPr>
          <w:rStyle w:val="FootnoteReference"/>
          <w:rFonts w:ascii="Arial" w:hAnsi="Arial" w:cs="Arial"/>
        </w:rPr>
        <w:footnoteReference w:id="6"/>
      </w:r>
      <w:r w:rsidR="00E21415">
        <w:rPr>
          <w:rFonts w:ascii="Arial" w:hAnsi="Arial" w:cs="Arial"/>
        </w:rPr>
        <w:t xml:space="preserve"> all went</w:t>
      </w:r>
      <w:r w:rsidR="00696FEF">
        <w:rPr>
          <w:rFonts w:ascii="Arial" w:hAnsi="Arial" w:cs="Arial"/>
        </w:rPr>
        <w:t xml:space="preserve"> some way to address the balance of interests.</w:t>
      </w:r>
      <w:r w:rsidR="00E21415">
        <w:rPr>
          <w:rFonts w:ascii="Arial" w:hAnsi="Arial" w:cs="Arial"/>
        </w:rPr>
        <w:t xml:space="preserve"> If anything though these attack</w:t>
      </w:r>
      <w:r w:rsidR="00A06EA4">
        <w:rPr>
          <w:rFonts w:ascii="Arial" w:hAnsi="Arial" w:cs="Arial"/>
        </w:rPr>
        <w:t xml:space="preserve">s on priority and interest </w:t>
      </w:r>
      <w:r w:rsidR="00E21415">
        <w:rPr>
          <w:rFonts w:ascii="Arial" w:hAnsi="Arial" w:cs="Arial"/>
        </w:rPr>
        <w:t>further galvanise</w:t>
      </w:r>
      <w:r w:rsidR="00F86E33">
        <w:rPr>
          <w:rFonts w:ascii="Arial" w:hAnsi="Arial" w:cs="Arial"/>
        </w:rPr>
        <w:t>d</w:t>
      </w:r>
      <w:r w:rsidR="00A06EA4">
        <w:rPr>
          <w:rFonts w:ascii="Arial" w:hAnsi="Arial" w:cs="Arial"/>
        </w:rPr>
        <w:t xml:space="preserve"> this powerful lobby group and their mouthpiece, the British Bankers’ Association (BBA). </w:t>
      </w:r>
      <w:r w:rsidR="0090109D">
        <w:rPr>
          <w:rFonts w:ascii="Arial" w:hAnsi="Arial" w:cs="Arial"/>
        </w:rPr>
        <w:t>Other lobby groups also become more pr</w:t>
      </w:r>
      <w:r w:rsidR="00CE57C5">
        <w:rPr>
          <w:rFonts w:ascii="Arial" w:hAnsi="Arial" w:cs="Arial"/>
        </w:rPr>
        <w:t>oactive as their interests are a</w:t>
      </w:r>
      <w:r w:rsidR="0090109D">
        <w:rPr>
          <w:rFonts w:ascii="Arial" w:hAnsi="Arial" w:cs="Arial"/>
        </w:rPr>
        <w:t>ffected</w:t>
      </w:r>
      <w:r w:rsidR="000C4DC7">
        <w:rPr>
          <w:rFonts w:ascii="Arial" w:hAnsi="Arial" w:cs="Arial"/>
        </w:rPr>
        <w:t>,</w:t>
      </w:r>
      <w:r w:rsidR="0090109D">
        <w:rPr>
          <w:rStyle w:val="FootnoteReference"/>
          <w:rFonts w:ascii="Arial" w:hAnsi="Arial" w:cs="Arial"/>
        </w:rPr>
        <w:footnoteReference w:id="7"/>
      </w:r>
      <w:r w:rsidR="000C4DC7">
        <w:rPr>
          <w:rFonts w:ascii="Arial" w:hAnsi="Arial" w:cs="Arial"/>
        </w:rPr>
        <w:t xml:space="preserve"> all of which </w:t>
      </w:r>
      <w:r w:rsidR="00375B01">
        <w:rPr>
          <w:rFonts w:ascii="Arial" w:hAnsi="Arial" w:cs="Arial"/>
        </w:rPr>
        <w:t>a</w:t>
      </w:r>
      <w:r w:rsidR="000C4DC7">
        <w:rPr>
          <w:rFonts w:ascii="Arial" w:hAnsi="Arial" w:cs="Arial"/>
        </w:rPr>
        <w:t xml:space="preserve">ffects the carefully thought through policy intentions of the original </w:t>
      </w:r>
      <w:r w:rsidR="00480426">
        <w:rPr>
          <w:rFonts w:ascii="Arial" w:hAnsi="Arial" w:cs="Arial"/>
        </w:rPr>
        <w:t>policy framers.</w:t>
      </w:r>
      <w:r w:rsidR="00CE57C5">
        <w:rPr>
          <w:rFonts w:ascii="Arial" w:hAnsi="Arial" w:cs="Arial"/>
        </w:rPr>
        <w:t xml:space="preserve"> </w:t>
      </w:r>
    </w:p>
    <w:p w14:paraId="1D697678" w14:textId="77777777" w:rsidR="00F30813" w:rsidRDefault="00F30813" w:rsidP="00836DBB">
      <w:pPr>
        <w:spacing w:line="360" w:lineRule="auto"/>
        <w:jc w:val="both"/>
        <w:rPr>
          <w:rFonts w:ascii="Arial" w:hAnsi="Arial" w:cs="Arial"/>
        </w:rPr>
      </w:pPr>
    </w:p>
    <w:p w14:paraId="71F2AD36" w14:textId="77777777" w:rsidR="00785CCA" w:rsidRDefault="00F30813" w:rsidP="00836DBB">
      <w:pPr>
        <w:spacing w:line="360" w:lineRule="auto"/>
        <w:jc w:val="both"/>
        <w:rPr>
          <w:rFonts w:ascii="Arial" w:hAnsi="Arial" w:cs="Arial"/>
        </w:rPr>
      </w:pPr>
      <w:r>
        <w:rPr>
          <w:rFonts w:ascii="Arial" w:hAnsi="Arial" w:cs="Arial"/>
        </w:rPr>
        <w:t>Non-government legislators are, “…usually interested…in debating substantive policy and are unlikely to identify minor technical deficiencies.”</w:t>
      </w:r>
      <w:r>
        <w:rPr>
          <w:rStyle w:val="FootnoteReference"/>
          <w:rFonts w:ascii="Arial" w:hAnsi="Arial" w:cs="Arial"/>
        </w:rPr>
        <w:footnoteReference w:id="8"/>
      </w:r>
      <w:r>
        <w:rPr>
          <w:rFonts w:ascii="Arial" w:hAnsi="Arial" w:cs="Arial"/>
        </w:rPr>
        <w:t xml:space="preserve"> </w:t>
      </w:r>
      <w:r w:rsidR="00F676AF">
        <w:rPr>
          <w:rFonts w:ascii="Arial" w:hAnsi="Arial" w:cs="Arial"/>
        </w:rPr>
        <w:t>The banking lobby is an example of an interest group keen to raise the interests of banks, as compared with other stakeholders, and comment on substantial changes to legislation which obviously in turn effects the underlying policy intentions of the original framers. This policy subversion can be monitored as t</w:t>
      </w:r>
      <w:r>
        <w:rPr>
          <w:rFonts w:ascii="Arial" w:hAnsi="Arial" w:cs="Arial"/>
        </w:rPr>
        <w:t xml:space="preserve">here is a safeguarding mechanism. </w:t>
      </w:r>
      <w:r w:rsidR="00F676AF">
        <w:rPr>
          <w:rFonts w:ascii="Arial" w:hAnsi="Arial" w:cs="Arial"/>
        </w:rPr>
        <w:t xml:space="preserve">Legislators </w:t>
      </w:r>
      <w:r w:rsidR="00CE57C5">
        <w:rPr>
          <w:rFonts w:ascii="Arial" w:hAnsi="Arial" w:cs="Arial"/>
        </w:rPr>
        <w:t>have to declare their interests, as Lord Sharman did during the passag</w:t>
      </w:r>
      <w:r w:rsidR="00131901">
        <w:rPr>
          <w:rFonts w:ascii="Arial" w:hAnsi="Arial" w:cs="Arial"/>
        </w:rPr>
        <w:t>e of the Insolvency Bill in 2000</w:t>
      </w:r>
      <w:r w:rsidR="00CE57C5">
        <w:rPr>
          <w:rFonts w:ascii="Arial" w:hAnsi="Arial" w:cs="Arial"/>
        </w:rPr>
        <w:t>. He observed: “My Lords, I must first declare an interest as a paid adviser to a firm which has a division practising insolvency.”</w:t>
      </w:r>
      <w:r w:rsidR="00CE57C5">
        <w:rPr>
          <w:rStyle w:val="FootnoteReference"/>
          <w:rFonts w:ascii="Arial" w:hAnsi="Arial" w:cs="Arial"/>
        </w:rPr>
        <w:footnoteReference w:id="9"/>
      </w:r>
      <w:r>
        <w:rPr>
          <w:rFonts w:ascii="Arial" w:hAnsi="Arial" w:cs="Arial"/>
        </w:rPr>
        <w:t xml:space="preserve"> </w:t>
      </w:r>
    </w:p>
    <w:p w14:paraId="05EBE5BC" w14:textId="77777777" w:rsidR="00785CCA" w:rsidRDefault="00785CCA" w:rsidP="00836DBB">
      <w:pPr>
        <w:spacing w:line="360" w:lineRule="auto"/>
        <w:jc w:val="both"/>
        <w:rPr>
          <w:rFonts w:ascii="Arial" w:hAnsi="Arial" w:cs="Arial"/>
        </w:rPr>
      </w:pPr>
    </w:p>
    <w:p w14:paraId="45D90D2D" w14:textId="77777777" w:rsidR="00785CCA" w:rsidRDefault="006B1846" w:rsidP="00836DBB">
      <w:pPr>
        <w:spacing w:line="360" w:lineRule="auto"/>
        <w:jc w:val="both"/>
        <w:rPr>
          <w:rFonts w:ascii="Arial" w:hAnsi="Arial" w:cs="Arial"/>
        </w:rPr>
      </w:pPr>
      <w:r>
        <w:rPr>
          <w:rFonts w:ascii="Arial" w:hAnsi="Arial" w:cs="Arial"/>
        </w:rPr>
        <w:t>In a less problematic</w:t>
      </w:r>
      <w:r w:rsidR="00785CCA">
        <w:rPr>
          <w:rFonts w:ascii="Arial" w:hAnsi="Arial" w:cs="Arial"/>
        </w:rPr>
        <w:t xml:space="preserve"> sense though the lack of balanced engagement through the policy and legislative process could be another example of stakeholder apathy. Here we go beyond the sort of shareholder apathy suggested by </w:t>
      </w:r>
      <w:proofErr w:type="spellStart"/>
      <w:r w:rsidR="00785CCA">
        <w:rPr>
          <w:rFonts w:ascii="Arial" w:hAnsi="Arial" w:cs="Arial"/>
        </w:rPr>
        <w:t>Berle</w:t>
      </w:r>
      <w:proofErr w:type="spellEnd"/>
      <w:r w:rsidR="00785CCA">
        <w:rPr>
          <w:rFonts w:ascii="Arial" w:hAnsi="Arial" w:cs="Arial"/>
        </w:rPr>
        <w:t xml:space="preserve"> and Means,</w:t>
      </w:r>
      <w:r w:rsidR="00785CCA">
        <w:rPr>
          <w:rStyle w:val="FootnoteReference"/>
          <w:rFonts w:ascii="Arial" w:hAnsi="Arial" w:cs="Arial"/>
        </w:rPr>
        <w:footnoteReference w:id="10"/>
      </w:r>
      <w:r w:rsidR="00785CCA">
        <w:rPr>
          <w:rFonts w:ascii="Arial" w:hAnsi="Arial" w:cs="Arial"/>
        </w:rPr>
        <w:t xml:space="preserve"> but into the wider gamut of stakeholders as identified by Gross, namely, the environment, suppliers, customers,</w:t>
      </w:r>
      <w:r w:rsidR="00131901">
        <w:rPr>
          <w:rFonts w:ascii="Arial" w:hAnsi="Arial" w:cs="Arial"/>
        </w:rPr>
        <w:t xml:space="preserve"> creditors (of all hues),</w:t>
      </w:r>
      <w:r w:rsidR="00785CCA">
        <w:rPr>
          <w:rFonts w:ascii="Arial" w:hAnsi="Arial" w:cs="Arial"/>
        </w:rPr>
        <w:t xml:space="preserve"> </w:t>
      </w:r>
      <w:r w:rsidR="00131901">
        <w:rPr>
          <w:rFonts w:ascii="Arial" w:hAnsi="Arial" w:cs="Arial"/>
        </w:rPr>
        <w:t>the community, etc.</w:t>
      </w:r>
      <w:r w:rsidR="00131901">
        <w:rPr>
          <w:rStyle w:val="FootnoteReference"/>
          <w:rFonts w:ascii="Arial" w:hAnsi="Arial" w:cs="Arial"/>
        </w:rPr>
        <w:footnoteReference w:id="11"/>
      </w:r>
      <w:r w:rsidR="009A2F82">
        <w:rPr>
          <w:rFonts w:ascii="Arial" w:hAnsi="Arial" w:cs="Arial"/>
        </w:rPr>
        <w:t xml:space="preserve"> If these stakeholders are not engaged in the corporate insolvency process they will not seek to hold powerful lobbying bodies to account. </w:t>
      </w:r>
    </w:p>
    <w:p w14:paraId="32DB53CF" w14:textId="77777777" w:rsidR="00281C2D" w:rsidRDefault="00281C2D" w:rsidP="00836DBB">
      <w:pPr>
        <w:spacing w:line="360" w:lineRule="auto"/>
        <w:jc w:val="both"/>
        <w:rPr>
          <w:rFonts w:ascii="Arial" w:hAnsi="Arial" w:cs="Arial"/>
        </w:rPr>
      </w:pPr>
    </w:p>
    <w:p w14:paraId="232B0B96" w14:textId="77777777" w:rsidR="00814219" w:rsidRDefault="00281C2D" w:rsidP="00836DBB">
      <w:pPr>
        <w:spacing w:line="360" w:lineRule="auto"/>
        <w:jc w:val="both"/>
        <w:rPr>
          <w:rFonts w:ascii="Arial" w:hAnsi="Arial" w:cs="Arial"/>
        </w:rPr>
      </w:pPr>
      <w:r>
        <w:rPr>
          <w:rFonts w:ascii="Arial" w:hAnsi="Arial" w:cs="Arial"/>
        </w:rPr>
        <w:t>It is not suggested that we go as far as King and Crewe who have observed that, “as a legislative assembly the Parliament of the UK is, much of the time, either peripheral or totally irrelevant. It might as well not exist.”</w:t>
      </w:r>
      <w:r>
        <w:rPr>
          <w:rStyle w:val="FootnoteReference"/>
          <w:rFonts w:ascii="Arial" w:hAnsi="Arial" w:cs="Arial"/>
        </w:rPr>
        <w:footnoteReference w:id="12"/>
      </w:r>
      <w:r>
        <w:rPr>
          <w:rFonts w:ascii="Arial" w:hAnsi="Arial" w:cs="Arial"/>
        </w:rPr>
        <w:t xml:space="preserve"> </w:t>
      </w:r>
      <w:r w:rsidR="00067E79">
        <w:rPr>
          <w:rFonts w:ascii="Arial" w:hAnsi="Arial" w:cs="Arial"/>
        </w:rPr>
        <w:t>Nor is it</w:t>
      </w:r>
      <w:r w:rsidR="004D085C">
        <w:rPr>
          <w:rFonts w:ascii="Arial" w:hAnsi="Arial" w:cs="Arial"/>
        </w:rPr>
        <w:t xml:space="preserve"> suggest</w:t>
      </w:r>
      <w:r w:rsidR="00067E79">
        <w:rPr>
          <w:rFonts w:ascii="Arial" w:hAnsi="Arial" w:cs="Arial"/>
        </w:rPr>
        <w:t>ed</w:t>
      </w:r>
      <w:r w:rsidR="004D085C">
        <w:rPr>
          <w:rFonts w:ascii="Arial" w:hAnsi="Arial" w:cs="Arial"/>
        </w:rPr>
        <w:t xml:space="preserve"> that Parliament is a “legislature on its knees</w:t>
      </w:r>
      <w:r w:rsidR="0033779E">
        <w:rPr>
          <w:rFonts w:ascii="Arial" w:hAnsi="Arial" w:cs="Arial"/>
        </w:rPr>
        <w:t>”</w:t>
      </w:r>
      <w:r w:rsidR="004D085C">
        <w:rPr>
          <w:rFonts w:ascii="Arial" w:hAnsi="Arial" w:cs="Arial"/>
        </w:rPr>
        <w:t>, “an elaborate rubber stam</w:t>
      </w:r>
      <w:r w:rsidR="0033779E">
        <w:rPr>
          <w:rFonts w:ascii="Arial" w:hAnsi="Arial" w:cs="Arial"/>
        </w:rPr>
        <w:t>p”</w:t>
      </w:r>
      <w:r w:rsidR="004D085C">
        <w:rPr>
          <w:rFonts w:ascii="Arial" w:hAnsi="Arial" w:cs="Arial"/>
        </w:rPr>
        <w:t xml:space="preserve"> or even “God’s gift to dictatorship.”</w:t>
      </w:r>
      <w:r w:rsidR="004D085C">
        <w:rPr>
          <w:rStyle w:val="FootnoteReference"/>
          <w:rFonts w:ascii="Arial" w:hAnsi="Arial" w:cs="Arial"/>
        </w:rPr>
        <w:footnoteReference w:id="13"/>
      </w:r>
      <w:r w:rsidR="004D085C">
        <w:rPr>
          <w:rFonts w:ascii="Arial" w:hAnsi="Arial" w:cs="Arial"/>
        </w:rPr>
        <w:t xml:space="preserve"> </w:t>
      </w:r>
      <w:r w:rsidR="00067E79">
        <w:rPr>
          <w:rFonts w:ascii="Arial" w:hAnsi="Arial" w:cs="Arial"/>
        </w:rPr>
        <w:t>It is however argued</w:t>
      </w:r>
      <w:r>
        <w:rPr>
          <w:rFonts w:ascii="Arial" w:hAnsi="Arial" w:cs="Arial"/>
        </w:rPr>
        <w:t xml:space="preserve"> that closer adherence to balanced policy formulation is required</w:t>
      </w:r>
      <w:r w:rsidR="00067E79">
        <w:rPr>
          <w:rFonts w:ascii="Arial" w:hAnsi="Arial" w:cs="Arial"/>
        </w:rPr>
        <w:t xml:space="preserve"> in future</w:t>
      </w:r>
      <w:r>
        <w:rPr>
          <w:rFonts w:ascii="Arial" w:hAnsi="Arial" w:cs="Arial"/>
        </w:rPr>
        <w:t xml:space="preserve">. </w:t>
      </w:r>
      <w:r w:rsidR="00814219">
        <w:rPr>
          <w:rFonts w:ascii="Arial" w:hAnsi="Arial" w:cs="Arial"/>
        </w:rPr>
        <w:t xml:space="preserve">This is because Parliament is performing its proper debating and amendment function in the realm of insolvency law. Both the Insolvency Act 1986 and the Enterprise Act 2002 were marked out for the voluminous number of amendments </w:t>
      </w:r>
      <w:r w:rsidR="008E0E7D">
        <w:rPr>
          <w:rFonts w:ascii="Arial" w:hAnsi="Arial" w:cs="Arial"/>
        </w:rPr>
        <w:t xml:space="preserve">that were made to the respective Bills </w:t>
      </w:r>
      <w:r w:rsidR="00814219">
        <w:rPr>
          <w:rFonts w:ascii="Arial" w:hAnsi="Arial" w:cs="Arial"/>
        </w:rPr>
        <w:t xml:space="preserve">as they passed through the legislative process. </w:t>
      </w:r>
      <w:r w:rsidR="008E0E7D">
        <w:rPr>
          <w:rFonts w:ascii="Arial" w:hAnsi="Arial" w:cs="Arial"/>
        </w:rPr>
        <w:t xml:space="preserve">Whilst those changes may legitimately occur, they must closely reflect the original holistic vision of the policy framers so as to deliver a rounded carefully thought through insolvency law. </w:t>
      </w:r>
    </w:p>
    <w:p w14:paraId="456835BC" w14:textId="77777777" w:rsidR="00814219" w:rsidRDefault="00814219" w:rsidP="00836DBB">
      <w:pPr>
        <w:spacing w:line="360" w:lineRule="auto"/>
        <w:jc w:val="both"/>
        <w:rPr>
          <w:rFonts w:ascii="Arial" w:hAnsi="Arial" w:cs="Arial"/>
        </w:rPr>
      </w:pPr>
    </w:p>
    <w:p w14:paraId="49E248A2" w14:textId="77777777" w:rsidR="009F4C40" w:rsidRDefault="00480426" w:rsidP="00836DBB">
      <w:pPr>
        <w:spacing w:line="360" w:lineRule="auto"/>
        <w:jc w:val="both"/>
        <w:rPr>
          <w:rFonts w:ascii="Arial" w:hAnsi="Arial" w:cs="Arial"/>
        </w:rPr>
      </w:pPr>
      <w:r>
        <w:rPr>
          <w:rFonts w:ascii="Arial" w:hAnsi="Arial" w:cs="Arial"/>
        </w:rPr>
        <w:t>We will no</w:t>
      </w:r>
      <w:r w:rsidR="009A2F82">
        <w:rPr>
          <w:rFonts w:ascii="Arial" w:hAnsi="Arial" w:cs="Arial"/>
        </w:rPr>
        <w:t>w examine three areas where policy subversion</w:t>
      </w:r>
      <w:r>
        <w:rPr>
          <w:rFonts w:ascii="Arial" w:hAnsi="Arial" w:cs="Arial"/>
        </w:rPr>
        <w:t xml:space="preserve"> has occurred in relation to corporate insolvency law. </w:t>
      </w:r>
    </w:p>
    <w:p w14:paraId="090958CE" w14:textId="77777777" w:rsidR="00836DBB" w:rsidRDefault="00836DBB" w:rsidP="009F4C40">
      <w:pPr>
        <w:jc w:val="both"/>
        <w:rPr>
          <w:rFonts w:ascii="Arial" w:hAnsi="Arial" w:cs="Arial"/>
        </w:rPr>
      </w:pPr>
    </w:p>
    <w:p w14:paraId="46A0842B" w14:textId="77777777" w:rsidR="00836DBB" w:rsidRDefault="00836DBB" w:rsidP="009F4C40">
      <w:pPr>
        <w:jc w:val="both"/>
        <w:rPr>
          <w:rFonts w:ascii="Arial" w:hAnsi="Arial" w:cs="Arial"/>
        </w:rPr>
      </w:pPr>
    </w:p>
    <w:p w14:paraId="16FB3B58" w14:textId="77777777" w:rsidR="00836DBB" w:rsidRPr="009F4C40" w:rsidRDefault="00836DBB" w:rsidP="00AE2263">
      <w:pPr>
        <w:rPr>
          <w:rFonts w:ascii="Arial" w:hAnsi="Arial" w:cs="Arial"/>
        </w:rPr>
      </w:pPr>
    </w:p>
    <w:p w14:paraId="3F204AA7" w14:textId="77777777" w:rsidR="00FF395E" w:rsidRPr="007B74A5" w:rsidRDefault="00FF395E" w:rsidP="007B74A5">
      <w:pPr>
        <w:pStyle w:val="ListParagraph"/>
        <w:numPr>
          <w:ilvl w:val="0"/>
          <w:numId w:val="2"/>
        </w:numPr>
        <w:jc w:val="both"/>
        <w:rPr>
          <w:rFonts w:ascii="Arial" w:hAnsi="Arial" w:cs="Arial"/>
        </w:rPr>
      </w:pPr>
      <w:r w:rsidRPr="007B74A5">
        <w:rPr>
          <w:rFonts w:ascii="Arial" w:hAnsi="Arial" w:cs="Arial"/>
          <w:b/>
          <w:bCs/>
          <w:u w:val="single"/>
          <w:lang w:val="en-US"/>
        </w:rPr>
        <w:t>Wrongful Trading</w:t>
      </w:r>
      <w:r w:rsidR="004B3FE0" w:rsidRPr="00186E69">
        <w:rPr>
          <w:rStyle w:val="FootnoteReference"/>
          <w:rFonts w:ascii="Arial" w:hAnsi="Arial" w:cs="Arial"/>
          <w:b/>
          <w:bCs/>
          <w:lang w:val="en-US"/>
        </w:rPr>
        <w:footnoteReference w:id="14"/>
      </w:r>
      <w:r w:rsidRPr="007B74A5">
        <w:rPr>
          <w:rFonts w:ascii="Arial" w:hAnsi="Arial" w:cs="Arial"/>
          <w:b/>
          <w:bCs/>
          <w:u w:val="single"/>
          <w:lang w:val="en-US"/>
        </w:rPr>
        <w:t xml:space="preserve"> </w:t>
      </w:r>
    </w:p>
    <w:p w14:paraId="54DCBE89" w14:textId="77777777" w:rsidR="004B3FE0" w:rsidRDefault="004B3FE0" w:rsidP="004B3FE0">
      <w:pPr>
        <w:jc w:val="both"/>
        <w:rPr>
          <w:rFonts w:ascii="Arial" w:hAnsi="Arial" w:cs="Arial"/>
          <w:b/>
          <w:bCs/>
          <w:lang w:val="en-US"/>
        </w:rPr>
      </w:pPr>
    </w:p>
    <w:p w14:paraId="33866DC1" w14:textId="77777777" w:rsidR="007B644A" w:rsidRDefault="007B644A" w:rsidP="00DD1C4A">
      <w:pPr>
        <w:spacing w:line="360" w:lineRule="auto"/>
        <w:jc w:val="both"/>
        <w:rPr>
          <w:rFonts w:ascii="Arial" w:hAnsi="Arial" w:cs="Arial"/>
          <w:bCs/>
          <w:lang w:val="en-US"/>
        </w:rPr>
      </w:pPr>
    </w:p>
    <w:p w14:paraId="472D52BD" w14:textId="77777777" w:rsidR="007B644A" w:rsidRPr="007B644A" w:rsidRDefault="00DD1C4A" w:rsidP="007B644A">
      <w:pPr>
        <w:spacing w:line="360" w:lineRule="auto"/>
        <w:jc w:val="both"/>
        <w:rPr>
          <w:rFonts w:ascii="Arial" w:hAnsi="Arial" w:cs="Arial"/>
          <w:bCs/>
          <w:lang w:val="en-US"/>
        </w:rPr>
      </w:pPr>
      <w:r w:rsidRPr="00DD1C4A">
        <w:rPr>
          <w:rFonts w:ascii="Arial" w:hAnsi="Arial" w:cs="Arial"/>
          <w:bCs/>
          <w:lang w:val="en-US"/>
        </w:rPr>
        <w:t>Professor Sir Roy Goode QC’s anecdote regarding the genesis of the ten percent fund, what we now call the prescribed part, is well known.</w:t>
      </w:r>
      <w:r>
        <w:rPr>
          <w:rStyle w:val="FootnoteReference"/>
          <w:rFonts w:ascii="Arial" w:hAnsi="Arial" w:cs="Arial"/>
          <w:bCs/>
          <w:lang w:val="en-US"/>
        </w:rPr>
        <w:footnoteReference w:id="15"/>
      </w:r>
      <w:r w:rsidR="00894A96">
        <w:rPr>
          <w:rFonts w:ascii="Arial" w:hAnsi="Arial" w:cs="Arial"/>
          <w:bCs/>
          <w:lang w:val="en-US"/>
        </w:rPr>
        <w:t xml:space="preserve"> Perhaps less well known </w:t>
      </w:r>
      <w:r w:rsidR="00894A96">
        <w:rPr>
          <w:rFonts w:ascii="Arial" w:hAnsi="Arial" w:cs="Arial"/>
          <w:bCs/>
          <w:lang w:val="en-US"/>
        </w:rPr>
        <w:lastRenderedPageBreak/>
        <w:t xml:space="preserve">is </w:t>
      </w:r>
      <w:r w:rsidR="007B644A">
        <w:rPr>
          <w:rFonts w:ascii="Arial" w:hAnsi="Arial" w:cs="Arial"/>
          <w:bCs/>
          <w:lang w:val="en-US"/>
        </w:rPr>
        <w:t>Professor David Graham QC’s</w:t>
      </w:r>
      <w:r w:rsidR="00D92AF8">
        <w:rPr>
          <w:rFonts w:ascii="Arial" w:hAnsi="Arial" w:cs="Arial"/>
          <w:bCs/>
          <w:lang w:val="en-US"/>
        </w:rPr>
        <w:t xml:space="preserve"> (hereafter Graham)</w:t>
      </w:r>
      <w:r w:rsidR="007B644A">
        <w:rPr>
          <w:rFonts w:ascii="Arial" w:hAnsi="Arial" w:cs="Arial"/>
          <w:bCs/>
          <w:lang w:val="en-US"/>
        </w:rPr>
        <w:t xml:space="preserve"> anecdote about t</w:t>
      </w:r>
      <w:r w:rsidR="00186E69">
        <w:rPr>
          <w:rFonts w:ascii="Arial" w:hAnsi="Arial" w:cs="Arial"/>
          <w:bCs/>
          <w:lang w:val="en-US"/>
        </w:rPr>
        <w:t xml:space="preserve">he genesis of wrongful trading. </w:t>
      </w:r>
      <w:r w:rsidR="007B644A" w:rsidRPr="007B644A">
        <w:rPr>
          <w:rFonts w:ascii="Arial" w:hAnsi="Arial" w:cs="Arial"/>
          <w:bCs/>
          <w:lang w:val="en-US"/>
        </w:rPr>
        <w:t xml:space="preserve">Some years ago </w:t>
      </w:r>
      <w:r w:rsidR="007B644A">
        <w:rPr>
          <w:rFonts w:ascii="Arial" w:hAnsi="Arial" w:cs="Arial"/>
          <w:bCs/>
          <w:lang w:val="en-US"/>
        </w:rPr>
        <w:t>Gr</w:t>
      </w:r>
      <w:r w:rsidR="00186E69">
        <w:rPr>
          <w:rFonts w:ascii="Arial" w:hAnsi="Arial" w:cs="Arial"/>
          <w:bCs/>
          <w:lang w:val="en-US"/>
        </w:rPr>
        <w:t>aham</w:t>
      </w:r>
      <w:r w:rsidR="007B644A">
        <w:rPr>
          <w:rFonts w:ascii="Arial" w:hAnsi="Arial" w:cs="Arial"/>
          <w:bCs/>
          <w:lang w:val="en-US"/>
        </w:rPr>
        <w:t xml:space="preserve"> informed the author</w:t>
      </w:r>
      <w:r w:rsidR="007B644A" w:rsidRPr="007B644A">
        <w:rPr>
          <w:rFonts w:ascii="Arial" w:hAnsi="Arial" w:cs="Arial"/>
          <w:bCs/>
          <w:lang w:val="en-US"/>
        </w:rPr>
        <w:t xml:space="preserve"> that the phrasing and language for the s.214 Insolvency Act 1986 wrongful trading provisions were discussed by him and the late Mr</w:t>
      </w:r>
      <w:r w:rsidR="007B644A">
        <w:rPr>
          <w:rFonts w:ascii="Arial" w:hAnsi="Arial" w:cs="Arial"/>
          <w:bCs/>
          <w:lang w:val="en-US"/>
        </w:rPr>
        <w:t>.</w:t>
      </w:r>
      <w:r w:rsidR="007B644A" w:rsidRPr="007B644A">
        <w:rPr>
          <w:rFonts w:ascii="Arial" w:hAnsi="Arial" w:cs="Arial"/>
          <w:bCs/>
          <w:lang w:val="en-US"/>
        </w:rPr>
        <w:t xml:space="preserve"> Alfred Goldman whilst they were on a train from Mill Hill Broadway </w:t>
      </w:r>
      <w:r w:rsidR="007B644A">
        <w:rPr>
          <w:rFonts w:ascii="Arial" w:hAnsi="Arial" w:cs="Arial"/>
          <w:bCs/>
          <w:lang w:val="en-US"/>
        </w:rPr>
        <w:t xml:space="preserve">to St </w:t>
      </w:r>
      <w:proofErr w:type="spellStart"/>
      <w:r w:rsidR="007B644A">
        <w:rPr>
          <w:rFonts w:ascii="Arial" w:hAnsi="Arial" w:cs="Arial"/>
          <w:bCs/>
          <w:lang w:val="en-US"/>
        </w:rPr>
        <w:t>Pancras</w:t>
      </w:r>
      <w:proofErr w:type="spellEnd"/>
      <w:r w:rsidR="007B644A">
        <w:rPr>
          <w:rFonts w:ascii="Arial" w:hAnsi="Arial" w:cs="Arial"/>
          <w:bCs/>
          <w:lang w:val="en-US"/>
        </w:rPr>
        <w:t xml:space="preserve"> station</w:t>
      </w:r>
      <w:r w:rsidR="007B644A" w:rsidRPr="007B644A">
        <w:rPr>
          <w:rFonts w:ascii="Arial" w:hAnsi="Arial" w:cs="Arial"/>
          <w:bCs/>
          <w:lang w:val="en-US"/>
        </w:rPr>
        <w:t>. Graham at that period in his career was frequently instructed to appear on behalf of bankrupts in court seeking their discharge. The relevant legislation at the time was s.26 of the Bankruptcy Act 1914 which provided a series of badges of misconduct that the court was required to take into account on such applications. Amongst these were such matters as whether the bankrupt had contributed to his insolvency by rash and hazardous speculations, or by unjustifiable extravagance in living, or by gambling, or by culpable neglect of his business affair</w:t>
      </w:r>
      <w:r w:rsidR="005A2024">
        <w:rPr>
          <w:rFonts w:ascii="Arial" w:hAnsi="Arial" w:cs="Arial"/>
          <w:bCs/>
          <w:lang w:val="en-US"/>
        </w:rPr>
        <w:t xml:space="preserve">s. But the most important badge </w:t>
      </w:r>
      <w:r w:rsidR="007B644A" w:rsidRPr="007B644A">
        <w:rPr>
          <w:rFonts w:ascii="Arial" w:hAnsi="Arial" w:cs="Arial"/>
          <w:bCs/>
          <w:lang w:val="en-US"/>
        </w:rPr>
        <w:t xml:space="preserve">was "that the bankrupt has continued to trade after knowing himself to be insolvent." The primary test was whether in all the circumstances his conduct ought to be regarded as unreasonable. </w:t>
      </w:r>
    </w:p>
    <w:p w14:paraId="30CBFD65" w14:textId="77777777" w:rsidR="007B644A" w:rsidRPr="007B644A" w:rsidRDefault="007B644A" w:rsidP="007B644A">
      <w:pPr>
        <w:spacing w:line="360" w:lineRule="auto"/>
        <w:jc w:val="both"/>
        <w:rPr>
          <w:rFonts w:ascii="Arial" w:hAnsi="Arial" w:cs="Arial"/>
          <w:bCs/>
          <w:lang w:val="en-US"/>
        </w:rPr>
      </w:pPr>
    </w:p>
    <w:p w14:paraId="1CC4D247" w14:textId="77777777" w:rsidR="007B644A" w:rsidRPr="007B644A" w:rsidRDefault="007B644A" w:rsidP="007B644A">
      <w:pPr>
        <w:spacing w:line="360" w:lineRule="auto"/>
        <w:jc w:val="both"/>
        <w:rPr>
          <w:rFonts w:ascii="Arial" w:hAnsi="Arial" w:cs="Arial"/>
          <w:bCs/>
          <w:lang w:val="en-US"/>
        </w:rPr>
      </w:pPr>
      <w:r w:rsidRPr="007B644A">
        <w:rPr>
          <w:rFonts w:ascii="Arial" w:hAnsi="Arial" w:cs="Arial"/>
          <w:bCs/>
          <w:lang w:val="en-US"/>
        </w:rPr>
        <w:t>In the course of what must now be regarded as a m</w:t>
      </w:r>
      <w:r w:rsidR="00614358">
        <w:rPr>
          <w:rFonts w:ascii="Arial" w:hAnsi="Arial" w:cs="Arial"/>
          <w:bCs/>
          <w:lang w:val="en-US"/>
        </w:rPr>
        <w:t>omentous train journey</w:t>
      </w:r>
      <w:r w:rsidRPr="007B644A">
        <w:rPr>
          <w:rFonts w:ascii="Arial" w:hAnsi="Arial" w:cs="Arial"/>
          <w:bCs/>
          <w:lang w:val="en-US"/>
        </w:rPr>
        <w:t xml:space="preserve"> Graham suggested to Goldman (both working on </w:t>
      </w:r>
      <w:r>
        <w:rPr>
          <w:rFonts w:ascii="Arial" w:hAnsi="Arial" w:cs="Arial"/>
          <w:bCs/>
          <w:lang w:val="en-US"/>
        </w:rPr>
        <w:t xml:space="preserve">the </w:t>
      </w:r>
      <w:r w:rsidRPr="007B644A">
        <w:rPr>
          <w:rFonts w:ascii="Arial" w:hAnsi="Arial" w:cs="Arial"/>
          <w:bCs/>
          <w:lang w:val="en-US"/>
        </w:rPr>
        <w:t>Cork</w:t>
      </w:r>
      <w:r>
        <w:rPr>
          <w:rFonts w:ascii="Arial" w:hAnsi="Arial" w:cs="Arial"/>
          <w:bCs/>
          <w:lang w:val="en-US"/>
        </w:rPr>
        <w:t xml:space="preserve"> committee</w:t>
      </w:r>
      <w:r w:rsidRPr="007B644A">
        <w:rPr>
          <w:rFonts w:ascii="Arial" w:hAnsi="Arial" w:cs="Arial"/>
          <w:bCs/>
          <w:lang w:val="en-US"/>
        </w:rPr>
        <w:t xml:space="preserve">) that it was anomalous that whereas in winding up matters there was the concept of "fraudulent trading" there was no such concept of unreasonable trading. The burden of proof in fraudulent trading, both a criminal and civil matter under the same section, was regarded at the time as extremely difficult for a liquidator to discharge, requiring even in the winding up a criminal standard of proof. </w:t>
      </w:r>
    </w:p>
    <w:p w14:paraId="45C3A551" w14:textId="77777777" w:rsidR="007B644A" w:rsidRPr="007B644A" w:rsidRDefault="007B644A" w:rsidP="007B644A">
      <w:pPr>
        <w:spacing w:line="360" w:lineRule="auto"/>
        <w:jc w:val="both"/>
        <w:rPr>
          <w:rFonts w:ascii="Arial" w:hAnsi="Arial" w:cs="Arial"/>
          <w:bCs/>
          <w:lang w:val="en-US"/>
        </w:rPr>
      </w:pPr>
    </w:p>
    <w:p w14:paraId="7DA9DEC0" w14:textId="77777777" w:rsidR="007B644A" w:rsidRPr="007B644A" w:rsidRDefault="007B644A" w:rsidP="007B644A">
      <w:pPr>
        <w:spacing w:line="360" w:lineRule="auto"/>
        <w:jc w:val="both"/>
        <w:rPr>
          <w:rFonts w:ascii="Arial" w:hAnsi="Arial" w:cs="Arial"/>
          <w:bCs/>
          <w:lang w:val="en-US"/>
        </w:rPr>
      </w:pPr>
      <w:r w:rsidRPr="007B644A">
        <w:rPr>
          <w:rFonts w:ascii="Arial" w:hAnsi="Arial" w:cs="Arial"/>
          <w:bCs/>
          <w:lang w:val="en-US"/>
        </w:rPr>
        <w:t xml:space="preserve">The upshot was that Graham came up with the idea that to overcome the anomalous situation with bankruptcy there should be a concept of unreasonable trading in </w:t>
      </w:r>
      <w:r w:rsidR="00BB008C">
        <w:rPr>
          <w:rFonts w:ascii="Arial" w:hAnsi="Arial" w:cs="Arial"/>
          <w:bCs/>
          <w:lang w:val="en-US"/>
        </w:rPr>
        <w:t xml:space="preserve">winding up matters. Even then </w:t>
      </w:r>
      <w:r w:rsidRPr="007B644A">
        <w:rPr>
          <w:rFonts w:ascii="Arial" w:hAnsi="Arial" w:cs="Arial"/>
          <w:bCs/>
          <w:lang w:val="en-US"/>
        </w:rPr>
        <w:t xml:space="preserve">Graham could be </w:t>
      </w:r>
      <w:r w:rsidR="005A2024">
        <w:rPr>
          <w:rFonts w:ascii="Arial" w:hAnsi="Arial" w:cs="Arial"/>
          <w:bCs/>
          <w:lang w:val="en-US"/>
        </w:rPr>
        <w:t xml:space="preserve">prolix and </w:t>
      </w:r>
      <w:r w:rsidRPr="007B644A">
        <w:rPr>
          <w:rFonts w:ascii="Arial" w:hAnsi="Arial" w:cs="Arial"/>
          <w:bCs/>
          <w:lang w:val="en-US"/>
        </w:rPr>
        <w:t xml:space="preserve">Goldman </w:t>
      </w:r>
      <w:r w:rsidR="005A2024">
        <w:rPr>
          <w:rFonts w:ascii="Arial" w:hAnsi="Arial" w:cs="Arial"/>
          <w:bCs/>
          <w:lang w:val="en-US"/>
        </w:rPr>
        <w:t xml:space="preserve">apparently </w:t>
      </w:r>
      <w:r w:rsidRPr="007B644A">
        <w:rPr>
          <w:rFonts w:ascii="Arial" w:hAnsi="Arial" w:cs="Arial"/>
          <w:bCs/>
          <w:lang w:val="en-US"/>
        </w:rPr>
        <w:t xml:space="preserve">retorted, quite bluntly, "why do we not suggest the introduction of a new concept into winding up to be known simply as "wrongful trading."" </w:t>
      </w:r>
      <w:r>
        <w:rPr>
          <w:rFonts w:ascii="Arial" w:hAnsi="Arial" w:cs="Arial"/>
          <w:bCs/>
          <w:lang w:val="en-US"/>
        </w:rPr>
        <w:t>Graham had</w:t>
      </w:r>
      <w:r w:rsidRPr="007B644A">
        <w:rPr>
          <w:rFonts w:ascii="Arial" w:hAnsi="Arial" w:cs="Arial"/>
          <w:bCs/>
          <w:lang w:val="en-US"/>
        </w:rPr>
        <w:t xml:space="preserve"> always believed that behind Goldman's suggestion was the need for a blunt Anglo-Saxon word rather than the more wooly "reasonable" adjective. </w:t>
      </w:r>
    </w:p>
    <w:p w14:paraId="78D37324" w14:textId="77777777" w:rsidR="00DD1C4A" w:rsidRDefault="00DD1C4A" w:rsidP="004B3FE0">
      <w:pPr>
        <w:jc w:val="both"/>
        <w:rPr>
          <w:rFonts w:ascii="Arial" w:hAnsi="Arial" w:cs="Arial"/>
          <w:bCs/>
          <w:lang w:val="en-US"/>
        </w:rPr>
      </w:pPr>
    </w:p>
    <w:p w14:paraId="62F534F8" w14:textId="73DB66D6" w:rsidR="00EF66EB" w:rsidRDefault="00EF66EB" w:rsidP="000B170D">
      <w:pPr>
        <w:spacing w:line="360" w:lineRule="auto"/>
        <w:jc w:val="both"/>
        <w:rPr>
          <w:rFonts w:ascii="Arial" w:hAnsi="Arial" w:cs="Arial"/>
          <w:bCs/>
          <w:lang w:val="en-US"/>
        </w:rPr>
      </w:pPr>
      <w:r>
        <w:rPr>
          <w:rFonts w:ascii="Arial" w:hAnsi="Arial" w:cs="Arial"/>
          <w:bCs/>
          <w:lang w:val="en-US"/>
        </w:rPr>
        <w:t>There is nothing new in the concept of continued problematic trading</w:t>
      </w:r>
      <w:r w:rsidR="00375B01">
        <w:rPr>
          <w:rFonts w:ascii="Arial" w:hAnsi="Arial" w:cs="Arial"/>
          <w:bCs/>
          <w:lang w:val="en-US"/>
        </w:rPr>
        <w:t>,</w:t>
      </w:r>
      <w:r>
        <w:rPr>
          <w:rFonts w:ascii="Arial" w:hAnsi="Arial" w:cs="Arial"/>
          <w:bCs/>
          <w:lang w:val="en-US"/>
        </w:rPr>
        <w:t xml:space="preserve"> something the famous bankruptcy judge Mr</w:t>
      </w:r>
      <w:r w:rsidR="00BB008C">
        <w:rPr>
          <w:rFonts w:ascii="Arial" w:hAnsi="Arial" w:cs="Arial"/>
          <w:bCs/>
          <w:lang w:val="en-US"/>
        </w:rPr>
        <w:t>.</w:t>
      </w:r>
      <w:r>
        <w:rPr>
          <w:rFonts w:ascii="Arial" w:hAnsi="Arial" w:cs="Arial"/>
          <w:bCs/>
          <w:lang w:val="en-US"/>
        </w:rPr>
        <w:t xml:space="preserve"> Justice Cave </w:t>
      </w:r>
      <w:proofErr w:type="spellStart"/>
      <w:r w:rsidR="007A0391">
        <w:rPr>
          <w:rFonts w:ascii="Arial" w:hAnsi="Arial" w:cs="Arial"/>
          <w:bCs/>
          <w:lang w:val="en-US"/>
        </w:rPr>
        <w:t>recognis</w:t>
      </w:r>
      <w:r>
        <w:rPr>
          <w:rFonts w:ascii="Arial" w:hAnsi="Arial" w:cs="Arial"/>
          <w:bCs/>
          <w:lang w:val="en-US"/>
        </w:rPr>
        <w:t>ed</w:t>
      </w:r>
      <w:proofErr w:type="spellEnd"/>
      <w:r>
        <w:rPr>
          <w:rFonts w:ascii="Arial" w:hAnsi="Arial" w:cs="Arial"/>
          <w:bCs/>
          <w:lang w:val="en-US"/>
        </w:rPr>
        <w:t xml:space="preserve"> as </w:t>
      </w:r>
      <w:r w:rsidR="000B170D">
        <w:rPr>
          <w:rFonts w:ascii="Arial" w:hAnsi="Arial" w:cs="Arial"/>
          <w:bCs/>
          <w:lang w:val="en-US"/>
        </w:rPr>
        <w:t>early as 1887</w:t>
      </w:r>
      <w:r>
        <w:rPr>
          <w:rFonts w:ascii="Arial" w:hAnsi="Arial" w:cs="Arial"/>
          <w:bCs/>
          <w:lang w:val="en-US"/>
        </w:rPr>
        <w:t xml:space="preserve"> when he observed in </w:t>
      </w:r>
      <w:r w:rsidRPr="000B170D">
        <w:rPr>
          <w:rFonts w:ascii="Arial" w:hAnsi="Arial" w:cs="Arial"/>
          <w:bCs/>
          <w:i/>
          <w:lang w:val="en-US"/>
        </w:rPr>
        <w:t>Re Stainton</w:t>
      </w:r>
      <w:r w:rsidRPr="00EF66EB">
        <w:rPr>
          <w:rFonts w:ascii="Arial" w:hAnsi="Arial" w:cs="Arial"/>
          <w:bCs/>
          <w:lang w:val="en-US"/>
        </w:rPr>
        <w:t xml:space="preserve"> in relation to a bankrupt trader, "once he is insolvent, he is no </w:t>
      </w:r>
      <w:r w:rsidRPr="00EF66EB">
        <w:rPr>
          <w:rFonts w:ascii="Arial" w:hAnsi="Arial" w:cs="Arial"/>
          <w:bCs/>
          <w:lang w:val="en-US"/>
        </w:rPr>
        <w:lastRenderedPageBreak/>
        <w:t>longer going on at his own risk in case of failure: he is going on at the risk of his creditors."</w:t>
      </w:r>
      <w:r w:rsidR="000B170D">
        <w:rPr>
          <w:rStyle w:val="FootnoteReference"/>
          <w:rFonts w:ascii="Arial" w:hAnsi="Arial" w:cs="Arial"/>
          <w:bCs/>
          <w:lang w:val="en-US"/>
        </w:rPr>
        <w:footnoteReference w:id="16"/>
      </w:r>
      <w:r w:rsidR="000B170D">
        <w:rPr>
          <w:rFonts w:ascii="Arial" w:hAnsi="Arial" w:cs="Arial"/>
          <w:bCs/>
          <w:lang w:val="en-US"/>
        </w:rPr>
        <w:t xml:space="preserve"> </w:t>
      </w:r>
    </w:p>
    <w:p w14:paraId="73FE08E6" w14:textId="77777777" w:rsidR="00186E69" w:rsidRDefault="00186E69" w:rsidP="000B170D">
      <w:pPr>
        <w:spacing w:line="360" w:lineRule="auto"/>
        <w:jc w:val="both"/>
        <w:rPr>
          <w:rFonts w:ascii="Arial" w:hAnsi="Arial" w:cs="Arial"/>
          <w:bCs/>
          <w:lang w:val="en-US"/>
        </w:rPr>
      </w:pPr>
    </w:p>
    <w:p w14:paraId="73A85497" w14:textId="44D7C4C8" w:rsidR="00274F16" w:rsidRDefault="00186E69" w:rsidP="00274F16">
      <w:pPr>
        <w:spacing w:line="360" w:lineRule="auto"/>
        <w:jc w:val="both"/>
        <w:rPr>
          <w:rFonts w:ascii="Arial" w:hAnsi="Arial" w:cs="Arial"/>
          <w:b/>
          <w:bCs/>
          <w:u w:val="single"/>
          <w:lang w:val="en-US"/>
        </w:rPr>
      </w:pPr>
      <w:r>
        <w:rPr>
          <w:rFonts w:ascii="Arial" w:hAnsi="Arial" w:cs="Arial"/>
          <w:bCs/>
          <w:lang w:val="en-US"/>
        </w:rPr>
        <w:t xml:space="preserve">But what of more recent developments? </w:t>
      </w:r>
      <w:r w:rsidR="00480426">
        <w:rPr>
          <w:rFonts w:ascii="Arial" w:hAnsi="Arial" w:cs="Arial"/>
          <w:bCs/>
          <w:lang w:val="en-US"/>
        </w:rPr>
        <w:t>As the Graham anecdote makes clear the Cork Committee</w:t>
      </w:r>
      <w:r w:rsidR="00523738">
        <w:rPr>
          <w:rStyle w:val="FootnoteReference"/>
          <w:rFonts w:ascii="Arial" w:hAnsi="Arial" w:cs="Arial"/>
          <w:bCs/>
          <w:lang w:val="en-US"/>
        </w:rPr>
        <w:footnoteReference w:id="17"/>
      </w:r>
      <w:r w:rsidR="00480426">
        <w:rPr>
          <w:rFonts w:ascii="Arial" w:hAnsi="Arial" w:cs="Arial"/>
          <w:bCs/>
          <w:lang w:val="en-US"/>
        </w:rPr>
        <w:t xml:space="preserve"> w</w:t>
      </w:r>
      <w:r w:rsidR="00375B01">
        <w:rPr>
          <w:rFonts w:ascii="Arial" w:hAnsi="Arial" w:cs="Arial"/>
          <w:bCs/>
          <w:lang w:val="en-US"/>
        </w:rPr>
        <w:t>as</w:t>
      </w:r>
      <w:r w:rsidR="00480426">
        <w:rPr>
          <w:rFonts w:ascii="Arial" w:hAnsi="Arial" w:cs="Arial"/>
          <w:bCs/>
          <w:lang w:val="en-US"/>
        </w:rPr>
        <w:t xml:space="preserve"> concerned with the development o</w:t>
      </w:r>
      <w:r w:rsidR="00523738">
        <w:rPr>
          <w:rFonts w:ascii="Arial" w:hAnsi="Arial" w:cs="Arial"/>
          <w:bCs/>
          <w:lang w:val="en-US"/>
        </w:rPr>
        <w:t>f a wrongful trading provision</w:t>
      </w:r>
      <w:r w:rsidR="00274F16">
        <w:rPr>
          <w:rFonts w:ascii="Arial" w:hAnsi="Arial" w:cs="Arial"/>
          <w:bCs/>
          <w:lang w:val="en-US"/>
        </w:rPr>
        <w:t xml:space="preserve"> to supplement the fraudulent trading provisions there were already on the statute book</w:t>
      </w:r>
      <w:r w:rsidR="00523738">
        <w:rPr>
          <w:rFonts w:ascii="Arial" w:hAnsi="Arial" w:cs="Arial"/>
          <w:bCs/>
          <w:lang w:val="en-US"/>
        </w:rPr>
        <w:t>.</w:t>
      </w:r>
      <w:r w:rsidR="00523738">
        <w:rPr>
          <w:rStyle w:val="FootnoteReference"/>
          <w:rFonts w:ascii="Arial" w:hAnsi="Arial" w:cs="Arial"/>
          <w:bCs/>
          <w:lang w:val="en-US"/>
        </w:rPr>
        <w:footnoteReference w:id="18"/>
      </w:r>
      <w:r w:rsidR="00504365">
        <w:rPr>
          <w:rFonts w:ascii="Arial" w:hAnsi="Arial" w:cs="Arial"/>
          <w:bCs/>
          <w:lang w:val="en-US"/>
        </w:rPr>
        <w:t xml:space="preserve"> What was envisaged? In particular the committee wanted to address the </w:t>
      </w:r>
      <w:r w:rsidR="00274F16">
        <w:rPr>
          <w:rFonts w:ascii="Arial" w:hAnsi="Arial" w:cs="Arial"/>
          <w:bCs/>
          <w:lang w:val="en-US"/>
        </w:rPr>
        <w:t xml:space="preserve">problems caused by the </w:t>
      </w:r>
      <w:r w:rsidR="00504365">
        <w:rPr>
          <w:rFonts w:ascii="Arial" w:hAnsi="Arial" w:cs="Arial"/>
          <w:bCs/>
          <w:lang w:val="en-US"/>
        </w:rPr>
        <w:t xml:space="preserve">high </w:t>
      </w:r>
      <w:r w:rsidR="00274F16">
        <w:rPr>
          <w:rFonts w:ascii="Arial" w:hAnsi="Arial" w:cs="Arial"/>
          <w:bCs/>
          <w:lang w:val="en-US"/>
        </w:rPr>
        <w:t>standard of proof that was required to make use of the fraudulent trading provisions. Because of this necessary safeguard within the realm of criminal law thi</w:t>
      </w:r>
      <w:r w:rsidR="00CA2E58">
        <w:rPr>
          <w:rFonts w:ascii="Arial" w:hAnsi="Arial" w:cs="Arial"/>
          <w:bCs/>
          <w:lang w:val="en-US"/>
        </w:rPr>
        <w:t xml:space="preserve">s provision was seldom used, </w:t>
      </w:r>
      <w:commentRangeStart w:id="0"/>
      <w:r w:rsidR="00375B01">
        <w:rPr>
          <w:rFonts w:ascii="Arial" w:hAnsi="Arial" w:cs="Arial"/>
          <w:bCs/>
          <w:lang w:val="en-US"/>
        </w:rPr>
        <w:t>continuing</w:t>
      </w:r>
      <w:commentRangeEnd w:id="0"/>
      <w:r w:rsidR="00375B01">
        <w:rPr>
          <w:rStyle w:val="CommentReference"/>
        </w:rPr>
        <w:commentReference w:id="0"/>
      </w:r>
      <w:r w:rsidR="00274F16">
        <w:rPr>
          <w:rFonts w:ascii="Arial" w:hAnsi="Arial" w:cs="Arial"/>
          <w:bCs/>
          <w:lang w:val="en-US"/>
        </w:rPr>
        <w:t xml:space="preserve"> </w:t>
      </w:r>
      <w:r w:rsidR="00394E00">
        <w:rPr>
          <w:rFonts w:ascii="Arial" w:hAnsi="Arial" w:cs="Arial"/>
          <w:bCs/>
          <w:lang w:val="en-US"/>
        </w:rPr>
        <w:t>to trade</w:t>
      </w:r>
      <w:r w:rsidR="00274F16">
        <w:rPr>
          <w:rFonts w:ascii="Arial" w:hAnsi="Arial" w:cs="Arial"/>
          <w:bCs/>
          <w:lang w:val="en-US"/>
        </w:rPr>
        <w:t xml:space="preserve"> inappropriately, but something short of criminal, still seemed to be occurring. The proposal to move away from fraudulent trading as a civil remedy meant the introduction of wrongful trading as we have seen. However, in terms of the minutiae of the provision </w:t>
      </w:r>
      <w:r w:rsidR="00CA2E58">
        <w:rPr>
          <w:rFonts w:ascii="Arial" w:hAnsi="Arial" w:cs="Arial"/>
          <w:lang w:val="en-US"/>
        </w:rPr>
        <w:t xml:space="preserve">clause the Cork Committee framed </w:t>
      </w:r>
      <w:r w:rsidR="00375B01">
        <w:rPr>
          <w:rFonts w:ascii="Arial" w:hAnsi="Arial" w:cs="Arial"/>
          <w:lang w:val="en-US"/>
        </w:rPr>
        <w:t>its</w:t>
      </w:r>
      <w:r w:rsidR="00CA2E58">
        <w:rPr>
          <w:rFonts w:ascii="Arial" w:hAnsi="Arial" w:cs="Arial"/>
          <w:lang w:val="en-US"/>
        </w:rPr>
        <w:t xml:space="preserve"> test </w:t>
      </w:r>
      <w:r w:rsidR="00274F16">
        <w:rPr>
          <w:rFonts w:ascii="Arial" w:hAnsi="Arial" w:cs="Arial"/>
          <w:lang w:val="en-US"/>
        </w:rPr>
        <w:t>a</w:t>
      </w:r>
      <w:r w:rsidR="00FF395E" w:rsidRPr="009F4C40">
        <w:rPr>
          <w:rFonts w:ascii="Arial" w:hAnsi="Arial" w:cs="Arial"/>
          <w:lang w:val="en-US"/>
        </w:rPr>
        <w:t xml:space="preserve">s </w:t>
      </w:r>
      <w:r w:rsidR="00FF395E" w:rsidRPr="00CA1469">
        <w:rPr>
          <w:rFonts w:ascii="Arial" w:hAnsi="Arial" w:cs="Arial"/>
          <w:bCs/>
          <w:lang w:val="en-US"/>
        </w:rPr>
        <w:t>completely objective</w:t>
      </w:r>
      <w:r w:rsidR="00274F16" w:rsidRPr="00CA1469">
        <w:rPr>
          <w:rFonts w:ascii="Arial" w:hAnsi="Arial" w:cs="Arial"/>
          <w:bCs/>
          <w:lang w:val="en-US"/>
        </w:rPr>
        <w:t xml:space="preserve"> in formulation:</w:t>
      </w:r>
      <w:r w:rsidR="00274F16">
        <w:rPr>
          <w:rFonts w:ascii="Arial" w:hAnsi="Arial" w:cs="Arial"/>
          <w:b/>
          <w:bCs/>
          <w:u w:val="single"/>
          <w:lang w:val="en-US"/>
        </w:rPr>
        <w:t xml:space="preserve"> </w:t>
      </w:r>
    </w:p>
    <w:p w14:paraId="1BC21A92" w14:textId="77777777" w:rsidR="00274F16" w:rsidRDefault="00274F16" w:rsidP="00274F16">
      <w:pPr>
        <w:spacing w:line="360" w:lineRule="auto"/>
        <w:jc w:val="both"/>
        <w:rPr>
          <w:rFonts w:ascii="Arial" w:hAnsi="Arial" w:cs="Arial"/>
          <w:b/>
          <w:bCs/>
          <w:u w:val="single"/>
          <w:lang w:val="en-US"/>
        </w:rPr>
      </w:pPr>
    </w:p>
    <w:p w14:paraId="0082144E" w14:textId="24A512A3" w:rsidR="004B3FE0" w:rsidRPr="00274F16" w:rsidRDefault="00274F16" w:rsidP="00274F16">
      <w:pPr>
        <w:ind w:left="720"/>
        <w:jc w:val="both"/>
        <w:rPr>
          <w:rFonts w:ascii="Arial" w:hAnsi="Arial" w:cs="Arial"/>
          <w:bCs/>
          <w:i/>
          <w:sz w:val="22"/>
          <w:szCs w:val="22"/>
          <w:lang w:val="en-US"/>
        </w:rPr>
      </w:pPr>
      <w:r w:rsidRPr="00274F16">
        <w:rPr>
          <w:rFonts w:ascii="Arial" w:hAnsi="Arial" w:cs="Arial"/>
          <w:bCs/>
          <w:i/>
          <w:sz w:val="22"/>
          <w:szCs w:val="22"/>
          <w:lang w:val="en-US"/>
        </w:rPr>
        <w:t xml:space="preserve">“Our proposals substitute an objective test. It will constitute wrongful trading for a company to incur liabilities with no reasonable prospect of meeting them; and a director will be personally liable for its debts if, being party to the company’s trading, he knows or ought to have known that such trading was wrongful. In </w:t>
      </w:r>
      <w:r>
        <w:rPr>
          <w:rFonts w:ascii="Arial" w:hAnsi="Arial" w:cs="Arial"/>
          <w:bCs/>
          <w:i/>
          <w:sz w:val="22"/>
          <w:szCs w:val="22"/>
          <w:lang w:val="en-US"/>
        </w:rPr>
        <w:t>determining</w:t>
      </w:r>
      <w:r w:rsidRPr="00274F16">
        <w:rPr>
          <w:rFonts w:ascii="Arial" w:hAnsi="Arial" w:cs="Arial"/>
          <w:bCs/>
          <w:i/>
          <w:sz w:val="22"/>
          <w:szCs w:val="22"/>
          <w:lang w:val="en-US"/>
        </w:rPr>
        <w:t xml:space="preserve"> whether there was a reasonable prospect of the company meeting its liabilities and, if not, whether the directo</w:t>
      </w:r>
      <w:r>
        <w:rPr>
          <w:rFonts w:ascii="Arial" w:hAnsi="Arial" w:cs="Arial"/>
          <w:bCs/>
          <w:i/>
          <w:sz w:val="22"/>
          <w:szCs w:val="22"/>
          <w:lang w:val="en-US"/>
        </w:rPr>
        <w:t>r ought to have known this, the</w:t>
      </w:r>
      <w:r w:rsidRPr="00274F16">
        <w:rPr>
          <w:rFonts w:ascii="Arial" w:hAnsi="Arial" w:cs="Arial"/>
          <w:bCs/>
          <w:i/>
          <w:sz w:val="22"/>
          <w:szCs w:val="22"/>
          <w:lang w:val="en-US"/>
        </w:rPr>
        <w:t xml:space="preserve"> test will be objective, and the standard to be applied will be that of the ordinary, reasonable man.”</w:t>
      </w:r>
      <w:r w:rsidRPr="00C43B43">
        <w:rPr>
          <w:rStyle w:val="FootnoteReference"/>
          <w:rFonts w:ascii="Arial" w:hAnsi="Arial" w:cs="Arial"/>
          <w:bCs/>
          <w:sz w:val="22"/>
          <w:szCs w:val="22"/>
          <w:lang w:val="en-US"/>
        </w:rPr>
        <w:footnoteReference w:id="19"/>
      </w:r>
    </w:p>
    <w:p w14:paraId="1951AFD5" w14:textId="77777777" w:rsidR="004B3FE0" w:rsidRDefault="004B3FE0" w:rsidP="004B3FE0">
      <w:pPr>
        <w:ind w:left="1440"/>
        <w:jc w:val="both"/>
        <w:rPr>
          <w:rFonts w:ascii="Arial" w:hAnsi="Arial" w:cs="Arial"/>
        </w:rPr>
      </w:pPr>
    </w:p>
    <w:p w14:paraId="6DD33A65" w14:textId="77777777" w:rsidR="00274F16" w:rsidRDefault="00274F16" w:rsidP="00274F16">
      <w:pPr>
        <w:jc w:val="both"/>
        <w:rPr>
          <w:rFonts w:ascii="Arial" w:hAnsi="Arial" w:cs="Arial"/>
        </w:rPr>
      </w:pPr>
    </w:p>
    <w:p w14:paraId="5B742CFD" w14:textId="19D6DF08" w:rsidR="00274F16" w:rsidRDefault="00274F16" w:rsidP="00274F16">
      <w:pPr>
        <w:spacing w:line="360" w:lineRule="auto"/>
        <w:jc w:val="both"/>
        <w:rPr>
          <w:rFonts w:ascii="Arial" w:hAnsi="Arial" w:cs="Arial"/>
        </w:rPr>
      </w:pPr>
      <w:r>
        <w:rPr>
          <w:rFonts w:ascii="Arial" w:hAnsi="Arial" w:cs="Arial"/>
        </w:rPr>
        <w:t xml:space="preserve">What transpired? In </w:t>
      </w:r>
      <w:r w:rsidR="00375B01">
        <w:rPr>
          <w:rFonts w:ascii="Arial" w:hAnsi="Arial" w:cs="Arial"/>
        </w:rPr>
        <w:t>its</w:t>
      </w:r>
      <w:r>
        <w:rPr>
          <w:rFonts w:ascii="Arial" w:hAnsi="Arial" w:cs="Arial"/>
        </w:rPr>
        <w:t xml:space="preserve"> formal response the Government decided to retain fraudulent trading as a civil remedy. </w:t>
      </w:r>
      <w:r w:rsidR="00375B01">
        <w:rPr>
          <w:rFonts w:ascii="Arial" w:hAnsi="Arial" w:cs="Arial"/>
        </w:rPr>
        <w:t>It</w:t>
      </w:r>
      <w:r>
        <w:rPr>
          <w:rFonts w:ascii="Arial" w:hAnsi="Arial" w:cs="Arial"/>
        </w:rPr>
        <w:t xml:space="preserve"> did however agree to introduce wrongful trading. </w:t>
      </w:r>
      <w:r w:rsidR="00375B01">
        <w:rPr>
          <w:rFonts w:ascii="Arial" w:hAnsi="Arial" w:cs="Arial"/>
        </w:rPr>
        <w:t>It</w:t>
      </w:r>
      <w:r>
        <w:rPr>
          <w:rFonts w:ascii="Arial" w:hAnsi="Arial" w:cs="Arial"/>
        </w:rPr>
        <w:t xml:space="preserve"> noted:</w:t>
      </w:r>
    </w:p>
    <w:p w14:paraId="12EEC48C" w14:textId="77777777" w:rsidR="00274F16" w:rsidRPr="007927A3" w:rsidRDefault="00274F16" w:rsidP="007927A3">
      <w:pPr>
        <w:ind w:left="720"/>
        <w:jc w:val="both"/>
        <w:rPr>
          <w:rFonts w:ascii="Arial" w:hAnsi="Arial" w:cs="Arial"/>
          <w:sz w:val="22"/>
          <w:szCs w:val="22"/>
        </w:rPr>
      </w:pPr>
      <w:r w:rsidRPr="007927A3">
        <w:rPr>
          <w:rFonts w:ascii="Arial" w:hAnsi="Arial" w:cs="Arial"/>
          <w:i/>
          <w:sz w:val="22"/>
          <w:szCs w:val="22"/>
        </w:rPr>
        <w:t>“</w:t>
      </w:r>
      <w:r w:rsidR="00987724" w:rsidRPr="007927A3">
        <w:rPr>
          <w:rFonts w:ascii="Arial" w:hAnsi="Arial" w:cs="Arial"/>
          <w:i/>
          <w:sz w:val="22"/>
          <w:szCs w:val="22"/>
        </w:rPr>
        <w:t>…the Review Committee’s concept of wrongful trading will be introduced in a modified form, to enable a civil liability to be imposed upon a director (including a shadow director) who allows a company to continue to trade when he knew o</w:t>
      </w:r>
      <w:r w:rsidR="007A0391">
        <w:rPr>
          <w:rFonts w:ascii="Arial" w:hAnsi="Arial" w:cs="Arial"/>
          <w:i/>
          <w:sz w:val="22"/>
          <w:szCs w:val="22"/>
        </w:rPr>
        <w:t>r should have known that there i</w:t>
      </w:r>
      <w:r w:rsidR="00987724" w:rsidRPr="007927A3">
        <w:rPr>
          <w:rFonts w:ascii="Arial" w:hAnsi="Arial" w:cs="Arial"/>
          <w:i/>
          <w:sz w:val="22"/>
          <w:szCs w:val="22"/>
        </w:rPr>
        <w:t>s no prospect of it being able to satisfy its liabilities…”</w:t>
      </w:r>
      <w:r w:rsidR="007927A3" w:rsidRPr="00C43B43">
        <w:rPr>
          <w:rStyle w:val="FootnoteReference"/>
          <w:rFonts w:ascii="Arial" w:hAnsi="Arial" w:cs="Arial"/>
          <w:sz w:val="22"/>
          <w:szCs w:val="22"/>
        </w:rPr>
        <w:footnoteReference w:id="20"/>
      </w:r>
    </w:p>
    <w:p w14:paraId="6CF6F224" w14:textId="77777777" w:rsidR="00274F16" w:rsidRDefault="00274F16" w:rsidP="00274F16">
      <w:pPr>
        <w:spacing w:line="360" w:lineRule="auto"/>
        <w:jc w:val="both"/>
        <w:rPr>
          <w:rFonts w:ascii="Arial" w:hAnsi="Arial" w:cs="Arial"/>
        </w:rPr>
      </w:pPr>
    </w:p>
    <w:p w14:paraId="58B453A0" w14:textId="77777777" w:rsidR="00CA1469" w:rsidRPr="00614358" w:rsidRDefault="00987724" w:rsidP="00CA1469">
      <w:pPr>
        <w:spacing w:line="360" w:lineRule="auto"/>
        <w:jc w:val="both"/>
        <w:rPr>
          <w:rFonts w:ascii="Arial" w:hAnsi="Arial" w:cs="Arial"/>
        </w:rPr>
      </w:pPr>
      <w:r>
        <w:rPr>
          <w:rFonts w:ascii="Arial" w:hAnsi="Arial" w:cs="Arial"/>
        </w:rPr>
        <w:lastRenderedPageBreak/>
        <w:t>But then we move to the Parliament stage and i</w:t>
      </w:r>
      <w:r w:rsidR="00274F16">
        <w:rPr>
          <w:rFonts w:ascii="Arial" w:hAnsi="Arial" w:cs="Arial"/>
        </w:rPr>
        <w:t xml:space="preserve">t is here that we see the </w:t>
      </w:r>
      <w:r>
        <w:rPr>
          <w:rFonts w:ascii="Arial" w:hAnsi="Arial" w:cs="Arial"/>
        </w:rPr>
        <w:t xml:space="preserve">first </w:t>
      </w:r>
      <w:r w:rsidR="007C00D2">
        <w:rPr>
          <w:rFonts w:ascii="Arial" w:hAnsi="Arial" w:cs="Arial"/>
        </w:rPr>
        <w:t>influence of</w:t>
      </w:r>
      <w:r w:rsidR="00274F16">
        <w:rPr>
          <w:rFonts w:ascii="Arial" w:hAnsi="Arial" w:cs="Arial"/>
        </w:rPr>
        <w:t xml:space="preserve"> lobbying group</w:t>
      </w:r>
      <w:r w:rsidR="007C00D2">
        <w:rPr>
          <w:rFonts w:ascii="Arial" w:hAnsi="Arial" w:cs="Arial"/>
        </w:rPr>
        <w:t xml:space="preserve">s, including </w:t>
      </w:r>
      <w:r w:rsidR="00E77EC0">
        <w:rPr>
          <w:rFonts w:ascii="Arial" w:hAnsi="Arial" w:cs="Arial"/>
        </w:rPr>
        <w:t xml:space="preserve">the </w:t>
      </w:r>
      <w:r w:rsidR="00274F16">
        <w:rPr>
          <w:rFonts w:ascii="Arial" w:hAnsi="Arial" w:cs="Arial"/>
        </w:rPr>
        <w:t>Institute of Directors (</w:t>
      </w:r>
      <w:proofErr w:type="spellStart"/>
      <w:r w:rsidR="00274F16">
        <w:rPr>
          <w:rFonts w:ascii="Arial" w:hAnsi="Arial" w:cs="Arial"/>
        </w:rPr>
        <w:t>IoD</w:t>
      </w:r>
      <w:proofErr w:type="spellEnd"/>
      <w:r w:rsidR="00274F16">
        <w:rPr>
          <w:rFonts w:ascii="Arial" w:hAnsi="Arial" w:cs="Arial"/>
        </w:rPr>
        <w:t>)</w:t>
      </w:r>
      <w:r w:rsidR="007927A3">
        <w:rPr>
          <w:rFonts w:ascii="Arial" w:hAnsi="Arial" w:cs="Arial"/>
        </w:rPr>
        <w:t>, Confederation of British Industry (CBI) and the National Consumer Council</w:t>
      </w:r>
      <w:r w:rsidR="00274F16">
        <w:rPr>
          <w:rFonts w:ascii="Arial" w:hAnsi="Arial" w:cs="Arial"/>
        </w:rPr>
        <w:t>.</w:t>
      </w:r>
      <w:r w:rsidR="007927A3">
        <w:rPr>
          <w:rFonts w:ascii="Arial" w:hAnsi="Arial" w:cs="Arial"/>
        </w:rPr>
        <w:t xml:space="preserve"> We also see where the original framer’s policy goes awry. In a House of Commons debate on the responsibility for company’s wrongful trading (sic) Mr Gould notes, “…the new clause is an alternative way to achieve the objective which the Government have set…The problem is that the clause departs from the straightforward, easily comprehensible, recommendations of the review committee</w:t>
      </w:r>
      <w:r w:rsidR="00E77EC0">
        <w:rPr>
          <w:rFonts w:ascii="Arial" w:hAnsi="Arial" w:cs="Arial"/>
        </w:rPr>
        <w:t>.</w:t>
      </w:r>
      <w:r w:rsidR="007927A3">
        <w:rPr>
          <w:rFonts w:ascii="Arial" w:hAnsi="Arial" w:cs="Arial"/>
        </w:rPr>
        <w:t>”</w:t>
      </w:r>
      <w:r w:rsidR="007927A3">
        <w:rPr>
          <w:rStyle w:val="FootnoteReference"/>
          <w:rFonts w:ascii="Arial" w:hAnsi="Arial" w:cs="Arial"/>
        </w:rPr>
        <w:footnoteReference w:id="21"/>
      </w:r>
      <w:r w:rsidR="00274F16">
        <w:rPr>
          <w:rFonts w:ascii="Arial" w:hAnsi="Arial" w:cs="Arial"/>
        </w:rPr>
        <w:t xml:space="preserve"> </w:t>
      </w:r>
      <w:r w:rsidR="007927A3">
        <w:rPr>
          <w:rFonts w:ascii="Arial" w:hAnsi="Arial" w:cs="Arial"/>
        </w:rPr>
        <w:t>The British Venture Capital Association supported this view when saying that “if the Bill’s wrongful trading clause is implemented as drafted, no sensible professional manager will run the additional risks of personal liability proposed…”</w:t>
      </w:r>
      <w:commentRangeStart w:id="1"/>
      <w:r w:rsidR="00375B01">
        <w:rPr>
          <w:rFonts w:ascii="Arial" w:hAnsi="Arial" w:cs="Arial"/>
        </w:rPr>
        <w:t>.</w:t>
      </w:r>
      <w:r w:rsidR="00375B01">
        <w:rPr>
          <w:rStyle w:val="FootnoteReference"/>
          <w:rFonts w:ascii="Arial" w:hAnsi="Arial" w:cs="Arial"/>
        </w:rPr>
        <w:footnoteReference w:id="22"/>
      </w:r>
      <w:commentRangeEnd w:id="1"/>
      <w:r w:rsidR="00375B01">
        <w:rPr>
          <w:rStyle w:val="CommentReference"/>
        </w:rPr>
        <w:commentReference w:id="1"/>
      </w:r>
      <w:r w:rsidR="00614358">
        <w:rPr>
          <w:rFonts w:ascii="Arial" w:hAnsi="Arial" w:cs="Arial"/>
        </w:rPr>
        <w:t xml:space="preserve"> </w:t>
      </w:r>
      <w:r w:rsidR="007927A3" w:rsidRPr="00CA1469">
        <w:rPr>
          <w:rFonts w:ascii="Arial" w:hAnsi="Arial" w:cs="Arial"/>
          <w:bCs/>
          <w:lang w:val="en-US"/>
        </w:rPr>
        <w:t>The overall c</w:t>
      </w:r>
      <w:r w:rsidR="00FF395E" w:rsidRPr="00CA1469">
        <w:rPr>
          <w:rFonts w:ascii="Arial" w:hAnsi="Arial" w:cs="Arial"/>
          <w:bCs/>
          <w:lang w:val="en-US"/>
        </w:rPr>
        <w:t>ons</w:t>
      </w:r>
      <w:r w:rsidR="007927A3" w:rsidRPr="00CA1469">
        <w:rPr>
          <w:rFonts w:ascii="Arial" w:hAnsi="Arial" w:cs="Arial"/>
          <w:bCs/>
          <w:lang w:val="en-US"/>
        </w:rPr>
        <w:t xml:space="preserve">equence of this legislative input was a </w:t>
      </w:r>
      <w:r w:rsidR="00FF395E" w:rsidRPr="00CA1469">
        <w:rPr>
          <w:rFonts w:ascii="Arial" w:hAnsi="Arial" w:cs="Arial"/>
          <w:lang w:val="en-US"/>
        </w:rPr>
        <w:t>watering down of the</w:t>
      </w:r>
      <w:r w:rsidR="007927A3" w:rsidRPr="00CA1469">
        <w:rPr>
          <w:rFonts w:ascii="Arial" w:hAnsi="Arial" w:cs="Arial"/>
          <w:lang w:val="en-US"/>
        </w:rPr>
        <w:t xml:space="preserve"> wrongful trading provisions which subsequently</w:t>
      </w:r>
      <w:r w:rsidR="00FF395E" w:rsidRPr="00CA1469">
        <w:rPr>
          <w:rFonts w:ascii="Arial" w:hAnsi="Arial" w:cs="Arial"/>
          <w:lang w:val="en-US"/>
        </w:rPr>
        <w:t xml:space="preserve"> made it difficult to make directors liab</w:t>
      </w:r>
      <w:r w:rsidR="007927A3" w:rsidRPr="00CA1469">
        <w:rPr>
          <w:rFonts w:ascii="Arial" w:hAnsi="Arial" w:cs="Arial"/>
          <w:lang w:val="en-US"/>
        </w:rPr>
        <w:t>le for trading whilst insolvent.</w:t>
      </w:r>
      <w:r w:rsidR="00A775FC" w:rsidRPr="00CA1469">
        <w:rPr>
          <w:rStyle w:val="FootnoteReference"/>
          <w:rFonts w:ascii="Arial" w:hAnsi="Arial" w:cs="Arial"/>
          <w:lang w:val="en-US"/>
        </w:rPr>
        <w:footnoteReference w:id="23"/>
      </w:r>
    </w:p>
    <w:p w14:paraId="18F90768" w14:textId="77777777" w:rsidR="00D92AF8" w:rsidRDefault="00D92AF8" w:rsidP="00CA1469">
      <w:pPr>
        <w:spacing w:line="360" w:lineRule="auto"/>
        <w:jc w:val="both"/>
        <w:rPr>
          <w:rFonts w:ascii="Arial" w:hAnsi="Arial" w:cs="Arial"/>
          <w:lang w:val="en-US"/>
        </w:rPr>
      </w:pPr>
    </w:p>
    <w:p w14:paraId="249DD1F0" w14:textId="2B5FA1B4" w:rsidR="00D92AF8" w:rsidRDefault="00D92AF8" w:rsidP="00CA1469">
      <w:pPr>
        <w:spacing w:line="360" w:lineRule="auto"/>
        <w:jc w:val="both"/>
        <w:rPr>
          <w:rFonts w:ascii="Arial" w:hAnsi="Arial" w:cs="Arial"/>
          <w:lang w:val="en-US"/>
        </w:rPr>
      </w:pPr>
      <w:r>
        <w:rPr>
          <w:rFonts w:ascii="Arial" w:hAnsi="Arial" w:cs="Arial"/>
          <w:lang w:val="en-US"/>
        </w:rPr>
        <w:t>The introduction of the element of subjectivity, in addition to objectivity, within s.214</w:t>
      </w:r>
      <w:r w:rsidR="008D2988">
        <w:rPr>
          <w:rFonts w:ascii="Arial" w:hAnsi="Arial" w:cs="Arial"/>
          <w:lang w:val="en-US"/>
        </w:rPr>
        <w:t>(4)</w:t>
      </w:r>
      <w:r w:rsidR="00E449C8">
        <w:rPr>
          <w:rFonts w:ascii="Arial" w:hAnsi="Arial" w:cs="Arial"/>
          <w:lang w:val="en-US"/>
        </w:rPr>
        <w:t xml:space="preserve"> Insolvency Act 1986</w:t>
      </w:r>
      <w:r w:rsidR="009002EF">
        <w:rPr>
          <w:rFonts w:ascii="Arial" w:hAnsi="Arial" w:cs="Arial"/>
          <w:lang w:val="en-US"/>
        </w:rPr>
        <w:t xml:space="preserve"> is not always problem</w:t>
      </w:r>
      <w:r>
        <w:rPr>
          <w:rFonts w:ascii="Arial" w:hAnsi="Arial" w:cs="Arial"/>
          <w:lang w:val="en-US"/>
        </w:rPr>
        <w:t xml:space="preserve">atic. The provision states: </w:t>
      </w:r>
    </w:p>
    <w:p w14:paraId="558B9DA8" w14:textId="77777777" w:rsidR="00D92AF8" w:rsidRDefault="00D92AF8" w:rsidP="00CA1469">
      <w:pPr>
        <w:spacing w:line="360" w:lineRule="auto"/>
        <w:jc w:val="both"/>
        <w:rPr>
          <w:rFonts w:ascii="Arial" w:hAnsi="Arial" w:cs="Arial"/>
          <w:lang w:val="en-US"/>
        </w:rPr>
      </w:pPr>
    </w:p>
    <w:p w14:paraId="682C1C15" w14:textId="62063249" w:rsidR="00B21FEF" w:rsidRPr="00B21FEF" w:rsidRDefault="00D92AF8" w:rsidP="00B21FEF">
      <w:pPr>
        <w:ind w:left="720"/>
        <w:jc w:val="both"/>
        <w:rPr>
          <w:rFonts w:ascii="Arial" w:hAnsi="Arial" w:cs="Arial"/>
          <w:i/>
          <w:sz w:val="22"/>
          <w:szCs w:val="22"/>
          <w:lang w:val="en-US"/>
        </w:rPr>
      </w:pPr>
      <w:r w:rsidRPr="00B21FEF">
        <w:rPr>
          <w:rFonts w:ascii="Arial" w:hAnsi="Arial" w:cs="Arial"/>
          <w:i/>
          <w:sz w:val="22"/>
          <w:szCs w:val="22"/>
          <w:lang w:val="en-US"/>
        </w:rPr>
        <w:t>“</w:t>
      </w:r>
      <w:r w:rsidR="006270A5" w:rsidRPr="006270A5">
        <w:rPr>
          <w:rFonts w:ascii="Arial" w:hAnsi="Arial" w:cs="Arial"/>
          <w:i/>
          <w:sz w:val="22"/>
          <w:szCs w:val="22"/>
          <w:lang w:val="en-US"/>
        </w:rPr>
        <w:t>For the purp</w:t>
      </w:r>
      <w:r w:rsidR="006270A5">
        <w:rPr>
          <w:rFonts w:ascii="Arial" w:hAnsi="Arial" w:cs="Arial"/>
          <w:i/>
          <w:sz w:val="22"/>
          <w:szCs w:val="22"/>
          <w:lang w:val="en-US"/>
        </w:rPr>
        <w:t xml:space="preserve">oses of subsections (2) and (3) </w:t>
      </w:r>
      <w:commentRangeStart w:id="2"/>
      <w:r w:rsidR="00375B01">
        <w:rPr>
          <w:rFonts w:ascii="Arial" w:hAnsi="Arial" w:cs="Arial"/>
          <w:i/>
          <w:sz w:val="22"/>
          <w:szCs w:val="22"/>
          <w:lang w:val="en-US"/>
        </w:rPr>
        <w:t xml:space="preserve">the facts which </w:t>
      </w:r>
      <w:commentRangeEnd w:id="2"/>
      <w:r w:rsidR="00375B01">
        <w:rPr>
          <w:rStyle w:val="CommentReference"/>
        </w:rPr>
        <w:commentReference w:id="2"/>
      </w:r>
      <w:r w:rsidR="00B21FEF" w:rsidRPr="00B21FEF">
        <w:rPr>
          <w:rFonts w:ascii="Arial" w:hAnsi="Arial" w:cs="Arial"/>
          <w:i/>
          <w:sz w:val="22"/>
          <w:szCs w:val="22"/>
          <w:lang w:val="en-US"/>
        </w:rPr>
        <w:t>a director of a company ought to know or ascertain, the conclusions which he ought to reach and the steps which he ought to take are those which would be known or ascertained, or reached or taken, by a reasonably diligent person having both—</w:t>
      </w:r>
    </w:p>
    <w:p w14:paraId="7F3E3A9A" w14:textId="77777777" w:rsidR="00E449C8" w:rsidRDefault="00E449C8" w:rsidP="00B21FEF">
      <w:pPr>
        <w:ind w:left="720"/>
        <w:jc w:val="both"/>
        <w:rPr>
          <w:rFonts w:ascii="Arial" w:hAnsi="Arial" w:cs="Arial"/>
          <w:i/>
          <w:sz w:val="22"/>
          <w:szCs w:val="22"/>
          <w:lang w:val="en-US"/>
        </w:rPr>
      </w:pPr>
    </w:p>
    <w:p w14:paraId="115B1225" w14:textId="28CBF95E" w:rsidR="00B21FEF" w:rsidRPr="00B21FEF" w:rsidRDefault="00B21FEF" w:rsidP="00B21FEF">
      <w:pPr>
        <w:ind w:left="720"/>
        <w:jc w:val="both"/>
        <w:rPr>
          <w:rFonts w:ascii="Arial" w:hAnsi="Arial" w:cs="Arial"/>
          <w:i/>
          <w:sz w:val="22"/>
          <w:szCs w:val="22"/>
          <w:lang w:val="en-US"/>
        </w:rPr>
      </w:pPr>
      <w:r w:rsidRPr="00B21FEF">
        <w:rPr>
          <w:rFonts w:ascii="Arial" w:hAnsi="Arial" w:cs="Arial"/>
          <w:i/>
          <w:sz w:val="22"/>
          <w:szCs w:val="22"/>
          <w:lang w:val="en-US"/>
        </w:rPr>
        <w:t>(a) the general knowledge, skill and experience that may reasonably be expected of a person carrying out the same functions as are carried out by that director in relation to the company, and</w:t>
      </w:r>
      <w:commentRangeStart w:id="3"/>
      <w:r w:rsidRPr="00B21FEF">
        <w:rPr>
          <w:rFonts w:ascii="Arial" w:hAnsi="Arial" w:cs="Arial"/>
          <w:i/>
          <w:sz w:val="22"/>
          <w:szCs w:val="22"/>
          <w:lang w:val="en-US"/>
        </w:rPr>
        <w:t xml:space="preserve"> </w:t>
      </w:r>
      <w:r w:rsidR="00375B01">
        <w:rPr>
          <w:rFonts w:ascii="Arial" w:hAnsi="Arial" w:cs="Arial"/>
          <w:sz w:val="22"/>
          <w:szCs w:val="22"/>
          <w:lang w:val="en-US"/>
        </w:rPr>
        <w:t>[</w:t>
      </w:r>
      <w:r w:rsidRPr="00C66B37">
        <w:rPr>
          <w:rFonts w:ascii="Arial" w:hAnsi="Arial" w:cs="Arial"/>
          <w:sz w:val="22"/>
          <w:szCs w:val="22"/>
          <w:lang w:val="en-US"/>
        </w:rPr>
        <w:t>Objective element</w:t>
      </w:r>
      <w:r w:rsidR="00375B01">
        <w:rPr>
          <w:rFonts w:ascii="Arial" w:hAnsi="Arial" w:cs="Arial"/>
          <w:sz w:val="22"/>
          <w:szCs w:val="22"/>
          <w:lang w:val="en-US"/>
        </w:rPr>
        <w:t>]</w:t>
      </w:r>
      <w:commentRangeEnd w:id="3"/>
      <w:r w:rsidR="00375B01">
        <w:rPr>
          <w:rStyle w:val="CommentReference"/>
        </w:rPr>
        <w:commentReference w:id="3"/>
      </w:r>
    </w:p>
    <w:p w14:paraId="6DD3D401" w14:textId="77777777" w:rsidR="00E449C8" w:rsidRDefault="00E449C8" w:rsidP="00B21FEF">
      <w:pPr>
        <w:ind w:left="720"/>
        <w:jc w:val="both"/>
        <w:rPr>
          <w:rFonts w:ascii="Arial" w:hAnsi="Arial" w:cs="Arial"/>
          <w:i/>
          <w:sz w:val="22"/>
          <w:szCs w:val="22"/>
          <w:lang w:val="en-US"/>
        </w:rPr>
      </w:pPr>
    </w:p>
    <w:p w14:paraId="72791DE6" w14:textId="2136DD21" w:rsidR="00D92AF8" w:rsidRDefault="00B21FEF" w:rsidP="00B21FEF">
      <w:pPr>
        <w:ind w:left="720"/>
        <w:jc w:val="both"/>
        <w:rPr>
          <w:rFonts w:ascii="Arial" w:hAnsi="Arial" w:cs="Arial"/>
          <w:lang w:val="en-US"/>
        </w:rPr>
      </w:pPr>
      <w:r w:rsidRPr="00B21FEF">
        <w:rPr>
          <w:rFonts w:ascii="Arial" w:hAnsi="Arial" w:cs="Arial"/>
          <w:i/>
          <w:sz w:val="22"/>
          <w:szCs w:val="22"/>
          <w:lang w:val="en-US"/>
        </w:rPr>
        <w:t xml:space="preserve">(b)the general knowledge, skill and experience that that director has. </w:t>
      </w:r>
      <w:r w:rsidR="00375B01">
        <w:rPr>
          <w:rFonts w:ascii="Arial" w:hAnsi="Arial" w:cs="Arial"/>
          <w:sz w:val="22"/>
          <w:szCs w:val="22"/>
          <w:lang w:val="en-US"/>
        </w:rPr>
        <w:t>[S</w:t>
      </w:r>
      <w:r w:rsidRPr="00C66B37">
        <w:rPr>
          <w:rFonts w:ascii="Arial" w:hAnsi="Arial" w:cs="Arial"/>
          <w:sz w:val="22"/>
          <w:szCs w:val="22"/>
          <w:lang w:val="en-US"/>
        </w:rPr>
        <w:t>ubjective element</w:t>
      </w:r>
      <w:r w:rsidR="00375B01">
        <w:rPr>
          <w:rFonts w:ascii="Arial" w:hAnsi="Arial" w:cs="Arial"/>
          <w:sz w:val="22"/>
          <w:szCs w:val="22"/>
          <w:lang w:val="en-US"/>
        </w:rPr>
        <w:t>]</w:t>
      </w:r>
      <w:r w:rsidRPr="00B21FEF">
        <w:rPr>
          <w:rFonts w:ascii="Arial" w:hAnsi="Arial" w:cs="Arial"/>
          <w:i/>
          <w:sz w:val="22"/>
          <w:szCs w:val="22"/>
          <w:lang w:val="en-US"/>
        </w:rPr>
        <w:t>”</w:t>
      </w:r>
      <w:r w:rsidRPr="00B21FEF">
        <w:rPr>
          <w:rStyle w:val="FootnoteReference"/>
          <w:rFonts w:ascii="Arial" w:hAnsi="Arial" w:cs="Arial"/>
          <w:sz w:val="22"/>
          <w:szCs w:val="22"/>
          <w:lang w:val="en-US"/>
        </w:rPr>
        <w:footnoteReference w:id="24"/>
      </w:r>
    </w:p>
    <w:p w14:paraId="2B7D045B" w14:textId="77777777" w:rsidR="00D92AF8" w:rsidRDefault="00D92AF8" w:rsidP="00CA1469">
      <w:pPr>
        <w:spacing w:line="360" w:lineRule="auto"/>
        <w:jc w:val="both"/>
        <w:rPr>
          <w:rFonts w:ascii="Arial" w:hAnsi="Arial" w:cs="Arial"/>
          <w:lang w:val="en-US"/>
        </w:rPr>
      </w:pPr>
    </w:p>
    <w:p w14:paraId="761CDE03" w14:textId="77777777" w:rsidR="00D92AF8" w:rsidRPr="00CA1469" w:rsidRDefault="00373D12" w:rsidP="00CA1469">
      <w:pPr>
        <w:spacing w:line="360" w:lineRule="auto"/>
        <w:jc w:val="both"/>
        <w:rPr>
          <w:rFonts w:ascii="Arial" w:hAnsi="Arial" w:cs="Arial"/>
          <w:lang w:val="en-US"/>
        </w:rPr>
      </w:pPr>
      <w:r>
        <w:rPr>
          <w:rFonts w:ascii="Arial" w:hAnsi="Arial" w:cs="Arial"/>
          <w:lang w:val="en-US"/>
        </w:rPr>
        <w:t xml:space="preserve">Factoring in what that </w:t>
      </w:r>
      <w:r w:rsidR="0088593B">
        <w:rPr>
          <w:rFonts w:ascii="Arial" w:hAnsi="Arial" w:cs="Arial"/>
          <w:lang w:val="en-US"/>
        </w:rPr>
        <w:t xml:space="preserve">specific </w:t>
      </w:r>
      <w:r>
        <w:rPr>
          <w:rFonts w:ascii="Arial" w:hAnsi="Arial" w:cs="Arial"/>
          <w:lang w:val="en-US"/>
        </w:rPr>
        <w:t xml:space="preserve">director knows has caused problems for </w:t>
      </w:r>
      <w:r w:rsidR="00E403AD">
        <w:rPr>
          <w:rFonts w:ascii="Arial" w:hAnsi="Arial" w:cs="Arial"/>
          <w:lang w:val="en-US"/>
        </w:rPr>
        <w:t xml:space="preserve">those </w:t>
      </w:r>
      <w:r>
        <w:rPr>
          <w:rFonts w:ascii="Arial" w:hAnsi="Arial" w:cs="Arial"/>
          <w:lang w:val="en-US"/>
        </w:rPr>
        <w:t>directors when they exhibit certain skills sets, e.g. lawyers,</w:t>
      </w:r>
      <w:r>
        <w:rPr>
          <w:rStyle w:val="FootnoteReference"/>
          <w:rFonts w:ascii="Arial" w:hAnsi="Arial" w:cs="Arial"/>
          <w:lang w:val="en-US"/>
        </w:rPr>
        <w:footnoteReference w:id="25"/>
      </w:r>
      <w:r>
        <w:rPr>
          <w:rFonts w:ascii="Arial" w:hAnsi="Arial" w:cs="Arial"/>
          <w:lang w:val="en-US"/>
        </w:rPr>
        <w:t xml:space="preserve"> or</w:t>
      </w:r>
      <w:r w:rsidR="0088593B">
        <w:rPr>
          <w:rFonts w:ascii="Arial" w:hAnsi="Arial" w:cs="Arial"/>
          <w:lang w:val="en-US"/>
        </w:rPr>
        <w:t xml:space="preserve"> accountants,</w:t>
      </w:r>
      <w:r w:rsidR="00FF1559">
        <w:rPr>
          <w:rStyle w:val="FootnoteReference"/>
          <w:rFonts w:ascii="Arial" w:hAnsi="Arial" w:cs="Arial"/>
          <w:lang w:val="en-US"/>
        </w:rPr>
        <w:footnoteReference w:id="26"/>
      </w:r>
      <w:r>
        <w:rPr>
          <w:rFonts w:ascii="Arial" w:hAnsi="Arial" w:cs="Arial"/>
          <w:lang w:val="en-US"/>
        </w:rPr>
        <w:t xml:space="preserve"> </w:t>
      </w:r>
      <w:r w:rsidR="00E403AD">
        <w:rPr>
          <w:rFonts w:ascii="Arial" w:hAnsi="Arial" w:cs="Arial"/>
          <w:lang w:val="en-US"/>
        </w:rPr>
        <w:t xml:space="preserve">and </w:t>
      </w:r>
      <w:r>
        <w:rPr>
          <w:rFonts w:ascii="Arial" w:hAnsi="Arial" w:cs="Arial"/>
          <w:lang w:val="en-US"/>
        </w:rPr>
        <w:t>where the company is closely held and the director has intimate knowledge of the company</w:t>
      </w:r>
      <w:r w:rsidR="0088593B">
        <w:rPr>
          <w:rFonts w:ascii="Arial" w:hAnsi="Arial" w:cs="Arial"/>
          <w:lang w:val="en-US"/>
        </w:rPr>
        <w:t xml:space="preserve"> and </w:t>
      </w:r>
      <w:r w:rsidR="0088593B">
        <w:rPr>
          <w:rFonts w:ascii="Arial" w:hAnsi="Arial" w:cs="Arial"/>
          <w:lang w:val="en-US"/>
        </w:rPr>
        <w:lastRenderedPageBreak/>
        <w:t>its operations.</w:t>
      </w:r>
      <w:r>
        <w:rPr>
          <w:rStyle w:val="FootnoteReference"/>
          <w:rFonts w:ascii="Arial" w:hAnsi="Arial" w:cs="Arial"/>
          <w:lang w:val="en-US"/>
        </w:rPr>
        <w:footnoteReference w:id="27"/>
      </w:r>
      <w:r w:rsidR="0088593B">
        <w:rPr>
          <w:rFonts w:ascii="Arial" w:hAnsi="Arial" w:cs="Arial"/>
          <w:lang w:val="en-US"/>
        </w:rPr>
        <w:t xml:space="preserve"> Objectivity certainly helps where failures are lamentable and </w:t>
      </w:r>
      <w:r w:rsidR="00E403AD">
        <w:rPr>
          <w:rFonts w:ascii="Arial" w:hAnsi="Arial" w:cs="Arial"/>
          <w:lang w:val="en-US"/>
        </w:rPr>
        <w:t xml:space="preserve">where conduct is </w:t>
      </w:r>
      <w:r w:rsidR="0088593B">
        <w:rPr>
          <w:rFonts w:ascii="Arial" w:hAnsi="Arial" w:cs="Arial"/>
          <w:lang w:val="en-US"/>
        </w:rPr>
        <w:t>well below that which would be expected of the reasonable director.</w:t>
      </w:r>
      <w:r w:rsidR="0088593B">
        <w:rPr>
          <w:rStyle w:val="FootnoteReference"/>
          <w:rFonts w:ascii="Arial" w:hAnsi="Arial" w:cs="Arial"/>
          <w:lang w:val="en-US"/>
        </w:rPr>
        <w:footnoteReference w:id="28"/>
      </w:r>
      <w:r w:rsidR="0088593B">
        <w:rPr>
          <w:rFonts w:ascii="Arial" w:hAnsi="Arial" w:cs="Arial"/>
          <w:lang w:val="en-US"/>
        </w:rPr>
        <w:t xml:space="preserve"> </w:t>
      </w:r>
    </w:p>
    <w:p w14:paraId="4C7E19D1" w14:textId="77777777" w:rsidR="00CA1469" w:rsidRPr="00CA1469" w:rsidRDefault="00CA1469" w:rsidP="00CA1469">
      <w:pPr>
        <w:spacing w:line="360" w:lineRule="auto"/>
        <w:jc w:val="both"/>
        <w:rPr>
          <w:rFonts w:ascii="Arial" w:hAnsi="Arial" w:cs="Arial"/>
          <w:lang w:val="en-US"/>
        </w:rPr>
      </w:pPr>
    </w:p>
    <w:p w14:paraId="1CB1432A" w14:textId="77777777" w:rsidR="00A775FC" w:rsidRPr="00CA1469" w:rsidRDefault="00A775FC" w:rsidP="00CA1469">
      <w:pPr>
        <w:spacing w:line="360" w:lineRule="auto"/>
        <w:jc w:val="both"/>
        <w:rPr>
          <w:rFonts w:ascii="Arial" w:hAnsi="Arial" w:cs="Arial"/>
          <w:lang w:val="en-US"/>
        </w:rPr>
      </w:pPr>
      <w:r w:rsidRPr="00D92AF8">
        <w:rPr>
          <w:rFonts w:ascii="Arial" w:hAnsi="Arial" w:cs="Arial"/>
          <w:bCs/>
          <w:iCs/>
          <w:lang w:val="en-US"/>
        </w:rPr>
        <w:t>It could be argued that t</w:t>
      </w:r>
      <w:r w:rsidR="00686B9A">
        <w:rPr>
          <w:rFonts w:ascii="Arial" w:hAnsi="Arial" w:cs="Arial"/>
          <w:bCs/>
          <w:iCs/>
          <w:lang w:val="en-US"/>
        </w:rPr>
        <w:t>he</w:t>
      </w:r>
      <w:r w:rsidR="007927A3" w:rsidRPr="00D92AF8">
        <w:rPr>
          <w:rFonts w:ascii="Arial" w:hAnsi="Arial" w:cs="Arial"/>
          <w:bCs/>
          <w:iCs/>
          <w:lang w:val="en-US"/>
        </w:rPr>
        <w:t xml:space="preserve"> </w:t>
      </w:r>
      <w:r w:rsidRPr="00D92AF8">
        <w:rPr>
          <w:rFonts w:ascii="Arial" w:hAnsi="Arial" w:cs="Arial"/>
          <w:bCs/>
          <w:iCs/>
          <w:lang w:val="en-US"/>
        </w:rPr>
        <w:t xml:space="preserve">lack of efficacy </w:t>
      </w:r>
      <w:r w:rsidR="00686B9A">
        <w:rPr>
          <w:rFonts w:ascii="Arial" w:hAnsi="Arial" w:cs="Arial"/>
          <w:bCs/>
          <w:iCs/>
          <w:lang w:val="en-US"/>
        </w:rPr>
        <w:t xml:space="preserve">resulting from tests contained in the wrongful trading provisions </w:t>
      </w:r>
      <w:r w:rsidR="007927A3" w:rsidRPr="00D92AF8">
        <w:rPr>
          <w:rFonts w:ascii="Arial" w:hAnsi="Arial" w:cs="Arial"/>
          <w:bCs/>
          <w:iCs/>
          <w:lang w:val="en-US"/>
        </w:rPr>
        <w:t xml:space="preserve">has recently come home to roost </w:t>
      </w:r>
      <w:r w:rsidRPr="00D92AF8">
        <w:rPr>
          <w:rFonts w:ascii="Arial" w:hAnsi="Arial" w:cs="Arial"/>
          <w:bCs/>
          <w:iCs/>
          <w:lang w:val="en-US"/>
        </w:rPr>
        <w:t xml:space="preserve">and that the </w:t>
      </w:r>
      <w:r w:rsidRPr="00D92AF8">
        <w:rPr>
          <w:rFonts w:ascii="Arial" w:hAnsi="Arial" w:cs="Arial"/>
          <w:lang w:val="en-US"/>
        </w:rPr>
        <w:t>Gov</w:t>
      </w:r>
      <w:r w:rsidR="00133F67">
        <w:rPr>
          <w:rFonts w:ascii="Arial" w:hAnsi="Arial" w:cs="Arial"/>
          <w:lang w:val="en-US"/>
        </w:rPr>
        <w:t>ernmen</w:t>
      </w:r>
      <w:r w:rsidRPr="00D92AF8">
        <w:rPr>
          <w:rFonts w:ascii="Arial" w:hAnsi="Arial" w:cs="Arial"/>
          <w:lang w:val="en-US"/>
        </w:rPr>
        <w:t>t has</w:t>
      </w:r>
      <w:r w:rsidR="00FF395E" w:rsidRPr="00D92AF8">
        <w:rPr>
          <w:rFonts w:ascii="Arial" w:hAnsi="Arial" w:cs="Arial"/>
          <w:lang w:val="en-US"/>
        </w:rPr>
        <w:t xml:space="preserve"> </w:t>
      </w:r>
      <w:proofErr w:type="spellStart"/>
      <w:r w:rsidR="00FF395E" w:rsidRPr="00D92AF8">
        <w:rPr>
          <w:rFonts w:ascii="Arial" w:hAnsi="Arial" w:cs="Arial"/>
          <w:lang w:val="en-US"/>
        </w:rPr>
        <w:t>realised</w:t>
      </w:r>
      <w:proofErr w:type="spellEnd"/>
      <w:r w:rsidR="00FF395E" w:rsidRPr="00D92AF8">
        <w:rPr>
          <w:rFonts w:ascii="Arial" w:hAnsi="Arial" w:cs="Arial"/>
          <w:lang w:val="en-US"/>
        </w:rPr>
        <w:t xml:space="preserve"> </w:t>
      </w:r>
      <w:r w:rsidRPr="00D92AF8">
        <w:rPr>
          <w:rFonts w:ascii="Arial" w:hAnsi="Arial" w:cs="Arial"/>
          <w:lang w:val="en-US"/>
        </w:rPr>
        <w:t>that the</w:t>
      </w:r>
      <w:r w:rsidRPr="00CA1469">
        <w:rPr>
          <w:rFonts w:ascii="Arial" w:hAnsi="Arial" w:cs="Arial"/>
          <w:lang w:val="en-US"/>
        </w:rPr>
        <w:t xml:space="preserve"> </w:t>
      </w:r>
      <w:r w:rsidR="00FF395E" w:rsidRPr="00CA1469">
        <w:rPr>
          <w:rFonts w:ascii="Arial" w:hAnsi="Arial" w:cs="Arial"/>
          <w:lang w:val="en-US"/>
        </w:rPr>
        <w:t>whole regime is too lax</w:t>
      </w:r>
      <w:r w:rsidRPr="00CA1469">
        <w:rPr>
          <w:rFonts w:ascii="Arial" w:hAnsi="Arial" w:cs="Arial"/>
          <w:lang w:val="en-US"/>
        </w:rPr>
        <w:t>. Evidence for this can be seen in the recent reform activities relating to tax and director liability. The Government is now</w:t>
      </w:r>
      <w:r w:rsidR="00FF395E" w:rsidRPr="00CA1469">
        <w:rPr>
          <w:rFonts w:ascii="Arial" w:hAnsi="Arial" w:cs="Arial"/>
          <w:lang w:val="en-US"/>
        </w:rPr>
        <w:t xml:space="preserve"> considering again personal liability for directors in extended circumstances</w:t>
      </w:r>
      <w:r w:rsidR="00375B01">
        <w:rPr>
          <w:rFonts w:ascii="Arial" w:hAnsi="Arial" w:cs="Arial"/>
          <w:lang w:val="en-US"/>
        </w:rPr>
        <w:t>,</w:t>
      </w:r>
      <w:r w:rsidR="00FF395E" w:rsidRPr="00CA1469">
        <w:rPr>
          <w:rFonts w:ascii="Arial" w:hAnsi="Arial" w:cs="Arial"/>
          <w:lang w:val="en-US"/>
        </w:rPr>
        <w:t xml:space="preserve"> e.g. a company’</w:t>
      </w:r>
      <w:r w:rsidRPr="00CA1469">
        <w:rPr>
          <w:rFonts w:ascii="Arial" w:hAnsi="Arial" w:cs="Arial"/>
          <w:lang w:val="en-US"/>
        </w:rPr>
        <w:t>s VAT and tax liabilities.</w:t>
      </w:r>
      <w:r w:rsidRPr="00CA1469">
        <w:rPr>
          <w:rStyle w:val="FootnoteReference"/>
          <w:rFonts w:ascii="Arial" w:hAnsi="Arial" w:cs="Arial"/>
          <w:lang w:val="en-US"/>
        </w:rPr>
        <w:footnoteReference w:id="29"/>
      </w:r>
    </w:p>
    <w:p w14:paraId="576A6CBC" w14:textId="77777777" w:rsidR="00A775FC" w:rsidRPr="00CA1469" w:rsidRDefault="00A775FC" w:rsidP="00CA1469">
      <w:pPr>
        <w:spacing w:line="360" w:lineRule="auto"/>
        <w:jc w:val="both"/>
        <w:rPr>
          <w:rFonts w:ascii="Arial" w:hAnsi="Arial" w:cs="Arial"/>
        </w:rPr>
      </w:pPr>
    </w:p>
    <w:p w14:paraId="28DA5744" w14:textId="77777777" w:rsidR="00FF395E" w:rsidRPr="00CA1469" w:rsidRDefault="00686B9A" w:rsidP="00CA1469">
      <w:pPr>
        <w:spacing w:line="360" w:lineRule="auto"/>
        <w:jc w:val="both"/>
        <w:rPr>
          <w:rFonts w:ascii="Arial" w:hAnsi="Arial" w:cs="Arial"/>
        </w:rPr>
      </w:pPr>
      <w:r>
        <w:rPr>
          <w:rFonts w:ascii="Arial" w:hAnsi="Arial" w:cs="Arial"/>
          <w:bCs/>
          <w:lang w:val="en-US"/>
        </w:rPr>
        <w:t>So it could be argued that for thirty-three</w:t>
      </w:r>
      <w:r w:rsidR="009B556B">
        <w:rPr>
          <w:rFonts w:ascii="Arial" w:hAnsi="Arial" w:cs="Arial"/>
          <w:bCs/>
          <w:lang w:val="en-US"/>
        </w:rPr>
        <w:t xml:space="preserve"> years </w:t>
      </w:r>
      <w:r w:rsidR="00A775FC" w:rsidRPr="00CA1469">
        <w:rPr>
          <w:rFonts w:ascii="Arial" w:hAnsi="Arial" w:cs="Arial"/>
          <w:bCs/>
          <w:lang w:val="en-US"/>
        </w:rPr>
        <w:t>there</w:t>
      </w:r>
      <w:r w:rsidR="009B556B">
        <w:rPr>
          <w:rFonts w:ascii="Arial" w:hAnsi="Arial" w:cs="Arial"/>
          <w:bCs/>
          <w:lang w:val="en-US"/>
        </w:rPr>
        <w:t xml:space="preserve"> has</w:t>
      </w:r>
      <w:r w:rsidR="00A775FC" w:rsidRPr="00CA1469">
        <w:rPr>
          <w:rFonts w:ascii="Arial" w:hAnsi="Arial" w:cs="Arial"/>
          <w:bCs/>
          <w:lang w:val="en-US"/>
        </w:rPr>
        <w:t xml:space="preserve"> been </w:t>
      </w:r>
      <w:r w:rsidR="00FF395E" w:rsidRPr="00CA1469">
        <w:rPr>
          <w:rFonts w:ascii="Arial" w:hAnsi="Arial" w:cs="Arial"/>
          <w:bCs/>
          <w:lang w:val="en-US"/>
        </w:rPr>
        <w:t xml:space="preserve">an ineffective </w:t>
      </w:r>
      <w:r w:rsidR="00A775FC" w:rsidRPr="00CA1469">
        <w:rPr>
          <w:rFonts w:ascii="Arial" w:hAnsi="Arial" w:cs="Arial"/>
          <w:bCs/>
          <w:lang w:val="en-US"/>
        </w:rPr>
        <w:t xml:space="preserve">wrongful trading regime as a result of </w:t>
      </w:r>
      <w:r w:rsidR="00CA1469" w:rsidRPr="00CA1469">
        <w:rPr>
          <w:rFonts w:ascii="Arial" w:hAnsi="Arial" w:cs="Arial"/>
          <w:bCs/>
          <w:lang w:val="en-US"/>
        </w:rPr>
        <w:t>interreference</w:t>
      </w:r>
      <w:r w:rsidR="00A775FC" w:rsidRPr="00CA1469">
        <w:rPr>
          <w:rFonts w:ascii="Arial" w:hAnsi="Arial" w:cs="Arial"/>
          <w:bCs/>
          <w:lang w:val="en-US"/>
        </w:rPr>
        <w:t xml:space="preserve"> during the passage of t</w:t>
      </w:r>
      <w:r>
        <w:rPr>
          <w:rFonts w:ascii="Arial" w:hAnsi="Arial" w:cs="Arial"/>
          <w:bCs/>
          <w:lang w:val="en-US"/>
        </w:rPr>
        <w:t>he Insolvency Bill in 1985.</w:t>
      </w:r>
      <w:r w:rsidR="00A775FC" w:rsidRPr="00CA1469">
        <w:rPr>
          <w:rFonts w:ascii="Arial" w:hAnsi="Arial" w:cs="Arial"/>
          <w:bCs/>
          <w:lang w:val="en-US"/>
        </w:rPr>
        <w:t xml:space="preserve"> The lack of use of the provisions would seem to indicate </w:t>
      </w:r>
      <w:r>
        <w:rPr>
          <w:rFonts w:ascii="Arial" w:hAnsi="Arial" w:cs="Arial"/>
          <w:bCs/>
          <w:lang w:val="en-US"/>
        </w:rPr>
        <w:t>that this has occurred.</w:t>
      </w:r>
    </w:p>
    <w:p w14:paraId="5B52A5EA" w14:textId="77777777" w:rsidR="007B74A5" w:rsidRDefault="007B74A5" w:rsidP="007B74A5">
      <w:pPr>
        <w:ind w:left="720"/>
        <w:jc w:val="both"/>
        <w:rPr>
          <w:rFonts w:ascii="Arial" w:hAnsi="Arial" w:cs="Arial"/>
        </w:rPr>
      </w:pPr>
    </w:p>
    <w:p w14:paraId="0CB3F686" w14:textId="77777777" w:rsidR="002B2CA0" w:rsidRDefault="002B2CA0" w:rsidP="002B2CA0">
      <w:pPr>
        <w:rPr>
          <w:rFonts w:ascii="Arial" w:hAnsi="Arial" w:cs="Arial"/>
        </w:rPr>
      </w:pPr>
    </w:p>
    <w:p w14:paraId="6F053776" w14:textId="77777777" w:rsidR="00A93849" w:rsidRPr="007B74A5" w:rsidRDefault="00A93849" w:rsidP="002B2CA0">
      <w:pPr>
        <w:rPr>
          <w:rFonts w:ascii="Arial" w:hAnsi="Arial" w:cs="Arial"/>
        </w:rPr>
      </w:pPr>
    </w:p>
    <w:p w14:paraId="362DA054" w14:textId="77777777" w:rsidR="004B3FE0" w:rsidRPr="004B3FE0" w:rsidRDefault="00FF395E" w:rsidP="004B3FE0">
      <w:pPr>
        <w:pStyle w:val="ListParagraph"/>
        <w:numPr>
          <w:ilvl w:val="0"/>
          <w:numId w:val="2"/>
        </w:numPr>
        <w:jc w:val="both"/>
        <w:rPr>
          <w:rFonts w:ascii="Arial" w:hAnsi="Arial" w:cs="Arial"/>
        </w:rPr>
      </w:pPr>
      <w:r w:rsidRPr="004B3FE0">
        <w:rPr>
          <w:rFonts w:ascii="Arial" w:hAnsi="Arial" w:cs="Arial"/>
          <w:b/>
          <w:bCs/>
          <w:u w:val="single"/>
          <w:lang w:val="en-US"/>
        </w:rPr>
        <w:t>Directors’ Disqualification</w:t>
      </w:r>
      <w:r w:rsidR="0084704B" w:rsidRPr="00781848">
        <w:rPr>
          <w:rStyle w:val="FootnoteReference"/>
          <w:rFonts w:ascii="Arial" w:hAnsi="Arial" w:cs="Arial"/>
          <w:bCs/>
          <w:lang w:val="en-US"/>
        </w:rPr>
        <w:footnoteReference w:id="30"/>
      </w:r>
    </w:p>
    <w:p w14:paraId="0F6C971A" w14:textId="77777777" w:rsidR="004B3FE0" w:rsidRDefault="004B3FE0" w:rsidP="007B644A">
      <w:pPr>
        <w:jc w:val="both"/>
        <w:rPr>
          <w:rFonts w:ascii="Arial" w:hAnsi="Arial" w:cs="Arial"/>
        </w:rPr>
      </w:pPr>
    </w:p>
    <w:p w14:paraId="53ED7917" w14:textId="77777777" w:rsidR="00C302AC" w:rsidRDefault="00C302AC" w:rsidP="00CA1469">
      <w:pPr>
        <w:spacing w:line="360" w:lineRule="auto"/>
        <w:jc w:val="both"/>
        <w:rPr>
          <w:rFonts w:ascii="Arial" w:hAnsi="Arial" w:cs="Arial"/>
        </w:rPr>
      </w:pPr>
    </w:p>
    <w:p w14:paraId="584B4D7B" w14:textId="77777777" w:rsidR="00CA1469" w:rsidRDefault="0086682D" w:rsidP="00CA1469">
      <w:pPr>
        <w:spacing w:line="360" w:lineRule="auto"/>
        <w:jc w:val="both"/>
        <w:rPr>
          <w:rFonts w:ascii="Arial" w:hAnsi="Arial" w:cs="Arial"/>
        </w:rPr>
      </w:pPr>
      <w:r>
        <w:rPr>
          <w:rFonts w:ascii="Arial" w:hAnsi="Arial" w:cs="Arial"/>
        </w:rPr>
        <w:t>The d</w:t>
      </w:r>
      <w:r w:rsidR="007B644A" w:rsidRPr="007B644A">
        <w:rPr>
          <w:rFonts w:ascii="Arial" w:hAnsi="Arial" w:cs="Arial"/>
        </w:rPr>
        <w:t>irectors</w:t>
      </w:r>
      <w:r>
        <w:rPr>
          <w:rFonts w:ascii="Arial" w:hAnsi="Arial" w:cs="Arial"/>
        </w:rPr>
        <w:t>’</w:t>
      </w:r>
      <w:r w:rsidR="007B644A" w:rsidRPr="007B644A">
        <w:rPr>
          <w:rFonts w:ascii="Arial" w:hAnsi="Arial" w:cs="Arial"/>
        </w:rPr>
        <w:t xml:space="preserve"> disqualification</w:t>
      </w:r>
      <w:r>
        <w:rPr>
          <w:rFonts w:ascii="Arial" w:hAnsi="Arial" w:cs="Arial"/>
        </w:rPr>
        <w:t xml:space="preserve"> regime</w:t>
      </w:r>
      <w:r w:rsidR="00CA1469">
        <w:rPr>
          <w:rFonts w:ascii="Arial" w:hAnsi="Arial" w:cs="Arial"/>
        </w:rPr>
        <w:t xml:space="preserve"> in its current guise</w:t>
      </w:r>
      <w:r w:rsidR="007B644A" w:rsidRPr="007B644A">
        <w:rPr>
          <w:rFonts w:ascii="Arial" w:hAnsi="Arial" w:cs="Arial"/>
        </w:rPr>
        <w:t xml:space="preserve"> is </w:t>
      </w:r>
      <w:r w:rsidR="00CA1469">
        <w:rPr>
          <w:rFonts w:ascii="Arial" w:hAnsi="Arial" w:cs="Arial"/>
        </w:rPr>
        <w:t>also a legislative creature of the mid</w:t>
      </w:r>
      <w:r>
        <w:rPr>
          <w:rFonts w:ascii="Arial" w:hAnsi="Arial" w:cs="Arial"/>
        </w:rPr>
        <w:t>-</w:t>
      </w:r>
      <w:r w:rsidR="00CA1469">
        <w:rPr>
          <w:rFonts w:ascii="Arial" w:hAnsi="Arial" w:cs="Arial"/>
        </w:rPr>
        <w:t>1980s. As with wrongful trading it also throws up interesting policy and legislative process issues. For example, d</w:t>
      </w:r>
      <w:r w:rsidR="007B644A" w:rsidRPr="007B644A">
        <w:rPr>
          <w:rFonts w:ascii="Arial" w:hAnsi="Arial" w:cs="Arial"/>
        </w:rPr>
        <w:t xml:space="preserve">oes the jurisdiction exist to punish errant directors, or, are the regulatory provisions in place so as to protect creditors from directors who abuse the statutory privilege of limited liability through </w:t>
      </w:r>
      <w:proofErr w:type="spellStart"/>
      <w:r w:rsidR="007B644A" w:rsidRPr="007B644A">
        <w:rPr>
          <w:rFonts w:ascii="Arial" w:hAnsi="Arial" w:cs="Arial"/>
        </w:rPr>
        <w:t>phoenixism</w:t>
      </w:r>
      <w:proofErr w:type="spellEnd"/>
      <w:r w:rsidR="007B644A" w:rsidRPr="007B644A">
        <w:rPr>
          <w:rFonts w:ascii="Arial" w:hAnsi="Arial" w:cs="Arial"/>
        </w:rPr>
        <w:t xml:space="preserve"> and other miscreant activities?</w:t>
      </w:r>
      <w:r w:rsidR="00CA1469">
        <w:rPr>
          <w:rStyle w:val="FootnoteReference"/>
          <w:rFonts w:ascii="Arial" w:hAnsi="Arial" w:cs="Arial"/>
        </w:rPr>
        <w:footnoteReference w:id="31"/>
      </w:r>
      <w:r w:rsidR="007B644A" w:rsidRPr="007B644A">
        <w:rPr>
          <w:rFonts w:ascii="Arial" w:hAnsi="Arial" w:cs="Arial"/>
        </w:rPr>
        <w:t xml:space="preserve"> In the alternative do the provisions, when coupled with s</w:t>
      </w:r>
      <w:r w:rsidR="00CA1469">
        <w:rPr>
          <w:rFonts w:ascii="Arial" w:hAnsi="Arial" w:cs="Arial"/>
        </w:rPr>
        <w:t>.214 Insolvency Act 1986</w:t>
      </w:r>
      <w:r w:rsidR="007B644A" w:rsidRPr="007B644A">
        <w:rPr>
          <w:rFonts w:ascii="Arial" w:hAnsi="Arial" w:cs="Arial"/>
        </w:rPr>
        <w:t xml:space="preserve"> wrongful trading, provide a compensatory device, or finally, are we dealing with a device or set of provisions which help to raise standards of </w:t>
      </w:r>
      <w:r w:rsidR="007B644A" w:rsidRPr="007B644A">
        <w:rPr>
          <w:rFonts w:ascii="Arial" w:hAnsi="Arial" w:cs="Arial"/>
        </w:rPr>
        <w:lastRenderedPageBreak/>
        <w:t>business conduct and entrepreneurship?</w:t>
      </w:r>
      <w:r w:rsidR="00CA1469">
        <w:rPr>
          <w:rFonts w:ascii="Arial" w:hAnsi="Arial" w:cs="Arial"/>
        </w:rPr>
        <w:t xml:space="preserve"> These debates are for elsewhere,</w:t>
      </w:r>
      <w:r w:rsidR="00CA1469">
        <w:rPr>
          <w:rStyle w:val="FootnoteReference"/>
          <w:rFonts w:ascii="Arial" w:hAnsi="Arial" w:cs="Arial"/>
        </w:rPr>
        <w:footnoteReference w:id="32"/>
      </w:r>
      <w:r w:rsidR="00CA1469">
        <w:rPr>
          <w:rFonts w:ascii="Arial" w:hAnsi="Arial" w:cs="Arial"/>
        </w:rPr>
        <w:t xml:space="preserve"> here we must focus on the passage of the </w:t>
      </w:r>
      <w:r w:rsidR="007B644A" w:rsidRPr="007B644A">
        <w:rPr>
          <w:rFonts w:ascii="Arial" w:hAnsi="Arial" w:cs="Arial"/>
        </w:rPr>
        <w:t xml:space="preserve">Company Directors Disqualification Act 1986 (CDDA86) </w:t>
      </w:r>
      <w:r w:rsidR="00CA1469">
        <w:rPr>
          <w:rFonts w:ascii="Arial" w:hAnsi="Arial" w:cs="Arial"/>
        </w:rPr>
        <w:t>and whether it reflects that which the policy framers intended.</w:t>
      </w:r>
    </w:p>
    <w:p w14:paraId="5BE857A0" w14:textId="77777777" w:rsidR="00CA1469" w:rsidRDefault="00CA1469" w:rsidP="00CA1469">
      <w:pPr>
        <w:spacing w:line="360" w:lineRule="auto"/>
        <w:jc w:val="both"/>
        <w:rPr>
          <w:rFonts w:ascii="Arial" w:hAnsi="Arial" w:cs="Arial"/>
        </w:rPr>
      </w:pPr>
    </w:p>
    <w:p w14:paraId="7B767D32" w14:textId="77777777" w:rsidR="007B644A" w:rsidRDefault="00CA1469" w:rsidP="00C302AC">
      <w:pPr>
        <w:spacing w:line="360" w:lineRule="auto"/>
        <w:jc w:val="both"/>
        <w:rPr>
          <w:rFonts w:ascii="Arial" w:hAnsi="Arial" w:cs="Arial"/>
        </w:rPr>
      </w:pPr>
      <w:r>
        <w:rPr>
          <w:rFonts w:ascii="Arial" w:hAnsi="Arial" w:cs="Arial"/>
        </w:rPr>
        <w:t xml:space="preserve">We know that the CDDA86 </w:t>
      </w:r>
      <w:r w:rsidR="007B644A" w:rsidRPr="007B644A">
        <w:rPr>
          <w:rFonts w:ascii="Arial" w:hAnsi="Arial" w:cs="Arial"/>
        </w:rPr>
        <w:t>regulatory jurisdiction exists to provide a protection mechanism for the general public</w:t>
      </w:r>
      <w:r w:rsidR="00B504FA">
        <w:rPr>
          <w:rFonts w:ascii="Arial" w:hAnsi="Arial" w:cs="Arial"/>
        </w:rPr>
        <w:t>, at least according to the Insolvency Service</w:t>
      </w:r>
      <w:r w:rsidR="007B644A" w:rsidRPr="007B644A">
        <w:rPr>
          <w:rFonts w:ascii="Arial" w:hAnsi="Arial" w:cs="Arial"/>
        </w:rPr>
        <w:t xml:space="preserve">. Protection comes from the removal of, </w:t>
      </w:r>
      <w:r w:rsidR="007B644A" w:rsidRPr="00CA1469">
        <w:rPr>
          <w:rFonts w:ascii="Arial" w:hAnsi="Arial" w:cs="Arial"/>
          <w:i/>
        </w:rPr>
        <w:t>inter alia</w:t>
      </w:r>
      <w:r>
        <w:rPr>
          <w:rFonts w:ascii="Arial" w:hAnsi="Arial" w:cs="Arial"/>
        </w:rPr>
        <w:t>, “</w:t>
      </w:r>
      <w:r w:rsidR="007B644A" w:rsidRPr="007B644A">
        <w:rPr>
          <w:rFonts w:ascii="Arial" w:hAnsi="Arial" w:cs="Arial"/>
        </w:rPr>
        <w:t>unfit</w:t>
      </w:r>
      <w:r>
        <w:rPr>
          <w:rFonts w:ascii="Arial" w:hAnsi="Arial" w:cs="Arial"/>
        </w:rPr>
        <w:t>”</w:t>
      </w:r>
      <w:r>
        <w:rPr>
          <w:rStyle w:val="FootnoteReference"/>
          <w:rFonts w:ascii="Arial" w:hAnsi="Arial" w:cs="Arial"/>
        </w:rPr>
        <w:footnoteReference w:id="33"/>
      </w:r>
      <w:r w:rsidR="007B644A" w:rsidRPr="007B644A">
        <w:rPr>
          <w:rFonts w:ascii="Arial" w:hAnsi="Arial" w:cs="Arial"/>
        </w:rPr>
        <w:t xml:space="preserve"> directors from the corporate world for a period of between 2 and 15 years depending on the degree of unfitness and how this sits on the late Dillon, LJ's </w:t>
      </w:r>
      <w:r w:rsidR="007B644A" w:rsidRPr="00CA1469">
        <w:rPr>
          <w:rFonts w:ascii="Arial" w:hAnsi="Arial" w:cs="Arial"/>
          <w:i/>
        </w:rPr>
        <w:t>Re Sevenoaks Stationers (Retail) Ltd</w:t>
      </w:r>
      <w:r>
        <w:rPr>
          <w:rStyle w:val="FootnoteReference"/>
          <w:rFonts w:ascii="Arial" w:hAnsi="Arial" w:cs="Arial"/>
        </w:rPr>
        <w:footnoteReference w:id="34"/>
      </w:r>
      <w:r w:rsidR="007B644A" w:rsidRPr="007B644A">
        <w:rPr>
          <w:rFonts w:ascii="Arial" w:hAnsi="Arial" w:cs="Arial"/>
        </w:rPr>
        <w:t xml:space="preserve"> scale. </w:t>
      </w:r>
      <w:r w:rsidR="00B43D44">
        <w:rPr>
          <w:rFonts w:ascii="Arial" w:hAnsi="Arial" w:cs="Arial"/>
        </w:rPr>
        <w:t>Some commentators might</w:t>
      </w:r>
      <w:r w:rsidR="007B644A" w:rsidRPr="007B644A">
        <w:rPr>
          <w:rFonts w:ascii="Arial" w:hAnsi="Arial" w:cs="Arial"/>
        </w:rPr>
        <w:t xml:space="preserve"> argue that the jurisdiction exists as a form of punishment for the miscreant director,</w:t>
      </w:r>
      <w:r w:rsidR="00B43D44">
        <w:rPr>
          <w:rStyle w:val="FootnoteReference"/>
          <w:rFonts w:ascii="Arial" w:hAnsi="Arial" w:cs="Arial"/>
        </w:rPr>
        <w:footnoteReference w:id="35"/>
      </w:r>
      <w:r w:rsidR="007B644A" w:rsidRPr="007B644A">
        <w:rPr>
          <w:rFonts w:ascii="Arial" w:hAnsi="Arial" w:cs="Arial"/>
        </w:rPr>
        <w:t xml:space="preserve"> especially when accompanie</w:t>
      </w:r>
      <w:r w:rsidR="00B504FA">
        <w:rPr>
          <w:rFonts w:ascii="Arial" w:hAnsi="Arial" w:cs="Arial"/>
        </w:rPr>
        <w:t>d by culpability for s.213 Insolvency Act 19</w:t>
      </w:r>
      <w:r w:rsidR="00B43D44">
        <w:rPr>
          <w:rFonts w:ascii="Arial" w:hAnsi="Arial" w:cs="Arial"/>
        </w:rPr>
        <w:t>86</w:t>
      </w:r>
      <w:r w:rsidR="007B644A" w:rsidRPr="007B644A">
        <w:rPr>
          <w:rFonts w:ascii="Arial" w:hAnsi="Arial" w:cs="Arial"/>
        </w:rPr>
        <w:t xml:space="preserve"> fraudulent trading (with that provision's attendant </w:t>
      </w:r>
      <w:proofErr w:type="spellStart"/>
      <w:r w:rsidR="007B644A" w:rsidRPr="00B43D44">
        <w:rPr>
          <w:rFonts w:ascii="Arial" w:hAnsi="Arial" w:cs="Arial"/>
          <w:i/>
        </w:rPr>
        <w:t>mens</w:t>
      </w:r>
      <w:proofErr w:type="spellEnd"/>
      <w:r w:rsidR="007B644A" w:rsidRPr="00B43D44">
        <w:rPr>
          <w:rFonts w:ascii="Arial" w:hAnsi="Arial" w:cs="Arial"/>
          <w:i/>
        </w:rPr>
        <w:t xml:space="preserve"> rea</w:t>
      </w:r>
      <w:r w:rsidR="007B644A" w:rsidRPr="007B644A">
        <w:rPr>
          <w:rFonts w:ascii="Arial" w:hAnsi="Arial" w:cs="Arial"/>
        </w:rPr>
        <w:t xml:space="preserve"> for dishonesty) or wrongful trading contributions to the company's assets as a result of </w:t>
      </w:r>
      <w:r w:rsidR="00B504FA">
        <w:rPr>
          <w:rFonts w:ascii="Arial" w:hAnsi="Arial" w:cs="Arial"/>
        </w:rPr>
        <w:t>s.214 Insolvency Act 19</w:t>
      </w:r>
      <w:r w:rsidR="007B644A" w:rsidRPr="007B644A">
        <w:rPr>
          <w:rFonts w:ascii="Arial" w:hAnsi="Arial" w:cs="Arial"/>
        </w:rPr>
        <w:t xml:space="preserve">86 culpability. The corollary removal from one's professional body as a result of disqualification (i.e. being struck off as a solicitor) and the subsequent inhibiting of one's ability to earn may also be viewed as a form of punishment. </w:t>
      </w:r>
      <w:r w:rsidR="00B43D44">
        <w:rPr>
          <w:rFonts w:ascii="Arial" w:hAnsi="Arial" w:cs="Arial"/>
        </w:rPr>
        <w:t>An examination of the very early case law also helps to spread light on the question of what directors’ disqualification is for in the punishment or public protection sense, particularly from the viewpoint of contemporary thought of the legislators and policy formulators.</w:t>
      </w:r>
      <w:r w:rsidR="00B43D44">
        <w:rPr>
          <w:rStyle w:val="FootnoteReference"/>
          <w:rFonts w:ascii="Arial" w:hAnsi="Arial" w:cs="Arial"/>
        </w:rPr>
        <w:footnoteReference w:id="36"/>
      </w:r>
    </w:p>
    <w:p w14:paraId="0BADF2D5" w14:textId="77777777" w:rsidR="00B43D44" w:rsidRDefault="00B43D44" w:rsidP="00C302AC">
      <w:pPr>
        <w:spacing w:line="360" w:lineRule="auto"/>
        <w:jc w:val="both"/>
        <w:rPr>
          <w:rFonts w:ascii="Arial" w:hAnsi="Arial" w:cs="Arial"/>
        </w:rPr>
      </w:pPr>
    </w:p>
    <w:p w14:paraId="2B499F09" w14:textId="4807A922" w:rsidR="007B74A5" w:rsidRDefault="00B43D44" w:rsidP="00C302AC">
      <w:pPr>
        <w:spacing w:line="360" w:lineRule="auto"/>
        <w:jc w:val="both"/>
        <w:rPr>
          <w:rFonts w:ascii="Arial" w:hAnsi="Arial" w:cs="Arial"/>
        </w:rPr>
      </w:pPr>
      <w:r>
        <w:rPr>
          <w:rFonts w:ascii="Arial" w:hAnsi="Arial" w:cs="Arial"/>
        </w:rPr>
        <w:lastRenderedPageBreak/>
        <w:t xml:space="preserve">However, here we are concerned with one particular aspect of early disqualification legislation and that relates to its scope. This also reflects on its function, especially when we consider that in its earliest iteration disqualification was meant to apply to ALL directors of </w:t>
      </w:r>
      <w:commentRangeStart w:id="5"/>
      <w:r w:rsidR="00C66B37">
        <w:rPr>
          <w:rFonts w:ascii="Arial" w:hAnsi="Arial" w:cs="Arial"/>
        </w:rPr>
        <w:t>c</w:t>
      </w:r>
      <w:commentRangeEnd w:id="5"/>
      <w:r>
        <w:rPr>
          <w:rFonts w:ascii="Arial" w:hAnsi="Arial" w:cs="Arial"/>
        </w:rPr>
        <w:t>ompanies</w:t>
      </w:r>
      <w:r w:rsidR="00C66B37">
        <w:rPr>
          <w:rFonts w:ascii="Arial" w:hAnsi="Arial" w:cs="Arial"/>
        </w:rPr>
        <w:t xml:space="preserve"> that have gone into an insolvency procedure</w:t>
      </w:r>
      <w:r>
        <w:rPr>
          <w:rFonts w:ascii="Arial" w:hAnsi="Arial" w:cs="Arial"/>
        </w:rPr>
        <w:t xml:space="preserve">. If this had come to pass the punishment agenda could be said to be more prevalent as opposed to the more nuanced public protection agenda that we now have. </w:t>
      </w:r>
    </w:p>
    <w:p w14:paraId="4266E4F3" w14:textId="77777777" w:rsidR="00807E67" w:rsidRDefault="00807E67" w:rsidP="00C302AC">
      <w:pPr>
        <w:spacing w:line="360" w:lineRule="auto"/>
        <w:jc w:val="both"/>
        <w:rPr>
          <w:rFonts w:ascii="Arial" w:hAnsi="Arial" w:cs="Arial"/>
        </w:rPr>
      </w:pPr>
    </w:p>
    <w:p w14:paraId="006A1F77" w14:textId="77777777" w:rsidR="00807E67" w:rsidRDefault="00807E67" w:rsidP="00C302AC">
      <w:pPr>
        <w:spacing w:line="360" w:lineRule="auto"/>
        <w:jc w:val="both"/>
        <w:rPr>
          <w:rFonts w:ascii="Arial" w:hAnsi="Arial" w:cs="Arial"/>
        </w:rPr>
      </w:pPr>
      <w:r>
        <w:rPr>
          <w:rFonts w:ascii="Arial" w:hAnsi="Arial" w:cs="Arial"/>
        </w:rPr>
        <w:t xml:space="preserve">The proposal to make directors’ disqualification automatic apparently came from the chair of the Cork Committee, Sir Kenneth Cork. In a brief </w:t>
      </w:r>
      <w:r w:rsidR="00365E57">
        <w:rPr>
          <w:rFonts w:ascii="Arial" w:hAnsi="Arial" w:cs="Arial"/>
        </w:rPr>
        <w:t>dated 19</w:t>
      </w:r>
      <w:r w:rsidR="00365E57" w:rsidRPr="00365E57">
        <w:rPr>
          <w:rFonts w:ascii="Arial" w:hAnsi="Arial" w:cs="Arial"/>
          <w:vertAlign w:val="superscript"/>
        </w:rPr>
        <w:t>th</w:t>
      </w:r>
      <w:r w:rsidR="00365E57">
        <w:rPr>
          <w:rFonts w:ascii="Arial" w:hAnsi="Arial" w:cs="Arial"/>
        </w:rPr>
        <w:t xml:space="preserve"> September 1980 </w:t>
      </w:r>
      <w:r>
        <w:rPr>
          <w:rFonts w:ascii="Arial" w:hAnsi="Arial" w:cs="Arial"/>
        </w:rPr>
        <w:t>by John Hunter for the 46</w:t>
      </w:r>
      <w:r w:rsidRPr="00807E67">
        <w:rPr>
          <w:rFonts w:ascii="Arial" w:hAnsi="Arial" w:cs="Arial"/>
          <w:vertAlign w:val="superscript"/>
        </w:rPr>
        <w:t>th</w:t>
      </w:r>
      <w:r>
        <w:rPr>
          <w:rFonts w:ascii="Arial" w:hAnsi="Arial" w:cs="Arial"/>
        </w:rPr>
        <w:t xml:space="preserve"> meeting of the Insolvency Law Review Committee it was noted that, “The evidence we have received indicates clearly that section 9 of the Insolvency Act 1976 does not go far enough. I would favour the Chairman’s suggestion that disqualification should be automatic, subject to the director’s right of appeal to the Court to be relieved…I would like to see from the first liquidation…”</w:t>
      </w:r>
      <w:r>
        <w:rPr>
          <w:rStyle w:val="FootnoteReference"/>
          <w:rFonts w:ascii="Arial" w:hAnsi="Arial" w:cs="Arial"/>
        </w:rPr>
        <w:footnoteReference w:id="37"/>
      </w:r>
    </w:p>
    <w:p w14:paraId="0245BBE7" w14:textId="77777777" w:rsidR="00133F67" w:rsidRDefault="00133F67" w:rsidP="00C302AC">
      <w:pPr>
        <w:spacing w:line="360" w:lineRule="auto"/>
        <w:jc w:val="both"/>
        <w:rPr>
          <w:rFonts w:ascii="Arial" w:hAnsi="Arial" w:cs="Arial"/>
        </w:rPr>
      </w:pPr>
    </w:p>
    <w:p w14:paraId="48462BB7" w14:textId="77777777" w:rsidR="00A705DD" w:rsidRDefault="00133F67" w:rsidP="00C302AC">
      <w:pPr>
        <w:spacing w:line="360" w:lineRule="auto"/>
        <w:jc w:val="both"/>
        <w:rPr>
          <w:rFonts w:ascii="Arial" w:hAnsi="Arial" w:cs="Arial"/>
        </w:rPr>
      </w:pPr>
      <w:r>
        <w:rPr>
          <w:rFonts w:ascii="Arial" w:hAnsi="Arial" w:cs="Arial"/>
        </w:rPr>
        <w:t>As Fletcher has noted in relation to the passage of the insolvency related legislation of the mid-1980s it was, “substantially altered by political forces which were brought to bear during the Parliamentary proceedings.”</w:t>
      </w:r>
      <w:r>
        <w:rPr>
          <w:rStyle w:val="FootnoteReference"/>
          <w:rFonts w:ascii="Arial" w:hAnsi="Arial" w:cs="Arial"/>
        </w:rPr>
        <w:footnoteReference w:id="38"/>
      </w:r>
      <w:r>
        <w:rPr>
          <w:rFonts w:ascii="Arial" w:hAnsi="Arial" w:cs="Arial"/>
        </w:rPr>
        <w:t xml:space="preserve"> Over 1,200 amendments were made during the rushed passage of the Insolvency Bill, mainly by the Government. In the context of directors’ disqualification those forces were the CBI and the IOD and the numerous peers who</w:t>
      </w:r>
      <w:r w:rsidR="003323FB">
        <w:rPr>
          <w:rFonts w:ascii="Arial" w:hAnsi="Arial" w:cs="Arial"/>
        </w:rPr>
        <w:t>se</w:t>
      </w:r>
      <w:r>
        <w:rPr>
          <w:rFonts w:ascii="Arial" w:hAnsi="Arial" w:cs="Arial"/>
        </w:rPr>
        <w:t xml:space="preserve"> own personal interests would be severely affected by their removal from all boards on an automatic </w:t>
      </w:r>
      <w:r w:rsidR="003323FB">
        <w:rPr>
          <w:rFonts w:ascii="Arial" w:hAnsi="Arial" w:cs="Arial"/>
        </w:rPr>
        <w:t>basis if they were associated with a company that went into any insolvency procedure.</w:t>
      </w:r>
      <w:r w:rsidR="00A705DD">
        <w:rPr>
          <w:rFonts w:ascii="Arial" w:hAnsi="Arial" w:cs="Arial"/>
        </w:rPr>
        <w:t xml:space="preserve"> </w:t>
      </w:r>
    </w:p>
    <w:p w14:paraId="4707E38E" w14:textId="77777777" w:rsidR="00A705DD" w:rsidRDefault="00A705DD" w:rsidP="00C302AC">
      <w:pPr>
        <w:spacing w:line="360" w:lineRule="auto"/>
        <w:jc w:val="both"/>
        <w:rPr>
          <w:rFonts w:ascii="Arial" w:hAnsi="Arial" w:cs="Arial"/>
        </w:rPr>
      </w:pPr>
    </w:p>
    <w:p w14:paraId="14B1A88A" w14:textId="77777777" w:rsidR="00133F67" w:rsidRPr="00C302AC" w:rsidRDefault="00A705DD" w:rsidP="00C302AC">
      <w:pPr>
        <w:spacing w:line="360" w:lineRule="auto"/>
        <w:jc w:val="both"/>
        <w:rPr>
          <w:rFonts w:ascii="Arial" w:hAnsi="Arial" w:cs="Arial"/>
        </w:rPr>
      </w:pPr>
      <w:r>
        <w:rPr>
          <w:rFonts w:ascii="Arial" w:hAnsi="Arial" w:cs="Arial"/>
        </w:rPr>
        <w:t xml:space="preserve">Here we have controllers, the directors, seeking to extend and maintain their control over capital, to the detriment of general public protection and wider accountability. </w:t>
      </w:r>
      <w:r w:rsidR="003323FB">
        <w:rPr>
          <w:rFonts w:ascii="Arial" w:hAnsi="Arial" w:cs="Arial"/>
        </w:rPr>
        <w:t>Again we see an example of the apparatus</w:t>
      </w:r>
      <w:r w:rsidR="007A23C3">
        <w:rPr>
          <w:rFonts w:ascii="Arial" w:hAnsi="Arial" w:cs="Arial"/>
        </w:rPr>
        <w:t xml:space="preserve"> of the law being</w:t>
      </w:r>
      <w:r w:rsidR="003323FB">
        <w:rPr>
          <w:rFonts w:ascii="Arial" w:hAnsi="Arial" w:cs="Arial"/>
        </w:rPr>
        <w:t xml:space="preserve"> used to ensure pow</w:t>
      </w:r>
      <w:r>
        <w:rPr>
          <w:rFonts w:ascii="Arial" w:hAnsi="Arial" w:cs="Arial"/>
        </w:rPr>
        <w:t>er remained in the hands of</w:t>
      </w:r>
      <w:r w:rsidR="003323FB">
        <w:rPr>
          <w:rFonts w:ascii="Arial" w:hAnsi="Arial" w:cs="Arial"/>
        </w:rPr>
        <w:t xml:space="preserve"> capitalists who also happened to be legislators. What of the wider policy intent and the protection that would be afforded to the public by the removal of miscreant directors from the public sphere?  </w:t>
      </w:r>
    </w:p>
    <w:p w14:paraId="7E9B6376" w14:textId="77777777" w:rsidR="007B74A5" w:rsidRDefault="007B74A5" w:rsidP="00C302AC">
      <w:pPr>
        <w:spacing w:line="360" w:lineRule="auto"/>
        <w:jc w:val="both"/>
        <w:rPr>
          <w:rFonts w:ascii="Arial" w:hAnsi="Arial" w:cs="Arial"/>
          <w:b/>
          <w:bCs/>
          <w:u w:val="single"/>
          <w:lang w:val="en-US"/>
        </w:rPr>
      </w:pPr>
    </w:p>
    <w:p w14:paraId="2A43A1F3" w14:textId="77777777" w:rsidR="007B74A5" w:rsidRDefault="007B74A5" w:rsidP="00C54719">
      <w:pPr>
        <w:spacing w:line="360" w:lineRule="auto"/>
        <w:rPr>
          <w:rFonts w:ascii="Arial" w:hAnsi="Arial" w:cs="Arial"/>
          <w:b/>
          <w:bCs/>
          <w:u w:val="single"/>
          <w:lang w:val="en-US"/>
        </w:rPr>
      </w:pPr>
    </w:p>
    <w:p w14:paraId="7FA8B952" w14:textId="77777777" w:rsidR="00C302AC" w:rsidRPr="00C302AC" w:rsidRDefault="00FF395E" w:rsidP="007B74A5">
      <w:pPr>
        <w:pStyle w:val="ListParagraph"/>
        <w:numPr>
          <w:ilvl w:val="0"/>
          <w:numId w:val="10"/>
        </w:numPr>
        <w:jc w:val="both"/>
        <w:rPr>
          <w:rFonts w:ascii="Arial" w:hAnsi="Arial" w:cs="Arial"/>
        </w:rPr>
      </w:pPr>
      <w:r w:rsidRPr="007B74A5">
        <w:rPr>
          <w:rFonts w:ascii="Arial" w:hAnsi="Arial" w:cs="Arial"/>
          <w:b/>
          <w:bCs/>
          <w:u w:val="single"/>
          <w:lang w:val="en-US"/>
        </w:rPr>
        <w:t>Administration</w:t>
      </w:r>
      <w:r w:rsidR="005425C5" w:rsidRPr="005425C5">
        <w:rPr>
          <w:rStyle w:val="FootnoteReference"/>
          <w:rFonts w:ascii="Arial" w:hAnsi="Arial" w:cs="Arial"/>
          <w:bCs/>
          <w:lang w:val="en-US"/>
        </w:rPr>
        <w:footnoteReference w:id="39"/>
      </w:r>
      <w:r w:rsidRPr="005425C5">
        <w:rPr>
          <w:rFonts w:ascii="Arial" w:hAnsi="Arial" w:cs="Arial"/>
          <w:bCs/>
          <w:lang w:val="en-US"/>
        </w:rPr>
        <w:t xml:space="preserve"> </w:t>
      </w:r>
    </w:p>
    <w:p w14:paraId="06DA7B06" w14:textId="77777777" w:rsidR="00C302AC" w:rsidRDefault="00C302AC" w:rsidP="00C302AC">
      <w:pPr>
        <w:jc w:val="both"/>
        <w:rPr>
          <w:rFonts w:ascii="Arial" w:hAnsi="Arial" w:cs="Arial"/>
          <w:b/>
          <w:bCs/>
          <w:lang w:val="en-US"/>
        </w:rPr>
      </w:pPr>
    </w:p>
    <w:p w14:paraId="06AE4EF4" w14:textId="77777777" w:rsidR="00C302AC" w:rsidRDefault="00C302AC" w:rsidP="00C302AC">
      <w:pPr>
        <w:spacing w:line="360" w:lineRule="auto"/>
        <w:jc w:val="both"/>
        <w:rPr>
          <w:rFonts w:ascii="Arial" w:hAnsi="Arial" w:cs="Arial"/>
          <w:bCs/>
          <w:lang w:val="en-US"/>
        </w:rPr>
      </w:pPr>
    </w:p>
    <w:p w14:paraId="68179BD6" w14:textId="77777777" w:rsidR="00330ACF" w:rsidRDefault="00C302AC" w:rsidP="00C302AC">
      <w:pPr>
        <w:spacing w:line="360" w:lineRule="auto"/>
        <w:jc w:val="both"/>
        <w:rPr>
          <w:rFonts w:ascii="Arial" w:hAnsi="Arial" w:cs="Arial"/>
          <w:bCs/>
          <w:lang w:val="en-US"/>
        </w:rPr>
      </w:pPr>
      <w:r w:rsidRPr="00C302AC">
        <w:rPr>
          <w:rFonts w:ascii="Arial" w:hAnsi="Arial" w:cs="Arial"/>
          <w:bCs/>
          <w:lang w:val="en-US"/>
        </w:rPr>
        <w:t xml:space="preserve">The </w:t>
      </w:r>
      <w:r w:rsidR="00FF395E" w:rsidRPr="00C302AC">
        <w:rPr>
          <w:rFonts w:ascii="Arial" w:hAnsi="Arial" w:cs="Arial"/>
          <w:bCs/>
          <w:lang w:val="en-US"/>
        </w:rPr>
        <w:t>Enterprise Act 2002</w:t>
      </w:r>
      <w:r w:rsidR="000471AF">
        <w:rPr>
          <w:rFonts w:ascii="Arial" w:hAnsi="Arial" w:cs="Arial"/>
          <w:bCs/>
          <w:lang w:val="en-US"/>
        </w:rPr>
        <w:t xml:space="preserve"> was supposed to herald fundamental</w:t>
      </w:r>
      <w:r w:rsidRPr="00C302AC">
        <w:rPr>
          <w:rFonts w:ascii="Arial" w:hAnsi="Arial" w:cs="Arial"/>
          <w:bCs/>
          <w:lang w:val="en-US"/>
        </w:rPr>
        <w:t xml:space="preserve"> changes to English and Welsh corporate insolvency law and in particular to the administration procedure.</w:t>
      </w:r>
      <w:r w:rsidR="000471AF">
        <w:rPr>
          <w:rFonts w:ascii="Arial" w:hAnsi="Arial" w:cs="Arial"/>
          <w:bCs/>
          <w:lang w:val="en-US"/>
        </w:rPr>
        <w:t xml:space="preserve"> Building on the Cork committee’s original vision of a rescue culture the 2002 reforms were supposed to provide a fillip to </w:t>
      </w:r>
      <w:r w:rsidR="00330ACF">
        <w:rPr>
          <w:rFonts w:ascii="Arial" w:hAnsi="Arial" w:cs="Arial"/>
          <w:bCs/>
          <w:lang w:val="en-US"/>
        </w:rPr>
        <w:t xml:space="preserve">administration and by extension to </w:t>
      </w:r>
      <w:r w:rsidR="00375B01">
        <w:rPr>
          <w:rFonts w:ascii="Arial" w:hAnsi="Arial" w:cs="Arial"/>
          <w:bCs/>
          <w:lang w:val="en-US"/>
        </w:rPr>
        <w:t xml:space="preserve">the </w:t>
      </w:r>
      <w:r w:rsidR="00330ACF">
        <w:rPr>
          <w:rFonts w:ascii="Arial" w:hAnsi="Arial" w:cs="Arial"/>
          <w:bCs/>
          <w:lang w:val="en-US"/>
        </w:rPr>
        <w:t xml:space="preserve">languishing rescue culture agenda. </w:t>
      </w:r>
    </w:p>
    <w:p w14:paraId="6CC25F98" w14:textId="77777777" w:rsidR="00330ACF" w:rsidRDefault="00330ACF" w:rsidP="00C302AC">
      <w:pPr>
        <w:spacing w:line="360" w:lineRule="auto"/>
        <w:jc w:val="both"/>
        <w:rPr>
          <w:rFonts w:ascii="Arial" w:hAnsi="Arial" w:cs="Arial"/>
          <w:bCs/>
          <w:lang w:val="en-US"/>
        </w:rPr>
      </w:pPr>
    </w:p>
    <w:p w14:paraId="77DA37E9" w14:textId="68F05624" w:rsidR="00330ACF" w:rsidRPr="000E71C8" w:rsidRDefault="00A8177A" w:rsidP="00C302AC">
      <w:pPr>
        <w:spacing w:line="360" w:lineRule="auto"/>
        <w:jc w:val="both"/>
        <w:rPr>
          <w:rFonts w:ascii="Arial" w:hAnsi="Arial" w:cs="Arial"/>
          <w:bCs/>
          <w:lang w:val="en-US"/>
        </w:rPr>
      </w:pPr>
      <w:r>
        <w:rPr>
          <w:rFonts w:ascii="Arial" w:hAnsi="Arial" w:cs="Arial"/>
          <w:bCs/>
          <w:lang w:val="en-US"/>
        </w:rPr>
        <w:t>Commencing with the then Secretary of State for T</w:t>
      </w:r>
      <w:r w:rsidR="005D0716">
        <w:rPr>
          <w:rFonts w:ascii="Arial" w:hAnsi="Arial" w:cs="Arial"/>
          <w:bCs/>
          <w:lang w:val="en-US"/>
        </w:rPr>
        <w:t xml:space="preserve">rade and </w:t>
      </w:r>
      <w:r>
        <w:rPr>
          <w:rFonts w:ascii="Arial" w:hAnsi="Arial" w:cs="Arial"/>
          <w:bCs/>
          <w:lang w:val="en-US"/>
        </w:rPr>
        <w:t>Industry (as the department was then called)</w:t>
      </w:r>
      <w:r w:rsidR="005D0716">
        <w:rPr>
          <w:rFonts w:ascii="Arial" w:hAnsi="Arial" w:cs="Arial"/>
          <w:bCs/>
          <w:lang w:val="en-US"/>
        </w:rPr>
        <w:t xml:space="preserve"> Peter (later Lord)</w:t>
      </w:r>
      <w:r w:rsidR="00330ACF">
        <w:rPr>
          <w:rFonts w:ascii="Arial" w:hAnsi="Arial" w:cs="Arial"/>
          <w:bCs/>
          <w:lang w:val="en-US"/>
        </w:rPr>
        <w:t xml:space="preserve"> Mande</w:t>
      </w:r>
      <w:r>
        <w:rPr>
          <w:rFonts w:ascii="Arial" w:hAnsi="Arial" w:cs="Arial"/>
          <w:bCs/>
          <w:lang w:val="en-US"/>
        </w:rPr>
        <w:t>l</w:t>
      </w:r>
      <w:r w:rsidR="00330ACF">
        <w:rPr>
          <w:rFonts w:ascii="Arial" w:hAnsi="Arial" w:cs="Arial"/>
          <w:bCs/>
          <w:lang w:val="en-US"/>
        </w:rPr>
        <w:t>son’</w:t>
      </w:r>
      <w:r w:rsidR="005D0716">
        <w:rPr>
          <w:rFonts w:ascii="Arial" w:hAnsi="Arial" w:cs="Arial"/>
          <w:bCs/>
          <w:lang w:val="en-US"/>
        </w:rPr>
        <w:t>s sojourn to the United States</w:t>
      </w:r>
      <w:r w:rsidR="00375B01">
        <w:rPr>
          <w:rFonts w:ascii="Arial" w:hAnsi="Arial" w:cs="Arial"/>
          <w:bCs/>
          <w:lang w:val="en-US"/>
        </w:rPr>
        <w:t>,</w:t>
      </w:r>
      <w:r w:rsidR="005D0716">
        <w:rPr>
          <w:rFonts w:ascii="Arial" w:hAnsi="Arial" w:cs="Arial"/>
          <w:bCs/>
          <w:lang w:val="en-US"/>
        </w:rPr>
        <w:t xml:space="preserve"> the reforms were afoot. Mandelson had been influenced by the Chapter 11 procedure and the can do attitude of our American cousins. There then followed an in-depth and sustained period of consultation. The </w:t>
      </w:r>
      <w:proofErr w:type="spellStart"/>
      <w:r w:rsidR="005D0716" w:rsidRPr="00287140">
        <w:rPr>
          <w:rFonts w:ascii="Arial" w:hAnsi="Arial" w:cs="Arial"/>
          <w:bCs/>
          <w:i/>
          <w:lang w:val="en-US"/>
        </w:rPr>
        <w:t>Ra</w:t>
      </w:r>
      <w:r w:rsidR="00287140" w:rsidRPr="00287140">
        <w:rPr>
          <w:rFonts w:ascii="Arial" w:hAnsi="Arial" w:cs="Arial"/>
          <w:bCs/>
          <w:i/>
          <w:lang w:val="en-US"/>
        </w:rPr>
        <w:t>jak</w:t>
      </w:r>
      <w:proofErr w:type="spellEnd"/>
      <w:r w:rsidR="00287140" w:rsidRPr="00287140">
        <w:rPr>
          <w:rFonts w:ascii="Arial" w:hAnsi="Arial" w:cs="Arial"/>
          <w:bCs/>
          <w:i/>
          <w:lang w:val="en-US"/>
        </w:rPr>
        <w:t xml:space="preserve"> R</w:t>
      </w:r>
      <w:r w:rsidR="005D0716" w:rsidRPr="00287140">
        <w:rPr>
          <w:rFonts w:ascii="Arial" w:hAnsi="Arial" w:cs="Arial"/>
          <w:bCs/>
          <w:i/>
          <w:lang w:val="en-US"/>
        </w:rPr>
        <w:t>eport</w:t>
      </w:r>
      <w:r w:rsidR="005D0716">
        <w:rPr>
          <w:rFonts w:ascii="Arial" w:hAnsi="Arial" w:cs="Arial"/>
          <w:bCs/>
          <w:lang w:val="en-US"/>
        </w:rPr>
        <w:t xml:space="preserve"> </w:t>
      </w:r>
      <w:r w:rsidR="00330ACF">
        <w:rPr>
          <w:rFonts w:ascii="Arial" w:hAnsi="Arial" w:cs="Arial"/>
          <w:bCs/>
          <w:lang w:val="en-US"/>
        </w:rPr>
        <w:t>proposed significant changes.</w:t>
      </w:r>
      <w:r w:rsidR="00330ACF">
        <w:rPr>
          <w:rStyle w:val="FootnoteReference"/>
          <w:rFonts w:ascii="Arial" w:hAnsi="Arial" w:cs="Arial"/>
          <w:bCs/>
          <w:lang w:val="en-US"/>
        </w:rPr>
        <w:footnoteReference w:id="40"/>
      </w:r>
      <w:r w:rsidR="00330ACF">
        <w:rPr>
          <w:rFonts w:ascii="Arial" w:hAnsi="Arial" w:cs="Arial"/>
          <w:bCs/>
          <w:lang w:val="en-US"/>
        </w:rPr>
        <w:t xml:space="preserve"> </w:t>
      </w:r>
      <w:r w:rsidR="005D0716">
        <w:rPr>
          <w:rFonts w:ascii="Arial" w:hAnsi="Arial" w:cs="Arial"/>
          <w:bCs/>
          <w:lang w:val="en-US"/>
        </w:rPr>
        <w:t xml:space="preserve">These were taken up by the Government in 2001 when they noted that amongst other reforms the time was ripe to move away </w:t>
      </w:r>
      <w:r w:rsidR="005D0716" w:rsidRPr="000E71C8">
        <w:rPr>
          <w:rFonts w:ascii="Arial" w:hAnsi="Arial" w:cs="Arial"/>
          <w:bCs/>
          <w:lang w:val="en-US"/>
        </w:rPr>
        <w:t xml:space="preserve">from the single creditor self-interested remedy that was receivership. Specifically they observed: </w:t>
      </w:r>
    </w:p>
    <w:p w14:paraId="099FE2DA" w14:textId="77777777" w:rsidR="005D0716" w:rsidRPr="000E71C8" w:rsidRDefault="005D0716" w:rsidP="00C302AC">
      <w:pPr>
        <w:spacing w:line="360" w:lineRule="auto"/>
        <w:jc w:val="both"/>
        <w:rPr>
          <w:rFonts w:ascii="Arial" w:hAnsi="Arial" w:cs="Arial"/>
          <w:bCs/>
          <w:lang w:val="en-US"/>
        </w:rPr>
      </w:pPr>
    </w:p>
    <w:p w14:paraId="55CE8CC0" w14:textId="77777777" w:rsidR="005D0716" w:rsidRPr="000E71C8" w:rsidRDefault="005D0716" w:rsidP="005D0716">
      <w:pPr>
        <w:ind w:left="357"/>
        <w:jc w:val="both"/>
        <w:rPr>
          <w:rFonts w:ascii="Arial" w:hAnsi="Arial" w:cs="Arial"/>
          <w:bCs/>
          <w:i/>
          <w:sz w:val="22"/>
          <w:szCs w:val="22"/>
          <w:lang w:val="en-US"/>
        </w:rPr>
      </w:pPr>
      <w:r w:rsidRPr="000E71C8">
        <w:rPr>
          <w:rFonts w:ascii="Arial" w:hAnsi="Arial" w:cs="Arial"/>
          <w:bCs/>
          <w:i/>
          <w:sz w:val="22"/>
          <w:szCs w:val="22"/>
          <w:lang w:val="en-US"/>
        </w:rPr>
        <w:t xml:space="preserve">“The Government’s view is that, on the grounds of both equity and efficiency, the time has come to make changes which will tip the balance firmly in </w:t>
      </w:r>
      <w:proofErr w:type="spellStart"/>
      <w:r w:rsidRPr="000E71C8">
        <w:rPr>
          <w:rFonts w:ascii="Arial" w:hAnsi="Arial" w:cs="Arial"/>
          <w:bCs/>
          <w:i/>
          <w:sz w:val="22"/>
          <w:szCs w:val="22"/>
          <w:lang w:val="en-US"/>
        </w:rPr>
        <w:t>favour</w:t>
      </w:r>
      <w:proofErr w:type="spellEnd"/>
      <w:r w:rsidRPr="000E71C8">
        <w:rPr>
          <w:rFonts w:ascii="Arial" w:hAnsi="Arial" w:cs="Arial"/>
          <w:bCs/>
          <w:i/>
          <w:sz w:val="22"/>
          <w:szCs w:val="22"/>
          <w:lang w:val="en-US"/>
        </w:rPr>
        <w:t xml:space="preserve"> of collective insolvency proceedings</w:t>
      </w:r>
      <w:r w:rsidR="00375B01">
        <w:rPr>
          <w:rFonts w:ascii="Arial" w:hAnsi="Arial" w:cs="Arial"/>
          <w:bCs/>
          <w:i/>
          <w:sz w:val="22"/>
          <w:szCs w:val="22"/>
          <w:lang w:val="en-US"/>
        </w:rPr>
        <w:t xml:space="preserve"> </w:t>
      </w:r>
      <w:r w:rsidRPr="000E71C8">
        <w:rPr>
          <w:rFonts w:ascii="Arial" w:hAnsi="Arial" w:cs="Arial"/>
          <w:bCs/>
          <w:i/>
          <w:sz w:val="22"/>
          <w:szCs w:val="22"/>
          <w:lang w:val="en-US"/>
        </w:rPr>
        <w:t>...</w:t>
      </w:r>
      <w:r w:rsidR="00375B01">
        <w:rPr>
          <w:rFonts w:ascii="Arial" w:hAnsi="Arial" w:cs="Arial"/>
          <w:bCs/>
          <w:i/>
          <w:sz w:val="22"/>
          <w:szCs w:val="22"/>
          <w:lang w:val="en-US"/>
        </w:rPr>
        <w:t xml:space="preserve"> </w:t>
      </w:r>
      <w:r w:rsidRPr="000E71C8">
        <w:rPr>
          <w:rFonts w:ascii="Arial" w:hAnsi="Arial" w:cs="Arial"/>
          <w:bCs/>
          <w:i/>
          <w:sz w:val="22"/>
          <w:szCs w:val="22"/>
          <w:lang w:val="en-US"/>
        </w:rPr>
        <w:t>administrative receivership should cease to be a major insolvency procedure...”</w:t>
      </w:r>
      <w:r w:rsidRPr="000D3B8E">
        <w:rPr>
          <w:rStyle w:val="FootnoteReference"/>
          <w:rFonts w:ascii="Arial" w:hAnsi="Arial" w:cs="Arial"/>
          <w:bCs/>
          <w:sz w:val="22"/>
          <w:szCs w:val="22"/>
          <w:lang w:val="en-US"/>
        </w:rPr>
        <w:footnoteReference w:id="41"/>
      </w:r>
    </w:p>
    <w:p w14:paraId="6FFA8D7F" w14:textId="77777777" w:rsidR="00C302AC" w:rsidRPr="000E71C8" w:rsidRDefault="00C302AC" w:rsidP="000E71C8">
      <w:pPr>
        <w:spacing w:line="360" w:lineRule="auto"/>
        <w:jc w:val="both"/>
        <w:rPr>
          <w:rFonts w:ascii="Arial" w:hAnsi="Arial" w:cs="Arial"/>
          <w:bCs/>
          <w:lang w:val="en-US"/>
        </w:rPr>
      </w:pPr>
    </w:p>
    <w:p w14:paraId="7A13229D" w14:textId="259D64E1" w:rsidR="000D3B8E" w:rsidRDefault="000D3B8E" w:rsidP="000E71C8">
      <w:pPr>
        <w:spacing w:line="360" w:lineRule="auto"/>
        <w:jc w:val="both"/>
        <w:rPr>
          <w:rFonts w:ascii="Arial" w:hAnsi="Arial" w:cs="Arial"/>
          <w:bCs/>
          <w:lang w:val="en-US"/>
        </w:rPr>
      </w:pPr>
      <w:r>
        <w:rPr>
          <w:rFonts w:ascii="Arial" w:hAnsi="Arial" w:cs="Arial"/>
          <w:bCs/>
          <w:lang w:val="en-US"/>
        </w:rPr>
        <w:t xml:space="preserve">During the passage of the Enterprise Bill in the House of Lords, Lord Sainsbury further elaborated on the rationale for the reforms when he observed, “administration has been </w:t>
      </w:r>
      <w:proofErr w:type="spellStart"/>
      <w:r>
        <w:rPr>
          <w:rFonts w:ascii="Arial" w:hAnsi="Arial" w:cs="Arial"/>
          <w:bCs/>
          <w:lang w:val="en-US"/>
        </w:rPr>
        <w:t>critici</w:t>
      </w:r>
      <w:r w:rsidR="00375B01">
        <w:rPr>
          <w:rFonts w:ascii="Arial" w:hAnsi="Arial" w:cs="Arial"/>
          <w:bCs/>
          <w:lang w:val="en-US"/>
        </w:rPr>
        <w:t>s</w:t>
      </w:r>
      <w:r>
        <w:rPr>
          <w:rFonts w:ascii="Arial" w:hAnsi="Arial" w:cs="Arial"/>
          <w:bCs/>
          <w:lang w:val="en-US"/>
        </w:rPr>
        <w:t>ed</w:t>
      </w:r>
      <w:proofErr w:type="spellEnd"/>
      <w:r>
        <w:rPr>
          <w:rFonts w:ascii="Arial" w:hAnsi="Arial" w:cs="Arial"/>
          <w:bCs/>
          <w:lang w:val="en-US"/>
        </w:rPr>
        <w:t xml:space="preserve"> as too inflexible, too slow and too expensive. The Bill addresses that by streamlining the procedure and providing a clearer focus on compa</w:t>
      </w:r>
      <w:r w:rsidR="00CD4866">
        <w:rPr>
          <w:rFonts w:ascii="Arial" w:hAnsi="Arial" w:cs="Arial"/>
          <w:bCs/>
          <w:lang w:val="en-US"/>
        </w:rPr>
        <w:t>ny rescue…and where that is clearly not a viable option, a better return for the company’s creditors as a whole.”</w:t>
      </w:r>
      <w:r w:rsidR="00CD4866">
        <w:rPr>
          <w:rStyle w:val="FootnoteReference"/>
          <w:rFonts w:ascii="Arial" w:hAnsi="Arial" w:cs="Arial"/>
          <w:bCs/>
          <w:lang w:val="en-US"/>
        </w:rPr>
        <w:footnoteReference w:id="42"/>
      </w:r>
      <w:r w:rsidR="00CD4866">
        <w:rPr>
          <w:rFonts w:ascii="Arial" w:hAnsi="Arial" w:cs="Arial"/>
          <w:bCs/>
          <w:lang w:val="en-US"/>
        </w:rPr>
        <w:t xml:space="preserve"> He continued, “We believe that</w:t>
      </w:r>
      <w:r w:rsidR="00614358">
        <w:rPr>
          <w:rFonts w:ascii="Arial" w:hAnsi="Arial" w:cs="Arial"/>
          <w:bCs/>
          <w:lang w:val="en-US"/>
        </w:rPr>
        <w:t xml:space="preserve"> </w:t>
      </w:r>
      <w:r w:rsidR="00156E1E">
        <w:rPr>
          <w:rFonts w:ascii="Arial" w:hAnsi="Arial" w:cs="Arial"/>
          <w:bCs/>
          <w:lang w:val="en-US"/>
        </w:rPr>
        <w:t xml:space="preserve">those changes to the corporate insolvency </w:t>
      </w:r>
      <w:r w:rsidR="00156E1E">
        <w:rPr>
          <w:rFonts w:ascii="Arial" w:hAnsi="Arial" w:cs="Arial"/>
          <w:bCs/>
          <w:lang w:val="en-US"/>
        </w:rPr>
        <w:lastRenderedPageBreak/>
        <w:t>regime will encourage wider use of the procedure as a rescue vehicle</w:t>
      </w:r>
      <w:r w:rsidR="005425C5">
        <w:rPr>
          <w:rFonts w:ascii="Arial" w:hAnsi="Arial" w:cs="Arial"/>
          <w:bCs/>
          <w:lang w:val="en-US"/>
        </w:rPr>
        <w:t xml:space="preserve"> </w:t>
      </w:r>
      <w:r w:rsidR="00156E1E">
        <w:rPr>
          <w:rFonts w:ascii="Arial" w:hAnsi="Arial" w:cs="Arial"/>
          <w:bCs/>
          <w:lang w:val="en-US"/>
        </w:rPr>
        <w:t>and encourage …</w:t>
      </w:r>
      <w:r w:rsidR="005425C5">
        <w:rPr>
          <w:rFonts w:ascii="Arial" w:hAnsi="Arial" w:cs="Arial"/>
          <w:bCs/>
          <w:lang w:val="en-US"/>
        </w:rPr>
        <w:t>compani</w:t>
      </w:r>
      <w:r w:rsidR="00156E1E">
        <w:rPr>
          <w:rFonts w:ascii="Arial" w:hAnsi="Arial" w:cs="Arial"/>
          <w:bCs/>
          <w:lang w:val="en-US"/>
        </w:rPr>
        <w:t>es to make use of administration.”</w:t>
      </w:r>
      <w:r w:rsidR="00156E1E">
        <w:rPr>
          <w:rStyle w:val="FootnoteReference"/>
          <w:rFonts w:ascii="Arial" w:hAnsi="Arial" w:cs="Arial"/>
          <w:bCs/>
          <w:lang w:val="en-US"/>
        </w:rPr>
        <w:footnoteReference w:id="43"/>
      </w:r>
      <w:r w:rsidR="005425C5">
        <w:rPr>
          <w:rFonts w:ascii="Arial" w:hAnsi="Arial" w:cs="Arial"/>
          <w:bCs/>
          <w:lang w:val="en-US"/>
        </w:rPr>
        <w:t xml:space="preserve"> </w:t>
      </w:r>
      <w:r w:rsidR="00571B00">
        <w:rPr>
          <w:rFonts w:ascii="Arial" w:hAnsi="Arial" w:cs="Arial"/>
          <w:bCs/>
          <w:lang w:val="en-US"/>
        </w:rPr>
        <w:t>No real opposition seemed to be forthcoming from the Government’s opposition front benches. Indeed, Baroness Miller of Hendon noted, “We also welcome the restrictions on administrative receivership where on</w:t>
      </w:r>
      <w:r w:rsidR="007F6247">
        <w:rPr>
          <w:rFonts w:ascii="Arial" w:hAnsi="Arial" w:cs="Arial"/>
          <w:bCs/>
          <w:lang w:val="en-US"/>
        </w:rPr>
        <w:t>e</w:t>
      </w:r>
      <w:r w:rsidR="00571B00">
        <w:rPr>
          <w:rFonts w:ascii="Arial" w:hAnsi="Arial" w:cs="Arial"/>
          <w:bCs/>
          <w:lang w:val="en-US"/>
        </w:rPr>
        <w:t xml:space="preserve"> creditor seize</w:t>
      </w:r>
      <w:r w:rsidR="007F6247">
        <w:rPr>
          <w:rFonts w:ascii="Arial" w:hAnsi="Arial" w:cs="Arial"/>
          <w:bCs/>
          <w:lang w:val="en-US"/>
        </w:rPr>
        <w:t>s</w:t>
      </w:r>
      <w:r w:rsidR="00571B00">
        <w:rPr>
          <w:rFonts w:ascii="Arial" w:hAnsi="Arial" w:cs="Arial"/>
          <w:bCs/>
          <w:lang w:val="en-US"/>
        </w:rPr>
        <w:t xml:space="preserve"> all the assets.”</w:t>
      </w:r>
      <w:r w:rsidR="00571B00">
        <w:rPr>
          <w:rStyle w:val="FootnoteReference"/>
          <w:rFonts w:ascii="Arial" w:hAnsi="Arial" w:cs="Arial"/>
          <w:bCs/>
          <w:lang w:val="en-US"/>
        </w:rPr>
        <w:footnoteReference w:id="44"/>
      </w:r>
      <w:r w:rsidR="00571B00">
        <w:rPr>
          <w:rFonts w:ascii="Arial" w:hAnsi="Arial" w:cs="Arial"/>
          <w:bCs/>
          <w:lang w:val="en-US"/>
        </w:rPr>
        <w:t xml:space="preserve"> </w:t>
      </w:r>
      <w:r>
        <w:rPr>
          <w:rFonts w:ascii="Arial" w:hAnsi="Arial" w:cs="Arial"/>
          <w:bCs/>
          <w:lang w:val="en-US"/>
        </w:rPr>
        <w:t xml:space="preserve">  </w:t>
      </w:r>
    </w:p>
    <w:p w14:paraId="4B23ED60" w14:textId="77777777" w:rsidR="000D3B8E" w:rsidRDefault="000D3B8E" w:rsidP="000E71C8">
      <w:pPr>
        <w:spacing w:line="360" w:lineRule="auto"/>
        <w:jc w:val="both"/>
        <w:rPr>
          <w:rFonts w:ascii="Arial" w:hAnsi="Arial" w:cs="Arial"/>
          <w:bCs/>
          <w:lang w:val="en-US"/>
        </w:rPr>
      </w:pPr>
    </w:p>
    <w:p w14:paraId="3C565DF5" w14:textId="39746D89" w:rsidR="005B1A38" w:rsidRPr="005425C5" w:rsidRDefault="005D0716" w:rsidP="00A8177A">
      <w:pPr>
        <w:spacing w:line="360" w:lineRule="auto"/>
        <w:jc w:val="both"/>
        <w:rPr>
          <w:rFonts w:ascii="Arial" w:hAnsi="Arial" w:cs="Arial"/>
          <w:i/>
          <w:iCs/>
          <w:lang w:val="is-IS"/>
        </w:rPr>
      </w:pPr>
      <w:r w:rsidRPr="000E71C8">
        <w:rPr>
          <w:rFonts w:ascii="Arial" w:hAnsi="Arial" w:cs="Arial"/>
          <w:bCs/>
          <w:lang w:val="en-US"/>
        </w:rPr>
        <w:t>However, what transpired</w:t>
      </w:r>
      <w:r w:rsidR="005425C5">
        <w:rPr>
          <w:rFonts w:ascii="Arial" w:hAnsi="Arial" w:cs="Arial"/>
          <w:bCs/>
          <w:lang w:val="en-US"/>
        </w:rPr>
        <w:t xml:space="preserve"> in terms of overall outcome</w:t>
      </w:r>
      <w:r w:rsidRPr="000E71C8">
        <w:rPr>
          <w:rFonts w:ascii="Arial" w:hAnsi="Arial" w:cs="Arial"/>
          <w:bCs/>
          <w:lang w:val="en-US"/>
        </w:rPr>
        <w:t xml:space="preserve"> was wholly different. As McCormack has observed what we seem to be left with is a</w:t>
      </w:r>
      <w:r w:rsidR="003E25D1">
        <w:rPr>
          <w:rFonts w:ascii="Arial" w:hAnsi="Arial" w:cs="Arial"/>
          <w:lang w:val="en-US"/>
        </w:rPr>
        <w:t xml:space="preserve">n amalgam </w:t>
      </w:r>
      <w:r w:rsidRPr="000E71C8">
        <w:rPr>
          <w:rFonts w:ascii="Arial" w:hAnsi="Arial" w:cs="Arial"/>
          <w:bCs/>
          <w:lang w:val="en-US"/>
        </w:rPr>
        <w:t xml:space="preserve">of the two procedures of administration and receivership. What is worse is that the surviving beast of administration is some sort </w:t>
      </w:r>
      <w:r w:rsidRPr="006152BB">
        <w:rPr>
          <w:rFonts w:ascii="Arial" w:hAnsi="Arial" w:cs="Arial"/>
          <w:bCs/>
          <w:lang w:val="en-US"/>
        </w:rPr>
        <w:t xml:space="preserve">of </w:t>
      </w:r>
      <w:r w:rsidR="00FF395E" w:rsidRPr="006152BB">
        <w:rPr>
          <w:rFonts w:ascii="Arial" w:hAnsi="Arial" w:cs="Arial"/>
          <w:iCs/>
          <w:lang w:val="en-US"/>
        </w:rPr>
        <w:t>“receivership plus”</w:t>
      </w:r>
      <w:r w:rsidR="003E25D1" w:rsidRPr="000E71C8">
        <w:rPr>
          <w:rStyle w:val="FootnoteReference"/>
          <w:rFonts w:ascii="Arial" w:hAnsi="Arial" w:cs="Arial"/>
          <w:bCs/>
          <w:lang w:val="en-US"/>
        </w:rPr>
        <w:footnoteReference w:id="45"/>
      </w:r>
      <w:r w:rsidRPr="006152BB">
        <w:rPr>
          <w:rFonts w:ascii="Arial" w:hAnsi="Arial" w:cs="Arial"/>
          <w:iCs/>
          <w:lang w:val="en-US"/>
        </w:rPr>
        <w:t xml:space="preserve"> where there has been a</w:t>
      </w:r>
      <w:r w:rsidRPr="006152BB">
        <w:rPr>
          <w:rFonts w:ascii="Arial" w:hAnsi="Arial" w:cs="Arial"/>
          <w:bCs/>
          <w:lang w:val="en-US"/>
        </w:rPr>
        <w:t xml:space="preserve"> </w:t>
      </w:r>
      <w:r w:rsidR="00FF395E" w:rsidRPr="006152BB">
        <w:rPr>
          <w:rFonts w:ascii="Arial" w:hAnsi="Arial" w:cs="Arial"/>
          <w:iCs/>
          <w:lang w:val="en-US"/>
        </w:rPr>
        <w:t>“</w:t>
      </w:r>
      <w:r w:rsidR="00FF395E" w:rsidRPr="006152BB">
        <w:rPr>
          <w:rFonts w:ascii="Arial" w:hAnsi="Arial" w:cs="Arial"/>
          <w:iCs/>
          <w:lang w:val="is-IS"/>
        </w:rPr>
        <w:t>…transmutation or merger of the administrative receivership and administration procedures</w:t>
      </w:r>
      <w:r w:rsidR="007F6247">
        <w:rPr>
          <w:rFonts w:ascii="Arial" w:hAnsi="Arial" w:cs="Arial"/>
          <w:iCs/>
          <w:lang w:val="is-IS"/>
        </w:rPr>
        <w:t xml:space="preserve"> </w:t>
      </w:r>
      <w:r w:rsidR="00FF395E" w:rsidRPr="006152BB">
        <w:rPr>
          <w:rFonts w:ascii="Arial" w:hAnsi="Arial" w:cs="Arial"/>
          <w:iCs/>
          <w:lang w:val="is-IS"/>
        </w:rPr>
        <w:t>..</w:t>
      </w:r>
      <w:r w:rsidR="007F6247">
        <w:rPr>
          <w:rFonts w:ascii="Arial" w:hAnsi="Arial" w:cs="Arial"/>
          <w:iCs/>
          <w:lang w:val="is-IS"/>
        </w:rPr>
        <w:t xml:space="preserve">. </w:t>
      </w:r>
      <w:r w:rsidR="00FF395E" w:rsidRPr="006152BB">
        <w:rPr>
          <w:rFonts w:ascii="Arial" w:hAnsi="Arial" w:cs="Arial"/>
          <w:iCs/>
          <w:lang w:val="is-IS"/>
        </w:rPr>
        <w:t>rather than the end of administrative receivership.”</w:t>
      </w:r>
      <w:r w:rsidR="003E25D1">
        <w:rPr>
          <w:rStyle w:val="FootnoteReference"/>
          <w:rFonts w:ascii="Arial" w:hAnsi="Arial" w:cs="Arial"/>
          <w:iCs/>
          <w:lang w:val="is-IS"/>
        </w:rPr>
        <w:footnoteReference w:id="46"/>
      </w:r>
      <w:r w:rsidR="005425C5">
        <w:rPr>
          <w:rFonts w:ascii="Arial" w:hAnsi="Arial" w:cs="Arial"/>
          <w:i/>
          <w:iCs/>
          <w:lang w:val="is-IS"/>
        </w:rPr>
        <w:t xml:space="preserve"> </w:t>
      </w:r>
      <w:r w:rsidR="00553EAA">
        <w:rPr>
          <w:rFonts w:ascii="Arial" w:hAnsi="Arial" w:cs="Arial"/>
          <w:iCs/>
          <w:lang w:val="is-IS"/>
        </w:rPr>
        <w:t>This</w:t>
      </w:r>
      <w:r w:rsidRPr="005B1A38">
        <w:rPr>
          <w:rFonts w:ascii="Arial" w:hAnsi="Arial" w:cs="Arial"/>
          <w:iCs/>
          <w:lang w:val="is-IS"/>
        </w:rPr>
        <w:t xml:space="preserve"> </w:t>
      </w:r>
      <w:r w:rsidR="007F6247">
        <w:rPr>
          <w:rFonts w:ascii="Arial" w:hAnsi="Arial" w:cs="Arial"/>
          <w:iCs/>
          <w:lang w:val="is-IS"/>
        </w:rPr>
        <w:t>F</w:t>
      </w:r>
      <w:r w:rsidRPr="005B1A38">
        <w:rPr>
          <w:rFonts w:ascii="Arial" w:hAnsi="Arial" w:cs="Arial"/>
          <w:iCs/>
          <w:lang w:val="is-IS"/>
        </w:rPr>
        <w:t>rankenstein</w:t>
      </w:r>
      <w:r w:rsidR="007F6247">
        <w:rPr>
          <w:rFonts w:ascii="Arial" w:hAnsi="Arial" w:cs="Arial"/>
          <w:iCs/>
          <w:lang w:val="is-IS"/>
        </w:rPr>
        <w:t>-esque creation</w:t>
      </w:r>
      <w:r w:rsidRPr="005B1A38">
        <w:rPr>
          <w:rFonts w:ascii="Arial" w:hAnsi="Arial" w:cs="Arial"/>
          <w:iCs/>
          <w:lang w:val="is-IS"/>
        </w:rPr>
        <w:t xml:space="preserve"> has been achieved through a change to the purposes of administration. During the passage of the </w:t>
      </w:r>
      <w:r w:rsidR="005B1A38">
        <w:rPr>
          <w:rFonts w:ascii="Arial" w:hAnsi="Arial" w:cs="Arial"/>
          <w:iCs/>
          <w:lang w:val="is-IS"/>
        </w:rPr>
        <w:t>Enterprise B</w:t>
      </w:r>
      <w:r w:rsidRPr="005B1A38">
        <w:rPr>
          <w:rFonts w:ascii="Arial" w:hAnsi="Arial" w:cs="Arial"/>
          <w:iCs/>
          <w:lang w:val="is-IS"/>
        </w:rPr>
        <w:t xml:space="preserve">ill the purposes </w:t>
      </w:r>
      <w:r w:rsidR="005B1A38">
        <w:rPr>
          <w:rFonts w:ascii="Arial" w:hAnsi="Arial" w:cs="Arial"/>
          <w:iCs/>
          <w:lang w:val="is-IS"/>
        </w:rPr>
        <w:t xml:space="preserve">of administration were changed for the four purposes enunciated in s.8 of the Insolvency Act 1986 to the reformed purposes which now sit in </w:t>
      </w:r>
      <w:r w:rsidRPr="009F4C40">
        <w:rPr>
          <w:rFonts w:ascii="Arial" w:hAnsi="Arial" w:cs="Arial"/>
        </w:rPr>
        <w:t xml:space="preserve">Schedule B1 Paragraph 3 </w:t>
      </w:r>
      <w:r w:rsidR="005B1A38">
        <w:rPr>
          <w:rFonts w:ascii="Arial" w:hAnsi="Arial" w:cs="Arial"/>
        </w:rPr>
        <w:t xml:space="preserve">of the </w:t>
      </w:r>
      <w:r w:rsidR="00190DB8">
        <w:rPr>
          <w:rFonts w:ascii="Arial" w:hAnsi="Arial" w:cs="Arial"/>
        </w:rPr>
        <w:t>Insolvency Act 1986, as amended by the Enterprise Act 2002</w:t>
      </w:r>
      <w:r w:rsidR="00A8177A">
        <w:rPr>
          <w:rFonts w:ascii="Arial" w:hAnsi="Arial" w:cs="Arial"/>
        </w:rPr>
        <w:t>. The third purpose</w:t>
      </w:r>
      <w:r w:rsidR="005B1A38">
        <w:rPr>
          <w:rFonts w:ascii="Arial" w:hAnsi="Arial" w:cs="Arial"/>
        </w:rPr>
        <w:t xml:space="preserve"> is that which gives cause for concern. </w:t>
      </w:r>
      <w:r w:rsidR="00190DB8">
        <w:rPr>
          <w:rFonts w:ascii="Arial" w:hAnsi="Arial" w:cs="Arial"/>
        </w:rPr>
        <w:t>The purposes of administration are now</w:t>
      </w:r>
      <w:r w:rsidR="005B1A38">
        <w:rPr>
          <w:rFonts w:ascii="Arial" w:hAnsi="Arial" w:cs="Arial"/>
        </w:rPr>
        <w:t>:</w:t>
      </w:r>
    </w:p>
    <w:p w14:paraId="585F50ED" w14:textId="77777777" w:rsidR="00A8177A" w:rsidRDefault="00A8177A" w:rsidP="00A8177A">
      <w:pPr>
        <w:spacing w:line="360" w:lineRule="auto"/>
        <w:jc w:val="both"/>
        <w:rPr>
          <w:rFonts w:ascii="Arial" w:hAnsi="Arial" w:cs="Arial"/>
        </w:rPr>
      </w:pPr>
    </w:p>
    <w:p w14:paraId="5BB07487" w14:textId="77777777" w:rsidR="00A8177A" w:rsidRPr="00190DB8" w:rsidRDefault="00A8177A" w:rsidP="00190DB8">
      <w:pPr>
        <w:ind w:left="720"/>
        <w:jc w:val="both"/>
        <w:rPr>
          <w:rFonts w:ascii="Arial" w:hAnsi="Arial" w:cs="Arial"/>
          <w:sz w:val="22"/>
          <w:szCs w:val="22"/>
        </w:rPr>
      </w:pPr>
      <w:r w:rsidRPr="00190DB8">
        <w:rPr>
          <w:rFonts w:ascii="Arial" w:hAnsi="Arial" w:cs="Arial"/>
          <w:sz w:val="22"/>
          <w:szCs w:val="22"/>
        </w:rPr>
        <w:t>“3(1)</w:t>
      </w:r>
      <w:r w:rsidR="00190DB8">
        <w:rPr>
          <w:rFonts w:ascii="Arial" w:hAnsi="Arial" w:cs="Arial"/>
          <w:sz w:val="22"/>
          <w:szCs w:val="22"/>
        </w:rPr>
        <w:t xml:space="preserve"> </w:t>
      </w:r>
      <w:r w:rsidRPr="00190DB8">
        <w:rPr>
          <w:rFonts w:ascii="Arial" w:hAnsi="Arial" w:cs="Arial"/>
          <w:sz w:val="22"/>
          <w:szCs w:val="22"/>
        </w:rPr>
        <w:t>The administrator of a company must perform his functions with the objective of—</w:t>
      </w:r>
    </w:p>
    <w:p w14:paraId="1B73567B" w14:textId="77777777" w:rsidR="00A8177A" w:rsidRPr="00190DB8" w:rsidRDefault="00A8177A" w:rsidP="00A8177A">
      <w:pPr>
        <w:ind w:left="720"/>
        <w:jc w:val="both"/>
        <w:rPr>
          <w:rFonts w:ascii="Arial" w:hAnsi="Arial" w:cs="Arial"/>
          <w:sz w:val="22"/>
          <w:szCs w:val="22"/>
        </w:rPr>
      </w:pPr>
      <w:r w:rsidRPr="00190DB8">
        <w:rPr>
          <w:rFonts w:ascii="Arial" w:hAnsi="Arial" w:cs="Arial"/>
          <w:sz w:val="22"/>
          <w:szCs w:val="22"/>
        </w:rPr>
        <w:t>(a)</w:t>
      </w:r>
      <w:r w:rsidR="009C0A41">
        <w:rPr>
          <w:rFonts w:ascii="Arial" w:hAnsi="Arial" w:cs="Arial"/>
          <w:sz w:val="22"/>
          <w:szCs w:val="22"/>
        </w:rPr>
        <w:t xml:space="preserve"> </w:t>
      </w:r>
      <w:r w:rsidRPr="00190DB8">
        <w:rPr>
          <w:rFonts w:ascii="Arial" w:hAnsi="Arial" w:cs="Arial"/>
          <w:sz w:val="22"/>
          <w:szCs w:val="22"/>
        </w:rPr>
        <w:t>rescuing the company as a going concern, or</w:t>
      </w:r>
    </w:p>
    <w:p w14:paraId="32C974B1" w14:textId="77777777" w:rsidR="00A8177A" w:rsidRPr="00190DB8" w:rsidRDefault="00A8177A" w:rsidP="00A8177A">
      <w:pPr>
        <w:ind w:left="720"/>
        <w:jc w:val="both"/>
        <w:rPr>
          <w:rFonts w:ascii="Arial" w:hAnsi="Arial" w:cs="Arial"/>
          <w:sz w:val="22"/>
          <w:szCs w:val="22"/>
        </w:rPr>
      </w:pPr>
      <w:r w:rsidRPr="00190DB8">
        <w:rPr>
          <w:rFonts w:ascii="Arial" w:hAnsi="Arial" w:cs="Arial"/>
          <w:sz w:val="22"/>
          <w:szCs w:val="22"/>
        </w:rPr>
        <w:t>(b)</w:t>
      </w:r>
      <w:r w:rsidR="00190DB8">
        <w:rPr>
          <w:rFonts w:ascii="Arial" w:hAnsi="Arial" w:cs="Arial"/>
          <w:sz w:val="22"/>
          <w:szCs w:val="22"/>
        </w:rPr>
        <w:t xml:space="preserve"> </w:t>
      </w:r>
      <w:r w:rsidRPr="00190DB8">
        <w:rPr>
          <w:rFonts w:ascii="Arial" w:hAnsi="Arial" w:cs="Arial"/>
          <w:sz w:val="22"/>
          <w:szCs w:val="22"/>
        </w:rPr>
        <w:t>achieving a better result for the company’s creditors as a whole than would be likely if the company were wound up (without first being in administration), or</w:t>
      </w:r>
    </w:p>
    <w:p w14:paraId="758E7321" w14:textId="77777777" w:rsidR="00A8177A" w:rsidRPr="00190DB8" w:rsidRDefault="00A8177A" w:rsidP="00A8177A">
      <w:pPr>
        <w:ind w:left="720"/>
        <w:jc w:val="both"/>
        <w:rPr>
          <w:rFonts w:ascii="Arial" w:hAnsi="Arial" w:cs="Arial"/>
          <w:sz w:val="22"/>
          <w:szCs w:val="22"/>
        </w:rPr>
      </w:pPr>
      <w:r w:rsidRPr="00190DB8">
        <w:rPr>
          <w:rFonts w:ascii="Arial" w:hAnsi="Arial" w:cs="Arial"/>
          <w:b/>
          <w:i/>
          <w:sz w:val="22"/>
          <w:szCs w:val="22"/>
        </w:rPr>
        <w:t>(c)</w:t>
      </w:r>
      <w:r w:rsidR="009C0A41">
        <w:rPr>
          <w:rFonts w:ascii="Arial" w:hAnsi="Arial" w:cs="Arial"/>
          <w:b/>
          <w:i/>
          <w:sz w:val="22"/>
          <w:szCs w:val="22"/>
        </w:rPr>
        <w:t xml:space="preserve"> </w:t>
      </w:r>
      <w:r w:rsidRPr="00190DB8">
        <w:rPr>
          <w:rFonts w:ascii="Arial" w:hAnsi="Arial" w:cs="Arial"/>
          <w:b/>
          <w:i/>
          <w:sz w:val="22"/>
          <w:szCs w:val="22"/>
        </w:rPr>
        <w:t>realising property in order to make a distribution to one or more secured or preferential creditors</w:t>
      </w:r>
      <w:r w:rsidRPr="00190DB8">
        <w:rPr>
          <w:rFonts w:ascii="Arial" w:hAnsi="Arial" w:cs="Arial"/>
          <w:i/>
          <w:sz w:val="22"/>
          <w:szCs w:val="22"/>
        </w:rPr>
        <w:t>.”</w:t>
      </w:r>
      <w:r w:rsidRPr="00190DB8">
        <w:rPr>
          <w:rStyle w:val="FootnoteReference"/>
          <w:rFonts w:ascii="Arial" w:hAnsi="Arial" w:cs="Arial"/>
          <w:sz w:val="22"/>
          <w:szCs w:val="22"/>
        </w:rPr>
        <w:footnoteReference w:id="47"/>
      </w:r>
    </w:p>
    <w:p w14:paraId="74E3A81B" w14:textId="77777777" w:rsidR="005B1A38" w:rsidRPr="005B1A38" w:rsidRDefault="005B1A38" w:rsidP="005B1A38">
      <w:pPr>
        <w:spacing w:line="360" w:lineRule="auto"/>
        <w:jc w:val="both"/>
        <w:rPr>
          <w:rFonts w:ascii="Arial" w:hAnsi="Arial" w:cs="Arial"/>
        </w:rPr>
      </w:pPr>
    </w:p>
    <w:p w14:paraId="5CB4FC08" w14:textId="77777777" w:rsidR="005B1A38" w:rsidRDefault="005B1A38" w:rsidP="005B1A38">
      <w:pPr>
        <w:spacing w:line="360" w:lineRule="auto"/>
        <w:jc w:val="both"/>
        <w:rPr>
          <w:rFonts w:ascii="Arial" w:hAnsi="Arial" w:cs="Arial"/>
          <w:bCs/>
          <w:lang w:val="en-US"/>
        </w:rPr>
      </w:pPr>
      <w:r w:rsidRPr="005B1A38">
        <w:rPr>
          <w:rFonts w:ascii="Arial" w:hAnsi="Arial" w:cs="Arial"/>
        </w:rPr>
        <w:t xml:space="preserve">The </w:t>
      </w:r>
      <w:r w:rsidRPr="005B1A38">
        <w:rPr>
          <w:rFonts w:ascii="Arial" w:hAnsi="Arial" w:cs="Arial"/>
          <w:bCs/>
          <w:lang w:val="en-US"/>
        </w:rPr>
        <w:t>c</w:t>
      </w:r>
      <w:r w:rsidR="00FF395E" w:rsidRPr="005B1A38">
        <w:rPr>
          <w:rFonts w:ascii="Arial" w:hAnsi="Arial" w:cs="Arial"/>
          <w:bCs/>
          <w:lang w:val="en-US"/>
        </w:rPr>
        <w:t>onsequence</w:t>
      </w:r>
      <w:r w:rsidRPr="005B1A38">
        <w:rPr>
          <w:rFonts w:ascii="Arial" w:hAnsi="Arial" w:cs="Arial"/>
          <w:bCs/>
          <w:lang w:val="en-US"/>
        </w:rPr>
        <w:t>s of this subverted reform attempt are the almost complete lack of use of administration as compared with liquidation as the figures in Figure Two (below) for 2018 and the preceding</w:t>
      </w:r>
      <w:r w:rsidR="00FF395E">
        <w:rPr>
          <w:rFonts w:ascii="Arial" w:hAnsi="Arial" w:cs="Arial"/>
          <w:bCs/>
          <w:lang w:val="en-US"/>
        </w:rPr>
        <w:t xml:space="preserve"> decade</w:t>
      </w:r>
      <w:r w:rsidRPr="005B1A38">
        <w:rPr>
          <w:rFonts w:ascii="Arial" w:hAnsi="Arial" w:cs="Arial"/>
          <w:bCs/>
          <w:lang w:val="en-US"/>
        </w:rPr>
        <w:t xml:space="preserve"> make</w:t>
      </w:r>
      <w:r w:rsidR="00FF395E">
        <w:rPr>
          <w:rFonts w:ascii="Arial" w:hAnsi="Arial" w:cs="Arial"/>
          <w:bCs/>
          <w:lang w:val="en-US"/>
        </w:rPr>
        <w:t>s</w:t>
      </w:r>
      <w:r w:rsidRPr="005B1A38">
        <w:rPr>
          <w:rFonts w:ascii="Arial" w:hAnsi="Arial" w:cs="Arial"/>
          <w:bCs/>
          <w:lang w:val="en-US"/>
        </w:rPr>
        <w:t xml:space="preserve"> clear</w:t>
      </w:r>
      <w:r>
        <w:rPr>
          <w:rFonts w:ascii="Arial" w:hAnsi="Arial" w:cs="Arial"/>
          <w:bCs/>
          <w:lang w:val="en-US"/>
        </w:rPr>
        <w:t xml:space="preserve">. Indeed, administrations are now so low in number that they do not warrant inclusion in the graph under their own head. </w:t>
      </w:r>
    </w:p>
    <w:p w14:paraId="2635B239" w14:textId="77777777" w:rsidR="009C0A41" w:rsidRDefault="009C0A41">
      <w:pPr>
        <w:rPr>
          <w:rFonts w:ascii="Arial" w:hAnsi="Arial" w:cs="Arial"/>
          <w:b/>
          <w:bCs/>
          <w:sz w:val="18"/>
          <w:szCs w:val="18"/>
          <w:u w:val="single"/>
          <w:lang w:val="en-US"/>
        </w:rPr>
      </w:pPr>
      <w:r>
        <w:rPr>
          <w:rFonts w:ascii="Arial" w:hAnsi="Arial" w:cs="Arial"/>
          <w:b/>
          <w:bCs/>
          <w:sz w:val="18"/>
          <w:szCs w:val="18"/>
          <w:u w:val="single"/>
          <w:lang w:val="en-US"/>
        </w:rPr>
        <w:br w:type="page"/>
      </w:r>
    </w:p>
    <w:p w14:paraId="7502FD16" w14:textId="77777777" w:rsidR="005B1A38" w:rsidRDefault="005B1A38" w:rsidP="005B1A38">
      <w:pPr>
        <w:spacing w:line="360" w:lineRule="auto"/>
        <w:jc w:val="both"/>
        <w:rPr>
          <w:rFonts w:ascii="Arial" w:hAnsi="Arial" w:cs="Arial"/>
          <w:b/>
          <w:bCs/>
          <w:sz w:val="18"/>
          <w:szCs w:val="18"/>
          <w:u w:val="single"/>
          <w:lang w:val="en-US"/>
        </w:rPr>
      </w:pPr>
      <w:r w:rsidRPr="005B1A38">
        <w:rPr>
          <w:rFonts w:ascii="Arial" w:hAnsi="Arial" w:cs="Arial"/>
          <w:b/>
          <w:bCs/>
          <w:sz w:val="18"/>
          <w:szCs w:val="18"/>
          <w:u w:val="single"/>
          <w:lang w:val="en-US"/>
        </w:rPr>
        <w:lastRenderedPageBreak/>
        <w:t>Figure Two: Corporate Inso</w:t>
      </w:r>
      <w:r w:rsidR="00500F46">
        <w:rPr>
          <w:rFonts w:ascii="Arial" w:hAnsi="Arial" w:cs="Arial"/>
          <w:b/>
          <w:bCs/>
          <w:sz w:val="18"/>
          <w:szCs w:val="18"/>
          <w:u w:val="single"/>
          <w:lang w:val="en-US"/>
        </w:rPr>
        <w:t>lvency Rates 2009</w:t>
      </w:r>
      <w:r w:rsidRPr="005B1A38">
        <w:rPr>
          <w:rFonts w:ascii="Arial" w:hAnsi="Arial" w:cs="Arial"/>
          <w:b/>
          <w:bCs/>
          <w:sz w:val="18"/>
          <w:szCs w:val="18"/>
          <w:u w:val="single"/>
          <w:lang w:val="en-US"/>
        </w:rPr>
        <w:t xml:space="preserve"> –</w:t>
      </w:r>
      <w:r>
        <w:rPr>
          <w:rFonts w:ascii="Arial" w:hAnsi="Arial" w:cs="Arial"/>
          <w:b/>
          <w:bCs/>
          <w:sz w:val="18"/>
          <w:szCs w:val="18"/>
          <w:u w:val="single"/>
          <w:lang w:val="en-US"/>
        </w:rPr>
        <w:t xml:space="preserve"> 2018</w:t>
      </w:r>
    </w:p>
    <w:p w14:paraId="0EB420AB" w14:textId="77777777" w:rsidR="005B1A38" w:rsidRPr="005B1A38" w:rsidRDefault="005B1A38" w:rsidP="005B1A38">
      <w:pPr>
        <w:spacing w:line="360" w:lineRule="auto"/>
        <w:jc w:val="both"/>
        <w:rPr>
          <w:rFonts w:ascii="Arial" w:hAnsi="Arial" w:cs="Arial"/>
          <w:b/>
          <w:sz w:val="18"/>
          <w:szCs w:val="18"/>
          <w:u w:val="single"/>
        </w:rPr>
      </w:pPr>
      <w:r>
        <w:rPr>
          <w:rFonts w:ascii="Arial" w:hAnsi="Arial" w:cs="Arial"/>
          <w:b/>
          <w:noProof/>
          <w:sz w:val="18"/>
          <w:szCs w:val="18"/>
          <w:u w:val="single"/>
          <w:lang w:eastAsia="en-GB"/>
        </w:rPr>
        <w:drawing>
          <wp:inline distT="0" distB="0" distL="0" distR="0" wp14:anchorId="577C0799" wp14:editId="4C3C6D52">
            <wp:extent cx="5727700" cy="3303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1-29 at 11.32.02.png"/>
                    <pic:cNvPicPr/>
                  </pic:nvPicPr>
                  <pic:blipFill>
                    <a:blip r:embed="rId12">
                      <a:extLst>
                        <a:ext uri="{28A0092B-C50C-407E-A947-70E740481C1C}">
                          <a14:useLocalDpi xmlns:a14="http://schemas.microsoft.com/office/drawing/2010/main" val="0"/>
                        </a:ext>
                      </a:extLst>
                    </a:blip>
                    <a:stretch>
                      <a:fillRect/>
                    </a:stretch>
                  </pic:blipFill>
                  <pic:spPr>
                    <a:xfrm>
                      <a:off x="0" y="0"/>
                      <a:ext cx="5727700" cy="3303905"/>
                    </a:xfrm>
                    <a:prstGeom prst="rect">
                      <a:avLst/>
                    </a:prstGeom>
                  </pic:spPr>
                </pic:pic>
              </a:graphicData>
            </a:graphic>
          </wp:inline>
        </w:drawing>
      </w:r>
    </w:p>
    <w:p w14:paraId="2F55F459" w14:textId="77777777" w:rsidR="00785CCA" w:rsidRDefault="00785CCA" w:rsidP="00785CCA">
      <w:pPr>
        <w:jc w:val="both"/>
        <w:rPr>
          <w:rFonts w:ascii="Arial" w:hAnsi="Arial" w:cs="Arial"/>
        </w:rPr>
      </w:pPr>
    </w:p>
    <w:p w14:paraId="0F8BC4F7" w14:textId="77777777" w:rsidR="00785CCA" w:rsidRDefault="00785CCA" w:rsidP="00785CCA">
      <w:pPr>
        <w:jc w:val="both"/>
        <w:rPr>
          <w:rFonts w:ascii="Arial" w:hAnsi="Arial" w:cs="Arial"/>
        </w:rPr>
      </w:pPr>
    </w:p>
    <w:p w14:paraId="000FE7EA" w14:textId="77777777" w:rsidR="00D07076" w:rsidRDefault="00785CCA" w:rsidP="00785CCA">
      <w:pPr>
        <w:spacing w:line="360" w:lineRule="auto"/>
        <w:jc w:val="both"/>
        <w:rPr>
          <w:rFonts w:ascii="Arial" w:hAnsi="Arial" w:cs="Arial"/>
          <w:lang w:val="en-US"/>
        </w:rPr>
      </w:pPr>
      <w:r>
        <w:rPr>
          <w:rFonts w:ascii="Arial" w:hAnsi="Arial" w:cs="Arial"/>
        </w:rPr>
        <w:t xml:space="preserve">This type of use of administration certainly </w:t>
      </w:r>
      <w:r>
        <w:rPr>
          <w:rFonts w:ascii="Arial" w:hAnsi="Arial" w:cs="Arial"/>
          <w:lang w:val="en-US"/>
        </w:rPr>
        <w:t>skews</w:t>
      </w:r>
      <w:r w:rsidR="00FF395E" w:rsidRPr="009F4C40">
        <w:rPr>
          <w:rFonts w:ascii="Arial" w:hAnsi="Arial" w:cs="Arial"/>
          <w:lang w:val="en-US"/>
        </w:rPr>
        <w:t xml:space="preserve"> administration outcomes from </w:t>
      </w:r>
      <w:r w:rsidR="00B13BDE">
        <w:rPr>
          <w:rFonts w:ascii="Arial" w:hAnsi="Arial" w:cs="Arial"/>
          <w:lang w:val="en-US"/>
        </w:rPr>
        <w:t xml:space="preserve">the </w:t>
      </w:r>
      <w:r w:rsidR="00FF395E" w:rsidRPr="009F4C40">
        <w:rPr>
          <w:rFonts w:ascii="Arial" w:hAnsi="Arial" w:cs="Arial"/>
          <w:lang w:val="en-US"/>
        </w:rPr>
        <w:t>Cork</w:t>
      </w:r>
      <w:r w:rsidR="00B13BDE">
        <w:rPr>
          <w:rFonts w:ascii="Arial" w:hAnsi="Arial" w:cs="Arial"/>
          <w:lang w:val="en-US"/>
        </w:rPr>
        <w:t xml:space="preserve"> Committee and Government aims of administration, as expressed in contemporaneous command papers.</w:t>
      </w:r>
      <w:r w:rsidR="00B13BDE">
        <w:rPr>
          <w:rStyle w:val="FootnoteReference"/>
          <w:rFonts w:ascii="Arial" w:hAnsi="Arial" w:cs="Arial"/>
          <w:lang w:val="en-US"/>
        </w:rPr>
        <w:footnoteReference w:id="48"/>
      </w:r>
      <w:r w:rsidR="00B13BDE">
        <w:rPr>
          <w:rFonts w:ascii="Arial" w:hAnsi="Arial" w:cs="Arial"/>
          <w:lang w:val="en-US"/>
        </w:rPr>
        <w:t xml:space="preserve"> More broadly, t</w:t>
      </w:r>
      <w:r>
        <w:rPr>
          <w:rFonts w:ascii="Arial" w:hAnsi="Arial" w:cs="Arial"/>
          <w:lang w:val="en-US"/>
        </w:rPr>
        <w:t xml:space="preserve">he rescue culture is also </w:t>
      </w:r>
      <w:r w:rsidR="00B13BDE">
        <w:rPr>
          <w:rFonts w:ascii="Arial" w:hAnsi="Arial" w:cs="Arial"/>
          <w:lang w:val="en-US"/>
        </w:rPr>
        <w:t>undermined</w:t>
      </w:r>
      <w:r>
        <w:rPr>
          <w:rFonts w:ascii="Arial" w:hAnsi="Arial" w:cs="Arial"/>
          <w:lang w:val="en-US"/>
        </w:rPr>
        <w:t xml:space="preserve"> particularly where we are witnessing a h</w:t>
      </w:r>
      <w:r w:rsidR="00FF395E" w:rsidRPr="009F4C40">
        <w:rPr>
          <w:rFonts w:ascii="Arial" w:hAnsi="Arial" w:cs="Arial"/>
          <w:lang w:val="en-US"/>
        </w:rPr>
        <w:t>igh incidence of liquidation</w:t>
      </w:r>
      <w:r>
        <w:rPr>
          <w:rFonts w:ascii="Arial" w:hAnsi="Arial" w:cs="Arial"/>
          <w:lang w:val="en-US"/>
        </w:rPr>
        <w:t>.</w:t>
      </w:r>
      <w:r w:rsidR="00E87169">
        <w:rPr>
          <w:rFonts w:ascii="Arial" w:hAnsi="Arial" w:cs="Arial"/>
          <w:lang w:val="en-US"/>
        </w:rPr>
        <w:t xml:space="preserve"> But</w:t>
      </w:r>
      <w:r w:rsidR="00FF33B1">
        <w:rPr>
          <w:rFonts w:ascii="Arial" w:hAnsi="Arial" w:cs="Arial"/>
          <w:lang w:val="en-US"/>
        </w:rPr>
        <w:t xml:space="preserve"> most importantly we see another example of</w:t>
      </w:r>
      <w:r w:rsidR="00E87169">
        <w:rPr>
          <w:rFonts w:ascii="Arial" w:hAnsi="Arial" w:cs="Arial"/>
          <w:lang w:val="en-US"/>
        </w:rPr>
        <w:t xml:space="preserve"> secured creditor influence, control and dominance</w:t>
      </w:r>
      <w:r w:rsidR="009056CA">
        <w:rPr>
          <w:rFonts w:ascii="Arial" w:hAnsi="Arial" w:cs="Arial"/>
          <w:lang w:val="en-US"/>
        </w:rPr>
        <w:t>.</w:t>
      </w:r>
      <w:r w:rsidR="0092669D">
        <w:rPr>
          <w:rFonts w:ascii="Arial" w:hAnsi="Arial" w:cs="Arial"/>
          <w:lang w:val="en-US"/>
        </w:rPr>
        <w:t xml:space="preserve"> This demonstrates a manipulation of power and consolidation of wealth</w:t>
      </w:r>
      <w:r w:rsidR="001E33B2">
        <w:rPr>
          <w:rFonts w:ascii="Arial" w:hAnsi="Arial" w:cs="Arial"/>
          <w:lang w:val="en-US"/>
        </w:rPr>
        <w:t xml:space="preserve"> to the detriment of other classes of creditor and wider non-contracting stakeholders</w:t>
      </w:r>
      <w:r w:rsidR="0092669D">
        <w:rPr>
          <w:rFonts w:ascii="Arial" w:hAnsi="Arial" w:cs="Arial"/>
          <w:lang w:val="en-US"/>
        </w:rPr>
        <w:t>.</w:t>
      </w:r>
      <w:r w:rsidR="00D07076">
        <w:rPr>
          <w:rFonts w:ascii="Arial" w:hAnsi="Arial" w:cs="Arial"/>
          <w:lang w:val="en-US"/>
        </w:rPr>
        <w:t xml:space="preserve"> </w:t>
      </w:r>
    </w:p>
    <w:p w14:paraId="7D40A79D" w14:textId="77777777" w:rsidR="00D07076" w:rsidRDefault="00D07076" w:rsidP="00785CCA">
      <w:pPr>
        <w:spacing w:line="360" w:lineRule="auto"/>
        <w:jc w:val="both"/>
        <w:rPr>
          <w:rFonts w:ascii="Arial" w:hAnsi="Arial" w:cs="Arial"/>
          <w:lang w:val="en-US"/>
        </w:rPr>
      </w:pPr>
    </w:p>
    <w:p w14:paraId="346B274D" w14:textId="429B00AE" w:rsidR="00785CCA" w:rsidRDefault="00E1538B" w:rsidP="00785CCA">
      <w:pPr>
        <w:spacing w:line="360" w:lineRule="auto"/>
        <w:jc w:val="both"/>
        <w:rPr>
          <w:rFonts w:ascii="Arial" w:hAnsi="Arial" w:cs="Arial"/>
          <w:lang w:val="en-US"/>
        </w:rPr>
      </w:pPr>
      <w:r>
        <w:rPr>
          <w:rFonts w:ascii="Arial" w:hAnsi="Arial" w:cs="Arial"/>
          <w:lang w:val="en-US"/>
        </w:rPr>
        <w:t xml:space="preserve">There is a strong counter argument. To </w:t>
      </w:r>
      <w:r w:rsidR="00D07076" w:rsidRPr="00D07076">
        <w:rPr>
          <w:rFonts w:ascii="Arial" w:hAnsi="Arial" w:cs="Arial"/>
          <w:lang w:val="en-US"/>
        </w:rPr>
        <w:t xml:space="preserve">encourage banks and other </w:t>
      </w:r>
      <w:r w:rsidR="004D659B">
        <w:rPr>
          <w:rFonts w:ascii="Arial" w:hAnsi="Arial" w:cs="Arial"/>
          <w:lang w:val="en-US"/>
        </w:rPr>
        <w:t>financial institutions to l</w:t>
      </w:r>
      <w:r w:rsidR="007F6247">
        <w:rPr>
          <w:rFonts w:ascii="Arial" w:hAnsi="Arial" w:cs="Arial"/>
          <w:lang w:val="en-US"/>
        </w:rPr>
        <w:t>end</w:t>
      </w:r>
      <w:r w:rsidR="004D659B">
        <w:rPr>
          <w:rFonts w:ascii="Arial" w:hAnsi="Arial" w:cs="Arial"/>
          <w:lang w:val="en-US"/>
        </w:rPr>
        <w:t xml:space="preserve">, </w:t>
      </w:r>
      <w:r w:rsidR="000106B2">
        <w:rPr>
          <w:rFonts w:ascii="Arial" w:hAnsi="Arial" w:cs="Arial"/>
          <w:lang w:val="en-US"/>
        </w:rPr>
        <w:t xml:space="preserve">which in turn is used </w:t>
      </w:r>
      <w:r w:rsidR="00D07076" w:rsidRPr="00D07076">
        <w:rPr>
          <w:rFonts w:ascii="Arial" w:hAnsi="Arial" w:cs="Arial"/>
          <w:lang w:val="en-US"/>
        </w:rPr>
        <w:t>to invest in expansion</w:t>
      </w:r>
      <w:r w:rsidR="004D659B">
        <w:rPr>
          <w:rFonts w:ascii="Arial" w:hAnsi="Arial" w:cs="Arial"/>
          <w:lang w:val="en-US"/>
        </w:rPr>
        <w:t>, policy makers</w:t>
      </w:r>
      <w:r w:rsidR="00D07076" w:rsidRPr="00D07076">
        <w:rPr>
          <w:rFonts w:ascii="Arial" w:hAnsi="Arial" w:cs="Arial"/>
          <w:lang w:val="en-US"/>
        </w:rPr>
        <w:t xml:space="preserve"> </w:t>
      </w:r>
      <w:r w:rsidR="000106B2">
        <w:rPr>
          <w:rFonts w:ascii="Arial" w:hAnsi="Arial" w:cs="Arial"/>
          <w:lang w:val="en-US"/>
        </w:rPr>
        <w:t xml:space="preserve">must </w:t>
      </w:r>
      <w:proofErr w:type="spellStart"/>
      <w:r w:rsidR="000106B2">
        <w:rPr>
          <w:rFonts w:ascii="Arial" w:hAnsi="Arial" w:cs="Arial"/>
          <w:lang w:val="en-US"/>
        </w:rPr>
        <w:t>recognise</w:t>
      </w:r>
      <w:proofErr w:type="spellEnd"/>
      <w:r w:rsidR="00D07076" w:rsidRPr="00D07076">
        <w:rPr>
          <w:rFonts w:ascii="Arial" w:hAnsi="Arial" w:cs="Arial"/>
          <w:lang w:val="en-US"/>
        </w:rPr>
        <w:t xml:space="preserve"> the need to provide for security to take priority</w:t>
      </w:r>
      <w:r>
        <w:rPr>
          <w:rFonts w:ascii="Arial" w:hAnsi="Arial" w:cs="Arial"/>
          <w:lang w:val="en-US"/>
        </w:rPr>
        <w:t>. This priority status is then borne in mind when</w:t>
      </w:r>
      <w:r w:rsidR="00D07076" w:rsidRPr="00D07076">
        <w:rPr>
          <w:rFonts w:ascii="Arial" w:hAnsi="Arial" w:cs="Arial"/>
          <w:lang w:val="en-US"/>
        </w:rPr>
        <w:t xml:space="preserve"> making distributions</w:t>
      </w:r>
      <w:r w:rsidR="004D659B">
        <w:rPr>
          <w:rFonts w:ascii="Arial" w:hAnsi="Arial" w:cs="Arial"/>
          <w:lang w:val="en-US"/>
        </w:rPr>
        <w:t xml:space="preserve"> when framing an </w:t>
      </w:r>
      <w:r w:rsidR="004D659B" w:rsidRPr="00D07076">
        <w:rPr>
          <w:rFonts w:ascii="Arial" w:hAnsi="Arial" w:cs="Arial"/>
          <w:lang w:val="en-US"/>
        </w:rPr>
        <w:t>insolvency legislation</w:t>
      </w:r>
      <w:r w:rsidR="00C82751">
        <w:rPr>
          <w:rFonts w:ascii="Arial" w:hAnsi="Arial" w:cs="Arial"/>
          <w:lang w:val="en-US"/>
        </w:rPr>
        <w:t>,</w:t>
      </w:r>
      <w:r w:rsidR="004D659B">
        <w:rPr>
          <w:rFonts w:ascii="Arial" w:hAnsi="Arial" w:cs="Arial"/>
          <w:lang w:val="en-US"/>
        </w:rPr>
        <w:t xml:space="preserve"> the purpose of which</w:t>
      </w:r>
      <w:r w:rsidR="004D659B" w:rsidRPr="00D07076">
        <w:rPr>
          <w:rFonts w:ascii="Arial" w:hAnsi="Arial" w:cs="Arial"/>
          <w:lang w:val="en-US"/>
        </w:rPr>
        <w:t xml:space="preserve"> is to provide an ordered distribution of the available funds.</w:t>
      </w:r>
      <w:r w:rsidR="004D659B">
        <w:rPr>
          <w:rFonts w:ascii="Arial" w:hAnsi="Arial" w:cs="Arial"/>
          <w:lang w:val="en-US"/>
        </w:rPr>
        <w:t xml:space="preserve"> </w:t>
      </w:r>
      <w:r w:rsidR="000106B2">
        <w:rPr>
          <w:rFonts w:ascii="Arial" w:hAnsi="Arial" w:cs="Arial"/>
          <w:lang w:val="en-US"/>
        </w:rPr>
        <w:t>O</w:t>
      </w:r>
      <w:r w:rsidR="00D07076" w:rsidRPr="00D07076">
        <w:rPr>
          <w:rFonts w:ascii="Arial" w:hAnsi="Arial" w:cs="Arial"/>
          <w:lang w:val="en-US"/>
        </w:rPr>
        <w:t>therwise the risk of loss</w:t>
      </w:r>
      <w:r w:rsidR="000106B2">
        <w:rPr>
          <w:rFonts w:ascii="Arial" w:hAnsi="Arial" w:cs="Arial"/>
          <w:lang w:val="en-US"/>
        </w:rPr>
        <w:t>,</w:t>
      </w:r>
      <w:r w:rsidR="00D07076" w:rsidRPr="00D07076">
        <w:rPr>
          <w:rFonts w:ascii="Arial" w:hAnsi="Arial" w:cs="Arial"/>
          <w:lang w:val="en-US"/>
        </w:rPr>
        <w:t xml:space="preserve"> and therefore the cost of borrowing</w:t>
      </w:r>
      <w:r w:rsidR="000106B2">
        <w:rPr>
          <w:rFonts w:ascii="Arial" w:hAnsi="Arial" w:cs="Arial"/>
          <w:lang w:val="en-US"/>
        </w:rPr>
        <w:t>,</w:t>
      </w:r>
      <w:r w:rsidR="00D07076" w:rsidRPr="00D07076">
        <w:rPr>
          <w:rFonts w:ascii="Arial" w:hAnsi="Arial" w:cs="Arial"/>
          <w:lang w:val="en-US"/>
        </w:rPr>
        <w:t xml:space="preserve"> would be too great and uneconomical.</w:t>
      </w:r>
      <w:r w:rsidR="0092669D">
        <w:rPr>
          <w:rFonts w:ascii="Arial" w:hAnsi="Arial" w:cs="Arial"/>
          <w:lang w:val="en-US"/>
        </w:rPr>
        <w:t xml:space="preserve"> </w:t>
      </w:r>
      <w:r w:rsidR="004D659B">
        <w:rPr>
          <w:rFonts w:ascii="Arial" w:hAnsi="Arial" w:cs="Arial"/>
          <w:lang w:val="en-US"/>
        </w:rPr>
        <w:t xml:space="preserve">This is of course the </w:t>
      </w:r>
      <w:r>
        <w:rPr>
          <w:rFonts w:ascii="Arial" w:hAnsi="Arial" w:cs="Arial"/>
          <w:lang w:val="en-US"/>
        </w:rPr>
        <w:t xml:space="preserve">current </w:t>
      </w:r>
      <w:r w:rsidR="004D659B">
        <w:rPr>
          <w:rFonts w:ascii="Arial" w:hAnsi="Arial" w:cs="Arial"/>
          <w:lang w:val="en-US"/>
        </w:rPr>
        <w:t xml:space="preserve">orthodox position in English and Welsh </w:t>
      </w:r>
      <w:r w:rsidR="004D659B">
        <w:rPr>
          <w:rFonts w:ascii="Arial" w:hAnsi="Arial" w:cs="Arial"/>
          <w:lang w:val="en-US"/>
        </w:rPr>
        <w:lastRenderedPageBreak/>
        <w:t xml:space="preserve">insolvency law. But can this skewed </w:t>
      </w:r>
      <w:proofErr w:type="spellStart"/>
      <w:r w:rsidR="004D659B">
        <w:rPr>
          <w:rFonts w:ascii="Arial" w:hAnsi="Arial" w:cs="Arial"/>
          <w:lang w:val="en-US"/>
        </w:rPr>
        <w:t>favourtisim</w:t>
      </w:r>
      <w:proofErr w:type="spellEnd"/>
      <w:r w:rsidR="004D659B">
        <w:rPr>
          <w:rFonts w:ascii="Arial" w:hAnsi="Arial" w:cs="Arial"/>
          <w:lang w:val="en-US"/>
        </w:rPr>
        <w:t xml:space="preserve"> continue especially if it does not reflect the rescue culture ethos that is supposed to underpin our corporate insolvency laws? </w:t>
      </w:r>
    </w:p>
    <w:p w14:paraId="0DCF806E" w14:textId="77777777" w:rsidR="00D07076" w:rsidRDefault="00D07076" w:rsidP="00785CCA">
      <w:pPr>
        <w:spacing w:line="360" w:lineRule="auto"/>
        <w:jc w:val="both"/>
        <w:rPr>
          <w:rFonts w:ascii="Arial" w:hAnsi="Arial" w:cs="Arial"/>
          <w:lang w:val="en-US"/>
        </w:rPr>
      </w:pPr>
    </w:p>
    <w:p w14:paraId="6C7EAC10" w14:textId="77777777" w:rsidR="00785CCA" w:rsidRDefault="00785CCA" w:rsidP="00785CCA">
      <w:pPr>
        <w:spacing w:line="360" w:lineRule="auto"/>
        <w:jc w:val="both"/>
        <w:rPr>
          <w:rFonts w:ascii="Arial" w:hAnsi="Arial" w:cs="Arial"/>
          <w:lang w:val="en-US"/>
        </w:rPr>
      </w:pPr>
    </w:p>
    <w:p w14:paraId="529BD32E" w14:textId="77777777" w:rsidR="000C4DC7" w:rsidRPr="00833BA3" w:rsidRDefault="00FF395E" w:rsidP="00833BA3">
      <w:pPr>
        <w:spacing w:line="360" w:lineRule="auto"/>
        <w:jc w:val="both"/>
        <w:rPr>
          <w:rFonts w:ascii="Arial" w:hAnsi="Arial" w:cs="Arial"/>
          <w:lang w:val="en-US"/>
        </w:rPr>
      </w:pPr>
      <w:r w:rsidRPr="009F4C40">
        <w:rPr>
          <w:rFonts w:ascii="Arial" w:hAnsi="Arial" w:cs="Arial"/>
          <w:lang w:val="en-US"/>
        </w:rPr>
        <w:t xml:space="preserve"> </w:t>
      </w:r>
      <w:r w:rsidRPr="000C4DC7">
        <w:rPr>
          <w:rFonts w:ascii="Arial" w:hAnsi="Arial" w:cs="Arial"/>
          <w:b/>
          <w:bCs/>
          <w:u w:val="single"/>
          <w:lang w:val="en-US"/>
        </w:rPr>
        <w:t xml:space="preserve">Conclusion </w:t>
      </w:r>
    </w:p>
    <w:p w14:paraId="3F015ECF" w14:textId="77777777" w:rsidR="000C4DC7" w:rsidRDefault="000C4DC7" w:rsidP="000C4DC7">
      <w:pPr>
        <w:jc w:val="both"/>
        <w:rPr>
          <w:rFonts w:ascii="Arial" w:hAnsi="Arial" w:cs="Arial"/>
        </w:rPr>
      </w:pPr>
    </w:p>
    <w:p w14:paraId="329EEF89" w14:textId="77777777" w:rsidR="000C4DC7" w:rsidRDefault="000C4DC7" w:rsidP="000C4DC7">
      <w:pPr>
        <w:spacing w:line="360" w:lineRule="auto"/>
        <w:jc w:val="both"/>
        <w:rPr>
          <w:rFonts w:ascii="Arial" w:hAnsi="Arial" w:cs="Arial"/>
        </w:rPr>
      </w:pPr>
    </w:p>
    <w:p w14:paraId="1658276D" w14:textId="77777777" w:rsidR="00FF395E" w:rsidRDefault="002F730A" w:rsidP="000C4DC7">
      <w:pPr>
        <w:spacing w:line="360" w:lineRule="auto"/>
        <w:jc w:val="both"/>
        <w:rPr>
          <w:rFonts w:ascii="Arial" w:hAnsi="Arial" w:cs="Arial"/>
        </w:rPr>
      </w:pPr>
      <w:r>
        <w:rPr>
          <w:rFonts w:ascii="Arial" w:hAnsi="Arial" w:cs="Arial"/>
        </w:rPr>
        <w:t>Why is any of this important? F</w:t>
      </w:r>
      <w:r w:rsidR="00FF395E" w:rsidRPr="009F4C40">
        <w:rPr>
          <w:rFonts w:ascii="Arial" w:hAnsi="Arial" w:cs="Arial"/>
        </w:rPr>
        <w:t>uture reform activit</w:t>
      </w:r>
      <w:r>
        <w:rPr>
          <w:rFonts w:ascii="Arial" w:hAnsi="Arial" w:cs="Arial"/>
        </w:rPr>
        <w:t>y should safeguard against the</w:t>
      </w:r>
      <w:r w:rsidR="00FF395E" w:rsidRPr="009F4C40">
        <w:rPr>
          <w:rFonts w:ascii="Arial" w:hAnsi="Arial" w:cs="Arial"/>
        </w:rPr>
        <w:t xml:space="preserve"> subversive diversions from carefully constructed policy approaches</w:t>
      </w:r>
      <w:r>
        <w:rPr>
          <w:rFonts w:ascii="Arial" w:hAnsi="Arial" w:cs="Arial"/>
        </w:rPr>
        <w:t xml:space="preserve"> identified in this article. This will </w:t>
      </w:r>
      <w:r w:rsidR="00FF395E" w:rsidRPr="009F4C40">
        <w:rPr>
          <w:rFonts w:ascii="Arial" w:hAnsi="Arial" w:cs="Arial"/>
        </w:rPr>
        <w:t xml:space="preserve">ensure that the totality of the policy’s effect is not lost for all stakeholders. </w:t>
      </w:r>
    </w:p>
    <w:p w14:paraId="4EED2D1B" w14:textId="77777777" w:rsidR="005B1A38" w:rsidRDefault="005B1A38" w:rsidP="000C4DC7">
      <w:pPr>
        <w:spacing w:line="360" w:lineRule="auto"/>
        <w:jc w:val="both"/>
        <w:rPr>
          <w:rFonts w:ascii="Arial" w:hAnsi="Arial" w:cs="Arial"/>
        </w:rPr>
      </w:pPr>
    </w:p>
    <w:p w14:paraId="7BE83A99" w14:textId="77777777" w:rsidR="005B1A38" w:rsidRDefault="00500F46" w:rsidP="005B1A38">
      <w:pPr>
        <w:spacing w:line="360" w:lineRule="auto"/>
        <w:jc w:val="both"/>
        <w:rPr>
          <w:rFonts w:ascii="Arial" w:hAnsi="Arial" w:cs="Arial"/>
        </w:rPr>
      </w:pPr>
      <w:r>
        <w:rPr>
          <w:rFonts w:ascii="Arial" w:hAnsi="Arial" w:cs="Arial"/>
        </w:rPr>
        <w:t xml:space="preserve">If we are to see a </w:t>
      </w:r>
      <w:r w:rsidR="005B1A38" w:rsidRPr="00B37AA4">
        <w:rPr>
          <w:rFonts w:ascii="Arial" w:hAnsi="Arial" w:cs="Arial"/>
          <w:i/>
        </w:rPr>
        <w:t>Restructuring Act 2021</w:t>
      </w:r>
      <w:r>
        <w:rPr>
          <w:rFonts w:ascii="Arial" w:hAnsi="Arial" w:cs="Arial"/>
        </w:rPr>
        <w:t xml:space="preserve"> a word of caution must be sounded. In the most recent Insolvency Service corporate insolvency reform documentation we have seen two new ideas. First, the </w:t>
      </w:r>
      <w:r w:rsidR="005B1A38" w:rsidRPr="005B1A38">
        <w:rPr>
          <w:rFonts w:ascii="Arial" w:hAnsi="Arial" w:cs="Arial"/>
        </w:rPr>
        <w:t xml:space="preserve">new moratorium </w:t>
      </w:r>
      <w:r>
        <w:rPr>
          <w:rFonts w:ascii="Arial" w:hAnsi="Arial" w:cs="Arial"/>
        </w:rPr>
        <w:t>period to help business rescue. This provides another instance of</w:t>
      </w:r>
      <w:r w:rsidR="005B1A38" w:rsidRPr="005B1A38">
        <w:rPr>
          <w:rFonts w:ascii="Arial" w:hAnsi="Arial" w:cs="Arial"/>
        </w:rPr>
        <w:t xml:space="preserve"> “re-invigorating [the] rescue culture.”</w:t>
      </w:r>
      <w:r w:rsidR="001C0023">
        <w:rPr>
          <w:rStyle w:val="FootnoteReference"/>
          <w:rFonts w:ascii="Arial" w:hAnsi="Arial" w:cs="Arial"/>
        </w:rPr>
        <w:footnoteReference w:id="49"/>
      </w:r>
      <w:r w:rsidR="0033032F">
        <w:rPr>
          <w:rFonts w:ascii="Arial" w:hAnsi="Arial" w:cs="Arial"/>
        </w:rPr>
        <w:t xml:space="preserve"> </w:t>
      </w:r>
      <w:r w:rsidR="001C0023">
        <w:rPr>
          <w:rFonts w:ascii="Arial" w:hAnsi="Arial" w:cs="Arial"/>
        </w:rPr>
        <w:t>Secondly</w:t>
      </w:r>
      <w:r>
        <w:rPr>
          <w:rFonts w:ascii="Arial" w:hAnsi="Arial" w:cs="Arial"/>
        </w:rPr>
        <w:t>,</w:t>
      </w:r>
      <w:r w:rsidR="001C0023">
        <w:rPr>
          <w:rFonts w:ascii="Arial" w:hAnsi="Arial" w:cs="Arial"/>
        </w:rPr>
        <w:t xml:space="preserve"> </w:t>
      </w:r>
      <w:r w:rsidR="0033032F">
        <w:rPr>
          <w:rFonts w:ascii="Arial" w:hAnsi="Arial" w:cs="Arial"/>
        </w:rPr>
        <w:t>we have the new “r</w:t>
      </w:r>
      <w:r>
        <w:rPr>
          <w:rFonts w:ascii="Arial" w:hAnsi="Arial" w:cs="Arial"/>
        </w:rPr>
        <w:t>estructuring plan</w:t>
      </w:r>
      <w:r w:rsidR="0033032F">
        <w:rPr>
          <w:rFonts w:ascii="Arial" w:hAnsi="Arial" w:cs="Arial"/>
        </w:rPr>
        <w:t>”</w:t>
      </w:r>
      <w:r>
        <w:rPr>
          <w:rFonts w:ascii="Arial" w:hAnsi="Arial" w:cs="Arial"/>
        </w:rPr>
        <w:t>, a device which provides</w:t>
      </w:r>
      <w:r w:rsidR="005B1A38" w:rsidRPr="005B1A38">
        <w:rPr>
          <w:rFonts w:ascii="Arial" w:hAnsi="Arial" w:cs="Arial"/>
        </w:rPr>
        <w:t xml:space="preserve">  “new ways to provide greater opportunities to effect corporate rescues</w:t>
      </w:r>
      <w:r w:rsidR="001C0023">
        <w:rPr>
          <w:rFonts w:ascii="Arial" w:hAnsi="Arial" w:cs="Arial"/>
        </w:rPr>
        <w:t>.</w:t>
      </w:r>
      <w:r w:rsidR="005B1A38" w:rsidRPr="005B1A38">
        <w:rPr>
          <w:rFonts w:ascii="Arial" w:hAnsi="Arial" w:cs="Arial"/>
        </w:rPr>
        <w:t>”</w:t>
      </w:r>
      <w:r w:rsidR="001C0023">
        <w:rPr>
          <w:rStyle w:val="FootnoteReference"/>
          <w:rFonts w:ascii="Arial" w:hAnsi="Arial" w:cs="Arial"/>
        </w:rPr>
        <w:footnoteReference w:id="50"/>
      </w:r>
      <w:r w:rsidR="0033032F">
        <w:rPr>
          <w:rFonts w:ascii="Arial" w:hAnsi="Arial" w:cs="Arial"/>
        </w:rPr>
        <w:t xml:space="preserve"> Both these measures will require legislative change. Both have been formulated with the rescue culture in mind with the wider stakeholder audience that this entails. If the same policy subversion of the Enterprise Act 2002 reforms is permitted to take place this will lead to the same </w:t>
      </w:r>
      <w:r w:rsidR="00B37AA4">
        <w:rPr>
          <w:rFonts w:ascii="Arial" w:hAnsi="Arial" w:cs="Arial"/>
        </w:rPr>
        <w:t xml:space="preserve">results as the “transmuted” administration reforms, namely, no boost to the rescue culture, only to the interests of secured creditors. </w:t>
      </w:r>
    </w:p>
    <w:p w14:paraId="171CFEF7" w14:textId="77777777" w:rsidR="00E058D3" w:rsidRDefault="00E058D3" w:rsidP="005B1A38">
      <w:pPr>
        <w:spacing w:line="360" w:lineRule="auto"/>
        <w:jc w:val="both"/>
        <w:rPr>
          <w:rFonts w:ascii="Arial" w:hAnsi="Arial" w:cs="Arial"/>
        </w:rPr>
      </w:pPr>
    </w:p>
    <w:p w14:paraId="4E6DF51D" w14:textId="4F75D9DE" w:rsidR="00D1538A" w:rsidRDefault="00E058D3" w:rsidP="005B1A38">
      <w:pPr>
        <w:spacing w:line="360" w:lineRule="auto"/>
        <w:jc w:val="both"/>
        <w:rPr>
          <w:rFonts w:ascii="Arial" w:hAnsi="Arial" w:cs="Arial"/>
        </w:rPr>
      </w:pPr>
      <w:r>
        <w:rPr>
          <w:rFonts w:ascii="Arial" w:hAnsi="Arial" w:cs="Arial"/>
        </w:rPr>
        <w:t xml:space="preserve">It must be noted that it is not only private sector stakeholders that are guilty of policy subversion. In the </w:t>
      </w:r>
      <w:r w:rsidRPr="00E058D3">
        <w:rPr>
          <w:rFonts w:ascii="Arial" w:hAnsi="Arial" w:cs="Arial"/>
        </w:rPr>
        <w:t>2018</w:t>
      </w:r>
      <w:r>
        <w:rPr>
          <w:rFonts w:ascii="Arial" w:hAnsi="Arial" w:cs="Arial"/>
        </w:rPr>
        <w:t xml:space="preserve"> Budget Her Majesty’s Revenue &amp; Customs (HMRC) received a £185m boost to </w:t>
      </w:r>
      <w:r w:rsidR="007F6247">
        <w:rPr>
          <w:rFonts w:ascii="Arial" w:hAnsi="Arial" w:cs="Arial"/>
        </w:rPr>
        <w:t xml:space="preserve">its </w:t>
      </w:r>
      <w:r>
        <w:rPr>
          <w:rFonts w:ascii="Arial" w:hAnsi="Arial" w:cs="Arial"/>
        </w:rPr>
        <w:t>coffers as a result of a preferential status reform proposal put forward by Philip Hammond, Chancellor of the Exchequer.</w:t>
      </w:r>
      <w:r>
        <w:rPr>
          <w:rStyle w:val="FootnoteReference"/>
          <w:rFonts w:ascii="Arial" w:hAnsi="Arial" w:cs="Arial"/>
        </w:rPr>
        <w:footnoteReference w:id="51"/>
      </w:r>
      <w:r>
        <w:rPr>
          <w:rFonts w:ascii="Arial" w:hAnsi="Arial" w:cs="Arial"/>
        </w:rPr>
        <w:t xml:space="preserve"> There appears to have </w:t>
      </w:r>
      <w:r>
        <w:rPr>
          <w:rFonts w:ascii="Arial" w:hAnsi="Arial" w:cs="Arial"/>
        </w:rPr>
        <w:lastRenderedPageBreak/>
        <w:t>been very little consultation on the change, at least in 2018. Leading up to 2002 there was plenty of policy and reform discuss</w:t>
      </w:r>
      <w:r w:rsidR="00553EAA">
        <w:rPr>
          <w:rFonts w:ascii="Arial" w:hAnsi="Arial" w:cs="Arial"/>
        </w:rPr>
        <w:t>ion</w:t>
      </w:r>
      <w:r>
        <w:rPr>
          <w:rFonts w:ascii="Arial" w:hAnsi="Arial" w:cs="Arial"/>
        </w:rPr>
        <w:t xml:space="preserve"> extolling the virtues of the removal of the </w:t>
      </w:r>
      <w:r w:rsidRPr="00E058D3">
        <w:rPr>
          <w:rFonts w:ascii="Arial" w:hAnsi="Arial" w:cs="Arial"/>
        </w:rPr>
        <w:t>preferential status of HMRC</w:t>
      </w:r>
      <w:r>
        <w:rPr>
          <w:rFonts w:ascii="Arial" w:hAnsi="Arial" w:cs="Arial"/>
        </w:rPr>
        <w:t xml:space="preserve"> and the gains this would bring for the rescue culture in bolstering the prescribed part fund and reducing unsecured creditor apathy.</w:t>
      </w:r>
      <w:r>
        <w:rPr>
          <w:rStyle w:val="FootnoteReference"/>
          <w:rFonts w:ascii="Arial" w:hAnsi="Arial" w:cs="Arial"/>
        </w:rPr>
        <w:footnoteReference w:id="52"/>
      </w:r>
      <w:r>
        <w:rPr>
          <w:rFonts w:ascii="Arial" w:hAnsi="Arial" w:cs="Arial"/>
        </w:rPr>
        <w:t xml:space="preserve"> The Budget changes amount to little more than an opportunistic </w:t>
      </w:r>
      <w:r w:rsidR="00D1538A">
        <w:rPr>
          <w:rFonts w:ascii="Arial" w:hAnsi="Arial" w:cs="Arial"/>
        </w:rPr>
        <w:t>finance grab by a powerful stakeholder for a relatively small sum in the grand scheme of Government budge</w:t>
      </w:r>
      <w:r w:rsidR="00546AC4">
        <w:rPr>
          <w:rFonts w:ascii="Arial" w:hAnsi="Arial" w:cs="Arial"/>
        </w:rPr>
        <w:t xml:space="preserve">ts. The fact the change has been envisaged </w:t>
      </w:r>
      <w:r w:rsidR="00372CAC">
        <w:rPr>
          <w:rFonts w:ascii="Arial" w:hAnsi="Arial" w:cs="Arial"/>
        </w:rPr>
        <w:t>with</w:t>
      </w:r>
      <w:r w:rsidR="00F205E0">
        <w:rPr>
          <w:rFonts w:ascii="Arial" w:hAnsi="Arial" w:cs="Arial"/>
        </w:rPr>
        <w:t xml:space="preserve"> reactive</w:t>
      </w:r>
      <w:r w:rsidR="00D1538A">
        <w:rPr>
          <w:rFonts w:ascii="Arial" w:hAnsi="Arial" w:cs="Arial"/>
        </w:rPr>
        <w:t xml:space="preserve"> consultation</w:t>
      </w:r>
      <w:r w:rsidR="00372CAC">
        <w:rPr>
          <w:rFonts w:ascii="Arial" w:hAnsi="Arial" w:cs="Arial"/>
        </w:rPr>
        <w:t xml:space="preserve"> following consternation from the profession</w:t>
      </w:r>
      <w:r w:rsidR="00F205E0">
        <w:rPr>
          <w:rFonts w:ascii="Arial" w:hAnsi="Arial" w:cs="Arial"/>
        </w:rPr>
        <w:t xml:space="preserve"> well after the proposed amendment was announced</w:t>
      </w:r>
      <w:r w:rsidR="00372CAC">
        <w:rPr>
          <w:rFonts w:ascii="Arial" w:hAnsi="Arial" w:cs="Arial"/>
        </w:rPr>
        <w:t xml:space="preserve"> </w:t>
      </w:r>
      <w:r w:rsidR="00E70000">
        <w:rPr>
          <w:rFonts w:ascii="Arial" w:hAnsi="Arial" w:cs="Arial"/>
        </w:rPr>
        <w:t>is</w:t>
      </w:r>
      <w:r w:rsidR="00D1538A">
        <w:rPr>
          <w:rFonts w:ascii="Arial" w:hAnsi="Arial" w:cs="Arial"/>
        </w:rPr>
        <w:t xml:space="preserve"> </w:t>
      </w:r>
      <w:r w:rsidR="00691C2F">
        <w:rPr>
          <w:rFonts w:ascii="Arial" w:hAnsi="Arial" w:cs="Arial"/>
        </w:rPr>
        <w:t xml:space="preserve">also </w:t>
      </w:r>
      <w:r w:rsidR="00D1538A">
        <w:rPr>
          <w:rFonts w:ascii="Arial" w:hAnsi="Arial" w:cs="Arial"/>
        </w:rPr>
        <w:t>deeply problematic.</w:t>
      </w:r>
      <w:r w:rsidR="00691C2F">
        <w:rPr>
          <w:rStyle w:val="FootnoteReference"/>
          <w:rFonts w:ascii="Arial" w:hAnsi="Arial" w:cs="Arial"/>
        </w:rPr>
        <w:footnoteReference w:id="53"/>
      </w:r>
      <w:r w:rsidR="00D1538A">
        <w:rPr>
          <w:rFonts w:ascii="Arial" w:hAnsi="Arial" w:cs="Arial"/>
        </w:rPr>
        <w:t xml:space="preserve"> </w:t>
      </w:r>
      <w:r w:rsidR="00691C2F">
        <w:rPr>
          <w:rFonts w:ascii="Arial" w:hAnsi="Arial" w:cs="Arial"/>
        </w:rPr>
        <w:t xml:space="preserve">Little, if any, regard seems to have been paid to </w:t>
      </w:r>
      <w:r w:rsidR="00372CAC">
        <w:rPr>
          <w:rFonts w:ascii="Arial" w:hAnsi="Arial" w:cs="Arial"/>
        </w:rPr>
        <w:t xml:space="preserve">the rescue culture and the effect on </w:t>
      </w:r>
      <w:r w:rsidR="00691C2F">
        <w:rPr>
          <w:rFonts w:ascii="Arial" w:hAnsi="Arial" w:cs="Arial"/>
        </w:rPr>
        <w:t>employees.</w:t>
      </w:r>
      <w:r w:rsidR="00546AC4">
        <w:rPr>
          <w:rFonts w:ascii="Arial" w:hAnsi="Arial" w:cs="Arial"/>
        </w:rPr>
        <w:t xml:space="preserve"> One migh</w:t>
      </w:r>
      <w:r w:rsidR="00832315">
        <w:rPr>
          <w:rFonts w:ascii="Arial" w:hAnsi="Arial" w:cs="Arial"/>
        </w:rPr>
        <w:t>t even go so far as to question</w:t>
      </w:r>
      <w:r w:rsidR="00546AC4">
        <w:rPr>
          <w:rFonts w:ascii="Arial" w:hAnsi="Arial" w:cs="Arial"/>
        </w:rPr>
        <w:t xml:space="preserve"> whether there have been </w:t>
      </w:r>
      <w:r w:rsidR="0082222A">
        <w:rPr>
          <w:rFonts w:ascii="Arial" w:hAnsi="Arial" w:cs="Arial"/>
        </w:rPr>
        <w:t xml:space="preserve">serious and meaningful </w:t>
      </w:r>
      <w:r w:rsidR="00546AC4">
        <w:rPr>
          <w:rFonts w:ascii="Arial" w:hAnsi="Arial" w:cs="Arial"/>
        </w:rPr>
        <w:t>discussions between HMRC and the Insolvency Service</w:t>
      </w:r>
      <w:r w:rsidR="00832315">
        <w:rPr>
          <w:rFonts w:ascii="Arial" w:hAnsi="Arial" w:cs="Arial"/>
        </w:rPr>
        <w:t xml:space="preserve"> on the proposed reforms</w:t>
      </w:r>
      <w:r w:rsidR="00546AC4">
        <w:rPr>
          <w:rFonts w:ascii="Arial" w:hAnsi="Arial" w:cs="Arial"/>
        </w:rPr>
        <w:t xml:space="preserve">. </w:t>
      </w:r>
    </w:p>
    <w:p w14:paraId="6B6139E4" w14:textId="77777777" w:rsidR="00D1538A" w:rsidRDefault="00D1538A" w:rsidP="005B1A38">
      <w:pPr>
        <w:spacing w:line="360" w:lineRule="auto"/>
        <w:jc w:val="both"/>
        <w:rPr>
          <w:rFonts w:ascii="Arial" w:hAnsi="Arial" w:cs="Arial"/>
        </w:rPr>
      </w:pPr>
    </w:p>
    <w:p w14:paraId="0BF6D04D" w14:textId="20B76113" w:rsidR="00947128" w:rsidRPr="005B1A38" w:rsidRDefault="00947128" w:rsidP="005B1A38">
      <w:pPr>
        <w:spacing w:line="360" w:lineRule="auto"/>
        <w:jc w:val="both"/>
        <w:rPr>
          <w:rFonts w:ascii="Arial" w:hAnsi="Arial" w:cs="Arial"/>
        </w:rPr>
      </w:pPr>
      <w:r>
        <w:rPr>
          <w:rFonts w:ascii="Arial" w:hAnsi="Arial" w:cs="Arial"/>
        </w:rPr>
        <w:t>A</w:t>
      </w:r>
      <w:r w:rsidR="00D1538A">
        <w:rPr>
          <w:rFonts w:ascii="Arial" w:hAnsi="Arial" w:cs="Arial"/>
        </w:rPr>
        <w:t>s</w:t>
      </w:r>
      <w:r>
        <w:rPr>
          <w:rFonts w:ascii="Arial" w:hAnsi="Arial" w:cs="Arial"/>
        </w:rPr>
        <w:t xml:space="preserve"> this article demonstrates</w:t>
      </w:r>
      <w:r w:rsidR="007F6247">
        <w:rPr>
          <w:rFonts w:ascii="Arial" w:hAnsi="Arial" w:cs="Arial"/>
        </w:rPr>
        <w:t>,</w:t>
      </w:r>
      <w:r w:rsidR="0087220A">
        <w:rPr>
          <w:rFonts w:ascii="Arial" w:hAnsi="Arial" w:cs="Arial"/>
        </w:rPr>
        <w:t xml:space="preserve"> the policy subversion that manifests</w:t>
      </w:r>
      <w:r>
        <w:rPr>
          <w:rFonts w:ascii="Arial" w:hAnsi="Arial" w:cs="Arial"/>
        </w:rPr>
        <w:t xml:space="preserve"> itself within</w:t>
      </w:r>
      <w:r w:rsidR="0087220A">
        <w:rPr>
          <w:rFonts w:ascii="Arial" w:hAnsi="Arial" w:cs="Arial"/>
        </w:rPr>
        <w:t xml:space="preserve"> the realm of corporate insolvency law provides a blatant example of the “conformity of the content of laws and legal institutions with the material interests of the ruling class</w:t>
      </w:r>
      <w:r w:rsidR="007F6247">
        <w:rPr>
          <w:rFonts w:ascii="Arial" w:hAnsi="Arial" w:cs="Arial"/>
        </w:rPr>
        <w:t>,</w:t>
      </w:r>
      <w:r w:rsidR="0087220A">
        <w:rPr>
          <w:rFonts w:ascii="Arial" w:hAnsi="Arial" w:cs="Arial"/>
        </w:rPr>
        <w:t>”</w:t>
      </w:r>
      <w:r w:rsidR="0087220A">
        <w:rPr>
          <w:rStyle w:val="FootnoteReference"/>
          <w:rFonts w:ascii="Arial" w:hAnsi="Arial" w:cs="Arial"/>
        </w:rPr>
        <w:footnoteReference w:id="54"/>
      </w:r>
      <w:r w:rsidR="0087220A">
        <w:rPr>
          <w:rFonts w:ascii="Arial" w:hAnsi="Arial" w:cs="Arial"/>
        </w:rPr>
        <w:t xml:space="preserve"> </w:t>
      </w:r>
      <w:r w:rsidR="007F6247">
        <w:rPr>
          <w:rFonts w:ascii="Arial" w:hAnsi="Arial" w:cs="Arial"/>
        </w:rPr>
        <w:t>i</w:t>
      </w:r>
      <w:r w:rsidR="0087220A">
        <w:rPr>
          <w:rFonts w:ascii="Arial" w:hAnsi="Arial" w:cs="Arial"/>
        </w:rPr>
        <w:t xml:space="preserve">n this instance the interests of secured creditors. What is worse, other than the complicity through the legislature with these powerful interest groups, is the denial to other stakeholders of an opportunity to foster and grow. In the battle for value within the finite estate the stakeholders chance to take part in a rehabilitated form is denied in the interests of greater claims to secured creditors. </w:t>
      </w:r>
    </w:p>
    <w:p w14:paraId="16A1BFD0" w14:textId="77777777" w:rsidR="00500F46" w:rsidRDefault="00500F46" w:rsidP="005B1A38">
      <w:pPr>
        <w:spacing w:line="360" w:lineRule="auto"/>
        <w:jc w:val="both"/>
        <w:rPr>
          <w:rFonts w:ascii="Arial" w:hAnsi="Arial" w:cs="Arial"/>
        </w:rPr>
      </w:pPr>
    </w:p>
    <w:p w14:paraId="56485DFC" w14:textId="77777777" w:rsidR="00500F46" w:rsidRDefault="00500F46" w:rsidP="005B1A38">
      <w:pPr>
        <w:spacing w:line="360" w:lineRule="auto"/>
        <w:jc w:val="both"/>
        <w:rPr>
          <w:rFonts w:ascii="Arial" w:hAnsi="Arial" w:cs="Arial"/>
        </w:rPr>
      </w:pPr>
    </w:p>
    <w:p w14:paraId="314A7B11" w14:textId="77777777" w:rsidR="00500F46" w:rsidRDefault="00500F46" w:rsidP="005B1A38">
      <w:pPr>
        <w:spacing w:line="360" w:lineRule="auto"/>
        <w:jc w:val="both"/>
        <w:rPr>
          <w:rFonts w:ascii="Arial" w:hAnsi="Arial" w:cs="Arial"/>
        </w:rPr>
      </w:pPr>
    </w:p>
    <w:p w14:paraId="116011F2" w14:textId="77777777" w:rsidR="00500F46" w:rsidRDefault="00500F46" w:rsidP="005B1A38">
      <w:pPr>
        <w:spacing w:line="360" w:lineRule="auto"/>
        <w:jc w:val="both"/>
        <w:rPr>
          <w:rFonts w:ascii="Arial" w:hAnsi="Arial" w:cs="Arial"/>
        </w:rPr>
      </w:pPr>
    </w:p>
    <w:p w14:paraId="2D9D316E" w14:textId="77777777" w:rsidR="000C4DC7" w:rsidRDefault="000C4DC7" w:rsidP="000C4DC7">
      <w:pPr>
        <w:jc w:val="both"/>
        <w:rPr>
          <w:rFonts w:ascii="Arial" w:hAnsi="Arial" w:cs="Arial"/>
        </w:rPr>
      </w:pPr>
    </w:p>
    <w:p w14:paraId="027E0B80" w14:textId="77777777" w:rsidR="000C4DC7" w:rsidRDefault="000C4DC7" w:rsidP="000C4DC7">
      <w:pPr>
        <w:jc w:val="both"/>
        <w:rPr>
          <w:rFonts w:ascii="Arial" w:hAnsi="Arial" w:cs="Arial"/>
        </w:rPr>
      </w:pPr>
    </w:p>
    <w:p w14:paraId="388BEC5E" w14:textId="77777777" w:rsidR="00FF395E" w:rsidRPr="004C25EB" w:rsidRDefault="00FF395E" w:rsidP="004C25EB">
      <w:pPr>
        <w:rPr>
          <w:rFonts w:ascii="Arial" w:hAnsi="Arial" w:cs="Arial"/>
          <w:b/>
          <w:u w:val="single"/>
        </w:rPr>
      </w:pPr>
    </w:p>
    <w:sectPr w:rsidR="00FF395E" w:rsidRPr="004C25EB" w:rsidSect="007E504B">
      <w:headerReference w:type="default" r:id="rId13"/>
      <w:footerReference w:type="even" r:id="rId14"/>
      <w:footerReference w:type="default" r:id="rId15"/>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mfreville, Christopher" w:date="2019-03-05T14:41:00Z" w:initials="UC">
    <w:p w14:paraId="009A13DE" w14:textId="77777777" w:rsidR="00375B01" w:rsidRDefault="00375B01">
      <w:pPr>
        <w:pStyle w:val="CommentText"/>
      </w:pPr>
      <w:r>
        <w:rPr>
          <w:rStyle w:val="CommentReference"/>
        </w:rPr>
        <w:annotationRef/>
      </w:r>
      <w:r>
        <w:t>2 x still in one sentence – suggested revision</w:t>
      </w:r>
    </w:p>
  </w:comment>
  <w:comment w:id="1" w:author="Umfreville, Christopher" w:date="2019-03-05T14:43:00Z" w:initials="UC">
    <w:p w14:paraId="31F8D323" w14:textId="77777777" w:rsidR="00375B01" w:rsidRDefault="00375B01">
      <w:pPr>
        <w:pStyle w:val="CommentText"/>
      </w:pPr>
      <w:r>
        <w:rPr>
          <w:rStyle w:val="CommentReference"/>
        </w:rPr>
        <w:annotationRef/>
      </w:r>
      <w:r>
        <w:t>Is there a reference for this quote?</w:t>
      </w:r>
    </w:p>
  </w:comment>
  <w:comment w:id="2" w:author="Umfreville, Christopher" w:date="2019-03-05T14:44:00Z" w:initials="UC">
    <w:p w14:paraId="31C8B4FE" w14:textId="2A38949D" w:rsidR="00375B01" w:rsidRDefault="00375B01">
      <w:pPr>
        <w:pStyle w:val="CommentText"/>
      </w:pPr>
      <w:r>
        <w:rPr>
          <w:rStyle w:val="CommentReference"/>
        </w:rPr>
        <w:annotationRef/>
      </w:r>
      <w:r w:rsidR="006270A5" w:rsidRPr="006270A5">
        <w:t>For the purposes of subsections (2) and (3),</w:t>
      </w:r>
      <w:r>
        <w:t>Consider including preceding words for completeness</w:t>
      </w:r>
    </w:p>
  </w:comment>
  <w:comment w:id="3" w:author="Umfreville, Christopher" w:date="2019-03-05T14:46:00Z" w:initials="UC">
    <w:p w14:paraId="7BD439FE" w14:textId="77777777" w:rsidR="00375B01" w:rsidRDefault="00375B01">
      <w:pPr>
        <w:pStyle w:val="CommentText"/>
      </w:pPr>
      <w:r>
        <w:rPr>
          <w:rStyle w:val="CommentReference"/>
        </w:rPr>
        <w:annotationRef/>
      </w:r>
      <w:bookmarkStart w:id="4" w:name="_GoBack"/>
      <w:bookmarkEnd w:id="4"/>
      <w:r>
        <w:t>Suggest remove italics and use square brackets to make clear that these words do not form part of the 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9A13DE" w15:done="0"/>
  <w15:commentEx w15:paraId="31F8D323" w15:done="0"/>
  <w15:commentEx w15:paraId="31C8B4FE" w15:done="0"/>
  <w15:commentEx w15:paraId="7BD439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9A13DE" w16cid:durableId="202BF11E"/>
  <w16cid:commentId w16cid:paraId="31F8D323" w16cid:durableId="202BF11F"/>
  <w16cid:commentId w16cid:paraId="31C8B4FE" w16cid:durableId="202BF120"/>
  <w16cid:commentId w16cid:paraId="7BD439FE" w16cid:durableId="202BF1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3256A" w14:textId="77777777" w:rsidR="00F50AD8" w:rsidRDefault="00F50AD8" w:rsidP="009F4C40">
      <w:r>
        <w:separator/>
      </w:r>
    </w:p>
  </w:endnote>
  <w:endnote w:type="continuationSeparator" w:id="0">
    <w:p w14:paraId="640BE6AD" w14:textId="77777777" w:rsidR="00F50AD8" w:rsidRDefault="00F50AD8" w:rsidP="009F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0569862"/>
      <w:docPartObj>
        <w:docPartGallery w:val="Page Numbers (Bottom of Page)"/>
        <w:docPartUnique/>
      </w:docPartObj>
    </w:sdtPr>
    <w:sdtEndPr>
      <w:rPr>
        <w:rStyle w:val="PageNumber"/>
      </w:rPr>
    </w:sdtEndPr>
    <w:sdtContent>
      <w:p w14:paraId="1EFA4557" w14:textId="77777777" w:rsidR="00375B01" w:rsidRDefault="00375B01" w:rsidP="00FF39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42D20E" w14:textId="77777777" w:rsidR="00375B01" w:rsidRDefault="00375B01" w:rsidP="00A77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0872646"/>
      <w:docPartObj>
        <w:docPartGallery w:val="Page Numbers (Bottom of Page)"/>
        <w:docPartUnique/>
      </w:docPartObj>
    </w:sdtPr>
    <w:sdtEndPr>
      <w:rPr>
        <w:rStyle w:val="PageNumber"/>
      </w:rPr>
    </w:sdtEndPr>
    <w:sdtContent>
      <w:p w14:paraId="6DACC891" w14:textId="77777777" w:rsidR="00375B01" w:rsidRDefault="00375B01" w:rsidP="00FF39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6247">
          <w:rPr>
            <w:rStyle w:val="PageNumber"/>
            <w:noProof/>
          </w:rPr>
          <w:t>16</w:t>
        </w:r>
        <w:r>
          <w:rPr>
            <w:rStyle w:val="PageNumber"/>
          </w:rPr>
          <w:fldChar w:fldCharType="end"/>
        </w:r>
      </w:p>
    </w:sdtContent>
  </w:sdt>
  <w:p w14:paraId="18975BC3" w14:textId="77777777" w:rsidR="00375B01" w:rsidRDefault="00375B01" w:rsidP="00A775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E1EE2" w14:textId="77777777" w:rsidR="00F50AD8" w:rsidRDefault="00F50AD8" w:rsidP="009F4C40">
      <w:r>
        <w:separator/>
      </w:r>
    </w:p>
  </w:footnote>
  <w:footnote w:type="continuationSeparator" w:id="0">
    <w:p w14:paraId="1F122F1E" w14:textId="77777777" w:rsidR="00F50AD8" w:rsidRDefault="00F50AD8" w:rsidP="009F4C40">
      <w:r>
        <w:continuationSeparator/>
      </w:r>
    </w:p>
  </w:footnote>
  <w:footnote w:id="1">
    <w:p w14:paraId="68832EBB" w14:textId="77777777" w:rsidR="00375B01" w:rsidRPr="00C302AC" w:rsidRDefault="00375B01" w:rsidP="00C302AC">
      <w:pPr>
        <w:pStyle w:val="FootnoteText"/>
        <w:jc w:val="both"/>
        <w:rPr>
          <w:rFonts w:ascii="Arial" w:hAnsi="Arial" w:cs="Arial"/>
          <w:sz w:val="20"/>
          <w:szCs w:val="20"/>
          <w:lang w:val="en-GB"/>
        </w:rPr>
      </w:pPr>
      <w:r w:rsidRPr="00C302AC">
        <w:rPr>
          <w:rStyle w:val="FootnoteReference"/>
          <w:rFonts w:ascii="Arial" w:hAnsi="Arial" w:cs="Arial"/>
          <w:sz w:val="20"/>
          <w:szCs w:val="20"/>
        </w:rPr>
        <w:sym w:font="Symbol" w:char="F0A7"/>
      </w:r>
      <w:r w:rsidRPr="00C302AC">
        <w:rPr>
          <w:rFonts w:ascii="Arial" w:hAnsi="Arial" w:cs="Arial"/>
          <w:sz w:val="20"/>
          <w:szCs w:val="20"/>
        </w:rPr>
        <w:t xml:space="preserve"> </w:t>
      </w:r>
      <w:r w:rsidRPr="00C302AC">
        <w:rPr>
          <w:rFonts w:ascii="Arial" w:hAnsi="Arial" w:cs="Arial"/>
          <w:sz w:val="20"/>
          <w:szCs w:val="20"/>
          <w:lang w:val="en-GB"/>
        </w:rPr>
        <w:t xml:space="preserve">Senior Lecturer in Law, School of Law and Social Justice, University of Liverpool and Academic Associate, Exchange Chambers. Email: </w:t>
      </w:r>
      <w:hyperlink r:id="rId1" w:history="1">
        <w:r w:rsidRPr="00C302AC">
          <w:rPr>
            <w:rStyle w:val="Hyperlink"/>
            <w:rFonts w:ascii="Arial" w:hAnsi="Arial" w:cs="Arial"/>
            <w:sz w:val="20"/>
            <w:szCs w:val="20"/>
            <w:lang w:val="en-GB"/>
          </w:rPr>
          <w:t>j.tribe@liverpool.ac.uk</w:t>
        </w:r>
      </w:hyperlink>
      <w:r w:rsidRPr="00C302AC">
        <w:rPr>
          <w:rFonts w:ascii="Arial" w:hAnsi="Arial" w:cs="Arial"/>
          <w:sz w:val="20"/>
          <w:szCs w:val="20"/>
          <w:lang w:val="en-GB"/>
        </w:rPr>
        <w:t>. This article was originally delivered as a conference paper entitled: “</w:t>
      </w:r>
      <w:r w:rsidRPr="00C302AC">
        <w:rPr>
          <w:rFonts w:ascii="Arial" w:hAnsi="Arial" w:cs="Arial"/>
          <w:i/>
          <w:sz w:val="20"/>
          <w:szCs w:val="20"/>
          <w:lang w:val="en-GB"/>
        </w:rPr>
        <w:t xml:space="preserve">I have a cunning (insolvency policy) plan!”: Scuppering Insolvency </w:t>
      </w:r>
      <w:proofErr w:type="spellStart"/>
      <w:r w:rsidRPr="00C302AC">
        <w:rPr>
          <w:rFonts w:ascii="Arial" w:hAnsi="Arial" w:cs="Arial"/>
          <w:i/>
          <w:sz w:val="20"/>
          <w:szCs w:val="20"/>
          <w:lang w:val="en-GB"/>
        </w:rPr>
        <w:t>Baldricks</w:t>
      </w:r>
      <w:proofErr w:type="spellEnd"/>
      <w:r w:rsidRPr="00C302AC">
        <w:rPr>
          <w:rFonts w:ascii="Arial" w:hAnsi="Arial" w:cs="Arial"/>
          <w:i/>
          <w:sz w:val="20"/>
          <w:szCs w:val="20"/>
          <w:lang w:val="en-GB"/>
        </w:rPr>
        <w:t xml:space="preserve"> during the Legislative Process”</w:t>
      </w:r>
      <w:r w:rsidRPr="00C302AC">
        <w:rPr>
          <w:rFonts w:ascii="Arial" w:hAnsi="Arial" w:cs="Arial"/>
          <w:sz w:val="20"/>
          <w:szCs w:val="20"/>
          <w:lang w:val="en-GB"/>
        </w:rPr>
        <w:t xml:space="preserve"> at: </w:t>
      </w:r>
      <w:r w:rsidRPr="00C302AC">
        <w:rPr>
          <w:rFonts w:ascii="Arial" w:hAnsi="Arial" w:cs="Arial"/>
          <w:i/>
          <w:sz w:val="20"/>
          <w:szCs w:val="20"/>
          <w:lang w:val="en-GB"/>
        </w:rPr>
        <w:t>“Reflecting on 15 Years of the Enterprise Act 2002 Insolvency Reforms”</w:t>
      </w:r>
      <w:r w:rsidRPr="00C302AC">
        <w:rPr>
          <w:rFonts w:ascii="Arial" w:hAnsi="Arial" w:cs="Arial"/>
          <w:sz w:val="20"/>
          <w:szCs w:val="20"/>
          <w:lang w:val="en-GB"/>
        </w:rPr>
        <w:t xml:space="preserve">, Aston Business School, November 15th 2018. I am grateful to Professor Peter Walton and Mr. Christopher </w:t>
      </w:r>
      <w:proofErr w:type="spellStart"/>
      <w:r w:rsidRPr="00C302AC">
        <w:rPr>
          <w:rFonts w:ascii="Arial" w:hAnsi="Arial" w:cs="Arial"/>
          <w:sz w:val="20"/>
          <w:szCs w:val="20"/>
          <w:lang w:val="en-GB"/>
        </w:rPr>
        <w:t>Umfreville</w:t>
      </w:r>
      <w:proofErr w:type="spellEnd"/>
      <w:r w:rsidRPr="00C302AC">
        <w:rPr>
          <w:rFonts w:ascii="Arial" w:hAnsi="Arial" w:cs="Arial"/>
          <w:sz w:val="20"/>
          <w:szCs w:val="20"/>
          <w:lang w:val="en-GB"/>
        </w:rPr>
        <w:t xml:space="preserve"> for accepting and commenting on the paper. I am also grateful to Professors David </w:t>
      </w:r>
      <w:proofErr w:type="spellStart"/>
      <w:r w:rsidRPr="00C302AC">
        <w:rPr>
          <w:rFonts w:ascii="Arial" w:hAnsi="Arial" w:cs="Arial"/>
          <w:sz w:val="20"/>
          <w:szCs w:val="20"/>
          <w:lang w:val="en-GB"/>
        </w:rPr>
        <w:t>Milman</w:t>
      </w:r>
      <w:proofErr w:type="spellEnd"/>
      <w:r w:rsidRPr="00C302AC">
        <w:rPr>
          <w:rFonts w:ascii="Arial" w:hAnsi="Arial" w:cs="Arial"/>
          <w:sz w:val="20"/>
          <w:szCs w:val="20"/>
          <w:lang w:val="en-GB"/>
        </w:rPr>
        <w:t xml:space="preserve"> and David Brown, and Ms. Susan Watson</w:t>
      </w:r>
      <w:r>
        <w:rPr>
          <w:rFonts w:ascii="Arial" w:hAnsi="Arial" w:cs="Arial"/>
          <w:sz w:val="20"/>
          <w:szCs w:val="20"/>
          <w:lang w:val="en-GB"/>
        </w:rPr>
        <w:t>, Mr. John Briggs,</w:t>
      </w:r>
      <w:r w:rsidRPr="00C302AC">
        <w:rPr>
          <w:rFonts w:ascii="Arial" w:hAnsi="Arial" w:cs="Arial"/>
          <w:sz w:val="20"/>
          <w:szCs w:val="20"/>
          <w:lang w:val="en-GB"/>
        </w:rPr>
        <w:t xml:space="preserve"> and </w:t>
      </w:r>
      <w:proofErr w:type="spellStart"/>
      <w:r w:rsidRPr="00C302AC">
        <w:rPr>
          <w:rFonts w:ascii="Arial" w:hAnsi="Arial" w:cs="Arial"/>
          <w:sz w:val="20"/>
          <w:szCs w:val="20"/>
          <w:lang w:val="en-GB"/>
        </w:rPr>
        <w:t>Dr.</w:t>
      </w:r>
      <w:proofErr w:type="spellEnd"/>
      <w:r w:rsidRPr="00C302AC">
        <w:rPr>
          <w:rFonts w:ascii="Arial" w:hAnsi="Arial" w:cs="Arial"/>
          <w:sz w:val="20"/>
          <w:szCs w:val="20"/>
          <w:lang w:val="en-GB"/>
        </w:rPr>
        <w:t xml:space="preserve"> Stephen </w:t>
      </w:r>
      <w:proofErr w:type="spellStart"/>
      <w:r w:rsidRPr="00C302AC">
        <w:rPr>
          <w:rFonts w:ascii="Arial" w:hAnsi="Arial" w:cs="Arial"/>
          <w:sz w:val="20"/>
          <w:szCs w:val="20"/>
          <w:lang w:val="en-GB"/>
        </w:rPr>
        <w:t>Baister</w:t>
      </w:r>
      <w:proofErr w:type="spellEnd"/>
      <w:r w:rsidRPr="00C302AC">
        <w:rPr>
          <w:rFonts w:ascii="Arial" w:hAnsi="Arial" w:cs="Arial"/>
          <w:sz w:val="20"/>
          <w:szCs w:val="20"/>
          <w:lang w:val="en-GB"/>
        </w:rPr>
        <w:t xml:space="preserve"> for their helpful and constructive feedback on earlier drafts of this article. Any errors or omissions are the sole responsibility of the author. </w:t>
      </w:r>
    </w:p>
  </w:footnote>
  <w:footnote w:id="2">
    <w:p w14:paraId="0BA4AED7" w14:textId="77777777" w:rsidR="00375B01" w:rsidRPr="00CB6B23" w:rsidRDefault="00375B01" w:rsidP="00617FD8">
      <w:pPr>
        <w:pStyle w:val="FootnoteText"/>
        <w:jc w:val="both"/>
        <w:rPr>
          <w:rFonts w:ascii="Arial" w:hAnsi="Arial" w:cs="Arial"/>
          <w:sz w:val="20"/>
          <w:szCs w:val="20"/>
          <w:lang w:val="en-GB"/>
        </w:rPr>
      </w:pPr>
      <w:r w:rsidRPr="00DB381F">
        <w:rPr>
          <w:rStyle w:val="FootnoteReference"/>
          <w:rFonts w:ascii="Arial" w:hAnsi="Arial" w:cs="Arial"/>
          <w:sz w:val="20"/>
          <w:szCs w:val="20"/>
        </w:rPr>
        <w:footnoteRef/>
      </w:r>
      <w:r w:rsidRPr="00DB381F">
        <w:rPr>
          <w:rFonts w:ascii="Arial" w:hAnsi="Arial" w:cs="Arial"/>
          <w:sz w:val="20"/>
          <w:szCs w:val="20"/>
        </w:rPr>
        <w:t xml:space="preserve"> On Marxist approaches to the law generally </w:t>
      </w:r>
      <w:r w:rsidRPr="00DB381F">
        <w:rPr>
          <w:rFonts w:ascii="Arial" w:hAnsi="Arial" w:cs="Arial"/>
          <w:sz w:val="20"/>
          <w:szCs w:val="20"/>
          <w:lang w:val="en-GB"/>
        </w:rPr>
        <w:t xml:space="preserve">see: </w:t>
      </w:r>
      <w:proofErr w:type="spellStart"/>
      <w:r w:rsidRPr="00DB381F">
        <w:rPr>
          <w:rFonts w:ascii="Arial" w:hAnsi="Arial" w:cs="Arial"/>
          <w:sz w:val="20"/>
          <w:szCs w:val="20"/>
          <w:lang w:val="en-GB"/>
        </w:rPr>
        <w:t>Pashukanis</w:t>
      </w:r>
      <w:proofErr w:type="spellEnd"/>
      <w:r w:rsidRPr="00DB381F">
        <w:rPr>
          <w:rFonts w:ascii="Arial" w:hAnsi="Arial" w:cs="Arial"/>
          <w:sz w:val="20"/>
          <w:szCs w:val="20"/>
          <w:lang w:val="en-GB"/>
        </w:rPr>
        <w:t xml:space="preserve">, EB. </w:t>
      </w:r>
      <w:r w:rsidRPr="00DB381F">
        <w:rPr>
          <w:rFonts w:ascii="Arial" w:hAnsi="Arial" w:cs="Arial"/>
          <w:i/>
          <w:sz w:val="20"/>
          <w:szCs w:val="20"/>
          <w:lang w:val="en-GB"/>
        </w:rPr>
        <w:t>Law and Marxism: A General Theory</w:t>
      </w:r>
      <w:r w:rsidRPr="00DB381F">
        <w:rPr>
          <w:rFonts w:ascii="Arial" w:hAnsi="Arial" w:cs="Arial"/>
          <w:sz w:val="20"/>
          <w:szCs w:val="20"/>
          <w:lang w:val="en-GB"/>
        </w:rPr>
        <w:t xml:space="preserve">. Pluto Press, 1989. Hereafter </w:t>
      </w:r>
      <w:proofErr w:type="spellStart"/>
      <w:r w:rsidRPr="00DB381F">
        <w:rPr>
          <w:rFonts w:ascii="Arial" w:hAnsi="Arial" w:cs="Arial"/>
          <w:i/>
          <w:sz w:val="20"/>
          <w:szCs w:val="20"/>
          <w:lang w:val="en-GB"/>
        </w:rPr>
        <w:t>Pashukanis</w:t>
      </w:r>
      <w:proofErr w:type="spellEnd"/>
      <w:r w:rsidRPr="00DB381F">
        <w:rPr>
          <w:rFonts w:ascii="Arial" w:hAnsi="Arial" w:cs="Arial"/>
          <w:sz w:val="20"/>
          <w:szCs w:val="20"/>
          <w:lang w:val="en-GB"/>
        </w:rPr>
        <w:t xml:space="preserve">. See also: Collins, H. </w:t>
      </w:r>
      <w:r w:rsidRPr="00DB381F">
        <w:rPr>
          <w:rFonts w:ascii="Arial" w:hAnsi="Arial" w:cs="Arial"/>
          <w:i/>
          <w:sz w:val="20"/>
          <w:szCs w:val="20"/>
          <w:lang w:val="en-GB"/>
        </w:rPr>
        <w:t>Marxism and Law</w:t>
      </w:r>
      <w:r w:rsidRPr="00DB381F">
        <w:rPr>
          <w:rFonts w:ascii="Arial" w:hAnsi="Arial" w:cs="Arial"/>
          <w:sz w:val="20"/>
          <w:szCs w:val="20"/>
          <w:lang w:val="en-GB"/>
        </w:rPr>
        <w:t xml:space="preserve">. Oxford University Press, Oxford, 1982. Hereafter </w:t>
      </w:r>
      <w:r w:rsidRPr="00DB381F">
        <w:rPr>
          <w:rFonts w:ascii="Arial" w:hAnsi="Arial" w:cs="Arial"/>
          <w:i/>
          <w:sz w:val="20"/>
          <w:szCs w:val="20"/>
          <w:lang w:val="en-GB"/>
        </w:rPr>
        <w:t>Collins Marxism.</w:t>
      </w:r>
      <w:r>
        <w:rPr>
          <w:rFonts w:ascii="Arial" w:hAnsi="Arial" w:cs="Arial"/>
          <w:i/>
          <w:sz w:val="20"/>
          <w:szCs w:val="20"/>
          <w:lang w:val="en-GB"/>
        </w:rPr>
        <w:t xml:space="preserve"> </w:t>
      </w:r>
      <w:r>
        <w:rPr>
          <w:rFonts w:ascii="Arial" w:hAnsi="Arial" w:cs="Arial"/>
          <w:sz w:val="20"/>
          <w:szCs w:val="20"/>
          <w:lang w:val="en-GB"/>
        </w:rPr>
        <w:t xml:space="preserve">See also: Chambliss, WJ. </w:t>
      </w:r>
      <w:r w:rsidRPr="00CB6B23">
        <w:rPr>
          <w:rFonts w:ascii="Arial" w:hAnsi="Arial" w:cs="Arial"/>
          <w:i/>
          <w:sz w:val="20"/>
          <w:szCs w:val="20"/>
          <w:lang w:val="en-GB"/>
        </w:rPr>
        <w:t>Law, Order, and Power</w:t>
      </w:r>
      <w:r>
        <w:rPr>
          <w:rFonts w:ascii="Arial" w:hAnsi="Arial" w:cs="Arial"/>
          <w:sz w:val="20"/>
          <w:szCs w:val="20"/>
          <w:lang w:val="en-GB"/>
        </w:rPr>
        <w:t>. 2</w:t>
      </w:r>
      <w:r w:rsidRPr="00CB6B23">
        <w:rPr>
          <w:rFonts w:ascii="Arial" w:hAnsi="Arial" w:cs="Arial"/>
          <w:sz w:val="20"/>
          <w:szCs w:val="20"/>
          <w:vertAlign w:val="superscript"/>
          <w:lang w:val="en-GB"/>
        </w:rPr>
        <w:t>nd</w:t>
      </w:r>
      <w:r>
        <w:rPr>
          <w:rFonts w:ascii="Arial" w:hAnsi="Arial" w:cs="Arial"/>
          <w:sz w:val="20"/>
          <w:szCs w:val="20"/>
          <w:lang w:val="en-GB"/>
        </w:rPr>
        <w:t xml:space="preserve"> Ed. Reading, MA, Addison-Wesley, 1982. For an interesting discussion of Marxism in the insolvency context see: Nsubuga, HJ. </w:t>
      </w:r>
      <w:r w:rsidRPr="00617FD8">
        <w:rPr>
          <w:rFonts w:ascii="Arial" w:hAnsi="Arial" w:cs="Arial"/>
          <w:i/>
          <w:sz w:val="20"/>
          <w:szCs w:val="20"/>
          <w:lang w:val="en-GB"/>
        </w:rPr>
        <w:t xml:space="preserve">Corporate Insolvency and Employment Protection: A Theoretical Perspective </w:t>
      </w:r>
      <w:r w:rsidRPr="00617FD8">
        <w:rPr>
          <w:rFonts w:ascii="Arial" w:hAnsi="Arial" w:cs="Arial"/>
          <w:sz w:val="20"/>
          <w:szCs w:val="20"/>
          <w:lang w:val="en-GB"/>
        </w:rPr>
        <w:t xml:space="preserve">(2016) 4(1) </w:t>
      </w:r>
      <w:proofErr w:type="spellStart"/>
      <w:r w:rsidRPr="00617FD8">
        <w:rPr>
          <w:rFonts w:ascii="Arial" w:hAnsi="Arial" w:cs="Arial"/>
          <w:sz w:val="20"/>
          <w:szCs w:val="20"/>
          <w:lang w:val="en-GB"/>
        </w:rPr>
        <w:t>NIBLeJ</w:t>
      </w:r>
      <w:proofErr w:type="spellEnd"/>
      <w:r w:rsidRPr="00617FD8">
        <w:rPr>
          <w:rFonts w:ascii="Arial" w:hAnsi="Arial" w:cs="Arial"/>
          <w:sz w:val="20"/>
          <w:szCs w:val="20"/>
          <w:lang w:val="en-GB"/>
        </w:rPr>
        <w:t xml:space="preserve"> 4</w:t>
      </w:r>
      <w:r>
        <w:rPr>
          <w:rFonts w:ascii="Arial" w:hAnsi="Arial" w:cs="Arial"/>
          <w:sz w:val="20"/>
          <w:szCs w:val="20"/>
          <w:lang w:val="en-GB"/>
        </w:rPr>
        <w:t>.</w:t>
      </w:r>
    </w:p>
  </w:footnote>
  <w:footnote w:id="3">
    <w:p w14:paraId="47D4234E" w14:textId="77777777" w:rsidR="00375B01" w:rsidRPr="002E6773" w:rsidRDefault="00375B01" w:rsidP="002E6773">
      <w:pPr>
        <w:pStyle w:val="FootnoteText"/>
        <w:jc w:val="both"/>
        <w:rPr>
          <w:rFonts w:ascii="Arial" w:hAnsi="Arial" w:cs="Arial"/>
          <w:sz w:val="20"/>
          <w:szCs w:val="20"/>
          <w:lang w:val="en-GB"/>
        </w:rPr>
      </w:pPr>
      <w:r w:rsidRPr="002E6773">
        <w:rPr>
          <w:rStyle w:val="FootnoteReference"/>
          <w:rFonts w:ascii="Arial" w:hAnsi="Arial" w:cs="Arial"/>
          <w:sz w:val="20"/>
          <w:szCs w:val="20"/>
        </w:rPr>
        <w:footnoteRef/>
      </w:r>
      <w:r w:rsidRPr="002E6773">
        <w:rPr>
          <w:rFonts w:ascii="Arial" w:hAnsi="Arial" w:cs="Arial"/>
          <w:sz w:val="20"/>
          <w:szCs w:val="20"/>
        </w:rPr>
        <w:t xml:space="preserve"> </w:t>
      </w:r>
      <w:r w:rsidRPr="002E6773">
        <w:rPr>
          <w:rFonts w:ascii="Arial" w:hAnsi="Arial" w:cs="Arial"/>
          <w:sz w:val="20"/>
          <w:szCs w:val="20"/>
          <w:lang w:val="en-GB"/>
        </w:rPr>
        <w:t xml:space="preserve">On these interest groups see: Russell, M &amp; </w:t>
      </w:r>
      <w:proofErr w:type="spellStart"/>
      <w:r w:rsidRPr="002E6773">
        <w:rPr>
          <w:rFonts w:ascii="Arial" w:hAnsi="Arial" w:cs="Arial"/>
          <w:sz w:val="20"/>
          <w:szCs w:val="20"/>
          <w:lang w:val="en-GB"/>
        </w:rPr>
        <w:t>Gover</w:t>
      </w:r>
      <w:proofErr w:type="spellEnd"/>
      <w:r w:rsidRPr="002E6773">
        <w:rPr>
          <w:rFonts w:ascii="Arial" w:hAnsi="Arial" w:cs="Arial"/>
          <w:sz w:val="20"/>
          <w:szCs w:val="20"/>
          <w:lang w:val="en-GB"/>
        </w:rPr>
        <w:t xml:space="preserve">, D &amp; </w:t>
      </w:r>
      <w:proofErr w:type="spellStart"/>
      <w:r w:rsidRPr="002E6773">
        <w:rPr>
          <w:rFonts w:ascii="Arial" w:hAnsi="Arial" w:cs="Arial"/>
          <w:sz w:val="20"/>
          <w:szCs w:val="20"/>
          <w:lang w:val="en-GB"/>
        </w:rPr>
        <w:t>Wollter</w:t>
      </w:r>
      <w:proofErr w:type="spellEnd"/>
      <w:r w:rsidRPr="002E6773">
        <w:rPr>
          <w:rFonts w:ascii="Arial" w:hAnsi="Arial" w:cs="Arial"/>
          <w:sz w:val="20"/>
          <w:szCs w:val="20"/>
          <w:lang w:val="en-GB"/>
        </w:rPr>
        <w:t xml:space="preserve">, K &amp; Benton, M. </w:t>
      </w:r>
      <w:r w:rsidRPr="002E6773">
        <w:rPr>
          <w:rFonts w:ascii="Arial" w:hAnsi="Arial" w:cs="Arial"/>
          <w:i/>
          <w:sz w:val="20"/>
          <w:szCs w:val="20"/>
          <w:lang w:val="en-GB"/>
        </w:rPr>
        <w:t xml:space="preserve">Actors, Motivations and Outcomes in the Legislative Process: Policy Influence at Westminster </w:t>
      </w:r>
      <w:r w:rsidRPr="002E6773">
        <w:rPr>
          <w:rFonts w:ascii="Arial" w:hAnsi="Arial" w:cs="Arial"/>
          <w:sz w:val="20"/>
          <w:szCs w:val="20"/>
          <w:lang w:val="en-GB"/>
        </w:rPr>
        <w:t xml:space="preserve">(2017) Government and Opposition, vol.52, no.1, pp.1-27. Hereafter </w:t>
      </w:r>
      <w:r w:rsidRPr="002E6773">
        <w:rPr>
          <w:rFonts w:ascii="Arial" w:hAnsi="Arial" w:cs="Arial"/>
          <w:i/>
          <w:sz w:val="20"/>
          <w:szCs w:val="20"/>
          <w:lang w:val="en-GB"/>
        </w:rPr>
        <w:t>Russell Influence.</w:t>
      </w:r>
      <w:r w:rsidRPr="002E6773">
        <w:rPr>
          <w:rFonts w:ascii="Arial" w:hAnsi="Arial" w:cs="Arial"/>
          <w:sz w:val="20"/>
          <w:szCs w:val="20"/>
          <w:lang w:val="en-GB"/>
        </w:rPr>
        <w:t xml:space="preserve"> </w:t>
      </w:r>
    </w:p>
  </w:footnote>
  <w:footnote w:id="4">
    <w:p w14:paraId="305B3FD4" w14:textId="77777777" w:rsidR="00375B01" w:rsidRPr="00117584" w:rsidRDefault="00375B01" w:rsidP="002E6773">
      <w:pPr>
        <w:pStyle w:val="FootnoteText"/>
        <w:jc w:val="both"/>
        <w:rPr>
          <w:lang w:val="en-GB"/>
        </w:rPr>
      </w:pPr>
      <w:r w:rsidRPr="002E6773">
        <w:rPr>
          <w:rStyle w:val="FootnoteReference"/>
          <w:rFonts w:ascii="Arial" w:hAnsi="Arial" w:cs="Arial"/>
          <w:sz w:val="20"/>
          <w:szCs w:val="20"/>
        </w:rPr>
        <w:footnoteRef/>
      </w:r>
      <w:r w:rsidRPr="002E6773">
        <w:rPr>
          <w:rFonts w:ascii="Arial" w:hAnsi="Arial" w:cs="Arial"/>
          <w:sz w:val="20"/>
          <w:szCs w:val="20"/>
        </w:rPr>
        <w:t xml:space="preserve"> </w:t>
      </w:r>
      <w:r w:rsidRPr="002E6773">
        <w:rPr>
          <w:rFonts w:ascii="Arial" w:hAnsi="Arial" w:cs="Arial"/>
          <w:sz w:val="20"/>
          <w:szCs w:val="20"/>
          <w:lang w:val="en-GB"/>
        </w:rPr>
        <w:t xml:space="preserve">For an interesting empirical study of the passage of legislation see: Russell, M &amp; Goer, D &amp; </w:t>
      </w:r>
      <w:proofErr w:type="spellStart"/>
      <w:r w:rsidRPr="002E6773">
        <w:rPr>
          <w:rFonts w:ascii="Arial" w:hAnsi="Arial" w:cs="Arial"/>
          <w:sz w:val="20"/>
          <w:szCs w:val="20"/>
          <w:lang w:val="en-GB"/>
        </w:rPr>
        <w:t>Wollter</w:t>
      </w:r>
      <w:proofErr w:type="spellEnd"/>
      <w:r w:rsidRPr="002E6773">
        <w:rPr>
          <w:rFonts w:ascii="Arial" w:hAnsi="Arial" w:cs="Arial"/>
          <w:sz w:val="20"/>
          <w:szCs w:val="20"/>
          <w:lang w:val="en-GB"/>
        </w:rPr>
        <w:t xml:space="preserve">, K. </w:t>
      </w:r>
      <w:r w:rsidRPr="002E6773">
        <w:rPr>
          <w:rFonts w:ascii="Arial" w:hAnsi="Arial" w:cs="Arial"/>
          <w:i/>
          <w:sz w:val="20"/>
          <w:szCs w:val="20"/>
          <w:lang w:val="en-GB"/>
        </w:rPr>
        <w:t>Does the Executive Dominate the Westminster Legislati</w:t>
      </w:r>
      <w:r>
        <w:rPr>
          <w:rFonts w:ascii="Arial" w:hAnsi="Arial" w:cs="Arial"/>
          <w:i/>
          <w:sz w:val="20"/>
          <w:szCs w:val="20"/>
          <w:lang w:val="en-GB"/>
        </w:rPr>
        <w:t>ve Process?: Six Reasons for Do</w:t>
      </w:r>
      <w:r w:rsidRPr="002E6773">
        <w:rPr>
          <w:rFonts w:ascii="Arial" w:hAnsi="Arial" w:cs="Arial"/>
          <w:i/>
          <w:sz w:val="20"/>
          <w:szCs w:val="20"/>
          <w:lang w:val="en-GB"/>
        </w:rPr>
        <w:t>ubt</w:t>
      </w:r>
      <w:r w:rsidRPr="002E6773">
        <w:rPr>
          <w:rFonts w:ascii="Arial" w:hAnsi="Arial" w:cs="Arial"/>
          <w:sz w:val="20"/>
          <w:szCs w:val="20"/>
          <w:lang w:val="en-GB"/>
        </w:rPr>
        <w:t xml:space="preserve"> (2016) 69, Parliamentary Affairs, pp.286-308. Hereafter </w:t>
      </w:r>
      <w:r w:rsidRPr="002E6773">
        <w:rPr>
          <w:rFonts w:ascii="Arial" w:hAnsi="Arial" w:cs="Arial"/>
          <w:i/>
          <w:sz w:val="20"/>
          <w:szCs w:val="20"/>
          <w:lang w:val="en-GB"/>
        </w:rPr>
        <w:t>Russell Process.</w:t>
      </w:r>
      <w:r>
        <w:rPr>
          <w:rFonts w:ascii="Arial" w:hAnsi="Arial" w:cs="Arial"/>
          <w:i/>
          <w:sz w:val="20"/>
          <w:szCs w:val="20"/>
          <w:lang w:val="en-GB"/>
        </w:rPr>
        <w:t xml:space="preserve"> </w:t>
      </w:r>
      <w:r>
        <w:rPr>
          <w:rFonts w:ascii="Arial" w:hAnsi="Arial" w:cs="Arial"/>
          <w:sz w:val="20"/>
          <w:szCs w:val="20"/>
          <w:lang w:val="en-GB"/>
        </w:rPr>
        <w:t xml:space="preserve">See also the much early study of the British legislative process: Griffith, JAG. </w:t>
      </w:r>
      <w:r w:rsidRPr="00117584">
        <w:rPr>
          <w:rFonts w:ascii="Arial" w:hAnsi="Arial" w:cs="Arial"/>
          <w:i/>
          <w:sz w:val="20"/>
          <w:szCs w:val="20"/>
          <w:lang w:val="en-GB"/>
        </w:rPr>
        <w:t>Parliamentary Scrutiny of Government Bills</w:t>
      </w:r>
      <w:r>
        <w:rPr>
          <w:rFonts w:ascii="Arial" w:hAnsi="Arial" w:cs="Arial"/>
          <w:sz w:val="20"/>
          <w:szCs w:val="20"/>
          <w:lang w:val="en-GB"/>
        </w:rPr>
        <w:t>.  Allen and Unwin, London, 1974.</w:t>
      </w:r>
    </w:p>
  </w:footnote>
  <w:footnote w:id="5">
    <w:p w14:paraId="37AC6F59" w14:textId="77777777" w:rsidR="00375B01" w:rsidRPr="00280E7D" w:rsidRDefault="00375B01" w:rsidP="00280E7D">
      <w:pPr>
        <w:pStyle w:val="FootnoteText"/>
        <w:jc w:val="both"/>
        <w:rPr>
          <w:rFonts w:ascii="Arial" w:hAnsi="Arial" w:cs="Arial"/>
          <w:sz w:val="20"/>
          <w:szCs w:val="20"/>
          <w:lang w:val="en-GB"/>
        </w:rPr>
      </w:pPr>
      <w:r w:rsidRPr="00C302AC">
        <w:rPr>
          <w:rStyle w:val="FootnoteReference"/>
          <w:rFonts w:ascii="Arial" w:hAnsi="Arial" w:cs="Arial"/>
          <w:sz w:val="20"/>
          <w:szCs w:val="20"/>
        </w:rPr>
        <w:footnoteRef/>
      </w:r>
      <w:r w:rsidRPr="00C302AC">
        <w:rPr>
          <w:rFonts w:ascii="Arial" w:hAnsi="Arial" w:cs="Arial"/>
          <w:sz w:val="20"/>
          <w:szCs w:val="20"/>
        </w:rPr>
        <w:t xml:space="preserve"> </w:t>
      </w:r>
      <w:r w:rsidRPr="00C302AC">
        <w:rPr>
          <w:rFonts w:ascii="Arial" w:hAnsi="Arial" w:cs="Arial"/>
          <w:sz w:val="20"/>
          <w:szCs w:val="20"/>
          <w:lang w:val="en-GB"/>
        </w:rPr>
        <w:t xml:space="preserve">See early decisions favourable to security interests in </w:t>
      </w:r>
      <w:r w:rsidRPr="00C302AC">
        <w:rPr>
          <w:rFonts w:ascii="Arial" w:hAnsi="Arial" w:cs="Arial"/>
          <w:i/>
          <w:sz w:val="20"/>
          <w:szCs w:val="20"/>
          <w:lang w:val="en-GB"/>
        </w:rPr>
        <w:t>Holroyd v. Marshall</w:t>
      </w:r>
      <w:r w:rsidRPr="00C302AC">
        <w:rPr>
          <w:rFonts w:ascii="Arial" w:hAnsi="Arial" w:cs="Arial"/>
          <w:sz w:val="20"/>
          <w:szCs w:val="20"/>
          <w:lang w:val="en-GB"/>
        </w:rPr>
        <w:t xml:space="preserve"> (1862) HL Cas 191; </w:t>
      </w:r>
      <w:r w:rsidRPr="00C302AC">
        <w:rPr>
          <w:rFonts w:ascii="Arial" w:hAnsi="Arial" w:cs="Arial"/>
          <w:i/>
          <w:sz w:val="20"/>
          <w:szCs w:val="20"/>
          <w:lang w:val="en-GB"/>
        </w:rPr>
        <w:t>Re Panama, New Zealand, and Australian Royal Mail Company</w:t>
      </w:r>
      <w:r w:rsidRPr="00C302AC">
        <w:rPr>
          <w:rFonts w:ascii="Arial" w:hAnsi="Arial" w:cs="Arial"/>
          <w:sz w:val="20"/>
          <w:szCs w:val="20"/>
          <w:lang w:val="en-GB"/>
        </w:rPr>
        <w:t xml:space="preserve"> (1870) Ch App 318; and, </w:t>
      </w:r>
      <w:r w:rsidRPr="00C302AC">
        <w:rPr>
          <w:rFonts w:ascii="Arial" w:hAnsi="Arial" w:cs="Arial"/>
          <w:i/>
          <w:sz w:val="20"/>
          <w:szCs w:val="20"/>
          <w:lang w:val="en-GB"/>
        </w:rPr>
        <w:t xml:space="preserve">Salomon v. </w:t>
      </w:r>
      <w:r w:rsidRPr="00280E7D">
        <w:rPr>
          <w:rFonts w:ascii="Arial" w:hAnsi="Arial" w:cs="Arial"/>
          <w:i/>
          <w:sz w:val="20"/>
          <w:szCs w:val="20"/>
          <w:lang w:val="en-GB"/>
        </w:rPr>
        <w:t>Salomon</w:t>
      </w:r>
      <w:r w:rsidRPr="00280E7D">
        <w:rPr>
          <w:rFonts w:ascii="Arial" w:hAnsi="Arial" w:cs="Arial"/>
          <w:sz w:val="20"/>
          <w:szCs w:val="20"/>
          <w:lang w:val="en-GB"/>
        </w:rPr>
        <w:t xml:space="preserve"> [1987] AC 22.</w:t>
      </w:r>
    </w:p>
  </w:footnote>
  <w:footnote w:id="6">
    <w:p w14:paraId="6D38802C" w14:textId="77777777" w:rsidR="00375B01" w:rsidRPr="00280E7D" w:rsidRDefault="00375B01" w:rsidP="00280E7D">
      <w:pPr>
        <w:pStyle w:val="FootnoteText"/>
        <w:jc w:val="both"/>
        <w:rPr>
          <w:rFonts w:ascii="Arial" w:hAnsi="Arial" w:cs="Arial"/>
          <w:sz w:val="20"/>
          <w:szCs w:val="20"/>
          <w:lang w:val="en-GB"/>
        </w:rPr>
      </w:pPr>
      <w:r w:rsidRPr="00280E7D">
        <w:rPr>
          <w:rStyle w:val="FootnoteReference"/>
          <w:rFonts w:ascii="Arial" w:hAnsi="Arial" w:cs="Arial"/>
          <w:sz w:val="20"/>
          <w:szCs w:val="20"/>
        </w:rPr>
        <w:footnoteRef/>
      </w:r>
      <w:r w:rsidRPr="00280E7D">
        <w:rPr>
          <w:rFonts w:ascii="Arial" w:hAnsi="Arial" w:cs="Arial"/>
          <w:sz w:val="20"/>
          <w:szCs w:val="20"/>
        </w:rPr>
        <w:t xml:space="preserve"> </w:t>
      </w:r>
      <w:r w:rsidRPr="00280E7D">
        <w:rPr>
          <w:rFonts w:ascii="Arial" w:hAnsi="Arial" w:cs="Arial"/>
          <w:i/>
          <w:sz w:val="20"/>
          <w:szCs w:val="20"/>
        </w:rPr>
        <w:t>Re Spectrum Plus Ltd</w:t>
      </w:r>
      <w:r w:rsidRPr="00280E7D">
        <w:rPr>
          <w:rFonts w:ascii="Arial" w:hAnsi="Arial" w:cs="Arial"/>
          <w:sz w:val="20"/>
          <w:szCs w:val="20"/>
        </w:rPr>
        <w:t xml:space="preserve"> [2005] UKHL 41.</w:t>
      </w:r>
    </w:p>
  </w:footnote>
  <w:footnote w:id="7">
    <w:p w14:paraId="2B9A05D5" w14:textId="77777777" w:rsidR="00375B01" w:rsidRPr="00F676AF" w:rsidRDefault="00375B01" w:rsidP="00F676AF">
      <w:pPr>
        <w:pStyle w:val="FootnoteText"/>
        <w:jc w:val="both"/>
        <w:rPr>
          <w:rFonts w:ascii="Arial" w:hAnsi="Arial" w:cs="Arial"/>
          <w:sz w:val="20"/>
          <w:szCs w:val="20"/>
          <w:lang w:val="en-GB"/>
        </w:rPr>
      </w:pPr>
      <w:r w:rsidRPr="00280E7D">
        <w:rPr>
          <w:rStyle w:val="FootnoteReference"/>
          <w:rFonts w:ascii="Arial" w:hAnsi="Arial" w:cs="Arial"/>
          <w:sz w:val="20"/>
          <w:szCs w:val="20"/>
        </w:rPr>
        <w:footnoteRef/>
      </w:r>
      <w:r w:rsidRPr="00280E7D">
        <w:rPr>
          <w:rFonts w:ascii="Arial" w:hAnsi="Arial" w:cs="Arial"/>
          <w:sz w:val="20"/>
          <w:szCs w:val="20"/>
        </w:rPr>
        <w:t xml:space="preserve"> </w:t>
      </w:r>
      <w:r w:rsidRPr="00280E7D">
        <w:rPr>
          <w:rFonts w:ascii="Arial" w:hAnsi="Arial" w:cs="Arial"/>
          <w:sz w:val="20"/>
          <w:szCs w:val="20"/>
          <w:lang w:val="en-GB"/>
        </w:rPr>
        <w:t>That said the environmental</w:t>
      </w:r>
      <w:r w:rsidRPr="00C302AC">
        <w:rPr>
          <w:rFonts w:ascii="Arial" w:hAnsi="Arial" w:cs="Arial"/>
          <w:sz w:val="20"/>
          <w:szCs w:val="20"/>
          <w:lang w:val="en-GB"/>
        </w:rPr>
        <w:t xml:space="preserve"> lobby was noteworthy by its lack of lobbying when the question of environmental waste licences came to be litigated with the tension between the protection mechanisms in the Environmental Protection Act 1990 and the Insolvency Act 1986 provisions on disclaimer. See further: Insolvency Act 1986, section 178 (company), s.315 (Trustee in Bankruptcy). See also: </w:t>
      </w:r>
      <w:r w:rsidRPr="00C302AC">
        <w:rPr>
          <w:rFonts w:ascii="Arial" w:hAnsi="Arial" w:cs="Arial"/>
          <w:i/>
          <w:sz w:val="20"/>
          <w:szCs w:val="20"/>
          <w:lang w:val="en-GB"/>
        </w:rPr>
        <w:t>Re Potters Oil</w:t>
      </w:r>
      <w:r w:rsidRPr="00C302AC">
        <w:rPr>
          <w:rFonts w:ascii="Arial" w:hAnsi="Arial" w:cs="Arial"/>
          <w:sz w:val="20"/>
          <w:szCs w:val="20"/>
          <w:lang w:val="en-GB"/>
        </w:rPr>
        <w:t xml:space="preserve"> [1985] BCLC 203; </w:t>
      </w:r>
      <w:proofErr w:type="spellStart"/>
      <w:r w:rsidRPr="00C302AC">
        <w:rPr>
          <w:rFonts w:ascii="Arial" w:hAnsi="Arial" w:cs="Arial"/>
          <w:i/>
          <w:sz w:val="20"/>
          <w:szCs w:val="20"/>
          <w:lang w:val="en-GB"/>
        </w:rPr>
        <w:t>Hindcastle</w:t>
      </w:r>
      <w:proofErr w:type="spellEnd"/>
      <w:r w:rsidRPr="00C302AC">
        <w:rPr>
          <w:rFonts w:ascii="Arial" w:hAnsi="Arial" w:cs="Arial"/>
          <w:i/>
          <w:sz w:val="20"/>
          <w:szCs w:val="20"/>
          <w:lang w:val="en-GB"/>
        </w:rPr>
        <w:t xml:space="preserve"> Ltd v. Barbara Attenborough Associates Ltd </w:t>
      </w:r>
      <w:r w:rsidRPr="00C302AC">
        <w:rPr>
          <w:rFonts w:ascii="Arial" w:hAnsi="Arial" w:cs="Arial"/>
          <w:sz w:val="20"/>
          <w:szCs w:val="20"/>
          <w:lang w:val="en-GB"/>
        </w:rPr>
        <w:t xml:space="preserve">[1996] BCC 636; </w:t>
      </w:r>
      <w:r w:rsidRPr="00C66B37">
        <w:rPr>
          <w:rFonts w:ascii="Arial" w:hAnsi="Arial" w:cs="Arial"/>
          <w:i/>
          <w:sz w:val="20"/>
          <w:szCs w:val="20"/>
          <w:lang w:val="en-GB"/>
        </w:rPr>
        <w:t>Re Park Air Services plc</w:t>
      </w:r>
      <w:r w:rsidRPr="00C302AC">
        <w:rPr>
          <w:rFonts w:ascii="Arial" w:hAnsi="Arial" w:cs="Arial"/>
          <w:sz w:val="20"/>
          <w:szCs w:val="20"/>
          <w:lang w:val="en-GB"/>
        </w:rPr>
        <w:t xml:space="preserve"> [1999] 2 WLR 396; </w:t>
      </w:r>
      <w:r w:rsidRPr="00C302AC">
        <w:rPr>
          <w:rFonts w:ascii="Arial" w:hAnsi="Arial" w:cs="Arial"/>
          <w:i/>
          <w:sz w:val="20"/>
          <w:szCs w:val="20"/>
          <w:lang w:val="en-GB"/>
        </w:rPr>
        <w:t xml:space="preserve">Re Mineral Resources Ltd </w:t>
      </w:r>
      <w:r w:rsidRPr="00C302AC">
        <w:rPr>
          <w:rFonts w:ascii="Arial" w:hAnsi="Arial" w:cs="Arial"/>
          <w:sz w:val="20"/>
          <w:szCs w:val="20"/>
          <w:lang w:val="en-GB"/>
        </w:rPr>
        <w:t xml:space="preserve">[1999] 2 BCLC 516; </w:t>
      </w:r>
      <w:r w:rsidRPr="00C302AC">
        <w:rPr>
          <w:rFonts w:ascii="Arial" w:hAnsi="Arial" w:cs="Arial"/>
          <w:i/>
          <w:sz w:val="20"/>
          <w:szCs w:val="20"/>
          <w:lang w:val="en-GB"/>
        </w:rPr>
        <w:t xml:space="preserve">Re Celtic </w:t>
      </w:r>
      <w:r w:rsidRPr="00F676AF">
        <w:rPr>
          <w:rFonts w:ascii="Arial" w:hAnsi="Arial" w:cs="Arial"/>
          <w:i/>
          <w:sz w:val="20"/>
          <w:szCs w:val="20"/>
          <w:lang w:val="en-GB"/>
        </w:rPr>
        <w:t>Extraction Ltd; Blue Stone Chemicals Ltd</w:t>
      </w:r>
      <w:r w:rsidRPr="00F676AF">
        <w:rPr>
          <w:rFonts w:ascii="Arial" w:hAnsi="Arial" w:cs="Arial"/>
          <w:sz w:val="20"/>
          <w:szCs w:val="20"/>
          <w:lang w:val="en-GB"/>
        </w:rPr>
        <w:t xml:space="preserve"> [1999] 2 BCLC 555, </w:t>
      </w:r>
      <w:proofErr w:type="spellStart"/>
      <w:r w:rsidRPr="00F676AF">
        <w:rPr>
          <w:rFonts w:ascii="Arial" w:hAnsi="Arial" w:cs="Arial"/>
          <w:sz w:val="20"/>
          <w:szCs w:val="20"/>
          <w:lang w:val="en-GB"/>
        </w:rPr>
        <w:t>CofA</w:t>
      </w:r>
      <w:proofErr w:type="spellEnd"/>
      <w:r w:rsidRPr="00F676AF">
        <w:rPr>
          <w:rFonts w:ascii="Arial" w:hAnsi="Arial" w:cs="Arial"/>
          <w:sz w:val="20"/>
          <w:szCs w:val="20"/>
          <w:lang w:val="en-GB"/>
        </w:rPr>
        <w:t xml:space="preserve">; </w:t>
      </w:r>
      <w:r w:rsidRPr="00F676AF">
        <w:rPr>
          <w:rFonts w:ascii="Arial" w:hAnsi="Arial" w:cs="Arial"/>
          <w:i/>
          <w:sz w:val="20"/>
          <w:szCs w:val="20"/>
          <w:lang w:val="en-GB"/>
        </w:rPr>
        <w:t xml:space="preserve">Capital Prim Properties plc v. </w:t>
      </w:r>
      <w:proofErr w:type="spellStart"/>
      <w:r w:rsidRPr="00F676AF">
        <w:rPr>
          <w:rFonts w:ascii="Arial" w:hAnsi="Arial" w:cs="Arial"/>
          <w:i/>
          <w:sz w:val="20"/>
          <w:szCs w:val="20"/>
          <w:lang w:val="en-GB"/>
        </w:rPr>
        <w:t>Worthgate</w:t>
      </w:r>
      <w:proofErr w:type="spellEnd"/>
      <w:r w:rsidRPr="00F676AF">
        <w:rPr>
          <w:rFonts w:ascii="Arial" w:hAnsi="Arial" w:cs="Arial"/>
          <w:i/>
          <w:sz w:val="20"/>
          <w:szCs w:val="20"/>
          <w:lang w:val="en-GB"/>
        </w:rPr>
        <w:t xml:space="preserve"> Ltd</w:t>
      </w:r>
      <w:r w:rsidRPr="00F676AF">
        <w:rPr>
          <w:rFonts w:ascii="Arial" w:hAnsi="Arial" w:cs="Arial"/>
          <w:sz w:val="20"/>
          <w:szCs w:val="20"/>
          <w:lang w:val="en-GB"/>
        </w:rPr>
        <w:t xml:space="preserve"> [2000] BCC 525.</w:t>
      </w:r>
    </w:p>
  </w:footnote>
  <w:footnote w:id="8">
    <w:p w14:paraId="4EDE7AF2" w14:textId="77777777" w:rsidR="00375B01" w:rsidRPr="00F676AF" w:rsidRDefault="00375B01" w:rsidP="00F676AF">
      <w:pPr>
        <w:pStyle w:val="FootnoteText"/>
        <w:jc w:val="both"/>
        <w:rPr>
          <w:rFonts w:ascii="Arial" w:hAnsi="Arial" w:cs="Arial"/>
          <w:sz w:val="20"/>
          <w:szCs w:val="20"/>
          <w:lang w:val="en-GB"/>
        </w:rPr>
      </w:pPr>
      <w:r w:rsidRPr="00F676AF">
        <w:rPr>
          <w:rStyle w:val="FootnoteReference"/>
          <w:rFonts w:ascii="Arial" w:hAnsi="Arial" w:cs="Arial"/>
          <w:sz w:val="20"/>
          <w:szCs w:val="20"/>
        </w:rPr>
        <w:footnoteRef/>
      </w:r>
      <w:r w:rsidRPr="00F676AF">
        <w:rPr>
          <w:rFonts w:ascii="Arial" w:hAnsi="Arial" w:cs="Arial"/>
          <w:sz w:val="20"/>
          <w:szCs w:val="20"/>
        </w:rPr>
        <w:t xml:space="preserve"> </w:t>
      </w:r>
      <w:r w:rsidRPr="00F676AF">
        <w:rPr>
          <w:rFonts w:ascii="Arial" w:hAnsi="Arial" w:cs="Arial"/>
          <w:i/>
          <w:sz w:val="20"/>
          <w:szCs w:val="20"/>
        </w:rPr>
        <w:t xml:space="preserve">Russell </w:t>
      </w:r>
      <w:r w:rsidRPr="00F676AF">
        <w:rPr>
          <w:rFonts w:ascii="Arial" w:hAnsi="Arial" w:cs="Arial"/>
          <w:i/>
          <w:sz w:val="20"/>
          <w:szCs w:val="20"/>
          <w:lang w:val="en-GB"/>
        </w:rPr>
        <w:t>Process</w:t>
      </w:r>
      <w:r w:rsidRPr="00F676AF">
        <w:rPr>
          <w:rFonts w:ascii="Arial" w:hAnsi="Arial" w:cs="Arial"/>
          <w:sz w:val="20"/>
          <w:szCs w:val="20"/>
          <w:lang w:val="en-GB"/>
        </w:rPr>
        <w:t>, p.294.</w:t>
      </w:r>
    </w:p>
  </w:footnote>
  <w:footnote w:id="9">
    <w:p w14:paraId="481F6317" w14:textId="77777777" w:rsidR="00375B01" w:rsidRPr="00131901" w:rsidRDefault="00375B01" w:rsidP="00F676AF">
      <w:pPr>
        <w:pStyle w:val="FootnoteText"/>
        <w:jc w:val="both"/>
        <w:rPr>
          <w:rFonts w:ascii="Arial" w:hAnsi="Arial" w:cs="Arial"/>
          <w:sz w:val="20"/>
          <w:szCs w:val="20"/>
          <w:lang w:val="en-GB"/>
        </w:rPr>
      </w:pPr>
      <w:r w:rsidRPr="00F676AF">
        <w:rPr>
          <w:rStyle w:val="FootnoteReference"/>
          <w:rFonts w:ascii="Arial" w:hAnsi="Arial" w:cs="Arial"/>
          <w:sz w:val="20"/>
          <w:szCs w:val="20"/>
        </w:rPr>
        <w:footnoteRef/>
      </w:r>
      <w:r w:rsidRPr="00F676AF">
        <w:rPr>
          <w:rFonts w:ascii="Arial" w:hAnsi="Arial" w:cs="Arial"/>
          <w:sz w:val="20"/>
          <w:szCs w:val="20"/>
        </w:rPr>
        <w:t xml:space="preserve"> </w:t>
      </w:r>
      <w:r w:rsidRPr="00F676AF">
        <w:rPr>
          <w:rFonts w:ascii="Arial" w:hAnsi="Arial" w:cs="Arial"/>
          <w:i/>
          <w:sz w:val="20"/>
          <w:szCs w:val="20"/>
        </w:rPr>
        <w:t xml:space="preserve">per </w:t>
      </w:r>
      <w:r w:rsidRPr="00F676AF">
        <w:rPr>
          <w:rFonts w:ascii="Arial" w:hAnsi="Arial" w:cs="Arial"/>
          <w:sz w:val="20"/>
          <w:szCs w:val="20"/>
        </w:rPr>
        <w:t xml:space="preserve">Lord Sharman, </w:t>
      </w:r>
      <w:r w:rsidRPr="00F676AF">
        <w:rPr>
          <w:rFonts w:ascii="Arial" w:hAnsi="Arial" w:cs="Arial"/>
          <w:sz w:val="20"/>
          <w:szCs w:val="20"/>
          <w:lang w:val="en-GB"/>
        </w:rPr>
        <w:t>Hansard</w:t>
      </w:r>
      <w:r w:rsidRPr="00131901">
        <w:rPr>
          <w:rFonts w:ascii="Arial" w:hAnsi="Arial" w:cs="Arial"/>
          <w:sz w:val="20"/>
          <w:szCs w:val="20"/>
          <w:lang w:val="en-GB"/>
        </w:rPr>
        <w:t>, House of Lords, Debates, 04 April 2000, vol.611, cc.1248-73.</w:t>
      </w:r>
    </w:p>
  </w:footnote>
  <w:footnote w:id="10">
    <w:p w14:paraId="772946A3" w14:textId="77777777" w:rsidR="00375B01" w:rsidRPr="00131901" w:rsidRDefault="00375B01" w:rsidP="00131901">
      <w:pPr>
        <w:pStyle w:val="FootnoteText"/>
        <w:jc w:val="both"/>
        <w:rPr>
          <w:rFonts w:ascii="Arial" w:hAnsi="Arial" w:cs="Arial"/>
          <w:sz w:val="20"/>
          <w:szCs w:val="20"/>
          <w:lang w:val="en-GB"/>
        </w:rPr>
      </w:pPr>
      <w:r w:rsidRPr="00131901">
        <w:rPr>
          <w:rStyle w:val="FootnoteReference"/>
          <w:rFonts w:ascii="Arial" w:hAnsi="Arial" w:cs="Arial"/>
          <w:sz w:val="20"/>
          <w:szCs w:val="20"/>
        </w:rPr>
        <w:footnoteRef/>
      </w:r>
      <w:r w:rsidRPr="00131901">
        <w:rPr>
          <w:rFonts w:ascii="Arial" w:hAnsi="Arial" w:cs="Arial"/>
          <w:sz w:val="20"/>
          <w:szCs w:val="20"/>
        </w:rPr>
        <w:t xml:space="preserve"> </w:t>
      </w:r>
      <w:r>
        <w:rPr>
          <w:rFonts w:ascii="Arial" w:hAnsi="Arial" w:cs="Arial"/>
          <w:sz w:val="20"/>
          <w:szCs w:val="20"/>
        </w:rPr>
        <w:t xml:space="preserve">See further: </w:t>
      </w:r>
      <w:proofErr w:type="spellStart"/>
      <w:r w:rsidRPr="00131901">
        <w:rPr>
          <w:rFonts w:ascii="Arial" w:hAnsi="Arial" w:cs="Arial"/>
          <w:sz w:val="20"/>
          <w:szCs w:val="20"/>
          <w:lang w:val="en-GB"/>
        </w:rPr>
        <w:t>Berle</w:t>
      </w:r>
      <w:proofErr w:type="spellEnd"/>
      <w:r w:rsidRPr="00131901">
        <w:rPr>
          <w:rFonts w:ascii="Arial" w:hAnsi="Arial" w:cs="Arial"/>
          <w:sz w:val="20"/>
          <w:szCs w:val="20"/>
          <w:lang w:val="en-GB"/>
        </w:rPr>
        <w:t xml:space="preserve">, A &amp; Means, G. </w:t>
      </w:r>
      <w:r w:rsidRPr="00131901">
        <w:rPr>
          <w:rFonts w:ascii="Arial" w:hAnsi="Arial" w:cs="Arial"/>
          <w:i/>
          <w:sz w:val="20"/>
          <w:szCs w:val="20"/>
          <w:lang w:val="en-GB"/>
        </w:rPr>
        <w:t>The Modern Corporation and Private Property</w:t>
      </w:r>
      <w:r w:rsidRPr="00131901">
        <w:rPr>
          <w:rFonts w:ascii="Arial" w:hAnsi="Arial" w:cs="Arial"/>
          <w:sz w:val="20"/>
          <w:szCs w:val="20"/>
          <w:lang w:val="en-GB"/>
        </w:rPr>
        <w:t xml:space="preserve">. Transaction Press, New York, 1932. </w:t>
      </w:r>
    </w:p>
  </w:footnote>
  <w:footnote w:id="11">
    <w:p w14:paraId="0587E0E4" w14:textId="77777777" w:rsidR="00375B01" w:rsidRPr="00131901" w:rsidRDefault="00375B01" w:rsidP="00131901">
      <w:pPr>
        <w:pStyle w:val="FootnoteText"/>
        <w:jc w:val="both"/>
        <w:rPr>
          <w:rFonts w:ascii="Arial" w:hAnsi="Arial" w:cs="Arial"/>
          <w:sz w:val="20"/>
          <w:szCs w:val="20"/>
          <w:lang w:val="en-GB"/>
        </w:rPr>
      </w:pPr>
      <w:r w:rsidRPr="00131901">
        <w:rPr>
          <w:rStyle w:val="FootnoteReference"/>
          <w:rFonts w:ascii="Arial" w:hAnsi="Arial" w:cs="Arial"/>
          <w:sz w:val="20"/>
          <w:szCs w:val="20"/>
        </w:rPr>
        <w:footnoteRef/>
      </w:r>
      <w:r w:rsidRPr="00131901">
        <w:rPr>
          <w:rFonts w:ascii="Arial" w:hAnsi="Arial" w:cs="Arial"/>
          <w:sz w:val="20"/>
          <w:szCs w:val="20"/>
        </w:rPr>
        <w:t xml:space="preserve"> </w:t>
      </w:r>
      <w:r w:rsidRPr="00131901">
        <w:rPr>
          <w:rFonts w:ascii="Arial" w:hAnsi="Arial" w:cs="Arial"/>
          <w:sz w:val="20"/>
          <w:szCs w:val="20"/>
          <w:lang w:val="en-GB"/>
        </w:rPr>
        <w:t xml:space="preserve">On communitarianism in corporate insolvency see: e.g. Gross, K. </w:t>
      </w:r>
      <w:r w:rsidRPr="00131901">
        <w:rPr>
          <w:rFonts w:ascii="Arial" w:hAnsi="Arial" w:cs="Arial"/>
          <w:i/>
          <w:sz w:val="20"/>
          <w:szCs w:val="20"/>
          <w:lang w:val="en-GB"/>
        </w:rPr>
        <w:t>Taking Community Interests into Account in Bankruptcy: An Essay</w:t>
      </w:r>
      <w:r w:rsidRPr="00131901">
        <w:rPr>
          <w:rFonts w:ascii="Arial" w:hAnsi="Arial" w:cs="Arial"/>
          <w:sz w:val="20"/>
          <w:szCs w:val="20"/>
          <w:lang w:val="en-GB"/>
        </w:rPr>
        <w:t xml:space="preserve"> (1994) 72 Wash U.LQ. 1031. Expanded in her later work, see: Gross, K. </w:t>
      </w:r>
      <w:r w:rsidRPr="00131901">
        <w:rPr>
          <w:rFonts w:ascii="Arial" w:hAnsi="Arial" w:cs="Arial"/>
          <w:i/>
          <w:sz w:val="20"/>
          <w:szCs w:val="20"/>
          <w:lang w:val="en-GB"/>
        </w:rPr>
        <w:t>Failure and Forgiveness: Rebalancing the Bankruptcy System</w:t>
      </w:r>
      <w:r w:rsidRPr="00131901">
        <w:rPr>
          <w:rFonts w:ascii="Arial" w:hAnsi="Arial" w:cs="Arial"/>
          <w:sz w:val="20"/>
          <w:szCs w:val="20"/>
          <w:lang w:val="en-GB"/>
        </w:rPr>
        <w:t xml:space="preserve">. Yale University Press, Yale, 2009. </w:t>
      </w:r>
    </w:p>
  </w:footnote>
  <w:footnote w:id="12">
    <w:p w14:paraId="48CB401A" w14:textId="77777777" w:rsidR="00375B01" w:rsidRPr="00E22297" w:rsidRDefault="00375B01" w:rsidP="00281C2D">
      <w:pPr>
        <w:pStyle w:val="FootnoteText"/>
        <w:jc w:val="both"/>
        <w:rPr>
          <w:rFonts w:ascii="Arial" w:hAnsi="Arial" w:cs="Arial"/>
          <w:color w:val="000000" w:themeColor="text1"/>
          <w:sz w:val="20"/>
          <w:szCs w:val="20"/>
          <w:lang w:val="en-GB"/>
        </w:rPr>
      </w:pPr>
      <w:r w:rsidRPr="00E22297">
        <w:rPr>
          <w:rStyle w:val="FootnoteReference"/>
          <w:rFonts w:ascii="Arial" w:hAnsi="Arial" w:cs="Arial"/>
          <w:color w:val="000000" w:themeColor="text1"/>
          <w:sz w:val="20"/>
          <w:szCs w:val="20"/>
        </w:rPr>
        <w:footnoteRef/>
      </w:r>
      <w:r w:rsidRPr="00E22297">
        <w:rPr>
          <w:rFonts w:ascii="Arial" w:hAnsi="Arial" w:cs="Arial"/>
          <w:color w:val="000000" w:themeColor="text1"/>
          <w:sz w:val="20"/>
          <w:szCs w:val="20"/>
        </w:rPr>
        <w:t xml:space="preserve"> King, A &amp; Crewe, I. </w:t>
      </w:r>
      <w:r w:rsidRPr="00E22297">
        <w:rPr>
          <w:rFonts w:ascii="Arial" w:hAnsi="Arial" w:cs="Arial"/>
          <w:i/>
          <w:color w:val="000000" w:themeColor="text1"/>
          <w:sz w:val="20"/>
          <w:szCs w:val="20"/>
        </w:rPr>
        <w:t>The Blunders of Our Governments.</w:t>
      </w:r>
      <w:r w:rsidRPr="00E22297">
        <w:rPr>
          <w:rFonts w:ascii="Arial" w:hAnsi="Arial" w:cs="Arial"/>
          <w:color w:val="000000" w:themeColor="text1"/>
          <w:sz w:val="20"/>
          <w:szCs w:val="20"/>
        </w:rPr>
        <w:t xml:space="preserve"> </w:t>
      </w:r>
      <w:proofErr w:type="spellStart"/>
      <w:r w:rsidRPr="00E22297">
        <w:rPr>
          <w:rFonts w:ascii="Arial" w:hAnsi="Arial" w:cs="Arial"/>
          <w:color w:val="000000" w:themeColor="text1"/>
          <w:sz w:val="20"/>
          <w:szCs w:val="20"/>
        </w:rPr>
        <w:t>Oneworld</w:t>
      </w:r>
      <w:proofErr w:type="spellEnd"/>
      <w:r w:rsidRPr="00E22297">
        <w:rPr>
          <w:rFonts w:ascii="Arial" w:hAnsi="Arial" w:cs="Arial"/>
          <w:color w:val="000000" w:themeColor="text1"/>
          <w:sz w:val="20"/>
          <w:szCs w:val="20"/>
        </w:rPr>
        <w:t>, London, 2013.</w:t>
      </w:r>
    </w:p>
  </w:footnote>
  <w:footnote w:id="13">
    <w:p w14:paraId="386704E8" w14:textId="77777777" w:rsidR="00375B01" w:rsidRPr="004D085C" w:rsidRDefault="00375B01">
      <w:pPr>
        <w:pStyle w:val="FootnoteText"/>
        <w:rPr>
          <w:lang w:val="en-GB"/>
        </w:rPr>
      </w:pPr>
      <w:r w:rsidRPr="00E22297">
        <w:rPr>
          <w:rStyle w:val="FootnoteReference"/>
          <w:rFonts w:ascii="Arial" w:hAnsi="Arial" w:cs="Arial"/>
          <w:color w:val="000000" w:themeColor="text1"/>
          <w:sz w:val="20"/>
          <w:szCs w:val="20"/>
        </w:rPr>
        <w:footnoteRef/>
      </w:r>
      <w:r w:rsidRPr="00E22297">
        <w:rPr>
          <w:rFonts w:ascii="Arial" w:hAnsi="Arial" w:cs="Arial"/>
          <w:color w:val="000000" w:themeColor="text1"/>
          <w:sz w:val="20"/>
          <w:szCs w:val="20"/>
        </w:rPr>
        <w:t xml:space="preserve"> </w:t>
      </w:r>
      <w:r w:rsidRPr="00E22297">
        <w:rPr>
          <w:rFonts w:ascii="Arial" w:hAnsi="Arial" w:cs="Arial"/>
          <w:color w:val="000000" w:themeColor="text1"/>
          <w:sz w:val="20"/>
          <w:szCs w:val="20"/>
          <w:lang w:val="en-GB"/>
        </w:rPr>
        <w:t xml:space="preserve">See: </w:t>
      </w:r>
      <w:r w:rsidRPr="00E22297">
        <w:rPr>
          <w:rFonts w:ascii="Arial" w:hAnsi="Arial" w:cs="Arial"/>
          <w:i/>
          <w:color w:val="000000" w:themeColor="text1"/>
          <w:sz w:val="20"/>
          <w:szCs w:val="20"/>
          <w:lang w:val="en-GB"/>
        </w:rPr>
        <w:t>Russell Process</w:t>
      </w:r>
      <w:r w:rsidRPr="00E22297">
        <w:rPr>
          <w:rFonts w:ascii="Arial" w:hAnsi="Arial" w:cs="Arial"/>
          <w:color w:val="000000" w:themeColor="text1"/>
          <w:sz w:val="20"/>
          <w:szCs w:val="20"/>
          <w:lang w:val="en-GB"/>
        </w:rPr>
        <w:t>, p.286.</w:t>
      </w:r>
    </w:p>
  </w:footnote>
  <w:footnote w:id="14">
    <w:p w14:paraId="6333FB7D" w14:textId="77777777" w:rsidR="00375B01" w:rsidRPr="0084704B" w:rsidRDefault="00375B01" w:rsidP="0084704B">
      <w:pPr>
        <w:pStyle w:val="FootnoteText"/>
        <w:jc w:val="both"/>
        <w:rPr>
          <w:rFonts w:ascii="Arial" w:hAnsi="Arial" w:cs="Arial"/>
          <w:bCs/>
          <w:sz w:val="20"/>
          <w:szCs w:val="20"/>
        </w:rPr>
      </w:pPr>
      <w:r w:rsidRPr="0084704B">
        <w:rPr>
          <w:rStyle w:val="FootnoteReference"/>
          <w:rFonts w:ascii="Arial" w:hAnsi="Arial" w:cs="Arial"/>
          <w:sz w:val="20"/>
          <w:szCs w:val="20"/>
        </w:rPr>
        <w:footnoteRef/>
      </w:r>
      <w:r w:rsidRPr="0084704B">
        <w:rPr>
          <w:rFonts w:ascii="Arial" w:hAnsi="Arial" w:cs="Arial"/>
          <w:sz w:val="20"/>
          <w:szCs w:val="20"/>
        </w:rPr>
        <w:t xml:space="preserve"> On wrongful trading generally see: </w:t>
      </w:r>
      <w:r w:rsidRPr="0084704B">
        <w:rPr>
          <w:rFonts w:ascii="Arial" w:hAnsi="Arial" w:cs="Arial"/>
          <w:bCs/>
          <w:sz w:val="20"/>
          <w:szCs w:val="20"/>
        </w:rPr>
        <w:t xml:space="preserve">Moss, G. </w:t>
      </w:r>
      <w:r w:rsidRPr="0084704B">
        <w:rPr>
          <w:rFonts w:ascii="Arial" w:hAnsi="Arial" w:cs="Arial"/>
          <w:bCs/>
          <w:i/>
          <w:sz w:val="20"/>
          <w:szCs w:val="20"/>
        </w:rPr>
        <w:t xml:space="preserve">No compensation for wrongful trading - where did it all go wrong? </w:t>
      </w:r>
      <w:r w:rsidRPr="0084704B">
        <w:rPr>
          <w:rFonts w:ascii="Arial" w:hAnsi="Arial" w:cs="Arial"/>
          <w:bCs/>
          <w:sz w:val="20"/>
          <w:szCs w:val="20"/>
        </w:rPr>
        <w:t xml:space="preserve">(2017) </w:t>
      </w:r>
      <w:proofErr w:type="spellStart"/>
      <w:r w:rsidRPr="0084704B">
        <w:rPr>
          <w:rFonts w:ascii="Arial" w:hAnsi="Arial" w:cs="Arial"/>
          <w:bCs/>
          <w:sz w:val="20"/>
          <w:szCs w:val="20"/>
        </w:rPr>
        <w:t>Insolv</w:t>
      </w:r>
      <w:proofErr w:type="spellEnd"/>
      <w:r w:rsidRPr="0084704B">
        <w:rPr>
          <w:rFonts w:ascii="Arial" w:hAnsi="Arial" w:cs="Arial"/>
          <w:bCs/>
          <w:sz w:val="20"/>
          <w:szCs w:val="20"/>
        </w:rPr>
        <w:t xml:space="preserve">. </w:t>
      </w:r>
      <w:proofErr w:type="spellStart"/>
      <w:r w:rsidRPr="0084704B">
        <w:rPr>
          <w:rFonts w:ascii="Arial" w:hAnsi="Arial" w:cs="Arial"/>
          <w:bCs/>
          <w:sz w:val="20"/>
          <w:szCs w:val="20"/>
        </w:rPr>
        <w:t>Int</w:t>
      </w:r>
      <w:proofErr w:type="spellEnd"/>
      <w:r w:rsidRPr="0084704B">
        <w:rPr>
          <w:rFonts w:ascii="Arial" w:hAnsi="Arial" w:cs="Arial"/>
          <w:bCs/>
          <w:sz w:val="20"/>
          <w:szCs w:val="20"/>
        </w:rPr>
        <w:t xml:space="preserve">, 30(4), 49-53. See also: Williams, R. </w:t>
      </w:r>
      <w:r w:rsidRPr="0084704B">
        <w:rPr>
          <w:rFonts w:ascii="Arial" w:hAnsi="Arial" w:cs="Arial"/>
          <w:bCs/>
          <w:i/>
          <w:sz w:val="20"/>
          <w:szCs w:val="20"/>
        </w:rPr>
        <w:t xml:space="preserve">What can we expect to gain from reforming the insolvent trading remedy? </w:t>
      </w:r>
      <w:r w:rsidRPr="0084704B">
        <w:rPr>
          <w:rFonts w:ascii="Arial" w:hAnsi="Arial" w:cs="Arial"/>
          <w:bCs/>
          <w:sz w:val="20"/>
          <w:szCs w:val="20"/>
        </w:rPr>
        <w:t>(2015) M.L.R, 78(1), 55-84.</w:t>
      </w:r>
    </w:p>
  </w:footnote>
  <w:footnote w:id="15">
    <w:p w14:paraId="5C43E7FD" w14:textId="77777777" w:rsidR="00375B01" w:rsidRPr="00C302AC" w:rsidRDefault="00375B01" w:rsidP="00C302AC">
      <w:pPr>
        <w:pStyle w:val="FootnoteText"/>
        <w:jc w:val="both"/>
        <w:rPr>
          <w:rFonts w:ascii="Arial" w:hAnsi="Arial" w:cs="Arial"/>
          <w:sz w:val="20"/>
          <w:szCs w:val="20"/>
          <w:lang w:val="en-GB"/>
        </w:rPr>
      </w:pPr>
      <w:r w:rsidRPr="00C302AC">
        <w:rPr>
          <w:rStyle w:val="FootnoteReference"/>
          <w:rFonts w:ascii="Arial" w:hAnsi="Arial" w:cs="Arial"/>
          <w:sz w:val="20"/>
          <w:szCs w:val="20"/>
        </w:rPr>
        <w:footnoteRef/>
      </w:r>
      <w:r w:rsidRPr="00C302AC">
        <w:rPr>
          <w:rFonts w:ascii="Arial" w:hAnsi="Arial" w:cs="Arial"/>
          <w:sz w:val="20"/>
          <w:szCs w:val="20"/>
        </w:rPr>
        <w:t xml:space="preserve"> </w:t>
      </w:r>
      <w:r w:rsidRPr="00C302AC">
        <w:rPr>
          <w:rFonts w:ascii="Arial" w:hAnsi="Arial" w:cs="Arial"/>
          <w:sz w:val="20"/>
          <w:szCs w:val="20"/>
          <w:lang w:val="en-GB"/>
        </w:rPr>
        <w:t xml:space="preserve">On the ten per cent fund see: Goode, R. </w:t>
      </w:r>
      <w:r w:rsidRPr="00C302AC">
        <w:rPr>
          <w:rFonts w:ascii="Arial" w:hAnsi="Arial" w:cs="Arial"/>
          <w:i/>
          <w:sz w:val="20"/>
          <w:szCs w:val="20"/>
          <w:lang w:val="en-GB"/>
        </w:rPr>
        <w:t>Is the Law Too Favourable to Secured Creditors?</w:t>
      </w:r>
      <w:r w:rsidRPr="00C302AC">
        <w:rPr>
          <w:rFonts w:ascii="Arial" w:hAnsi="Arial" w:cs="Arial"/>
          <w:sz w:val="20"/>
          <w:szCs w:val="20"/>
          <w:lang w:val="en-GB"/>
        </w:rPr>
        <w:t xml:space="preserve"> </w:t>
      </w:r>
      <w:r>
        <w:rPr>
          <w:rFonts w:ascii="Arial" w:hAnsi="Arial" w:cs="Arial"/>
          <w:sz w:val="20"/>
          <w:szCs w:val="20"/>
          <w:lang w:val="en-GB"/>
        </w:rPr>
        <w:t xml:space="preserve">(1983) </w:t>
      </w:r>
      <w:r w:rsidRPr="00F7681A">
        <w:rPr>
          <w:rFonts w:ascii="Arial" w:hAnsi="Arial" w:cs="Arial"/>
          <w:sz w:val="20"/>
          <w:szCs w:val="20"/>
          <w:lang w:val="en-GB"/>
        </w:rPr>
        <w:t>Canadian Business Law Journ</w:t>
      </w:r>
      <w:r>
        <w:rPr>
          <w:rFonts w:ascii="Arial" w:hAnsi="Arial" w:cs="Arial"/>
          <w:sz w:val="20"/>
          <w:szCs w:val="20"/>
          <w:lang w:val="en-GB"/>
        </w:rPr>
        <w:t>al, Vol. 8, Issue 1</w:t>
      </w:r>
      <w:r w:rsidRPr="00F7681A">
        <w:rPr>
          <w:rFonts w:ascii="Arial" w:hAnsi="Arial" w:cs="Arial"/>
          <w:sz w:val="20"/>
          <w:szCs w:val="20"/>
          <w:lang w:val="en-GB"/>
        </w:rPr>
        <w:t>, pp. 53-80</w:t>
      </w:r>
      <w:r>
        <w:rPr>
          <w:rFonts w:ascii="Arial" w:hAnsi="Arial" w:cs="Arial"/>
          <w:sz w:val="20"/>
          <w:szCs w:val="20"/>
          <w:lang w:val="en-GB"/>
        </w:rPr>
        <w:t xml:space="preserve">. </w:t>
      </w:r>
      <w:r w:rsidRPr="00C302AC">
        <w:rPr>
          <w:rFonts w:ascii="Arial" w:hAnsi="Arial" w:cs="Arial"/>
          <w:sz w:val="20"/>
          <w:szCs w:val="20"/>
          <w:lang w:val="en-GB"/>
        </w:rPr>
        <w:t xml:space="preserve">On the anecdote see: </w:t>
      </w:r>
      <w:proofErr w:type="spellStart"/>
      <w:r w:rsidRPr="00C302AC">
        <w:rPr>
          <w:rFonts w:ascii="Arial" w:hAnsi="Arial" w:cs="Arial"/>
          <w:sz w:val="20"/>
          <w:szCs w:val="20"/>
          <w:lang w:val="en-GB"/>
        </w:rPr>
        <w:t>Getzler</w:t>
      </w:r>
      <w:proofErr w:type="spellEnd"/>
      <w:r w:rsidRPr="00C302AC">
        <w:rPr>
          <w:rFonts w:ascii="Arial" w:hAnsi="Arial" w:cs="Arial"/>
          <w:sz w:val="20"/>
          <w:szCs w:val="20"/>
          <w:lang w:val="en-GB"/>
        </w:rPr>
        <w:t>, J &amp; Payne, J (</w:t>
      </w:r>
      <w:proofErr w:type="spellStart"/>
      <w:r w:rsidRPr="00C302AC">
        <w:rPr>
          <w:rFonts w:ascii="Arial" w:hAnsi="Arial" w:cs="Arial"/>
          <w:sz w:val="20"/>
          <w:szCs w:val="20"/>
          <w:lang w:val="en-GB"/>
        </w:rPr>
        <w:t>Eds</w:t>
      </w:r>
      <w:proofErr w:type="spellEnd"/>
      <w:r w:rsidRPr="00C302AC">
        <w:rPr>
          <w:rFonts w:ascii="Arial" w:hAnsi="Arial" w:cs="Arial"/>
          <w:sz w:val="20"/>
          <w:szCs w:val="20"/>
          <w:lang w:val="en-GB"/>
        </w:rPr>
        <w:t xml:space="preserve">). </w:t>
      </w:r>
      <w:r w:rsidRPr="00C302AC">
        <w:rPr>
          <w:rFonts w:ascii="Arial" w:hAnsi="Arial" w:cs="Arial"/>
          <w:i/>
          <w:sz w:val="20"/>
          <w:szCs w:val="20"/>
          <w:lang w:val="en-GB"/>
        </w:rPr>
        <w:t>Company Charges: Spectrum and Beyond.</w:t>
      </w:r>
      <w:r w:rsidRPr="00C302AC">
        <w:rPr>
          <w:rFonts w:ascii="Arial" w:hAnsi="Arial" w:cs="Arial"/>
          <w:sz w:val="20"/>
          <w:szCs w:val="20"/>
          <w:lang w:val="en-GB"/>
        </w:rPr>
        <w:t xml:space="preserve"> Oxford University Press, Oxford, 2006, p.13.fn7. Professor Sir Roy Goode QC states in his third edition of his </w:t>
      </w:r>
      <w:r w:rsidRPr="00C302AC">
        <w:rPr>
          <w:rFonts w:ascii="Arial" w:hAnsi="Arial" w:cs="Arial"/>
          <w:i/>
          <w:sz w:val="20"/>
          <w:szCs w:val="20"/>
          <w:lang w:val="en-GB"/>
        </w:rPr>
        <w:t>Principles of Corporate Insolvency Law</w:t>
      </w:r>
      <w:r w:rsidRPr="00C302AC">
        <w:rPr>
          <w:rFonts w:ascii="Arial" w:hAnsi="Arial" w:cs="Arial"/>
          <w:sz w:val="20"/>
          <w:szCs w:val="20"/>
          <w:lang w:val="en-GB"/>
        </w:rPr>
        <w:t xml:space="preserve"> that the ten percent fund for unsecured creditors (an arbitrary figure of ten percent according to Professor Stevens) has its genesis in a "conversation over two pints of beer he [Sir Roy] had at St Pancras Station with a member of the committee." In the same collection (at page 13, footnote 7) Sir Roy takes up the story in his own words, "The origin of this recommendation is not generally know</w:t>
      </w:r>
      <w:r>
        <w:rPr>
          <w:rFonts w:ascii="Arial" w:hAnsi="Arial" w:cs="Arial"/>
          <w:sz w:val="20"/>
          <w:szCs w:val="20"/>
          <w:lang w:val="en-GB"/>
        </w:rPr>
        <w:t>n</w:t>
      </w:r>
      <w:r w:rsidRPr="00C302AC">
        <w:rPr>
          <w:rFonts w:ascii="Arial" w:hAnsi="Arial" w:cs="Arial"/>
          <w:sz w:val="20"/>
          <w:szCs w:val="20"/>
          <w:lang w:val="en-GB"/>
        </w:rPr>
        <w:t xml:space="preserve"> - even to members of the Insolvency Law Review Committee itself! It was the present writer, who, while serving on the Legal Panel set up by the Committee, light</w:t>
      </w:r>
      <w:r>
        <w:rPr>
          <w:rFonts w:ascii="Arial" w:hAnsi="Arial" w:cs="Arial"/>
          <w:sz w:val="20"/>
          <w:szCs w:val="20"/>
          <w:lang w:val="en-GB"/>
        </w:rPr>
        <w:t>-</w:t>
      </w:r>
      <w:r w:rsidRPr="00C302AC">
        <w:rPr>
          <w:rFonts w:ascii="Arial" w:hAnsi="Arial" w:cs="Arial"/>
          <w:sz w:val="20"/>
          <w:szCs w:val="20"/>
          <w:lang w:val="en-GB"/>
        </w:rPr>
        <w:t>heartedly suggested it to a member of the Committee, as a means of taking some heat off the floating charge, whilst passing the time in conversation on the train home after cerebral stimulation in the shape of a couple of pints of beer at St Pancras Station..."</w:t>
      </w:r>
    </w:p>
  </w:footnote>
  <w:footnote w:id="16">
    <w:p w14:paraId="3427BF3C" w14:textId="77777777" w:rsidR="00375B01" w:rsidRPr="00C302AC" w:rsidRDefault="00375B01" w:rsidP="00C302AC">
      <w:pPr>
        <w:pStyle w:val="FootnoteText"/>
        <w:jc w:val="both"/>
        <w:rPr>
          <w:rFonts w:ascii="Arial" w:hAnsi="Arial" w:cs="Arial"/>
          <w:sz w:val="20"/>
          <w:szCs w:val="20"/>
          <w:lang w:val="en-GB"/>
        </w:rPr>
      </w:pPr>
      <w:r w:rsidRPr="00C302AC">
        <w:rPr>
          <w:rStyle w:val="FootnoteReference"/>
          <w:rFonts w:ascii="Arial" w:hAnsi="Arial" w:cs="Arial"/>
          <w:sz w:val="20"/>
          <w:szCs w:val="20"/>
        </w:rPr>
        <w:footnoteRef/>
      </w:r>
      <w:r w:rsidRPr="00C302AC">
        <w:rPr>
          <w:rFonts w:ascii="Arial" w:hAnsi="Arial" w:cs="Arial"/>
          <w:sz w:val="20"/>
          <w:szCs w:val="20"/>
        </w:rPr>
        <w:t xml:space="preserve"> </w:t>
      </w:r>
      <w:r w:rsidRPr="00C302AC">
        <w:rPr>
          <w:rFonts w:ascii="Arial" w:hAnsi="Arial" w:cs="Arial"/>
          <w:i/>
          <w:sz w:val="20"/>
          <w:szCs w:val="20"/>
        </w:rPr>
        <w:t>Re Stainton</w:t>
      </w:r>
      <w:r w:rsidRPr="00C302AC">
        <w:rPr>
          <w:rFonts w:ascii="Arial" w:hAnsi="Arial" w:cs="Arial"/>
          <w:sz w:val="20"/>
          <w:szCs w:val="20"/>
        </w:rPr>
        <w:t xml:space="preserve"> (1887) 4 </w:t>
      </w:r>
      <w:proofErr w:type="spellStart"/>
      <w:r w:rsidRPr="00C302AC">
        <w:rPr>
          <w:rFonts w:ascii="Arial" w:hAnsi="Arial" w:cs="Arial"/>
          <w:sz w:val="20"/>
          <w:szCs w:val="20"/>
        </w:rPr>
        <w:t>Morr</w:t>
      </w:r>
      <w:proofErr w:type="spellEnd"/>
      <w:r w:rsidRPr="00C302AC">
        <w:rPr>
          <w:rFonts w:ascii="Arial" w:hAnsi="Arial" w:cs="Arial"/>
          <w:sz w:val="20"/>
          <w:szCs w:val="20"/>
        </w:rPr>
        <w:t>, 242.</w:t>
      </w:r>
    </w:p>
  </w:footnote>
  <w:footnote w:id="17">
    <w:p w14:paraId="73E030F8" w14:textId="77777777" w:rsidR="00375B01" w:rsidRPr="00C302AC" w:rsidRDefault="00375B01" w:rsidP="00C302AC">
      <w:pPr>
        <w:pStyle w:val="FootnoteText"/>
        <w:jc w:val="both"/>
        <w:rPr>
          <w:rFonts w:ascii="Arial" w:hAnsi="Arial" w:cs="Arial"/>
          <w:sz w:val="20"/>
          <w:szCs w:val="20"/>
          <w:lang w:val="en-GB"/>
        </w:rPr>
      </w:pPr>
      <w:r w:rsidRPr="00C302AC">
        <w:rPr>
          <w:rStyle w:val="FootnoteReference"/>
          <w:rFonts w:ascii="Arial" w:hAnsi="Arial" w:cs="Arial"/>
          <w:sz w:val="20"/>
          <w:szCs w:val="20"/>
        </w:rPr>
        <w:footnoteRef/>
      </w:r>
      <w:r w:rsidRPr="00C302AC">
        <w:rPr>
          <w:rFonts w:ascii="Arial" w:hAnsi="Arial" w:cs="Arial"/>
          <w:sz w:val="20"/>
          <w:szCs w:val="20"/>
        </w:rPr>
        <w:t xml:space="preserve"> See: </w:t>
      </w:r>
      <w:r w:rsidRPr="00C302AC">
        <w:rPr>
          <w:rFonts w:ascii="Arial" w:hAnsi="Arial" w:cs="Arial"/>
          <w:i/>
          <w:sz w:val="20"/>
          <w:szCs w:val="20"/>
        </w:rPr>
        <w:t>Report of the Review Committee on Insolvency Law and Practice</w:t>
      </w:r>
      <w:r w:rsidRPr="00C302AC">
        <w:rPr>
          <w:rFonts w:ascii="Arial" w:hAnsi="Arial" w:cs="Arial"/>
          <w:sz w:val="20"/>
          <w:szCs w:val="20"/>
        </w:rPr>
        <w:t xml:space="preserve"> (1982) </w:t>
      </w:r>
      <w:proofErr w:type="spellStart"/>
      <w:r w:rsidRPr="00C302AC">
        <w:rPr>
          <w:rFonts w:ascii="Arial" w:hAnsi="Arial" w:cs="Arial"/>
          <w:sz w:val="20"/>
          <w:szCs w:val="20"/>
        </w:rPr>
        <w:t>Cmnd</w:t>
      </w:r>
      <w:proofErr w:type="spellEnd"/>
      <w:r w:rsidRPr="00C302AC">
        <w:rPr>
          <w:rFonts w:ascii="Arial" w:hAnsi="Arial" w:cs="Arial"/>
          <w:sz w:val="20"/>
          <w:szCs w:val="20"/>
        </w:rPr>
        <w:t xml:space="preserve"> 8558 (Hereafter: </w:t>
      </w:r>
      <w:r w:rsidRPr="00C302AC">
        <w:rPr>
          <w:rFonts w:ascii="Arial" w:hAnsi="Arial" w:cs="Arial"/>
          <w:i/>
          <w:sz w:val="20"/>
          <w:szCs w:val="20"/>
        </w:rPr>
        <w:t>Cork Report</w:t>
      </w:r>
      <w:r w:rsidRPr="00C302AC">
        <w:rPr>
          <w:rFonts w:ascii="Arial" w:hAnsi="Arial" w:cs="Arial"/>
          <w:sz w:val="20"/>
          <w:szCs w:val="20"/>
        </w:rPr>
        <w:t>)</w:t>
      </w:r>
      <w:r w:rsidRPr="00C302AC">
        <w:rPr>
          <w:rFonts w:ascii="Arial" w:hAnsi="Arial" w:cs="Arial"/>
          <w:sz w:val="20"/>
          <w:szCs w:val="20"/>
          <w:lang w:val="en-GB"/>
        </w:rPr>
        <w:t>.</w:t>
      </w:r>
      <w:r w:rsidRPr="00C302AC">
        <w:rPr>
          <w:rFonts w:ascii="Arial" w:hAnsi="Arial" w:cs="Arial"/>
          <w:sz w:val="20"/>
          <w:szCs w:val="20"/>
        </w:rPr>
        <w:t xml:space="preserve"> See the Government’s response: </w:t>
      </w:r>
      <w:r w:rsidRPr="00C302AC">
        <w:rPr>
          <w:rFonts w:ascii="Arial" w:hAnsi="Arial" w:cs="Arial"/>
          <w:i/>
          <w:sz w:val="20"/>
          <w:szCs w:val="20"/>
        </w:rPr>
        <w:t>A revised framework for insolvency law</w:t>
      </w:r>
      <w:r w:rsidRPr="00C302AC">
        <w:rPr>
          <w:rFonts w:ascii="Arial" w:hAnsi="Arial" w:cs="Arial"/>
          <w:sz w:val="20"/>
          <w:szCs w:val="20"/>
        </w:rPr>
        <w:t xml:space="preserve">. </w:t>
      </w:r>
      <w:proofErr w:type="spellStart"/>
      <w:r w:rsidRPr="00C302AC">
        <w:rPr>
          <w:rFonts w:ascii="Arial" w:hAnsi="Arial" w:cs="Arial"/>
          <w:sz w:val="20"/>
          <w:szCs w:val="20"/>
        </w:rPr>
        <w:t>Cmnd</w:t>
      </w:r>
      <w:proofErr w:type="spellEnd"/>
      <w:r w:rsidRPr="00C302AC">
        <w:rPr>
          <w:rFonts w:ascii="Arial" w:hAnsi="Arial" w:cs="Arial"/>
          <w:sz w:val="20"/>
          <w:szCs w:val="20"/>
        </w:rPr>
        <w:t xml:space="preserve"> 9175, White Paper, 1984. See also: Cork, K. </w:t>
      </w:r>
      <w:r w:rsidRPr="00C302AC">
        <w:rPr>
          <w:rFonts w:ascii="Arial" w:hAnsi="Arial" w:cs="Arial"/>
          <w:i/>
          <w:sz w:val="20"/>
          <w:szCs w:val="20"/>
        </w:rPr>
        <w:t>Cork on Cork</w:t>
      </w:r>
      <w:r w:rsidRPr="00C302AC">
        <w:rPr>
          <w:rFonts w:ascii="Arial" w:hAnsi="Arial" w:cs="Arial"/>
          <w:sz w:val="20"/>
          <w:szCs w:val="20"/>
        </w:rPr>
        <w:t xml:space="preserve">. Macmillan, London 1988, Chapter 10. On the work of the committee generally see further: Fletcher, IF. </w:t>
      </w:r>
      <w:r w:rsidRPr="00C302AC">
        <w:rPr>
          <w:rFonts w:ascii="Arial" w:hAnsi="Arial" w:cs="Arial"/>
          <w:i/>
          <w:sz w:val="20"/>
          <w:szCs w:val="20"/>
        </w:rPr>
        <w:t>The genesis of modern insolvency law - an odyssey of law reform</w:t>
      </w:r>
      <w:r w:rsidRPr="00C302AC">
        <w:rPr>
          <w:rFonts w:ascii="Arial" w:hAnsi="Arial" w:cs="Arial"/>
          <w:sz w:val="20"/>
          <w:szCs w:val="20"/>
        </w:rPr>
        <w:t xml:space="preserve"> (1989) J.B.L., Sep, 365-376. Hereafter </w:t>
      </w:r>
      <w:r w:rsidRPr="00C302AC">
        <w:rPr>
          <w:rFonts w:ascii="Arial" w:hAnsi="Arial" w:cs="Arial"/>
          <w:i/>
          <w:sz w:val="20"/>
          <w:szCs w:val="20"/>
        </w:rPr>
        <w:t>Fletcher Odyssey</w:t>
      </w:r>
      <w:r w:rsidRPr="00C302AC">
        <w:rPr>
          <w:rFonts w:ascii="Arial" w:hAnsi="Arial" w:cs="Arial"/>
          <w:sz w:val="20"/>
          <w:szCs w:val="20"/>
        </w:rPr>
        <w:t xml:space="preserve">. See also: Fletcher, IF. </w:t>
      </w:r>
      <w:r w:rsidRPr="00C302AC">
        <w:rPr>
          <w:rFonts w:ascii="Arial" w:hAnsi="Arial" w:cs="Arial"/>
          <w:i/>
          <w:sz w:val="20"/>
          <w:szCs w:val="20"/>
        </w:rPr>
        <w:t>Insolvency Law Reform</w:t>
      </w:r>
      <w:r w:rsidRPr="00C302AC">
        <w:rPr>
          <w:rFonts w:ascii="Arial" w:hAnsi="Arial" w:cs="Arial"/>
          <w:sz w:val="20"/>
          <w:szCs w:val="20"/>
        </w:rPr>
        <w:t xml:space="preserve"> (1995) J.B.L., Mar, 210-211 where it was noted: “The process of reform in the field of Insolvency Law appears to have assumed a cyclical aspect…” See also: Hare, D. and </w:t>
      </w:r>
      <w:proofErr w:type="spellStart"/>
      <w:r w:rsidRPr="00C302AC">
        <w:rPr>
          <w:rFonts w:ascii="Arial" w:hAnsi="Arial" w:cs="Arial"/>
          <w:sz w:val="20"/>
          <w:szCs w:val="20"/>
        </w:rPr>
        <w:t>Milman</w:t>
      </w:r>
      <w:proofErr w:type="spellEnd"/>
      <w:r w:rsidRPr="00C302AC">
        <w:rPr>
          <w:rFonts w:ascii="Arial" w:hAnsi="Arial" w:cs="Arial"/>
          <w:sz w:val="20"/>
          <w:szCs w:val="20"/>
        </w:rPr>
        <w:t xml:space="preserve">, D. </w:t>
      </w:r>
      <w:r w:rsidRPr="00C302AC">
        <w:rPr>
          <w:rFonts w:ascii="Arial" w:hAnsi="Arial" w:cs="Arial"/>
          <w:i/>
          <w:sz w:val="20"/>
          <w:szCs w:val="20"/>
        </w:rPr>
        <w:t xml:space="preserve">Corporate Insolvency: The Cork committee Proposals I </w:t>
      </w:r>
      <w:r w:rsidRPr="00C302AC">
        <w:rPr>
          <w:rFonts w:ascii="Arial" w:hAnsi="Arial" w:cs="Arial"/>
          <w:sz w:val="20"/>
          <w:szCs w:val="20"/>
        </w:rPr>
        <w:t xml:space="preserve">(1983) 127 </w:t>
      </w:r>
      <w:proofErr w:type="spellStart"/>
      <w:r w:rsidRPr="00C302AC">
        <w:rPr>
          <w:rFonts w:ascii="Arial" w:hAnsi="Arial" w:cs="Arial"/>
          <w:sz w:val="20"/>
          <w:szCs w:val="20"/>
        </w:rPr>
        <w:t>Sol.Jo</w:t>
      </w:r>
      <w:proofErr w:type="spellEnd"/>
      <w:r w:rsidRPr="00C302AC">
        <w:rPr>
          <w:rFonts w:ascii="Arial" w:hAnsi="Arial" w:cs="Arial"/>
          <w:sz w:val="20"/>
          <w:szCs w:val="20"/>
        </w:rPr>
        <w:t>. 230.</w:t>
      </w:r>
    </w:p>
  </w:footnote>
  <w:footnote w:id="18">
    <w:p w14:paraId="7AC38191" w14:textId="77777777" w:rsidR="00375B01" w:rsidRPr="00C302AC" w:rsidRDefault="00375B01" w:rsidP="00C302AC">
      <w:pPr>
        <w:pStyle w:val="FootnoteText"/>
        <w:jc w:val="both"/>
        <w:rPr>
          <w:rFonts w:ascii="Arial" w:hAnsi="Arial" w:cs="Arial"/>
          <w:sz w:val="20"/>
          <w:szCs w:val="20"/>
          <w:lang w:val="en-GB"/>
        </w:rPr>
      </w:pPr>
      <w:r w:rsidRPr="00C302AC">
        <w:rPr>
          <w:rStyle w:val="FootnoteReference"/>
          <w:rFonts w:ascii="Arial" w:hAnsi="Arial" w:cs="Arial"/>
          <w:sz w:val="20"/>
          <w:szCs w:val="20"/>
        </w:rPr>
        <w:footnoteRef/>
      </w:r>
      <w:r w:rsidRPr="00C302AC">
        <w:rPr>
          <w:rFonts w:ascii="Arial" w:hAnsi="Arial" w:cs="Arial"/>
          <w:sz w:val="20"/>
          <w:szCs w:val="20"/>
        </w:rPr>
        <w:t xml:space="preserve"> </w:t>
      </w:r>
      <w:r w:rsidRPr="00C302AC">
        <w:rPr>
          <w:rFonts w:ascii="Arial" w:hAnsi="Arial" w:cs="Arial"/>
          <w:i/>
          <w:sz w:val="20"/>
          <w:szCs w:val="20"/>
          <w:lang w:val="en-GB"/>
        </w:rPr>
        <w:t>Cork Report</w:t>
      </w:r>
      <w:r w:rsidRPr="00C302AC">
        <w:rPr>
          <w:rFonts w:ascii="Arial" w:hAnsi="Arial" w:cs="Arial"/>
          <w:sz w:val="20"/>
          <w:szCs w:val="20"/>
          <w:lang w:val="en-GB"/>
        </w:rPr>
        <w:t>, Chapter 44.</w:t>
      </w:r>
    </w:p>
  </w:footnote>
  <w:footnote w:id="19">
    <w:p w14:paraId="394E9209" w14:textId="77777777" w:rsidR="00375B01" w:rsidRPr="00C302AC" w:rsidRDefault="00375B01" w:rsidP="00C302AC">
      <w:pPr>
        <w:pStyle w:val="FootnoteText"/>
        <w:jc w:val="both"/>
        <w:rPr>
          <w:rFonts w:ascii="Arial" w:hAnsi="Arial" w:cs="Arial"/>
          <w:sz w:val="20"/>
          <w:szCs w:val="20"/>
          <w:lang w:val="en-GB"/>
        </w:rPr>
      </w:pPr>
      <w:r w:rsidRPr="00C302AC">
        <w:rPr>
          <w:rStyle w:val="FootnoteReference"/>
          <w:rFonts w:ascii="Arial" w:hAnsi="Arial" w:cs="Arial"/>
          <w:sz w:val="20"/>
          <w:szCs w:val="20"/>
        </w:rPr>
        <w:footnoteRef/>
      </w:r>
      <w:r w:rsidRPr="00C302AC">
        <w:rPr>
          <w:rFonts w:ascii="Arial" w:hAnsi="Arial" w:cs="Arial"/>
          <w:sz w:val="20"/>
          <w:szCs w:val="20"/>
        </w:rPr>
        <w:t xml:space="preserve"> </w:t>
      </w:r>
      <w:r w:rsidRPr="00C302AC">
        <w:rPr>
          <w:rFonts w:ascii="Arial" w:hAnsi="Arial" w:cs="Arial"/>
          <w:i/>
          <w:sz w:val="20"/>
          <w:szCs w:val="20"/>
          <w:lang w:val="en-GB"/>
        </w:rPr>
        <w:t>Cork Report</w:t>
      </w:r>
      <w:r w:rsidRPr="00C302AC">
        <w:rPr>
          <w:rFonts w:ascii="Arial" w:hAnsi="Arial" w:cs="Arial"/>
          <w:sz w:val="20"/>
          <w:szCs w:val="20"/>
          <w:lang w:val="en-GB"/>
        </w:rPr>
        <w:t>, para.1783.</w:t>
      </w:r>
    </w:p>
  </w:footnote>
  <w:footnote w:id="20">
    <w:p w14:paraId="16452E93" w14:textId="77777777" w:rsidR="00375B01" w:rsidRPr="00C302AC" w:rsidRDefault="00375B01" w:rsidP="00C302AC">
      <w:pPr>
        <w:pStyle w:val="FootnoteText"/>
        <w:jc w:val="both"/>
        <w:rPr>
          <w:rFonts w:ascii="Arial" w:hAnsi="Arial" w:cs="Arial"/>
          <w:sz w:val="20"/>
          <w:szCs w:val="20"/>
          <w:lang w:val="en-GB"/>
        </w:rPr>
      </w:pPr>
      <w:r w:rsidRPr="00C302AC">
        <w:rPr>
          <w:rStyle w:val="FootnoteReference"/>
          <w:rFonts w:ascii="Arial" w:hAnsi="Arial" w:cs="Arial"/>
          <w:sz w:val="20"/>
          <w:szCs w:val="20"/>
        </w:rPr>
        <w:footnoteRef/>
      </w:r>
      <w:r w:rsidRPr="00C302AC">
        <w:rPr>
          <w:rFonts w:ascii="Arial" w:hAnsi="Arial" w:cs="Arial"/>
          <w:sz w:val="20"/>
          <w:szCs w:val="20"/>
        </w:rPr>
        <w:t xml:space="preserve"> </w:t>
      </w:r>
      <w:r w:rsidRPr="00781848">
        <w:rPr>
          <w:rFonts w:ascii="Arial" w:hAnsi="Arial" w:cs="Arial"/>
          <w:i/>
          <w:sz w:val="20"/>
          <w:szCs w:val="20"/>
        </w:rPr>
        <w:t>A Revised Framework for Insolvency Law</w:t>
      </w:r>
      <w:r>
        <w:rPr>
          <w:rFonts w:ascii="Arial" w:hAnsi="Arial" w:cs="Arial"/>
          <w:sz w:val="20"/>
          <w:szCs w:val="20"/>
        </w:rPr>
        <w:t xml:space="preserve">. Department of Trade and Industry. </w:t>
      </w:r>
      <w:proofErr w:type="spellStart"/>
      <w:r w:rsidRPr="00C302AC">
        <w:rPr>
          <w:rFonts w:ascii="Arial" w:hAnsi="Arial" w:cs="Arial"/>
          <w:sz w:val="20"/>
          <w:szCs w:val="20"/>
          <w:lang w:val="en-GB"/>
        </w:rPr>
        <w:t>Cmnd</w:t>
      </w:r>
      <w:proofErr w:type="spellEnd"/>
      <w:r w:rsidRPr="00C302AC">
        <w:rPr>
          <w:rFonts w:ascii="Arial" w:hAnsi="Arial" w:cs="Arial"/>
          <w:sz w:val="20"/>
          <w:szCs w:val="20"/>
          <w:lang w:val="en-GB"/>
        </w:rPr>
        <w:t xml:space="preserve"> 9175, para.52.</w:t>
      </w:r>
    </w:p>
  </w:footnote>
  <w:footnote w:id="21">
    <w:p w14:paraId="771885EE" w14:textId="77777777" w:rsidR="00375B01" w:rsidRPr="00C66B37" w:rsidRDefault="00375B01" w:rsidP="00C302AC">
      <w:pPr>
        <w:pStyle w:val="FootnoteText"/>
        <w:jc w:val="both"/>
        <w:rPr>
          <w:rFonts w:ascii="Arial" w:hAnsi="Arial" w:cs="Arial"/>
          <w:sz w:val="20"/>
          <w:szCs w:val="20"/>
          <w:lang w:val="en-GB"/>
        </w:rPr>
      </w:pPr>
      <w:r w:rsidRPr="00394E00">
        <w:rPr>
          <w:rStyle w:val="FootnoteReference"/>
          <w:rFonts w:ascii="Arial" w:hAnsi="Arial" w:cs="Arial"/>
          <w:sz w:val="20"/>
          <w:szCs w:val="20"/>
        </w:rPr>
        <w:footnoteRef/>
      </w:r>
      <w:r w:rsidRPr="00394E00">
        <w:rPr>
          <w:rFonts w:ascii="Arial" w:hAnsi="Arial" w:cs="Arial"/>
          <w:sz w:val="20"/>
          <w:szCs w:val="20"/>
        </w:rPr>
        <w:t xml:space="preserve"> </w:t>
      </w:r>
      <w:r w:rsidRPr="00C66B37">
        <w:rPr>
          <w:rFonts w:ascii="Arial" w:hAnsi="Arial" w:cs="Arial"/>
          <w:sz w:val="20"/>
          <w:szCs w:val="20"/>
          <w:lang w:val="en-GB"/>
        </w:rPr>
        <w:t>House of Commons’ Debates, Hansard, 18</w:t>
      </w:r>
      <w:r w:rsidRPr="00C66B37">
        <w:rPr>
          <w:rFonts w:ascii="Arial" w:hAnsi="Arial" w:cs="Arial"/>
          <w:sz w:val="20"/>
          <w:szCs w:val="20"/>
          <w:vertAlign w:val="superscript"/>
          <w:lang w:val="en-GB"/>
        </w:rPr>
        <w:t>th</w:t>
      </w:r>
      <w:r w:rsidRPr="00C66B37">
        <w:rPr>
          <w:rFonts w:ascii="Arial" w:hAnsi="Arial" w:cs="Arial"/>
          <w:sz w:val="20"/>
          <w:szCs w:val="20"/>
          <w:lang w:val="en-GB"/>
        </w:rPr>
        <w:t xml:space="preserve"> July 1985, vo.83, cc.559-70.</w:t>
      </w:r>
    </w:p>
  </w:footnote>
  <w:footnote w:id="22">
    <w:p w14:paraId="02D6F513" w14:textId="3613D106" w:rsidR="00375B01" w:rsidRPr="00C66B37" w:rsidRDefault="00375B01">
      <w:pPr>
        <w:pStyle w:val="FootnoteText"/>
        <w:rPr>
          <w:rFonts w:ascii="Arial" w:hAnsi="Arial" w:cs="Arial"/>
          <w:sz w:val="20"/>
          <w:szCs w:val="20"/>
          <w:lang w:val="en-GB"/>
        </w:rPr>
      </w:pPr>
      <w:r w:rsidRPr="00C66B37">
        <w:rPr>
          <w:rStyle w:val="FootnoteReference"/>
          <w:rFonts w:ascii="Arial" w:hAnsi="Arial" w:cs="Arial"/>
          <w:sz w:val="20"/>
          <w:szCs w:val="20"/>
        </w:rPr>
        <w:footnoteRef/>
      </w:r>
      <w:r w:rsidRPr="00C66B37">
        <w:rPr>
          <w:rFonts w:ascii="Arial" w:hAnsi="Arial" w:cs="Arial"/>
          <w:sz w:val="20"/>
          <w:szCs w:val="20"/>
        </w:rPr>
        <w:t xml:space="preserve"> </w:t>
      </w:r>
      <w:r w:rsidR="00394E00" w:rsidRPr="00C66B37">
        <w:rPr>
          <w:rFonts w:ascii="Arial" w:hAnsi="Arial" w:cs="Arial"/>
          <w:sz w:val="20"/>
          <w:szCs w:val="20"/>
        </w:rPr>
        <w:t xml:space="preserve">Cited by </w:t>
      </w:r>
      <w:proofErr w:type="spellStart"/>
      <w:r w:rsidR="00394E00" w:rsidRPr="00C66B37">
        <w:rPr>
          <w:rFonts w:ascii="Arial" w:hAnsi="Arial" w:cs="Arial"/>
          <w:sz w:val="20"/>
          <w:szCs w:val="20"/>
        </w:rPr>
        <w:t>Mr</w:t>
      </w:r>
      <w:proofErr w:type="spellEnd"/>
      <w:r w:rsidR="00394E00" w:rsidRPr="00C66B37">
        <w:rPr>
          <w:rFonts w:ascii="Arial" w:hAnsi="Arial" w:cs="Arial"/>
          <w:sz w:val="20"/>
          <w:szCs w:val="20"/>
        </w:rPr>
        <w:t xml:space="preserve"> Gould at: </w:t>
      </w:r>
      <w:r w:rsidR="00394E00" w:rsidRPr="00394E00">
        <w:rPr>
          <w:rFonts w:ascii="Arial" w:hAnsi="Arial" w:cs="Arial"/>
          <w:sz w:val="20"/>
          <w:szCs w:val="20"/>
          <w:lang w:val="en-GB"/>
        </w:rPr>
        <w:t>House of Commons’ Debates, Hansard, 18</w:t>
      </w:r>
      <w:r w:rsidR="00394E00" w:rsidRPr="00C66B37">
        <w:rPr>
          <w:rFonts w:ascii="Arial" w:hAnsi="Arial" w:cs="Arial"/>
          <w:sz w:val="20"/>
          <w:szCs w:val="20"/>
          <w:vertAlign w:val="superscript"/>
          <w:lang w:val="en-GB"/>
        </w:rPr>
        <w:t>th</w:t>
      </w:r>
      <w:r w:rsidR="00394E00" w:rsidRPr="00C66B37">
        <w:rPr>
          <w:rFonts w:ascii="Arial" w:hAnsi="Arial" w:cs="Arial"/>
          <w:sz w:val="20"/>
          <w:szCs w:val="20"/>
          <w:lang w:val="en-GB"/>
        </w:rPr>
        <w:t xml:space="preserve"> July 1985, vo.83, cc.559-70.</w:t>
      </w:r>
    </w:p>
  </w:footnote>
  <w:footnote w:id="23">
    <w:p w14:paraId="0B8485E4" w14:textId="77777777" w:rsidR="00375B01" w:rsidRPr="00B21FEF" w:rsidRDefault="00375B01" w:rsidP="00B21FEF">
      <w:pPr>
        <w:pStyle w:val="FootnoteText"/>
        <w:jc w:val="both"/>
        <w:rPr>
          <w:rFonts w:ascii="Arial" w:hAnsi="Arial" w:cs="Arial"/>
          <w:sz w:val="20"/>
          <w:szCs w:val="20"/>
          <w:lang w:val="en-GB"/>
        </w:rPr>
      </w:pPr>
      <w:r w:rsidRPr="00394E00">
        <w:rPr>
          <w:rStyle w:val="FootnoteReference"/>
          <w:rFonts w:ascii="Arial" w:hAnsi="Arial" w:cs="Arial"/>
          <w:sz w:val="20"/>
          <w:szCs w:val="20"/>
        </w:rPr>
        <w:footnoteRef/>
      </w:r>
      <w:r w:rsidRPr="00394E00">
        <w:rPr>
          <w:rFonts w:ascii="Arial" w:hAnsi="Arial" w:cs="Arial"/>
          <w:sz w:val="20"/>
          <w:szCs w:val="20"/>
        </w:rPr>
        <w:t xml:space="preserve"> See for example: </w:t>
      </w:r>
      <w:r w:rsidRPr="00C66B37">
        <w:rPr>
          <w:rFonts w:ascii="Arial" w:hAnsi="Arial" w:cs="Arial"/>
          <w:i/>
          <w:sz w:val="20"/>
          <w:szCs w:val="20"/>
        </w:rPr>
        <w:t>Re SEIL Trade Finance Ltd</w:t>
      </w:r>
      <w:r w:rsidRPr="00C66B37">
        <w:rPr>
          <w:rFonts w:ascii="Arial" w:hAnsi="Arial" w:cs="Arial"/>
          <w:sz w:val="20"/>
          <w:szCs w:val="20"/>
        </w:rPr>
        <w:t xml:space="preserve"> [1992] B.C.C. 538.</w:t>
      </w:r>
    </w:p>
  </w:footnote>
  <w:footnote w:id="24">
    <w:p w14:paraId="761120D8" w14:textId="77777777" w:rsidR="00375B01" w:rsidRPr="00B21FEF" w:rsidRDefault="00375B01" w:rsidP="00B21FEF">
      <w:pPr>
        <w:pStyle w:val="FootnoteText"/>
        <w:jc w:val="both"/>
        <w:rPr>
          <w:rFonts w:ascii="Arial" w:hAnsi="Arial" w:cs="Arial"/>
          <w:sz w:val="20"/>
          <w:szCs w:val="20"/>
          <w:lang w:val="en-GB"/>
        </w:rPr>
      </w:pPr>
      <w:r w:rsidRPr="00B21FEF">
        <w:rPr>
          <w:rStyle w:val="FootnoteReference"/>
          <w:rFonts w:ascii="Arial" w:hAnsi="Arial" w:cs="Arial"/>
          <w:sz w:val="20"/>
          <w:szCs w:val="20"/>
        </w:rPr>
        <w:footnoteRef/>
      </w:r>
      <w:r w:rsidRPr="00B21FEF">
        <w:rPr>
          <w:rFonts w:ascii="Arial" w:hAnsi="Arial" w:cs="Arial"/>
          <w:sz w:val="20"/>
          <w:szCs w:val="20"/>
        </w:rPr>
        <w:t xml:space="preserve"> </w:t>
      </w:r>
      <w:r w:rsidRPr="00B21FEF">
        <w:rPr>
          <w:rFonts w:ascii="Arial" w:hAnsi="Arial" w:cs="Arial"/>
          <w:sz w:val="20"/>
          <w:szCs w:val="20"/>
          <w:lang w:val="en-GB"/>
        </w:rPr>
        <w:t xml:space="preserve">s.214(4) Insolvency Act 1986. </w:t>
      </w:r>
    </w:p>
  </w:footnote>
  <w:footnote w:id="25">
    <w:p w14:paraId="0A25E4F7" w14:textId="77777777" w:rsidR="00375B01" w:rsidRPr="00B21FEF" w:rsidRDefault="00375B01" w:rsidP="00B21FEF">
      <w:pPr>
        <w:pStyle w:val="FootnoteText"/>
        <w:jc w:val="both"/>
        <w:rPr>
          <w:rFonts w:ascii="Arial" w:hAnsi="Arial" w:cs="Arial"/>
          <w:sz w:val="20"/>
          <w:szCs w:val="20"/>
          <w:lang w:val="en-GB"/>
        </w:rPr>
      </w:pPr>
      <w:r w:rsidRPr="00B21FEF">
        <w:rPr>
          <w:rStyle w:val="FootnoteReference"/>
          <w:rFonts w:ascii="Arial" w:hAnsi="Arial" w:cs="Arial"/>
          <w:sz w:val="20"/>
          <w:szCs w:val="20"/>
        </w:rPr>
        <w:footnoteRef/>
      </w:r>
      <w:r w:rsidRPr="00B21FEF">
        <w:rPr>
          <w:rFonts w:ascii="Arial" w:hAnsi="Arial" w:cs="Arial"/>
          <w:sz w:val="20"/>
          <w:szCs w:val="20"/>
        </w:rPr>
        <w:t xml:space="preserve"> </w:t>
      </w:r>
      <w:r w:rsidRPr="00B21FEF">
        <w:rPr>
          <w:rFonts w:ascii="Arial" w:hAnsi="Arial" w:cs="Arial"/>
          <w:sz w:val="20"/>
          <w:szCs w:val="20"/>
          <w:lang w:val="en-GB"/>
        </w:rPr>
        <w:t xml:space="preserve">See: </w:t>
      </w:r>
      <w:r w:rsidRPr="00B21FEF">
        <w:rPr>
          <w:rFonts w:ascii="Arial" w:hAnsi="Arial" w:cs="Arial"/>
          <w:i/>
          <w:sz w:val="20"/>
          <w:szCs w:val="20"/>
          <w:lang w:val="en-GB"/>
        </w:rPr>
        <w:t>Norman v. Theodore Goddard</w:t>
      </w:r>
      <w:r w:rsidRPr="00B21FEF">
        <w:rPr>
          <w:rFonts w:ascii="Arial" w:hAnsi="Arial" w:cs="Arial"/>
          <w:sz w:val="20"/>
          <w:szCs w:val="20"/>
          <w:lang w:val="en-GB"/>
        </w:rPr>
        <w:t xml:space="preserve"> [1992] B.C.C. 14; [1991] B.C.L.C 1028.</w:t>
      </w:r>
    </w:p>
  </w:footnote>
  <w:footnote w:id="26">
    <w:p w14:paraId="6ACD8EA7" w14:textId="77777777" w:rsidR="00375B01" w:rsidRPr="00B21FEF" w:rsidRDefault="00375B01" w:rsidP="00B21FEF">
      <w:pPr>
        <w:pStyle w:val="FootnoteText"/>
        <w:jc w:val="both"/>
        <w:rPr>
          <w:rFonts w:ascii="Arial" w:hAnsi="Arial" w:cs="Arial"/>
          <w:sz w:val="20"/>
          <w:szCs w:val="20"/>
          <w:lang w:val="en-GB"/>
        </w:rPr>
      </w:pPr>
      <w:r w:rsidRPr="00B21FEF">
        <w:rPr>
          <w:rStyle w:val="FootnoteReference"/>
          <w:rFonts w:ascii="Arial" w:hAnsi="Arial" w:cs="Arial"/>
          <w:sz w:val="20"/>
          <w:szCs w:val="20"/>
        </w:rPr>
        <w:footnoteRef/>
      </w:r>
      <w:r w:rsidRPr="00B21FEF">
        <w:rPr>
          <w:rFonts w:ascii="Arial" w:hAnsi="Arial" w:cs="Arial"/>
          <w:sz w:val="20"/>
          <w:szCs w:val="20"/>
        </w:rPr>
        <w:t xml:space="preserve"> See: </w:t>
      </w:r>
      <w:r w:rsidRPr="00B21FEF">
        <w:rPr>
          <w:rFonts w:ascii="Arial" w:hAnsi="Arial" w:cs="Arial"/>
          <w:i/>
          <w:sz w:val="20"/>
          <w:szCs w:val="20"/>
        </w:rPr>
        <w:t xml:space="preserve">Dorchester Finance Co v. </w:t>
      </w:r>
      <w:proofErr w:type="spellStart"/>
      <w:r w:rsidRPr="00B21FEF">
        <w:rPr>
          <w:rFonts w:ascii="Arial" w:hAnsi="Arial" w:cs="Arial"/>
          <w:i/>
          <w:sz w:val="20"/>
          <w:szCs w:val="20"/>
        </w:rPr>
        <w:t>Stebbing</w:t>
      </w:r>
      <w:proofErr w:type="spellEnd"/>
      <w:r w:rsidRPr="00B21FEF">
        <w:rPr>
          <w:rFonts w:ascii="Arial" w:hAnsi="Arial" w:cs="Arial"/>
          <w:sz w:val="20"/>
          <w:szCs w:val="20"/>
        </w:rPr>
        <w:t xml:space="preserve"> [1989] BCLC 498.</w:t>
      </w:r>
    </w:p>
  </w:footnote>
  <w:footnote w:id="27">
    <w:p w14:paraId="6AE67BF9" w14:textId="314692B8" w:rsidR="00375B01" w:rsidRPr="00B21FEF" w:rsidRDefault="00375B01" w:rsidP="00B21FEF">
      <w:pPr>
        <w:pStyle w:val="FootnoteText"/>
        <w:jc w:val="both"/>
        <w:rPr>
          <w:rFonts w:ascii="Arial" w:hAnsi="Arial" w:cs="Arial"/>
          <w:sz w:val="20"/>
          <w:szCs w:val="20"/>
          <w:lang w:val="en-GB"/>
        </w:rPr>
      </w:pPr>
      <w:r w:rsidRPr="00B21FEF">
        <w:rPr>
          <w:rStyle w:val="FootnoteReference"/>
          <w:rFonts w:ascii="Arial" w:hAnsi="Arial" w:cs="Arial"/>
          <w:sz w:val="20"/>
          <w:szCs w:val="20"/>
        </w:rPr>
        <w:footnoteRef/>
      </w:r>
      <w:r w:rsidRPr="00B21FEF">
        <w:rPr>
          <w:rFonts w:ascii="Arial" w:hAnsi="Arial" w:cs="Arial"/>
          <w:sz w:val="20"/>
          <w:szCs w:val="20"/>
        </w:rPr>
        <w:t xml:space="preserve"> </w:t>
      </w:r>
      <w:r w:rsidRPr="00B21FEF">
        <w:rPr>
          <w:rFonts w:ascii="Arial" w:hAnsi="Arial" w:cs="Arial"/>
          <w:sz w:val="20"/>
          <w:szCs w:val="20"/>
          <w:lang w:val="en-GB"/>
        </w:rPr>
        <w:t xml:space="preserve">See for example </w:t>
      </w:r>
      <w:r w:rsidRPr="00B21FEF">
        <w:rPr>
          <w:rFonts w:ascii="Arial" w:hAnsi="Arial" w:cs="Arial"/>
          <w:i/>
          <w:sz w:val="20"/>
          <w:szCs w:val="20"/>
          <w:lang w:val="en-GB"/>
        </w:rPr>
        <w:t xml:space="preserve">Re </w:t>
      </w:r>
      <w:proofErr w:type="spellStart"/>
      <w:r w:rsidRPr="00B21FEF">
        <w:rPr>
          <w:rFonts w:ascii="Arial" w:hAnsi="Arial" w:cs="Arial"/>
          <w:i/>
          <w:sz w:val="20"/>
          <w:szCs w:val="20"/>
          <w:lang w:val="en-GB"/>
        </w:rPr>
        <w:t>D'Jan</w:t>
      </w:r>
      <w:proofErr w:type="spellEnd"/>
      <w:r w:rsidRPr="00B21FEF">
        <w:rPr>
          <w:rFonts w:ascii="Arial" w:hAnsi="Arial" w:cs="Arial"/>
          <w:i/>
          <w:sz w:val="20"/>
          <w:szCs w:val="20"/>
          <w:lang w:val="en-GB"/>
        </w:rPr>
        <w:t xml:space="preserve"> of London Ltd</w:t>
      </w:r>
      <w:r w:rsidRPr="00B21FEF">
        <w:rPr>
          <w:rFonts w:ascii="Arial" w:hAnsi="Arial" w:cs="Arial"/>
          <w:sz w:val="20"/>
          <w:szCs w:val="20"/>
          <w:lang w:val="en-GB"/>
        </w:rPr>
        <w:t xml:space="preserve"> [1994] 1 BCLC 561 i</w:t>
      </w:r>
      <w:r>
        <w:rPr>
          <w:rFonts w:ascii="Arial" w:hAnsi="Arial" w:cs="Arial"/>
          <w:sz w:val="20"/>
          <w:szCs w:val="20"/>
          <w:lang w:val="en-GB"/>
        </w:rPr>
        <w:t>n</w:t>
      </w:r>
      <w:r w:rsidRPr="00B21FEF">
        <w:rPr>
          <w:rFonts w:ascii="Arial" w:hAnsi="Arial" w:cs="Arial"/>
          <w:sz w:val="20"/>
          <w:szCs w:val="20"/>
          <w:lang w:val="en-GB"/>
        </w:rPr>
        <w:t xml:space="preserve"> the broader directors’ duties sense, now governed by the remarkably similar s.174 Companies Act 2006. </w:t>
      </w:r>
    </w:p>
  </w:footnote>
  <w:footnote w:id="28">
    <w:p w14:paraId="272F0176" w14:textId="77777777" w:rsidR="00375B01" w:rsidRPr="00FF1559" w:rsidRDefault="00375B01" w:rsidP="00B21FEF">
      <w:pPr>
        <w:pStyle w:val="FootnoteText"/>
        <w:jc w:val="both"/>
        <w:rPr>
          <w:rFonts w:ascii="Arial" w:hAnsi="Arial" w:cs="Arial"/>
          <w:sz w:val="20"/>
          <w:szCs w:val="20"/>
          <w:lang w:val="en-GB"/>
        </w:rPr>
      </w:pPr>
      <w:r w:rsidRPr="00B21FEF">
        <w:rPr>
          <w:rStyle w:val="FootnoteReference"/>
          <w:rFonts w:ascii="Arial" w:hAnsi="Arial" w:cs="Arial"/>
          <w:sz w:val="20"/>
          <w:szCs w:val="20"/>
        </w:rPr>
        <w:footnoteRef/>
      </w:r>
      <w:r w:rsidRPr="00B21FEF">
        <w:rPr>
          <w:rFonts w:ascii="Arial" w:hAnsi="Arial" w:cs="Arial"/>
          <w:sz w:val="20"/>
          <w:szCs w:val="20"/>
        </w:rPr>
        <w:t xml:space="preserve"> See: </w:t>
      </w:r>
      <w:r w:rsidRPr="00B21FEF">
        <w:rPr>
          <w:rFonts w:ascii="Arial" w:hAnsi="Arial" w:cs="Arial"/>
          <w:i/>
          <w:sz w:val="20"/>
          <w:szCs w:val="20"/>
        </w:rPr>
        <w:t>Re Produce Marketing Consortium Ltd (No 2)</w:t>
      </w:r>
      <w:r w:rsidRPr="00B21FEF">
        <w:rPr>
          <w:rFonts w:ascii="Arial" w:hAnsi="Arial" w:cs="Arial"/>
          <w:sz w:val="20"/>
          <w:szCs w:val="20"/>
        </w:rPr>
        <w:t xml:space="preserve"> [1989] 5 BCC 569.</w:t>
      </w:r>
    </w:p>
  </w:footnote>
  <w:footnote w:id="29">
    <w:p w14:paraId="5157C509" w14:textId="77777777" w:rsidR="00375B01" w:rsidRPr="00C302AC" w:rsidRDefault="00375B01" w:rsidP="00FF1559">
      <w:pPr>
        <w:pStyle w:val="FootnoteText"/>
        <w:jc w:val="both"/>
        <w:rPr>
          <w:rFonts w:ascii="Arial" w:hAnsi="Arial" w:cs="Arial"/>
          <w:sz w:val="20"/>
          <w:szCs w:val="20"/>
          <w:lang w:val="en-GB"/>
        </w:rPr>
      </w:pPr>
      <w:r w:rsidRPr="00FF1559">
        <w:rPr>
          <w:rStyle w:val="FootnoteReference"/>
          <w:rFonts w:ascii="Arial" w:hAnsi="Arial" w:cs="Arial"/>
          <w:sz w:val="20"/>
          <w:szCs w:val="20"/>
        </w:rPr>
        <w:footnoteRef/>
      </w:r>
      <w:r w:rsidRPr="00FF1559">
        <w:rPr>
          <w:rFonts w:ascii="Arial" w:hAnsi="Arial" w:cs="Arial"/>
          <w:sz w:val="20"/>
          <w:szCs w:val="20"/>
        </w:rPr>
        <w:t xml:space="preserve"> See further: HMRC’ s </w:t>
      </w:r>
      <w:r w:rsidRPr="00FF1559">
        <w:rPr>
          <w:rFonts w:ascii="Arial" w:hAnsi="Arial" w:cs="Arial"/>
          <w:i/>
          <w:sz w:val="20"/>
          <w:szCs w:val="20"/>
        </w:rPr>
        <w:t>Tax Abuse and Insolvency: a Discussion Document</w:t>
      </w:r>
      <w:r w:rsidRPr="00FF1559">
        <w:rPr>
          <w:rFonts w:ascii="Arial" w:hAnsi="Arial" w:cs="Arial"/>
          <w:sz w:val="20"/>
          <w:szCs w:val="20"/>
        </w:rPr>
        <w:t xml:space="preserve"> (April 2018). Available here: </w:t>
      </w:r>
      <w:hyperlink r:id="rId2" w:history="1">
        <w:r w:rsidRPr="00FF1559">
          <w:rPr>
            <w:rStyle w:val="Hyperlink"/>
            <w:rFonts w:ascii="Arial" w:hAnsi="Arial" w:cs="Arial"/>
            <w:sz w:val="20"/>
            <w:szCs w:val="20"/>
          </w:rPr>
          <w:t>https://www.gov.uk/government/consultations/tax-abuse-and-insolvency</w:t>
        </w:r>
      </w:hyperlink>
      <w:r>
        <w:rPr>
          <w:rFonts w:ascii="Arial" w:hAnsi="Arial" w:cs="Arial"/>
          <w:sz w:val="20"/>
          <w:szCs w:val="20"/>
        </w:rPr>
        <w:t xml:space="preserve"> </w:t>
      </w:r>
    </w:p>
  </w:footnote>
  <w:footnote w:id="30">
    <w:p w14:paraId="2F2EDAD0" w14:textId="77777777" w:rsidR="00375B01" w:rsidRPr="0084704B" w:rsidRDefault="00375B01" w:rsidP="0084704B">
      <w:pPr>
        <w:pStyle w:val="FootnoteText"/>
        <w:jc w:val="both"/>
        <w:rPr>
          <w:rFonts w:ascii="Arial" w:hAnsi="Arial" w:cs="Arial"/>
          <w:sz w:val="20"/>
          <w:szCs w:val="20"/>
          <w:lang w:val="en-GB"/>
        </w:rPr>
      </w:pPr>
      <w:r w:rsidRPr="0084704B">
        <w:rPr>
          <w:rStyle w:val="FootnoteReference"/>
          <w:rFonts w:ascii="Arial" w:hAnsi="Arial" w:cs="Arial"/>
          <w:sz w:val="20"/>
          <w:szCs w:val="20"/>
        </w:rPr>
        <w:footnoteRef/>
      </w:r>
      <w:r w:rsidRPr="0084704B">
        <w:rPr>
          <w:rFonts w:ascii="Arial" w:hAnsi="Arial" w:cs="Arial"/>
          <w:sz w:val="20"/>
          <w:szCs w:val="20"/>
        </w:rPr>
        <w:t xml:space="preserve"> </w:t>
      </w:r>
      <w:r w:rsidRPr="0084704B">
        <w:rPr>
          <w:rFonts w:ascii="Arial" w:hAnsi="Arial" w:cs="Arial"/>
          <w:sz w:val="20"/>
          <w:szCs w:val="20"/>
          <w:lang w:val="en-GB"/>
        </w:rPr>
        <w:t xml:space="preserve">See further: Davis-White, M &amp; Walters, A. </w:t>
      </w:r>
      <w:r w:rsidRPr="0084704B">
        <w:rPr>
          <w:rFonts w:ascii="Arial" w:hAnsi="Arial" w:cs="Arial"/>
          <w:i/>
          <w:sz w:val="20"/>
          <w:szCs w:val="20"/>
          <w:lang w:val="en-GB"/>
        </w:rPr>
        <w:t>Directors' Disqualification and Insolvency Restrictions</w:t>
      </w:r>
      <w:r w:rsidRPr="0084704B">
        <w:rPr>
          <w:rFonts w:ascii="Arial" w:hAnsi="Arial" w:cs="Arial"/>
          <w:sz w:val="20"/>
          <w:szCs w:val="20"/>
          <w:lang w:val="en-GB"/>
        </w:rPr>
        <w:t>. 3</w:t>
      </w:r>
      <w:r w:rsidRPr="0084704B">
        <w:rPr>
          <w:rFonts w:ascii="Arial" w:hAnsi="Arial" w:cs="Arial"/>
          <w:sz w:val="20"/>
          <w:szCs w:val="20"/>
          <w:vertAlign w:val="superscript"/>
          <w:lang w:val="en-GB"/>
        </w:rPr>
        <w:t>rd</w:t>
      </w:r>
      <w:r w:rsidRPr="0084704B">
        <w:rPr>
          <w:rFonts w:ascii="Arial" w:hAnsi="Arial" w:cs="Arial"/>
          <w:sz w:val="20"/>
          <w:szCs w:val="20"/>
          <w:lang w:val="en-GB"/>
        </w:rPr>
        <w:t xml:space="preserve"> Ed. Sweet &amp; Maxwell Ltd, 2009. See also: Williams, R. </w:t>
      </w:r>
      <w:r w:rsidRPr="0084704B">
        <w:rPr>
          <w:rFonts w:ascii="Arial" w:hAnsi="Arial" w:cs="Arial"/>
          <w:i/>
          <w:sz w:val="20"/>
          <w:szCs w:val="20"/>
          <w:lang w:val="en-GB"/>
        </w:rPr>
        <w:t>Disqualifying directors: a remedy worse than the disease?</w:t>
      </w:r>
      <w:r w:rsidRPr="0084704B">
        <w:rPr>
          <w:rFonts w:ascii="Arial" w:hAnsi="Arial" w:cs="Arial"/>
          <w:sz w:val="20"/>
          <w:szCs w:val="20"/>
          <w:lang w:val="en-GB"/>
        </w:rPr>
        <w:t xml:space="preserve"> (2007) J.C.L.S. 2007, 7(2), 213-242.</w:t>
      </w:r>
    </w:p>
  </w:footnote>
  <w:footnote w:id="31">
    <w:p w14:paraId="338D30A9" w14:textId="77777777" w:rsidR="00375B01" w:rsidRPr="00CF1F0D" w:rsidRDefault="00375B01" w:rsidP="00CF1F0D">
      <w:pPr>
        <w:pStyle w:val="FootnoteText"/>
        <w:jc w:val="both"/>
        <w:rPr>
          <w:rFonts w:ascii="Arial" w:hAnsi="Arial" w:cs="Arial"/>
          <w:color w:val="000000" w:themeColor="text1"/>
          <w:sz w:val="20"/>
          <w:szCs w:val="20"/>
        </w:rPr>
      </w:pPr>
      <w:r w:rsidRPr="00CF1F0D">
        <w:rPr>
          <w:rStyle w:val="FootnoteReference"/>
          <w:rFonts w:ascii="Arial" w:hAnsi="Arial" w:cs="Arial"/>
          <w:color w:val="000000" w:themeColor="text1"/>
          <w:sz w:val="20"/>
          <w:szCs w:val="20"/>
        </w:rPr>
        <w:footnoteRef/>
      </w:r>
      <w:r w:rsidRPr="00CF1F0D">
        <w:rPr>
          <w:rFonts w:ascii="Arial" w:hAnsi="Arial" w:cs="Arial"/>
          <w:color w:val="000000" w:themeColor="text1"/>
          <w:sz w:val="20"/>
          <w:szCs w:val="20"/>
        </w:rPr>
        <w:t xml:space="preserve"> as Professor Sir Otto Kahn Freund QC FBA might hope, see: Kahn Freund, O. </w:t>
      </w:r>
      <w:r w:rsidRPr="00CF1F0D">
        <w:rPr>
          <w:rFonts w:ascii="Arial" w:hAnsi="Arial" w:cs="Arial"/>
          <w:i/>
          <w:color w:val="000000" w:themeColor="text1"/>
          <w:sz w:val="20"/>
          <w:szCs w:val="20"/>
        </w:rPr>
        <w:t>Some Reflections on Company Law Reform</w:t>
      </w:r>
      <w:r w:rsidRPr="00CF1F0D">
        <w:rPr>
          <w:rFonts w:ascii="Arial" w:hAnsi="Arial" w:cs="Arial"/>
          <w:color w:val="000000" w:themeColor="text1"/>
          <w:sz w:val="20"/>
          <w:szCs w:val="20"/>
        </w:rPr>
        <w:t xml:space="preserve"> (1944) MLR, Vol. 7, Issues 1 and 2, pp. 54-66. </w:t>
      </w:r>
    </w:p>
  </w:footnote>
  <w:footnote w:id="32">
    <w:p w14:paraId="4A9087BB" w14:textId="77777777" w:rsidR="00375B01" w:rsidRPr="00C302AC" w:rsidRDefault="00375B01" w:rsidP="00C302AC">
      <w:pPr>
        <w:pStyle w:val="FootnoteText"/>
        <w:jc w:val="both"/>
        <w:rPr>
          <w:rFonts w:ascii="Arial" w:hAnsi="Arial" w:cs="Arial"/>
          <w:sz w:val="20"/>
          <w:szCs w:val="20"/>
          <w:lang w:val="en-GB"/>
        </w:rPr>
      </w:pPr>
      <w:r w:rsidRPr="00C302AC">
        <w:rPr>
          <w:rStyle w:val="FootnoteReference"/>
          <w:rFonts w:ascii="Arial" w:hAnsi="Arial" w:cs="Arial"/>
          <w:sz w:val="20"/>
          <w:szCs w:val="20"/>
        </w:rPr>
        <w:footnoteRef/>
      </w:r>
      <w:r w:rsidRPr="00C302AC">
        <w:rPr>
          <w:rFonts w:ascii="Arial" w:hAnsi="Arial" w:cs="Arial"/>
          <w:sz w:val="20"/>
          <w:szCs w:val="20"/>
        </w:rPr>
        <w:t xml:space="preserve"> </w:t>
      </w:r>
      <w:r>
        <w:rPr>
          <w:rFonts w:ascii="Arial" w:hAnsi="Arial" w:cs="Arial"/>
          <w:sz w:val="20"/>
          <w:szCs w:val="20"/>
        </w:rPr>
        <w:t xml:space="preserve">Tribe, J. </w:t>
      </w:r>
      <w:r w:rsidRPr="005E06F0">
        <w:rPr>
          <w:rFonts w:ascii="Arial" w:hAnsi="Arial" w:cs="Arial"/>
          <w:i/>
          <w:sz w:val="20"/>
          <w:szCs w:val="20"/>
        </w:rPr>
        <w:t>The disqualification of company directors: background to the regime and some recent reform activity in the United Kingdom</w:t>
      </w:r>
      <w:r>
        <w:rPr>
          <w:rFonts w:ascii="Arial" w:hAnsi="Arial" w:cs="Arial"/>
          <w:sz w:val="20"/>
          <w:szCs w:val="20"/>
        </w:rPr>
        <w:t xml:space="preserve"> (2013) Insol.LB</w:t>
      </w:r>
      <w:r w:rsidRPr="005E06F0">
        <w:rPr>
          <w:rFonts w:ascii="Arial" w:hAnsi="Arial" w:cs="Arial"/>
          <w:sz w:val="20"/>
          <w:szCs w:val="20"/>
        </w:rPr>
        <w:t>, 14(3), 47-54.</w:t>
      </w:r>
    </w:p>
  </w:footnote>
  <w:footnote w:id="33">
    <w:p w14:paraId="25B3DD96" w14:textId="77777777" w:rsidR="00375B01" w:rsidRPr="00C302AC" w:rsidRDefault="00375B01" w:rsidP="00C302AC">
      <w:pPr>
        <w:pStyle w:val="FootnoteText"/>
        <w:jc w:val="both"/>
        <w:rPr>
          <w:rFonts w:ascii="Arial" w:hAnsi="Arial" w:cs="Arial"/>
          <w:sz w:val="20"/>
          <w:szCs w:val="20"/>
          <w:lang w:val="en-GB"/>
        </w:rPr>
      </w:pPr>
      <w:r w:rsidRPr="00C302AC">
        <w:rPr>
          <w:rStyle w:val="FootnoteReference"/>
          <w:rFonts w:ascii="Arial" w:hAnsi="Arial" w:cs="Arial"/>
          <w:sz w:val="20"/>
          <w:szCs w:val="20"/>
        </w:rPr>
        <w:footnoteRef/>
      </w:r>
      <w:r w:rsidRPr="00C302AC">
        <w:rPr>
          <w:rFonts w:ascii="Arial" w:hAnsi="Arial" w:cs="Arial"/>
          <w:sz w:val="20"/>
          <w:szCs w:val="20"/>
        </w:rPr>
        <w:t xml:space="preserve"> s.6 CDDA.</w:t>
      </w:r>
    </w:p>
  </w:footnote>
  <w:footnote w:id="34">
    <w:p w14:paraId="0048965E" w14:textId="77777777" w:rsidR="00375B01" w:rsidRPr="00C302AC" w:rsidRDefault="00375B01" w:rsidP="00C302AC">
      <w:pPr>
        <w:pStyle w:val="FootnoteText"/>
        <w:jc w:val="both"/>
        <w:rPr>
          <w:rFonts w:ascii="Arial" w:hAnsi="Arial" w:cs="Arial"/>
          <w:sz w:val="20"/>
          <w:szCs w:val="20"/>
          <w:lang w:val="en-GB"/>
        </w:rPr>
      </w:pPr>
      <w:r w:rsidRPr="00C302AC">
        <w:rPr>
          <w:rStyle w:val="FootnoteReference"/>
          <w:rFonts w:ascii="Arial" w:hAnsi="Arial" w:cs="Arial"/>
          <w:sz w:val="20"/>
          <w:szCs w:val="20"/>
        </w:rPr>
        <w:footnoteRef/>
      </w:r>
      <w:r w:rsidRPr="00C302AC">
        <w:rPr>
          <w:rFonts w:ascii="Arial" w:hAnsi="Arial" w:cs="Arial"/>
          <w:sz w:val="20"/>
          <w:szCs w:val="20"/>
        </w:rPr>
        <w:t xml:space="preserve"> [1991] BCLC 325, [1991] Ch 164.</w:t>
      </w:r>
    </w:p>
  </w:footnote>
  <w:footnote w:id="35">
    <w:p w14:paraId="7BBD4393" w14:textId="77777777" w:rsidR="00375B01" w:rsidRPr="00C302AC" w:rsidRDefault="00375B01" w:rsidP="00A93849">
      <w:pPr>
        <w:jc w:val="both"/>
        <w:rPr>
          <w:rFonts w:ascii="Arial" w:hAnsi="Arial" w:cs="Arial"/>
          <w:sz w:val="20"/>
          <w:szCs w:val="20"/>
        </w:rPr>
      </w:pPr>
      <w:r w:rsidRPr="00C302AC">
        <w:rPr>
          <w:rStyle w:val="FootnoteReference"/>
          <w:rFonts w:ascii="Arial" w:hAnsi="Arial" w:cs="Arial"/>
          <w:sz w:val="20"/>
          <w:szCs w:val="20"/>
        </w:rPr>
        <w:footnoteRef/>
      </w:r>
      <w:r w:rsidRPr="00C302AC">
        <w:rPr>
          <w:rFonts w:ascii="Arial" w:hAnsi="Arial" w:cs="Arial"/>
          <w:sz w:val="20"/>
          <w:szCs w:val="20"/>
        </w:rPr>
        <w:t xml:space="preserve"> Professor Sally Wheeler's essay on directors disqualification (Wheeler, S. </w:t>
      </w:r>
      <w:r w:rsidRPr="00C302AC">
        <w:rPr>
          <w:rFonts w:ascii="Arial" w:hAnsi="Arial" w:cs="Arial"/>
          <w:i/>
          <w:sz w:val="20"/>
          <w:szCs w:val="20"/>
        </w:rPr>
        <w:t>Disqualification of Directors: A Broader View</w:t>
      </w:r>
      <w:r w:rsidRPr="00C302AC">
        <w:rPr>
          <w:rFonts w:ascii="Arial" w:hAnsi="Arial" w:cs="Arial"/>
          <w:sz w:val="20"/>
          <w:szCs w:val="20"/>
        </w:rPr>
        <w:t xml:space="preserve">, in: </w:t>
      </w:r>
      <w:proofErr w:type="spellStart"/>
      <w:r w:rsidRPr="00C302AC">
        <w:rPr>
          <w:rFonts w:ascii="Arial" w:hAnsi="Arial" w:cs="Arial"/>
          <w:sz w:val="20"/>
          <w:szCs w:val="20"/>
        </w:rPr>
        <w:t>Rajak</w:t>
      </w:r>
      <w:proofErr w:type="spellEnd"/>
      <w:r w:rsidRPr="00C302AC">
        <w:rPr>
          <w:rFonts w:ascii="Arial" w:hAnsi="Arial" w:cs="Arial"/>
          <w:sz w:val="20"/>
          <w:szCs w:val="20"/>
        </w:rPr>
        <w:t xml:space="preserve">, H (Ed). </w:t>
      </w:r>
      <w:r w:rsidRPr="00C302AC">
        <w:rPr>
          <w:rFonts w:ascii="Arial" w:hAnsi="Arial" w:cs="Arial"/>
          <w:i/>
          <w:sz w:val="20"/>
          <w:szCs w:val="20"/>
        </w:rPr>
        <w:t>Insolvency Law: Theory and Practice</w:t>
      </w:r>
      <w:r w:rsidRPr="00C302AC">
        <w:rPr>
          <w:rFonts w:ascii="Arial" w:hAnsi="Arial" w:cs="Arial"/>
          <w:sz w:val="20"/>
          <w:szCs w:val="20"/>
        </w:rPr>
        <w:t xml:space="preserve">. Sweet and Maxwell Ltd, London, 1991) provides an interesting discussion of the area, particularly from the perspective of how civil provisions are used to punish directors and how judges may be using inappropriate policy mechanisms when coming to their decisions. </w:t>
      </w:r>
    </w:p>
  </w:footnote>
  <w:footnote w:id="36">
    <w:p w14:paraId="26D65DC9" w14:textId="77777777" w:rsidR="00375B01" w:rsidRPr="00807E67" w:rsidRDefault="00375B01" w:rsidP="00C302AC">
      <w:pPr>
        <w:jc w:val="both"/>
        <w:rPr>
          <w:rFonts w:ascii="Arial" w:hAnsi="Arial" w:cs="Arial"/>
          <w:sz w:val="20"/>
          <w:szCs w:val="20"/>
        </w:rPr>
      </w:pPr>
      <w:r w:rsidRPr="00C302AC">
        <w:rPr>
          <w:rStyle w:val="FootnoteReference"/>
          <w:rFonts w:ascii="Arial" w:hAnsi="Arial" w:cs="Arial"/>
          <w:sz w:val="20"/>
          <w:szCs w:val="20"/>
        </w:rPr>
        <w:footnoteRef/>
      </w:r>
      <w:r w:rsidRPr="00C302AC">
        <w:rPr>
          <w:rFonts w:ascii="Arial" w:hAnsi="Arial" w:cs="Arial"/>
          <w:sz w:val="20"/>
          <w:szCs w:val="20"/>
        </w:rPr>
        <w:t xml:space="preserve"> See for example: </w:t>
      </w:r>
      <w:r w:rsidRPr="00C302AC">
        <w:rPr>
          <w:rFonts w:ascii="Arial" w:hAnsi="Arial" w:cs="Arial"/>
          <w:i/>
          <w:sz w:val="20"/>
          <w:szCs w:val="20"/>
        </w:rPr>
        <w:t>Re Sevenoaks Stationers (Retail) Ltd</w:t>
      </w:r>
      <w:r w:rsidRPr="00C302AC">
        <w:rPr>
          <w:rFonts w:ascii="Arial" w:hAnsi="Arial" w:cs="Arial"/>
          <w:sz w:val="20"/>
          <w:szCs w:val="20"/>
        </w:rPr>
        <w:t xml:space="preserve"> [1991] BCLC 325, [1991] Ch 164 (5 years disqualification for, inter alia, failing to keep proper accounting records of one of the companies); </w:t>
      </w:r>
      <w:r w:rsidRPr="00C302AC">
        <w:rPr>
          <w:rFonts w:ascii="Arial" w:hAnsi="Arial" w:cs="Arial"/>
          <w:i/>
          <w:sz w:val="20"/>
          <w:szCs w:val="20"/>
        </w:rPr>
        <w:t xml:space="preserve">Re </w:t>
      </w:r>
      <w:r w:rsidRPr="00133F67">
        <w:rPr>
          <w:rFonts w:ascii="Arial" w:hAnsi="Arial" w:cs="Arial"/>
          <w:i/>
          <w:sz w:val="20"/>
          <w:szCs w:val="20"/>
        </w:rPr>
        <w:t>Lo-Line Electric Motors Limited</w:t>
      </w:r>
      <w:r w:rsidRPr="00133F67">
        <w:rPr>
          <w:rFonts w:ascii="Arial" w:hAnsi="Arial" w:cs="Arial"/>
          <w:sz w:val="20"/>
          <w:szCs w:val="20"/>
        </w:rPr>
        <w:t xml:space="preserve"> [1988] Ch 477 (3 years disqualification where director who had traded through limited companies when he knew them to be insolvent); </w:t>
      </w:r>
      <w:r w:rsidRPr="00133F67">
        <w:rPr>
          <w:rFonts w:ascii="Arial" w:hAnsi="Arial" w:cs="Arial"/>
          <w:i/>
          <w:sz w:val="20"/>
          <w:szCs w:val="20"/>
        </w:rPr>
        <w:t>Re Stanford Services Limited</w:t>
      </w:r>
      <w:r w:rsidRPr="00133F67">
        <w:rPr>
          <w:rFonts w:ascii="Arial" w:hAnsi="Arial" w:cs="Arial"/>
          <w:sz w:val="20"/>
          <w:szCs w:val="20"/>
        </w:rPr>
        <w:t xml:space="preserve"> [1987] BCLC 607 (2 years disqualification for use of Crown debts to finance a company’s trading activities); </w:t>
      </w:r>
      <w:r w:rsidRPr="00133F67">
        <w:rPr>
          <w:rFonts w:ascii="Arial" w:hAnsi="Arial" w:cs="Arial"/>
          <w:i/>
          <w:sz w:val="20"/>
          <w:szCs w:val="20"/>
        </w:rPr>
        <w:t xml:space="preserve">Re </w:t>
      </w:r>
      <w:proofErr w:type="spellStart"/>
      <w:r w:rsidRPr="00133F67">
        <w:rPr>
          <w:rFonts w:ascii="Arial" w:hAnsi="Arial" w:cs="Arial"/>
          <w:i/>
          <w:sz w:val="20"/>
          <w:szCs w:val="20"/>
        </w:rPr>
        <w:t>Rolus</w:t>
      </w:r>
      <w:proofErr w:type="spellEnd"/>
      <w:r w:rsidRPr="00133F67">
        <w:rPr>
          <w:rFonts w:ascii="Arial" w:hAnsi="Arial" w:cs="Arial"/>
          <w:i/>
          <w:sz w:val="20"/>
          <w:szCs w:val="20"/>
        </w:rPr>
        <w:t xml:space="preserve"> Properties Limited</w:t>
      </w:r>
      <w:r w:rsidRPr="00133F67">
        <w:rPr>
          <w:rFonts w:ascii="Arial" w:hAnsi="Arial" w:cs="Arial"/>
          <w:sz w:val="20"/>
          <w:szCs w:val="20"/>
        </w:rPr>
        <w:t xml:space="preserve"> (1988) 4 BCC 446 (2 years disqualification for absence, among other things, of adequate books and accounting records for the companies in question); </w:t>
      </w:r>
      <w:r w:rsidRPr="00133F67">
        <w:rPr>
          <w:rFonts w:ascii="Arial" w:hAnsi="Arial" w:cs="Arial"/>
          <w:i/>
          <w:sz w:val="20"/>
          <w:szCs w:val="20"/>
        </w:rPr>
        <w:t>Re Western Welsh International System Buildings Limited</w:t>
      </w:r>
      <w:r w:rsidRPr="00133F67">
        <w:rPr>
          <w:rFonts w:ascii="Arial" w:hAnsi="Arial" w:cs="Arial"/>
          <w:sz w:val="20"/>
          <w:szCs w:val="20"/>
        </w:rPr>
        <w:t xml:space="preserve"> (1988) 4 BCC 449 (5 years failure to keep proper books or produce proper accounts and trading while insolvent); </w:t>
      </w:r>
      <w:r w:rsidRPr="00133F67">
        <w:rPr>
          <w:rFonts w:ascii="Arial" w:hAnsi="Arial" w:cs="Arial"/>
          <w:i/>
          <w:sz w:val="20"/>
          <w:szCs w:val="20"/>
        </w:rPr>
        <w:t>Re J and B Lynch (Builders) Limited</w:t>
      </w:r>
      <w:r w:rsidRPr="00133F67">
        <w:rPr>
          <w:rFonts w:ascii="Arial" w:hAnsi="Arial" w:cs="Arial"/>
          <w:sz w:val="20"/>
          <w:szCs w:val="20"/>
        </w:rPr>
        <w:t xml:space="preserve"> [1989] BCLC </w:t>
      </w:r>
      <w:r w:rsidRPr="00807E67">
        <w:rPr>
          <w:rFonts w:ascii="Arial" w:hAnsi="Arial" w:cs="Arial"/>
          <w:sz w:val="20"/>
          <w:szCs w:val="20"/>
        </w:rPr>
        <w:t>376 (3 years for substantial unpaid Crown debts).</w:t>
      </w:r>
    </w:p>
  </w:footnote>
  <w:footnote w:id="37">
    <w:p w14:paraId="08D8A1CB" w14:textId="77777777" w:rsidR="00375B01" w:rsidRPr="00807E67" w:rsidRDefault="00375B01" w:rsidP="0053358F">
      <w:pPr>
        <w:pStyle w:val="FootnoteText"/>
        <w:jc w:val="both"/>
        <w:rPr>
          <w:rFonts w:ascii="Arial" w:hAnsi="Arial" w:cs="Arial"/>
          <w:sz w:val="20"/>
          <w:szCs w:val="20"/>
          <w:lang w:val="en-GB"/>
        </w:rPr>
      </w:pPr>
      <w:r w:rsidRPr="00807E67">
        <w:rPr>
          <w:rStyle w:val="FootnoteReference"/>
          <w:rFonts w:ascii="Arial" w:hAnsi="Arial" w:cs="Arial"/>
          <w:sz w:val="20"/>
          <w:szCs w:val="20"/>
        </w:rPr>
        <w:footnoteRef/>
      </w:r>
      <w:r w:rsidRPr="00807E67">
        <w:rPr>
          <w:rFonts w:ascii="Arial" w:hAnsi="Arial" w:cs="Arial"/>
          <w:sz w:val="20"/>
          <w:szCs w:val="20"/>
        </w:rPr>
        <w:t xml:space="preserve"> </w:t>
      </w:r>
      <w:r>
        <w:rPr>
          <w:rFonts w:ascii="Arial" w:hAnsi="Arial" w:cs="Arial"/>
          <w:sz w:val="20"/>
          <w:szCs w:val="20"/>
        </w:rPr>
        <w:t xml:space="preserve">Cork Archive: </w:t>
      </w:r>
      <w:r w:rsidRPr="0053358F">
        <w:rPr>
          <w:rFonts w:ascii="Arial" w:hAnsi="Arial" w:cs="Arial"/>
          <w:i/>
          <w:sz w:val="20"/>
          <w:szCs w:val="20"/>
        </w:rPr>
        <w:t>Insolvency Law Review Committee (ILRC), 46</w:t>
      </w:r>
      <w:r w:rsidRPr="0053358F">
        <w:rPr>
          <w:rFonts w:ascii="Arial" w:hAnsi="Arial" w:cs="Arial"/>
          <w:i/>
          <w:sz w:val="20"/>
          <w:szCs w:val="20"/>
          <w:vertAlign w:val="superscript"/>
        </w:rPr>
        <w:t>th</w:t>
      </w:r>
      <w:r w:rsidRPr="0053358F">
        <w:rPr>
          <w:rFonts w:ascii="Arial" w:hAnsi="Arial" w:cs="Arial"/>
          <w:i/>
          <w:sz w:val="20"/>
          <w:szCs w:val="20"/>
        </w:rPr>
        <w:t xml:space="preserve"> Meeting, Brief for Item 7 of ILRC 135-136))</w:t>
      </w:r>
      <w:r w:rsidRPr="00807E67">
        <w:rPr>
          <w:rFonts w:ascii="Arial" w:hAnsi="Arial" w:cs="Arial"/>
          <w:sz w:val="20"/>
          <w:szCs w:val="20"/>
        </w:rPr>
        <w:t xml:space="preserve">, </w:t>
      </w:r>
      <w:r w:rsidRPr="00807E67">
        <w:rPr>
          <w:rFonts w:ascii="Arial" w:hAnsi="Arial" w:cs="Arial"/>
          <w:sz w:val="20"/>
          <w:szCs w:val="20"/>
          <w:lang w:val="en-GB"/>
        </w:rPr>
        <w:t>19</w:t>
      </w:r>
      <w:r w:rsidRPr="00807E67">
        <w:rPr>
          <w:rFonts w:ascii="Arial" w:hAnsi="Arial" w:cs="Arial"/>
          <w:sz w:val="20"/>
          <w:szCs w:val="20"/>
          <w:vertAlign w:val="superscript"/>
          <w:lang w:val="en-GB"/>
        </w:rPr>
        <w:t>th</w:t>
      </w:r>
      <w:r w:rsidRPr="00807E67">
        <w:rPr>
          <w:rFonts w:ascii="Arial" w:hAnsi="Arial" w:cs="Arial"/>
          <w:sz w:val="20"/>
          <w:szCs w:val="20"/>
          <w:lang w:val="en-GB"/>
        </w:rPr>
        <w:t xml:space="preserve"> September 1980. Available at: </w:t>
      </w:r>
      <w:hyperlink r:id="rId3" w:history="1">
        <w:r w:rsidRPr="00807E67">
          <w:rPr>
            <w:rStyle w:val="Hyperlink"/>
            <w:rFonts w:ascii="Arial" w:hAnsi="Arial" w:cs="Arial"/>
            <w:sz w:val="20"/>
            <w:szCs w:val="20"/>
            <w:lang w:val="en-GB"/>
          </w:rPr>
          <w:t>www.thecorkarchive.com</w:t>
        </w:r>
      </w:hyperlink>
      <w:r w:rsidRPr="00807E67">
        <w:rPr>
          <w:rFonts w:ascii="Arial" w:hAnsi="Arial" w:cs="Arial"/>
          <w:sz w:val="20"/>
          <w:szCs w:val="20"/>
          <w:lang w:val="en-GB"/>
        </w:rPr>
        <w:t xml:space="preserve"> </w:t>
      </w:r>
    </w:p>
  </w:footnote>
  <w:footnote w:id="38">
    <w:p w14:paraId="79C39DF1" w14:textId="77777777" w:rsidR="00375B01" w:rsidRPr="00133F67" w:rsidRDefault="00375B01" w:rsidP="00133F67">
      <w:pPr>
        <w:pStyle w:val="FootnoteText"/>
        <w:jc w:val="both"/>
        <w:rPr>
          <w:lang w:val="en-GB"/>
        </w:rPr>
      </w:pPr>
      <w:r w:rsidRPr="00807E67">
        <w:rPr>
          <w:rStyle w:val="FootnoteReference"/>
          <w:rFonts w:ascii="Arial" w:hAnsi="Arial" w:cs="Arial"/>
          <w:sz w:val="20"/>
          <w:szCs w:val="20"/>
        </w:rPr>
        <w:footnoteRef/>
      </w:r>
      <w:r w:rsidRPr="00807E67">
        <w:rPr>
          <w:rFonts w:ascii="Arial" w:hAnsi="Arial" w:cs="Arial"/>
          <w:sz w:val="20"/>
          <w:szCs w:val="20"/>
        </w:rPr>
        <w:t xml:space="preserve"> </w:t>
      </w:r>
      <w:r w:rsidRPr="00807E67">
        <w:rPr>
          <w:rFonts w:ascii="Arial" w:hAnsi="Arial" w:cs="Arial"/>
          <w:i/>
          <w:sz w:val="20"/>
          <w:szCs w:val="20"/>
        </w:rPr>
        <w:t>Fletcher Odyssey.</w:t>
      </w:r>
    </w:p>
  </w:footnote>
  <w:footnote w:id="39">
    <w:p w14:paraId="608F2567" w14:textId="77777777" w:rsidR="00375B01" w:rsidRPr="005425C5" w:rsidRDefault="00375B01" w:rsidP="005425C5">
      <w:pPr>
        <w:pStyle w:val="FootnoteText"/>
        <w:jc w:val="both"/>
        <w:rPr>
          <w:rFonts w:ascii="Arial" w:hAnsi="Arial" w:cs="Arial"/>
          <w:sz w:val="20"/>
          <w:szCs w:val="20"/>
          <w:lang w:val="en-GB"/>
        </w:rPr>
      </w:pPr>
      <w:r w:rsidRPr="005425C5">
        <w:rPr>
          <w:rStyle w:val="FootnoteReference"/>
          <w:rFonts w:ascii="Arial" w:hAnsi="Arial" w:cs="Arial"/>
          <w:sz w:val="20"/>
          <w:szCs w:val="20"/>
        </w:rPr>
        <w:footnoteRef/>
      </w:r>
      <w:r w:rsidRPr="005425C5">
        <w:rPr>
          <w:rFonts w:ascii="Arial" w:hAnsi="Arial" w:cs="Arial"/>
          <w:sz w:val="20"/>
          <w:szCs w:val="20"/>
        </w:rPr>
        <w:t xml:space="preserve"> On administration generally see: Walton, P &amp; Robinson, T. (</w:t>
      </w:r>
      <w:proofErr w:type="spellStart"/>
      <w:r w:rsidRPr="005425C5">
        <w:rPr>
          <w:rFonts w:ascii="Arial" w:hAnsi="Arial" w:cs="Arial"/>
          <w:sz w:val="20"/>
          <w:szCs w:val="20"/>
        </w:rPr>
        <w:t>Eds</w:t>
      </w:r>
      <w:proofErr w:type="spellEnd"/>
      <w:r w:rsidRPr="005425C5">
        <w:rPr>
          <w:rFonts w:ascii="Arial" w:hAnsi="Arial" w:cs="Arial"/>
          <w:sz w:val="20"/>
          <w:szCs w:val="20"/>
        </w:rPr>
        <w:t xml:space="preserve">). </w:t>
      </w:r>
      <w:r w:rsidRPr="005425C5">
        <w:rPr>
          <w:rFonts w:ascii="Arial" w:hAnsi="Arial" w:cs="Arial"/>
          <w:i/>
          <w:sz w:val="20"/>
          <w:szCs w:val="20"/>
        </w:rPr>
        <w:t>Kerr &amp; Hunter on Receivers and Administrators</w:t>
      </w:r>
      <w:r w:rsidRPr="005425C5">
        <w:rPr>
          <w:rFonts w:ascii="Arial" w:hAnsi="Arial" w:cs="Arial"/>
          <w:sz w:val="20"/>
          <w:szCs w:val="20"/>
        </w:rPr>
        <w:t>. 12</w:t>
      </w:r>
      <w:r w:rsidRPr="005425C5">
        <w:rPr>
          <w:rFonts w:ascii="Arial" w:hAnsi="Arial" w:cs="Arial"/>
          <w:sz w:val="20"/>
          <w:szCs w:val="20"/>
          <w:vertAlign w:val="superscript"/>
        </w:rPr>
        <w:t>th</w:t>
      </w:r>
      <w:r w:rsidRPr="005425C5">
        <w:rPr>
          <w:rFonts w:ascii="Arial" w:hAnsi="Arial" w:cs="Arial"/>
          <w:sz w:val="20"/>
          <w:szCs w:val="20"/>
        </w:rPr>
        <w:t xml:space="preserve"> Ed. Para.14.1-17.38.</w:t>
      </w:r>
    </w:p>
  </w:footnote>
  <w:footnote w:id="40">
    <w:p w14:paraId="6E9ACE2F" w14:textId="77777777" w:rsidR="00375B01" w:rsidRPr="00CD4866" w:rsidRDefault="00375B01" w:rsidP="00CD4866">
      <w:pPr>
        <w:pStyle w:val="FootnoteText"/>
        <w:jc w:val="both"/>
        <w:rPr>
          <w:rFonts w:ascii="Arial" w:hAnsi="Arial" w:cs="Arial"/>
          <w:sz w:val="20"/>
          <w:szCs w:val="20"/>
          <w:lang w:val="en-GB"/>
        </w:rPr>
      </w:pPr>
      <w:r w:rsidRPr="005425C5">
        <w:rPr>
          <w:rStyle w:val="FootnoteReference"/>
          <w:rFonts w:ascii="Arial" w:hAnsi="Arial" w:cs="Arial"/>
          <w:sz w:val="20"/>
          <w:szCs w:val="20"/>
        </w:rPr>
        <w:footnoteRef/>
      </w:r>
      <w:r w:rsidRPr="005425C5">
        <w:rPr>
          <w:rFonts w:ascii="Arial" w:hAnsi="Arial" w:cs="Arial"/>
          <w:sz w:val="20"/>
          <w:szCs w:val="20"/>
        </w:rPr>
        <w:t xml:space="preserve"> See: </w:t>
      </w:r>
      <w:proofErr w:type="spellStart"/>
      <w:r w:rsidRPr="005425C5">
        <w:rPr>
          <w:rFonts w:ascii="Arial" w:hAnsi="Arial" w:cs="Arial"/>
          <w:sz w:val="20"/>
          <w:szCs w:val="20"/>
        </w:rPr>
        <w:t>Rajak</w:t>
      </w:r>
      <w:proofErr w:type="spellEnd"/>
      <w:r w:rsidRPr="005425C5">
        <w:rPr>
          <w:rFonts w:ascii="Arial" w:hAnsi="Arial" w:cs="Arial"/>
          <w:sz w:val="20"/>
          <w:szCs w:val="20"/>
        </w:rPr>
        <w:t xml:space="preserve">, H. </w:t>
      </w:r>
      <w:r w:rsidRPr="005425C5">
        <w:rPr>
          <w:rFonts w:ascii="Arial" w:hAnsi="Arial" w:cs="Arial"/>
          <w:i/>
          <w:sz w:val="20"/>
          <w:szCs w:val="20"/>
        </w:rPr>
        <w:t>A Review of Company Rescue</w:t>
      </w:r>
      <w:r w:rsidRPr="00CD4866">
        <w:rPr>
          <w:rFonts w:ascii="Arial" w:hAnsi="Arial" w:cs="Arial"/>
          <w:i/>
          <w:sz w:val="20"/>
          <w:szCs w:val="20"/>
        </w:rPr>
        <w:t xml:space="preserve"> and  Business Reconstruction Mechanisms</w:t>
      </w:r>
      <w:r w:rsidRPr="00CD4866">
        <w:rPr>
          <w:rFonts w:ascii="Arial" w:hAnsi="Arial" w:cs="Arial"/>
          <w:sz w:val="20"/>
          <w:szCs w:val="20"/>
        </w:rPr>
        <w:t>. Insolvency Service, London, 2001.</w:t>
      </w:r>
    </w:p>
  </w:footnote>
  <w:footnote w:id="41">
    <w:p w14:paraId="43E4E53F" w14:textId="77777777" w:rsidR="00375B01" w:rsidRPr="00CD4866" w:rsidRDefault="00375B01" w:rsidP="00CD4866">
      <w:pPr>
        <w:pStyle w:val="FootnoteText"/>
        <w:jc w:val="both"/>
        <w:rPr>
          <w:rFonts w:ascii="Arial" w:hAnsi="Arial" w:cs="Arial"/>
          <w:sz w:val="20"/>
          <w:szCs w:val="20"/>
          <w:lang w:val="en-GB"/>
        </w:rPr>
      </w:pPr>
      <w:r w:rsidRPr="00CD4866">
        <w:rPr>
          <w:rStyle w:val="FootnoteReference"/>
          <w:rFonts w:ascii="Arial" w:hAnsi="Arial" w:cs="Arial"/>
          <w:sz w:val="20"/>
          <w:szCs w:val="20"/>
        </w:rPr>
        <w:footnoteRef/>
      </w:r>
      <w:r w:rsidRPr="00CD4866">
        <w:rPr>
          <w:rFonts w:ascii="Arial" w:hAnsi="Arial" w:cs="Arial"/>
          <w:sz w:val="20"/>
          <w:szCs w:val="20"/>
        </w:rPr>
        <w:t xml:space="preserve"> Department of Trade and Industry: </w:t>
      </w:r>
      <w:r w:rsidRPr="009C0A41">
        <w:rPr>
          <w:rFonts w:ascii="Arial" w:hAnsi="Arial" w:cs="Arial"/>
          <w:i/>
          <w:sz w:val="20"/>
          <w:szCs w:val="20"/>
        </w:rPr>
        <w:t>Insolvency – A Second Chance</w:t>
      </w:r>
      <w:r>
        <w:rPr>
          <w:rFonts w:ascii="Arial" w:hAnsi="Arial" w:cs="Arial"/>
          <w:sz w:val="20"/>
          <w:szCs w:val="20"/>
        </w:rPr>
        <w:t xml:space="preserve">. </w:t>
      </w:r>
      <w:r w:rsidRPr="00CD4866">
        <w:rPr>
          <w:rFonts w:ascii="Arial" w:hAnsi="Arial" w:cs="Arial"/>
          <w:sz w:val="20"/>
          <w:szCs w:val="20"/>
        </w:rPr>
        <w:t>White Paper, Cm</w:t>
      </w:r>
      <w:r>
        <w:rPr>
          <w:rFonts w:ascii="Arial" w:hAnsi="Arial" w:cs="Arial"/>
          <w:sz w:val="20"/>
          <w:szCs w:val="20"/>
        </w:rPr>
        <w:t>.5234, July 2001</w:t>
      </w:r>
      <w:r w:rsidRPr="00CD4866">
        <w:rPr>
          <w:rFonts w:ascii="Arial" w:hAnsi="Arial" w:cs="Arial"/>
          <w:sz w:val="20"/>
          <w:szCs w:val="20"/>
        </w:rPr>
        <w:t>, paras 2.5-2.6.</w:t>
      </w:r>
    </w:p>
  </w:footnote>
  <w:footnote w:id="42">
    <w:p w14:paraId="3F3B8B9C" w14:textId="77777777" w:rsidR="00375B01" w:rsidRPr="00CD4866" w:rsidRDefault="00375B01" w:rsidP="00CD4866">
      <w:pPr>
        <w:pStyle w:val="FootnoteText"/>
        <w:jc w:val="both"/>
        <w:rPr>
          <w:lang w:val="en-GB"/>
        </w:rPr>
      </w:pPr>
      <w:r w:rsidRPr="00CD4866">
        <w:rPr>
          <w:rStyle w:val="FootnoteReference"/>
          <w:rFonts w:ascii="Arial" w:hAnsi="Arial" w:cs="Arial"/>
          <w:sz w:val="20"/>
          <w:szCs w:val="20"/>
        </w:rPr>
        <w:footnoteRef/>
      </w:r>
      <w:r w:rsidRPr="00CD4866">
        <w:rPr>
          <w:rFonts w:ascii="Arial" w:hAnsi="Arial" w:cs="Arial"/>
          <w:sz w:val="20"/>
          <w:szCs w:val="20"/>
        </w:rPr>
        <w:t xml:space="preserve"> </w:t>
      </w:r>
      <w:r w:rsidRPr="00CD4866">
        <w:rPr>
          <w:rFonts w:ascii="Arial" w:hAnsi="Arial" w:cs="Arial"/>
          <w:i/>
          <w:sz w:val="20"/>
          <w:szCs w:val="20"/>
          <w:lang w:val="en-GB"/>
        </w:rPr>
        <w:t>per</w:t>
      </w:r>
      <w:r w:rsidRPr="00CD4866">
        <w:rPr>
          <w:rFonts w:ascii="Arial" w:hAnsi="Arial" w:cs="Arial"/>
          <w:sz w:val="20"/>
          <w:szCs w:val="20"/>
          <w:lang w:val="en-GB"/>
        </w:rPr>
        <w:t xml:space="preserve"> the Parliamentary Under-Secretary of State, Department of Trade and Industry (Lord Sainsbury of </w:t>
      </w:r>
      <w:proofErr w:type="spellStart"/>
      <w:r w:rsidRPr="00CD4866">
        <w:rPr>
          <w:rFonts w:ascii="Arial" w:hAnsi="Arial" w:cs="Arial"/>
          <w:sz w:val="20"/>
          <w:szCs w:val="20"/>
          <w:lang w:val="en-GB"/>
        </w:rPr>
        <w:t>Turville</w:t>
      </w:r>
      <w:proofErr w:type="spellEnd"/>
      <w:r w:rsidRPr="00CD4866">
        <w:rPr>
          <w:rFonts w:ascii="Arial" w:hAnsi="Arial" w:cs="Arial"/>
          <w:sz w:val="20"/>
          <w:szCs w:val="20"/>
          <w:lang w:val="en-GB"/>
        </w:rPr>
        <w:t>), House of Lords Debate, Hansard, 02 July 2002, vol.637, cc138-90.</w:t>
      </w:r>
    </w:p>
  </w:footnote>
  <w:footnote w:id="43">
    <w:p w14:paraId="6A67C4D3" w14:textId="77777777" w:rsidR="00375B01" w:rsidRPr="00156E1E" w:rsidRDefault="00375B01" w:rsidP="00156E1E">
      <w:pPr>
        <w:pStyle w:val="FootnoteText"/>
        <w:jc w:val="both"/>
        <w:rPr>
          <w:rFonts w:ascii="Arial" w:hAnsi="Arial" w:cs="Arial"/>
          <w:sz w:val="20"/>
          <w:szCs w:val="20"/>
          <w:lang w:val="en-GB"/>
        </w:rPr>
      </w:pPr>
      <w:r w:rsidRPr="00156E1E">
        <w:rPr>
          <w:rStyle w:val="FootnoteReference"/>
          <w:rFonts w:ascii="Arial" w:hAnsi="Arial" w:cs="Arial"/>
          <w:sz w:val="20"/>
          <w:szCs w:val="20"/>
        </w:rPr>
        <w:footnoteRef/>
      </w:r>
      <w:r w:rsidRPr="00156E1E">
        <w:rPr>
          <w:rFonts w:ascii="Arial" w:hAnsi="Arial" w:cs="Arial"/>
          <w:sz w:val="20"/>
          <w:szCs w:val="20"/>
        </w:rPr>
        <w:t xml:space="preserve"> </w:t>
      </w:r>
      <w:r w:rsidRPr="00156E1E">
        <w:rPr>
          <w:rFonts w:ascii="Arial" w:hAnsi="Arial" w:cs="Arial"/>
          <w:i/>
          <w:sz w:val="20"/>
          <w:szCs w:val="20"/>
          <w:lang w:val="en-GB"/>
        </w:rPr>
        <w:t>ibid.</w:t>
      </w:r>
    </w:p>
  </w:footnote>
  <w:footnote w:id="44">
    <w:p w14:paraId="29F6B4BC" w14:textId="77777777" w:rsidR="00375B01" w:rsidRPr="00A8177A" w:rsidRDefault="00375B01" w:rsidP="00156E1E">
      <w:pPr>
        <w:pStyle w:val="FootnoteText"/>
        <w:jc w:val="both"/>
        <w:rPr>
          <w:rFonts w:ascii="Arial" w:hAnsi="Arial" w:cs="Arial"/>
          <w:sz w:val="20"/>
          <w:szCs w:val="20"/>
          <w:lang w:val="en-GB"/>
        </w:rPr>
      </w:pPr>
      <w:r w:rsidRPr="00156E1E">
        <w:rPr>
          <w:rStyle w:val="FootnoteReference"/>
          <w:rFonts w:ascii="Arial" w:hAnsi="Arial" w:cs="Arial"/>
          <w:sz w:val="20"/>
          <w:szCs w:val="20"/>
        </w:rPr>
        <w:footnoteRef/>
      </w:r>
      <w:r w:rsidRPr="00156E1E">
        <w:rPr>
          <w:rFonts w:ascii="Arial" w:hAnsi="Arial" w:cs="Arial"/>
          <w:sz w:val="20"/>
          <w:szCs w:val="20"/>
        </w:rPr>
        <w:t xml:space="preserve"> </w:t>
      </w:r>
      <w:r w:rsidRPr="00156E1E">
        <w:rPr>
          <w:rFonts w:ascii="Arial" w:hAnsi="Arial" w:cs="Arial"/>
          <w:i/>
          <w:sz w:val="20"/>
          <w:szCs w:val="20"/>
          <w:lang w:val="en-GB"/>
        </w:rPr>
        <w:t>ibid.</w:t>
      </w:r>
    </w:p>
  </w:footnote>
  <w:footnote w:id="45">
    <w:p w14:paraId="78806137" w14:textId="77777777" w:rsidR="00375B01" w:rsidRPr="00A8177A" w:rsidRDefault="00375B01" w:rsidP="00A8177A">
      <w:pPr>
        <w:pStyle w:val="FootnoteText"/>
        <w:jc w:val="both"/>
        <w:rPr>
          <w:rFonts w:ascii="Arial" w:hAnsi="Arial" w:cs="Arial"/>
          <w:sz w:val="20"/>
          <w:szCs w:val="20"/>
          <w:lang w:val="en-GB"/>
        </w:rPr>
      </w:pPr>
      <w:r w:rsidRPr="00A8177A">
        <w:rPr>
          <w:rStyle w:val="FootnoteReference"/>
          <w:rFonts w:ascii="Arial" w:hAnsi="Arial" w:cs="Arial"/>
          <w:sz w:val="20"/>
          <w:szCs w:val="20"/>
        </w:rPr>
        <w:footnoteRef/>
      </w:r>
      <w:r w:rsidRPr="00A8177A">
        <w:rPr>
          <w:rFonts w:ascii="Arial" w:hAnsi="Arial" w:cs="Arial"/>
          <w:sz w:val="20"/>
          <w:szCs w:val="20"/>
        </w:rPr>
        <w:t xml:space="preserve"> See: McCormack, G. </w:t>
      </w:r>
      <w:r w:rsidRPr="00A8177A">
        <w:rPr>
          <w:rFonts w:ascii="Arial" w:hAnsi="Arial" w:cs="Arial"/>
          <w:i/>
          <w:sz w:val="20"/>
          <w:szCs w:val="20"/>
        </w:rPr>
        <w:t>Control and Corporate Rescue -  An Anglo-American Evaluation</w:t>
      </w:r>
      <w:r w:rsidRPr="00A8177A">
        <w:rPr>
          <w:rFonts w:ascii="Arial" w:hAnsi="Arial" w:cs="Arial"/>
          <w:sz w:val="20"/>
          <w:szCs w:val="20"/>
        </w:rPr>
        <w:t xml:space="preserve"> (2007) Int’l &amp; Comp L.Q. 515. Hereafter </w:t>
      </w:r>
      <w:r w:rsidRPr="00A8177A">
        <w:rPr>
          <w:rFonts w:ascii="Arial" w:hAnsi="Arial" w:cs="Arial"/>
          <w:i/>
          <w:sz w:val="20"/>
          <w:szCs w:val="20"/>
        </w:rPr>
        <w:t>McCormack Rescue.</w:t>
      </w:r>
      <w:r w:rsidRPr="00A8177A">
        <w:rPr>
          <w:rFonts w:ascii="Arial" w:hAnsi="Arial" w:cs="Arial"/>
          <w:sz w:val="20"/>
          <w:szCs w:val="20"/>
        </w:rPr>
        <w:t xml:space="preserve"> </w:t>
      </w:r>
    </w:p>
  </w:footnote>
  <w:footnote w:id="46">
    <w:p w14:paraId="701E81C6" w14:textId="7B7777E1" w:rsidR="00375B01" w:rsidRPr="00A8177A" w:rsidRDefault="00375B01" w:rsidP="00A8177A">
      <w:pPr>
        <w:pStyle w:val="FootnoteText"/>
        <w:jc w:val="both"/>
        <w:rPr>
          <w:rFonts w:ascii="Arial" w:hAnsi="Arial" w:cs="Arial"/>
          <w:sz w:val="20"/>
          <w:szCs w:val="20"/>
          <w:lang w:val="en-GB"/>
        </w:rPr>
      </w:pPr>
      <w:r w:rsidRPr="00A8177A">
        <w:rPr>
          <w:rStyle w:val="FootnoteReference"/>
          <w:rFonts w:ascii="Arial" w:hAnsi="Arial" w:cs="Arial"/>
          <w:sz w:val="20"/>
          <w:szCs w:val="20"/>
        </w:rPr>
        <w:footnoteRef/>
      </w:r>
      <w:r w:rsidRPr="00A8177A">
        <w:rPr>
          <w:rFonts w:ascii="Arial" w:hAnsi="Arial" w:cs="Arial"/>
          <w:sz w:val="20"/>
          <w:szCs w:val="20"/>
        </w:rPr>
        <w:t xml:space="preserve"> </w:t>
      </w:r>
      <w:r w:rsidR="007F6247" w:rsidRPr="00C66B37">
        <w:rPr>
          <w:rFonts w:ascii="Arial" w:hAnsi="Arial" w:cs="Arial"/>
          <w:i/>
          <w:sz w:val="20"/>
          <w:szCs w:val="20"/>
        </w:rPr>
        <w:t>ibid</w:t>
      </w:r>
      <w:r w:rsidRPr="00A8177A">
        <w:rPr>
          <w:rFonts w:ascii="Arial" w:hAnsi="Arial" w:cs="Arial"/>
          <w:i/>
          <w:sz w:val="20"/>
          <w:szCs w:val="20"/>
          <w:lang w:val="en-GB"/>
        </w:rPr>
        <w:t>.</w:t>
      </w:r>
    </w:p>
  </w:footnote>
  <w:footnote w:id="47">
    <w:p w14:paraId="5D658070" w14:textId="77777777" w:rsidR="00375B01" w:rsidRPr="00A8177A" w:rsidRDefault="00375B01" w:rsidP="00A8177A">
      <w:pPr>
        <w:pStyle w:val="FootnoteText"/>
        <w:jc w:val="both"/>
        <w:rPr>
          <w:lang w:val="en-GB"/>
        </w:rPr>
      </w:pPr>
      <w:r w:rsidRPr="00A8177A">
        <w:rPr>
          <w:rStyle w:val="FootnoteReference"/>
          <w:rFonts w:ascii="Arial" w:hAnsi="Arial" w:cs="Arial"/>
          <w:sz w:val="20"/>
          <w:szCs w:val="20"/>
        </w:rPr>
        <w:footnoteRef/>
      </w:r>
      <w:r w:rsidRPr="00A8177A">
        <w:rPr>
          <w:rFonts w:ascii="Arial" w:hAnsi="Arial" w:cs="Arial"/>
          <w:sz w:val="20"/>
          <w:szCs w:val="20"/>
        </w:rPr>
        <w:t xml:space="preserve"> </w:t>
      </w:r>
      <w:r w:rsidRPr="00A8177A">
        <w:rPr>
          <w:rFonts w:ascii="Arial" w:hAnsi="Arial" w:cs="Arial"/>
          <w:sz w:val="20"/>
          <w:szCs w:val="20"/>
          <w:lang w:val="en-GB"/>
        </w:rPr>
        <w:t xml:space="preserve">Insolvency Act 1986, Schedule B1, paragraph 3. (Author’s italicised </w:t>
      </w:r>
      <w:r w:rsidR="007F6247">
        <w:rPr>
          <w:rFonts w:ascii="Arial" w:hAnsi="Arial" w:cs="Arial"/>
          <w:sz w:val="20"/>
          <w:szCs w:val="20"/>
          <w:lang w:val="en-GB"/>
        </w:rPr>
        <w:t xml:space="preserve">and emboldened </w:t>
      </w:r>
      <w:r w:rsidRPr="00A8177A">
        <w:rPr>
          <w:rFonts w:ascii="Arial" w:hAnsi="Arial" w:cs="Arial"/>
          <w:sz w:val="20"/>
          <w:szCs w:val="20"/>
          <w:lang w:val="en-GB"/>
        </w:rPr>
        <w:t>emphasis).</w:t>
      </w:r>
      <w:r>
        <w:rPr>
          <w:lang w:val="en-GB"/>
        </w:rPr>
        <w:t xml:space="preserve"> </w:t>
      </w:r>
    </w:p>
  </w:footnote>
  <w:footnote w:id="48">
    <w:p w14:paraId="19FD3E1A" w14:textId="77777777" w:rsidR="00375B01" w:rsidRPr="00B13BDE" w:rsidRDefault="00375B01" w:rsidP="00B13BDE">
      <w:pPr>
        <w:pStyle w:val="FootnoteText"/>
        <w:jc w:val="both"/>
        <w:rPr>
          <w:rFonts w:ascii="Arial" w:hAnsi="Arial" w:cs="Arial"/>
          <w:sz w:val="20"/>
          <w:szCs w:val="20"/>
          <w:lang w:val="en-GB"/>
        </w:rPr>
      </w:pPr>
      <w:r w:rsidRPr="00B13BDE">
        <w:rPr>
          <w:rStyle w:val="FootnoteReference"/>
          <w:rFonts w:ascii="Arial" w:hAnsi="Arial" w:cs="Arial"/>
          <w:sz w:val="20"/>
          <w:szCs w:val="20"/>
        </w:rPr>
        <w:footnoteRef/>
      </w:r>
      <w:r w:rsidRPr="00B13BDE">
        <w:rPr>
          <w:rFonts w:ascii="Arial" w:hAnsi="Arial" w:cs="Arial"/>
          <w:sz w:val="20"/>
          <w:szCs w:val="20"/>
        </w:rPr>
        <w:t xml:space="preserve"> </w:t>
      </w:r>
      <w:r>
        <w:rPr>
          <w:rFonts w:ascii="Arial" w:hAnsi="Arial" w:cs="Arial"/>
          <w:sz w:val="20"/>
          <w:szCs w:val="20"/>
        </w:rPr>
        <w:t>e</w:t>
      </w:r>
      <w:r w:rsidRPr="00B13BDE">
        <w:rPr>
          <w:rFonts w:ascii="Arial" w:hAnsi="Arial" w:cs="Arial"/>
          <w:sz w:val="20"/>
          <w:szCs w:val="20"/>
        </w:rPr>
        <w:t xml:space="preserve">.g. </w:t>
      </w:r>
      <w:r w:rsidRPr="00CD4866">
        <w:rPr>
          <w:rFonts w:ascii="Arial" w:hAnsi="Arial" w:cs="Arial"/>
          <w:sz w:val="20"/>
          <w:szCs w:val="20"/>
        </w:rPr>
        <w:t xml:space="preserve">Department of Trade and Industry: </w:t>
      </w:r>
      <w:r w:rsidRPr="009C0A41">
        <w:rPr>
          <w:rFonts w:ascii="Arial" w:hAnsi="Arial" w:cs="Arial"/>
          <w:i/>
          <w:sz w:val="20"/>
          <w:szCs w:val="20"/>
        </w:rPr>
        <w:t>Insolvency – A Second Chance</w:t>
      </w:r>
      <w:r>
        <w:rPr>
          <w:rFonts w:ascii="Arial" w:hAnsi="Arial" w:cs="Arial"/>
          <w:sz w:val="20"/>
          <w:szCs w:val="20"/>
        </w:rPr>
        <w:t xml:space="preserve">. </w:t>
      </w:r>
      <w:r w:rsidRPr="00CD4866">
        <w:rPr>
          <w:rFonts w:ascii="Arial" w:hAnsi="Arial" w:cs="Arial"/>
          <w:sz w:val="20"/>
          <w:szCs w:val="20"/>
        </w:rPr>
        <w:t>White Paper, Cm</w:t>
      </w:r>
      <w:r>
        <w:rPr>
          <w:rFonts w:ascii="Arial" w:hAnsi="Arial" w:cs="Arial"/>
          <w:sz w:val="20"/>
          <w:szCs w:val="20"/>
        </w:rPr>
        <w:t>.5234, July 2001.</w:t>
      </w:r>
    </w:p>
  </w:footnote>
  <w:footnote w:id="49">
    <w:p w14:paraId="23443720" w14:textId="77777777" w:rsidR="00375B01" w:rsidRPr="00E058D3" w:rsidRDefault="00375B01" w:rsidP="00E058D3">
      <w:pPr>
        <w:pStyle w:val="FootnoteText"/>
        <w:jc w:val="both"/>
        <w:rPr>
          <w:rFonts w:ascii="Arial" w:hAnsi="Arial" w:cs="Arial"/>
          <w:sz w:val="20"/>
          <w:szCs w:val="20"/>
          <w:lang w:val="en-GB"/>
        </w:rPr>
      </w:pPr>
      <w:r w:rsidRPr="00E058D3">
        <w:rPr>
          <w:rStyle w:val="FootnoteReference"/>
          <w:rFonts w:ascii="Arial" w:hAnsi="Arial" w:cs="Arial"/>
          <w:color w:val="000000" w:themeColor="text1"/>
          <w:sz w:val="20"/>
          <w:szCs w:val="20"/>
        </w:rPr>
        <w:footnoteRef/>
      </w:r>
      <w:r w:rsidRPr="00E058D3">
        <w:rPr>
          <w:rFonts w:ascii="Arial" w:hAnsi="Arial" w:cs="Arial"/>
          <w:color w:val="000000" w:themeColor="text1"/>
          <w:sz w:val="20"/>
          <w:szCs w:val="20"/>
        </w:rPr>
        <w:t xml:space="preserve"> </w:t>
      </w:r>
      <w:r w:rsidRPr="00E058D3">
        <w:rPr>
          <w:rFonts w:ascii="Arial" w:hAnsi="Arial" w:cs="Arial"/>
          <w:i/>
          <w:color w:val="000000" w:themeColor="text1"/>
          <w:sz w:val="20"/>
          <w:szCs w:val="20"/>
          <w:lang w:val="en-GB"/>
        </w:rPr>
        <w:t>Insolvency and Corporate Governance – Government Response</w:t>
      </w:r>
      <w:r w:rsidRPr="00E058D3">
        <w:rPr>
          <w:rFonts w:ascii="Arial" w:hAnsi="Arial" w:cs="Arial"/>
          <w:color w:val="000000" w:themeColor="text1"/>
          <w:sz w:val="20"/>
          <w:szCs w:val="20"/>
          <w:lang w:val="en-GB"/>
        </w:rPr>
        <w:t>. Department for Business, Energy &amp; Industrial Strategy. 26</w:t>
      </w:r>
      <w:r w:rsidRPr="00E058D3">
        <w:rPr>
          <w:rFonts w:ascii="Arial" w:hAnsi="Arial" w:cs="Arial"/>
          <w:color w:val="000000" w:themeColor="text1"/>
          <w:sz w:val="20"/>
          <w:szCs w:val="20"/>
          <w:vertAlign w:val="superscript"/>
          <w:lang w:val="en-GB"/>
        </w:rPr>
        <w:t>th</w:t>
      </w:r>
      <w:r w:rsidRPr="00E058D3">
        <w:rPr>
          <w:rFonts w:ascii="Arial" w:hAnsi="Arial" w:cs="Arial"/>
          <w:color w:val="000000" w:themeColor="text1"/>
          <w:sz w:val="20"/>
          <w:szCs w:val="20"/>
          <w:lang w:val="en-GB"/>
        </w:rPr>
        <w:t xml:space="preserve"> August 2018, p.8.  </w:t>
      </w:r>
    </w:p>
  </w:footnote>
  <w:footnote w:id="50">
    <w:p w14:paraId="0B038BA3" w14:textId="77777777" w:rsidR="00375B01" w:rsidRPr="00E058D3" w:rsidRDefault="00375B01" w:rsidP="00E058D3">
      <w:pPr>
        <w:pStyle w:val="FootnoteText"/>
        <w:jc w:val="both"/>
        <w:rPr>
          <w:rFonts w:ascii="Arial" w:hAnsi="Arial" w:cs="Arial"/>
          <w:sz w:val="20"/>
          <w:szCs w:val="20"/>
          <w:lang w:val="en-GB"/>
        </w:rPr>
      </w:pPr>
      <w:r w:rsidRPr="00E058D3">
        <w:rPr>
          <w:rStyle w:val="FootnoteReference"/>
          <w:rFonts w:ascii="Arial" w:hAnsi="Arial" w:cs="Arial"/>
          <w:sz w:val="20"/>
          <w:szCs w:val="20"/>
        </w:rPr>
        <w:footnoteRef/>
      </w:r>
      <w:r w:rsidRPr="00E058D3">
        <w:rPr>
          <w:rFonts w:ascii="Arial" w:hAnsi="Arial" w:cs="Arial"/>
          <w:sz w:val="20"/>
          <w:szCs w:val="20"/>
        </w:rPr>
        <w:t xml:space="preserve"> </w:t>
      </w:r>
      <w:r w:rsidRPr="00E058D3">
        <w:rPr>
          <w:rFonts w:ascii="Arial" w:hAnsi="Arial" w:cs="Arial"/>
          <w:i/>
          <w:sz w:val="20"/>
          <w:szCs w:val="20"/>
          <w:lang w:val="en-GB"/>
        </w:rPr>
        <w:t>ibid,</w:t>
      </w:r>
      <w:r>
        <w:rPr>
          <w:rFonts w:ascii="Arial" w:hAnsi="Arial" w:cs="Arial"/>
          <w:i/>
          <w:sz w:val="20"/>
          <w:szCs w:val="20"/>
          <w:lang w:val="en-GB"/>
        </w:rPr>
        <w:t xml:space="preserve"> </w:t>
      </w:r>
      <w:proofErr w:type="spellStart"/>
      <w:r w:rsidRPr="00C66B37">
        <w:rPr>
          <w:rFonts w:ascii="Arial" w:hAnsi="Arial" w:cs="Arial"/>
          <w:sz w:val="20"/>
          <w:szCs w:val="20"/>
          <w:lang w:val="en-GB"/>
        </w:rPr>
        <w:t>p.i</w:t>
      </w:r>
      <w:proofErr w:type="spellEnd"/>
      <w:r w:rsidRPr="00C66B37">
        <w:rPr>
          <w:rFonts w:ascii="Arial" w:hAnsi="Arial" w:cs="Arial"/>
          <w:sz w:val="20"/>
          <w:szCs w:val="20"/>
          <w:lang w:val="en-GB"/>
        </w:rPr>
        <w:t>.</w:t>
      </w:r>
    </w:p>
  </w:footnote>
  <w:footnote w:id="51">
    <w:p w14:paraId="2210AADB" w14:textId="77777777" w:rsidR="00375B01" w:rsidRPr="00E058D3" w:rsidRDefault="00375B01" w:rsidP="00E058D3">
      <w:pPr>
        <w:pStyle w:val="FootnoteText"/>
        <w:jc w:val="both"/>
        <w:rPr>
          <w:lang w:val="en-GB"/>
        </w:rPr>
      </w:pPr>
      <w:r w:rsidRPr="00E058D3">
        <w:rPr>
          <w:rStyle w:val="FootnoteReference"/>
          <w:rFonts w:ascii="Arial" w:hAnsi="Arial" w:cs="Arial"/>
          <w:sz w:val="20"/>
          <w:szCs w:val="20"/>
        </w:rPr>
        <w:footnoteRef/>
      </w:r>
      <w:r w:rsidRPr="00E058D3">
        <w:rPr>
          <w:rFonts w:ascii="Arial" w:hAnsi="Arial" w:cs="Arial"/>
          <w:sz w:val="20"/>
          <w:szCs w:val="20"/>
        </w:rPr>
        <w:t xml:space="preserve"> </w:t>
      </w:r>
      <w:r w:rsidRPr="00E058D3">
        <w:rPr>
          <w:rFonts w:ascii="Arial" w:hAnsi="Arial" w:cs="Arial"/>
          <w:sz w:val="20"/>
          <w:szCs w:val="20"/>
          <w:lang w:val="en-GB"/>
        </w:rPr>
        <w:t xml:space="preserve">See: </w:t>
      </w:r>
      <w:r w:rsidRPr="00E058D3">
        <w:rPr>
          <w:rFonts w:ascii="Arial" w:hAnsi="Arial" w:cs="Arial"/>
          <w:i/>
          <w:sz w:val="20"/>
          <w:szCs w:val="20"/>
          <w:lang w:val="en-GB"/>
        </w:rPr>
        <w:t>Budget 2018</w:t>
      </w:r>
      <w:r w:rsidRPr="00E058D3">
        <w:rPr>
          <w:rFonts w:ascii="Arial" w:hAnsi="Arial" w:cs="Arial"/>
          <w:sz w:val="20"/>
          <w:szCs w:val="20"/>
          <w:lang w:val="en-GB"/>
        </w:rPr>
        <w:t>, HM Treasury, HC1629, October 2018, para.3.87 where it states: “Protecting your taxes in insolvency – From 6 April 2020, when a business enters insolvency, more of the taxes paid in good faith by its employees and customers, and temporarily held in trust by the business, will go to fund public services rather than being distributed to other creditors. This reform will only apply to taxes collected and held by businesses on behalf of other taxpayers (VAT, PAYE Income Tax, employee NICs, and Construction Industry Scheme deductions). The rules will remain unchanged for taxes owed by businesses themselves, such as Corporation Tax and employer NICs.”</w:t>
      </w:r>
    </w:p>
  </w:footnote>
  <w:footnote w:id="52">
    <w:p w14:paraId="747767B3" w14:textId="77777777" w:rsidR="00375B01" w:rsidRPr="00546AC4" w:rsidRDefault="00375B01" w:rsidP="00D1538A">
      <w:pPr>
        <w:pStyle w:val="FootnoteText"/>
        <w:jc w:val="both"/>
        <w:rPr>
          <w:rFonts w:ascii="Arial" w:hAnsi="Arial" w:cs="Arial"/>
          <w:sz w:val="20"/>
          <w:szCs w:val="20"/>
          <w:lang w:val="en-GB"/>
        </w:rPr>
      </w:pPr>
      <w:r w:rsidRPr="00546AC4">
        <w:rPr>
          <w:rStyle w:val="FootnoteReference"/>
          <w:rFonts w:ascii="Arial" w:hAnsi="Arial" w:cs="Arial"/>
          <w:sz w:val="20"/>
          <w:szCs w:val="20"/>
        </w:rPr>
        <w:footnoteRef/>
      </w:r>
      <w:r w:rsidRPr="00546AC4">
        <w:rPr>
          <w:rFonts w:ascii="Arial" w:hAnsi="Arial" w:cs="Arial"/>
          <w:sz w:val="20"/>
          <w:szCs w:val="20"/>
        </w:rPr>
        <w:t xml:space="preserve"> </w:t>
      </w:r>
      <w:r w:rsidRPr="00546AC4">
        <w:rPr>
          <w:rFonts w:ascii="Arial" w:hAnsi="Arial" w:cs="Arial"/>
          <w:sz w:val="20"/>
          <w:szCs w:val="20"/>
          <w:lang w:val="en-GB"/>
        </w:rPr>
        <w:t xml:space="preserve">For Enterprise Bill period discussion see: Davies, S. (Ed). </w:t>
      </w:r>
      <w:r w:rsidRPr="00546AC4">
        <w:rPr>
          <w:rFonts w:ascii="Arial" w:hAnsi="Arial" w:cs="Arial"/>
          <w:i/>
          <w:sz w:val="20"/>
          <w:szCs w:val="20"/>
          <w:lang w:val="en-GB"/>
        </w:rPr>
        <w:t>Insolvency and the Enterprise Act 2002</w:t>
      </w:r>
      <w:r w:rsidRPr="00546AC4">
        <w:rPr>
          <w:rFonts w:ascii="Arial" w:hAnsi="Arial" w:cs="Arial"/>
          <w:sz w:val="20"/>
          <w:szCs w:val="20"/>
          <w:lang w:val="en-GB"/>
        </w:rPr>
        <w:t xml:space="preserve">. </w:t>
      </w:r>
      <w:proofErr w:type="spellStart"/>
      <w:r w:rsidRPr="00546AC4">
        <w:rPr>
          <w:rFonts w:ascii="Arial" w:hAnsi="Arial" w:cs="Arial"/>
          <w:sz w:val="20"/>
          <w:szCs w:val="20"/>
          <w:lang w:val="en-GB"/>
        </w:rPr>
        <w:t>Jordans</w:t>
      </w:r>
      <w:proofErr w:type="spellEnd"/>
      <w:r w:rsidRPr="00546AC4">
        <w:rPr>
          <w:rFonts w:ascii="Arial" w:hAnsi="Arial" w:cs="Arial"/>
          <w:sz w:val="20"/>
          <w:szCs w:val="20"/>
          <w:lang w:val="en-GB"/>
        </w:rPr>
        <w:t xml:space="preserve"> Publishing Ltd, 2003, pp.19, 27-36.</w:t>
      </w:r>
    </w:p>
  </w:footnote>
  <w:footnote w:id="53">
    <w:p w14:paraId="23D23D8F" w14:textId="77777777" w:rsidR="00375B01" w:rsidRPr="00546AC4" w:rsidRDefault="00375B01" w:rsidP="00546AC4">
      <w:pPr>
        <w:pStyle w:val="FootnoteText"/>
        <w:jc w:val="both"/>
        <w:rPr>
          <w:rFonts w:ascii="Arial" w:hAnsi="Arial" w:cs="Arial"/>
          <w:sz w:val="20"/>
          <w:szCs w:val="20"/>
          <w:lang w:val="en-GB"/>
        </w:rPr>
      </w:pPr>
      <w:r w:rsidRPr="00546AC4">
        <w:rPr>
          <w:rStyle w:val="FootnoteReference"/>
          <w:rFonts w:ascii="Arial" w:hAnsi="Arial" w:cs="Arial"/>
          <w:sz w:val="20"/>
          <w:szCs w:val="20"/>
        </w:rPr>
        <w:footnoteRef/>
      </w:r>
      <w:r w:rsidRPr="00546AC4">
        <w:rPr>
          <w:rFonts w:ascii="Arial" w:hAnsi="Arial" w:cs="Arial"/>
          <w:sz w:val="20"/>
          <w:szCs w:val="20"/>
        </w:rPr>
        <w:t xml:space="preserve"> </w:t>
      </w:r>
      <w:r w:rsidRPr="00546AC4">
        <w:rPr>
          <w:rFonts w:ascii="Arial" w:hAnsi="Arial" w:cs="Arial"/>
          <w:i/>
          <w:sz w:val="20"/>
          <w:szCs w:val="20"/>
        </w:rPr>
        <w:t>Protecting Your Taxes In Insolvency</w:t>
      </w:r>
      <w:r>
        <w:rPr>
          <w:rFonts w:ascii="Arial" w:hAnsi="Arial" w:cs="Arial"/>
          <w:i/>
          <w:sz w:val="20"/>
          <w:szCs w:val="20"/>
        </w:rPr>
        <w:t xml:space="preserve"> – Consultation Document</w:t>
      </w:r>
      <w:r w:rsidRPr="00546AC4">
        <w:rPr>
          <w:rFonts w:ascii="Arial" w:hAnsi="Arial" w:cs="Arial"/>
          <w:sz w:val="20"/>
          <w:szCs w:val="20"/>
        </w:rPr>
        <w:t xml:space="preserve">. Her Majesty’s Revenue and Customs (HMRC), February 2019. </w:t>
      </w:r>
    </w:p>
  </w:footnote>
  <w:footnote w:id="54">
    <w:p w14:paraId="5390506B" w14:textId="77777777" w:rsidR="00375B01" w:rsidRPr="0087220A" w:rsidRDefault="00375B01" w:rsidP="0033032F">
      <w:pPr>
        <w:pStyle w:val="FootnoteText"/>
        <w:jc w:val="both"/>
        <w:rPr>
          <w:lang w:val="en-GB"/>
        </w:rPr>
      </w:pPr>
      <w:r w:rsidRPr="00546AC4">
        <w:rPr>
          <w:rStyle w:val="FootnoteReference"/>
          <w:rFonts w:ascii="Arial" w:hAnsi="Arial" w:cs="Arial"/>
          <w:sz w:val="20"/>
          <w:szCs w:val="20"/>
        </w:rPr>
        <w:footnoteRef/>
      </w:r>
      <w:r w:rsidRPr="00546AC4">
        <w:rPr>
          <w:rFonts w:ascii="Arial" w:hAnsi="Arial" w:cs="Arial"/>
          <w:sz w:val="20"/>
          <w:szCs w:val="20"/>
        </w:rPr>
        <w:t xml:space="preserve"> </w:t>
      </w:r>
      <w:proofErr w:type="spellStart"/>
      <w:r w:rsidRPr="00546AC4">
        <w:rPr>
          <w:rFonts w:ascii="Arial" w:hAnsi="Arial" w:cs="Arial"/>
          <w:i/>
          <w:sz w:val="20"/>
          <w:szCs w:val="20"/>
          <w:lang w:val="en-GB"/>
        </w:rPr>
        <w:t>Pashukanis</w:t>
      </w:r>
      <w:proofErr w:type="spellEnd"/>
      <w:r w:rsidRPr="00546AC4">
        <w:rPr>
          <w:rFonts w:ascii="Arial" w:hAnsi="Arial" w:cs="Arial"/>
          <w:sz w:val="20"/>
          <w:szCs w:val="20"/>
          <w:lang w:val="en-GB"/>
        </w:rPr>
        <w:t>, p.13.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5F6E7" w14:textId="77777777" w:rsidR="00375B01" w:rsidRPr="009F4C40" w:rsidRDefault="00375B01">
    <w:pPr>
      <w:pStyle w:val="Header"/>
      <w:rPr>
        <w:sz w:val="16"/>
        <w:szCs w:val="16"/>
      </w:rPr>
    </w:pPr>
    <w:proofErr w:type="spellStart"/>
    <w:r w:rsidRPr="009F4C40">
      <w:rPr>
        <w:sz w:val="16"/>
        <w:szCs w:val="16"/>
      </w:rPr>
      <w:t>Insol.Int</w:t>
    </w:r>
    <w:proofErr w:type="spellEnd"/>
    <w:r w:rsidRPr="009F4C40">
      <w:rPr>
        <w:sz w:val="16"/>
        <w:szCs w:val="16"/>
      </w:rPr>
      <w:t xml:space="preserve"> 2019 – Aston Conference Paper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75B5"/>
    <w:multiLevelType w:val="hybridMultilevel"/>
    <w:tmpl w:val="CE449D66"/>
    <w:lvl w:ilvl="0" w:tplc="D10A1720">
      <w:start w:val="1"/>
      <w:numFmt w:val="bullet"/>
      <w:lvlText w:val="•"/>
      <w:lvlJc w:val="left"/>
      <w:pPr>
        <w:tabs>
          <w:tab w:val="num" w:pos="720"/>
        </w:tabs>
        <w:ind w:left="720" w:hanging="360"/>
      </w:pPr>
      <w:rPr>
        <w:rFonts w:ascii="Arial" w:hAnsi="Arial" w:hint="default"/>
      </w:rPr>
    </w:lvl>
    <w:lvl w:ilvl="1" w:tplc="87A09C9E" w:tentative="1">
      <w:start w:val="1"/>
      <w:numFmt w:val="bullet"/>
      <w:lvlText w:val="•"/>
      <w:lvlJc w:val="left"/>
      <w:pPr>
        <w:tabs>
          <w:tab w:val="num" w:pos="1440"/>
        </w:tabs>
        <w:ind w:left="1440" w:hanging="360"/>
      </w:pPr>
      <w:rPr>
        <w:rFonts w:ascii="Arial" w:hAnsi="Arial" w:hint="default"/>
      </w:rPr>
    </w:lvl>
    <w:lvl w:ilvl="2" w:tplc="E4648880" w:tentative="1">
      <w:start w:val="1"/>
      <w:numFmt w:val="bullet"/>
      <w:lvlText w:val="•"/>
      <w:lvlJc w:val="left"/>
      <w:pPr>
        <w:tabs>
          <w:tab w:val="num" w:pos="2160"/>
        </w:tabs>
        <w:ind w:left="2160" w:hanging="360"/>
      </w:pPr>
      <w:rPr>
        <w:rFonts w:ascii="Arial" w:hAnsi="Arial" w:hint="default"/>
      </w:rPr>
    </w:lvl>
    <w:lvl w:ilvl="3" w:tplc="1164A9D0" w:tentative="1">
      <w:start w:val="1"/>
      <w:numFmt w:val="bullet"/>
      <w:lvlText w:val="•"/>
      <w:lvlJc w:val="left"/>
      <w:pPr>
        <w:tabs>
          <w:tab w:val="num" w:pos="2880"/>
        </w:tabs>
        <w:ind w:left="2880" w:hanging="360"/>
      </w:pPr>
      <w:rPr>
        <w:rFonts w:ascii="Arial" w:hAnsi="Arial" w:hint="default"/>
      </w:rPr>
    </w:lvl>
    <w:lvl w:ilvl="4" w:tplc="17464600" w:tentative="1">
      <w:start w:val="1"/>
      <w:numFmt w:val="bullet"/>
      <w:lvlText w:val="•"/>
      <w:lvlJc w:val="left"/>
      <w:pPr>
        <w:tabs>
          <w:tab w:val="num" w:pos="3600"/>
        </w:tabs>
        <w:ind w:left="3600" w:hanging="360"/>
      </w:pPr>
      <w:rPr>
        <w:rFonts w:ascii="Arial" w:hAnsi="Arial" w:hint="default"/>
      </w:rPr>
    </w:lvl>
    <w:lvl w:ilvl="5" w:tplc="E11C9C14" w:tentative="1">
      <w:start w:val="1"/>
      <w:numFmt w:val="bullet"/>
      <w:lvlText w:val="•"/>
      <w:lvlJc w:val="left"/>
      <w:pPr>
        <w:tabs>
          <w:tab w:val="num" w:pos="4320"/>
        </w:tabs>
        <w:ind w:left="4320" w:hanging="360"/>
      </w:pPr>
      <w:rPr>
        <w:rFonts w:ascii="Arial" w:hAnsi="Arial" w:hint="default"/>
      </w:rPr>
    </w:lvl>
    <w:lvl w:ilvl="6" w:tplc="12AE19C2" w:tentative="1">
      <w:start w:val="1"/>
      <w:numFmt w:val="bullet"/>
      <w:lvlText w:val="•"/>
      <w:lvlJc w:val="left"/>
      <w:pPr>
        <w:tabs>
          <w:tab w:val="num" w:pos="5040"/>
        </w:tabs>
        <w:ind w:left="5040" w:hanging="360"/>
      </w:pPr>
      <w:rPr>
        <w:rFonts w:ascii="Arial" w:hAnsi="Arial" w:hint="default"/>
      </w:rPr>
    </w:lvl>
    <w:lvl w:ilvl="7" w:tplc="ADCAD1CE" w:tentative="1">
      <w:start w:val="1"/>
      <w:numFmt w:val="bullet"/>
      <w:lvlText w:val="•"/>
      <w:lvlJc w:val="left"/>
      <w:pPr>
        <w:tabs>
          <w:tab w:val="num" w:pos="5760"/>
        </w:tabs>
        <w:ind w:left="5760" w:hanging="360"/>
      </w:pPr>
      <w:rPr>
        <w:rFonts w:ascii="Arial" w:hAnsi="Arial" w:hint="default"/>
      </w:rPr>
    </w:lvl>
    <w:lvl w:ilvl="8" w:tplc="61D0CF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A83D83"/>
    <w:multiLevelType w:val="hybridMultilevel"/>
    <w:tmpl w:val="F1CA99A0"/>
    <w:lvl w:ilvl="0" w:tplc="31EC9A8A">
      <w:start w:val="1"/>
      <w:numFmt w:val="bullet"/>
      <w:lvlText w:val="•"/>
      <w:lvlJc w:val="left"/>
      <w:pPr>
        <w:tabs>
          <w:tab w:val="num" w:pos="720"/>
        </w:tabs>
        <w:ind w:left="720" w:hanging="360"/>
      </w:pPr>
      <w:rPr>
        <w:rFonts w:ascii="Arial" w:hAnsi="Arial" w:hint="default"/>
      </w:rPr>
    </w:lvl>
    <w:lvl w:ilvl="1" w:tplc="4C860396">
      <w:start w:val="1"/>
      <w:numFmt w:val="bullet"/>
      <w:lvlText w:val="•"/>
      <w:lvlJc w:val="left"/>
      <w:pPr>
        <w:tabs>
          <w:tab w:val="num" w:pos="1440"/>
        </w:tabs>
        <w:ind w:left="1440" w:hanging="360"/>
      </w:pPr>
      <w:rPr>
        <w:rFonts w:ascii="Arial" w:hAnsi="Arial" w:hint="default"/>
      </w:rPr>
    </w:lvl>
    <w:lvl w:ilvl="2" w:tplc="E7CADAFE" w:tentative="1">
      <w:start w:val="1"/>
      <w:numFmt w:val="bullet"/>
      <w:lvlText w:val="•"/>
      <w:lvlJc w:val="left"/>
      <w:pPr>
        <w:tabs>
          <w:tab w:val="num" w:pos="2160"/>
        </w:tabs>
        <w:ind w:left="2160" w:hanging="360"/>
      </w:pPr>
      <w:rPr>
        <w:rFonts w:ascii="Arial" w:hAnsi="Arial" w:hint="default"/>
      </w:rPr>
    </w:lvl>
    <w:lvl w:ilvl="3" w:tplc="F81E2800" w:tentative="1">
      <w:start w:val="1"/>
      <w:numFmt w:val="bullet"/>
      <w:lvlText w:val="•"/>
      <w:lvlJc w:val="left"/>
      <w:pPr>
        <w:tabs>
          <w:tab w:val="num" w:pos="2880"/>
        </w:tabs>
        <w:ind w:left="2880" w:hanging="360"/>
      </w:pPr>
      <w:rPr>
        <w:rFonts w:ascii="Arial" w:hAnsi="Arial" w:hint="default"/>
      </w:rPr>
    </w:lvl>
    <w:lvl w:ilvl="4" w:tplc="E990E1DE" w:tentative="1">
      <w:start w:val="1"/>
      <w:numFmt w:val="bullet"/>
      <w:lvlText w:val="•"/>
      <w:lvlJc w:val="left"/>
      <w:pPr>
        <w:tabs>
          <w:tab w:val="num" w:pos="3600"/>
        </w:tabs>
        <w:ind w:left="3600" w:hanging="360"/>
      </w:pPr>
      <w:rPr>
        <w:rFonts w:ascii="Arial" w:hAnsi="Arial" w:hint="default"/>
      </w:rPr>
    </w:lvl>
    <w:lvl w:ilvl="5" w:tplc="8A4E6C1C" w:tentative="1">
      <w:start w:val="1"/>
      <w:numFmt w:val="bullet"/>
      <w:lvlText w:val="•"/>
      <w:lvlJc w:val="left"/>
      <w:pPr>
        <w:tabs>
          <w:tab w:val="num" w:pos="4320"/>
        </w:tabs>
        <w:ind w:left="4320" w:hanging="360"/>
      </w:pPr>
      <w:rPr>
        <w:rFonts w:ascii="Arial" w:hAnsi="Arial" w:hint="default"/>
      </w:rPr>
    </w:lvl>
    <w:lvl w:ilvl="6" w:tplc="065AECEE" w:tentative="1">
      <w:start w:val="1"/>
      <w:numFmt w:val="bullet"/>
      <w:lvlText w:val="•"/>
      <w:lvlJc w:val="left"/>
      <w:pPr>
        <w:tabs>
          <w:tab w:val="num" w:pos="5040"/>
        </w:tabs>
        <w:ind w:left="5040" w:hanging="360"/>
      </w:pPr>
      <w:rPr>
        <w:rFonts w:ascii="Arial" w:hAnsi="Arial" w:hint="default"/>
      </w:rPr>
    </w:lvl>
    <w:lvl w:ilvl="7" w:tplc="2828F64E" w:tentative="1">
      <w:start w:val="1"/>
      <w:numFmt w:val="bullet"/>
      <w:lvlText w:val="•"/>
      <w:lvlJc w:val="left"/>
      <w:pPr>
        <w:tabs>
          <w:tab w:val="num" w:pos="5760"/>
        </w:tabs>
        <w:ind w:left="5760" w:hanging="360"/>
      </w:pPr>
      <w:rPr>
        <w:rFonts w:ascii="Arial" w:hAnsi="Arial" w:hint="default"/>
      </w:rPr>
    </w:lvl>
    <w:lvl w:ilvl="8" w:tplc="C69022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D542B9"/>
    <w:multiLevelType w:val="hybridMultilevel"/>
    <w:tmpl w:val="E8882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43572"/>
    <w:multiLevelType w:val="hybridMultilevel"/>
    <w:tmpl w:val="4D1EE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30B95"/>
    <w:multiLevelType w:val="hybridMultilevel"/>
    <w:tmpl w:val="C868CCF0"/>
    <w:lvl w:ilvl="0" w:tplc="FD94D2C8">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46F82"/>
    <w:multiLevelType w:val="hybridMultilevel"/>
    <w:tmpl w:val="AFDCF6FE"/>
    <w:lvl w:ilvl="0" w:tplc="F738BAFA">
      <w:start w:val="1"/>
      <w:numFmt w:val="decimal"/>
      <w:lvlText w:val="(%1)"/>
      <w:lvlJc w:val="left"/>
      <w:pPr>
        <w:tabs>
          <w:tab w:val="num" w:pos="720"/>
        </w:tabs>
        <w:ind w:left="720" w:hanging="360"/>
      </w:pPr>
      <w:rPr>
        <w:rFonts w:ascii="Arial" w:eastAsiaTheme="minorHAnsi" w:hAnsi="Arial" w:cs="Arial"/>
      </w:rPr>
    </w:lvl>
    <w:lvl w:ilvl="1" w:tplc="9EC68EBE">
      <w:numFmt w:val="none"/>
      <w:lvlText w:val=""/>
      <w:lvlJc w:val="left"/>
      <w:pPr>
        <w:tabs>
          <w:tab w:val="num" w:pos="360"/>
        </w:tabs>
      </w:pPr>
    </w:lvl>
    <w:lvl w:ilvl="2" w:tplc="8164545C" w:tentative="1">
      <w:start w:val="1"/>
      <w:numFmt w:val="bullet"/>
      <w:lvlText w:val="•"/>
      <w:lvlJc w:val="left"/>
      <w:pPr>
        <w:tabs>
          <w:tab w:val="num" w:pos="2160"/>
        </w:tabs>
        <w:ind w:left="2160" w:hanging="360"/>
      </w:pPr>
      <w:rPr>
        <w:rFonts w:ascii="Arial" w:hAnsi="Arial" w:hint="default"/>
      </w:rPr>
    </w:lvl>
    <w:lvl w:ilvl="3" w:tplc="A8AE86A6" w:tentative="1">
      <w:start w:val="1"/>
      <w:numFmt w:val="bullet"/>
      <w:lvlText w:val="•"/>
      <w:lvlJc w:val="left"/>
      <w:pPr>
        <w:tabs>
          <w:tab w:val="num" w:pos="2880"/>
        </w:tabs>
        <w:ind w:left="2880" w:hanging="360"/>
      </w:pPr>
      <w:rPr>
        <w:rFonts w:ascii="Arial" w:hAnsi="Arial" w:hint="default"/>
      </w:rPr>
    </w:lvl>
    <w:lvl w:ilvl="4" w:tplc="173482C0" w:tentative="1">
      <w:start w:val="1"/>
      <w:numFmt w:val="bullet"/>
      <w:lvlText w:val="•"/>
      <w:lvlJc w:val="left"/>
      <w:pPr>
        <w:tabs>
          <w:tab w:val="num" w:pos="3600"/>
        </w:tabs>
        <w:ind w:left="3600" w:hanging="360"/>
      </w:pPr>
      <w:rPr>
        <w:rFonts w:ascii="Arial" w:hAnsi="Arial" w:hint="default"/>
      </w:rPr>
    </w:lvl>
    <w:lvl w:ilvl="5" w:tplc="7A523474" w:tentative="1">
      <w:start w:val="1"/>
      <w:numFmt w:val="bullet"/>
      <w:lvlText w:val="•"/>
      <w:lvlJc w:val="left"/>
      <w:pPr>
        <w:tabs>
          <w:tab w:val="num" w:pos="4320"/>
        </w:tabs>
        <w:ind w:left="4320" w:hanging="360"/>
      </w:pPr>
      <w:rPr>
        <w:rFonts w:ascii="Arial" w:hAnsi="Arial" w:hint="default"/>
      </w:rPr>
    </w:lvl>
    <w:lvl w:ilvl="6" w:tplc="B784B266" w:tentative="1">
      <w:start w:val="1"/>
      <w:numFmt w:val="bullet"/>
      <w:lvlText w:val="•"/>
      <w:lvlJc w:val="left"/>
      <w:pPr>
        <w:tabs>
          <w:tab w:val="num" w:pos="5040"/>
        </w:tabs>
        <w:ind w:left="5040" w:hanging="360"/>
      </w:pPr>
      <w:rPr>
        <w:rFonts w:ascii="Arial" w:hAnsi="Arial" w:hint="default"/>
      </w:rPr>
    </w:lvl>
    <w:lvl w:ilvl="7" w:tplc="71C27FB0" w:tentative="1">
      <w:start w:val="1"/>
      <w:numFmt w:val="bullet"/>
      <w:lvlText w:val="•"/>
      <w:lvlJc w:val="left"/>
      <w:pPr>
        <w:tabs>
          <w:tab w:val="num" w:pos="5760"/>
        </w:tabs>
        <w:ind w:left="5760" w:hanging="360"/>
      </w:pPr>
      <w:rPr>
        <w:rFonts w:ascii="Arial" w:hAnsi="Arial" w:hint="default"/>
      </w:rPr>
    </w:lvl>
    <w:lvl w:ilvl="8" w:tplc="2B6C54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C42A5D"/>
    <w:multiLevelType w:val="hybridMultilevel"/>
    <w:tmpl w:val="CA8CFE12"/>
    <w:lvl w:ilvl="0" w:tplc="7B7A8C70">
      <w:start w:val="1"/>
      <w:numFmt w:val="decimal"/>
      <w:lvlText w:val="%1."/>
      <w:lvlJc w:val="left"/>
      <w:pPr>
        <w:tabs>
          <w:tab w:val="num" w:pos="720"/>
        </w:tabs>
        <w:ind w:left="720" w:hanging="360"/>
      </w:pPr>
    </w:lvl>
    <w:lvl w:ilvl="1" w:tplc="0F7427DE" w:tentative="1">
      <w:start w:val="1"/>
      <w:numFmt w:val="decimal"/>
      <w:lvlText w:val="%2."/>
      <w:lvlJc w:val="left"/>
      <w:pPr>
        <w:tabs>
          <w:tab w:val="num" w:pos="1440"/>
        </w:tabs>
        <w:ind w:left="1440" w:hanging="360"/>
      </w:pPr>
    </w:lvl>
    <w:lvl w:ilvl="2" w:tplc="B1FA7022" w:tentative="1">
      <w:start w:val="1"/>
      <w:numFmt w:val="decimal"/>
      <w:lvlText w:val="%3."/>
      <w:lvlJc w:val="left"/>
      <w:pPr>
        <w:tabs>
          <w:tab w:val="num" w:pos="2160"/>
        </w:tabs>
        <w:ind w:left="2160" w:hanging="360"/>
      </w:pPr>
    </w:lvl>
    <w:lvl w:ilvl="3" w:tplc="30021658" w:tentative="1">
      <w:start w:val="1"/>
      <w:numFmt w:val="decimal"/>
      <w:lvlText w:val="%4."/>
      <w:lvlJc w:val="left"/>
      <w:pPr>
        <w:tabs>
          <w:tab w:val="num" w:pos="2880"/>
        </w:tabs>
        <w:ind w:left="2880" w:hanging="360"/>
      </w:pPr>
    </w:lvl>
    <w:lvl w:ilvl="4" w:tplc="86A287D2" w:tentative="1">
      <w:start w:val="1"/>
      <w:numFmt w:val="decimal"/>
      <w:lvlText w:val="%5."/>
      <w:lvlJc w:val="left"/>
      <w:pPr>
        <w:tabs>
          <w:tab w:val="num" w:pos="3600"/>
        </w:tabs>
        <w:ind w:left="3600" w:hanging="360"/>
      </w:pPr>
    </w:lvl>
    <w:lvl w:ilvl="5" w:tplc="0D6E834E" w:tentative="1">
      <w:start w:val="1"/>
      <w:numFmt w:val="decimal"/>
      <w:lvlText w:val="%6."/>
      <w:lvlJc w:val="left"/>
      <w:pPr>
        <w:tabs>
          <w:tab w:val="num" w:pos="4320"/>
        </w:tabs>
        <w:ind w:left="4320" w:hanging="360"/>
      </w:pPr>
    </w:lvl>
    <w:lvl w:ilvl="6" w:tplc="B0228804" w:tentative="1">
      <w:start w:val="1"/>
      <w:numFmt w:val="decimal"/>
      <w:lvlText w:val="%7."/>
      <w:lvlJc w:val="left"/>
      <w:pPr>
        <w:tabs>
          <w:tab w:val="num" w:pos="5040"/>
        </w:tabs>
        <w:ind w:left="5040" w:hanging="360"/>
      </w:pPr>
    </w:lvl>
    <w:lvl w:ilvl="7" w:tplc="78B66E5E" w:tentative="1">
      <w:start w:val="1"/>
      <w:numFmt w:val="decimal"/>
      <w:lvlText w:val="%8."/>
      <w:lvlJc w:val="left"/>
      <w:pPr>
        <w:tabs>
          <w:tab w:val="num" w:pos="5760"/>
        </w:tabs>
        <w:ind w:left="5760" w:hanging="360"/>
      </w:pPr>
    </w:lvl>
    <w:lvl w:ilvl="8" w:tplc="AE5482DA" w:tentative="1">
      <w:start w:val="1"/>
      <w:numFmt w:val="decimal"/>
      <w:lvlText w:val="%9."/>
      <w:lvlJc w:val="left"/>
      <w:pPr>
        <w:tabs>
          <w:tab w:val="num" w:pos="6480"/>
        </w:tabs>
        <w:ind w:left="6480" w:hanging="360"/>
      </w:pPr>
    </w:lvl>
  </w:abstractNum>
  <w:abstractNum w:abstractNumId="7" w15:restartNumberingAfterBreak="0">
    <w:nsid w:val="4D6B3E28"/>
    <w:multiLevelType w:val="hybridMultilevel"/>
    <w:tmpl w:val="D200DA4E"/>
    <w:lvl w:ilvl="0" w:tplc="98929CE2">
      <w:start w:val="1"/>
      <w:numFmt w:val="bullet"/>
      <w:lvlText w:val="•"/>
      <w:lvlJc w:val="left"/>
      <w:pPr>
        <w:tabs>
          <w:tab w:val="num" w:pos="720"/>
        </w:tabs>
        <w:ind w:left="720" w:hanging="360"/>
      </w:pPr>
      <w:rPr>
        <w:rFonts w:ascii="Arial" w:hAnsi="Arial" w:hint="default"/>
      </w:rPr>
    </w:lvl>
    <w:lvl w:ilvl="1" w:tplc="3844FAD6">
      <w:numFmt w:val="none"/>
      <w:lvlText w:val=""/>
      <w:lvlJc w:val="left"/>
      <w:pPr>
        <w:tabs>
          <w:tab w:val="num" w:pos="360"/>
        </w:tabs>
      </w:pPr>
    </w:lvl>
    <w:lvl w:ilvl="2" w:tplc="69BA9BEE">
      <w:start w:val="1"/>
      <w:numFmt w:val="bullet"/>
      <w:lvlText w:val="•"/>
      <w:lvlJc w:val="left"/>
      <w:pPr>
        <w:tabs>
          <w:tab w:val="num" w:pos="2160"/>
        </w:tabs>
        <w:ind w:left="2160" w:hanging="360"/>
      </w:pPr>
      <w:rPr>
        <w:rFonts w:ascii="Arial" w:hAnsi="Arial" w:hint="default"/>
      </w:rPr>
    </w:lvl>
    <w:lvl w:ilvl="3" w:tplc="68FABA64" w:tentative="1">
      <w:start w:val="1"/>
      <w:numFmt w:val="bullet"/>
      <w:lvlText w:val="•"/>
      <w:lvlJc w:val="left"/>
      <w:pPr>
        <w:tabs>
          <w:tab w:val="num" w:pos="2880"/>
        </w:tabs>
        <w:ind w:left="2880" w:hanging="360"/>
      </w:pPr>
      <w:rPr>
        <w:rFonts w:ascii="Arial" w:hAnsi="Arial" w:hint="default"/>
      </w:rPr>
    </w:lvl>
    <w:lvl w:ilvl="4" w:tplc="04860192" w:tentative="1">
      <w:start w:val="1"/>
      <w:numFmt w:val="bullet"/>
      <w:lvlText w:val="•"/>
      <w:lvlJc w:val="left"/>
      <w:pPr>
        <w:tabs>
          <w:tab w:val="num" w:pos="3600"/>
        </w:tabs>
        <w:ind w:left="3600" w:hanging="360"/>
      </w:pPr>
      <w:rPr>
        <w:rFonts w:ascii="Arial" w:hAnsi="Arial" w:hint="default"/>
      </w:rPr>
    </w:lvl>
    <w:lvl w:ilvl="5" w:tplc="BAB2E732" w:tentative="1">
      <w:start w:val="1"/>
      <w:numFmt w:val="bullet"/>
      <w:lvlText w:val="•"/>
      <w:lvlJc w:val="left"/>
      <w:pPr>
        <w:tabs>
          <w:tab w:val="num" w:pos="4320"/>
        </w:tabs>
        <w:ind w:left="4320" w:hanging="360"/>
      </w:pPr>
      <w:rPr>
        <w:rFonts w:ascii="Arial" w:hAnsi="Arial" w:hint="default"/>
      </w:rPr>
    </w:lvl>
    <w:lvl w:ilvl="6" w:tplc="02364B8A" w:tentative="1">
      <w:start w:val="1"/>
      <w:numFmt w:val="bullet"/>
      <w:lvlText w:val="•"/>
      <w:lvlJc w:val="left"/>
      <w:pPr>
        <w:tabs>
          <w:tab w:val="num" w:pos="5040"/>
        </w:tabs>
        <w:ind w:left="5040" w:hanging="360"/>
      </w:pPr>
      <w:rPr>
        <w:rFonts w:ascii="Arial" w:hAnsi="Arial" w:hint="default"/>
      </w:rPr>
    </w:lvl>
    <w:lvl w:ilvl="7" w:tplc="5B5AE702" w:tentative="1">
      <w:start w:val="1"/>
      <w:numFmt w:val="bullet"/>
      <w:lvlText w:val="•"/>
      <w:lvlJc w:val="left"/>
      <w:pPr>
        <w:tabs>
          <w:tab w:val="num" w:pos="5760"/>
        </w:tabs>
        <w:ind w:left="5760" w:hanging="360"/>
      </w:pPr>
      <w:rPr>
        <w:rFonts w:ascii="Arial" w:hAnsi="Arial" w:hint="default"/>
      </w:rPr>
    </w:lvl>
    <w:lvl w:ilvl="8" w:tplc="C3D8D1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9B6981"/>
    <w:multiLevelType w:val="hybridMultilevel"/>
    <w:tmpl w:val="7A4AD904"/>
    <w:lvl w:ilvl="0" w:tplc="23A4ABB2">
      <w:start w:val="1"/>
      <w:numFmt w:val="bullet"/>
      <w:lvlText w:val="•"/>
      <w:lvlJc w:val="left"/>
      <w:pPr>
        <w:tabs>
          <w:tab w:val="num" w:pos="720"/>
        </w:tabs>
        <w:ind w:left="720" w:hanging="360"/>
      </w:pPr>
      <w:rPr>
        <w:rFonts w:ascii="Arial" w:hAnsi="Arial" w:hint="default"/>
      </w:rPr>
    </w:lvl>
    <w:lvl w:ilvl="1" w:tplc="4EDCAE16" w:tentative="1">
      <w:start w:val="1"/>
      <w:numFmt w:val="bullet"/>
      <w:lvlText w:val="•"/>
      <w:lvlJc w:val="left"/>
      <w:pPr>
        <w:tabs>
          <w:tab w:val="num" w:pos="1440"/>
        </w:tabs>
        <w:ind w:left="1440" w:hanging="360"/>
      </w:pPr>
      <w:rPr>
        <w:rFonts w:ascii="Arial" w:hAnsi="Arial" w:hint="default"/>
      </w:rPr>
    </w:lvl>
    <w:lvl w:ilvl="2" w:tplc="11D6A1BC" w:tentative="1">
      <w:start w:val="1"/>
      <w:numFmt w:val="bullet"/>
      <w:lvlText w:val="•"/>
      <w:lvlJc w:val="left"/>
      <w:pPr>
        <w:tabs>
          <w:tab w:val="num" w:pos="2160"/>
        </w:tabs>
        <w:ind w:left="2160" w:hanging="360"/>
      </w:pPr>
      <w:rPr>
        <w:rFonts w:ascii="Arial" w:hAnsi="Arial" w:hint="default"/>
      </w:rPr>
    </w:lvl>
    <w:lvl w:ilvl="3" w:tplc="50264530" w:tentative="1">
      <w:start w:val="1"/>
      <w:numFmt w:val="bullet"/>
      <w:lvlText w:val="•"/>
      <w:lvlJc w:val="left"/>
      <w:pPr>
        <w:tabs>
          <w:tab w:val="num" w:pos="2880"/>
        </w:tabs>
        <w:ind w:left="2880" w:hanging="360"/>
      </w:pPr>
      <w:rPr>
        <w:rFonts w:ascii="Arial" w:hAnsi="Arial" w:hint="default"/>
      </w:rPr>
    </w:lvl>
    <w:lvl w:ilvl="4" w:tplc="99E6BAD8" w:tentative="1">
      <w:start w:val="1"/>
      <w:numFmt w:val="bullet"/>
      <w:lvlText w:val="•"/>
      <w:lvlJc w:val="left"/>
      <w:pPr>
        <w:tabs>
          <w:tab w:val="num" w:pos="3600"/>
        </w:tabs>
        <w:ind w:left="3600" w:hanging="360"/>
      </w:pPr>
      <w:rPr>
        <w:rFonts w:ascii="Arial" w:hAnsi="Arial" w:hint="default"/>
      </w:rPr>
    </w:lvl>
    <w:lvl w:ilvl="5" w:tplc="62BAD9AE" w:tentative="1">
      <w:start w:val="1"/>
      <w:numFmt w:val="bullet"/>
      <w:lvlText w:val="•"/>
      <w:lvlJc w:val="left"/>
      <w:pPr>
        <w:tabs>
          <w:tab w:val="num" w:pos="4320"/>
        </w:tabs>
        <w:ind w:left="4320" w:hanging="360"/>
      </w:pPr>
      <w:rPr>
        <w:rFonts w:ascii="Arial" w:hAnsi="Arial" w:hint="default"/>
      </w:rPr>
    </w:lvl>
    <w:lvl w:ilvl="6" w:tplc="74EAA3B6" w:tentative="1">
      <w:start w:val="1"/>
      <w:numFmt w:val="bullet"/>
      <w:lvlText w:val="•"/>
      <w:lvlJc w:val="left"/>
      <w:pPr>
        <w:tabs>
          <w:tab w:val="num" w:pos="5040"/>
        </w:tabs>
        <w:ind w:left="5040" w:hanging="360"/>
      </w:pPr>
      <w:rPr>
        <w:rFonts w:ascii="Arial" w:hAnsi="Arial" w:hint="default"/>
      </w:rPr>
    </w:lvl>
    <w:lvl w:ilvl="7" w:tplc="0444FD98" w:tentative="1">
      <w:start w:val="1"/>
      <w:numFmt w:val="bullet"/>
      <w:lvlText w:val="•"/>
      <w:lvlJc w:val="left"/>
      <w:pPr>
        <w:tabs>
          <w:tab w:val="num" w:pos="5760"/>
        </w:tabs>
        <w:ind w:left="5760" w:hanging="360"/>
      </w:pPr>
      <w:rPr>
        <w:rFonts w:ascii="Arial" w:hAnsi="Arial" w:hint="default"/>
      </w:rPr>
    </w:lvl>
    <w:lvl w:ilvl="8" w:tplc="57D852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BBA059A"/>
    <w:multiLevelType w:val="hybridMultilevel"/>
    <w:tmpl w:val="0A3C1170"/>
    <w:lvl w:ilvl="0" w:tplc="780277E0">
      <w:start w:val="1"/>
      <w:numFmt w:val="bullet"/>
      <w:lvlText w:val="•"/>
      <w:lvlJc w:val="left"/>
      <w:pPr>
        <w:tabs>
          <w:tab w:val="num" w:pos="720"/>
        </w:tabs>
        <w:ind w:left="720" w:hanging="360"/>
      </w:pPr>
      <w:rPr>
        <w:rFonts w:ascii="Arial" w:hAnsi="Arial" w:hint="default"/>
      </w:rPr>
    </w:lvl>
    <w:lvl w:ilvl="1" w:tplc="4C12E2D8">
      <w:start w:val="1"/>
      <w:numFmt w:val="bullet"/>
      <w:lvlText w:val="•"/>
      <w:lvlJc w:val="left"/>
      <w:pPr>
        <w:tabs>
          <w:tab w:val="num" w:pos="1440"/>
        </w:tabs>
        <w:ind w:left="1440" w:hanging="360"/>
      </w:pPr>
      <w:rPr>
        <w:rFonts w:ascii="Arial" w:hAnsi="Arial" w:hint="default"/>
      </w:rPr>
    </w:lvl>
    <w:lvl w:ilvl="2" w:tplc="2AAEA990" w:tentative="1">
      <w:start w:val="1"/>
      <w:numFmt w:val="bullet"/>
      <w:lvlText w:val="•"/>
      <w:lvlJc w:val="left"/>
      <w:pPr>
        <w:tabs>
          <w:tab w:val="num" w:pos="2160"/>
        </w:tabs>
        <w:ind w:left="2160" w:hanging="360"/>
      </w:pPr>
      <w:rPr>
        <w:rFonts w:ascii="Arial" w:hAnsi="Arial" w:hint="default"/>
      </w:rPr>
    </w:lvl>
    <w:lvl w:ilvl="3" w:tplc="A418BDA8" w:tentative="1">
      <w:start w:val="1"/>
      <w:numFmt w:val="bullet"/>
      <w:lvlText w:val="•"/>
      <w:lvlJc w:val="left"/>
      <w:pPr>
        <w:tabs>
          <w:tab w:val="num" w:pos="2880"/>
        </w:tabs>
        <w:ind w:left="2880" w:hanging="360"/>
      </w:pPr>
      <w:rPr>
        <w:rFonts w:ascii="Arial" w:hAnsi="Arial" w:hint="default"/>
      </w:rPr>
    </w:lvl>
    <w:lvl w:ilvl="4" w:tplc="8EE0D266" w:tentative="1">
      <w:start w:val="1"/>
      <w:numFmt w:val="bullet"/>
      <w:lvlText w:val="•"/>
      <w:lvlJc w:val="left"/>
      <w:pPr>
        <w:tabs>
          <w:tab w:val="num" w:pos="3600"/>
        </w:tabs>
        <w:ind w:left="3600" w:hanging="360"/>
      </w:pPr>
      <w:rPr>
        <w:rFonts w:ascii="Arial" w:hAnsi="Arial" w:hint="default"/>
      </w:rPr>
    </w:lvl>
    <w:lvl w:ilvl="5" w:tplc="1BB41270" w:tentative="1">
      <w:start w:val="1"/>
      <w:numFmt w:val="bullet"/>
      <w:lvlText w:val="•"/>
      <w:lvlJc w:val="left"/>
      <w:pPr>
        <w:tabs>
          <w:tab w:val="num" w:pos="4320"/>
        </w:tabs>
        <w:ind w:left="4320" w:hanging="360"/>
      </w:pPr>
      <w:rPr>
        <w:rFonts w:ascii="Arial" w:hAnsi="Arial" w:hint="default"/>
      </w:rPr>
    </w:lvl>
    <w:lvl w:ilvl="6" w:tplc="BC62A3B6" w:tentative="1">
      <w:start w:val="1"/>
      <w:numFmt w:val="bullet"/>
      <w:lvlText w:val="•"/>
      <w:lvlJc w:val="left"/>
      <w:pPr>
        <w:tabs>
          <w:tab w:val="num" w:pos="5040"/>
        </w:tabs>
        <w:ind w:left="5040" w:hanging="360"/>
      </w:pPr>
      <w:rPr>
        <w:rFonts w:ascii="Arial" w:hAnsi="Arial" w:hint="default"/>
      </w:rPr>
    </w:lvl>
    <w:lvl w:ilvl="7" w:tplc="E8EC3848" w:tentative="1">
      <w:start w:val="1"/>
      <w:numFmt w:val="bullet"/>
      <w:lvlText w:val="•"/>
      <w:lvlJc w:val="left"/>
      <w:pPr>
        <w:tabs>
          <w:tab w:val="num" w:pos="5760"/>
        </w:tabs>
        <w:ind w:left="5760" w:hanging="360"/>
      </w:pPr>
      <w:rPr>
        <w:rFonts w:ascii="Arial" w:hAnsi="Arial" w:hint="default"/>
      </w:rPr>
    </w:lvl>
    <w:lvl w:ilvl="8" w:tplc="9E8E49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3C0EEC"/>
    <w:multiLevelType w:val="hybridMultilevel"/>
    <w:tmpl w:val="C4905762"/>
    <w:lvl w:ilvl="0" w:tplc="6848F61A">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24F94"/>
    <w:multiLevelType w:val="hybridMultilevel"/>
    <w:tmpl w:val="6128B9B4"/>
    <w:lvl w:ilvl="0" w:tplc="D57A23A6">
      <w:start w:val="1"/>
      <w:numFmt w:val="bullet"/>
      <w:lvlText w:val="•"/>
      <w:lvlJc w:val="left"/>
      <w:pPr>
        <w:tabs>
          <w:tab w:val="num" w:pos="720"/>
        </w:tabs>
        <w:ind w:left="720" w:hanging="360"/>
      </w:pPr>
      <w:rPr>
        <w:rFonts w:ascii="Arial" w:hAnsi="Arial" w:hint="default"/>
      </w:rPr>
    </w:lvl>
    <w:lvl w:ilvl="1" w:tplc="18E0B31A" w:tentative="1">
      <w:start w:val="1"/>
      <w:numFmt w:val="bullet"/>
      <w:lvlText w:val="•"/>
      <w:lvlJc w:val="left"/>
      <w:pPr>
        <w:tabs>
          <w:tab w:val="num" w:pos="1440"/>
        </w:tabs>
        <w:ind w:left="1440" w:hanging="360"/>
      </w:pPr>
      <w:rPr>
        <w:rFonts w:ascii="Arial" w:hAnsi="Arial" w:hint="default"/>
      </w:rPr>
    </w:lvl>
    <w:lvl w:ilvl="2" w:tplc="8918BE50" w:tentative="1">
      <w:start w:val="1"/>
      <w:numFmt w:val="bullet"/>
      <w:lvlText w:val="•"/>
      <w:lvlJc w:val="left"/>
      <w:pPr>
        <w:tabs>
          <w:tab w:val="num" w:pos="2160"/>
        </w:tabs>
        <w:ind w:left="2160" w:hanging="360"/>
      </w:pPr>
      <w:rPr>
        <w:rFonts w:ascii="Arial" w:hAnsi="Arial" w:hint="default"/>
      </w:rPr>
    </w:lvl>
    <w:lvl w:ilvl="3" w:tplc="854C17B8" w:tentative="1">
      <w:start w:val="1"/>
      <w:numFmt w:val="bullet"/>
      <w:lvlText w:val="•"/>
      <w:lvlJc w:val="left"/>
      <w:pPr>
        <w:tabs>
          <w:tab w:val="num" w:pos="2880"/>
        </w:tabs>
        <w:ind w:left="2880" w:hanging="360"/>
      </w:pPr>
      <w:rPr>
        <w:rFonts w:ascii="Arial" w:hAnsi="Arial" w:hint="default"/>
      </w:rPr>
    </w:lvl>
    <w:lvl w:ilvl="4" w:tplc="391EA790" w:tentative="1">
      <w:start w:val="1"/>
      <w:numFmt w:val="bullet"/>
      <w:lvlText w:val="•"/>
      <w:lvlJc w:val="left"/>
      <w:pPr>
        <w:tabs>
          <w:tab w:val="num" w:pos="3600"/>
        </w:tabs>
        <w:ind w:left="3600" w:hanging="360"/>
      </w:pPr>
      <w:rPr>
        <w:rFonts w:ascii="Arial" w:hAnsi="Arial" w:hint="default"/>
      </w:rPr>
    </w:lvl>
    <w:lvl w:ilvl="5" w:tplc="C47AF4DE" w:tentative="1">
      <w:start w:val="1"/>
      <w:numFmt w:val="bullet"/>
      <w:lvlText w:val="•"/>
      <w:lvlJc w:val="left"/>
      <w:pPr>
        <w:tabs>
          <w:tab w:val="num" w:pos="4320"/>
        </w:tabs>
        <w:ind w:left="4320" w:hanging="360"/>
      </w:pPr>
      <w:rPr>
        <w:rFonts w:ascii="Arial" w:hAnsi="Arial" w:hint="default"/>
      </w:rPr>
    </w:lvl>
    <w:lvl w:ilvl="6" w:tplc="6EF4FD70" w:tentative="1">
      <w:start w:val="1"/>
      <w:numFmt w:val="bullet"/>
      <w:lvlText w:val="•"/>
      <w:lvlJc w:val="left"/>
      <w:pPr>
        <w:tabs>
          <w:tab w:val="num" w:pos="5040"/>
        </w:tabs>
        <w:ind w:left="5040" w:hanging="360"/>
      </w:pPr>
      <w:rPr>
        <w:rFonts w:ascii="Arial" w:hAnsi="Arial" w:hint="default"/>
      </w:rPr>
    </w:lvl>
    <w:lvl w:ilvl="7" w:tplc="74EE3BD8" w:tentative="1">
      <w:start w:val="1"/>
      <w:numFmt w:val="bullet"/>
      <w:lvlText w:val="•"/>
      <w:lvlJc w:val="left"/>
      <w:pPr>
        <w:tabs>
          <w:tab w:val="num" w:pos="5760"/>
        </w:tabs>
        <w:ind w:left="5760" w:hanging="360"/>
      </w:pPr>
      <w:rPr>
        <w:rFonts w:ascii="Arial" w:hAnsi="Arial" w:hint="default"/>
      </w:rPr>
    </w:lvl>
    <w:lvl w:ilvl="8" w:tplc="233E71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6170FBC"/>
    <w:multiLevelType w:val="hybridMultilevel"/>
    <w:tmpl w:val="A58EBCE0"/>
    <w:lvl w:ilvl="0" w:tplc="6C46310E">
      <w:start w:val="1"/>
      <w:numFmt w:val="bullet"/>
      <w:lvlText w:val="•"/>
      <w:lvlJc w:val="left"/>
      <w:pPr>
        <w:tabs>
          <w:tab w:val="num" w:pos="720"/>
        </w:tabs>
        <w:ind w:left="720" w:hanging="360"/>
      </w:pPr>
      <w:rPr>
        <w:rFonts w:ascii="Arial" w:hAnsi="Arial" w:hint="default"/>
      </w:rPr>
    </w:lvl>
    <w:lvl w:ilvl="1" w:tplc="70A83C8E">
      <w:numFmt w:val="none"/>
      <w:lvlText w:val=""/>
      <w:lvlJc w:val="left"/>
      <w:pPr>
        <w:tabs>
          <w:tab w:val="num" w:pos="360"/>
        </w:tabs>
      </w:pPr>
    </w:lvl>
    <w:lvl w:ilvl="2" w:tplc="774E635E">
      <w:numFmt w:val="none"/>
      <w:lvlText w:val=""/>
      <w:lvlJc w:val="left"/>
      <w:pPr>
        <w:tabs>
          <w:tab w:val="num" w:pos="360"/>
        </w:tabs>
      </w:pPr>
    </w:lvl>
    <w:lvl w:ilvl="3" w:tplc="9CDAE742" w:tentative="1">
      <w:start w:val="1"/>
      <w:numFmt w:val="bullet"/>
      <w:lvlText w:val="•"/>
      <w:lvlJc w:val="left"/>
      <w:pPr>
        <w:tabs>
          <w:tab w:val="num" w:pos="2880"/>
        </w:tabs>
        <w:ind w:left="2880" w:hanging="360"/>
      </w:pPr>
      <w:rPr>
        <w:rFonts w:ascii="Arial" w:hAnsi="Arial" w:hint="default"/>
      </w:rPr>
    </w:lvl>
    <w:lvl w:ilvl="4" w:tplc="539E57FA" w:tentative="1">
      <w:start w:val="1"/>
      <w:numFmt w:val="bullet"/>
      <w:lvlText w:val="•"/>
      <w:lvlJc w:val="left"/>
      <w:pPr>
        <w:tabs>
          <w:tab w:val="num" w:pos="3600"/>
        </w:tabs>
        <w:ind w:left="3600" w:hanging="360"/>
      </w:pPr>
      <w:rPr>
        <w:rFonts w:ascii="Arial" w:hAnsi="Arial" w:hint="default"/>
      </w:rPr>
    </w:lvl>
    <w:lvl w:ilvl="5" w:tplc="9996BED0" w:tentative="1">
      <w:start w:val="1"/>
      <w:numFmt w:val="bullet"/>
      <w:lvlText w:val="•"/>
      <w:lvlJc w:val="left"/>
      <w:pPr>
        <w:tabs>
          <w:tab w:val="num" w:pos="4320"/>
        </w:tabs>
        <w:ind w:left="4320" w:hanging="360"/>
      </w:pPr>
      <w:rPr>
        <w:rFonts w:ascii="Arial" w:hAnsi="Arial" w:hint="default"/>
      </w:rPr>
    </w:lvl>
    <w:lvl w:ilvl="6" w:tplc="C254A8CE" w:tentative="1">
      <w:start w:val="1"/>
      <w:numFmt w:val="bullet"/>
      <w:lvlText w:val="•"/>
      <w:lvlJc w:val="left"/>
      <w:pPr>
        <w:tabs>
          <w:tab w:val="num" w:pos="5040"/>
        </w:tabs>
        <w:ind w:left="5040" w:hanging="360"/>
      </w:pPr>
      <w:rPr>
        <w:rFonts w:ascii="Arial" w:hAnsi="Arial" w:hint="default"/>
      </w:rPr>
    </w:lvl>
    <w:lvl w:ilvl="7" w:tplc="7194DC3C" w:tentative="1">
      <w:start w:val="1"/>
      <w:numFmt w:val="bullet"/>
      <w:lvlText w:val="•"/>
      <w:lvlJc w:val="left"/>
      <w:pPr>
        <w:tabs>
          <w:tab w:val="num" w:pos="5760"/>
        </w:tabs>
        <w:ind w:left="5760" w:hanging="360"/>
      </w:pPr>
      <w:rPr>
        <w:rFonts w:ascii="Arial" w:hAnsi="Arial" w:hint="default"/>
      </w:rPr>
    </w:lvl>
    <w:lvl w:ilvl="8" w:tplc="8A7ACF5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5"/>
  </w:num>
  <w:num w:numId="3">
    <w:abstractNumId w:val="9"/>
  </w:num>
  <w:num w:numId="4">
    <w:abstractNumId w:val="1"/>
  </w:num>
  <w:num w:numId="5">
    <w:abstractNumId w:val="12"/>
  </w:num>
  <w:num w:numId="6">
    <w:abstractNumId w:val="7"/>
  </w:num>
  <w:num w:numId="7">
    <w:abstractNumId w:val="0"/>
  </w:num>
  <w:num w:numId="8">
    <w:abstractNumId w:val="6"/>
  </w:num>
  <w:num w:numId="9">
    <w:abstractNumId w:val="8"/>
  </w:num>
  <w:num w:numId="10">
    <w:abstractNumId w:val="4"/>
  </w:num>
  <w:num w:numId="11">
    <w:abstractNumId w:val="10"/>
  </w:num>
  <w:num w:numId="12">
    <w:abstractNumId w:val="2"/>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freville, Christopher">
    <w15:presenceInfo w15:providerId="AD" w15:userId="S-1-5-21-494842029-2985525290-4291120034-192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AAE"/>
    <w:rsid w:val="000106B2"/>
    <w:rsid w:val="00016385"/>
    <w:rsid w:val="00046771"/>
    <w:rsid w:val="000471AF"/>
    <w:rsid w:val="00067E79"/>
    <w:rsid w:val="000B170D"/>
    <w:rsid w:val="000C4DC7"/>
    <w:rsid w:val="000D3B8E"/>
    <w:rsid w:val="000E71C8"/>
    <w:rsid w:val="000F2FC1"/>
    <w:rsid w:val="00117584"/>
    <w:rsid w:val="00131901"/>
    <w:rsid w:val="00133F67"/>
    <w:rsid w:val="00156E1E"/>
    <w:rsid w:val="001721E1"/>
    <w:rsid w:val="00173E74"/>
    <w:rsid w:val="00186E69"/>
    <w:rsid w:val="00190DB8"/>
    <w:rsid w:val="001C0023"/>
    <w:rsid w:val="001C6EE7"/>
    <w:rsid w:val="001D3AAE"/>
    <w:rsid w:val="001E33B2"/>
    <w:rsid w:val="002417C3"/>
    <w:rsid w:val="00262DB9"/>
    <w:rsid w:val="00274F16"/>
    <w:rsid w:val="00280E7D"/>
    <w:rsid w:val="00281C2D"/>
    <w:rsid w:val="00287140"/>
    <w:rsid w:val="002B2CA0"/>
    <w:rsid w:val="002C422C"/>
    <w:rsid w:val="002D0EAA"/>
    <w:rsid w:val="002E6773"/>
    <w:rsid w:val="002F72C6"/>
    <w:rsid w:val="002F72FC"/>
    <w:rsid w:val="002F730A"/>
    <w:rsid w:val="0033032F"/>
    <w:rsid w:val="00330ACF"/>
    <w:rsid w:val="003323FB"/>
    <w:rsid w:val="0033779E"/>
    <w:rsid w:val="00342578"/>
    <w:rsid w:val="00362CD0"/>
    <w:rsid w:val="00365E57"/>
    <w:rsid w:val="00372CAC"/>
    <w:rsid w:val="003737AC"/>
    <w:rsid w:val="00373D12"/>
    <w:rsid w:val="00375B01"/>
    <w:rsid w:val="00394E00"/>
    <w:rsid w:val="003C1543"/>
    <w:rsid w:val="003E25D1"/>
    <w:rsid w:val="00452E9D"/>
    <w:rsid w:val="00480426"/>
    <w:rsid w:val="004A2D11"/>
    <w:rsid w:val="004B0A00"/>
    <w:rsid w:val="004B3FE0"/>
    <w:rsid w:val="004C0BF7"/>
    <w:rsid w:val="004C1AB1"/>
    <w:rsid w:val="004C25EB"/>
    <w:rsid w:val="004D085C"/>
    <w:rsid w:val="004D659B"/>
    <w:rsid w:val="004F7386"/>
    <w:rsid w:val="00500F46"/>
    <w:rsid w:val="00504365"/>
    <w:rsid w:val="00523738"/>
    <w:rsid w:val="0053358F"/>
    <w:rsid w:val="005425C5"/>
    <w:rsid w:val="00546AC4"/>
    <w:rsid w:val="00551C91"/>
    <w:rsid w:val="00553EAA"/>
    <w:rsid w:val="0056296F"/>
    <w:rsid w:val="00571B00"/>
    <w:rsid w:val="005A2024"/>
    <w:rsid w:val="005B1A38"/>
    <w:rsid w:val="005D0716"/>
    <w:rsid w:val="005D08E7"/>
    <w:rsid w:val="005D0AB0"/>
    <w:rsid w:val="005E06F0"/>
    <w:rsid w:val="00614358"/>
    <w:rsid w:val="006152BB"/>
    <w:rsid w:val="00617FD8"/>
    <w:rsid w:val="006270A5"/>
    <w:rsid w:val="0063082C"/>
    <w:rsid w:val="00650539"/>
    <w:rsid w:val="00667623"/>
    <w:rsid w:val="00686B9A"/>
    <w:rsid w:val="00691C2F"/>
    <w:rsid w:val="006923E9"/>
    <w:rsid w:val="00696FEF"/>
    <w:rsid w:val="006B1846"/>
    <w:rsid w:val="006C2DBB"/>
    <w:rsid w:val="00781848"/>
    <w:rsid w:val="00785CCA"/>
    <w:rsid w:val="007927A3"/>
    <w:rsid w:val="007A0391"/>
    <w:rsid w:val="007A23C3"/>
    <w:rsid w:val="007B644A"/>
    <w:rsid w:val="007B74A5"/>
    <w:rsid w:val="007C00D2"/>
    <w:rsid w:val="007D57D2"/>
    <w:rsid w:val="007E504B"/>
    <w:rsid w:val="007F6247"/>
    <w:rsid w:val="00807E67"/>
    <w:rsid w:val="00814219"/>
    <w:rsid w:val="0082222A"/>
    <w:rsid w:val="00832315"/>
    <w:rsid w:val="00833BA3"/>
    <w:rsid w:val="0083482C"/>
    <w:rsid w:val="00836DBB"/>
    <w:rsid w:val="0084704B"/>
    <w:rsid w:val="0086682D"/>
    <w:rsid w:val="0087220A"/>
    <w:rsid w:val="0088593B"/>
    <w:rsid w:val="00894A96"/>
    <w:rsid w:val="008A555E"/>
    <w:rsid w:val="008D2988"/>
    <w:rsid w:val="008E0E7D"/>
    <w:rsid w:val="009002EF"/>
    <w:rsid w:val="0090109D"/>
    <w:rsid w:val="009056CA"/>
    <w:rsid w:val="009238A9"/>
    <w:rsid w:val="0092669D"/>
    <w:rsid w:val="009340ED"/>
    <w:rsid w:val="00947128"/>
    <w:rsid w:val="00987724"/>
    <w:rsid w:val="009A2F82"/>
    <w:rsid w:val="009B556B"/>
    <w:rsid w:val="009C0A41"/>
    <w:rsid w:val="009F4C40"/>
    <w:rsid w:val="00A06EA4"/>
    <w:rsid w:val="00A32432"/>
    <w:rsid w:val="00A526EE"/>
    <w:rsid w:val="00A705DD"/>
    <w:rsid w:val="00A775FC"/>
    <w:rsid w:val="00A8177A"/>
    <w:rsid w:val="00A93849"/>
    <w:rsid w:val="00AC0FD7"/>
    <w:rsid w:val="00AE2263"/>
    <w:rsid w:val="00AE39D4"/>
    <w:rsid w:val="00AF212C"/>
    <w:rsid w:val="00B13BDE"/>
    <w:rsid w:val="00B21FEF"/>
    <w:rsid w:val="00B32B5A"/>
    <w:rsid w:val="00B33C15"/>
    <w:rsid w:val="00B37AA4"/>
    <w:rsid w:val="00B43D44"/>
    <w:rsid w:val="00B504FA"/>
    <w:rsid w:val="00BA558B"/>
    <w:rsid w:val="00BB008C"/>
    <w:rsid w:val="00C302AC"/>
    <w:rsid w:val="00C43B43"/>
    <w:rsid w:val="00C54719"/>
    <w:rsid w:val="00C66B37"/>
    <w:rsid w:val="00C82751"/>
    <w:rsid w:val="00CA1469"/>
    <w:rsid w:val="00CA2E58"/>
    <w:rsid w:val="00CB6B23"/>
    <w:rsid w:val="00CC3FAA"/>
    <w:rsid w:val="00CD4866"/>
    <w:rsid w:val="00CD7796"/>
    <w:rsid w:val="00CE57C5"/>
    <w:rsid w:val="00CF1F0D"/>
    <w:rsid w:val="00D0189D"/>
    <w:rsid w:val="00D07076"/>
    <w:rsid w:val="00D1538A"/>
    <w:rsid w:val="00D607E7"/>
    <w:rsid w:val="00D92341"/>
    <w:rsid w:val="00D92AF8"/>
    <w:rsid w:val="00DA2B06"/>
    <w:rsid w:val="00DB381F"/>
    <w:rsid w:val="00DC31C7"/>
    <w:rsid w:val="00DD1C4A"/>
    <w:rsid w:val="00E058D3"/>
    <w:rsid w:val="00E1538B"/>
    <w:rsid w:val="00E21415"/>
    <w:rsid w:val="00E22297"/>
    <w:rsid w:val="00E403AD"/>
    <w:rsid w:val="00E449C8"/>
    <w:rsid w:val="00E4785F"/>
    <w:rsid w:val="00E70000"/>
    <w:rsid w:val="00E77EC0"/>
    <w:rsid w:val="00E87169"/>
    <w:rsid w:val="00E87F93"/>
    <w:rsid w:val="00EC16CB"/>
    <w:rsid w:val="00EF66EB"/>
    <w:rsid w:val="00F205E0"/>
    <w:rsid w:val="00F30813"/>
    <w:rsid w:val="00F46B11"/>
    <w:rsid w:val="00F50AD8"/>
    <w:rsid w:val="00F635CD"/>
    <w:rsid w:val="00F676AF"/>
    <w:rsid w:val="00F7681A"/>
    <w:rsid w:val="00F86E33"/>
    <w:rsid w:val="00FB309A"/>
    <w:rsid w:val="00FF1559"/>
    <w:rsid w:val="00FF33B1"/>
    <w:rsid w:val="00FF3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86CED"/>
  <w15:chartTrackingRefBased/>
  <w15:docId w15:val="{B4EC050C-C37B-AA45-B071-5092BEEF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AAE"/>
    <w:rPr>
      <w:color w:val="0563C1" w:themeColor="hyperlink"/>
      <w:u w:val="single"/>
    </w:rPr>
  </w:style>
  <w:style w:type="character" w:customStyle="1" w:styleId="UnresolvedMention1">
    <w:name w:val="Unresolved Mention1"/>
    <w:basedOn w:val="DefaultParagraphFont"/>
    <w:uiPriority w:val="99"/>
    <w:semiHidden/>
    <w:unhideWhenUsed/>
    <w:rsid w:val="001D3AAE"/>
    <w:rPr>
      <w:color w:val="808080"/>
      <w:shd w:val="clear" w:color="auto" w:fill="E6E6E6"/>
    </w:rPr>
  </w:style>
  <w:style w:type="paragraph" w:styleId="FootnoteText">
    <w:name w:val="footnote text"/>
    <w:basedOn w:val="Normal"/>
    <w:link w:val="FootnoteTextChar"/>
    <w:uiPriority w:val="99"/>
    <w:unhideWhenUsed/>
    <w:rsid w:val="009F4C40"/>
    <w:rPr>
      <w:lang w:val="en-US"/>
    </w:rPr>
  </w:style>
  <w:style w:type="character" w:customStyle="1" w:styleId="FootnoteTextChar">
    <w:name w:val="Footnote Text Char"/>
    <w:basedOn w:val="DefaultParagraphFont"/>
    <w:link w:val="FootnoteText"/>
    <w:uiPriority w:val="99"/>
    <w:rsid w:val="009F4C40"/>
    <w:rPr>
      <w:lang w:val="en-US"/>
    </w:rPr>
  </w:style>
  <w:style w:type="character" w:styleId="FootnoteReference">
    <w:name w:val="footnote reference"/>
    <w:basedOn w:val="DefaultParagraphFont"/>
    <w:uiPriority w:val="99"/>
    <w:unhideWhenUsed/>
    <w:rsid w:val="009F4C40"/>
    <w:rPr>
      <w:vertAlign w:val="superscript"/>
    </w:rPr>
  </w:style>
  <w:style w:type="paragraph" w:styleId="Header">
    <w:name w:val="header"/>
    <w:basedOn w:val="Normal"/>
    <w:link w:val="HeaderChar"/>
    <w:uiPriority w:val="99"/>
    <w:unhideWhenUsed/>
    <w:rsid w:val="009F4C40"/>
    <w:pPr>
      <w:tabs>
        <w:tab w:val="center" w:pos="4680"/>
        <w:tab w:val="right" w:pos="9360"/>
      </w:tabs>
    </w:pPr>
  </w:style>
  <w:style w:type="character" w:customStyle="1" w:styleId="HeaderChar">
    <w:name w:val="Header Char"/>
    <w:basedOn w:val="DefaultParagraphFont"/>
    <w:link w:val="Header"/>
    <w:uiPriority w:val="99"/>
    <w:rsid w:val="009F4C40"/>
  </w:style>
  <w:style w:type="paragraph" w:styleId="Footer">
    <w:name w:val="footer"/>
    <w:basedOn w:val="Normal"/>
    <w:link w:val="FooterChar"/>
    <w:uiPriority w:val="99"/>
    <w:unhideWhenUsed/>
    <w:rsid w:val="009F4C40"/>
    <w:pPr>
      <w:tabs>
        <w:tab w:val="center" w:pos="4680"/>
        <w:tab w:val="right" w:pos="9360"/>
      </w:tabs>
    </w:pPr>
  </w:style>
  <w:style w:type="character" w:customStyle="1" w:styleId="FooterChar">
    <w:name w:val="Footer Char"/>
    <w:basedOn w:val="DefaultParagraphFont"/>
    <w:link w:val="Footer"/>
    <w:uiPriority w:val="99"/>
    <w:rsid w:val="009F4C40"/>
  </w:style>
  <w:style w:type="paragraph" w:styleId="ListParagraph">
    <w:name w:val="List Paragraph"/>
    <w:basedOn w:val="Normal"/>
    <w:uiPriority w:val="34"/>
    <w:qFormat/>
    <w:rsid w:val="007B74A5"/>
    <w:pPr>
      <w:ind w:left="720"/>
      <w:contextualSpacing/>
    </w:pPr>
  </w:style>
  <w:style w:type="character" w:styleId="PageNumber">
    <w:name w:val="page number"/>
    <w:basedOn w:val="DefaultParagraphFont"/>
    <w:uiPriority w:val="99"/>
    <w:semiHidden/>
    <w:unhideWhenUsed/>
    <w:rsid w:val="00A775FC"/>
  </w:style>
  <w:style w:type="paragraph" w:styleId="BalloonText">
    <w:name w:val="Balloon Text"/>
    <w:basedOn w:val="Normal"/>
    <w:link w:val="BalloonTextChar"/>
    <w:uiPriority w:val="99"/>
    <w:semiHidden/>
    <w:unhideWhenUsed/>
    <w:rsid w:val="00375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B01"/>
    <w:rPr>
      <w:rFonts w:ascii="Segoe UI" w:hAnsi="Segoe UI" w:cs="Segoe UI"/>
      <w:sz w:val="18"/>
      <w:szCs w:val="18"/>
    </w:rPr>
  </w:style>
  <w:style w:type="character" w:styleId="CommentReference">
    <w:name w:val="annotation reference"/>
    <w:basedOn w:val="DefaultParagraphFont"/>
    <w:uiPriority w:val="99"/>
    <w:semiHidden/>
    <w:unhideWhenUsed/>
    <w:rsid w:val="00375B01"/>
    <w:rPr>
      <w:sz w:val="16"/>
      <w:szCs w:val="16"/>
    </w:rPr>
  </w:style>
  <w:style w:type="paragraph" w:styleId="CommentText">
    <w:name w:val="annotation text"/>
    <w:basedOn w:val="Normal"/>
    <w:link w:val="CommentTextChar"/>
    <w:uiPriority w:val="99"/>
    <w:semiHidden/>
    <w:unhideWhenUsed/>
    <w:rsid w:val="00375B01"/>
    <w:rPr>
      <w:sz w:val="20"/>
      <w:szCs w:val="20"/>
    </w:rPr>
  </w:style>
  <w:style w:type="character" w:customStyle="1" w:styleId="CommentTextChar">
    <w:name w:val="Comment Text Char"/>
    <w:basedOn w:val="DefaultParagraphFont"/>
    <w:link w:val="CommentText"/>
    <w:uiPriority w:val="99"/>
    <w:semiHidden/>
    <w:rsid w:val="00375B01"/>
    <w:rPr>
      <w:sz w:val="20"/>
      <w:szCs w:val="20"/>
    </w:rPr>
  </w:style>
  <w:style w:type="paragraph" w:styleId="CommentSubject">
    <w:name w:val="annotation subject"/>
    <w:basedOn w:val="CommentText"/>
    <w:next w:val="CommentText"/>
    <w:link w:val="CommentSubjectChar"/>
    <w:uiPriority w:val="99"/>
    <w:semiHidden/>
    <w:unhideWhenUsed/>
    <w:rsid w:val="00375B01"/>
    <w:rPr>
      <w:b/>
      <w:bCs/>
    </w:rPr>
  </w:style>
  <w:style w:type="character" w:customStyle="1" w:styleId="CommentSubjectChar">
    <w:name w:val="Comment Subject Char"/>
    <w:basedOn w:val="CommentTextChar"/>
    <w:link w:val="CommentSubject"/>
    <w:uiPriority w:val="99"/>
    <w:semiHidden/>
    <w:rsid w:val="00375B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8317">
      <w:bodyDiv w:val="1"/>
      <w:marLeft w:val="0"/>
      <w:marRight w:val="0"/>
      <w:marTop w:val="0"/>
      <w:marBottom w:val="0"/>
      <w:divBdr>
        <w:top w:val="none" w:sz="0" w:space="0" w:color="auto"/>
        <w:left w:val="none" w:sz="0" w:space="0" w:color="auto"/>
        <w:bottom w:val="none" w:sz="0" w:space="0" w:color="auto"/>
        <w:right w:val="none" w:sz="0" w:space="0" w:color="auto"/>
      </w:divBdr>
      <w:divsChild>
        <w:div w:id="1379747589">
          <w:marLeft w:val="360"/>
          <w:marRight w:val="0"/>
          <w:marTop w:val="200"/>
          <w:marBottom w:val="0"/>
          <w:divBdr>
            <w:top w:val="none" w:sz="0" w:space="0" w:color="auto"/>
            <w:left w:val="none" w:sz="0" w:space="0" w:color="auto"/>
            <w:bottom w:val="none" w:sz="0" w:space="0" w:color="auto"/>
            <w:right w:val="none" w:sz="0" w:space="0" w:color="auto"/>
          </w:divBdr>
        </w:div>
        <w:div w:id="770010815">
          <w:marLeft w:val="360"/>
          <w:marRight w:val="0"/>
          <w:marTop w:val="200"/>
          <w:marBottom w:val="0"/>
          <w:divBdr>
            <w:top w:val="none" w:sz="0" w:space="0" w:color="auto"/>
            <w:left w:val="none" w:sz="0" w:space="0" w:color="auto"/>
            <w:bottom w:val="none" w:sz="0" w:space="0" w:color="auto"/>
            <w:right w:val="none" w:sz="0" w:space="0" w:color="auto"/>
          </w:divBdr>
        </w:div>
        <w:div w:id="1776054930">
          <w:marLeft w:val="360"/>
          <w:marRight w:val="0"/>
          <w:marTop w:val="200"/>
          <w:marBottom w:val="0"/>
          <w:divBdr>
            <w:top w:val="none" w:sz="0" w:space="0" w:color="auto"/>
            <w:left w:val="none" w:sz="0" w:space="0" w:color="auto"/>
            <w:bottom w:val="none" w:sz="0" w:space="0" w:color="auto"/>
            <w:right w:val="none" w:sz="0" w:space="0" w:color="auto"/>
          </w:divBdr>
        </w:div>
        <w:div w:id="1841461339">
          <w:marLeft w:val="1080"/>
          <w:marRight w:val="0"/>
          <w:marTop w:val="100"/>
          <w:marBottom w:val="0"/>
          <w:divBdr>
            <w:top w:val="none" w:sz="0" w:space="0" w:color="auto"/>
            <w:left w:val="none" w:sz="0" w:space="0" w:color="auto"/>
            <w:bottom w:val="none" w:sz="0" w:space="0" w:color="auto"/>
            <w:right w:val="none" w:sz="0" w:space="0" w:color="auto"/>
          </w:divBdr>
        </w:div>
        <w:div w:id="948852543">
          <w:marLeft w:val="1080"/>
          <w:marRight w:val="0"/>
          <w:marTop w:val="100"/>
          <w:marBottom w:val="0"/>
          <w:divBdr>
            <w:top w:val="none" w:sz="0" w:space="0" w:color="auto"/>
            <w:left w:val="none" w:sz="0" w:space="0" w:color="auto"/>
            <w:bottom w:val="none" w:sz="0" w:space="0" w:color="auto"/>
            <w:right w:val="none" w:sz="0" w:space="0" w:color="auto"/>
          </w:divBdr>
        </w:div>
        <w:div w:id="609581551">
          <w:marLeft w:val="1080"/>
          <w:marRight w:val="0"/>
          <w:marTop w:val="100"/>
          <w:marBottom w:val="0"/>
          <w:divBdr>
            <w:top w:val="none" w:sz="0" w:space="0" w:color="auto"/>
            <w:left w:val="none" w:sz="0" w:space="0" w:color="auto"/>
            <w:bottom w:val="none" w:sz="0" w:space="0" w:color="auto"/>
            <w:right w:val="none" w:sz="0" w:space="0" w:color="auto"/>
          </w:divBdr>
        </w:div>
        <w:div w:id="1065420609">
          <w:marLeft w:val="360"/>
          <w:marRight w:val="0"/>
          <w:marTop w:val="200"/>
          <w:marBottom w:val="0"/>
          <w:divBdr>
            <w:top w:val="none" w:sz="0" w:space="0" w:color="auto"/>
            <w:left w:val="none" w:sz="0" w:space="0" w:color="auto"/>
            <w:bottom w:val="none" w:sz="0" w:space="0" w:color="auto"/>
            <w:right w:val="none" w:sz="0" w:space="0" w:color="auto"/>
          </w:divBdr>
        </w:div>
        <w:div w:id="913124676">
          <w:marLeft w:val="360"/>
          <w:marRight w:val="0"/>
          <w:marTop w:val="200"/>
          <w:marBottom w:val="0"/>
          <w:divBdr>
            <w:top w:val="none" w:sz="0" w:space="0" w:color="auto"/>
            <w:left w:val="none" w:sz="0" w:space="0" w:color="auto"/>
            <w:bottom w:val="none" w:sz="0" w:space="0" w:color="auto"/>
            <w:right w:val="none" w:sz="0" w:space="0" w:color="auto"/>
          </w:divBdr>
        </w:div>
        <w:div w:id="138808132">
          <w:marLeft w:val="360"/>
          <w:marRight w:val="0"/>
          <w:marTop w:val="200"/>
          <w:marBottom w:val="0"/>
          <w:divBdr>
            <w:top w:val="none" w:sz="0" w:space="0" w:color="auto"/>
            <w:left w:val="none" w:sz="0" w:space="0" w:color="auto"/>
            <w:bottom w:val="none" w:sz="0" w:space="0" w:color="auto"/>
            <w:right w:val="none" w:sz="0" w:space="0" w:color="auto"/>
          </w:divBdr>
        </w:div>
        <w:div w:id="115410854">
          <w:marLeft w:val="1080"/>
          <w:marRight w:val="0"/>
          <w:marTop w:val="100"/>
          <w:marBottom w:val="0"/>
          <w:divBdr>
            <w:top w:val="none" w:sz="0" w:space="0" w:color="auto"/>
            <w:left w:val="none" w:sz="0" w:space="0" w:color="auto"/>
            <w:bottom w:val="none" w:sz="0" w:space="0" w:color="auto"/>
            <w:right w:val="none" w:sz="0" w:space="0" w:color="auto"/>
          </w:divBdr>
        </w:div>
        <w:div w:id="1238519843">
          <w:marLeft w:val="1080"/>
          <w:marRight w:val="0"/>
          <w:marTop w:val="100"/>
          <w:marBottom w:val="0"/>
          <w:divBdr>
            <w:top w:val="none" w:sz="0" w:space="0" w:color="auto"/>
            <w:left w:val="none" w:sz="0" w:space="0" w:color="auto"/>
            <w:bottom w:val="none" w:sz="0" w:space="0" w:color="auto"/>
            <w:right w:val="none" w:sz="0" w:space="0" w:color="auto"/>
          </w:divBdr>
        </w:div>
        <w:div w:id="593125872">
          <w:marLeft w:val="1080"/>
          <w:marRight w:val="0"/>
          <w:marTop w:val="100"/>
          <w:marBottom w:val="0"/>
          <w:divBdr>
            <w:top w:val="none" w:sz="0" w:space="0" w:color="auto"/>
            <w:left w:val="none" w:sz="0" w:space="0" w:color="auto"/>
            <w:bottom w:val="none" w:sz="0" w:space="0" w:color="auto"/>
            <w:right w:val="none" w:sz="0" w:space="0" w:color="auto"/>
          </w:divBdr>
        </w:div>
        <w:div w:id="139159549">
          <w:marLeft w:val="1080"/>
          <w:marRight w:val="0"/>
          <w:marTop w:val="100"/>
          <w:marBottom w:val="0"/>
          <w:divBdr>
            <w:top w:val="none" w:sz="0" w:space="0" w:color="auto"/>
            <w:left w:val="none" w:sz="0" w:space="0" w:color="auto"/>
            <w:bottom w:val="none" w:sz="0" w:space="0" w:color="auto"/>
            <w:right w:val="none" w:sz="0" w:space="0" w:color="auto"/>
          </w:divBdr>
        </w:div>
        <w:div w:id="165556828">
          <w:marLeft w:val="360"/>
          <w:marRight w:val="0"/>
          <w:marTop w:val="200"/>
          <w:marBottom w:val="0"/>
          <w:divBdr>
            <w:top w:val="none" w:sz="0" w:space="0" w:color="auto"/>
            <w:left w:val="none" w:sz="0" w:space="0" w:color="auto"/>
            <w:bottom w:val="none" w:sz="0" w:space="0" w:color="auto"/>
            <w:right w:val="none" w:sz="0" w:space="0" w:color="auto"/>
          </w:divBdr>
        </w:div>
        <w:div w:id="547645749">
          <w:marLeft w:val="360"/>
          <w:marRight w:val="0"/>
          <w:marTop w:val="200"/>
          <w:marBottom w:val="0"/>
          <w:divBdr>
            <w:top w:val="none" w:sz="0" w:space="0" w:color="auto"/>
            <w:left w:val="none" w:sz="0" w:space="0" w:color="auto"/>
            <w:bottom w:val="none" w:sz="0" w:space="0" w:color="auto"/>
            <w:right w:val="none" w:sz="0" w:space="0" w:color="auto"/>
          </w:divBdr>
        </w:div>
        <w:div w:id="2142844921">
          <w:marLeft w:val="1080"/>
          <w:marRight w:val="0"/>
          <w:marTop w:val="100"/>
          <w:marBottom w:val="0"/>
          <w:divBdr>
            <w:top w:val="none" w:sz="0" w:space="0" w:color="auto"/>
            <w:left w:val="none" w:sz="0" w:space="0" w:color="auto"/>
            <w:bottom w:val="none" w:sz="0" w:space="0" w:color="auto"/>
            <w:right w:val="none" w:sz="0" w:space="0" w:color="auto"/>
          </w:divBdr>
        </w:div>
        <w:div w:id="792285607">
          <w:marLeft w:val="1080"/>
          <w:marRight w:val="0"/>
          <w:marTop w:val="100"/>
          <w:marBottom w:val="0"/>
          <w:divBdr>
            <w:top w:val="none" w:sz="0" w:space="0" w:color="auto"/>
            <w:left w:val="none" w:sz="0" w:space="0" w:color="auto"/>
            <w:bottom w:val="none" w:sz="0" w:space="0" w:color="auto"/>
            <w:right w:val="none" w:sz="0" w:space="0" w:color="auto"/>
          </w:divBdr>
        </w:div>
        <w:div w:id="238368284">
          <w:marLeft w:val="1080"/>
          <w:marRight w:val="0"/>
          <w:marTop w:val="100"/>
          <w:marBottom w:val="0"/>
          <w:divBdr>
            <w:top w:val="none" w:sz="0" w:space="0" w:color="auto"/>
            <w:left w:val="none" w:sz="0" w:space="0" w:color="auto"/>
            <w:bottom w:val="none" w:sz="0" w:space="0" w:color="auto"/>
            <w:right w:val="none" w:sz="0" w:space="0" w:color="auto"/>
          </w:divBdr>
        </w:div>
        <w:div w:id="1190408698">
          <w:marLeft w:val="1080"/>
          <w:marRight w:val="0"/>
          <w:marTop w:val="100"/>
          <w:marBottom w:val="0"/>
          <w:divBdr>
            <w:top w:val="none" w:sz="0" w:space="0" w:color="auto"/>
            <w:left w:val="none" w:sz="0" w:space="0" w:color="auto"/>
            <w:bottom w:val="none" w:sz="0" w:space="0" w:color="auto"/>
            <w:right w:val="none" w:sz="0" w:space="0" w:color="auto"/>
          </w:divBdr>
        </w:div>
        <w:div w:id="978342392">
          <w:marLeft w:val="1080"/>
          <w:marRight w:val="0"/>
          <w:marTop w:val="100"/>
          <w:marBottom w:val="0"/>
          <w:divBdr>
            <w:top w:val="none" w:sz="0" w:space="0" w:color="auto"/>
            <w:left w:val="none" w:sz="0" w:space="0" w:color="auto"/>
            <w:bottom w:val="none" w:sz="0" w:space="0" w:color="auto"/>
            <w:right w:val="none" w:sz="0" w:space="0" w:color="auto"/>
          </w:divBdr>
        </w:div>
        <w:div w:id="1070467985">
          <w:marLeft w:val="1080"/>
          <w:marRight w:val="0"/>
          <w:marTop w:val="100"/>
          <w:marBottom w:val="0"/>
          <w:divBdr>
            <w:top w:val="none" w:sz="0" w:space="0" w:color="auto"/>
            <w:left w:val="none" w:sz="0" w:space="0" w:color="auto"/>
            <w:bottom w:val="none" w:sz="0" w:space="0" w:color="auto"/>
            <w:right w:val="none" w:sz="0" w:space="0" w:color="auto"/>
          </w:divBdr>
        </w:div>
        <w:div w:id="1456826365">
          <w:marLeft w:val="360"/>
          <w:marRight w:val="0"/>
          <w:marTop w:val="200"/>
          <w:marBottom w:val="0"/>
          <w:divBdr>
            <w:top w:val="none" w:sz="0" w:space="0" w:color="auto"/>
            <w:left w:val="none" w:sz="0" w:space="0" w:color="auto"/>
            <w:bottom w:val="none" w:sz="0" w:space="0" w:color="auto"/>
            <w:right w:val="none" w:sz="0" w:space="0" w:color="auto"/>
          </w:divBdr>
        </w:div>
        <w:div w:id="1843855449">
          <w:marLeft w:val="360"/>
          <w:marRight w:val="0"/>
          <w:marTop w:val="200"/>
          <w:marBottom w:val="0"/>
          <w:divBdr>
            <w:top w:val="none" w:sz="0" w:space="0" w:color="auto"/>
            <w:left w:val="none" w:sz="0" w:space="0" w:color="auto"/>
            <w:bottom w:val="none" w:sz="0" w:space="0" w:color="auto"/>
            <w:right w:val="none" w:sz="0" w:space="0" w:color="auto"/>
          </w:divBdr>
        </w:div>
        <w:div w:id="201015136">
          <w:marLeft w:val="1080"/>
          <w:marRight w:val="0"/>
          <w:marTop w:val="100"/>
          <w:marBottom w:val="0"/>
          <w:divBdr>
            <w:top w:val="none" w:sz="0" w:space="0" w:color="auto"/>
            <w:left w:val="none" w:sz="0" w:space="0" w:color="auto"/>
            <w:bottom w:val="none" w:sz="0" w:space="0" w:color="auto"/>
            <w:right w:val="none" w:sz="0" w:space="0" w:color="auto"/>
          </w:divBdr>
        </w:div>
        <w:div w:id="973486937">
          <w:marLeft w:val="360"/>
          <w:marRight w:val="0"/>
          <w:marTop w:val="200"/>
          <w:marBottom w:val="0"/>
          <w:divBdr>
            <w:top w:val="none" w:sz="0" w:space="0" w:color="auto"/>
            <w:left w:val="none" w:sz="0" w:space="0" w:color="auto"/>
            <w:bottom w:val="none" w:sz="0" w:space="0" w:color="auto"/>
            <w:right w:val="none" w:sz="0" w:space="0" w:color="auto"/>
          </w:divBdr>
        </w:div>
        <w:div w:id="462386843">
          <w:marLeft w:val="1080"/>
          <w:marRight w:val="0"/>
          <w:marTop w:val="100"/>
          <w:marBottom w:val="0"/>
          <w:divBdr>
            <w:top w:val="none" w:sz="0" w:space="0" w:color="auto"/>
            <w:left w:val="none" w:sz="0" w:space="0" w:color="auto"/>
            <w:bottom w:val="none" w:sz="0" w:space="0" w:color="auto"/>
            <w:right w:val="none" w:sz="0" w:space="0" w:color="auto"/>
          </w:divBdr>
        </w:div>
        <w:div w:id="928851190">
          <w:marLeft w:val="1080"/>
          <w:marRight w:val="0"/>
          <w:marTop w:val="100"/>
          <w:marBottom w:val="0"/>
          <w:divBdr>
            <w:top w:val="none" w:sz="0" w:space="0" w:color="auto"/>
            <w:left w:val="none" w:sz="0" w:space="0" w:color="auto"/>
            <w:bottom w:val="none" w:sz="0" w:space="0" w:color="auto"/>
            <w:right w:val="none" w:sz="0" w:space="0" w:color="auto"/>
          </w:divBdr>
        </w:div>
        <w:div w:id="809595577">
          <w:marLeft w:val="1080"/>
          <w:marRight w:val="0"/>
          <w:marTop w:val="100"/>
          <w:marBottom w:val="0"/>
          <w:divBdr>
            <w:top w:val="none" w:sz="0" w:space="0" w:color="auto"/>
            <w:left w:val="none" w:sz="0" w:space="0" w:color="auto"/>
            <w:bottom w:val="none" w:sz="0" w:space="0" w:color="auto"/>
            <w:right w:val="none" w:sz="0" w:space="0" w:color="auto"/>
          </w:divBdr>
        </w:div>
        <w:div w:id="262494296">
          <w:marLeft w:val="360"/>
          <w:marRight w:val="0"/>
          <w:marTop w:val="200"/>
          <w:marBottom w:val="0"/>
          <w:divBdr>
            <w:top w:val="none" w:sz="0" w:space="0" w:color="auto"/>
            <w:left w:val="none" w:sz="0" w:space="0" w:color="auto"/>
            <w:bottom w:val="none" w:sz="0" w:space="0" w:color="auto"/>
            <w:right w:val="none" w:sz="0" w:space="0" w:color="auto"/>
          </w:divBdr>
        </w:div>
        <w:div w:id="728263573">
          <w:marLeft w:val="360"/>
          <w:marRight w:val="0"/>
          <w:marTop w:val="200"/>
          <w:marBottom w:val="0"/>
          <w:divBdr>
            <w:top w:val="none" w:sz="0" w:space="0" w:color="auto"/>
            <w:left w:val="none" w:sz="0" w:space="0" w:color="auto"/>
            <w:bottom w:val="none" w:sz="0" w:space="0" w:color="auto"/>
            <w:right w:val="none" w:sz="0" w:space="0" w:color="auto"/>
          </w:divBdr>
        </w:div>
        <w:div w:id="1392653877">
          <w:marLeft w:val="360"/>
          <w:marRight w:val="0"/>
          <w:marTop w:val="200"/>
          <w:marBottom w:val="0"/>
          <w:divBdr>
            <w:top w:val="none" w:sz="0" w:space="0" w:color="auto"/>
            <w:left w:val="none" w:sz="0" w:space="0" w:color="auto"/>
            <w:bottom w:val="none" w:sz="0" w:space="0" w:color="auto"/>
            <w:right w:val="none" w:sz="0" w:space="0" w:color="auto"/>
          </w:divBdr>
        </w:div>
        <w:div w:id="511535420">
          <w:marLeft w:val="1080"/>
          <w:marRight w:val="0"/>
          <w:marTop w:val="100"/>
          <w:marBottom w:val="0"/>
          <w:divBdr>
            <w:top w:val="none" w:sz="0" w:space="0" w:color="auto"/>
            <w:left w:val="none" w:sz="0" w:space="0" w:color="auto"/>
            <w:bottom w:val="none" w:sz="0" w:space="0" w:color="auto"/>
            <w:right w:val="none" w:sz="0" w:space="0" w:color="auto"/>
          </w:divBdr>
        </w:div>
        <w:div w:id="1642535618">
          <w:marLeft w:val="1080"/>
          <w:marRight w:val="0"/>
          <w:marTop w:val="100"/>
          <w:marBottom w:val="0"/>
          <w:divBdr>
            <w:top w:val="none" w:sz="0" w:space="0" w:color="auto"/>
            <w:left w:val="none" w:sz="0" w:space="0" w:color="auto"/>
            <w:bottom w:val="none" w:sz="0" w:space="0" w:color="auto"/>
            <w:right w:val="none" w:sz="0" w:space="0" w:color="auto"/>
          </w:divBdr>
        </w:div>
        <w:div w:id="1866408242">
          <w:marLeft w:val="1080"/>
          <w:marRight w:val="0"/>
          <w:marTop w:val="100"/>
          <w:marBottom w:val="0"/>
          <w:divBdr>
            <w:top w:val="none" w:sz="0" w:space="0" w:color="auto"/>
            <w:left w:val="none" w:sz="0" w:space="0" w:color="auto"/>
            <w:bottom w:val="none" w:sz="0" w:space="0" w:color="auto"/>
            <w:right w:val="none" w:sz="0" w:space="0" w:color="auto"/>
          </w:divBdr>
        </w:div>
        <w:div w:id="32510644">
          <w:marLeft w:val="1080"/>
          <w:marRight w:val="0"/>
          <w:marTop w:val="100"/>
          <w:marBottom w:val="0"/>
          <w:divBdr>
            <w:top w:val="none" w:sz="0" w:space="0" w:color="auto"/>
            <w:left w:val="none" w:sz="0" w:space="0" w:color="auto"/>
            <w:bottom w:val="none" w:sz="0" w:space="0" w:color="auto"/>
            <w:right w:val="none" w:sz="0" w:space="0" w:color="auto"/>
          </w:divBdr>
        </w:div>
        <w:div w:id="1112625662">
          <w:marLeft w:val="360"/>
          <w:marRight w:val="0"/>
          <w:marTop w:val="200"/>
          <w:marBottom w:val="0"/>
          <w:divBdr>
            <w:top w:val="none" w:sz="0" w:space="0" w:color="auto"/>
            <w:left w:val="none" w:sz="0" w:space="0" w:color="auto"/>
            <w:bottom w:val="none" w:sz="0" w:space="0" w:color="auto"/>
            <w:right w:val="none" w:sz="0" w:space="0" w:color="auto"/>
          </w:divBdr>
        </w:div>
        <w:div w:id="1445733155">
          <w:marLeft w:val="360"/>
          <w:marRight w:val="0"/>
          <w:marTop w:val="200"/>
          <w:marBottom w:val="0"/>
          <w:divBdr>
            <w:top w:val="none" w:sz="0" w:space="0" w:color="auto"/>
            <w:left w:val="none" w:sz="0" w:space="0" w:color="auto"/>
            <w:bottom w:val="none" w:sz="0" w:space="0" w:color="auto"/>
            <w:right w:val="none" w:sz="0" w:space="0" w:color="auto"/>
          </w:divBdr>
        </w:div>
        <w:div w:id="659382598">
          <w:marLeft w:val="360"/>
          <w:marRight w:val="0"/>
          <w:marTop w:val="200"/>
          <w:marBottom w:val="0"/>
          <w:divBdr>
            <w:top w:val="none" w:sz="0" w:space="0" w:color="auto"/>
            <w:left w:val="none" w:sz="0" w:space="0" w:color="auto"/>
            <w:bottom w:val="none" w:sz="0" w:space="0" w:color="auto"/>
            <w:right w:val="none" w:sz="0" w:space="0" w:color="auto"/>
          </w:divBdr>
        </w:div>
        <w:div w:id="366609257">
          <w:marLeft w:val="360"/>
          <w:marRight w:val="0"/>
          <w:marTop w:val="200"/>
          <w:marBottom w:val="0"/>
          <w:divBdr>
            <w:top w:val="none" w:sz="0" w:space="0" w:color="auto"/>
            <w:left w:val="none" w:sz="0" w:space="0" w:color="auto"/>
            <w:bottom w:val="none" w:sz="0" w:space="0" w:color="auto"/>
            <w:right w:val="none" w:sz="0" w:space="0" w:color="auto"/>
          </w:divBdr>
        </w:div>
        <w:div w:id="1505584351">
          <w:marLeft w:val="360"/>
          <w:marRight w:val="0"/>
          <w:marTop w:val="200"/>
          <w:marBottom w:val="0"/>
          <w:divBdr>
            <w:top w:val="none" w:sz="0" w:space="0" w:color="auto"/>
            <w:left w:val="none" w:sz="0" w:space="0" w:color="auto"/>
            <w:bottom w:val="none" w:sz="0" w:space="0" w:color="auto"/>
            <w:right w:val="none" w:sz="0" w:space="0" w:color="auto"/>
          </w:divBdr>
        </w:div>
        <w:div w:id="294027135">
          <w:marLeft w:val="1080"/>
          <w:marRight w:val="0"/>
          <w:marTop w:val="100"/>
          <w:marBottom w:val="0"/>
          <w:divBdr>
            <w:top w:val="none" w:sz="0" w:space="0" w:color="auto"/>
            <w:left w:val="none" w:sz="0" w:space="0" w:color="auto"/>
            <w:bottom w:val="none" w:sz="0" w:space="0" w:color="auto"/>
            <w:right w:val="none" w:sz="0" w:space="0" w:color="auto"/>
          </w:divBdr>
        </w:div>
        <w:div w:id="1767384355">
          <w:marLeft w:val="1800"/>
          <w:marRight w:val="0"/>
          <w:marTop w:val="100"/>
          <w:marBottom w:val="0"/>
          <w:divBdr>
            <w:top w:val="none" w:sz="0" w:space="0" w:color="auto"/>
            <w:left w:val="none" w:sz="0" w:space="0" w:color="auto"/>
            <w:bottom w:val="none" w:sz="0" w:space="0" w:color="auto"/>
            <w:right w:val="none" w:sz="0" w:space="0" w:color="auto"/>
          </w:divBdr>
        </w:div>
        <w:div w:id="194926214">
          <w:marLeft w:val="1800"/>
          <w:marRight w:val="0"/>
          <w:marTop w:val="100"/>
          <w:marBottom w:val="0"/>
          <w:divBdr>
            <w:top w:val="none" w:sz="0" w:space="0" w:color="auto"/>
            <w:left w:val="none" w:sz="0" w:space="0" w:color="auto"/>
            <w:bottom w:val="none" w:sz="0" w:space="0" w:color="auto"/>
            <w:right w:val="none" w:sz="0" w:space="0" w:color="auto"/>
          </w:divBdr>
        </w:div>
        <w:div w:id="1691028756">
          <w:marLeft w:val="1080"/>
          <w:marRight w:val="0"/>
          <w:marTop w:val="100"/>
          <w:marBottom w:val="0"/>
          <w:divBdr>
            <w:top w:val="none" w:sz="0" w:space="0" w:color="auto"/>
            <w:left w:val="none" w:sz="0" w:space="0" w:color="auto"/>
            <w:bottom w:val="none" w:sz="0" w:space="0" w:color="auto"/>
            <w:right w:val="none" w:sz="0" w:space="0" w:color="auto"/>
          </w:divBdr>
        </w:div>
        <w:div w:id="115411063">
          <w:marLeft w:val="360"/>
          <w:marRight w:val="0"/>
          <w:marTop w:val="200"/>
          <w:marBottom w:val="0"/>
          <w:divBdr>
            <w:top w:val="none" w:sz="0" w:space="0" w:color="auto"/>
            <w:left w:val="none" w:sz="0" w:space="0" w:color="auto"/>
            <w:bottom w:val="none" w:sz="0" w:space="0" w:color="auto"/>
            <w:right w:val="none" w:sz="0" w:space="0" w:color="auto"/>
          </w:divBdr>
        </w:div>
        <w:div w:id="130904879">
          <w:marLeft w:val="360"/>
          <w:marRight w:val="0"/>
          <w:marTop w:val="200"/>
          <w:marBottom w:val="0"/>
          <w:divBdr>
            <w:top w:val="none" w:sz="0" w:space="0" w:color="auto"/>
            <w:left w:val="none" w:sz="0" w:space="0" w:color="auto"/>
            <w:bottom w:val="none" w:sz="0" w:space="0" w:color="auto"/>
            <w:right w:val="none" w:sz="0" w:space="0" w:color="auto"/>
          </w:divBdr>
        </w:div>
        <w:div w:id="1953392068">
          <w:marLeft w:val="360"/>
          <w:marRight w:val="0"/>
          <w:marTop w:val="200"/>
          <w:marBottom w:val="0"/>
          <w:divBdr>
            <w:top w:val="none" w:sz="0" w:space="0" w:color="auto"/>
            <w:left w:val="none" w:sz="0" w:space="0" w:color="auto"/>
            <w:bottom w:val="none" w:sz="0" w:space="0" w:color="auto"/>
            <w:right w:val="none" w:sz="0" w:space="0" w:color="auto"/>
          </w:divBdr>
        </w:div>
        <w:div w:id="1120803960">
          <w:marLeft w:val="360"/>
          <w:marRight w:val="0"/>
          <w:marTop w:val="200"/>
          <w:marBottom w:val="0"/>
          <w:divBdr>
            <w:top w:val="none" w:sz="0" w:space="0" w:color="auto"/>
            <w:left w:val="none" w:sz="0" w:space="0" w:color="auto"/>
            <w:bottom w:val="none" w:sz="0" w:space="0" w:color="auto"/>
            <w:right w:val="none" w:sz="0" w:space="0" w:color="auto"/>
          </w:divBdr>
        </w:div>
        <w:div w:id="1788503528">
          <w:marLeft w:val="1080"/>
          <w:marRight w:val="0"/>
          <w:marTop w:val="100"/>
          <w:marBottom w:val="0"/>
          <w:divBdr>
            <w:top w:val="none" w:sz="0" w:space="0" w:color="auto"/>
            <w:left w:val="none" w:sz="0" w:space="0" w:color="auto"/>
            <w:bottom w:val="none" w:sz="0" w:space="0" w:color="auto"/>
            <w:right w:val="none" w:sz="0" w:space="0" w:color="auto"/>
          </w:divBdr>
        </w:div>
        <w:div w:id="949706100">
          <w:marLeft w:val="1080"/>
          <w:marRight w:val="0"/>
          <w:marTop w:val="100"/>
          <w:marBottom w:val="0"/>
          <w:divBdr>
            <w:top w:val="none" w:sz="0" w:space="0" w:color="auto"/>
            <w:left w:val="none" w:sz="0" w:space="0" w:color="auto"/>
            <w:bottom w:val="none" w:sz="0" w:space="0" w:color="auto"/>
            <w:right w:val="none" w:sz="0" w:space="0" w:color="auto"/>
          </w:divBdr>
        </w:div>
        <w:div w:id="349064551">
          <w:marLeft w:val="1080"/>
          <w:marRight w:val="0"/>
          <w:marTop w:val="100"/>
          <w:marBottom w:val="0"/>
          <w:divBdr>
            <w:top w:val="none" w:sz="0" w:space="0" w:color="auto"/>
            <w:left w:val="none" w:sz="0" w:space="0" w:color="auto"/>
            <w:bottom w:val="none" w:sz="0" w:space="0" w:color="auto"/>
            <w:right w:val="none" w:sz="0" w:space="0" w:color="auto"/>
          </w:divBdr>
        </w:div>
        <w:div w:id="302321383">
          <w:marLeft w:val="360"/>
          <w:marRight w:val="0"/>
          <w:marTop w:val="200"/>
          <w:marBottom w:val="0"/>
          <w:divBdr>
            <w:top w:val="none" w:sz="0" w:space="0" w:color="auto"/>
            <w:left w:val="none" w:sz="0" w:space="0" w:color="auto"/>
            <w:bottom w:val="none" w:sz="0" w:space="0" w:color="auto"/>
            <w:right w:val="none" w:sz="0" w:space="0" w:color="auto"/>
          </w:divBdr>
        </w:div>
        <w:div w:id="2014334572">
          <w:marLeft w:val="360"/>
          <w:marRight w:val="0"/>
          <w:marTop w:val="200"/>
          <w:marBottom w:val="0"/>
          <w:divBdr>
            <w:top w:val="none" w:sz="0" w:space="0" w:color="auto"/>
            <w:left w:val="none" w:sz="0" w:space="0" w:color="auto"/>
            <w:bottom w:val="none" w:sz="0" w:space="0" w:color="auto"/>
            <w:right w:val="none" w:sz="0" w:space="0" w:color="auto"/>
          </w:divBdr>
        </w:div>
        <w:div w:id="2007127893">
          <w:marLeft w:val="360"/>
          <w:marRight w:val="0"/>
          <w:marTop w:val="200"/>
          <w:marBottom w:val="0"/>
          <w:divBdr>
            <w:top w:val="none" w:sz="0" w:space="0" w:color="auto"/>
            <w:left w:val="none" w:sz="0" w:space="0" w:color="auto"/>
            <w:bottom w:val="none" w:sz="0" w:space="0" w:color="auto"/>
            <w:right w:val="none" w:sz="0" w:space="0" w:color="auto"/>
          </w:divBdr>
        </w:div>
        <w:div w:id="1054423592">
          <w:marLeft w:val="360"/>
          <w:marRight w:val="0"/>
          <w:marTop w:val="200"/>
          <w:marBottom w:val="0"/>
          <w:divBdr>
            <w:top w:val="none" w:sz="0" w:space="0" w:color="auto"/>
            <w:left w:val="none" w:sz="0" w:space="0" w:color="auto"/>
            <w:bottom w:val="none" w:sz="0" w:space="0" w:color="auto"/>
            <w:right w:val="none" w:sz="0" w:space="0" w:color="auto"/>
          </w:divBdr>
        </w:div>
        <w:div w:id="1692102192">
          <w:marLeft w:val="806"/>
          <w:marRight w:val="0"/>
          <w:marTop w:val="200"/>
          <w:marBottom w:val="0"/>
          <w:divBdr>
            <w:top w:val="none" w:sz="0" w:space="0" w:color="auto"/>
            <w:left w:val="none" w:sz="0" w:space="0" w:color="auto"/>
            <w:bottom w:val="none" w:sz="0" w:space="0" w:color="auto"/>
            <w:right w:val="none" w:sz="0" w:space="0" w:color="auto"/>
          </w:divBdr>
        </w:div>
        <w:div w:id="1543202918">
          <w:marLeft w:val="806"/>
          <w:marRight w:val="0"/>
          <w:marTop w:val="200"/>
          <w:marBottom w:val="0"/>
          <w:divBdr>
            <w:top w:val="none" w:sz="0" w:space="0" w:color="auto"/>
            <w:left w:val="none" w:sz="0" w:space="0" w:color="auto"/>
            <w:bottom w:val="none" w:sz="0" w:space="0" w:color="auto"/>
            <w:right w:val="none" w:sz="0" w:space="0" w:color="auto"/>
          </w:divBdr>
        </w:div>
        <w:div w:id="632292591">
          <w:marLeft w:val="806"/>
          <w:marRight w:val="0"/>
          <w:marTop w:val="200"/>
          <w:marBottom w:val="0"/>
          <w:divBdr>
            <w:top w:val="none" w:sz="0" w:space="0" w:color="auto"/>
            <w:left w:val="none" w:sz="0" w:space="0" w:color="auto"/>
            <w:bottom w:val="none" w:sz="0" w:space="0" w:color="auto"/>
            <w:right w:val="none" w:sz="0" w:space="0" w:color="auto"/>
          </w:divBdr>
        </w:div>
        <w:div w:id="1725253947">
          <w:marLeft w:val="360"/>
          <w:marRight w:val="0"/>
          <w:marTop w:val="200"/>
          <w:marBottom w:val="0"/>
          <w:divBdr>
            <w:top w:val="none" w:sz="0" w:space="0" w:color="auto"/>
            <w:left w:val="none" w:sz="0" w:space="0" w:color="auto"/>
            <w:bottom w:val="none" w:sz="0" w:space="0" w:color="auto"/>
            <w:right w:val="none" w:sz="0" w:space="0" w:color="auto"/>
          </w:divBdr>
        </w:div>
        <w:div w:id="466822486">
          <w:marLeft w:val="360"/>
          <w:marRight w:val="0"/>
          <w:marTop w:val="200"/>
          <w:marBottom w:val="0"/>
          <w:divBdr>
            <w:top w:val="none" w:sz="0" w:space="0" w:color="auto"/>
            <w:left w:val="none" w:sz="0" w:space="0" w:color="auto"/>
            <w:bottom w:val="none" w:sz="0" w:space="0" w:color="auto"/>
            <w:right w:val="none" w:sz="0" w:space="0" w:color="auto"/>
          </w:divBdr>
        </w:div>
        <w:div w:id="296302882">
          <w:marLeft w:val="360"/>
          <w:marRight w:val="0"/>
          <w:marTop w:val="200"/>
          <w:marBottom w:val="0"/>
          <w:divBdr>
            <w:top w:val="none" w:sz="0" w:space="0" w:color="auto"/>
            <w:left w:val="none" w:sz="0" w:space="0" w:color="auto"/>
            <w:bottom w:val="none" w:sz="0" w:space="0" w:color="auto"/>
            <w:right w:val="none" w:sz="0" w:space="0" w:color="auto"/>
          </w:divBdr>
        </w:div>
        <w:div w:id="1173490286">
          <w:marLeft w:val="360"/>
          <w:marRight w:val="0"/>
          <w:marTop w:val="200"/>
          <w:marBottom w:val="0"/>
          <w:divBdr>
            <w:top w:val="none" w:sz="0" w:space="0" w:color="auto"/>
            <w:left w:val="none" w:sz="0" w:space="0" w:color="auto"/>
            <w:bottom w:val="none" w:sz="0" w:space="0" w:color="auto"/>
            <w:right w:val="none" w:sz="0" w:space="0" w:color="auto"/>
          </w:divBdr>
        </w:div>
        <w:div w:id="745884339">
          <w:marLeft w:val="360"/>
          <w:marRight w:val="0"/>
          <w:marTop w:val="200"/>
          <w:marBottom w:val="0"/>
          <w:divBdr>
            <w:top w:val="none" w:sz="0" w:space="0" w:color="auto"/>
            <w:left w:val="none" w:sz="0" w:space="0" w:color="auto"/>
            <w:bottom w:val="none" w:sz="0" w:space="0" w:color="auto"/>
            <w:right w:val="none" w:sz="0" w:space="0" w:color="auto"/>
          </w:divBdr>
        </w:div>
        <w:div w:id="1559127451">
          <w:marLeft w:val="360"/>
          <w:marRight w:val="0"/>
          <w:marTop w:val="200"/>
          <w:marBottom w:val="0"/>
          <w:divBdr>
            <w:top w:val="none" w:sz="0" w:space="0" w:color="auto"/>
            <w:left w:val="none" w:sz="0" w:space="0" w:color="auto"/>
            <w:bottom w:val="none" w:sz="0" w:space="0" w:color="auto"/>
            <w:right w:val="none" w:sz="0" w:space="0" w:color="auto"/>
          </w:divBdr>
        </w:div>
        <w:div w:id="2091072582">
          <w:marLeft w:val="360"/>
          <w:marRight w:val="0"/>
          <w:marTop w:val="200"/>
          <w:marBottom w:val="0"/>
          <w:divBdr>
            <w:top w:val="none" w:sz="0" w:space="0" w:color="auto"/>
            <w:left w:val="none" w:sz="0" w:space="0" w:color="auto"/>
            <w:bottom w:val="none" w:sz="0" w:space="0" w:color="auto"/>
            <w:right w:val="none" w:sz="0" w:space="0" w:color="auto"/>
          </w:divBdr>
        </w:div>
        <w:div w:id="2061247999">
          <w:marLeft w:val="360"/>
          <w:marRight w:val="0"/>
          <w:marTop w:val="200"/>
          <w:marBottom w:val="0"/>
          <w:divBdr>
            <w:top w:val="none" w:sz="0" w:space="0" w:color="auto"/>
            <w:left w:val="none" w:sz="0" w:space="0" w:color="auto"/>
            <w:bottom w:val="none" w:sz="0" w:space="0" w:color="auto"/>
            <w:right w:val="none" w:sz="0" w:space="0" w:color="auto"/>
          </w:divBdr>
        </w:div>
        <w:div w:id="283002463">
          <w:marLeft w:val="360"/>
          <w:marRight w:val="0"/>
          <w:marTop w:val="200"/>
          <w:marBottom w:val="0"/>
          <w:divBdr>
            <w:top w:val="none" w:sz="0" w:space="0" w:color="auto"/>
            <w:left w:val="none" w:sz="0" w:space="0" w:color="auto"/>
            <w:bottom w:val="none" w:sz="0" w:space="0" w:color="auto"/>
            <w:right w:val="none" w:sz="0" w:space="0" w:color="auto"/>
          </w:divBdr>
        </w:div>
        <w:div w:id="1316762451">
          <w:marLeft w:val="360"/>
          <w:marRight w:val="0"/>
          <w:marTop w:val="200"/>
          <w:marBottom w:val="0"/>
          <w:divBdr>
            <w:top w:val="none" w:sz="0" w:space="0" w:color="auto"/>
            <w:left w:val="none" w:sz="0" w:space="0" w:color="auto"/>
            <w:bottom w:val="none" w:sz="0" w:space="0" w:color="auto"/>
            <w:right w:val="none" w:sz="0" w:space="0" w:color="auto"/>
          </w:divBdr>
        </w:div>
      </w:divsChild>
    </w:div>
    <w:div w:id="2515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thecorkarchive.com" TargetMode="External"/><Relationship Id="rId2" Type="http://schemas.openxmlformats.org/officeDocument/2006/relationships/hyperlink" Target="https://www.gov.uk/government/consultations/tax-abuse-and-insolvency" TargetMode="External"/><Relationship Id="rId1" Type="http://schemas.openxmlformats.org/officeDocument/2006/relationships/hyperlink" Target="mailto:j.tribe@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989B4-2726-1A4A-A9BD-4ED35052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4579</Words>
  <Characters>23128</Characters>
  <Application>Microsoft Office Word</Application>
  <DocSecurity>0</DocSecurity>
  <Lines>436</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Tribe</dc:creator>
  <cp:keywords/>
  <dc:description/>
  <cp:lastModifiedBy>John Tribe</cp:lastModifiedBy>
  <cp:revision>3</cp:revision>
  <cp:lastPrinted>2019-02-27T08:09:00Z</cp:lastPrinted>
  <dcterms:created xsi:type="dcterms:W3CDTF">2019-03-07T19:46:00Z</dcterms:created>
  <dcterms:modified xsi:type="dcterms:W3CDTF">2019-03-07T19:49:00Z</dcterms:modified>
</cp:coreProperties>
</file>