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8FD" w:rsidRDefault="004338FD" w:rsidP="00BB662F">
      <w:pPr>
        <w:jc w:val="center"/>
        <w:rPr>
          <w:rFonts w:ascii="Arial" w:hAnsi="Arial" w:cs="Arial"/>
          <w:b/>
          <w:i/>
          <w:sz w:val="32"/>
          <w:szCs w:val="32"/>
          <w:u w:val="single"/>
          <w:lang w:val="en-GB"/>
        </w:rPr>
      </w:pPr>
    </w:p>
    <w:p w:rsidR="00C44CFE" w:rsidRPr="004338FD" w:rsidRDefault="002E2905" w:rsidP="00BB662F">
      <w:pPr>
        <w:jc w:val="center"/>
        <w:rPr>
          <w:rFonts w:ascii="Arial" w:hAnsi="Arial" w:cs="Arial"/>
          <w:b/>
          <w:i/>
          <w:sz w:val="32"/>
          <w:szCs w:val="32"/>
          <w:u w:val="single"/>
          <w:lang w:val="en-GB"/>
        </w:rPr>
      </w:pPr>
      <w:r>
        <w:rPr>
          <w:rFonts w:ascii="Arial" w:hAnsi="Arial" w:cs="Arial"/>
          <w:b/>
          <w:i/>
          <w:sz w:val="32"/>
          <w:szCs w:val="32"/>
          <w:u w:val="single"/>
          <w:lang w:val="en-GB"/>
        </w:rPr>
        <w:t xml:space="preserve">Lord Bathurst’s Gift: </w:t>
      </w:r>
      <w:r w:rsidR="00C44CFE" w:rsidRPr="004338FD">
        <w:rPr>
          <w:rFonts w:ascii="Arial" w:hAnsi="Arial" w:cs="Arial"/>
          <w:b/>
          <w:i/>
          <w:sz w:val="32"/>
          <w:szCs w:val="32"/>
          <w:u w:val="single"/>
          <w:lang w:val="en-GB"/>
        </w:rPr>
        <w:t xml:space="preserve">The Genesis of the </w:t>
      </w:r>
      <w:r>
        <w:rPr>
          <w:rFonts w:ascii="Arial" w:hAnsi="Arial" w:cs="Arial"/>
          <w:b/>
          <w:i/>
          <w:sz w:val="32"/>
          <w:szCs w:val="32"/>
          <w:u w:val="single"/>
          <w:lang w:val="en-GB"/>
        </w:rPr>
        <w:t>Golden Thread, being t</w:t>
      </w:r>
      <w:r w:rsidR="004F7F52">
        <w:rPr>
          <w:rFonts w:ascii="Arial" w:hAnsi="Arial" w:cs="Arial"/>
          <w:b/>
          <w:i/>
          <w:sz w:val="32"/>
          <w:szCs w:val="32"/>
          <w:u w:val="single"/>
          <w:lang w:val="en-GB"/>
        </w:rPr>
        <w:t>he Early History</w:t>
      </w:r>
      <w:r w:rsidR="00C44CFE" w:rsidRPr="004338FD">
        <w:rPr>
          <w:rFonts w:ascii="Arial" w:hAnsi="Arial" w:cs="Arial"/>
          <w:b/>
          <w:i/>
          <w:sz w:val="32"/>
          <w:szCs w:val="32"/>
          <w:u w:val="single"/>
          <w:lang w:val="en-GB"/>
        </w:rPr>
        <w:t xml:space="preserve"> of Cross-Border Insolvency</w:t>
      </w:r>
      <w:r w:rsidR="00B06D80">
        <w:rPr>
          <w:rFonts w:ascii="Arial" w:hAnsi="Arial" w:cs="Arial"/>
          <w:b/>
          <w:i/>
          <w:sz w:val="32"/>
          <w:szCs w:val="32"/>
          <w:u w:val="single"/>
          <w:lang w:val="en-GB"/>
        </w:rPr>
        <w:t xml:space="preserve"> and the Theory of Universalism</w:t>
      </w:r>
      <w:r w:rsidR="000B728A">
        <w:rPr>
          <w:rFonts w:ascii="Arial" w:hAnsi="Arial" w:cs="Arial"/>
          <w:b/>
          <w:i/>
          <w:sz w:val="32"/>
          <w:szCs w:val="32"/>
          <w:u w:val="single"/>
          <w:lang w:val="en-GB"/>
        </w:rPr>
        <w:t xml:space="preserve"> with particular reference to the original </w:t>
      </w:r>
      <w:proofErr w:type="spellStart"/>
      <w:r w:rsidR="000B728A">
        <w:rPr>
          <w:rFonts w:ascii="Arial" w:hAnsi="Arial" w:cs="Arial"/>
          <w:b/>
          <w:i/>
          <w:sz w:val="32"/>
          <w:szCs w:val="32"/>
          <w:u w:val="single"/>
          <w:lang w:val="en-GB"/>
        </w:rPr>
        <w:t>Solomons</w:t>
      </w:r>
      <w:proofErr w:type="spellEnd"/>
      <w:r w:rsidR="000B728A">
        <w:rPr>
          <w:rFonts w:ascii="Arial" w:hAnsi="Arial" w:cs="Arial"/>
          <w:b/>
          <w:i/>
          <w:sz w:val="32"/>
          <w:szCs w:val="32"/>
          <w:u w:val="single"/>
          <w:lang w:val="en-GB"/>
        </w:rPr>
        <w:t xml:space="preserve"> v. Ross case papers </w:t>
      </w:r>
      <w:r w:rsidR="00B06D80">
        <w:rPr>
          <w:rFonts w:ascii="Arial" w:hAnsi="Arial" w:cs="Arial"/>
          <w:b/>
          <w:i/>
          <w:sz w:val="32"/>
          <w:szCs w:val="32"/>
          <w:u w:val="single"/>
          <w:lang w:val="en-GB"/>
        </w:rPr>
        <w:t xml:space="preserve"> </w:t>
      </w:r>
    </w:p>
    <w:p w:rsidR="00C44CFE" w:rsidRDefault="00C44CFE" w:rsidP="00BB662F">
      <w:pPr>
        <w:jc w:val="center"/>
        <w:rPr>
          <w:rFonts w:ascii="Arial" w:hAnsi="Arial" w:cs="Arial"/>
          <w:lang w:val="en-GB"/>
        </w:rPr>
      </w:pPr>
    </w:p>
    <w:p w:rsidR="005467A6" w:rsidRDefault="005467A6" w:rsidP="00BB662F">
      <w:pPr>
        <w:spacing w:line="360" w:lineRule="auto"/>
        <w:jc w:val="center"/>
        <w:rPr>
          <w:rFonts w:ascii="Arial" w:hAnsi="Arial" w:cs="Arial"/>
          <w:lang w:val="en-GB"/>
        </w:rPr>
      </w:pPr>
    </w:p>
    <w:p w:rsidR="00AD751C" w:rsidRDefault="00C44CFE" w:rsidP="00AD751C">
      <w:pPr>
        <w:spacing w:line="360" w:lineRule="auto"/>
        <w:jc w:val="center"/>
        <w:rPr>
          <w:rFonts w:ascii="Arial" w:hAnsi="Arial" w:cs="Arial"/>
          <w:lang w:val="en-GB"/>
        </w:rPr>
      </w:pPr>
      <w:r w:rsidRPr="003E76B3">
        <w:rPr>
          <w:rFonts w:ascii="Arial" w:hAnsi="Arial" w:cs="Arial"/>
          <w:lang w:val="en-GB"/>
        </w:rPr>
        <w:t>By</w:t>
      </w:r>
    </w:p>
    <w:p w:rsidR="00AD751C" w:rsidRPr="00AD751C" w:rsidRDefault="00AD751C" w:rsidP="00AD751C">
      <w:pPr>
        <w:spacing w:line="360" w:lineRule="auto"/>
        <w:jc w:val="center"/>
        <w:rPr>
          <w:rFonts w:ascii="Arial" w:hAnsi="Arial" w:cs="Arial"/>
          <w:lang w:val="en-GB"/>
        </w:rPr>
      </w:pPr>
    </w:p>
    <w:p w:rsidR="00C44CFE" w:rsidRDefault="00AD751C" w:rsidP="00AD751C">
      <w:pPr>
        <w:jc w:val="center"/>
        <w:rPr>
          <w:rFonts w:ascii="Arial" w:hAnsi="Arial" w:cs="Arial"/>
        </w:rPr>
      </w:pPr>
      <w:r w:rsidRPr="00331847">
        <w:rPr>
          <w:rFonts w:ascii="Arial" w:hAnsi="Arial" w:cs="Arial"/>
        </w:rPr>
        <w:t xml:space="preserve">Dr. Stephen </w:t>
      </w:r>
      <w:proofErr w:type="spellStart"/>
      <w:r w:rsidRPr="00331847">
        <w:rPr>
          <w:rFonts w:ascii="Arial" w:hAnsi="Arial" w:cs="Arial"/>
        </w:rPr>
        <w:t>Baister</w:t>
      </w:r>
      <w:proofErr w:type="spellEnd"/>
      <w:r w:rsidRPr="00331847">
        <w:rPr>
          <w:rStyle w:val="FootnoteReference"/>
          <w:rFonts w:ascii="Arial" w:hAnsi="Arial" w:cs="Arial"/>
        </w:rPr>
        <w:footnoteReference w:customMarkFollows="1" w:id="1"/>
        <w:sym w:font="Symbol" w:char="F0A8"/>
      </w:r>
      <w:r w:rsidRPr="00331847">
        <w:rPr>
          <w:rFonts w:ascii="Arial" w:hAnsi="Arial" w:cs="Arial"/>
        </w:rPr>
        <w:t xml:space="preserve"> </w:t>
      </w:r>
    </w:p>
    <w:p w:rsidR="00AD751C" w:rsidRDefault="00AD751C" w:rsidP="00AD751C">
      <w:pPr>
        <w:jc w:val="center"/>
        <w:rPr>
          <w:rFonts w:ascii="Arial" w:hAnsi="Arial" w:cs="Arial"/>
        </w:rPr>
      </w:pPr>
    </w:p>
    <w:p w:rsidR="00AD751C" w:rsidRDefault="00AD751C" w:rsidP="00AD751C">
      <w:pPr>
        <w:jc w:val="center"/>
        <w:rPr>
          <w:rFonts w:ascii="Arial" w:hAnsi="Arial" w:cs="Arial"/>
        </w:rPr>
      </w:pPr>
      <w:r>
        <w:rPr>
          <w:rFonts w:ascii="Arial" w:hAnsi="Arial" w:cs="Arial"/>
        </w:rPr>
        <w:t>&amp;</w:t>
      </w:r>
    </w:p>
    <w:p w:rsidR="00AD751C" w:rsidRPr="00AD751C" w:rsidRDefault="00AD751C" w:rsidP="00AD751C">
      <w:pPr>
        <w:jc w:val="center"/>
        <w:rPr>
          <w:rFonts w:ascii="Arial" w:hAnsi="Arial" w:cs="Arial"/>
        </w:rPr>
      </w:pPr>
    </w:p>
    <w:p w:rsidR="00C44CFE" w:rsidRPr="003E76B3" w:rsidRDefault="00C44CFE" w:rsidP="00BB662F">
      <w:pPr>
        <w:spacing w:line="360" w:lineRule="auto"/>
        <w:jc w:val="center"/>
        <w:rPr>
          <w:rFonts w:ascii="Arial" w:hAnsi="Arial" w:cs="Arial"/>
          <w:lang w:val="en-GB"/>
        </w:rPr>
      </w:pPr>
      <w:proofErr w:type="spellStart"/>
      <w:r w:rsidRPr="003E76B3">
        <w:rPr>
          <w:rFonts w:ascii="Arial" w:hAnsi="Arial" w:cs="Arial"/>
          <w:lang w:val="en-GB"/>
        </w:rPr>
        <w:t>Dr.</w:t>
      </w:r>
      <w:proofErr w:type="spellEnd"/>
      <w:r w:rsidRPr="003E76B3">
        <w:rPr>
          <w:rFonts w:ascii="Arial" w:hAnsi="Arial" w:cs="Arial"/>
          <w:lang w:val="en-GB"/>
        </w:rPr>
        <w:t xml:space="preserve"> John Tribe</w:t>
      </w:r>
      <w:r w:rsidRPr="003E76B3">
        <w:rPr>
          <w:rStyle w:val="FootnoteReference"/>
          <w:rFonts w:ascii="Arial" w:hAnsi="Arial" w:cs="Arial"/>
          <w:lang w:val="en-GB"/>
        </w:rPr>
        <w:footnoteReference w:customMarkFollows="1" w:id="2"/>
        <w:sym w:font="Symbol" w:char="F0A7"/>
      </w:r>
    </w:p>
    <w:p w:rsidR="00C44CFE" w:rsidRDefault="00C44CFE" w:rsidP="00BB662F">
      <w:pPr>
        <w:spacing w:line="360" w:lineRule="auto"/>
        <w:jc w:val="both"/>
        <w:rPr>
          <w:rFonts w:ascii="Arial" w:hAnsi="Arial" w:cs="Arial"/>
          <w:lang w:val="en-GB"/>
        </w:rPr>
      </w:pPr>
    </w:p>
    <w:p w:rsidR="00363DB3" w:rsidRDefault="00363DB3" w:rsidP="00BB662F">
      <w:pPr>
        <w:spacing w:line="360" w:lineRule="auto"/>
        <w:jc w:val="both"/>
        <w:rPr>
          <w:rFonts w:ascii="Arial" w:hAnsi="Arial" w:cs="Arial"/>
          <w:lang w:val="en-GB"/>
        </w:rPr>
      </w:pPr>
    </w:p>
    <w:p w:rsidR="00642BED" w:rsidRPr="00642BED" w:rsidRDefault="00642BED" w:rsidP="00BB662F">
      <w:pPr>
        <w:spacing w:line="360" w:lineRule="auto"/>
        <w:jc w:val="both"/>
        <w:rPr>
          <w:rFonts w:ascii="Arial" w:hAnsi="Arial" w:cs="Arial"/>
          <w:b/>
          <w:sz w:val="22"/>
          <w:szCs w:val="22"/>
          <w:u w:val="single"/>
          <w:lang w:val="en-GB"/>
        </w:rPr>
      </w:pPr>
      <w:r w:rsidRPr="00642BED">
        <w:rPr>
          <w:rFonts w:ascii="Arial" w:hAnsi="Arial" w:cs="Arial"/>
          <w:b/>
          <w:sz w:val="22"/>
          <w:szCs w:val="22"/>
          <w:u w:val="single"/>
          <w:lang w:val="en-GB"/>
        </w:rPr>
        <w:t>Abstract</w:t>
      </w:r>
    </w:p>
    <w:p w:rsidR="00642BED" w:rsidRPr="00642BED" w:rsidRDefault="00642BED" w:rsidP="00BB662F">
      <w:pPr>
        <w:spacing w:line="360" w:lineRule="auto"/>
        <w:jc w:val="both"/>
        <w:rPr>
          <w:rFonts w:ascii="Arial" w:hAnsi="Arial" w:cs="Arial"/>
          <w:b/>
          <w:sz w:val="22"/>
          <w:szCs w:val="22"/>
          <w:u w:val="single"/>
          <w:lang w:val="en-GB"/>
        </w:rPr>
      </w:pPr>
    </w:p>
    <w:p w:rsidR="00642BED" w:rsidRPr="00642BED" w:rsidRDefault="00642BED" w:rsidP="00642BED">
      <w:pPr>
        <w:jc w:val="both"/>
        <w:rPr>
          <w:rFonts w:ascii="Arial" w:hAnsi="Arial" w:cs="Arial"/>
          <w:i/>
          <w:sz w:val="22"/>
          <w:szCs w:val="22"/>
          <w:lang w:val="en-GB"/>
        </w:rPr>
      </w:pPr>
      <w:r w:rsidRPr="00642BED">
        <w:rPr>
          <w:rFonts w:ascii="Arial" w:hAnsi="Arial" w:cs="Arial"/>
          <w:i/>
          <w:sz w:val="22"/>
          <w:szCs w:val="22"/>
          <w:lang w:val="en-GB"/>
        </w:rPr>
        <w:t xml:space="preserve">The genesis of the golden thread of modified universalism in cross-border insolvency cases has been said to be the seminal 1763 judgment of Lord Bathurst in </w:t>
      </w:r>
      <w:proofErr w:type="spellStart"/>
      <w:r w:rsidRPr="00642BED">
        <w:rPr>
          <w:rFonts w:ascii="Arial" w:hAnsi="Arial" w:cs="Arial"/>
          <w:i/>
          <w:sz w:val="22"/>
          <w:szCs w:val="22"/>
          <w:lang w:val="en-GB"/>
        </w:rPr>
        <w:t>Solomons</w:t>
      </w:r>
      <w:proofErr w:type="spellEnd"/>
      <w:r w:rsidRPr="00642BED">
        <w:rPr>
          <w:rFonts w:ascii="Arial" w:hAnsi="Arial" w:cs="Arial"/>
          <w:i/>
          <w:sz w:val="22"/>
          <w:szCs w:val="22"/>
          <w:lang w:val="en-GB"/>
        </w:rPr>
        <w:t xml:space="preserve"> v. Ross</w:t>
      </w:r>
      <w:r>
        <w:rPr>
          <w:rFonts w:ascii="Arial" w:hAnsi="Arial" w:cs="Arial"/>
          <w:i/>
          <w:sz w:val="22"/>
          <w:szCs w:val="22"/>
          <w:lang w:val="en-GB"/>
        </w:rPr>
        <w:t>.</w:t>
      </w:r>
      <w:r w:rsidRPr="00642BED">
        <w:rPr>
          <w:rFonts w:ascii="Arial" w:hAnsi="Arial" w:cs="Arial"/>
          <w:i/>
          <w:sz w:val="22"/>
          <w:szCs w:val="22"/>
          <w:lang w:val="en-GB"/>
        </w:rPr>
        <w:t xml:space="preserve">  From the highest c</w:t>
      </w:r>
      <w:r>
        <w:rPr>
          <w:rFonts w:ascii="Arial" w:hAnsi="Arial" w:cs="Arial"/>
          <w:i/>
          <w:sz w:val="22"/>
          <w:szCs w:val="22"/>
          <w:lang w:val="en-GB"/>
        </w:rPr>
        <w:t>ourt</w:t>
      </w:r>
      <w:r w:rsidR="00C13063">
        <w:rPr>
          <w:rFonts w:ascii="Arial" w:hAnsi="Arial" w:cs="Arial"/>
          <w:i/>
          <w:sz w:val="22"/>
          <w:szCs w:val="22"/>
          <w:lang w:val="en-GB"/>
        </w:rPr>
        <w:t>s</w:t>
      </w:r>
      <w:r>
        <w:rPr>
          <w:rFonts w:ascii="Arial" w:hAnsi="Arial" w:cs="Arial"/>
          <w:i/>
          <w:sz w:val="22"/>
          <w:szCs w:val="22"/>
          <w:lang w:val="en-GB"/>
        </w:rPr>
        <w:t xml:space="preserve"> in the land to the most authoritative </w:t>
      </w:r>
      <w:r w:rsidRPr="00642BED">
        <w:rPr>
          <w:rFonts w:ascii="Arial" w:hAnsi="Arial" w:cs="Arial"/>
          <w:i/>
          <w:sz w:val="22"/>
          <w:szCs w:val="22"/>
          <w:lang w:val="en-GB"/>
        </w:rPr>
        <w:t>commentators,</w:t>
      </w:r>
      <w:r>
        <w:rPr>
          <w:rFonts w:ascii="Arial" w:hAnsi="Arial" w:cs="Arial"/>
          <w:i/>
          <w:sz w:val="22"/>
          <w:szCs w:val="22"/>
          <w:lang w:val="en-GB"/>
        </w:rPr>
        <w:t xml:space="preserve"> it has become an axiom that the concept of reciprocity between national courts in insolvency matters traces its roots to the Court of Chancery</w:t>
      </w:r>
      <w:r w:rsidR="00120037">
        <w:rPr>
          <w:rFonts w:ascii="Arial" w:hAnsi="Arial" w:cs="Arial"/>
          <w:i/>
          <w:sz w:val="22"/>
          <w:szCs w:val="22"/>
          <w:lang w:val="en-GB"/>
        </w:rPr>
        <w:t xml:space="preserve"> hearing a dispute between a London trader</w:t>
      </w:r>
      <w:r w:rsidR="00E04326">
        <w:rPr>
          <w:rFonts w:ascii="Arial" w:hAnsi="Arial" w:cs="Arial"/>
          <w:i/>
          <w:sz w:val="22"/>
          <w:szCs w:val="22"/>
          <w:lang w:val="en-GB"/>
        </w:rPr>
        <w:t>, Ross,</w:t>
      </w:r>
      <w:r w:rsidR="00120037">
        <w:rPr>
          <w:rFonts w:ascii="Arial" w:hAnsi="Arial" w:cs="Arial"/>
          <w:i/>
          <w:sz w:val="22"/>
          <w:szCs w:val="22"/>
          <w:lang w:val="en-GB"/>
        </w:rPr>
        <w:t xml:space="preserve"> and an inso</w:t>
      </w:r>
      <w:r w:rsidR="00E04326">
        <w:rPr>
          <w:rFonts w:ascii="Arial" w:hAnsi="Arial" w:cs="Arial"/>
          <w:i/>
          <w:sz w:val="22"/>
          <w:szCs w:val="22"/>
          <w:lang w:val="en-GB"/>
        </w:rPr>
        <w:t xml:space="preserve">lvent Dutch company’s representative, </w:t>
      </w:r>
      <w:proofErr w:type="spellStart"/>
      <w:r w:rsidR="00E04326">
        <w:rPr>
          <w:rFonts w:ascii="Arial" w:hAnsi="Arial" w:cs="Arial"/>
          <w:i/>
          <w:sz w:val="22"/>
          <w:szCs w:val="22"/>
          <w:lang w:val="en-GB"/>
        </w:rPr>
        <w:t>Solomons</w:t>
      </w:r>
      <w:proofErr w:type="spellEnd"/>
      <w:r w:rsidR="00E04326">
        <w:rPr>
          <w:rFonts w:ascii="Arial" w:hAnsi="Arial" w:cs="Arial"/>
          <w:i/>
          <w:sz w:val="22"/>
          <w:szCs w:val="22"/>
          <w:lang w:val="en-GB"/>
        </w:rPr>
        <w:t xml:space="preserve">. </w:t>
      </w:r>
      <w:r>
        <w:rPr>
          <w:rFonts w:ascii="Arial" w:hAnsi="Arial" w:cs="Arial"/>
          <w:i/>
          <w:sz w:val="22"/>
          <w:szCs w:val="22"/>
          <w:lang w:val="en-GB"/>
        </w:rPr>
        <w:t xml:space="preserve"> </w:t>
      </w:r>
    </w:p>
    <w:p w:rsidR="00642BED" w:rsidRPr="00642BED" w:rsidRDefault="00642BED" w:rsidP="00642BED">
      <w:pPr>
        <w:jc w:val="both"/>
        <w:rPr>
          <w:rFonts w:ascii="Arial" w:hAnsi="Arial" w:cs="Arial"/>
          <w:i/>
          <w:sz w:val="22"/>
          <w:szCs w:val="22"/>
          <w:lang w:val="en-GB"/>
        </w:rPr>
      </w:pPr>
    </w:p>
    <w:p w:rsidR="001438A1" w:rsidRDefault="001438A1" w:rsidP="00642BED">
      <w:pPr>
        <w:jc w:val="both"/>
        <w:rPr>
          <w:rFonts w:ascii="Arial" w:hAnsi="Arial" w:cs="Arial"/>
          <w:i/>
          <w:sz w:val="22"/>
          <w:szCs w:val="22"/>
          <w:lang w:val="en-GB"/>
        </w:rPr>
      </w:pPr>
      <w:r>
        <w:rPr>
          <w:rFonts w:ascii="Arial" w:hAnsi="Arial" w:cs="Arial"/>
          <w:i/>
          <w:sz w:val="22"/>
          <w:szCs w:val="22"/>
          <w:lang w:val="en-GB"/>
        </w:rPr>
        <w:t>Using primary source material from the National Archive t</w:t>
      </w:r>
      <w:r w:rsidR="00642BED">
        <w:rPr>
          <w:rFonts w:ascii="Arial" w:hAnsi="Arial" w:cs="Arial"/>
          <w:i/>
          <w:sz w:val="22"/>
          <w:szCs w:val="22"/>
          <w:lang w:val="en-GB"/>
        </w:rPr>
        <w:t>his article debunks this</w:t>
      </w:r>
      <w:r>
        <w:rPr>
          <w:rFonts w:ascii="Arial" w:hAnsi="Arial" w:cs="Arial"/>
          <w:i/>
          <w:sz w:val="22"/>
          <w:szCs w:val="22"/>
          <w:lang w:val="en-GB"/>
        </w:rPr>
        <w:t xml:space="preserve"> proposition and argues that</w:t>
      </w:r>
      <w:r w:rsidR="00120037">
        <w:rPr>
          <w:rFonts w:ascii="Arial" w:hAnsi="Arial" w:cs="Arial"/>
          <w:i/>
          <w:sz w:val="22"/>
          <w:szCs w:val="22"/>
          <w:lang w:val="en-GB"/>
        </w:rPr>
        <w:t xml:space="preserve"> (1) Lord Mansfield’</w:t>
      </w:r>
      <w:r w:rsidR="002977E2">
        <w:rPr>
          <w:rFonts w:ascii="Arial" w:hAnsi="Arial" w:cs="Arial"/>
          <w:i/>
          <w:sz w:val="22"/>
          <w:szCs w:val="22"/>
          <w:lang w:val="en-GB"/>
        </w:rPr>
        <w:t>s earlier judgment in 1760 in Robinson v. Bland</w:t>
      </w:r>
      <w:r w:rsidR="00120037">
        <w:rPr>
          <w:rFonts w:ascii="Arial" w:hAnsi="Arial" w:cs="Arial"/>
          <w:i/>
          <w:sz w:val="22"/>
          <w:szCs w:val="22"/>
          <w:lang w:val="en-GB"/>
        </w:rPr>
        <w:t xml:space="preserve"> is in fact the g</w:t>
      </w:r>
      <w:r>
        <w:rPr>
          <w:rFonts w:ascii="Arial" w:hAnsi="Arial" w:cs="Arial"/>
          <w:i/>
          <w:sz w:val="22"/>
          <w:szCs w:val="22"/>
          <w:lang w:val="en-GB"/>
        </w:rPr>
        <w:t>enesis of the golden thread</w:t>
      </w:r>
      <w:r w:rsidR="00746F04">
        <w:rPr>
          <w:rFonts w:ascii="Arial" w:hAnsi="Arial" w:cs="Arial"/>
          <w:i/>
          <w:sz w:val="22"/>
          <w:szCs w:val="22"/>
          <w:lang w:val="en-GB"/>
        </w:rPr>
        <w:t>,</w:t>
      </w:r>
      <w:r>
        <w:rPr>
          <w:rFonts w:ascii="Arial" w:hAnsi="Arial" w:cs="Arial"/>
          <w:i/>
          <w:sz w:val="22"/>
          <w:szCs w:val="22"/>
          <w:lang w:val="en-GB"/>
        </w:rPr>
        <w:t xml:space="preserve"> and that</w:t>
      </w:r>
      <w:r w:rsidR="00642BED" w:rsidRPr="00642BED">
        <w:rPr>
          <w:rFonts w:ascii="Arial" w:hAnsi="Arial" w:cs="Arial"/>
          <w:i/>
          <w:sz w:val="22"/>
          <w:szCs w:val="22"/>
          <w:lang w:val="en-GB"/>
        </w:rPr>
        <w:t xml:space="preserve"> (2) Lord Mansfield influenced the then Mr Justice Bathurst in coming to his </w:t>
      </w:r>
      <w:r w:rsidR="00120037">
        <w:rPr>
          <w:rFonts w:ascii="Arial" w:hAnsi="Arial" w:cs="Arial"/>
          <w:i/>
          <w:sz w:val="22"/>
          <w:szCs w:val="22"/>
          <w:lang w:val="en-GB"/>
        </w:rPr>
        <w:t>decision</w:t>
      </w:r>
      <w:r>
        <w:rPr>
          <w:rFonts w:ascii="Arial" w:hAnsi="Arial" w:cs="Arial"/>
          <w:i/>
          <w:sz w:val="22"/>
          <w:szCs w:val="22"/>
          <w:lang w:val="en-GB"/>
        </w:rPr>
        <w:t xml:space="preserve"> in </w:t>
      </w:r>
      <w:proofErr w:type="spellStart"/>
      <w:r>
        <w:rPr>
          <w:rFonts w:ascii="Arial" w:hAnsi="Arial" w:cs="Arial"/>
          <w:i/>
          <w:sz w:val="22"/>
          <w:szCs w:val="22"/>
          <w:lang w:val="en-GB"/>
        </w:rPr>
        <w:t>Solomo</w:t>
      </w:r>
      <w:r w:rsidR="008B2736">
        <w:rPr>
          <w:rFonts w:ascii="Arial" w:hAnsi="Arial" w:cs="Arial"/>
          <w:i/>
          <w:sz w:val="22"/>
          <w:szCs w:val="22"/>
          <w:lang w:val="en-GB"/>
        </w:rPr>
        <w:t>ns</w:t>
      </w:r>
      <w:proofErr w:type="spellEnd"/>
      <w:r w:rsidR="008B2736">
        <w:rPr>
          <w:rFonts w:ascii="Arial" w:hAnsi="Arial" w:cs="Arial"/>
          <w:i/>
          <w:sz w:val="22"/>
          <w:szCs w:val="22"/>
          <w:lang w:val="en-GB"/>
        </w:rPr>
        <w:t xml:space="preserve"> v. Ross (</w:t>
      </w:r>
      <w:r>
        <w:rPr>
          <w:rFonts w:ascii="Arial" w:hAnsi="Arial" w:cs="Arial"/>
          <w:i/>
          <w:sz w:val="22"/>
          <w:szCs w:val="22"/>
          <w:lang w:val="en-GB"/>
        </w:rPr>
        <w:t>1763</w:t>
      </w:r>
      <w:r w:rsidR="008B2736">
        <w:rPr>
          <w:rFonts w:ascii="Arial" w:hAnsi="Arial" w:cs="Arial"/>
          <w:i/>
          <w:sz w:val="22"/>
          <w:szCs w:val="22"/>
          <w:lang w:val="en-GB"/>
        </w:rPr>
        <w:t>)</w:t>
      </w:r>
      <w:r>
        <w:rPr>
          <w:rFonts w:ascii="Arial" w:hAnsi="Arial" w:cs="Arial"/>
          <w:i/>
          <w:sz w:val="22"/>
          <w:szCs w:val="22"/>
          <w:lang w:val="en-GB"/>
        </w:rPr>
        <w:t xml:space="preserve"> either directly, or because of the approach </w:t>
      </w:r>
      <w:r w:rsidR="002977E2">
        <w:rPr>
          <w:rFonts w:ascii="Arial" w:hAnsi="Arial" w:cs="Arial"/>
          <w:i/>
          <w:sz w:val="22"/>
          <w:szCs w:val="22"/>
          <w:lang w:val="en-GB"/>
        </w:rPr>
        <w:t>adopted in Robinson v. Bland (1760)</w:t>
      </w:r>
      <w:r>
        <w:rPr>
          <w:rFonts w:ascii="Arial" w:hAnsi="Arial" w:cs="Arial"/>
          <w:i/>
          <w:sz w:val="22"/>
          <w:szCs w:val="22"/>
          <w:lang w:val="en-GB"/>
        </w:rPr>
        <w:t>.</w:t>
      </w:r>
    </w:p>
    <w:p w:rsidR="001438A1" w:rsidRDefault="001438A1" w:rsidP="00642BED">
      <w:pPr>
        <w:jc w:val="both"/>
        <w:rPr>
          <w:rFonts w:ascii="Arial" w:hAnsi="Arial" w:cs="Arial"/>
          <w:i/>
          <w:sz w:val="22"/>
          <w:szCs w:val="22"/>
          <w:lang w:val="en-GB"/>
        </w:rPr>
      </w:pPr>
    </w:p>
    <w:p w:rsidR="00642BED" w:rsidRPr="00642BED" w:rsidRDefault="001438A1" w:rsidP="00642BED">
      <w:pPr>
        <w:jc w:val="both"/>
        <w:rPr>
          <w:rFonts w:ascii="Arial" w:hAnsi="Arial" w:cs="Arial"/>
          <w:i/>
          <w:sz w:val="22"/>
          <w:szCs w:val="22"/>
          <w:lang w:val="en-GB"/>
        </w:rPr>
      </w:pPr>
      <w:r>
        <w:rPr>
          <w:rFonts w:ascii="Arial" w:hAnsi="Arial" w:cs="Arial"/>
          <w:i/>
          <w:sz w:val="22"/>
          <w:szCs w:val="22"/>
          <w:lang w:val="en-GB"/>
        </w:rPr>
        <w:t xml:space="preserve">This article therefore debunks decades of scholarship and a number of House of Lords and Supreme Court decisions in relation to the concept of modified universalism and its genesis in English and Welsh insolvency law. In so doing it asserts for the first time that Lord Mansfield is responsible for facilitating </w:t>
      </w:r>
      <w:r w:rsidR="00C13063">
        <w:rPr>
          <w:rFonts w:ascii="Arial" w:hAnsi="Arial" w:cs="Arial"/>
          <w:i/>
          <w:sz w:val="22"/>
          <w:szCs w:val="22"/>
          <w:lang w:val="en-GB"/>
        </w:rPr>
        <w:t xml:space="preserve">early </w:t>
      </w:r>
      <w:r>
        <w:rPr>
          <w:rFonts w:ascii="Arial" w:hAnsi="Arial" w:cs="Arial"/>
          <w:i/>
          <w:sz w:val="22"/>
          <w:szCs w:val="22"/>
          <w:lang w:val="en-GB"/>
        </w:rPr>
        <w:t>co-operation across borders in matt</w:t>
      </w:r>
      <w:r w:rsidR="00DB77E9">
        <w:rPr>
          <w:rFonts w:ascii="Arial" w:hAnsi="Arial" w:cs="Arial"/>
          <w:i/>
          <w:sz w:val="22"/>
          <w:szCs w:val="22"/>
          <w:lang w:val="en-GB"/>
        </w:rPr>
        <w:t xml:space="preserve">ers of cross-border insolvency and shows that these approaches are of greater antiquity than has hitherto been believed to have been the case. </w:t>
      </w:r>
      <w:r w:rsidR="00642BED" w:rsidRPr="00642BED">
        <w:rPr>
          <w:rFonts w:ascii="Arial" w:hAnsi="Arial" w:cs="Arial"/>
          <w:i/>
          <w:sz w:val="22"/>
          <w:szCs w:val="22"/>
          <w:lang w:val="en-GB"/>
        </w:rPr>
        <w:t xml:space="preserve"> </w:t>
      </w:r>
    </w:p>
    <w:p w:rsidR="00C44CFE" w:rsidRPr="00C44CFE" w:rsidRDefault="00642BED" w:rsidP="00AD751C">
      <w:pPr>
        <w:rPr>
          <w:rFonts w:ascii="Arial" w:hAnsi="Arial" w:cs="Arial"/>
          <w:b/>
          <w:u w:val="single"/>
          <w:lang w:val="en-GB"/>
        </w:rPr>
      </w:pPr>
      <w:r>
        <w:rPr>
          <w:rFonts w:ascii="Arial" w:hAnsi="Arial" w:cs="Arial"/>
          <w:b/>
          <w:u w:val="single"/>
          <w:lang w:val="en-GB"/>
        </w:rPr>
        <w:br w:type="page"/>
      </w:r>
      <w:r w:rsidR="00C44CFE" w:rsidRPr="00C44CFE">
        <w:rPr>
          <w:rFonts w:ascii="Arial" w:hAnsi="Arial" w:cs="Arial"/>
          <w:b/>
          <w:u w:val="single"/>
          <w:lang w:val="en-GB"/>
        </w:rPr>
        <w:lastRenderedPageBreak/>
        <w:t xml:space="preserve">Introduction </w:t>
      </w:r>
    </w:p>
    <w:p w:rsidR="00C44CFE" w:rsidRDefault="00C44CFE" w:rsidP="00BB662F">
      <w:pPr>
        <w:spacing w:line="360" w:lineRule="auto"/>
        <w:jc w:val="both"/>
        <w:rPr>
          <w:rFonts w:ascii="Arial" w:hAnsi="Arial" w:cs="Arial"/>
          <w:lang w:val="en-GB"/>
        </w:rPr>
      </w:pPr>
    </w:p>
    <w:p w:rsidR="00E242D8" w:rsidRDefault="002E2905" w:rsidP="00BB662F">
      <w:pPr>
        <w:spacing w:line="360" w:lineRule="auto"/>
        <w:jc w:val="both"/>
        <w:rPr>
          <w:rFonts w:ascii="Arial" w:hAnsi="Arial" w:cs="Arial"/>
          <w:lang w:val="en-GB"/>
        </w:rPr>
      </w:pPr>
      <w:r>
        <w:rPr>
          <w:rFonts w:ascii="Arial" w:hAnsi="Arial" w:cs="Arial"/>
          <w:lang w:val="en-GB"/>
        </w:rPr>
        <w:t>The 1760s were a tumultuous decade.</w:t>
      </w:r>
      <w:r w:rsidR="00750BB3">
        <w:rPr>
          <w:rFonts w:ascii="Arial" w:hAnsi="Arial" w:cs="Arial"/>
          <w:lang w:val="en-GB"/>
        </w:rPr>
        <w:t xml:space="preserve"> Commencing with </w:t>
      </w:r>
      <w:proofErr w:type="spellStart"/>
      <w:r w:rsidR="00750BB3">
        <w:rPr>
          <w:rFonts w:ascii="Arial" w:hAnsi="Arial" w:cs="Arial"/>
          <w:lang w:val="en-GB"/>
        </w:rPr>
        <w:t>Tacky’s</w:t>
      </w:r>
      <w:proofErr w:type="spellEnd"/>
      <w:r w:rsidR="00750BB3">
        <w:rPr>
          <w:rFonts w:ascii="Arial" w:hAnsi="Arial" w:cs="Arial"/>
          <w:lang w:val="en-GB"/>
        </w:rPr>
        <w:t xml:space="preserve"> Revolt</w:t>
      </w:r>
      <w:r w:rsidR="006D7D37">
        <w:rPr>
          <w:rFonts w:ascii="Arial" w:hAnsi="Arial" w:cs="Arial"/>
          <w:lang w:val="en-GB"/>
        </w:rPr>
        <w:t xml:space="preserve"> in the British West Indies</w:t>
      </w:r>
      <w:r w:rsidR="00750BB3">
        <w:rPr>
          <w:rFonts w:ascii="Arial" w:hAnsi="Arial" w:cs="Arial"/>
          <w:lang w:val="en-GB"/>
        </w:rPr>
        <w:t>, one of the largest slave revolts of the 18</w:t>
      </w:r>
      <w:r w:rsidR="00750BB3" w:rsidRPr="00750BB3">
        <w:rPr>
          <w:rFonts w:ascii="Arial" w:hAnsi="Arial" w:cs="Arial"/>
          <w:vertAlign w:val="superscript"/>
          <w:lang w:val="en-GB"/>
        </w:rPr>
        <w:t>th</w:t>
      </w:r>
      <w:r w:rsidR="00750BB3">
        <w:rPr>
          <w:rFonts w:ascii="Arial" w:hAnsi="Arial" w:cs="Arial"/>
          <w:lang w:val="en-GB"/>
        </w:rPr>
        <w:t xml:space="preserve"> century</w:t>
      </w:r>
      <w:r w:rsidR="00542215">
        <w:rPr>
          <w:rFonts w:ascii="Arial" w:hAnsi="Arial" w:cs="Arial"/>
          <w:lang w:val="en-GB"/>
        </w:rPr>
        <w:t>,</w:t>
      </w:r>
      <w:r w:rsidR="006D7D37">
        <w:rPr>
          <w:rFonts w:ascii="Arial" w:hAnsi="Arial" w:cs="Arial"/>
          <w:lang w:val="en-GB"/>
        </w:rPr>
        <w:t xml:space="preserve"> 1760 also saw the coronation of “Farmer George</w:t>
      </w:r>
      <w:r w:rsidR="00637D55">
        <w:rPr>
          <w:rFonts w:ascii="Arial" w:hAnsi="Arial" w:cs="Arial"/>
          <w:lang w:val="en-GB"/>
        </w:rPr>
        <w:t>”</w:t>
      </w:r>
      <w:r w:rsidR="006D7D37">
        <w:rPr>
          <w:rFonts w:ascii="Arial" w:hAnsi="Arial" w:cs="Arial"/>
          <w:lang w:val="en-GB"/>
        </w:rPr>
        <w:t>, i.e. George III, the first Hanoverian to be born and raised in England. The following year</w:t>
      </w:r>
      <w:r w:rsidR="00E242D8">
        <w:rPr>
          <w:rFonts w:ascii="Arial" w:hAnsi="Arial" w:cs="Arial"/>
          <w:lang w:val="en-GB"/>
        </w:rPr>
        <w:t>, 1761,</w:t>
      </w:r>
      <w:r w:rsidR="006D7D37">
        <w:rPr>
          <w:rFonts w:ascii="Arial" w:hAnsi="Arial" w:cs="Arial"/>
          <w:lang w:val="en-GB"/>
        </w:rPr>
        <w:t xml:space="preserve"> saw the arrest of </w:t>
      </w:r>
      <w:r w:rsidR="006D7D37" w:rsidRPr="006D7D37">
        <w:rPr>
          <w:rFonts w:ascii="Arial" w:hAnsi="Arial" w:cs="Arial"/>
          <w:lang w:val="en-GB"/>
        </w:rPr>
        <w:t>John Wilkes</w:t>
      </w:r>
      <w:r w:rsidR="006D7D37">
        <w:rPr>
          <w:rFonts w:ascii="Arial" w:hAnsi="Arial" w:cs="Arial"/>
          <w:lang w:val="en-GB"/>
        </w:rPr>
        <w:t xml:space="preserve"> MP whose essay “The North Briton” brought a charge of </w:t>
      </w:r>
      <w:r w:rsidR="006D7D37" w:rsidRPr="006D7D37">
        <w:rPr>
          <w:rFonts w:ascii="Arial" w:hAnsi="Arial" w:cs="Arial"/>
          <w:lang w:val="en-GB"/>
        </w:rPr>
        <w:t xml:space="preserve">seditious libel for </w:t>
      </w:r>
      <w:r w:rsidR="006D7D37">
        <w:rPr>
          <w:rFonts w:ascii="Arial" w:hAnsi="Arial" w:cs="Arial"/>
          <w:lang w:val="en-GB"/>
        </w:rPr>
        <w:t xml:space="preserve">its criticism of George III. </w:t>
      </w:r>
      <w:r w:rsidR="00E242D8" w:rsidRPr="00E242D8">
        <w:rPr>
          <w:rFonts w:ascii="Arial" w:hAnsi="Arial" w:cs="Arial"/>
          <w:lang w:val="en-GB"/>
        </w:rPr>
        <w:t>1763</w:t>
      </w:r>
      <w:r w:rsidR="00E242D8">
        <w:rPr>
          <w:rFonts w:ascii="Arial" w:hAnsi="Arial" w:cs="Arial"/>
          <w:lang w:val="en-GB"/>
        </w:rPr>
        <w:t xml:space="preserve"> saw the end of the seven-years’ war between Britain and France. T</w:t>
      </w:r>
      <w:r w:rsidR="00E242D8" w:rsidRPr="00E242D8">
        <w:rPr>
          <w:rFonts w:ascii="Arial" w:hAnsi="Arial" w:cs="Arial"/>
          <w:lang w:val="en-GB"/>
        </w:rPr>
        <w:t xml:space="preserve">he Treaty of Paris </w:t>
      </w:r>
      <w:r w:rsidR="00E242D8">
        <w:rPr>
          <w:rFonts w:ascii="Arial" w:hAnsi="Arial" w:cs="Arial"/>
          <w:lang w:val="en-GB"/>
        </w:rPr>
        <w:t xml:space="preserve">transferred </w:t>
      </w:r>
      <w:r w:rsidR="00637D55">
        <w:rPr>
          <w:rFonts w:ascii="Arial" w:hAnsi="Arial" w:cs="Arial"/>
          <w:lang w:val="en-GB"/>
        </w:rPr>
        <w:t>Florida, parts of India</w:t>
      </w:r>
      <w:r w:rsidR="00E242D8">
        <w:rPr>
          <w:rFonts w:ascii="Arial" w:hAnsi="Arial" w:cs="Arial"/>
          <w:lang w:val="en-GB"/>
        </w:rPr>
        <w:t>, Minorca,</w:t>
      </w:r>
      <w:r w:rsidR="00637D55">
        <w:rPr>
          <w:rFonts w:ascii="Arial" w:hAnsi="Arial" w:cs="Arial"/>
          <w:lang w:val="en-GB"/>
        </w:rPr>
        <w:t xml:space="preserve"> Quebec and the West Indies </w:t>
      </w:r>
      <w:r w:rsidR="00E242D8">
        <w:rPr>
          <w:rFonts w:ascii="Arial" w:hAnsi="Arial" w:cs="Arial"/>
          <w:lang w:val="en-GB"/>
        </w:rPr>
        <w:t>into Britain’s possession</w:t>
      </w:r>
      <w:r w:rsidR="00E242D8" w:rsidRPr="00E242D8">
        <w:rPr>
          <w:rFonts w:ascii="Arial" w:hAnsi="Arial" w:cs="Arial"/>
          <w:lang w:val="en-GB"/>
        </w:rPr>
        <w:t>.</w:t>
      </w:r>
      <w:r w:rsidR="00637D55">
        <w:rPr>
          <w:rFonts w:ascii="Arial" w:hAnsi="Arial" w:cs="Arial"/>
          <w:lang w:val="en-GB"/>
        </w:rPr>
        <w:t xml:space="preserve"> T</w:t>
      </w:r>
      <w:r w:rsidR="006D7D37">
        <w:rPr>
          <w:rFonts w:ascii="Arial" w:hAnsi="Arial" w:cs="Arial"/>
          <w:lang w:val="en-GB"/>
        </w:rPr>
        <w:t>wo seminal moments that sowed the seed of the American revolution also took place</w:t>
      </w:r>
      <w:r w:rsidR="00637D55">
        <w:rPr>
          <w:rFonts w:ascii="Arial" w:hAnsi="Arial" w:cs="Arial"/>
          <w:lang w:val="en-GB"/>
        </w:rPr>
        <w:t xml:space="preserve"> mid-decade</w:t>
      </w:r>
      <w:r w:rsidR="006D7D37">
        <w:rPr>
          <w:rFonts w:ascii="Arial" w:hAnsi="Arial" w:cs="Arial"/>
          <w:lang w:val="en-GB"/>
        </w:rPr>
        <w:t>, namely</w:t>
      </w:r>
      <w:r w:rsidR="00206B0E">
        <w:rPr>
          <w:rFonts w:ascii="Arial" w:hAnsi="Arial" w:cs="Arial"/>
          <w:lang w:val="en-GB"/>
        </w:rPr>
        <w:t>,</w:t>
      </w:r>
      <w:r w:rsidR="006D7D37">
        <w:rPr>
          <w:rFonts w:ascii="Arial" w:hAnsi="Arial" w:cs="Arial"/>
          <w:lang w:val="en-GB"/>
        </w:rPr>
        <w:t xml:space="preserve"> the Stamp Act riots of 176</w:t>
      </w:r>
      <w:r w:rsidR="007F1E54">
        <w:rPr>
          <w:rFonts w:ascii="Arial" w:hAnsi="Arial" w:cs="Arial"/>
          <w:lang w:val="en-GB"/>
        </w:rPr>
        <w:t>5 and the June 176</w:t>
      </w:r>
      <w:r w:rsidR="00637D55">
        <w:rPr>
          <w:rFonts w:ascii="Arial" w:hAnsi="Arial" w:cs="Arial"/>
          <w:lang w:val="en-GB"/>
        </w:rPr>
        <w:t>6 import tax levy</w:t>
      </w:r>
      <w:r w:rsidR="006D7D37">
        <w:rPr>
          <w:rFonts w:ascii="Arial" w:hAnsi="Arial" w:cs="Arial"/>
          <w:lang w:val="en-GB"/>
        </w:rPr>
        <w:t xml:space="preserve"> on American colonist</w:t>
      </w:r>
      <w:r w:rsidR="00637D55">
        <w:rPr>
          <w:rFonts w:ascii="Arial" w:hAnsi="Arial" w:cs="Arial"/>
          <w:lang w:val="en-GB"/>
        </w:rPr>
        <w:t>s</w:t>
      </w:r>
      <w:r w:rsidR="006D7D37">
        <w:rPr>
          <w:rFonts w:ascii="Arial" w:hAnsi="Arial" w:cs="Arial"/>
          <w:lang w:val="en-GB"/>
        </w:rPr>
        <w:t>. In 1768 C</w:t>
      </w:r>
      <w:r w:rsidR="00E242D8">
        <w:rPr>
          <w:rFonts w:ascii="Arial" w:hAnsi="Arial" w:cs="Arial"/>
          <w:lang w:val="en-GB"/>
        </w:rPr>
        <w:t>a</w:t>
      </w:r>
      <w:r w:rsidR="006D7D37">
        <w:rPr>
          <w:rFonts w:ascii="Arial" w:hAnsi="Arial" w:cs="Arial"/>
          <w:lang w:val="en-GB"/>
        </w:rPr>
        <w:t>ptain James Cook</w:t>
      </w:r>
      <w:r w:rsidR="00637D55">
        <w:rPr>
          <w:rFonts w:ascii="Arial" w:hAnsi="Arial" w:cs="Arial"/>
          <w:lang w:val="en-GB"/>
        </w:rPr>
        <w:t xml:space="preserve"> of Whitby</w:t>
      </w:r>
      <w:r w:rsidR="006D7D37">
        <w:rPr>
          <w:rFonts w:ascii="Arial" w:hAnsi="Arial" w:cs="Arial"/>
          <w:lang w:val="en-GB"/>
        </w:rPr>
        <w:t xml:space="preserve"> set sail on HMS “Endeavour” to the South Pacific Ocean</w:t>
      </w:r>
      <w:r w:rsidR="00E242D8">
        <w:rPr>
          <w:rFonts w:ascii="Arial" w:hAnsi="Arial" w:cs="Arial"/>
          <w:lang w:val="en-GB"/>
        </w:rPr>
        <w:t>. No less than six governments held office during the decade</w:t>
      </w:r>
      <w:r w:rsidR="00746F04">
        <w:rPr>
          <w:rFonts w:ascii="Arial" w:hAnsi="Arial" w:cs="Arial"/>
          <w:lang w:val="en-GB"/>
        </w:rPr>
        <w:t>.</w:t>
      </w:r>
    </w:p>
    <w:p w:rsidR="00B1094F" w:rsidRDefault="00B1094F" w:rsidP="00BB662F">
      <w:pPr>
        <w:spacing w:line="360" w:lineRule="auto"/>
        <w:jc w:val="both"/>
        <w:rPr>
          <w:rFonts w:ascii="Arial" w:hAnsi="Arial" w:cs="Arial"/>
          <w:lang w:val="en-GB"/>
        </w:rPr>
      </w:pPr>
    </w:p>
    <w:p w:rsidR="002E2905" w:rsidRDefault="006D7D37" w:rsidP="00BB662F">
      <w:pPr>
        <w:spacing w:line="360" w:lineRule="auto"/>
        <w:jc w:val="both"/>
        <w:rPr>
          <w:rFonts w:ascii="Arial" w:hAnsi="Arial" w:cs="Arial"/>
          <w:lang w:val="en-GB"/>
        </w:rPr>
      </w:pPr>
      <w:r>
        <w:rPr>
          <w:rFonts w:ascii="Arial" w:hAnsi="Arial" w:cs="Arial"/>
          <w:lang w:val="en-GB"/>
        </w:rPr>
        <w:t>It is against this backdrop that we find Mr</w:t>
      </w:r>
      <w:r w:rsidR="00A56187">
        <w:rPr>
          <w:rFonts w:ascii="Arial" w:hAnsi="Arial" w:cs="Arial"/>
          <w:lang w:val="en-GB"/>
        </w:rPr>
        <w:t>.</w:t>
      </w:r>
      <w:r>
        <w:rPr>
          <w:rFonts w:ascii="Arial" w:hAnsi="Arial" w:cs="Arial"/>
          <w:lang w:val="en-GB"/>
        </w:rPr>
        <w:t xml:space="preserve"> Justice Bathurst</w:t>
      </w:r>
      <w:r w:rsidR="00A56187">
        <w:rPr>
          <w:rFonts w:ascii="Arial" w:hAnsi="Arial" w:cs="Arial"/>
          <w:lang w:val="en-GB"/>
        </w:rPr>
        <w:t xml:space="preserve"> (as he then was), a </w:t>
      </w:r>
      <w:proofErr w:type="spellStart"/>
      <w:r w:rsidR="00A20380">
        <w:rPr>
          <w:rFonts w:ascii="Arial" w:hAnsi="Arial" w:cs="Arial"/>
          <w:lang w:val="en-GB"/>
        </w:rPr>
        <w:t>pusine</w:t>
      </w:r>
      <w:proofErr w:type="spellEnd"/>
      <w:r w:rsidR="00A20380">
        <w:rPr>
          <w:rFonts w:ascii="Arial" w:hAnsi="Arial" w:cs="Arial"/>
          <w:lang w:val="en-GB"/>
        </w:rPr>
        <w:t xml:space="preserve"> </w:t>
      </w:r>
      <w:r w:rsidR="00A56187">
        <w:rPr>
          <w:rFonts w:ascii="Arial" w:hAnsi="Arial" w:cs="Arial"/>
          <w:lang w:val="en-GB"/>
        </w:rPr>
        <w:t xml:space="preserve">judge of the Court of Common Pleas, </w:t>
      </w:r>
      <w:r w:rsidR="00637D55">
        <w:rPr>
          <w:rFonts w:ascii="Arial" w:hAnsi="Arial" w:cs="Arial"/>
          <w:lang w:val="en-GB"/>
        </w:rPr>
        <w:t>ensconced</w:t>
      </w:r>
      <w:r>
        <w:rPr>
          <w:rFonts w:ascii="Arial" w:hAnsi="Arial" w:cs="Arial"/>
          <w:lang w:val="en-GB"/>
        </w:rPr>
        <w:t xml:space="preserve"> in Westminster Hall </w:t>
      </w:r>
      <w:r w:rsidR="007B7781">
        <w:rPr>
          <w:rFonts w:ascii="Arial" w:hAnsi="Arial" w:cs="Arial"/>
          <w:lang w:val="en-GB"/>
        </w:rPr>
        <w:t>on the 26</w:t>
      </w:r>
      <w:r w:rsidR="007B7781" w:rsidRPr="007B7781">
        <w:rPr>
          <w:rFonts w:ascii="Arial" w:hAnsi="Arial" w:cs="Arial"/>
          <w:vertAlign w:val="superscript"/>
          <w:lang w:val="en-GB"/>
        </w:rPr>
        <w:t>th</w:t>
      </w:r>
      <w:r w:rsidR="007B7781">
        <w:rPr>
          <w:rFonts w:ascii="Arial" w:hAnsi="Arial" w:cs="Arial"/>
          <w:lang w:val="en-GB"/>
        </w:rPr>
        <w:t xml:space="preserve"> January 1764</w:t>
      </w:r>
      <w:r w:rsidR="00823683">
        <w:rPr>
          <w:rFonts w:ascii="Arial" w:hAnsi="Arial" w:cs="Arial"/>
          <w:lang w:val="en-GB"/>
        </w:rPr>
        <w:t>. Bathurst was</w:t>
      </w:r>
      <w:r w:rsidR="007B7781">
        <w:rPr>
          <w:rFonts w:ascii="Arial" w:hAnsi="Arial" w:cs="Arial"/>
          <w:lang w:val="en-GB"/>
        </w:rPr>
        <w:t xml:space="preserve"> </w:t>
      </w:r>
      <w:r w:rsidR="00823683">
        <w:rPr>
          <w:rFonts w:ascii="Arial" w:hAnsi="Arial" w:cs="Arial"/>
          <w:lang w:val="en-GB"/>
        </w:rPr>
        <w:t>standing in for the</w:t>
      </w:r>
      <w:r w:rsidR="000A19DB">
        <w:rPr>
          <w:rFonts w:ascii="Arial" w:hAnsi="Arial" w:cs="Arial"/>
          <w:lang w:val="en-GB"/>
        </w:rPr>
        <w:t xml:space="preserve"> gout ridden </w:t>
      </w:r>
      <w:r w:rsidR="00A20380">
        <w:rPr>
          <w:rFonts w:ascii="Arial" w:hAnsi="Arial" w:cs="Arial"/>
          <w:lang w:val="en-GB"/>
        </w:rPr>
        <w:t xml:space="preserve">Lord Chancellor </w:t>
      </w:r>
      <w:proofErr w:type="spellStart"/>
      <w:r w:rsidR="00A20380">
        <w:rPr>
          <w:rFonts w:ascii="Arial" w:hAnsi="Arial" w:cs="Arial"/>
          <w:lang w:val="en-GB"/>
        </w:rPr>
        <w:t>Northington</w:t>
      </w:r>
      <w:proofErr w:type="spellEnd"/>
      <w:r w:rsidR="00F65F67">
        <w:rPr>
          <w:rStyle w:val="FootnoteReference"/>
          <w:rFonts w:ascii="Arial" w:hAnsi="Arial" w:cs="Arial"/>
          <w:lang w:val="en-GB"/>
        </w:rPr>
        <w:footnoteReference w:id="3"/>
      </w:r>
      <w:r w:rsidR="00A20380">
        <w:rPr>
          <w:rFonts w:ascii="Arial" w:hAnsi="Arial" w:cs="Arial"/>
          <w:lang w:val="en-GB"/>
        </w:rPr>
        <w:t xml:space="preserve"> in the Court of Chancery and </w:t>
      </w:r>
      <w:r>
        <w:rPr>
          <w:rFonts w:ascii="Arial" w:hAnsi="Arial" w:cs="Arial"/>
          <w:lang w:val="en-GB"/>
        </w:rPr>
        <w:t xml:space="preserve">hearing the facts in the now famous </w:t>
      </w:r>
      <w:proofErr w:type="spellStart"/>
      <w:r w:rsidR="008D6E0C">
        <w:rPr>
          <w:rFonts w:ascii="Arial" w:hAnsi="Arial" w:cs="Arial"/>
          <w:i/>
          <w:lang w:val="en-GB"/>
        </w:rPr>
        <w:t>So</w:t>
      </w:r>
      <w:r w:rsidRPr="006D7D37">
        <w:rPr>
          <w:rFonts w:ascii="Arial" w:hAnsi="Arial" w:cs="Arial"/>
          <w:i/>
          <w:lang w:val="en-GB"/>
        </w:rPr>
        <w:t>lomons</w:t>
      </w:r>
      <w:proofErr w:type="spellEnd"/>
      <w:r w:rsidRPr="006D7D37">
        <w:rPr>
          <w:rFonts w:ascii="Arial" w:hAnsi="Arial" w:cs="Arial"/>
          <w:i/>
          <w:lang w:val="en-GB"/>
        </w:rPr>
        <w:t xml:space="preserve"> v. Ross</w:t>
      </w:r>
      <w:r w:rsidR="00637D55">
        <w:rPr>
          <w:rFonts w:ascii="Arial" w:hAnsi="Arial" w:cs="Arial"/>
          <w:lang w:val="en-GB"/>
        </w:rPr>
        <w:t xml:space="preserve"> case</w:t>
      </w:r>
      <w:r w:rsidR="00BD085A">
        <w:rPr>
          <w:rFonts w:ascii="Arial" w:hAnsi="Arial" w:cs="Arial"/>
          <w:lang w:val="en-GB"/>
        </w:rPr>
        <w:t>.</w:t>
      </w:r>
      <w:r>
        <w:rPr>
          <w:rStyle w:val="FootnoteReference"/>
          <w:rFonts w:ascii="Arial" w:hAnsi="Arial" w:cs="Arial"/>
          <w:lang w:val="en-GB"/>
        </w:rPr>
        <w:footnoteReference w:id="4"/>
      </w:r>
      <w:r w:rsidR="00967C5D">
        <w:rPr>
          <w:rFonts w:ascii="Arial" w:hAnsi="Arial" w:cs="Arial"/>
          <w:lang w:val="en-GB"/>
        </w:rPr>
        <w:t xml:space="preserve"> This </w:t>
      </w:r>
      <w:r w:rsidR="00464617">
        <w:rPr>
          <w:rFonts w:ascii="Arial" w:hAnsi="Arial" w:cs="Arial"/>
          <w:lang w:val="en-GB"/>
        </w:rPr>
        <w:t xml:space="preserve">purportedly </w:t>
      </w:r>
      <w:r w:rsidR="00967C5D">
        <w:rPr>
          <w:rFonts w:ascii="Arial" w:hAnsi="Arial" w:cs="Arial"/>
          <w:lang w:val="en-GB"/>
        </w:rPr>
        <w:t>landmark</w:t>
      </w:r>
      <w:r w:rsidR="00637D55">
        <w:rPr>
          <w:rFonts w:ascii="Arial" w:hAnsi="Arial" w:cs="Arial"/>
          <w:lang w:val="en-GB"/>
        </w:rPr>
        <w:t xml:space="preserve"> cross-border insolvency judgment</w:t>
      </w:r>
      <w:r w:rsidR="00BD085A">
        <w:rPr>
          <w:rFonts w:ascii="Arial" w:hAnsi="Arial" w:cs="Arial"/>
          <w:lang w:val="en-GB"/>
        </w:rPr>
        <w:t xml:space="preserve"> </w:t>
      </w:r>
      <w:r>
        <w:rPr>
          <w:rFonts w:ascii="Arial" w:hAnsi="Arial" w:cs="Arial"/>
          <w:lang w:val="en-GB"/>
        </w:rPr>
        <w:t>stands as the genesis of th</w:t>
      </w:r>
      <w:r w:rsidR="00637D55">
        <w:rPr>
          <w:rFonts w:ascii="Arial" w:hAnsi="Arial" w:cs="Arial"/>
          <w:lang w:val="en-GB"/>
        </w:rPr>
        <w:t xml:space="preserve">e </w:t>
      </w:r>
      <w:r w:rsidR="00A332D6">
        <w:rPr>
          <w:rFonts w:ascii="Arial" w:hAnsi="Arial" w:cs="Arial"/>
          <w:lang w:val="en-GB"/>
        </w:rPr>
        <w:t>“</w:t>
      </w:r>
      <w:r w:rsidR="00637D55">
        <w:rPr>
          <w:rFonts w:ascii="Arial" w:hAnsi="Arial" w:cs="Arial"/>
          <w:lang w:val="en-GB"/>
        </w:rPr>
        <w:t>Golden Thread</w:t>
      </w:r>
      <w:r w:rsidR="00A332D6">
        <w:rPr>
          <w:rFonts w:ascii="Arial" w:hAnsi="Arial" w:cs="Arial"/>
          <w:lang w:val="en-GB"/>
        </w:rPr>
        <w:t>”</w:t>
      </w:r>
      <w:r w:rsidR="00637D55">
        <w:rPr>
          <w:rFonts w:ascii="Arial" w:hAnsi="Arial" w:cs="Arial"/>
          <w:lang w:val="en-GB"/>
        </w:rPr>
        <w:t xml:space="preserve"> of reciprocity</w:t>
      </w:r>
      <w:r w:rsidR="00BD085A">
        <w:rPr>
          <w:rFonts w:ascii="Arial" w:hAnsi="Arial" w:cs="Arial"/>
          <w:lang w:val="en-GB"/>
        </w:rPr>
        <w:t xml:space="preserve"> and recognition</w:t>
      </w:r>
      <w:r w:rsidR="00637D55">
        <w:rPr>
          <w:rFonts w:ascii="Arial" w:hAnsi="Arial" w:cs="Arial"/>
          <w:lang w:val="en-GB"/>
        </w:rPr>
        <w:t xml:space="preserve"> in cases of international insolvency. </w:t>
      </w:r>
    </w:p>
    <w:p w:rsidR="002E2905" w:rsidRDefault="002E2905" w:rsidP="00BB662F">
      <w:pPr>
        <w:spacing w:line="360" w:lineRule="auto"/>
        <w:jc w:val="both"/>
        <w:rPr>
          <w:rFonts w:ascii="Arial" w:hAnsi="Arial" w:cs="Arial"/>
          <w:lang w:val="en-GB"/>
        </w:rPr>
      </w:pPr>
    </w:p>
    <w:p w:rsidR="00072686" w:rsidRDefault="00B1094F" w:rsidP="00BB662F">
      <w:pPr>
        <w:spacing w:line="360" w:lineRule="auto"/>
        <w:jc w:val="both"/>
        <w:rPr>
          <w:rFonts w:ascii="Arial" w:hAnsi="Arial" w:cs="Arial"/>
          <w:lang w:val="en-GB"/>
        </w:rPr>
      </w:pPr>
      <w:r>
        <w:rPr>
          <w:rFonts w:ascii="Arial" w:hAnsi="Arial" w:cs="Arial"/>
          <w:lang w:val="en-GB"/>
        </w:rPr>
        <w:t>I</w:t>
      </w:r>
      <w:r w:rsidR="00485B7E">
        <w:rPr>
          <w:rFonts w:ascii="Arial" w:hAnsi="Arial" w:cs="Arial"/>
          <w:lang w:val="en-GB"/>
        </w:rPr>
        <w:t>nternational</w:t>
      </w:r>
      <w:r>
        <w:rPr>
          <w:rFonts w:ascii="Arial" w:hAnsi="Arial" w:cs="Arial"/>
          <w:lang w:val="en-GB"/>
        </w:rPr>
        <w:t xml:space="preserve"> insolvency</w:t>
      </w:r>
      <w:r w:rsidR="00485B7E">
        <w:rPr>
          <w:rFonts w:ascii="Arial" w:hAnsi="Arial" w:cs="Arial"/>
          <w:lang w:val="en-GB"/>
        </w:rPr>
        <w:t xml:space="preserve"> has a long history. As Fletcher observed in 2016, “</w:t>
      </w:r>
      <w:r>
        <w:rPr>
          <w:rFonts w:ascii="Arial" w:hAnsi="Arial" w:cs="Arial"/>
          <w:lang w:val="en-GB"/>
        </w:rPr>
        <w:t>…i</w:t>
      </w:r>
      <w:r w:rsidR="0039510B">
        <w:rPr>
          <w:rFonts w:ascii="Arial" w:hAnsi="Arial" w:cs="Arial"/>
          <w:lang w:val="en-GB"/>
        </w:rPr>
        <w:t>t is in fact a very old subject that has lasted for many centuries in a somewhat dormant state</w:t>
      </w:r>
      <w:r>
        <w:rPr>
          <w:rFonts w:ascii="Arial" w:hAnsi="Arial" w:cs="Arial"/>
          <w:lang w:val="en-GB"/>
        </w:rPr>
        <w:t>…however, international insolvencies have become very much a thing of the moment.</w:t>
      </w:r>
      <w:r w:rsidR="00485B7E">
        <w:rPr>
          <w:rFonts w:ascii="Arial" w:hAnsi="Arial" w:cs="Arial"/>
          <w:lang w:val="en-GB"/>
        </w:rPr>
        <w:t>”</w:t>
      </w:r>
      <w:r w:rsidR="0039510B">
        <w:rPr>
          <w:rStyle w:val="FootnoteReference"/>
          <w:rFonts w:ascii="Arial" w:hAnsi="Arial" w:cs="Arial"/>
          <w:lang w:val="en-GB"/>
        </w:rPr>
        <w:footnoteReference w:id="5"/>
      </w:r>
      <w:r w:rsidR="00922BAA">
        <w:rPr>
          <w:rFonts w:ascii="Arial" w:hAnsi="Arial" w:cs="Arial"/>
          <w:lang w:val="en-GB"/>
        </w:rPr>
        <w:t xml:space="preserve"> Against this</w:t>
      </w:r>
      <w:r>
        <w:rPr>
          <w:rFonts w:ascii="Arial" w:hAnsi="Arial" w:cs="Arial"/>
          <w:lang w:val="en-GB"/>
        </w:rPr>
        <w:t xml:space="preserve"> </w:t>
      </w:r>
      <w:r w:rsidR="00A332D6">
        <w:rPr>
          <w:rFonts w:ascii="Arial" w:hAnsi="Arial" w:cs="Arial"/>
          <w:lang w:val="en-GB"/>
        </w:rPr>
        <w:t>setting</w:t>
      </w:r>
      <w:r w:rsidR="00922BAA">
        <w:rPr>
          <w:rFonts w:ascii="Arial" w:hAnsi="Arial" w:cs="Arial"/>
          <w:lang w:val="en-GB"/>
        </w:rPr>
        <w:t xml:space="preserve"> of contemporary interest </w:t>
      </w:r>
      <w:r>
        <w:rPr>
          <w:rFonts w:ascii="Arial" w:hAnsi="Arial" w:cs="Arial"/>
          <w:lang w:val="en-GB"/>
        </w:rPr>
        <w:t>t</w:t>
      </w:r>
      <w:r w:rsidR="00072686">
        <w:rPr>
          <w:rFonts w:ascii="Arial" w:hAnsi="Arial" w:cs="Arial"/>
          <w:lang w:val="en-GB"/>
        </w:rPr>
        <w:t>he purpose of this article is</w:t>
      </w:r>
      <w:r w:rsidR="00A332D6">
        <w:rPr>
          <w:rFonts w:ascii="Arial" w:hAnsi="Arial" w:cs="Arial"/>
          <w:lang w:val="en-GB"/>
        </w:rPr>
        <w:t xml:space="preserve"> to revisit these historical root</w:t>
      </w:r>
      <w:r w:rsidR="00072686">
        <w:rPr>
          <w:rFonts w:ascii="Arial" w:hAnsi="Arial" w:cs="Arial"/>
          <w:lang w:val="en-GB"/>
        </w:rPr>
        <w:t>s, or the genesis of cross-border insolvency, to borrow a turn of phrase from Fletcher.</w:t>
      </w:r>
      <w:r w:rsidR="00072686">
        <w:rPr>
          <w:rStyle w:val="FootnoteReference"/>
          <w:rFonts w:ascii="Arial" w:hAnsi="Arial" w:cs="Arial"/>
          <w:lang w:val="en-GB"/>
        </w:rPr>
        <w:footnoteReference w:id="6"/>
      </w:r>
      <w:r w:rsidR="00830CB5">
        <w:rPr>
          <w:rFonts w:ascii="Arial" w:hAnsi="Arial" w:cs="Arial"/>
          <w:lang w:val="en-GB"/>
        </w:rPr>
        <w:t xml:space="preserve"> We </w:t>
      </w:r>
      <w:r w:rsidR="00A332D6">
        <w:rPr>
          <w:rFonts w:ascii="Arial" w:hAnsi="Arial" w:cs="Arial"/>
          <w:lang w:val="en-GB"/>
        </w:rPr>
        <w:t>are seeking the genesis of the Golden T</w:t>
      </w:r>
      <w:r w:rsidR="00830CB5">
        <w:rPr>
          <w:rFonts w:ascii="Arial" w:hAnsi="Arial" w:cs="Arial"/>
          <w:lang w:val="en-GB"/>
        </w:rPr>
        <w:t>hread, namely, that</w:t>
      </w:r>
      <w:r>
        <w:rPr>
          <w:rFonts w:ascii="Arial" w:hAnsi="Arial" w:cs="Arial"/>
          <w:lang w:val="en-GB"/>
        </w:rPr>
        <w:t xml:space="preserve"> principle of English and Welsh insolvency law tha</w:t>
      </w:r>
      <w:r w:rsidR="00460964">
        <w:rPr>
          <w:rFonts w:ascii="Arial" w:hAnsi="Arial" w:cs="Arial"/>
          <w:lang w:val="en-GB"/>
        </w:rPr>
        <w:t xml:space="preserve">t permits recognition of foreign insolvency proceedings, including the remission of assets to that foreign jurisdiction, even if English and Welsh creditors exist and could claim on those assets situated in England and Wales. </w:t>
      </w:r>
    </w:p>
    <w:p w:rsidR="00491472" w:rsidRDefault="00491472" w:rsidP="00BB662F">
      <w:pPr>
        <w:spacing w:line="360" w:lineRule="auto"/>
        <w:jc w:val="both"/>
        <w:rPr>
          <w:rFonts w:ascii="Arial" w:hAnsi="Arial" w:cs="Arial"/>
          <w:lang w:val="en-GB"/>
        </w:rPr>
      </w:pPr>
    </w:p>
    <w:p w:rsidR="00EF4DA4" w:rsidRDefault="001D7C49" w:rsidP="00BB662F">
      <w:pPr>
        <w:spacing w:line="360" w:lineRule="auto"/>
        <w:jc w:val="both"/>
        <w:rPr>
          <w:rFonts w:ascii="Arial" w:hAnsi="Arial" w:cs="Arial"/>
          <w:lang w:val="en-GB"/>
        </w:rPr>
      </w:pPr>
      <w:r>
        <w:rPr>
          <w:rFonts w:ascii="Arial" w:hAnsi="Arial" w:cs="Arial"/>
          <w:lang w:val="en-GB"/>
        </w:rPr>
        <w:t>This article is divided into three</w:t>
      </w:r>
      <w:r w:rsidR="00491472">
        <w:rPr>
          <w:rFonts w:ascii="Arial" w:hAnsi="Arial" w:cs="Arial"/>
          <w:lang w:val="en-GB"/>
        </w:rPr>
        <w:t xml:space="preserve"> parts. Part On</w:t>
      </w:r>
      <w:r w:rsidR="00637D55">
        <w:rPr>
          <w:rFonts w:ascii="Arial" w:hAnsi="Arial" w:cs="Arial"/>
          <w:lang w:val="en-GB"/>
        </w:rPr>
        <w:t>e defines the Golden Thread</w:t>
      </w:r>
      <w:r>
        <w:rPr>
          <w:rFonts w:ascii="Arial" w:hAnsi="Arial" w:cs="Arial"/>
          <w:lang w:val="en-GB"/>
        </w:rPr>
        <w:t xml:space="preserve"> in the context of insolvency in private international law</w:t>
      </w:r>
      <w:r w:rsidR="003C3394">
        <w:rPr>
          <w:rFonts w:ascii="Arial" w:hAnsi="Arial" w:cs="Arial"/>
          <w:lang w:val="en-GB"/>
        </w:rPr>
        <w:t xml:space="preserve"> and sets out the theories of territorialism and universalism and how they have impacted</w:t>
      </w:r>
      <w:r w:rsidR="001165C7">
        <w:rPr>
          <w:rFonts w:ascii="Arial" w:hAnsi="Arial" w:cs="Arial"/>
          <w:lang w:val="en-GB"/>
        </w:rPr>
        <w:t xml:space="preserve"> </w:t>
      </w:r>
      <w:r w:rsidR="003C3394">
        <w:rPr>
          <w:rFonts w:ascii="Arial" w:hAnsi="Arial" w:cs="Arial"/>
          <w:lang w:val="en-GB"/>
        </w:rPr>
        <w:t xml:space="preserve">on </w:t>
      </w:r>
      <w:r w:rsidR="001165C7">
        <w:rPr>
          <w:rFonts w:ascii="Arial" w:hAnsi="Arial" w:cs="Arial"/>
          <w:lang w:val="en-GB"/>
        </w:rPr>
        <w:t xml:space="preserve">English and Welsh law. </w:t>
      </w:r>
    </w:p>
    <w:p w:rsidR="00EF4DA4" w:rsidRDefault="00EF4DA4" w:rsidP="00BB662F">
      <w:pPr>
        <w:spacing w:line="360" w:lineRule="auto"/>
        <w:jc w:val="both"/>
        <w:rPr>
          <w:rFonts w:ascii="Arial" w:hAnsi="Arial" w:cs="Arial"/>
          <w:lang w:val="en-GB"/>
        </w:rPr>
      </w:pPr>
    </w:p>
    <w:p w:rsidR="00EF4DA4" w:rsidRDefault="00637D55" w:rsidP="00BB662F">
      <w:pPr>
        <w:spacing w:line="360" w:lineRule="auto"/>
        <w:jc w:val="both"/>
        <w:rPr>
          <w:rFonts w:ascii="Arial" w:hAnsi="Arial" w:cs="Arial"/>
          <w:lang w:val="en-GB"/>
        </w:rPr>
      </w:pPr>
      <w:r>
        <w:rPr>
          <w:rFonts w:ascii="Arial" w:hAnsi="Arial" w:cs="Arial"/>
          <w:lang w:val="en-GB"/>
        </w:rPr>
        <w:t>Part Two examines the historical foundations of cross border insolvency</w:t>
      </w:r>
      <w:r w:rsidR="001165C7">
        <w:rPr>
          <w:rFonts w:ascii="Arial" w:hAnsi="Arial" w:cs="Arial"/>
          <w:lang w:val="en-GB"/>
        </w:rPr>
        <w:t xml:space="preserve">. Following a brief exposition </w:t>
      </w:r>
      <w:r w:rsidR="003C3394">
        <w:rPr>
          <w:rFonts w:ascii="Arial" w:hAnsi="Arial" w:cs="Arial"/>
          <w:lang w:val="en-GB"/>
        </w:rPr>
        <w:t>of the economic background</w:t>
      </w:r>
      <w:r w:rsidR="001165C7">
        <w:rPr>
          <w:rFonts w:ascii="Arial" w:hAnsi="Arial" w:cs="Arial"/>
          <w:lang w:val="en-GB"/>
        </w:rPr>
        <w:t xml:space="preserve"> during</w:t>
      </w:r>
      <w:r>
        <w:rPr>
          <w:rFonts w:ascii="Arial" w:hAnsi="Arial" w:cs="Arial"/>
          <w:lang w:val="en-GB"/>
        </w:rPr>
        <w:t xml:space="preserve"> the </w:t>
      </w:r>
      <w:r w:rsidR="00A332D6">
        <w:rPr>
          <w:rFonts w:ascii="Arial" w:hAnsi="Arial" w:cs="Arial"/>
          <w:lang w:val="en-GB"/>
        </w:rPr>
        <w:t xml:space="preserve">time </w:t>
      </w:r>
      <w:r w:rsidR="001165C7">
        <w:rPr>
          <w:rFonts w:ascii="Arial" w:hAnsi="Arial" w:cs="Arial"/>
          <w:lang w:val="en-GB"/>
        </w:rPr>
        <w:t xml:space="preserve"> of the </w:t>
      </w:r>
      <w:proofErr w:type="spellStart"/>
      <w:r w:rsidR="001165C7" w:rsidRPr="001165C7">
        <w:rPr>
          <w:rFonts w:ascii="Arial" w:hAnsi="Arial" w:cs="Arial"/>
          <w:i/>
          <w:lang w:val="en-GB"/>
        </w:rPr>
        <w:t>Solomons</w:t>
      </w:r>
      <w:proofErr w:type="spellEnd"/>
      <w:r w:rsidR="001165C7" w:rsidRPr="001165C7">
        <w:rPr>
          <w:rFonts w:ascii="Arial" w:hAnsi="Arial" w:cs="Arial"/>
          <w:i/>
          <w:lang w:val="en-GB"/>
        </w:rPr>
        <w:t xml:space="preserve"> v. Ross</w:t>
      </w:r>
      <w:r w:rsidR="001165C7">
        <w:rPr>
          <w:rFonts w:ascii="Arial" w:hAnsi="Arial" w:cs="Arial"/>
          <w:lang w:val="en-GB"/>
        </w:rPr>
        <w:t xml:space="preserve"> </w:t>
      </w:r>
      <w:r w:rsidR="003C3394">
        <w:rPr>
          <w:rFonts w:ascii="Arial" w:hAnsi="Arial" w:cs="Arial"/>
          <w:lang w:val="en-GB"/>
        </w:rPr>
        <w:t xml:space="preserve">decision </w:t>
      </w:r>
      <w:r w:rsidR="001165C7">
        <w:rPr>
          <w:rFonts w:ascii="Arial" w:hAnsi="Arial" w:cs="Arial"/>
          <w:lang w:val="en-GB"/>
        </w:rPr>
        <w:t xml:space="preserve">there follows </w:t>
      </w:r>
      <w:r>
        <w:rPr>
          <w:rFonts w:ascii="Arial" w:hAnsi="Arial" w:cs="Arial"/>
          <w:lang w:val="en-GB"/>
        </w:rPr>
        <w:t>a biographical exposition of the key judge in our story, namely, Henry Bathurst, 2</w:t>
      </w:r>
      <w:r w:rsidRPr="00637D55">
        <w:rPr>
          <w:rFonts w:ascii="Arial" w:hAnsi="Arial" w:cs="Arial"/>
          <w:vertAlign w:val="superscript"/>
          <w:lang w:val="en-GB"/>
        </w:rPr>
        <w:t>nd</w:t>
      </w:r>
      <w:r w:rsidR="0084220D">
        <w:rPr>
          <w:rFonts w:ascii="Arial" w:hAnsi="Arial" w:cs="Arial"/>
          <w:lang w:val="en-GB"/>
        </w:rPr>
        <w:t xml:space="preserve"> Earl Bath</w:t>
      </w:r>
      <w:r w:rsidR="00C37392">
        <w:rPr>
          <w:rFonts w:ascii="Arial" w:hAnsi="Arial" w:cs="Arial"/>
          <w:lang w:val="en-GB"/>
        </w:rPr>
        <w:t xml:space="preserve">urst, </w:t>
      </w:r>
      <w:r>
        <w:rPr>
          <w:rFonts w:ascii="Arial" w:hAnsi="Arial" w:cs="Arial"/>
          <w:lang w:val="en-GB"/>
        </w:rPr>
        <w:t>sometime Lord Chancellor of England and Wales</w:t>
      </w:r>
      <w:r w:rsidR="001D7C49">
        <w:rPr>
          <w:rFonts w:ascii="Arial" w:hAnsi="Arial" w:cs="Arial"/>
          <w:lang w:val="en-GB"/>
        </w:rPr>
        <w:t>.</w:t>
      </w:r>
      <w:r w:rsidR="00005BAC">
        <w:rPr>
          <w:rStyle w:val="FootnoteReference"/>
          <w:rFonts w:ascii="Arial" w:hAnsi="Arial" w:cs="Arial"/>
          <w:lang w:val="en-GB"/>
        </w:rPr>
        <w:footnoteReference w:id="7"/>
      </w:r>
      <w:r w:rsidR="001D7C49">
        <w:rPr>
          <w:rFonts w:ascii="Arial" w:hAnsi="Arial" w:cs="Arial"/>
          <w:lang w:val="en-GB"/>
        </w:rPr>
        <w:t xml:space="preserve"> </w:t>
      </w:r>
    </w:p>
    <w:p w:rsidR="00EF4DA4" w:rsidRDefault="00EF4DA4" w:rsidP="00BB662F">
      <w:pPr>
        <w:spacing w:line="360" w:lineRule="auto"/>
        <w:jc w:val="both"/>
        <w:rPr>
          <w:rFonts w:ascii="Arial" w:hAnsi="Arial" w:cs="Arial"/>
          <w:lang w:val="en-GB"/>
        </w:rPr>
      </w:pPr>
    </w:p>
    <w:p w:rsidR="00637D55" w:rsidRPr="00746F04" w:rsidRDefault="00637D55" w:rsidP="00BB662F">
      <w:pPr>
        <w:spacing w:line="360" w:lineRule="auto"/>
        <w:jc w:val="both"/>
        <w:rPr>
          <w:rFonts w:ascii="Arial" w:hAnsi="Arial" w:cs="Arial"/>
          <w:color w:val="000000" w:themeColor="text1"/>
          <w:lang w:val="en-GB"/>
        </w:rPr>
      </w:pPr>
      <w:r>
        <w:rPr>
          <w:rFonts w:ascii="Arial" w:hAnsi="Arial" w:cs="Arial"/>
          <w:lang w:val="en-GB"/>
        </w:rPr>
        <w:t>Part Three moves to a close discussion o</w:t>
      </w:r>
      <w:r w:rsidR="009A40F5">
        <w:rPr>
          <w:rFonts w:ascii="Arial" w:hAnsi="Arial" w:cs="Arial"/>
          <w:lang w:val="en-GB"/>
        </w:rPr>
        <w:t xml:space="preserve">f Bathurst’s judgment in </w:t>
      </w:r>
      <w:proofErr w:type="spellStart"/>
      <w:r w:rsidR="009A40F5" w:rsidRPr="001D7C49">
        <w:rPr>
          <w:rFonts w:ascii="Arial" w:hAnsi="Arial" w:cs="Arial"/>
          <w:i/>
          <w:lang w:val="en-GB"/>
        </w:rPr>
        <w:t>Solomons</w:t>
      </w:r>
      <w:proofErr w:type="spellEnd"/>
      <w:r w:rsidR="009A40F5" w:rsidRPr="001D7C49">
        <w:rPr>
          <w:rFonts w:ascii="Arial" w:hAnsi="Arial" w:cs="Arial"/>
          <w:i/>
          <w:lang w:val="en-GB"/>
        </w:rPr>
        <w:t xml:space="preserve"> v. Ross</w:t>
      </w:r>
      <w:r w:rsidR="009A40F5">
        <w:rPr>
          <w:rFonts w:ascii="Arial" w:hAnsi="Arial" w:cs="Arial"/>
          <w:lang w:val="en-GB"/>
        </w:rPr>
        <w:t xml:space="preserve">. </w:t>
      </w:r>
      <w:r w:rsidR="0084220D">
        <w:rPr>
          <w:rFonts w:ascii="Arial" w:hAnsi="Arial" w:cs="Arial"/>
          <w:lang w:val="en-GB"/>
        </w:rPr>
        <w:t>Hitherto unexplored materials relating to the case in</w:t>
      </w:r>
      <w:r w:rsidR="00F002A3">
        <w:rPr>
          <w:rFonts w:ascii="Arial" w:hAnsi="Arial" w:cs="Arial"/>
          <w:lang w:val="en-GB"/>
        </w:rPr>
        <w:t xml:space="preserve">, </w:t>
      </w:r>
      <w:r w:rsidR="00F002A3" w:rsidRPr="00F002A3">
        <w:rPr>
          <w:rFonts w:ascii="Arial" w:hAnsi="Arial" w:cs="Arial"/>
          <w:i/>
          <w:lang w:val="en-GB"/>
        </w:rPr>
        <w:t>inter alia</w:t>
      </w:r>
      <w:r w:rsidR="00F002A3">
        <w:rPr>
          <w:rFonts w:ascii="Arial" w:hAnsi="Arial" w:cs="Arial"/>
          <w:lang w:val="en-GB"/>
        </w:rPr>
        <w:t>,</w:t>
      </w:r>
      <w:r w:rsidR="0084220D">
        <w:rPr>
          <w:rFonts w:ascii="Arial" w:hAnsi="Arial" w:cs="Arial"/>
          <w:lang w:val="en-GB"/>
        </w:rPr>
        <w:t xml:space="preserve"> the National Archive are critically examined. </w:t>
      </w:r>
      <w:r w:rsidR="00EF4DA4">
        <w:rPr>
          <w:rFonts w:ascii="Arial" w:hAnsi="Arial" w:cs="Arial"/>
          <w:lang w:val="en-GB"/>
        </w:rPr>
        <w:t xml:space="preserve">In this part of the article </w:t>
      </w:r>
      <w:r w:rsidR="009A40F5">
        <w:rPr>
          <w:rFonts w:ascii="Arial" w:hAnsi="Arial" w:cs="Arial"/>
          <w:lang w:val="en-GB"/>
        </w:rPr>
        <w:t xml:space="preserve">a critical analysis of the reasoning behind the judgment is undertaken which </w:t>
      </w:r>
      <w:r w:rsidR="00EF4DA4">
        <w:rPr>
          <w:rFonts w:ascii="Arial" w:hAnsi="Arial" w:cs="Arial"/>
          <w:color w:val="000000" w:themeColor="text1"/>
          <w:lang w:val="en-GB"/>
        </w:rPr>
        <w:t>argues</w:t>
      </w:r>
      <w:r w:rsidR="009A40F5" w:rsidRPr="00852361">
        <w:rPr>
          <w:rFonts w:ascii="Arial" w:hAnsi="Arial" w:cs="Arial"/>
          <w:color w:val="000000" w:themeColor="text1"/>
          <w:lang w:val="en-GB"/>
        </w:rPr>
        <w:t xml:space="preserve"> that</w:t>
      </w:r>
      <w:r w:rsidR="00852361" w:rsidRPr="00852361">
        <w:rPr>
          <w:rFonts w:ascii="Arial" w:hAnsi="Arial" w:cs="Arial"/>
          <w:color w:val="000000" w:themeColor="text1"/>
          <w:lang w:val="en-GB"/>
        </w:rPr>
        <w:t xml:space="preserve"> Lord Mansfield</w:t>
      </w:r>
      <w:r w:rsidR="00005BAC">
        <w:rPr>
          <w:rFonts w:ascii="Arial" w:hAnsi="Arial" w:cs="Arial"/>
          <w:color w:val="000000" w:themeColor="text1"/>
          <w:lang w:val="en-GB"/>
        </w:rPr>
        <w:t xml:space="preserve">, </w:t>
      </w:r>
      <w:r w:rsidR="003C3394">
        <w:rPr>
          <w:rFonts w:ascii="Arial" w:hAnsi="Arial" w:cs="Arial"/>
          <w:color w:val="000000" w:themeColor="text1"/>
          <w:lang w:val="en-GB"/>
        </w:rPr>
        <w:t>the</w:t>
      </w:r>
      <w:r w:rsidR="00852361" w:rsidRPr="00852361">
        <w:rPr>
          <w:rFonts w:ascii="Arial" w:hAnsi="Arial" w:cs="Arial"/>
          <w:color w:val="000000" w:themeColor="text1"/>
          <w:lang w:val="en-GB"/>
        </w:rPr>
        <w:t xml:space="preserve"> </w:t>
      </w:r>
      <w:r w:rsidR="00005BAC">
        <w:rPr>
          <w:rFonts w:ascii="Arial" w:hAnsi="Arial" w:cs="Arial"/>
          <w:color w:val="000000" w:themeColor="text1"/>
          <w:lang w:val="en-GB"/>
        </w:rPr>
        <w:t xml:space="preserve">incumbent </w:t>
      </w:r>
      <w:r w:rsidR="00852361" w:rsidRPr="00852361">
        <w:rPr>
          <w:rFonts w:ascii="Arial" w:hAnsi="Arial" w:cs="Arial"/>
          <w:color w:val="000000" w:themeColor="text1"/>
          <w:lang w:val="en-GB"/>
        </w:rPr>
        <w:t>Lord Chief Justice</w:t>
      </w:r>
      <w:r w:rsidR="00005BAC">
        <w:rPr>
          <w:rFonts w:ascii="Arial" w:hAnsi="Arial" w:cs="Arial"/>
          <w:color w:val="000000" w:themeColor="text1"/>
          <w:lang w:val="en-GB"/>
        </w:rPr>
        <w:t xml:space="preserve"> at the time of </w:t>
      </w:r>
      <w:proofErr w:type="spellStart"/>
      <w:r w:rsidR="00005BAC" w:rsidRPr="00005BAC">
        <w:rPr>
          <w:rFonts w:ascii="Arial" w:hAnsi="Arial" w:cs="Arial"/>
          <w:i/>
          <w:color w:val="000000" w:themeColor="text1"/>
          <w:lang w:val="en-GB"/>
        </w:rPr>
        <w:t>Solomons</w:t>
      </w:r>
      <w:proofErr w:type="spellEnd"/>
      <w:r w:rsidR="00005BAC" w:rsidRPr="00005BAC">
        <w:rPr>
          <w:rFonts w:ascii="Arial" w:hAnsi="Arial" w:cs="Arial"/>
          <w:i/>
          <w:color w:val="000000" w:themeColor="text1"/>
          <w:lang w:val="en-GB"/>
        </w:rPr>
        <w:t xml:space="preserve"> v. Ross</w:t>
      </w:r>
      <w:r w:rsidR="00852361" w:rsidRPr="00852361">
        <w:rPr>
          <w:rFonts w:ascii="Arial" w:hAnsi="Arial" w:cs="Arial"/>
          <w:color w:val="000000" w:themeColor="text1"/>
          <w:lang w:val="en-GB"/>
        </w:rPr>
        <w:t>, heavily influenced Bathurst in coming to his judgment</w:t>
      </w:r>
      <w:r w:rsidR="003C3394">
        <w:rPr>
          <w:rFonts w:ascii="Arial" w:hAnsi="Arial" w:cs="Arial"/>
          <w:color w:val="000000" w:themeColor="text1"/>
          <w:lang w:val="en-GB"/>
        </w:rPr>
        <w:t xml:space="preserve"> in </w:t>
      </w:r>
      <w:proofErr w:type="spellStart"/>
      <w:r w:rsidR="003C3394" w:rsidRPr="003C3394">
        <w:rPr>
          <w:rFonts w:ascii="Arial" w:hAnsi="Arial" w:cs="Arial"/>
          <w:i/>
          <w:color w:val="000000" w:themeColor="text1"/>
          <w:lang w:val="en-GB"/>
        </w:rPr>
        <w:t>Solomons</w:t>
      </w:r>
      <w:proofErr w:type="spellEnd"/>
      <w:r w:rsidR="003C3394" w:rsidRPr="003C3394">
        <w:rPr>
          <w:rFonts w:ascii="Arial" w:hAnsi="Arial" w:cs="Arial"/>
          <w:i/>
          <w:color w:val="000000" w:themeColor="text1"/>
          <w:lang w:val="en-GB"/>
        </w:rPr>
        <w:t xml:space="preserve"> v. Ross</w:t>
      </w:r>
      <w:r w:rsidR="00852361" w:rsidRPr="00852361">
        <w:rPr>
          <w:rFonts w:ascii="Arial" w:hAnsi="Arial" w:cs="Arial"/>
          <w:color w:val="000000" w:themeColor="text1"/>
          <w:lang w:val="en-GB"/>
        </w:rPr>
        <w:t xml:space="preserve">. </w:t>
      </w:r>
      <w:r>
        <w:rPr>
          <w:rFonts w:ascii="Arial" w:hAnsi="Arial" w:cs="Arial"/>
          <w:lang w:val="en-GB"/>
        </w:rPr>
        <w:t>A conclusion then follows.</w:t>
      </w:r>
    </w:p>
    <w:p w:rsidR="00147574" w:rsidRDefault="00147574" w:rsidP="00BB662F">
      <w:pPr>
        <w:spacing w:line="360" w:lineRule="auto"/>
        <w:jc w:val="both"/>
        <w:rPr>
          <w:rFonts w:ascii="Arial" w:hAnsi="Arial" w:cs="Arial"/>
          <w:lang w:val="en-GB"/>
        </w:rPr>
      </w:pPr>
    </w:p>
    <w:p w:rsidR="00147574" w:rsidRDefault="00004CAD" w:rsidP="00BB662F">
      <w:pPr>
        <w:spacing w:line="360" w:lineRule="auto"/>
        <w:jc w:val="both"/>
        <w:rPr>
          <w:rFonts w:ascii="Arial" w:hAnsi="Arial" w:cs="Arial"/>
          <w:lang w:val="en-GB"/>
        </w:rPr>
      </w:pPr>
      <w:r>
        <w:rPr>
          <w:rFonts w:ascii="Arial" w:hAnsi="Arial" w:cs="Arial"/>
          <w:lang w:val="en-GB"/>
        </w:rPr>
        <w:lastRenderedPageBreak/>
        <w:t xml:space="preserve">By revisiting </w:t>
      </w:r>
      <w:r w:rsidR="00A332D6">
        <w:rPr>
          <w:rFonts w:ascii="Arial" w:hAnsi="Arial" w:cs="Arial"/>
          <w:lang w:val="en-GB"/>
        </w:rPr>
        <w:t>Ba</w:t>
      </w:r>
      <w:r w:rsidR="00E169A3">
        <w:rPr>
          <w:rFonts w:ascii="Arial" w:hAnsi="Arial" w:cs="Arial"/>
          <w:lang w:val="en-GB"/>
        </w:rPr>
        <w:t xml:space="preserve">thurst’s decision in </w:t>
      </w:r>
      <w:proofErr w:type="spellStart"/>
      <w:r w:rsidR="00E169A3" w:rsidRPr="009A40F5">
        <w:rPr>
          <w:rFonts w:ascii="Arial" w:hAnsi="Arial" w:cs="Arial"/>
          <w:i/>
          <w:lang w:val="en-GB"/>
        </w:rPr>
        <w:t>Solomons</w:t>
      </w:r>
      <w:proofErr w:type="spellEnd"/>
      <w:r w:rsidR="00E169A3" w:rsidRPr="009A40F5">
        <w:rPr>
          <w:rFonts w:ascii="Arial" w:hAnsi="Arial" w:cs="Arial"/>
          <w:i/>
          <w:lang w:val="en-GB"/>
        </w:rPr>
        <w:t xml:space="preserve"> v. Ross</w:t>
      </w:r>
      <w:r w:rsidR="008C64C8">
        <w:rPr>
          <w:rFonts w:ascii="Arial" w:hAnsi="Arial" w:cs="Arial"/>
          <w:lang w:val="en-GB"/>
        </w:rPr>
        <w:t xml:space="preserve">, </w:t>
      </w:r>
      <w:r w:rsidR="00967C5D">
        <w:rPr>
          <w:rFonts w:ascii="Arial" w:hAnsi="Arial" w:cs="Arial"/>
          <w:lang w:val="en-GB"/>
        </w:rPr>
        <w:t xml:space="preserve">and </w:t>
      </w:r>
      <w:r w:rsidR="00E169A3">
        <w:rPr>
          <w:rFonts w:ascii="Arial" w:hAnsi="Arial" w:cs="Arial"/>
          <w:lang w:val="en-GB"/>
        </w:rPr>
        <w:t>analysing</w:t>
      </w:r>
      <w:r w:rsidR="00967C5D">
        <w:rPr>
          <w:rFonts w:ascii="Arial" w:hAnsi="Arial" w:cs="Arial"/>
          <w:lang w:val="en-GB"/>
        </w:rPr>
        <w:t xml:space="preserve">, </w:t>
      </w:r>
      <w:r w:rsidR="00967C5D" w:rsidRPr="00FE3B27">
        <w:rPr>
          <w:rFonts w:ascii="Arial" w:hAnsi="Arial" w:cs="Arial"/>
          <w:i/>
          <w:lang w:val="en-GB"/>
        </w:rPr>
        <w:t>inter alia</w:t>
      </w:r>
      <w:r w:rsidR="00967C5D">
        <w:rPr>
          <w:rFonts w:ascii="Arial" w:hAnsi="Arial" w:cs="Arial"/>
          <w:lang w:val="en-GB"/>
        </w:rPr>
        <w:t>,</w:t>
      </w:r>
      <w:r>
        <w:rPr>
          <w:rFonts w:ascii="Arial" w:hAnsi="Arial" w:cs="Arial"/>
          <w:lang w:val="en-GB"/>
        </w:rPr>
        <w:t xml:space="preserve"> counsel</w:t>
      </w:r>
      <w:r w:rsidR="00E169A3">
        <w:rPr>
          <w:rFonts w:ascii="Arial" w:hAnsi="Arial" w:cs="Arial"/>
          <w:lang w:val="en-GB"/>
        </w:rPr>
        <w:t>s</w:t>
      </w:r>
      <w:r>
        <w:rPr>
          <w:rFonts w:ascii="Arial" w:hAnsi="Arial" w:cs="Arial"/>
          <w:lang w:val="en-GB"/>
        </w:rPr>
        <w:t>’</w:t>
      </w:r>
      <w:r w:rsidR="00E169A3">
        <w:rPr>
          <w:rFonts w:ascii="Arial" w:hAnsi="Arial" w:cs="Arial"/>
          <w:lang w:val="en-GB"/>
        </w:rPr>
        <w:t xml:space="preserve"> argument</w:t>
      </w:r>
      <w:r w:rsidR="00967C5D">
        <w:rPr>
          <w:rFonts w:ascii="Arial" w:hAnsi="Arial" w:cs="Arial"/>
          <w:lang w:val="en-GB"/>
        </w:rPr>
        <w:t>s</w:t>
      </w:r>
      <w:r w:rsidR="008C64C8">
        <w:rPr>
          <w:rFonts w:ascii="Arial" w:hAnsi="Arial" w:cs="Arial"/>
          <w:lang w:val="en-GB"/>
        </w:rPr>
        <w:t>,</w:t>
      </w:r>
      <w:r w:rsidR="001D7C49">
        <w:rPr>
          <w:rStyle w:val="FootnoteReference"/>
          <w:rFonts w:ascii="Arial" w:hAnsi="Arial" w:cs="Arial"/>
          <w:lang w:val="en-GB"/>
        </w:rPr>
        <w:footnoteReference w:id="8"/>
      </w:r>
      <w:r w:rsidR="008C64C8">
        <w:rPr>
          <w:rFonts w:ascii="Arial" w:hAnsi="Arial" w:cs="Arial"/>
          <w:lang w:val="en-GB"/>
        </w:rPr>
        <w:t xml:space="preserve"> </w:t>
      </w:r>
      <w:r w:rsidR="00967C5D">
        <w:rPr>
          <w:rFonts w:ascii="Arial" w:hAnsi="Arial" w:cs="Arial"/>
          <w:lang w:val="en-GB"/>
        </w:rPr>
        <w:t xml:space="preserve">hitherto unexplored </w:t>
      </w:r>
      <w:r w:rsidR="008C64C8">
        <w:rPr>
          <w:rFonts w:ascii="Arial" w:hAnsi="Arial" w:cs="Arial"/>
          <w:lang w:val="en-GB"/>
        </w:rPr>
        <w:t xml:space="preserve">primary source material </w:t>
      </w:r>
      <w:r w:rsidR="008250C7">
        <w:rPr>
          <w:rFonts w:ascii="Arial" w:hAnsi="Arial" w:cs="Arial"/>
          <w:lang w:val="en-GB"/>
        </w:rPr>
        <w:t xml:space="preserve">relating to the case </w:t>
      </w:r>
      <w:r w:rsidR="008C64C8">
        <w:rPr>
          <w:rFonts w:ascii="Arial" w:hAnsi="Arial" w:cs="Arial"/>
          <w:lang w:val="en-GB"/>
        </w:rPr>
        <w:t xml:space="preserve">from the Mayor’s Court of </w:t>
      </w:r>
      <w:r w:rsidR="008250C7">
        <w:rPr>
          <w:rFonts w:ascii="Arial" w:hAnsi="Arial" w:cs="Arial"/>
          <w:lang w:val="en-GB"/>
        </w:rPr>
        <w:t xml:space="preserve">the City of London held in the </w:t>
      </w:r>
      <w:r w:rsidR="00A332D6">
        <w:rPr>
          <w:rFonts w:ascii="Arial" w:hAnsi="Arial" w:cs="Arial"/>
          <w:lang w:val="en-GB"/>
        </w:rPr>
        <w:t xml:space="preserve">London Metropolitan Archive, </w:t>
      </w:r>
      <w:r w:rsidR="008250C7">
        <w:rPr>
          <w:rFonts w:ascii="Arial" w:hAnsi="Arial" w:cs="Arial"/>
          <w:lang w:val="en-GB"/>
        </w:rPr>
        <w:t xml:space="preserve">the Court of Common Pleas records </w:t>
      </w:r>
      <w:r w:rsidR="00A332D6">
        <w:rPr>
          <w:rFonts w:ascii="Arial" w:hAnsi="Arial" w:cs="Arial"/>
          <w:lang w:val="en-GB"/>
        </w:rPr>
        <w:t xml:space="preserve">and the Court of Chancery records </w:t>
      </w:r>
      <w:r w:rsidR="008250C7">
        <w:rPr>
          <w:rFonts w:ascii="Arial" w:hAnsi="Arial" w:cs="Arial"/>
          <w:lang w:val="en-GB"/>
        </w:rPr>
        <w:t>at the National Archive,</w:t>
      </w:r>
      <w:r w:rsidR="000F3239">
        <w:rPr>
          <w:rStyle w:val="FootnoteReference"/>
          <w:rFonts w:ascii="Arial" w:hAnsi="Arial" w:cs="Arial"/>
          <w:lang w:val="en-GB"/>
        </w:rPr>
        <w:footnoteReference w:id="9"/>
      </w:r>
      <w:r w:rsidR="007A642F">
        <w:rPr>
          <w:rFonts w:ascii="Arial" w:hAnsi="Arial" w:cs="Arial"/>
          <w:lang w:val="en-GB"/>
        </w:rPr>
        <w:t xml:space="preserve"> as well as pertinent biographical material,</w:t>
      </w:r>
      <w:r w:rsidR="001D7C49">
        <w:rPr>
          <w:rFonts w:ascii="Arial" w:hAnsi="Arial" w:cs="Arial"/>
          <w:lang w:val="en-GB"/>
        </w:rPr>
        <w:t xml:space="preserve"> </w:t>
      </w:r>
      <w:r w:rsidR="00E169A3">
        <w:rPr>
          <w:rFonts w:ascii="Arial" w:hAnsi="Arial" w:cs="Arial"/>
          <w:lang w:val="en-GB"/>
        </w:rPr>
        <w:t>we can</w:t>
      </w:r>
      <w:r w:rsidR="001D7C49">
        <w:rPr>
          <w:rFonts w:ascii="Arial" w:hAnsi="Arial" w:cs="Arial"/>
          <w:lang w:val="en-GB"/>
        </w:rPr>
        <w:t xml:space="preserve"> shine further</w:t>
      </w:r>
      <w:r w:rsidR="009A40F5">
        <w:rPr>
          <w:rFonts w:ascii="Arial" w:hAnsi="Arial" w:cs="Arial"/>
          <w:lang w:val="en-GB"/>
        </w:rPr>
        <w:t xml:space="preserve"> light on the early beginnings of the subject cross-border insolvency, a subject to which Professor Ian F. Fletcher QC (Hon) contributed so much over his long and distinguished career.</w:t>
      </w:r>
      <w:r w:rsidR="006E511C">
        <w:rPr>
          <w:rFonts w:ascii="Arial" w:hAnsi="Arial" w:cs="Arial"/>
          <w:lang w:val="en-GB"/>
        </w:rPr>
        <w:t xml:space="preserve"> </w:t>
      </w:r>
      <w:r w:rsidR="006E511C" w:rsidRPr="006E511C">
        <w:rPr>
          <w:rFonts w:ascii="Arial" w:hAnsi="Arial" w:cs="Arial"/>
          <w:i/>
          <w:lang w:val="en-GB"/>
        </w:rPr>
        <w:t>Fiat lux</w:t>
      </w:r>
      <w:r w:rsidR="006E511C">
        <w:rPr>
          <w:rFonts w:ascii="Arial" w:hAnsi="Arial" w:cs="Arial"/>
          <w:lang w:val="en-GB"/>
        </w:rPr>
        <w:t xml:space="preserve">, as Fletcher himself once suggested. </w:t>
      </w:r>
      <w:r w:rsidR="009A40F5">
        <w:rPr>
          <w:rFonts w:ascii="Arial" w:hAnsi="Arial" w:cs="Arial"/>
          <w:lang w:val="en-GB"/>
        </w:rPr>
        <w:t xml:space="preserve"> </w:t>
      </w:r>
    </w:p>
    <w:p w:rsidR="00C44CFE" w:rsidRDefault="00C44CFE" w:rsidP="00BB662F">
      <w:pPr>
        <w:spacing w:line="360" w:lineRule="auto"/>
        <w:jc w:val="both"/>
        <w:rPr>
          <w:rFonts w:ascii="Arial" w:hAnsi="Arial" w:cs="Arial"/>
          <w:lang w:val="en-GB"/>
        </w:rPr>
      </w:pPr>
    </w:p>
    <w:p w:rsidR="00C44CFE" w:rsidRPr="00363DB3" w:rsidRDefault="00C44CFE" w:rsidP="00BB662F">
      <w:pPr>
        <w:spacing w:line="360" w:lineRule="auto"/>
        <w:jc w:val="both"/>
        <w:rPr>
          <w:rFonts w:ascii="Arial" w:hAnsi="Arial" w:cs="Arial"/>
          <w:lang w:val="en-GB"/>
        </w:rPr>
      </w:pPr>
    </w:p>
    <w:p w:rsidR="00200792" w:rsidRDefault="00200792" w:rsidP="00BB662F">
      <w:pPr>
        <w:pStyle w:val="ListParagraph"/>
        <w:numPr>
          <w:ilvl w:val="0"/>
          <w:numId w:val="3"/>
        </w:numPr>
        <w:spacing w:line="360" w:lineRule="auto"/>
        <w:jc w:val="both"/>
        <w:rPr>
          <w:rFonts w:ascii="Arial" w:hAnsi="Arial" w:cs="Arial"/>
          <w:b/>
          <w:u w:val="single"/>
          <w:lang w:val="en-GB"/>
        </w:rPr>
      </w:pPr>
      <w:r>
        <w:rPr>
          <w:rFonts w:ascii="Arial" w:hAnsi="Arial" w:cs="Arial"/>
          <w:b/>
          <w:u w:val="single"/>
          <w:lang w:val="en-GB"/>
        </w:rPr>
        <w:t>What is the Golden Thread?</w:t>
      </w:r>
      <w:r w:rsidR="00AB0E9E">
        <w:rPr>
          <w:rStyle w:val="FootnoteReference"/>
          <w:rFonts w:ascii="Arial" w:hAnsi="Arial" w:cs="Arial"/>
          <w:lang w:val="en-GB"/>
        </w:rPr>
        <w:footnoteReference w:id="10"/>
      </w:r>
    </w:p>
    <w:p w:rsidR="00200792" w:rsidRDefault="00200792" w:rsidP="00BB662F">
      <w:pPr>
        <w:spacing w:line="360" w:lineRule="auto"/>
        <w:jc w:val="both"/>
        <w:rPr>
          <w:rFonts w:ascii="Arial" w:hAnsi="Arial" w:cs="Arial"/>
          <w:b/>
          <w:u w:val="single"/>
          <w:lang w:val="en-GB"/>
        </w:rPr>
      </w:pPr>
    </w:p>
    <w:p w:rsidR="00C44CFE" w:rsidRPr="00200792" w:rsidRDefault="0089674E" w:rsidP="00BB662F">
      <w:pPr>
        <w:spacing w:line="360" w:lineRule="auto"/>
        <w:jc w:val="both"/>
        <w:rPr>
          <w:rFonts w:ascii="Arial" w:hAnsi="Arial" w:cs="Arial"/>
          <w:lang w:val="en-GB"/>
        </w:rPr>
      </w:pPr>
      <w:r>
        <w:rPr>
          <w:rFonts w:ascii="Arial" w:hAnsi="Arial" w:cs="Arial"/>
          <w:lang w:val="en-GB"/>
        </w:rPr>
        <w:t xml:space="preserve">This part of the article </w:t>
      </w:r>
      <w:r w:rsidR="00200792" w:rsidRPr="00200792">
        <w:rPr>
          <w:rFonts w:ascii="Arial" w:hAnsi="Arial" w:cs="Arial"/>
          <w:lang w:val="en-GB"/>
        </w:rPr>
        <w:t>engage</w:t>
      </w:r>
      <w:r>
        <w:rPr>
          <w:rFonts w:ascii="Arial" w:hAnsi="Arial" w:cs="Arial"/>
          <w:lang w:val="en-GB"/>
        </w:rPr>
        <w:t xml:space="preserve">s in </w:t>
      </w:r>
      <w:r w:rsidR="00200792" w:rsidRPr="00200792">
        <w:rPr>
          <w:rFonts w:ascii="Arial" w:hAnsi="Arial" w:cs="Arial"/>
          <w:lang w:val="en-GB"/>
        </w:rPr>
        <w:t>scene setting</w:t>
      </w:r>
      <w:r>
        <w:rPr>
          <w:rFonts w:ascii="Arial" w:hAnsi="Arial" w:cs="Arial"/>
          <w:lang w:val="en-GB"/>
        </w:rPr>
        <w:t xml:space="preserve"> activity </w:t>
      </w:r>
      <w:r w:rsidR="00D41352">
        <w:rPr>
          <w:rFonts w:ascii="Arial" w:hAnsi="Arial" w:cs="Arial"/>
          <w:lang w:val="en-GB"/>
        </w:rPr>
        <w:t>to establish what the Golden T</w:t>
      </w:r>
      <w:r w:rsidR="00200792" w:rsidRPr="00200792">
        <w:rPr>
          <w:rFonts w:ascii="Arial" w:hAnsi="Arial" w:cs="Arial"/>
          <w:lang w:val="en-GB"/>
        </w:rPr>
        <w:t>hread is. In so doing we examine the c</w:t>
      </w:r>
      <w:r w:rsidR="00A44A3D" w:rsidRPr="00200792">
        <w:rPr>
          <w:rFonts w:ascii="Arial" w:hAnsi="Arial" w:cs="Arial"/>
          <w:lang w:val="en-GB"/>
        </w:rPr>
        <w:t xml:space="preserve">ompeting </w:t>
      </w:r>
      <w:r w:rsidR="000549BB">
        <w:rPr>
          <w:rFonts w:ascii="Arial" w:hAnsi="Arial" w:cs="Arial"/>
          <w:lang w:val="en-GB"/>
        </w:rPr>
        <w:t xml:space="preserve">theories that regulate </w:t>
      </w:r>
      <w:r w:rsidR="00200792" w:rsidRPr="00200792">
        <w:rPr>
          <w:rFonts w:ascii="Arial" w:hAnsi="Arial" w:cs="Arial"/>
          <w:lang w:val="en-GB"/>
        </w:rPr>
        <w:t>insolvency in p</w:t>
      </w:r>
      <w:r w:rsidR="002C6D60">
        <w:rPr>
          <w:rFonts w:ascii="Arial" w:hAnsi="Arial" w:cs="Arial"/>
          <w:lang w:val="en-GB"/>
        </w:rPr>
        <w:t>rivate i</w:t>
      </w:r>
      <w:r>
        <w:rPr>
          <w:rFonts w:ascii="Arial" w:hAnsi="Arial" w:cs="Arial"/>
          <w:lang w:val="en-GB"/>
        </w:rPr>
        <w:t>nternational l</w:t>
      </w:r>
      <w:r w:rsidR="000549BB">
        <w:rPr>
          <w:rFonts w:ascii="Arial" w:hAnsi="Arial" w:cs="Arial"/>
          <w:lang w:val="en-GB"/>
        </w:rPr>
        <w:t>aw</w:t>
      </w:r>
      <w:r w:rsidR="00200792" w:rsidRPr="00200792">
        <w:rPr>
          <w:rFonts w:ascii="Arial" w:hAnsi="Arial" w:cs="Arial"/>
          <w:lang w:val="en-GB"/>
        </w:rPr>
        <w:t>.</w:t>
      </w:r>
      <w:r w:rsidR="00C713A2">
        <w:rPr>
          <w:rStyle w:val="FootnoteReference"/>
          <w:rFonts w:ascii="Arial" w:hAnsi="Arial" w:cs="Arial"/>
          <w:lang w:val="en-GB"/>
        </w:rPr>
        <w:footnoteReference w:id="11"/>
      </w:r>
      <w:r w:rsidR="00200792" w:rsidRPr="00200792">
        <w:rPr>
          <w:rFonts w:ascii="Arial" w:hAnsi="Arial" w:cs="Arial"/>
          <w:lang w:val="en-GB"/>
        </w:rPr>
        <w:t xml:space="preserve"> This</w:t>
      </w:r>
      <w:r>
        <w:rPr>
          <w:rFonts w:ascii="Arial" w:hAnsi="Arial" w:cs="Arial"/>
          <w:lang w:val="en-GB"/>
        </w:rPr>
        <w:t xml:space="preserve"> exposition</w:t>
      </w:r>
      <w:r w:rsidR="00200792" w:rsidRPr="00200792">
        <w:rPr>
          <w:rFonts w:ascii="Arial" w:hAnsi="Arial" w:cs="Arial"/>
          <w:lang w:val="en-GB"/>
        </w:rPr>
        <w:t xml:space="preserve"> lays the foun</w:t>
      </w:r>
      <w:r w:rsidR="002C6D60">
        <w:rPr>
          <w:rFonts w:ascii="Arial" w:hAnsi="Arial" w:cs="Arial"/>
          <w:lang w:val="en-GB"/>
        </w:rPr>
        <w:t>dation for the rest of the article</w:t>
      </w:r>
      <w:r w:rsidR="00005BAC">
        <w:rPr>
          <w:rFonts w:ascii="Arial" w:hAnsi="Arial" w:cs="Arial"/>
          <w:lang w:val="en-GB"/>
        </w:rPr>
        <w:t xml:space="preserve"> and demonstrates how </w:t>
      </w:r>
      <w:proofErr w:type="spellStart"/>
      <w:r w:rsidR="00005BAC" w:rsidRPr="00005BAC">
        <w:rPr>
          <w:rFonts w:ascii="Arial" w:hAnsi="Arial" w:cs="Arial"/>
          <w:i/>
          <w:lang w:val="en-GB"/>
        </w:rPr>
        <w:t>Solomons</w:t>
      </w:r>
      <w:proofErr w:type="spellEnd"/>
      <w:r w:rsidR="00005BAC" w:rsidRPr="00005BAC">
        <w:rPr>
          <w:rFonts w:ascii="Arial" w:hAnsi="Arial" w:cs="Arial"/>
          <w:i/>
          <w:lang w:val="en-GB"/>
        </w:rPr>
        <w:t xml:space="preserve"> v. Ross</w:t>
      </w:r>
      <w:r w:rsidR="002C6D60">
        <w:rPr>
          <w:rFonts w:ascii="Arial" w:hAnsi="Arial" w:cs="Arial"/>
          <w:lang w:val="en-GB"/>
        </w:rPr>
        <w:t xml:space="preserve">, but most notably earlier decisions of Lord Mansfield, </w:t>
      </w:r>
      <w:r w:rsidR="00005BAC">
        <w:rPr>
          <w:rFonts w:ascii="Arial" w:hAnsi="Arial" w:cs="Arial"/>
          <w:lang w:val="en-GB"/>
        </w:rPr>
        <w:t>stand as the genesis of the Golden Thread</w:t>
      </w:r>
      <w:r w:rsidR="00200792" w:rsidRPr="00200792">
        <w:rPr>
          <w:rFonts w:ascii="Arial" w:hAnsi="Arial" w:cs="Arial"/>
          <w:lang w:val="en-GB"/>
        </w:rPr>
        <w:t xml:space="preserve">. </w:t>
      </w:r>
    </w:p>
    <w:p w:rsidR="00A44A3D" w:rsidRDefault="00A44A3D" w:rsidP="00BB662F">
      <w:pPr>
        <w:spacing w:line="360" w:lineRule="auto"/>
        <w:jc w:val="both"/>
        <w:rPr>
          <w:rFonts w:ascii="Arial" w:hAnsi="Arial" w:cs="Arial"/>
          <w:lang w:val="en-GB"/>
        </w:rPr>
      </w:pPr>
    </w:p>
    <w:p w:rsidR="00A44A3D" w:rsidRDefault="00A44A3D" w:rsidP="00BB662F">
      <w:pPr>
        <w:spacing w:line="360" w:lineRule="auto"/>
        <w:jc w:val="both"/>
        <w:rPr>
          <w:rFonts w:ascii="Arial" w:hAnsi="Arial" w:cs="Arial"/>
          <w:lang w:val="en-GB"/>
        </w:rPr>
      </w:pPr>
      <w:r>
        <w:rPr>
          <w:rFonts w:ascii="Arial" w:hAnsi="Arial" w:cs="Arial"/>
          <w:lang w:val="en-GB"/>
        </w:rPr>
        <w:t>There are a number of theories that</w:t>
      </w:r>
      <w:r w:rsidR="00BA16B9">
        <w:rPr>
          <w:rFonts w:ascii="Arial" w:hAnsi="Arial" w:cs="Arial"/>
          <w:lang w:val="en-GB"/>
        </w:rPr>
        <w:t xml:space="preserve"> have</w:t>
      </w:r>
      <w:r>
        <w:rPr>
          <w:rFonts w:ascii="Arial" w:hAnsi="Arial" w:cs="Arial"/>
          <w:lang w:val="en-GB"/>
        </w:rPr>
        <w:t xml:space="preserve"> influence</w:t>
      </w:r>
      <w:r w:rsidR="00005BAC">
        <w:rPr>
          <w:rFonts w:ascii="Arial" w:hAnsi="Arial" w:cs="Arial"/>
          <w:lang w:val="en-GB"/>
        </w:rPr>
        <w:t>d</w:t>
      </w:r>
      <w:r>
        <w:rPr>
          <w:rFonts w:ascii="Arial" w:hAnsi="Arial" w:cs="Arial"/>
          <w:lang w:val="en-GB"/>
        </w:rPr>
        <w:t xml:space="preserve"> the deployment of cross-border insolvency laws and which make up its very foundation. These move from the broad to the narrow and nuanced. Taking the first broad category, the two main positions are: territorialism and universalism. </w:t>
      </w:r>
    </w:p>
    <w:p w:rsidR="00A44A3D" w:rsidRDefault="00A44A3D" w:rsidP="00BB662F">
      <w:pPr>
        <w:spacing w:line="360" w:lineRule="auto"/>
        <w:jc w:val="both"/>
        <w:rPr>
          <w:rFonts w:ascii="Arial" w:hAnsi="Arial" w:cs="Arial"/>
          <w:lang w:val="en-GB"/>
        </w:rPr>
      </w:pPr>
    </w:p>
    <w:p w:rsidR="00BC1C86" w:rsidRDefault="00BC1C86" w:rsidP="00BB662F">
      <w:pPr>
        <w:spacing w:line="360" w:lineRule="auto"/>
        <w:jc w:val="both"/>
        <w:rPr>
          <w:rFonts w:ascii="Arial" w:hAnsi="Arial" w:cs="Arial"/>
          <w:u w:val="single"/>
          <w:lang w:val="en-GB"/>
        </w:rPr>
      </w:pPr>
    </w:p>
    <w:p w:rsidR="00A44A3D" w:rsidRPr="00D0338C" w:rsidRDefault="00A44A3D" w:rsidP="00BB662F">
      <w:pPr>
        <w:spacing w:line="360" w:lineRule="auto"/>
        <w:jc w:val="both"/>
        <w:rPr>
          <w:rFonts w:ascii="Arial" w:hAnsi="Arial" w:cs="Arial"/>
          <w:u w:val="single"/>
          <w:lang w:val="en-GB"/>
        </w:rPr>
      </w:pPr>
      <w:r w:rsidRPr="00D0338C">
        <w:rPr>
          <w:rFonts w:ascii="Arial" w:hAnsi="Arial" w:cs="Arial"/>
          <w:u w:val="single"/>
          <w:lang w:val="en-GB"/>
        </w:rPr>
        <w:t xml:space="preserve">Territorialism </w:t>
      </w:r>
    </w:p>
    <w:p w:rsidR="00A44A3D" w:rsidRDefault="00A44A3D" w:rsidP="00BB662F">
      <w:pPr>
        <w:spacing w:line="360" w:lineRule="auto"/>
        <w:jc w:val="both"/>
        <w:rPr>
          <w:rFonts w:ascii="Arial" w:hAnsi="Arial" w:cs="Arial"/>
          <w:lang w:val="en-GB"/>
        </w:rPr>
      </w:pPr>
    </w:p>
    <w:p w:rsidR="00A44A3D" w:rsidRDefault="00A44A3D" w:rsidP="00BB662F">
      <w:pPr>
        <w:spacing w:line="360" w:lineRule="auto"/>
        <w:jc w:val="both"/>
        <w:rPr>
          <w:rFonts w:ascii="Arial" w:hAnsi="Arial" w:cs="Arial"/>
          <w:lang w:val="en-GB"/>
        </w:rPr>
      </w:pPr>
      <w:r>
        <w:rPr>
          <w:rFonts w:ascii="Arial" w:hAnsi="Arial" w:cs="Arial"/>
          <w:lang w:val="en-GB"/>
        </w:rPr>
        <w:t>Territorialism places primacy with the mother jurisdiction where the insolvent company is located and where the initial insolvency proceedings are opened. No attention is paid to Foreign interests whilst the insolvency is administered solely in the mother jurisdiction for the benefit of creditors in that jurisdiction using assets in that jurisdiction. The sovereign and supreme home jurisdiction is the key player and anything that usurps the legislative and judicial integrity of that jurisdiction is not tolerated by those who advocate this theoretical approach. There have been a number of critiques of this approach which focus on the delay that can accrue through having to deal with multiple self-interested jurisdictions where assets are located and the damage to value and viability that can flow from that delay.</w:t>
      </w:r>
    </w:p>
    <w:p w:rsidR="00A44A3D" w:rsidRDefault="00A44A3D" w:rsidP="00BB662F">
      <w:pPr>
        <w:spacing w:line="360" w:lineRule="auto"/>
        <w:jc w:val="both"/>
        <w:rPr>
          <w:rFonts w:ascii="Arial" w:hAnsi="Arial" w:cs="Arial"/>
          <w:lang w:val="en-GB"/>
        </w:rPr>
      </w:pPr>
    </w:p>
    <w:p w:rsidR="00C17683" w:rsidRDefault="00BA16B9" w:rsidP="00BB662F">
      <w:pPr>
        <w:spacing w:line="360" w:lineRule="auto"/>
        <w:jc w:val="both"/>
        <w:rPr>
          <w:rFonts w:ascii="Arial" w:hAnsi="Arial" w:cs="Arial"/>
          <w:lang w:val="en-GB"/>
        </w:rPr>
      </w:pPr>
      <w:r>
        <w:rPr>
          <w:rFonts w:ascii="Arial" w:hAnsi="Arial" w:cs="Arial"/>
          <w:lang w:val="en-GB"/>
        </w:rPr>
        <w:t>One mid-</w:t>
      </w:r>
      <w:r w:rsidR="00A44A3D">
        <w:rPr>
          <w:rFonts w:ascii="Arial" w:hAnsi="Arial" w:cs="Arial"/>
          <w:lang w:val="en-GB"/>
        </w:rPr>
        <w:t>19</w:t>
      </w:r>
      <w:r w:rsidR="00A44A3D" w:rsidRPr="00D0338C">
        <w:rPr>
          <w:rFonts w:ascii="Arial" w:hAnsi="Arial" w:cs="Arial"/>
          <w:vertAlign w:val="superscript"/>
          <w:lang w:val="en-GB"/>
        </w:rPr>
        <w:t>th</w:t>
      </w:r>
      <w:r w:rsidR="00A44A3D">
        <w:rPr>
          <w:rFonts w:ascii="Arial" w:hAnsi="Arial" w:cs="Arial"/>
          <w:lang w:val="en-GB"/>
        </w:rPr>
        <w:t xml:space="preserve"> century c</w:t>
      </w:r>
      <w:r w:rsidR="007A0860">
        <w:rPr>
          <w:rFonts w:ascii="Arial" w:hAnsi="Arial" w:cs="Arial"/>
          <w:lang w:val="en-GB"/>
        </w:rPr>
        <w:t>ase</w:t>
      </w:r>
      <w:r w:rsidR="00A44A3D">
        <w:rPr>
          <w:rFonts w:ascii="Arial" w:hAnsi="Arial" w:cs="Arial"/>
          <w:lang w:val="en-GB"/>
        </w:rPr>
        <w:t xml:space="preserve"> perfectly illustrates this nationalistic, inward facing view. In </w:t>
      </w:r>
      <w:r w:rsidR="00A44A3D" w:rsidRPr="00D0338C">
        <w:rPr>
          <w:rFonts w:ascii="Arial" w:hAnsi="Arial" w:cs="Arial"/>
          <w:i/>
          <w:lang w:val="en-GB"/>
        </w:rPr>
        <w:t>Re Oriental</w:t>
      </w:r>
      <w:r w:rsidR="009C167B">
        <w:rPr>
          <w:rFonts w:ascii="Arial" w:hAnsi="Arial" w:cs="Arial"/>
          <w:i/>
          <w:lang w:val="en-GB"/>
        </w:rPr>
        <w:t xml:space="preserve"> Inland Steam Company, ex </w:t>
      </w:r>
      <w:proofErr w:type="spellStart"/>
      <w:r w:rsidR="009C167B">
        <w:rPr>
          <w:rFonts w:ascii="Arial" w:hAnsi="Arial" w:cs="Arial"/>
          <w:i/>
          <w:lang w:val="en-GB"/>
        </w:rPr>
        <w:t>parte</w:t>
      </w:r>
      <w:proofErr w:type="spellEnd"/>
      <w:r w:rsidR="00A44A3D" w:rsidRPr="00D0338C">
        <w:rPr>
          <w:rFonts w:ascii="Arial" w:hAnsi="Arial" w:cs="Arial"/>
          <w:i/>
          <w:lang w:val="en-GB"/>
        </w:rPr>
        <w:t xml:space="preserve"> </w:t>
      </w:r>
      <w:proofErr w:type="spellStart"/>
      <w:r w:rsidR="00A44A3D" w:rsidRPr="00D0338C">
        <w:rPr>
          <w:rFonts w:ascii="Arial" w:hAnsi="Arial" w:cs="Arial"/>
          <w:i/>
          <w:lang w:val="en-GB"/>
        </w:rPr>
        <w:t>Scinde</w:t>
      </w:r>
      <w:proofErr w:type="spellEnd"/>
      <w:r w:rsidR="00A44A3D" w:rsidRPr="00D0338C">
        <w:rPr>
          <w:rFonts w:ascii="Arial" w:hAnsi="Arial" w:cs="Arial"/>
          <w:i/>
          <w:lang w:val="en-GB"/>
        </w:rPr>
        <w:t xml:space="preserve"> Railway Company</w:t>
      </w:r>
      <w:r w:rsidR="00A44A3D">
        <w:rPr>
          <w:rStyle w:val="FootnoteReference"/>
          <w:rFonts w:ascii="Arial" w:hAnsi="Arial" w:cs="Arial"/>
          <w:lang w:val="en-GB"/>
        </w:rPr>
        <w:footnoteReference w:id="12"/>
      </w:r>
      <w:r w:rsidR="00A44A3D">
        <w:rPr>
          <w:rFonts w:ascii="Arial" w:hAnsi="Arial" w:cs="Arial"/>
          <w:i/>
          <w:lang w:val="en-GB"/>
        </w:rPr>
        <w:t xml:space="preserve"> </w:t>
      </w:r>
      <w:r w:rsidR="009C167B">
        <w:rPr>
          <w:rFonts w:ascii="Arial" w:hAnsi="Arial" w:cs="Arial"/>
          <w:lang w:val="en-GB"/>
        </w:rPr>
        <w:t>t</w:t>
      </w:r>
      <w:r w:rsidR="00A44A3D">
        <w:rPr>
          <w:rFonts w:ascii="Arial" w:hAnsi="Arial" w:cs="Arial"/>
          <w:lang w:val="en-GB"/>
        </w:rPr>
        <w:t xml:space="preserve">wo English companies, the </w:t>
      </w:r>
      <w:proofErr w:type="spellStart"/>
      <w:r w:rsidR="00A44A3D">
        <w:rPr>
          <w:rFonts w:ascii="Arial" w:hAnsi="Arial" w:cs="Arial"/>
          <w:lang w:val="en-GB"/>
        </w:rPr>
        <w:t>Scinde</w:t>
      </w:r>
      <w:proofErr w:type="spellEnd"/>
      <w:r w:rsidR="00A44A3D">
        <w:rPr>
          <w:rFonts w:ascii="Arial" w:hAnsi="Arial" w:cs="Arial"/>
          <w:lang w:val="en-GB"/>
        </w:rPr>
        <w:t xml:space="preserve"> Railway Company (SCR) and the Oriental Steam Company (OSC), had their respective head offices in England but carried on business in India.  </w:t>
      </w:r>
    </w:p>
    <w:p w:rsidR="00C17683" w:rsidRDefault="00C17683" w:rsidP="00BB662F">
      <w:pPr>
        <w:spacing w:line="360" w:lineRule="auto"/>
        <w:jc w:val="both"/>
        <w:rPr>
          <w:rFonts w:ascii="Arial" w:hAnsi="Arial" w:cs="Arial"/>
          <w:lang w:val="en-GB"/>
        </w:rPr>
      </w:pPr>
    </w:p>
    <w:p w:rsidR="00A44A3D" w:rsidRDefault="00A44A3D" w:rsidP="00BB662F">
      <w:pPr>
        <w:spacing w:line="360" w:lineRule="auto"/>
        <w:jc w:val="both"/>
        <w:rPr>
          <w:rFonts w:ascii="Arial" w:hAnsi="Arial" w:cs="Arial"/>
          <w:lang w:val="en-GB"/>
        </w:rPr>
      </w:pPr>
      <w:r>
        <w:rPr>
          <w:rFonts w:ascii="Arial" w:hAnsi="Arial" w:cs="Arial"/>
          <w:lang w:val="en-GB"/>
        </w:rPr>
        <w:t>On the 23</w:t>
      </w:r>
      <w:r w:rsidRPr="00B038BE">
        <w:rPr>
          <w:rFonts w:ascii="Arial" w:hAnsi="Arial" w:cs="Arial"/>
          <w:vertAlign w:val="superscript"/>
          <w:lang w:val="en-GB"/>
        </w:rPr>
        <w:t>rd</w:t>
      </w:r>
      <w:r>
        <w:rPr>
          <w:rFonts w:ascii="Arial" w:hAnsi="Arial" w:cs="Arial"/>
          <w:lang w:val="en-GB"/>
        </w:rPr>
        <w:t xml:space="preserve"> </w:t>
      </w:r>
      <w:r w:rsidR="008970FF">
        <w:rPr>
          <w:rFonts w:ascii="Arial" w:hAnsi="Arial" w:cs="Arial"/>
          <w:lang w:val="en-GB"/>
        </w:rPr>
        <w:t xml:space="preserve">May 1867 SRC obtained a </w:t>
      </w:r>
      <w:r>
        <w:rPr>
          <w:rFonts w:ascii="Arial" w:hAnsi="Arial" w:cs="Arial"/>
          <w:lang w:val="en-GB"/>
        </w:rPr>
        <w:t>judgment</w:t>
      </w:r>
      <w:r w:rsidR="008970FF">
        <w:rPr>
          <w:rFonts w:ascii="Arial" w:hAnsi="Arial" w:cs="Arial"/>
          <w:lang w:val="en-GB"/>
        </w:rPr>
        <w:t xml:space="preserve"> in India</w:t>
      </w:r>
      <w:r>
        <w:rPr>
          <w:rFonts w:ascii="Arial" w:hAnsi="Arial" w:cs="Arial"/>
          <w:lang w:val="en-GB"/>
        </w:rPr>
        <w:t xml:space="preserve"> against OSC. Subsequently</w:t>
      </w:r>
      <w:r w:rsidR="00042F08">
        <w:rPr>
          <w:rFonts w:ascii="Arial" w:hAnsi="Arial" w:cs="Arial"/>
          <w:lang w:val="en-GB"/>
        </w:rPr>
        <w:t>,</w:t>
      </w:r>
      <w:r>
        <w:rPr>
          <w:rFonts w:ascii="Arial" w:hAnsi="Arial" w:cs="Arial"/>
          <w:lang w:val="en-GB"/>
        </w:rPr>
        <w:t xml:space="preserve"> a winding up order was made in England on the 8</w:t>
      </w:r>
      <w:r w:rsidRPr="00B038BE">
        <w:rPr>
          <w:rFonts w:ascii="Arial" w:hAnsi="Arial" w:cs="Arial"/>
          <w:vertAlign w:val="superscript"/>
          <w:lang w:val="en-GB"/>
        </w:rPr>
        <w:t>th</w:t>
      </w:r>
      <w:r>
        <w:rPr>
          <w:rFonts w:ascii="Arial" w:hAnsi="Arial" w:cs="Arial"/>
          <w:lang w:val="en-GB"/>
        </w:rPr>
        <w:t xml:space="preserve"> November 1867 against OSC. SCR proved for their debt in England in the English liquidation. Simultaneously</w:t>
      </w:r>
      <w:r w:rsidR="008970FF">
        <w:rPr>
          <w:rFonts w:ascii="Arial" w:hAnsi="Arial" w:cs="Arial"/>
          <w:lang w:val="en-GB"/>
        </w:rPr>
        <w:t>,</w:t>
      </w:r>
      <w:r>
        <w:rPr>
          <w:rFonts w:ascii="Arial" w:hAnsi="Arial" w:cs="Arial"/>
          <w:lang w:val="en-GB"/>
        </w:rPr>
        <w:t xml:space="preserve"> SCR proceeded under the Indian judgment and attached property in India that belonged to OSC. SCR were then ordered to withdraw their attachments and the Liquidator was directed to pay SCR from the proceeds of sale of the Indian assets. </w:t>
      </w:r>
    </w:p>
    <w:p w:rsidR="00A44A3D" w:rsidRDefault="00A44A3D" w:rsidP="00BB662F">
      <w:pPr>
        <w:spacing w:line="360" w:lineRule="auto"/>
        <w:jc w:val="both"/>
        <w:rPr>
          <w:rFonts w:ascii="Arial" w:hAnsi="Arial" w:cs="Arial"/>
          <w:lang w:val="en-GB"/>
        </w:rPr>
      </w:pPr>
    </w:p>
    <w:p w:rsidR="00A44A3D" w:rsidRDefault="00A44A3D" w:rsidP="00BB662F">
      <w:pPr>
        <w:spacing w:line="360" w:lineRule="auto"/>
        <w:jc w:val="both"/>
        <w:rPr>
          <w:rFonts w:ascii="Arial" w:hAnsi="Arial" w:cs="Arial"/>
          <w:color w:val="FF0000"/>
          <w:lang w:val="en-GB"/>
        </w:rPr>
      </w:pPr>
      <w:r>
        <w:rPr>
          <w:rFonts w:ascii="Arial" w:hAnsi="Arial" w:cs="Arial"/>
          <w:lang w:val="en-GB"/>
        </w:rPr>
        <w:t xml:space="preserve">The Liquidator appealed arguing that SCR should repay the money. </w:t>
      </w:r>
      <w:r w:rsidRPr="00E51F70">
        <w:rPr>
          <w:rFonts w:ascii="Arial" w:hAnsi="Arial" w:cs="Arial"/>
          <w:lang w:val="en-GB"/>
        </w:rPr>
        <w:t xml:space="preserve">Vice-Chancellor </w:t>
      </w:r>
      <w:proofErr w:type="spellStart"/>
      <w:r w:rsidRPr="00E51F70">
        <w:rPr>
          <w:rFonts w:ascii="Arial" w:hAnsi="Arial" w:cs="Arial"/>
          <w:lang w:val="en-GB"/>
        </w:rPr>
        <w:t>Mallins</w:t>
      </w:r>
      <w:proofErr w:type="spellEnd"/>
      <w:r w:rsidRPr="00E51F70">
        <w:rPr>
          <w:rFonts w:ascii="Arial" w:hAnsi="Arial" w:cs="Arial"/>
          <w:lang w:val="en-GB"/>
        </w:rPr>
        <w:t xml:space="preserve"> </w:t>
      </w:r>
      <w:r>
        <w:rPr>
          <w:rFonts w:ascii="Arial" w:hAnsi="Arial" w:cs="Arial"/>
          <w:lang w:val="en-GB"/>
        </w:rPr>
        <w:t>agreed and made the requisite order. SCR appealed again and the case came before the Court of Appeal. James, LJ affirmed the Vice-Chancellor’s order and held that judgment creditors who have proved in the English liquidation are not allowed to attach to property in an alternative jurisdiction, in this case India, so as to “</w:t>
      </w:r>
      <w:r w:rsidRPr="00E51F70">
        <w:rPr>
          <w:rFonts w:ascii="Arial" w:hAnsi="Arial" w:cs="Arial"/>
          <w:lang w:val="en-GB"/>
        </w:rPr>
        <w:t>get any priority over their fellow creditors by reason of their having got poss</w:t>
      </w:r>
      <w:r>
        <w:rPr>
          <w:rFonts w:ascii="Arial" w:hAnsi="Arial" w:cs="Arial"/>
          <w:lang w:val="en-GB"/>
        </w:rPr>
        <w:t xml:space="preserve">ession of the assets </w:t>
      </w:r>
      <w:r>
        <w:rPr>
          <w:rFonts w:ascii="Arial" w:hAnsi="Arial" w:cs="Arial"/>
          <w:lang w:val="en-GB"/>
        </w:rPr>
        <w:lastRenderedPageBreak/>
        <w:t>in this way”</w:t>
      </w:r>
      <w:r>
        <w:rPr>
          <w:rStyle w:val="FootnoteReference"/>
          <w:rFonts w:ascii="Arial" w:hAnsi="Arial" w:cs="Arial"/>
          <w:lang w:val="en-GB"/>
        </w:rPr>
        <w:footnoteReference w:id="13"/>
      </w:r>
      <w:r>
        <w:rPr>
          <w:rFonts w:ascii="Arial" w:hAnsi="Arial" w:cs="Arial"/>
          <w:lang w:val="en-GB"/>
        </w:rPr>
        <w:t xml:space="preserve"> He continued, “</w:t>
      </w:r>
      <w:r w:rsidRPr="00E51F70">
        <w:rPr>
          <w:rFonts w:ascii="Arial" w:hAnsi="Arial" w:cs="Arial"/>
          <w:lang w:val="en-GB"/>
        </w:rPr>
        <w:t>the assets must be distributed in Englan</w:t>
      </w:r>
      <w:r>
        <w:rPr>
          <w:rFonts w:ascii="Arial" w:hAnsi="Arial" w:cs="Arial"/>
          <w:lang w:val="en-GB"/>
        </w:rPr>
        <w:t>d upon the footing of equality”.</w:t>
      </w:r>
      <w:r>
        <w:rPr>
          <w:rStyle w:val="FootnoteReference"/>
          <w:rFonts w:ascii="Arial" w:hAnsi="Arial" w:cs="Arial"/>
          <w:lang w:val="en-GB"/>
        </w:rPr>
        <w:footnoteReference w:id="14"/>
      </w:r>
    </w:p>
    <w:p w:rsidR="00A44A3D" w:rsidRDefault="00A44A3D" w:rsidP="00BB662F">
      <w:pPr>
        <w:spacing w:line="360" w:lineRule="auto"/>
        <w:jc w:val="both"/>
        <w:rPr>
          <w:rFonts w:ascii="Arial" w:hAnsi="Arial" w:cs="Arial"/>
          <w:color w:val="FF0000"/>
          <w:lang w:val="en-GB"/>
        </w:rPr>
      </w:pPr>
    </w:p>
    <w:p w:rsidR="00A44A3D" w:rsidRDefault="00A44A3D" w:rsidP="00BB662F">
      <w:pPr>
        <w:spacing w:line="360" w:lineRule="auto"/>
        <w:jc w:val="both"/>
        <w:rPr>
          <w:rFonts w:ascii="Arial" w:hAnsi="Arial" w:cs="Arial"/>
          <w:lang w:val="en-GB"/>
        </w:rPr>
      </w:pPr>
      <w:r>
        <w:rPr>
          <w:rFonts w:ascii="Arial" w:hAnsi="Arial" w:cs="Arial"/>
          <w:lang w:val="en-GB"/>
        </w:rPr>
        <w:t xml:space="preserve">It is an axiom that sovereign States prefer not to have their internal legal regimes subverted by the laws of another State. Territorial limits are sacrosanct. Interference with assets and natural persons within that jurisdiction is strictly prohibited through </w:t>
      </w:r>
      <w:proofErr w:type="spellStart"/>
      <w:r>
        <w:rPr>
          <w:rFonts w:ascii="Arial" w:hAnsi="Arial" w:cs="Arial"/>
          <w:lang w:val="en-GB"/>
        </w:rPr>
        <w:t>territor</w:t>
      </w:r>
      <w:r w:rsidR="00BA16B9">
        <w:rPr>
          <w:rFonts w:ascii="Arial" w:hAnsi="Arial" w:cs="Arial"/>
          <w:lang w:val="en-GB"/>
        </w:rPr>
        <w:t>ialists</w:t>
      </w:r>
      <w:proofErr w:type="spellEnd"/>
      <w:r w:rsidR="00BA16B9">
        <w:rPr>
          <w:rFonts w:ascii="Arial" w:hAnsi="Arial" w:cs="Arial"/>
          <w:lang w:val="en-GB"/>
        </w:rPr>
        <w:t>’ vision of international insolvency</w:t>
      </w:r>
      <w:r>
        <w:rPr>
          <w:rFonts w:ascii="Arial" w:hAnsi="Arial" w:cs="Arial"/>
          <w:lang w:val="en-GB"/>
        </w:rPr>
        <w:t xml:space="preserve"> law. This interference, particularly in relation to the rights of the natural person, sits behind Lord Collins’ stern rejection of universalism in </w:t>
      </w:r>
      <w:r w:rsidRPr="007349A4">
        <w:rPr>
          <w:rFonts w:ascii="Arial" w:hAnsi="Arial" w:cs="Arial"/>
          <w:i/>
          <w:lang w:val="en-GB"/>
        </w:rPr>
        <w:t>Rubin</w:t>
      </w:r>
      <w:r w:rsidR="00D41352">
        <w:rPr>
          <w:rStyle w:val="FootnoteReference"/>
          <w:rFonts w:ascii="Arial" w:hAnsi="Arial" w:cs="Arial"/>
          <w:i/>
          <w:lang w:val="en-GB"/>
        </w:rPr>
        <w:footnoteReference w:id="15"/>
      </w:r>
      <w:r>
        <w:rPr>
          <w:rFonts w:ascii="Arial" w:hAnsi="Arial" w:cs="Arial"/>
          <w:lang w:val="en-GB"/>
        </w:rPr>
        <w:t xml:space="preserve"> and the counter reformati</w:t>
      </w:r>
      <w:r w:rsidR="00D41352">
        <w:rPr>
          <w:rFonts w:ascii="Arial" w:hAnsi="Arial" w:cs="Arial"/>
          <w:lang w:val="en-GB"/>
        </w:rPr>
        <w:t>on of territorialism</w:t>
      </w:r>
      <w:r>
        <w:rPr>
          <w:rFonts w:ascii="Arial" w:hAnsi="Arial" w:cs="Arial"/>
          <w:lang w:val="en-GB"/>
        </w:rPr>
        <w:t>. Legislative action can only stretch the effect of these foreign laws.</w:t>
      </w:r>
    </w:p>
    <w:p w:rsidR="00A44A3D" w:rsidRDefault="00A44A3D" w:rsidP="00BB662F">
      <w:pPr>
        <w:spacing w:line="360" w:lineRule="auto"/>
        <w:jc w:val="both"/>
        <w:rPr>
          <w:rFonts w:ascii="Arial" w:hAnsi="Arial" w:cs="Arial"/>
          <w:lang w:val="en-GB"/>
        </w:rPr>
      </w:pPr>
    </w:p>
    <w:p w:rsidR="00A44A3D" w:rsidRPr="00E51F70" w:rsidRDefault="00A44A3D" w:rsidP="00BB662F">
      <w:pPr>
        <w:spacing w:line="360" w:lineRule="auto"/>
        <w:jc w:val="both"/>
        <w:rPr>
          <w:rFonts w:ascii="Arial" w:hAnsi="Arial" w:cs="Arial"/>
          <w:lang w:val="en-GB"/>
        </w:rPr>
      </w:pPr>
      <w:r>
        <w:rPr>
          <w:rFonts w:ascii="Arial" w:hAnsi="Arial" w:cs="Arial"/>
          <w:lang w:val="en-GB"/>
        </w:rPr>
        <w:t>Territorialism also reflects the selfish nature of creditors.</w:t>
      </w:r>
      <w:r>
        <w:rPr>
          <w:rStyle w:val="FootnoteReference"/>
          <w:rFonts w:ascii="Arial" w:hAnsi="Arial" w:cs="Arial"/>
          <w:lang w:val="en-GB"/>
        </w:rPr>
        <w:footnoteReference w:id="16"/>
      </w:r>
      <w:r>
        <w:rPr>
          <w:rFonts w:ascii="Arial" w:hAnsi="Arial" w:cs="Arial"/>
          <w:lang w:val="en-GB"/>
        </w:rPr>
        <w:t xml:space="preserve"> Assets in a given jurisdiction are to be for the creditors in that jurisdiction. This of course ignores the wider value increases that could be obtained on pooling international assets. This is then a myopic and damaging view. It is a view however which reflects the long held view</w:t>
      </w:r>
      <w:r>
        <w:rPr>
          <w:rStyle w:val="FootnoteReference"/>
          <w:rFonts w:ascii="Arial" w:hAnsi="Arial" w:cs="Arial"/>
          <w:lang w:val="en-GB"/>
        </w:rPr>
        <w:footnoteReference w:id="17"/>
      </w:r>
      <w:r>
        <w:rPr>
          <w:rFonts w:ascii="Arial" w:hAnsi="Arial" w:cs="Arial"/>
          <w:lang w:val="en-GB"/>
        </w:rPr>
        <w:t xml:space="preserve"> which has been acknowledged that recovering assets situated abroad is a close to impossible task. </w:t>
      </w:r>
    </w:p>
    <w:p w:rsidR="00A44A3D" w:rsidRDefault="00A44A3D" w:rsidP="00BB662F">
      <w:pPr>
        <w:spacing w:line="360" w:lineRule="auto"/>
        <w:jc w:val="both"/>
        <w:rPr>
          <w:rFonts w:ascii="Arial" w:hAnsi="Arial" w:cs="Arial"/>
          <w:lang w:val="en-GB"/>
        </w:rPr>
      </w:pPr>
    </w:p>
    <w:p w:rsidR="00A44A3D" w:rsidRDefault="00A44A3D" w:rsidP="00BB662F">
      <w:pPr>
        <w:spacing w:line="360" w:lineRule="auto"/>
        <w:jc w:val="both"/>
        <w:rPr>
          <w:rFonts w:ascii="Arial" w:hAnsi="Arial" w:cs="Arial"/>
          <w:u w:val="single"/>
          <w:lang w:val="en-GB"/>
        </w:rPr>
      </w:pPr>
    </w:p>
    <w:p w:rsidR="00A44A3D" w:rsidRDefault="00A44A3D" w:rsidP="00BB662F">
      <w:pPr>
        <w:spacing w:line="360" w:lineRule="auto"/>
        <w:jc w:val="both"/>
        <w:rPr>
          <w:rFonts w:ascii="Arial" w:hAnsi="Arial" w:cs="Arial"/>
          <w:u w:val="single"/>
          <w:lang w:val="en-GB"/>
        </w:rPr>
      </w:pPr>
      <w:r w:rsidRPr="00D0338C">
        <w:rPr>
          <w:rFonts w:ascii="Arial" w:hAnsi="Arial" w:cs="Arial"/>
          <w:u w:val="single"/>
          <w:lang w:val="en-GB"/>
        </w:rPr>
        <w:t>Universalism</w:t>
      </w:r>
      <w:r w:rsidRPr="00312F0F">
        <w:rPr>
          <w:rStyle w:val="FootnoteReference"/>
          <w:rFonts w:ascii="Arial" w:hAnsi="Arial" w:cs="Arial"/>
          <w:lang w:val="en-GB"/>
        </w:rPr>
        <w:footnoteReference w:id="18"/>
      </w:r>
      <w:r w:rsidRPr="00312F0F">
        <w:rPr>
          <w:rFonts w:ascii="Arial" w:hAnsi="Arial" w:cs="Arial"/>
          <w:lang w:val="en-GB"/>
        </w:rPr>
        <w:t xml:space="preserve"> </w:t>
      </w:r>
    </w:p>
    <w:p w:rsidR="00A44A3D" w:rsidRPr="00D0338C" w:rsidRDefault="00A44A3D" w:rsidP="00BB662F">
      <w:pPr>
        <w:spacing w:line="360" w:lineRule="auto"/>
        <w:jc w:val="both"/>
        <w:rPr>
          <w:rFonts w:ascii="Arial" w:hAnsi="Arial" w:cs="Arial"/>
          <w:u w:val="single"/>
          <w:lang w:val="en-GB"/>
        </w:rPr>
      </w:pPr>
    </w:p>
    <w:p w:rsidR="00A44A3D" w:rsidRDefault="00A44A3D" w:rsidP="00BB662F">
      <w:pPr>
        <w:spacing w:line="360" w:lineRule="auto"/>
        <w:jc w:val="both"/>
        <w:rPr>
          <w:rFonts w:ascii="Arial" w:hAnsi="Arial" w:cs="Arial"/>
          <w:lang w:val="en-GB"/>
        </w:rPr>
      </w:pPr>
      <w:r>
        <w:rPr>
          <w:rFonts w:ascii="Arial" w:hAnsi="Arial" w:cs="Arial"/>
          <w:lang w:val="en-GB"/>
        </w:rPr>
        <w:t>There is an alternative view which recognises that business is undertaken on a global stage and a view that is perhaps les</w:t>
      </w:r>
      <w:r w:rsidR="00B67AE5">
        <w:rPr>
          <w:rFonts w:ascii="Arial" w:hAnsi="Arial" w:cs="Arial"/>
          <w:lang w:val="en-GB"/>
        </w:rPr>
        <w:t>s nationally insecure, i.e.</w:t>
      </w:r>
      <w:r>
        <w:rPr>
          <w:rFonts w:ascii="Arial" w:hAnsi="Arial" w:cs="Arial"/>
          <w:lang w:val="en-GB"/>
        </w:rPr>
        <w:t xml:space="preserve"> its openness reflects trust and confidence in its insolvency systems and courts and the respect that they both garner world-wide. This theory is represented by the term Universalism. </w:t>
      </w:r>
      <w:r>
        <w:rPr>
          <w:rFonts w:ascii="Arial" w:hAnsi="Arial" w:cs="Arial"/>
          <w:lang w:val="en-GB"/>
        </w:rPr>
        <w:lastRenderedPageBreak/>
        <w:t>Universalism is less parochial and is therefore more attractive as it advocates the idea that the courts should be outward looking and facilitative of insolvency procedures, even those which are afoot in different jurisdictions. If Brexit is indicative of a little Englander parochial inward looking attitude,</w:t>
      </w:r>
      <w:r w:rsidR="00B67AE5">
        <w:rPr>
          <w:rStyle w:val="FootnoteReference"/>
          <w:rFonts w:ascii="Arial" w:hAnsi="Arial" w:cs="Arial"/>
          <w:lang w:val="en-GB"/>
        </w:rPr>
        <w:footnoteReference w:id="19"/>
      </w:r>
      <w:r>
        <w:rPr>
          <w:rFonts w:ascii="Arial" w:hAnsi="Arial" w:cs="Arial"/>
          <w:lang w:val="en-GB"/>
        </w:rPr>
        <w:t xml:space="preserve"> exemplified in the cross-border insolvency context by the territorialism theory, then universalism is the tonic to rouse debtors and creditors from this myopic and ultimately destructive view. The damage that flows from insularity is discussed below.  </w:t>
      </w:r>
    </w:p>
    <w:p w:rsidR="00A44A3D" w:rsidRDefault="00A44A3D" w:rsidP="00BB662F">
      <w:pPr>
        <w:spacing w:line="360" w:lineRule="auto"/>
        <w:jc w:val="both"/>
        <w:rPr>
          <w:rFonts w:ascii="Arial" w:hAnsi="Arial" w:cs="Arial"/>
          <w:lang w:val="en-GB"/>
        </w:rPr>
      </w:pPr>
    </w:p>
    <w:p w:rsidR="00A44A3D" w:rsidRDefault="00A44A3D" w:rsidP="00BB662F">
      <w:pPr>
        <w:spacing w:line="360" w:lineRule="auto"/>
        <w:jc w:val="both"/>
        <w:rPr>
          <w:rFonts w:ascii="Arial" w:hAnsi="Arial" w:cs="Arial"/>
          <w:lang w:val="en-GB"/>
        </w:rPr>
      </w:pPr>
      <w:r>
        <w:rPr>
          <w:rFonts w:ascii="Arial" w:hAnsi="Arial" w:cs="Arial"/>
          <w:lang w:val="en-GB"/>
        </w:rPr>
        <w:t>At its core universalism recognises that all of the assets of the company, no matter where they are situated, should come to be dealt with by one procedure and by one officeholder in one jurisdiction. In this sense there is one officeholder to take charge of all the assets to whom all creditors must prove; one officeholder who must find all the assets; one procedure to deal with all the creditors and assets and; one jurisdiction to deal with any arguments between creditors and bind them in formal agreement pursuant to one insolvency regime. This universal approach takes place on a world-wide basis. Reciprocity and collaboration are the key watchwords of universalism, an approach that has been adopted by the United Kingdom</w:t>
      </w:r>
      <w:r>
        <w:rPr>
          <w:rStyle w:val="FootnoteReference"/>
          <w:rFonts w:ascii="Arial" w:hAnsi="Arial" w:cs="Arial"/>
          <w:lang w:val="en-GB"/>
        </w:rPr>
        <w:footnoteReference w:id="20"/>
      </w:r>
      <w:r>
        <w:rPr>
          <w:rFonts w:ascii="Arial" w:hAnsi="Arial" w:cs="Arial"/>
          <w:lang w:val="en-GB"/>
        </w:rPr>
        <w:t xml:space="preserve"> and which is also reflected in European Union approaches to cross-border in</w:t>
      </w:r>
      <w:r w:rsidR="00C25446">
        <w:rPr>
          <w:rFonts w:ascii="Arial" w:hAnsi="Arial" w:cs="Arial"/>
          <w:lang w:val="en-GB"/>
        </w:rPr>
        <w:t xml:space="preserve">solvency </w:t>
      </w:r>
      <w:r>
        <w:rPr>
          <w:rFonts w:ascii="Arial" w:hAnsi="Arial" w:cs="Arial"/>
          <w:lang w:val="en-GB"/>
        </w:rPr>
        <w:t>including judgments of the European Court of Justice (ECJ).</w:t>
      </w:r>
      <w:r>
        <w:rPr>
          <w:rStyle w:val="FootnoteReference"/>
          <w:rFonts w:ascii="Arial" w:hAnsi="Arial" w:cs="Arial"/>
          <w:lang w:val="en-GB"/>
        </w:rPr>
        <w:footnoteReference w:id="21"/>
      </w:r>
      <w:r>
        <w:rPr>
          <w:rFonts w:ascii="Arial" w:hAnsi="Arial" w:cs="Arial"/>
          <w:lang w:val="en-GB"/>
        </w:rPr>
        <w:t xml:space="preserve"> </w:t>
      </w:r>
    </w:p>
    <w:p w:rsidR="00A44A3D" w:rsidRDefault="00A44A3D" w:rsidP="00BB662F">
      <w:pPr>
        <w:spacing w:line="360" w:lineRule="auto"/>
        <w:jc w:val="both"/>
        <w:rPr>
          <w:rFonts w:ascii="Arial" w:hAnsi="Arial" w:cs="Arial"/>
          <w:lang w:val="en-GB"/>
        </w:rPr>
      </w:pPr>
    </w:p>
    <w:p w:rsidR="00A44A3D" w:rsidRDefault="00A44A3D" w:rsidP="00BB662F">
      <w:pPr>
        <w:spacing w:line="360" w:lineRule="auto"/>
        <w:jc w:val="both"/>
        <w:rPr>
          <w:rFonts w:ascii="Arial" w:hAnsi="Arial" w:cs="Arial"/>
          <w:lang w:val="en-GB"/>
        </w:rPr>
      </w:pPr>
      <w:r>
        <w:rPr>
          <w:rFonts w:ascii="Arial" w:hAnsi="Arial" w:cs="Arial"/>
          <w:lang w:val="en-GB"/>
        </w:rPr>
        <w:t>There are detractors who have argued that universalism is by no means a flawless approach. Fletcher has drawn attention to the fact that some critique this approach as being “idealistic”.</w:t>
      </w:r>
      <w:r>
        <w:rPr>
          <w:rStyle w:val="FootnoteReference"/>
          <w:rFonts w:ascii="Arial" w:hAnsi="Arial" w:cs="Arial"/>
          <w:lang w:val="en-GB"/>
        </w:rPr>
        <w:footnoteReference w:id="22"/>
      </w:r>
      <w:r>
        <w:rPr>
          <w:rFonts w:ascii="Arial" w:hAnsi="Arial" w:cs="Arial"/>
          <w:lang w:val="en-GB"/>
        </w:rPr>
        <w:t xml:space="preserve"> McCormack has noted that, “</w:t>
      </w:r>
      <w:r w:rsidRPr="00E51F70">
        <w:rPr>
          <w:rFonts w:ascii="Arial" w:hAnsi="Arial" w:cs="Arial"/>
          <w:lang w:val="en-GB"/>
        </w:rPr>
        <w:t>it is contended that universalism is simultaneously a bad deal for every country involved.”</w:t>
      </w:r>
      <w:r>
        <w:rPr>
          <w:rStyle w:val="FootnoteReference"/>
          <w:rFonts w:ascii="Arial" w:hAnsi="Arial" w:cs="Arial"/>
          <w:lang w:val="en-GB"/>
        </w:rPr>
        <w:footnoteReference w:id="23"/>
      </w:r>
      <w:r>
        <w:rPr>
          <w:rFonts w:ascii="Arial" w:hAnsi="Arial" w:cs="Arial"/>
          <w:lang w:val="en-GB"/>
        </w:rPr>
        <w:t xml:space="preserve"> One of the major reasons for this, again exemplified by </w:t>
      </w:r>
      <w:r w:rsidRPr="00825772">
        <w:rPr>
          <w:rFonts w:ascii="Arial" w:hAnsi="Arial" w:cs="Arial"/>
          <w:i/>
          <w:lang w:val="en-GB"/>
        </w:rPr>
        <w:t>Rubin</w:t>
      </w:r>
      <w:r>
        <w:rPr>
          <w:rFonts w:ascii="Arial" w:hAnsi="Arial" w:cs="Arial"/>
          <w:lang w:val="en-GB"/>
        </w:rPr>
        <w:t xml:space="preserve">, is the problem of recognition of domestic court orders abroad, particularly when those orders effect the liberty of the person. </w:t>
      </w:r>
    </w:p>
    <w:p w:rsidR="00A44A3D" w:rsidRDefault="00A44A3D" w:rsidP="00BB662F">
      <w:pPr>
        <w:spacing w:line="360" w:lineRule="auto"/>
        <w:jc w:val="both"/>
        <w:rPr>
          <w:rFonts w:ascii="Arial" w:hAnsi="Arial" w:cs="Arial"/>
          <w:lang w:val="en-GB"/>
        </w:rPr>
      </w:pPr>
    </w:p>
    <w:p w:rsidR="00A44A3D" w:rsidRDefault="00A44A3D" w:rsidP="00BB662F">
      <w:pPr>
        <w:spacing w:line="360" w:lineRule="auto"/>
        <w:jc w:val="both"/>
        <w:rPr>
          <w:rFonts w:ascii="Arial" w:hAnsi="Arial" w:cs="Arial"/>
          <w:lang w:val="en-GB"/>
        </w:rPr>
      </w:pPr>
      <w:r>
        <w:rPr>
          <w:rFonts w:ascii="Arial" w:hAnsi="Arial" w:cs="Arial"/>
          <w:lang w:val="en-GB"/>
        </w:rPr>
        <w:lastRenderedPageBreak/>
        <w:t xml:space="preserve">Whether or not these disadvantages out-way the undoubted cost savings is a moot point. One of the main attractions of universalism is that it avoids a multiplicity of actions in various jurisdictions. This reduces expenditure and retains value within the insolvent estate. </w:t>
      </w:r>
    </w:p>
    <w:p w:rsidR="00A44A3D" w:rsidRDefault="00A44A3D" w:rsidP="00BB662F">
      <w:pPr>
        <w:spacing w:line="360" w:lineRule="auto"/>
        <w:jc w:val="both"/>
        <w:rPr>
          <w:rFonts w:ascii="Arial" w:hAnsi="Arial" w:cs="Arial"/>
          <w:lang w:val="en-GB"/>
        </w:rPr>
      </w:pPr>
    </w:p>
    <w:p w:rsidR="00A44A3D" w:rsidRDefault="00A44A3D" w:rsidP="00BB662F">
      <w:pPr>
        <w:spacing w:line="360" w:lineRule="auto"/>
        <w:jc w:val="both"/>
        <w:rPr>
          <w:rFonts w:ascii="Arial" w:hAnsi="Arial" w:cs="Arial"/>
          <w:lang w:val="en-GB"/>
        </w:rPr>
      </w:pPr>
    </w:p>
    <w:p w:rsidR="00A44A3D" w:rsidRPr="00520828" w:rsidRDefault="00A44A3D" w:rsidP="00BB662F">
      <w:pPr>
        <w:spacing w:line="360" w:lineRule="auto"/>
        <w:jc w:val="both"/>
        <w:rPr>
          <w:rFonts w:ascii="Arial" w:hAnsi="Arial" w:cs="Arial"/>
          <w:b/>
          <w:u w:val="single"/>
          <w:lang w:val="en-GB"/>
        </w:rPr>
      </w:pPr>
      <w:r w:rsidRPr="00520828">
        <w:rPr>
          <w:rFonts w:ascii="Arial" w:hAnsi="Arial" w:cs="Arial"/>
          <w:b/>
          <w:u w:val="single"/>
          <w:lang w:val="en-GB"/>
        </w:rPr>
        <w:t>Theoretical Perfections</w:t>
      </w:r>
    </w:p>
    <w:p w:rsidR="00A44A3D" w:rsidRDefault="00A44A3D" w:rsidP="00BB662F">
      <w:pPr>
        <w:spacing w:line="360" w:lineRule="auto"/>
        <w:jc w:val="both"/>
        <w:rPr>
          <w:rFonts w:ascii="Arial" w:hAnsi="Arial" w:cs="Arial"/>
          <w:lang w:val="en-GB"/>
        </w:rPr>
      </w:pPr>
    </w:p>
    <w:p w:rsidR="00A44A3D" w:rsidRDefault="00A44A3D" w:rsidP="00BB662F">
      <w:pPr>
        <w:spacing w:line="360" w:lineRule="auto"/>
        <w:jc w:val="both"/>
        <w:rPr>
          <w:rFonts w:ascii="Arial" w:hAnsi="Arial" w:cs="Arial"/>
          <w:lang w:val="en-GB"/>
        </w:rPr>
      </w:pPr>
      <w:r>
        <w:rPr>
          <w:rFonts w:ascii="Arial" w:hAnsi="Arial" w:cs="Arial"/>
          <w:lang w:val="en-GB"/>
        </w:rPr>
        <w:t>Both of these rival theories</w:t>
      </w:r>
      <w:r w:rsidR="000929A2">
        <w:rPr>
          <w:rFonts w:ascii="Arial" w:hAnsi="Arial" w:cs="Arial"/>
          <w:lang w:val="en-GB"/>
        </w:rPr>
        <w:t xml:space="preserve"> have been perfected in a way</w:t>
      </w:r>
      <w:r>
        <w:rPr>
          <w:rFonts w:ascii="Arial" w:hAnsi="Arial" w:cs="Arial"/>
          <w:lang w:val="en-GB"/>
        </w:rPr>
        <w:t xml:space="preserve"> that brings them closer together in effect and substance. There has still however been no merger of the two streams of thought and the competing theories. </w:t>
      </w:r>
    </w:p>
    <w:p w:rsidR="00A44A3D" w:rsidRDefault="00A44A3D" w:rsidP="00BB662F">
      <w:pPr>
        <w:spacing w:line="360" w:lineRule="auto"/>
        <w:jc w:val="both"/>
        <w:rPr>
          <w:rFonts w:ascii="Arial" w:hAnsi="Arial" w:cs="Arial"/>
          <w:lang w:val="en-GB"/>
        </w:rPr>
      </w:pPr>
    </w:p>
    <w:p w:rsidR="00A44A3D" w:rsidRDefault="00A44A3D" w:rsidP="00BB662F">
      <w:pPr>
        <w:spacing w:line="360" w:lineRule="auto"/>
        <w:jc w:val="both"/>
        <w:rPr>
          <w:rFonts w:ascii="Arial" w:hAnsi="Arial" w:cs="Arial"/>
          <w:lang w:val="en-GB"/>
        </w:rPr>
      </w:pPr>
    </w:p>
    <w:p w:rsidR="00A44A3D" w:rsidRPr="007349A4" w:rsidRDefault="00A44A3D" w:rsidP="00BB662F">
      <w:pPr>
        <w:spacing w:line="360" w:lineRule="auto"/>
        <w:jc w:val="both"/>
        <w:rPr>
          <w:rFonts w:ascii="Arial" w:hAnsi="Arial" w:cs="Arial"/>
          <w:u w:val="single"/>
          <w:lang w:val="en-GB"/>
        </w:rPr>
      </w:pPr>
      <w:r w:rsidRPr="007349A4">
        <w:rPr>
          <w:rFonts w:ascii="Arial" w:hAnsi="Arial" w:cs="Arial"/>
          <w:u w:val="single"/>
          <w:lang w:val="en-GB"/>
        </w:rPr>
        <w:t xml:space="preserve">Co-operative Territorialism </w:t>
      </w:r>
    </w:p>
    <w:p w:rsidR="00A44A3D" w:rsidRDefault="00A44A3D" w:rsidP="00BB662F">
      <w:pPr>
        <w:spacing w:line="360" w:lineRule="auto"/>
        <w:jc w:val="both"/>
        <w:rPr>
          <w:rFonts w:ascii="Arial" w:hAnsi="Arial" w:cs="Arial"/>
          <w:lang w:val="en-GB"/>
        </w:rPr>
      </w:pPr>
    </w:p>
    <w:p w:rsidR="00A44A3D" w:rsidRDefault="00A44A3D" w:rsidP="00BB662F">
      <w:pPr>
        <w:spacing w:line="360" w:lineRule="auto"/>
        <w:jc w:val="both"/>
        <w:rPr>
          <w:rFonts w:ascii="Arial" w:hAnsi="Arial" w:cs="Arial"/>
          <w:lang w:val="en-GB"/>
        </w:rPr>
      </w:pPr>
      <w:r>
        <w:rPr>
          <w:rFonts w:ascii="Arial" w:hAnsi="Arial" w:cs="Arial"/>
          <w:lang w:val="en-GB"/>
        </w:rPr>
        <w:t>The first perfection that exists is a theory known as co-operative territorialism. This is something of a half-way house from the extremes of territorialism on the one hand and universalism on the other. Its genesi</w:t>
      </w:r>
      <w:r w:rsidR="00C25446">
        <w:rPr>
          <w:rFonts w:ascii="Arial" w:hAnsi="Arial" w:cs="Arial"/>
          <w:lang w:val="en-GB"/>
        </w:rPr>
        <w:t>s</w:t>
      </w:r>
      <w:r>
        <w:rPr>
          <w:rFonts w:ascii="Arial" w:hAnsi="Arial" w:cs="Arial"/>
          <w:lang w:val="en-GB"/>
        </w:rPr>
        <w:t xml:space="preserve"> lies in a desire to avoid th</w:t>
      </w:r>
      <w:r w:rsidR="000929A2">
        <w:rPr>
          <w:rFonts w:ascii="Arial" w:hAnsi="Arial" w:cs="Arial"/>
          <w:lang w:val="en-GB"/>
        </w:rPr>
        <w:t>e fragmentation that can occur i</w:t>
      </w:r>
      <w:r>
        <w:rPr>
          <w:rFonts w:ascii="Arial" w:hAnsi="Arial" w:cs="Arial"/>
          <w:lang w:val="en-GB"/>
        </w:rPr>
        <w:t xml:space="preserve">f States select approaches which are at odds with each other, e.g. if </w:t>
      </w:r>
      <w:r w:rsidRPr="000929A2">
        <w:rPr>
          <w:rFonts w:ascii="Arial" w:hAnsi="Arial" w:cs="Arial"/>
          <w:lang w:val="en-GB"/>
        </w:rPr>
        <w:t xml:space="preserve">Matilda Land adopts </w:t>
      </w:r>
      <w:proofErr w:type="spellStart"/>
      <w:r w:rsidRPr="000929A2">
        <w:rPr>
          <w:rFonts w:ascii="Arial" w:hAnsi="Arial" w:cs="Arial"/>
          <w:lang w:val="en-GB"/>
        </w:rPr>
        <w:t>territorialist</w:t>
      </w:r>
      <w:proofErr w:type="spellEnd"/>
      <w:r w:rsidRPr="000929A2">
        <w:rPr>
          <w:rFonts w:ascii="Arial" w:hAnsi="Arial" w:cs="Arial"/>
          <w:lang w:val="en-GB"/>
        </w:rPr>
        <w:t xml:space="preserve"> approaches whilst Ophelia Land </w:t>
      </w:r>
      <w:r w:rsidR="000929A2" w:rsidRPr="000929A2">
        <w:rPr>
          <w:rFonts w:ascii="Arial" w:hAnsi="Arial" w:cs="Arial"/>
          <w:lang w:val="en-GB"/>
        </w:rPr>
        <w:t>adopts univers</w:t>
      </w:r>
      <w:r w:rsidR="000929A2">
        <w:rPr>
          <w:rFonts w:ascii="Arial" w:hAnsi="Arial" w:cs="Arial"/>
          <w:lang w:val="en-GB"/>
        </w:rPr>
        <w:t>al</w:t>
      </w:r>
      <w:r w:rsidR="000929A2" w:rsidRPr="000929A2">
        <w:rPr>
          <w:rFonts w:ascii="Arial" w:hAnsi="Arial" w:cs="Arial"/>
          <w:lang w:val="en-GB"/>
        </w:rPr>
        <w:t>ism</w:t>
      </w:r>
      <w:r>
        <w:rPr>
          <w:rFonts w:ascii="Arial" w:hAnsi="Arial" w:cs="Arial"/>
          <w:lang w:val="en-GB"/>
        </w:rPr>
        <w:t>. As Fletcher has stated this approach avoids fragmentation and stasis through the use of multilateral conventions.</w:t>
      </w:r>
      <w:r>
        <w:rPr>
          <w:rStyle w:val="FootnoteReference"/>
          <w:rFonts w:ascii="Arial" w:hAnsi="Arial" w:cs="Arial"/>
          <w:lang w:val="en-GB"/>
        </w:rPr>
        <w:footnoteReference w:id="24"/>
      </w:r>
    </w:p>
    <w:p w:rsidR="00A44A3D" w:rsidRDefault="00A44A3D" w:rsidP="00BB662F">
      <w:pPr>
        <w:spacing w:line="360" w:lineRule="auto"/>
        <w:jc w:val="both"/>
        <w:rPr>
          <w:rFonts w:ascii="Arial" w:hAnsi="Arial" w:cs="Arial"/>
          <w:lang w:val="en-GB"/>
        </w:rPr>
      </w:pPr>
    </w:p>
    <w:p w:rsidR="00A44A3D" w:rsidRPr="00D0338C" w:rsidRDefault="00A44A3D" w:rsidP="00BB662F">
      <w:pPr>
        <w:spacing w:line="360" w:lineRule="auto"/>
        <w:jc w:val="both"/>
        <w:rPr>
          <w:rFonts w:ascii="Arial" w:hAnsi="Arial" w:cs="Arial"/>
          <w:u w:val="single"/>
          <w:lang w:val="en-GB"/>
        </w:rPr>
      </w:pPr>
    </w:p>
    <w:p w:rsidR="00A44A3D" w:rsidRPr="00D0338C" w:rsidRDefault="00A44A3D" w:rsidP="00BB662F">
      <w:pPr>
        <w:spacing w:line="360" w:lineRule="auto"/>
        <w:jc w:val="both"/>
        <w:rPr>
          <w:rFonts w:ascii="Arial" w:hAnsi="Arial" w:cs="Arial"/>
          <w:u w:val="single"/>
          <w:lang w:val="en-GB"/>
        </w:rPr>
      </w:pPr>
      <w:r w:rsidRPr="00D0338C">
        <w:rPr>
          <w:rFonts w:ascii="Arial" w:hAnsi="Arial" w:cs="Arial"/>
          <w:u w:val="single"/>
          <w:lang w:val="en-GB"/>
        </w:rPr>
        <w:t xml:space="preserve">Modified Universalism </w:t>
      </w:r>
    </w:p>
    <w:p w:rsidR="00A44A3D" w:rsidRDefault="00A44A3D" w:rsidP="00BB662F">
      <w:pPr>
        <w:spacing w:line="360" w:lineRule="auto"/>
        <w:jc w:val="both"/>
        <w:rPr>
          <w:rFonts w:ascii="Arial" w:hAnsi="Arial" w:cs="Arial"/>
          <w:lang w:val="en-GB"/>
        </w:rPr>
      </w:pPr>
    </w:p>
    <w:p w:rsidR="00A44A3D" w:rsidRDefault="00A44A3D" w:rsidP="00BB662F">
      <w:pPr>
        <w:spacing w:line="360" w:lineRule="auto"/>
        <w:jc w:val="both"/>
        <w:rPr>
          <w:rFonts w:ascii="Arial" w:hAnsi="Arial" w:cs="Arial"/>
          <w:lang w:val="en-GB"/>
        </w:rPr>
      </w:pPr>
      <w:r>
        <w:rPr>
          <w:rFonts w:ascii="Arial" w:hAnsi="Arial" w:cs="Arial"/>
          <w:lang w:val="en-GB"/>
        </w:rPr>
        <w:t>Modified universalism represents another perfection. This approach recognises that international insolvency should be conducted on an international collective basis but that allowance should be made for the foibles on specific participating States and the respective nuances of their insolvency laws and their specific jurisdictional oddities</w:t>
      </w:r>
      <w:r w:rsidR="00C25446">
        <w:rPr>
          <w:rFonts w:ascii="Arial" w:hAnsi="Arial" w:cs="Arial"/>
          <w:lang w:val="en-GB"/>
        </w:rPr>
        <w:t>.</w:t>
      </w:r>
      <w:r>
        <w:rPr>
          <w:rFonts w:ascii="Arial" w:hAnsi="Arial" w:cs="Arial"/>
          <w:lang w:val="en-GB"/>
        </w:rPr>
        <w:t xml:space="preserve"> There should be recognition of the universal nature of various elements of insolvency </w:t>
      </w:r>
      <w:r>
        <w:rPr>
          <w:rFonts w:ascii="Arial" w:hAnsi="Arial" w:cs="Arial"/>
          <w:lang w:val="en-GB"/>
        </w:rPr>
        <w:lastRenderedPageBreak/>
        <w:t xml:space="preserve">law which the English and Welsh courts should both recognise, as well as assist in the implementation of those tools. </w:t>
      </w:r>
    </w:p>
    <w:p w:rsidR="00C25446" w:rsidRDefault="00C25446" w:rsidP="00BB662F">
      <w:pPr>
        <w:spacing w:line="360" w:lineRule="auto"/>
        <w:jc w:val="both"/>
        <w:rPr>
          <w:rFonts w:ascii="Arial" w:hAnsi="Arial" w:cs="Arial"/>
          <w:lang w:val="en-GB"/>
        </w:rPr>
      </w:pPr>
    </w:p>
    <w:p w:rsidR="00C25446" w:rsidRDefault="00C25446" w:rsidP="00BB662F">
      <w:pPr>
        <w:spacing w:line="360" w:lineRule="auto"/>
        <w:jc w:val="both"/>
        <w:rPr>
          <w:rFonts w:ascii="Arial" w:hAnsi="Arial" w:cs="Arial"/>
          <w:lang w:val="en-GB"/>
        </w:rPr>
      </w:pPr>
      <w:r>
        <w:rPr>
          <w:rFonts w:ascii="Arial" w:hAnsi="Arial" w:cs="Arial"/>
          <w:lang w:val="en-GB"/>
        </w:rPr>
        <w:t xml:space="preserve">Modified Universalism was until recently the preferred approach of the English and Welsh courts. Lord Hoffmann’s progressive opinions in the judicial committee of the House of Lords in </w:t>
      </w:r>
      <w:r w:rsidRPr="00C25446">
        <w:rPr>
          <w:rFonts w:ascii="Arial" w:hAnsi="Arial" w:cs="Arial"/>
          <w:i/>
          <w:lang w:val="en-GB"/>
        </w:rPr>
        <w:t>Cambridge Natural Gas</w:t>
      </w:r>
      <w:r>
        <w:rPr>
          <w:rStyle w:val="FootnoteReference"/>
          <w:rFonts w:ascii="Arial" w:hAnsi="Arial" w:cs="Arial"/>
          <w:i/>
          <w:lang w:val="en-GB"/>
        </w:rPr>
        <w:footnoteReference w:id="25"/>
      </w:r>
      <w:r>
        <w:rPr>
          <w:rFonts w:ascii="Arial" w:hAnsi="Arial" w:cs="Arial"/>
          <w:lang w:val="en-GB"/>
        </w:rPr>
        <w:t xml:space="preserve"> and </w:t>
      </w:r>
      <w:r w:rsidRPr="00C25446">
        <w:rPr>
          <w:rFonts w:ascii="Arial" w:hAnsi="Arial" w:cs="Arial"/>
          <w:i/>
          <w:lang w:val="en-GB"/>
        </w:rPr>
        <w:t>HIH</w:t>
      </w:r>
      <w:r>
        <w:rPr>
          <w:rStyle w:val="FootnoteReference"/>
          <w:rFonts w:ascii="Arial" w:hAnsi="Arial" w:cs="Arial"/>
          <w:i/>
          <w:lang w:val="en-GB"/>
        </w:rPr>
        <w:footnoteReference w:id="26"/>
      </w:r>
      <w:r w:rsidR="000929A2">
        <w:rPr>
          <w:rFonts w:ascii="Arial" w:hAnsi="Arial" w:cs="Arial"/>
          <w:lang w:val="en-GB"/>
        </w:rPr>
        <w:t xml:space="preserve"> continued</w:t>
      </w:r>
      <w:r>
        <w:rPr>
          <w:rFonts w:ascii="Arial" w:hAnsi="Arial" w:cs="Arial"/>
          <w:lang w:val="en-GB"/>
        </w:rPr>
        <w:t xml:space="preserve"> this course and are exemplars of modified universalism. However, more recently in the United Kingdom Supreme Court Lord Collins has suggested that Parliamentary intervention is required if we are going to further extend these principles. Before that is done it is prudent to examine the roots of these approaches. It is to that area that we now turn in the next part of this paper. </w:t>
      </w:r>
    </w:p>
    <w:p w:rsidR="00A44A3D" w:rsidRDefault="00A44A3D" w:rsidP="00BB662F">
      <w:pPr>
        <w:spacing w:line="360" w:lineRule="auto"/>
        <w:jc w:val="both"/>
        <w:rPr>
          <w:rFonts w:ascii="Arial" w:hAnsi="Arial" w:cs="Arial"/>
          <w:lang w:val="en-GB"/>
        </w:rPr>
      </w:pPr>
    </w:p>
    <w:p w:rsidR="00A44A3D" w:rsidRDefault="00A44A3D" w:rsidP="00BB662F">
      <w:pPr>
        <w:spacing w:line="360" w:lineRule="auto"/>
        <w:jc w:val="both"/>
        <w:rPr>
          <w:rFonts w:ascii="Arial" w:hAnsi="Arial" w:cs="Arial"/>
          <w:lang w:val="en-GB"/>
        </w:rPr>
      </w:pPr>
    </w:p>
    <w:p w:rsidR="00A44A3D" w:rsidRPr="00A44A3D" w:rsidRDefault="00A44A3D" w:rsidP="00BB662F">
      <w:pPr>
        <w:pStyle w:val="ListParagraph"/>
        <w:numPr>
          <w:ilvl w:val="0"/>
          <w:numId w:val="3"/>
        </w:numPr>
        <w:spacing w:line="360" w:lineRule="auto"/>
        <w:jc w:val="both"/>
        <w:rPr>
          <w:rFonts w:ascii="Arial" w:hAnsi="Arial" w:cs="Arial"/>
          <w:lang w:val="en-GB"/>
        </w:rPr>
      </w:pPr>
      <w:r w:rsidRPr="00A44A3D">
        <w:rPr>
          <w:rFonts w:ascii="Arial" w:hAnsi="Arial" w:cs="Arial"/>
          <w:b/>
          <w:u w:val="single"/>
          <w:lang w:val="en-GB"/>
        </w:rPr>
        <w:t>The Early History of Cross-Border Insolvency Law</w:t>
      </w:r>
      <w:r>
        <w:rPr>
          <w:rStyle w:val="FootnoteReference"/>
          <w:rFonts w:ascii="Arial" w:hAnsi="Arial" w:cs="Arial"/>
          <w:lang w:val="en-GB"/>
        </w:rPr>
        <w:footnoteReference w:id="27"/>
      </w:r>
      <w:r w:rsidRPr="00A44A3D">
        <w:rPr>
          <w:rFonts w:ascii="Arial" w:hAnsi="Arial" w:cs="Arial"/>
          <w:lang w:val="en-GB"/>
        </w:rPr>
        <w:t xml:space="preserve"> </w:t>
      </w:r>
    </w:p>
    <w:p w:rsidR="00A44A3D" w:rsidRDefault="00A44A3D" w:rsidP="00BB662F">
      <w:pPr>
        <w:spacing w:line="360" w:lineRule="auto"/>
        <w:jc w:val="both"/>
        <w:rPr>
          <w:rFonts w:ascii="Arial" w:hAnsi="Arial" w:cs="Arial"/>
          <w:lang w:val="en-GB"/>
        </w:rPr>
      </w:pPr>
    </w:p>
    <w:p w:rsidR="000929A2" w:rsidRDefault="00966919" w:rsidP="00BB662F">
      <w:pPr>
        <w:spacing w:line="360" w:lineRule="auto"/>
        <w:jc w:val="both"/>
        <w:rPr>
          <w:rFonts w:ascii="Arial" w:hAnsi="Arial" w:cs="Arial"/>
          <w:lang w:val="en-GB"/>
        </w:rPr>
      </w:pPr>
      <w:r>
        <w:rPr>
          <w:rFonts w:ascii="Arial" w:hAnsi="Arial" w:cs="Arial"/>
          <w:lang w:val="en-GB"/>
        </w:rPr>
        <w:t>We can now move</w:t>
      </w:r>
      <w:r w:rsidR="008D6E0C">
        <w:rPr>
          <w:rFonts w:ascii="Arial" w:hAnsi="Arial" w:cs="Arial"/>
          <w:lang w:val="en-GB"/>
        </w:rPr>
        <w:t xml:space="preserve"> to examine the genesis of the “Golden T</w:t>
      </w:r>
      <w:r>
        <w:rPr>
          <w:rFonts w:ascii="Arial" w:hAnsi="Arial" w:cs="Arial"/>
          <w:lang w:val="en-GB"/>
        </w:rPr>
        <w:t>hread</w:t>
      </w:r>
      <w:r w:rsidR="008D6E0C">
        <w:rPr>
          <w:rFonts w:ascii="Arial" w:hAnsi="Arial" w:cs="Arial"/>
          <w:lang w:val="en-GB"/>
        </w:rPr>
        <w:t xml:space="preserve">” and the beginnings of universalism by examining Lord Bathurst’s 1764 decision in </w:t>
      </w:r>
      <w:proofErr w:type="spellStart"/>
      <w:r w:rsidR="008D6E0C" w:rsidRPr="002B1503">
        <w:rPr>
          <w:rFonts w:ascii="Arial" w:hAnsi="Arial" w:cs="Arial"/>
          <w:i/>
          <w:lang w:val="en-GB"/>
        </w:rPr>
        <w:t>Solomons</w:t>
      </w:r>
      <w:proofErr w:type="spellEnd"/>
      <w:r w:rsidR="008D6E0C" w:rsidRPr="002B1503">
        <w:rPr>
          <w:rFonts w:ascii="Arial" w:hAnsi="Arial" w:cs="Arial"/>
          <w:i/>
          <w:lang w:val="en-GB"/>
        </w:rPr>
        <w:t xml:space="preserve"> v. Ross</w:t>
      </w:r>
      <w:r w:rsidR="002B1503">
        <w:rPr>
          <w:rStyle w:val="FootnoteReference"/>
          <w:rFonts w:ascii="Arial" w:hAnsi="Arial" w:cs="Arial"/>
          <w:lang w:val="en-GB"/>
        </w:rPr>
        <w:footnoteReference w:id="28"/>
      </w:r>
      <w:r w:rsidR="002B1503">
        <w:rPr>
          <w:rFonts w:ascii="Arial" w:hAnsi="Arial" w:cs="Arial"/>
          <w:i/>
          <w:lang w:val="en-GB"/>
        </w:rPr>
        <w:t xml:space="preserve"> </w:t>
      </w:r>
      <w:r w:rsidR="002B1503" w:rsidRPr="002B1503">
        <w:rPr>
          <w:rFonts w:ascii="Arial" w:hAnsi="Arial" w:cs="Arial"/>
          <w:lang w:val="en-GB"/>
        </w:rPr>
        <w:t>and the case’s background and context</w:t>
      </w:r>
      <w:r w:rsidR="002B1503">
        <w:rPr>
          <w:rFonts w:ascii="Arial" w:hAnsi="Arial" w:cs="Arial"/>
          <w:i/>
          <w:lang w:val="en-GB"/>
        </w:rPr>
        <w:t>.</w:t>
      </w:r>
      <w:r>
        <w:rPr>
          <w:rFonts w:ascii="Arial" w:hAnsi="Arial" w:cs="Arial"/>
          <w:lang w:val="en-GB"/>
        </w:rPr>
        <w:t xml:space="preserve"> In the first section of this part we examine the </w:t>
      </w:r>
      <w:r w:rsidR="00F16907">
        <w:rPr>
          <w:rFonts w:ascii="Arial" w:hAnsi="Arial" w:cs="Arial"/>
          <w:lang w:val="en-GB"/>
        </w:rPr>
        <w:t xml:space="preserve">economic </w:t>
      </w:r>
      <w:r>
        <w:rPr>
          <w:rFonts w:ascii="Arial" w:hAnsi="Arial" w:cs="Arial"/>
          <w:lang w:val="en-GB"/>
        </w:rPr>
        <w:t>background to the decision. What was happening economically and</w:t>
      </w:r>
      <w:r w:rsidR="00954510">
        <w:rPr>
          <w:rFonts w:ascii="Arial" w:hAnsi="Arial" w:cs="Arial"/>
          <w:lang w:val="en-GB"/>
        </w:rPr>
        <w:t xml:space="preserve"> in terms of</w:t>
      </w:r>
      <w:r>
        <w:rPr>
          <w:rFonts w:ascii="Arial" w:hAnsi="Arial" w:cs="Arial"/>
          <w:lang w:val="en-GB"/>
        </w:rPr>
        <w:t xml:space="preserve"> tr</w:t>
      </w:r>
      <w:r w:rsidR="00954510">
        <w:rPr>
          <w:rFonts w:ascii="Arial" w:hAnsi="Arial" w:cs="Arial"/>
          <w:lang w:val="en-GB"/>
        </w:rPr>
        <w:t>ade</w:t>
      </w:r>
      <w:r>
        <w:rPr>
          <w:rFonts w:ascii="Arial" w:hAnsi="Arial" w:cs="Arial"/>
          <w:lang w:val="en-GB"/>
        </w:rPr>
        <w:t xml:space="preserve"> in the 1760s and leading up to that decade? </w:t>
      </w:r>
      <w:r w:rsidR="00F16907">
        <w:rPr>
          <w:rFonts w:ascii="Arial" w:hAnsi="Arial" w:cs="Arial"/>
          <w:lang w:val="en-GB"/>
        </w:rPr>
        <w:t>In the second part of this section w</w:t>
      </w:r>
      <w:r w:rsidR="00AD00D8">
        <w:rPr>
          <w:rFonts w:ascii="Arial" w:hAnsi="Arial" w:cs="Arial"/>
          <w:lang w:val="en-GB"/>
        </w:rPr>
        <w:t>e will then move to consider the judge</w:t>
      </w:r>
      <w:r>
        <w:rPr>
          <w:rFonts w:ascii="Arial" w:hAnsi="Arial" w:cs="Arial"/>
          <w:lang w:val="en-GB"/>
        </w:rPr>
        <w:t xml:space="preserve"> who handed down the important decision</w:t>
      </w:r>
      <w:r w:rsidR="00521DA5">
        <w:rPr>
          <w:rFonts w:ascii="Arial" w:hAnsi="Arial" w:cs="Arial"/>
          <w:lang w:val="en-GB"/>
        </w:rPr>
        <w:t>, namely, Mr Justice Bathurst (as he then was)</w:t>
      </w:r>
      <w:r w:rsidR="00F16907">
        <w:rPr>
          <w:rFonts w:ascii="Arial" w:hAnsi="Arial" w:cs="Arial"/>
          <w:lang w:val="en-GB"/>
        </w:rPr>
        <w:t>.</w:t>
      </w:r>
      <w:r w:rsidR="00521DA5">
        <w:rPr>
          <w:rFonts w:ascii="Arial" w:hAnsi="Arial" w:cs="Arial"/>
          <w:lang w:val="en-GB"/>
        </w:rPr>
        <w:t xml:space="preserve"> </w:t>
      </w:r>
    </w:p>
    <w:p w:rsidR="000929A2" w:rsidRDefault="000929A2" w:rsidP="00BB662F">
      <w:pPr>
        <w:spacing w:line="360" w:lineRule="auto"/>
        <w:jc w:val="both"/>
        <w:rPr>
          <w:rFonts w:ascii="Arial" w:hAnsi="Arial" w:cs="Arial"/>
          <w:lang w:val="en-GB"/>
        </w:rPr>
      </w:pPr>
    </w:p>
    <w:p w:rsidR="00966919" w:rsidRDefault="00966919" w:rsidP="00BB662F">
      <w:pPr>
        <w:spacing w:line="360" w:lineRule="auto"/>
        <w:jc w:val="both"/>
        <w:rPr>
          <w:rFonts w:ascii="Arial" w:hAnsi="Arial" w:cs="Arial"/>
          <w:lang w:val="en-GB"/>
        </w:rPr>
      </w:pPr>
    </w:p>
    <w:p w:rsidR="00966919" w:rsidRPr="00966919" w:rsidRDefault="00966919" w:rsidP="00BB662F">
      <w:pPr>
        <w:spacing w:line="360" w:lineRule="auto"/>
        <w:jc w:val="both"/>
        <w:rPr>
          <w:rFonts w:ascii="Arial" w:hAnsi="Arial" w:cs="Arial"/>
          <w:u w:val="single"/>
          <w:lang w:val="en-GB"/>
        </w:rPr>
      </w:pPr>
      <w:r w:rsidRPr="00966919">
        <w:rPr>
          <w:rFonts w:ascii="Arial" w:hAnsi="Arial" w:cs="Arial"/>
          <w:u w:val="single"/>
          <w:lang w:val="en-GB"/>
        </w:rPr>
        <w:lastRenderedPageBreak/>
        <w:t>Global Trade Patterns of the 1760s</w:t>
      </w:r>
      <w:r w:rsidR="004F40F7" w:rsidRPr="00AD00D8">
        <w:rPr>
          <w:rStyle w:val="FootnoteReference"/>
          <w:rFonts w:ascii="Arial" w:hAnsi="Arial" w:cs="Arial"/>
          <w:lang w:val="en-GB"/>
        </w:rPr>
        <w:footnoteReference w:id="29"/>
      </w:r>
    </w:p>
    <w:p w:rsidR="00966919" w:rsidRDefault="00966919" w:rsidP="00BB662F">
      <w:pPr>
        <w:spacing w:line="360" w:lineRule="auto"/>
        <w:jc w:val="both"/>
        <w:rPr>
          <w:rFonts w:ascii="Arial" w:hAnsi="Arial" w:cs="Arial"/>
          <w:lang w:val="en-GB"/>
        </w:rPr>
      </w:pPr>
    </w:p>
    <w:p w:rsidR="002F35AC" w:rsidRDefault="002F35AC" w:rsidP="00BB662F">
      <w:pPr>
        <w:spacing w:line="360" w:lineRule="auto"/>
        <w:jc w:val="both"/>
        <w:rPr>
          <w:rFonts w:ascii="Arial" w:hAnsi="Arial" w:cs="Arial"/>
          <w:lang w:val="en-GB"/>
        </w:rPr>
      </w:pPr>
      <w:r>
        <w:rPr>
          <w:rFonts w:ascii="Arial" w:hAnsi="Arial" w:cs="Arial"/>
          <w:lang w:val="en-GB"/>
        </w:rPr>
        <w:t xml:space="preserve">As </w:t>
      </w:r>
      <w:r w:rsidR="00516A68">
        <w:rPr>
          <w:rFonts w:ascii="Arial" w:hAnsi="Arial" w:cs="Arial"/>
          <w:lang w:val="en-GB"/>
        </w:rPr>
        <w:t xml:space="preserve">Lord </w:t>
      </w:r>
      <w:r>
        <w:rPr>
          <w:rFonts w:ascii="Arial" w:hAnsi="Arial" w:cs="Arial"/>
          <w:lang w:val="en-GB"/>
        </w:rPr>
        <w:t xml:space="preserve">Hoffmann has recently demonstrated in </w:t>
      </w:r>
      <w:r w:rsidRPr="001C427F">
        <w:rPr>
          <w:rFonts w:ascii="Arial" w:hAnsi="Arial" w:cs="Arial"/>
          <w:i/>
          <w:lang w:val="en-GB"/>
        </w:rPr>
        <w:t>HIH</w:t>
      </w:r>
      <w:r>
        <w:rPr>
          <w:rFonts w:ascii="Arial" w:hAnsi="Arial" w:cs="Arial"/>
          <w:lang w:val="en-GB"/>
        </w:rPr>
        <w:t xml:space="preserve"> in the context of </w:t>
      </w:r>
      <w:proofErr w:type="spellStart"/>
      <w:r w:rsidRPr="002F35AC">
        <w:rPr>
          <w:rFonts w:ascii="Arial" w:hAnsi="Arial" w:cs="Arial"/>
          <w:i/>
          <w:lang w:val="en-GB"/>
        </w:rPr>
        <w:t>Solomons</w:t>
      </w:r>
      <w:proofErr w:type="spellEnd"/>
      <w:r w:rsidRPr="002F35AC">
        <w:rPr>
          <w:rFonts w:ascii="Arial" w:hAnsi="Arial" w:cs="Arial"/>
          <w:i/>
          <w:lang w:val="en-GB"/>
        </w:rPr>
        <w:t xml:space="preserve"> v. Ross</w:t>
      </w:r>
      <w:r>
        <w:rPr>
          <w:rFonts w:ascii="Arial" w:hAnsi="Arial" w:cs="Arial"/>
          <w:lang w:val="en-GB"/>
        </w:rPr>
        <w:t>, it is important to understand the economi</w:t>
      </w:r>
      <w:r w:rsidR="001508C6">
        <w:rPr>
          <w:rFonts w:ascii="Arial" w:hAnsi="Arial" w:cs="Arial"/>
          <w:lang w:val="en-GB"/>
        </w:rPr>
        <w:t xml:space="preserve">c background that existed at the time of </w:t>
      </w:r>
      <w:proofErr w:type="spellStart"/>
      <w:r w:rsidR="001508C6" w:rsidRPr="001C427F">
        <w:rPr>
          <w:rFonts w:ascii="Arial" w:hAnsi="Arial" w:cs="Arial"/>
          <w:i/>
          <w:lang w:val="en-GB"/>
        </w:rPr>
        <w:t>Solomons</w:t>
      </w:r>
      <w:proofErr w:type="spellEnd"/>
      <w:r w:rsidR="001508C6" w:rsidRPr="001C427F">
        <w:rPr>
          <w:rFonts w:ascii="Arial" w:hAnsi="Arial" w:cs="Arial"/>
          <w:i/>
          <w:lang w:val="en-GB"/>
        </w:rPr>
        <w:t xml:space="preserve"> v. Ross</w:t>
      </w:r>
      <w:r w:rsidR="001508C6">
        <w:rPr>
          <w:rFonts w:ascii="Arial" w:hAnsi="Arial" w:cs="Arial"/>
          <w:lang w:val="en-GB"/>
        </w:rPr>
        <w:t xml:space="preserve"> to put the case in its proper historical context</w:t>
      </w:r>
      <w:r>
        <w:rPr>
          <w:rFonts w:ascii="Arial" w:hAnsi="Arial" w:cs="Arial"/>
          <w:lang w:val="en-GB"/>
        </w:rPr>
        <w:t>.</w:t>
      </w:r>
      <w:r w:rsidR="00516A68">
        <w:rPr>
          <w:rFonts w:ascii="Arial" w:hAnsi="Arial" w:cs="Arial"/>
          <w:lang w:val="en-GB"/>
        </w:rPr>
        <w:t xml:space="preserve"> Lord </w:t>
      </w:r>
      <w:r>
        <w:rPr>
          <w:rFonts w:ascii="Arial" w:hAnsi="Arial" w:cs="Arial"/>
          <w:lang w:val="en-GB"/>
        </w:rPr>
        <w:t>Hoffmann noted</w:t>
      </w:r>
      <w:r w:rsidR="001508C6">
        <w:rPr>
          <w:rFonts w:ascii="Arial" w:hAnsi="Arial" w:cs="Arial"/>
          <w:lang w:val="en-GB"/>
        </w:rPr>
        <w:t xml:space="preserve"> in the context of universalism</w:t>
      </w:r>
      <w:r>
        <w:rPr>
          <w:rFonts w:ascii="Arial" w:hAnsi="Arial" w:cs="Arial"/>
          <w:lang w:val="en-GB"/>
        </w:rPr>
        <w:t xml:space="preserve">: </w:t>
      </w:r>
    </w:p>
    <w:p w:rsidR="001508C6" w:rsidRDefault="001508C6" w:rsidP="00BB662F">
      <w:pPr>
        <w:spacing w:line="360" w:lineRule="auto"/>
        <w:jc w:val="both"/>
        <w:rPr>
          <w:rFonts w:ascii="Arial" w:hAnsi="Arial" w:cs="Arial"/>
          <w:lang w:val="en-GB"/>
        </w:rPr>
      </w:pPr>
    </w:p>
    <w:p w:rsidR="002F35AC" w:rsidRPr="00F92107" w:rsidRDefault="002F35AC" w:rsidP="001508C6">
      <w:pPr>
        <w:ind w:left="720"/>
        <w:jc w:val="both"/>
        <w:rPr>
          <w:rFonts w:ascii="Arial" w:hAnsi="Arial" w:cs="Arial"/>
          <w:i/>
          <w:sz w:val="22"/>
          <w:szCs w:val="22"/>
          <w:lang w:val="en-GB"/>
        </w:rPr>
      </w:pPr>
      <w:r w:rsidRPr="00F92107">
        <w:rPr>
          <w:rFonts w:ascii="Arial" w:hAnsi="Arial" w:cs="Arial"/>
          <w:i/>
          <w:sz w:val="22"/>
          <w:szCs w:val="22"/>
          <w:lang w:val="en-GB"/>
        </w:rPr>
        <w:t>“This doctrine may owe something to the fact that 18th and 19th century Britain was an imperial power, trading and financing development all over the world. It was often the case that the principal creditors were in Britain but many of the debtor's assets were in foreign jurisdictions. Universality of bankruptcy protected the position of British creditors. Not all countries took the same view. Countries less engaged in international commerce and finance did not always see it as being in their interest to allow foreign creditors to share equally with domestic creditors.</w:t>
      </w:r>
      <w:r w:rsidR="001508C6" w:rsidRPr="00F92107">
        <w:rPr>
          <w:rFonts w:ascii="Arial" w:hAnsi="Arial" w:cs="Arial"/>
          <w:i/>
          <w:sz w:val="22"/>
          <w:szCs w:val="22"/>
          <w:lang w:val="en-GB"/>
        </w:rPr>
        <w:t>”</w:t>
      </w:r>
      <w:r w:rsidR="0053458D" w:rsidRPr="00F92107">
        <w:rPr>
          <w:rStyle w:val="FootnoteReference"/>
          <w:rFonts w:ascii="Arial" w:hAnsi="Arial" w:cs="Arial"/>
          <w:sz w:val="22"/>
          <w:szCs w:val="22"/>
          <w:lang w:val="en-GB"/>
        </w:rPr>
        <w:footnoteReference w:id="30"/>
      </w:r>
    </w:p>
    <w:p w:rsidR="002F35AC" w:rsidRDefault="002F35AC" w:rsidP="00BB662F">
      <w:pPr>
        <w:spacing w:line="360" w:lineRule="auto"/>
        <w:jc w:val="both"/>
        <w:rPr>
          <w:rFonts w:ascii="Arial" w:hAnsi="Arial" w:cs="Arial"/>
          <w:lang w:val="en-GB"/>
        </w:rPr>
      </w:pPr>
    </w:p>
    <w:p w:rsidR="00AF1FB5" w:rsidRDefault="001C427F" w:rsidP="00AF1FB5">
      <w:pPr>
        <w:spacing w:line="360" w:lineRule="auto"/>
        <w:jc w:val="both"/>
        <w:rPr>
          <w:rFonts w:ascii="Arial" w:hAnsi="Arial" w:cs="Arial"/>
          <w:lang w:val="en-GB"/>
        </w:rPr>
      </w:pPr>
      <w:r>
        <w:rPr>
          <w:rFonts w:ascii="Arial" w:hAnsi="Arial" w:cs="Arial"/>
          <w:lang w:val="en-GB"/>
        </w:rPr>
        <w:t xml:space="preserve">To what extent is he correct? </w:t>
      </w:r>
      <w:r w:rsidR="00AB5ADB">
        <w:rPr>
          <w:rFonts w:ascii="Arial" w:hAnsi="Arial" w:cs="Arial"/>
          <w:lang w:val="en-GB"/>
        </w:rPr>
        <w:t>A decade before the first c</w:t>
      </w:r>
      <w:r w:rsidR="00DD47EB">
        <w:rPr>
          <w:rFonts w:ascii="Arial" w:hAnsi="Arial" w:cs="Arial"/>
          <w:lang w:val="en-GB"/>
        </w:rPr>
        <w:t>otton mill opened in</w:t>
      </w:r>
      <w:r w:rsidR="00DD77F1">
        <w:rPr>
          <w:rFonts w:ascii="Arial" w:hAnsi="Arial" w:cs="Arial"/>
          <w:lang w:val="en-GB"/>
        </w:rPr>
        <w:t xml:space="preserve"> the 1770s</w:t>
      </w:r>
      <w:r w:rsidR="00DD47EB">
        <w:rPr>
          <w:rFonts w:ascii="Arial" w:hAnsi="Arial" w:cs="Arial"/>
          <w:lang w:val="en-GB"/>
        </w:rPr>
        <w:t xml:space="preserve"> </w:t>
      </w:r>
      <w:proofErr w:type="spellStart"/>
      <w:r w:rsidR="00DD47EB">
        <w:rPr>
          <w:rFonts w:ascii="Arial" w:hAnsi="Arial" w:cs="Arial"/>
          <w:lang w:val="en-GB"/>
        </w:rPr>
        <w:t>there</w:t>
      </w:r>
      <w:proofErr w:type="spellEnd"/>
      <w:r w:rsidR="00DD47EB">
        <w:rPr>
          <w:rFonts w:ascii="Arial" w:hAnsi="Arial" w:cs="Arial"/>
          <w:lang w:val="en-GB"/>
        </w:rPr>
        <w:t xml:space="preserve"> were</w:t>
      </w:r>
      <w:r w:rsidR="00BF0EAE">
        <w:rPr>
          <w:rFonts w:ascii="Arial" w:hAnsi="Arial" w:cs="Arial"/>
          <w:lang w:val="en-GB"/>
        </w:rPr>
        <w:t xml:space="preserve"> a number of interesting economic developments in the 1760s.</w:t>
      </w:r>
      <w:r w:rsidR="002C3D2A">
        <w:rPr>
          <w:rStyle w:val="FootnoteReference"/>
          <w:rFonts w:ascii="Arial" w:hAnsi="Arial" w:cs="Arial"/>
          <w:lang w:val="en-GB"/>
        </w:rPr>
        <w:footnoteReference w:id="31"/>
      </w:r>
      <w:r w:rsidR="00BF0EAE">
        <w:rPr>
          <w:rFonts w:ascii="Arial" w:hAnsi="Arial" w:cs="Arial"/>
          <w:lang w:val="en-GB"/>
        </w:rPr>
        <w:t xml:space="preserve"> In 1764, the same year that </w:t>
      </w:r>
      <w:proofErr w:type="spellStart"/>
      <w:r w:rsidR="00BF0EAE" w:rsidRPr="00A3000D">
        <w:rPr>
          <w:rFonts w:ascii="Arial" w:hAnsi="Arial" w:cs="Arial"/>
          <w:i/>
          <w:lang w:val="en-GB"/>
        </w:rPr>
        <w:t>Solomons</w:t>
      </w:r>
      <w:proofErr w:type="spellEnd"/>
      <w:r w:rsidR="00BF0EAE" w:rsidRPr="00A3000D">
        <w:rPr>
          <w:rFonts w:ascii="Arial" w:hAnsi="Arial" w:cs="Arial"/>
          <w:i/>
          <w:lang w:val="en-GB"/>
        </w:rPr>
        <w:t xml:space="preserve"> v. Ross</w:t>
      </w:r>
      <w:r w:rsidR="00BF0EAE">
        <w:rPr>
          <w:rFonts w:ascii="Arial" w:hAnsi="Arial" w:cs="Arial"/>
          <w:lang w:val="en-GB"/>
        </w:rPr>
        <w:t xml:space="preserve"> was decided, several thousand weavers in London demonstrated against the </w:t>
      </w:r>
      <w:r w:rsidR="00AA3B1B">
        <w:rPr>
          <w:rFonts w:ascii="Arial" w:hAnsi="Arial" w:cs="Arial"/>
          <w:lang w:val="en-GB"/>
        </w:rPr>
        <w:t>clandestine importation of French silks.</w:t>
      </w:r>
      <w:r w:rsidR="00AA3B1B">
        <w:rPr>
          <w:rStyle w:val="FootnoteReference"/>
          <w:rFonts w:ascii="Arial" w:hAnsi="Arial" w:cs="Arial"/>
          <w:lang w:val="en-GB"/>
        </w:rPr>
        <w:footnoteReference w:id="32"/>
      </w:r>
      <w:r w:rsidR="00AF1FB5">
        <w:rPr>
          <w:rFonts w:ascii="Arial" w:hAnsi="Arial" w:cs="Arial"/>
          <w:lang w:val="en-GB"/>
        </w:rPr>
        <w:t xml:space="preserve"> International trade threats in the shape of imported goods were not novel. As </w:t>
      </w:r>
      <w:proofErr w:type="spellStart"/>
      <w:r w:rsidR="00AF1FB5">
        <w:rPr>
          <w:rFonts w:ascii="Arial" w:hAnsi="Arial" w:cs="Arial"/>
          <w:lang w:val="en-GB"/>
        </w:rPr>
        <w:t>Leng</w:t>
      </w:r>
      <w:proofErr w:type="spellEnd"/>
      <w:r w:rsidR="00AF1FB5">
        <w:rPr>
          <w:rFonts w:ascii="Arial" w:hAnsi="Arial" w:cs="Arial"/>
          <w:lang w:val="en-GB"/>
        </w:rPr>
        <w:t xml:space="preserve"> has demonstrated trade conflicts </w:t>
      </w:r>
      <w:r w:rsidR="007A5FFB">
        <w:rPr>
          <w:rFonts w:ascii="Arial" w:hAnsi="Arial" w:cs="Arial"/>
          <w:lang w:val="en-GB"/>
        </w:rPr>
        <w:t xml:space="preserve">occurred during </w:t>
      </w:r>
      <w:r w:rsidR="00AF1FB5">
        <w:rPr>
          <w:rFonts w:ascii="Arial" w:hAnsi="Arial" w:cs="Arial"/>
          <w:lang w:val="en-GB"/>
        </w:rPr>
        <w:t>the time period under discussion.</w:t>
      </w:r>
      <w:r w:rsidR="00AF1FB5">
        <w:rPr>
          <w:rStyle w:val="FootnoteReference"/>
          <w:rFonts w:ascii="Arial" w:hAnsi="Arial" w:cs="Arial"/>
          <w:lang w:val="en-GB"/>
        </w:rPr>
        <w:footnoteReference w:id="33"/>
      </w:r>
    </w:p>
    <w:p w:rsidR="00AF1FB5" w:rsidRDefault="00AF1FB5" w:rsidP="00AF1FB5">
      <w:pPr>
        <w:spacing w:line="360" w:lineRule="auto"/>
        <w:jc w:val="both"/>
        <w:rPr>
          <w:rFonts w:ascii="Arial" w:hAnsi="Arial" w:cs="Arial"/>
          <w:lang w:val="en-GB"/>
        </w:rPr>
      </w:pPr>
    </w:p>
    <w:p w:rsidR="00DD77F1" w:rsidRDefault="007A5FFB" w:rsidP="00DD77F1">
      <w:pPr>
        <w:spacing w:line="360" w:lineRule="auto"/>
        <w:jc w:val="both"/>
        <w:rPr>
          <w:rFonts w:ascii="Arial" w:hAnsi="Arial" w:cs="Arial"/>
          <w:lang w:val="en-GB"/>
        </w:rPr>
      </w:pPr>
      <w:r>
        <w:rPr>
          <w:rFonts w:ascii="Arial" w:hAnsi="Arial" w:cs="Arial"/>
          <w:lang w:val="en-GB"/>
        </w:rPr>
        <w:t xml:space="preserve">Lord </w:t>
      </w:r>
      <w:r w:rsidR="009B0051">
        <w:rPr>
          <w:rFonts w:ascii="Arial" w:hAnsi="Arial" w:cs="Arial"/>
          <w:lang w:val="en-GB"/>
        </w:rPr>
        <w:t xml:space="preserve">Hoffmann is </w:t>
      </w:r>
      <w:r w:rsidR="0045234D">
        <w:rPr>
          <w:rFonts w:ascii="Arial" w:hAnsi="Arial" w:cs="Arial"/>
          <w:lang w:val="en-GB"/>
        </w:rPr>
        <w:t xml:space="preserve">of course </w:t>
      </w:r>
      <w:r w:rsidR="009B0051">
        <w:rPr>
          <w:rFonts w:ascii="Arial" w:hAnsi="Arial" w:cs="Arial"/>
          <w:lang w:val="en-GB"/>
        </w:rPr>
        <w:t xml:space="preserve">correct to highlight the global nature of trade and mercantilism at the time of </w:t>
      </w:r>
      <w:proofErr w:type="spellStart"/>
      <w:r w:rsidR="009B0051" w:rsidRPr="009B0051">
        <w:rPr>
          <w:rFonts w:ascii="Arial" w:hAnsi="Arial" w:cs="Arial"/>
          <w:i/>
          <w:lang w:val="en-GB"/>
        </w:rPr>
        <w:t>Solomons</w:t>
      </w:r>
      <w:proofErr w:type="spellEnd"/>
      <w:r w:rsidR="009B0051" w:rsidRPr="009B0051">
        <w:rPr>
          <w:rFonts w:ascii="Arial" w:hAnsi="Arial" w:cs="Arial"/>
          <w:i/>
          <w:lang w:val="en-GB"/>
        </w:rPr>
        <w:t xml:space="preserve"> v. Ross.</w:t>
      </w:r>
      <w:r w:rsidR="0045234D" w:rsidRPr="0045234D">
        <w:rPr>
          <w:rStyle w:val="FootnoteReference"/>
          <w:rFonts w:ascii="Arial" w:hAnsi="Arial" w:cs="Arial"/>
          <w:lang w:val="en-GB"/>
        </w:rPr>
        <w:footnoteReference w:id="34"/>
      </w:r>
      <w:r w:rsidR="009B0051" w:rsidRPr="0045234D">
        <w:rPr>
          <w:rFonts w:ascii="Arial" w:hAnsi="Arial" w:cs="Arial"/>
          <w:lang w:val="en-GB"/>
        </w:rPr>
        <w:t xml:space="preserve"> </w:t>
      </w:r>
      <w:r w:rsidR="00214B8B">
        <w:rPr>
          <w:rFonts w:ascii="Arial" w:hAnsi="Arial" w:cs="Arial"/>
          <w:lang w:val="en-GB"/>
        </w:rPr>
        <w:t>I</w:t>
      </w:r>
      <w:r w:rsidR="002C3D2A">
        <w:rPr>
          <w:rFonts w:ascii="Arial" w:hAnsi="Arial" w:cs="Arial"/>
          <w:lang w:val="en-GB"/>
        </w:rPr>
        <w:t>n terms of Anglo-Dutch trade</w:t>
      </w:r>
      <w:r w:rsidR="00DD77F1">
        <w:rPr>
          <w:rFonts w:ascii="Arial" w:hAnsi="Arial" w:cs="Arial"/>
          <w:lang w:val="en-GB"/>
        </w:rPr>
        <w:t xml:space="preserve"> there were extensive an developed trade networks between the two countries, and had been </w:t>
      </w:r>
      <w:r w:rsidR="00DD77F1">
        <w:rPr>
          <w:rFonts w:ascii="Arial" w:hAnsi="Arial" w:cs="Arial"/>
          <w:lang w:val="en-GB"/>
        </w:rPr>
        <w:lastRenderedPageBreak/>
        <w:t>for much of the century and before.</w:t>
      </w:r>
      <w:r w:rsidR="002C3D2A">
        <w:rPr>
          <w:rStyle w:val="FootnoteReference"/>
          <w:rFonts w:ascii="Arial" w:hAnsi="Arial" w:cs="Arial"/>
          <w:lang w:val="en-GB"/>
        </w:rPr>
        <w:footnoteReference w:id="35"/>
      </w:r>
      <w:r w:rsidR="00DD77F1">
        <w:rPr>
          <w:rFonts w:ascii="Arial" w:hAnsi="Arial" w:cs="Arial"/>
          <w:lang w:val="en-GB"/>
        </w:rPr>
        <w:t xml:space="preserve"> Indeed, t</w:t>
      </w:r>
      <w:r w:rsidR="00DD77F1">
        <w:rPr>
          <w:rFonts w:ascii="Arial" w:hAnsi="Arial" w:cs="Arial"/>
          <w:lang w:val="en-GB"/>
        </w:rPr>
        <w:t xml:space="preserve">he </w:t>
      </w:r>
      <w:proofErr w:type="spellStart"/>
      <w:r w:rsidR="00DD77F1" w:rsidRPr="001E5058">
        <w:rPr>
          <w:rFonts w:ascii="Arial" w:hAnsi="Arial" w:cs="Arial"/>
          <w:i/>
          <w:lang w:val="en-GB"/>
        </w:rPr>
        <w:t>Solomons</w:t>
      </w:r>
      <w:proofErr w:type="spellEnd"/>
      <w:r w:rsidR="00DD77F1" w:rsidRPr="001E5058">
        <w:rPr>
          <w:rFonts w:ascii="Arial" w:hAnsi="Arial" w:cs="Arial"/>
          <w:i/>
          <w:lang w:val="en-GB"/>
        </w:rPr>
        <w:t xml:space="preserve"> v. Ross</w:t>
      </w:r>
      <w:r w:rsidR="00DD77F1">
        <w:rPr>
          <w:rFonts w:ascii="Arial" w:hAnsi="Arial" w:cs="Arial"/>
          <w:lang w:val="en-GB"/>
        </w:rPr>
        <w:t xml:space="preserve"> case </w:t>
      </w:r>
      <w:r w:rsidR="00DD77F1">
        <w:rPr>
          <w:rFonts w:ascii="Arial" w:hAnsi="Arial" w:cs="Arial"/>
          <w:lang w:val="en-GB"/>
        </w:rPr>
        <w:t xml:space="preserve">highlights a commercial conflict between two traders who hailed from </w:t>
      </w:r>
      <w:r w:rsidR="00DD77F1">
        <w:rPr>
          <w:rFonts w:ascii="Arial" w:hAnsi="Arial" w:cs="Arial"/>
          <w:lang w:val="en-GB"/>
        </w:rPr>
        <w:t xml:space="preserve">the two jurisdictions. </w:t>
      </w:r>
    </w:p>
    <w:p w:rsidR="002C3D2A" w:rsidRDefault="002C3D2A" w:rsidP="00BB662F">
      <w:pPr>
        <w:spacing w:line="360" w:lineRule="auto"/>
        <w:jc w:val="both"/>
        <w:rPr>
          <w:rFonts w:ascii="Arial" w:hAnsi="Arial" w:cs="Arial"/>
          <w:lang w:val="en-GB"/>
        </w:rPr>
      </w:pPr>
    </w:p>
    <w:p w:rsidR="001E5058" w:rsidRDefault="001E5058" w:rsidP="00BB662F">
      <w:pPr>
        <w:spacing w:line="360" w:lineRule="auto"/>
        <w:jc w:val="both"/>
        <w:rPr>
          <w:rFonts w:ascii="Arial" w:hAnsi="Arial" w:cs="Arial"/>
          <w:lang w:val="en-GB"/>
        </w:rPr>
      </w:pPr>
    </w:p>
    <w:p w:rsidR="002E2905" w:rsidRPr="005407FD" w:rsidRDefault="001B1F70" w:rsidP="00BB662F">
      <w:pPr>
        <w:spacing w:line="360" w:lineRule="auto"/>
        <w:jc w:val="both"/>
        <w:rPr>
          <w:rFonts w:ascii="Arial" w:hAnsi="Arial" w:cs="Arial"/>
          <w:i/>
          <w:u w:val="single"/>
          <w:lang w:val="en-GB"/>
        </w:rPr>
      </w:pPr>
      <w:r w:rsidRPr="001B1F70">
        <w:rPr>
          <w:rFonts w:ascii="Arial" w:hAnsi="Arial" w:cs="Arial"/>
          <w:i/>
          <w:u w:val="single"/>
          <w:lang w:val="en-GB"/>
        </w:rPr>
        <w:t>Dram</w:t>
      </w:r>
      <w:r>
        <w:rPr>
          <w:rFonts w:ascii="Arial" w:hAnsi="Arial" w:cs="Arial"/>
          <w:i/>
          <w:u w:val="single"/>
          <w:lang w:val="en-GB"/>
        </w:rPr>
        <w:t>a</w:t>
      </w:r>
      <w:r w:rsidRPr="001B1F70">
        <w:rPr>
          <w:rFonts w:ascii="Arial" w:hAnsi="Arial" w:cs="Arial"/>
          <w:i/>
          <w:u w:val="single"/>
          <w:lang w:val="en-GB"/>
        </w:rPr>
        <w:t>tis Personae</w:t>
      </w:r>
      <w:r>
        <w:rPr>
          <w:rFonts w:ascii="Arial" w:hAnsi="Arial" w:cs="Arial"/>
          <w:u w:val="single"/>
          <w:lang w:val="en-GB"/>
        </w:rPr>
        <w:t xml:space="preserve">  - </w:t>
      </w:r>
      <w:r w:rsidR="002E2905" w:rsidRPr="00966919">
        <w:rPr>
          <w:rFonts w:ascii="Arial" w:hAnsi="Arial" w:cs="Arial"/>
          <w:u w:val="single"/>
          <w:lang w:val="en-GB"/>
        </w:rPr>
        <w:t>The 2</w:t>
      </w:r>
      <w:r w:rsidR="002E2905" w:rsidRPr="00966919">
        <w:rPr>
          <w:rFonts w:ascii="Arial" w:hAnsi="Arial" w:cs="Arial"/>
          <w:u w:val="single"/>
          <w:vertAlign w:val="superscript"/>
          <w:lang w:val="en-GB"/>
        </w:rPr>
        <w:t>nd</w:t>
      </w:r>
      <w:r w:rsidR="002E2905" w:rsidRPr="00966919">
        <w:rPr>
          <w:rFonts w:ascii="Arial" w:hAnsi="Arial" w:cs="Arial"/>
          <w:u w:val="single"/>
          <w:lang w:val="en-GB"/>
        </w:rPr>
        <w:t xml:space="preserve"> Earl Bathurst</w:t>
      </w:r>
      <w:r w:rsidR="00966919">
        <w:rPr>
          <w:rStyle w:val="FootnoteReference"/>
          <w:rFonts w:ascii="Arial" w:hAnsi="Arial" w:cs="Arial"/>
          <w:lang w:val="en-GB"/>
        </w:rPr>
        <w:footnoteReference w:id="36"/>
      </w:r>
    </w:p>
    <w:p w:rsidR="002E2905" w:rsidRDefault="002E2905" w:rsidP="00BB662F">
      <w:pPr>
        <w:spacing w:line="360" w:lineRule="auto"/>
        <w:jc w:val="both"/>
        <w:rPr>
          <w:rFonts w:ascii="Arial" w:hAnsi="Arial" w:cs="Arial"/>
          <w:lang w:val="en-GB"/>
        </w:rPr>
      </w:pPr>
    </w:p>
    <w:p w:rsidR="001B1F70" w:rsidRDefault="001B1F70" w:rsidP="00BB662F">
      <w:pPr>
        <w:spacing w:line="360" w:lineRule="auto"/>
        <w:jc w:val="both"/>
        <w:rPr>
          <w:rFonts w:ascii="Arial" w:hAnsi="Arial" w:cs="Arial"/>
          <w:lang w:val="en-GB"/>
        </w:rPr>
      </w:pPr>
      <w:r>
        <w:rPr>
          <w:rFonts w:ascii="Arial" w:hAnsi="Arial" w:cs="Arial"/>
          <w:lang w:val="en-GB"/>
        </w:rPr>
        <w:t>On the 20</w:t>
      </w:r>
      <w:r w:rsidRPr="001B1F70">
        <w:rPr>
          <w:rFonts w:ascii="Arial" w:hAnsi="Arial" w:cs="Arial"/>
          <w:vertAlign w:val="superscript"/>
          <w:lang w:val="en-GB"/>
        </w:rPr>
        <w:t>th</w:t>
      </w:r>
      <w:r>
        <w:rPr>
          <w:rFonts w:ascii="Arial" w:hAnsi="Arial" w:cs="Arial"/>
          <w:lang w:val="en-GB"/>
        </w:rPr>
        <w:t xml:space="preserve"> May 1714</w:t>
      </w:r>
      <w:r w:rsidR="00074180">
        <w:rPr>
          <w:rStyle w:val="FootnoteReference"/>
          <w:rFonts w:ascii="Arial" w:hAnsi="Arial" w:cs="Arial"/>
          <w:lang w:val="en-GB"/>
        </w:rPr>
        <w:footnoteReference w:id="37"/>
      </w:r>
      <w:r>
        <w:rPr>
          <w:rFonts w:ascii="Arial" w:hAnsi="Arial" w:cs="Arial"/>
          <w:lang w:val="en-GB"/>
        </w:rPr>
        <w:t xml:space="preserve"> </w:t>
      </w:r>
      <w:r w:rsidR="00BF3ED0">
        <w:rPr>
          <w:rFonts w:ascii="Arial" w:hAnsi="Arial" w:cs="Arial"/>
          <w:lang w:val="en-GB"/>
        </w:rPr>
        <w:t xml:space="preserve">Allen Bathurst, </w:t>
      </w:r>
      <w:r>
        <w:rPr>
          <w:rFonts w:ascii="Arial" w:hAnsi="Arial" w:cs="Arial"/>
          <w:lang w:val="en-GB"/>
        </w:rPr>
        <w:t>th</w:t>
      </w:r>
      <w:r w:rsidR="00BF3ED0">
        <w:rPr>
          <w:rFonts w:ascii="Arial" w:hAnsi="Arial" w:cs="Arial"/>
          <w:lang w:val="en-GB"/>
        </w:rPr>
        <w:t>e first Earl Bathurst</w:t>
      </w:r>
      <w:r w:rsidR="00800321">
        <w:rPr>
          <w:rFonts w:ascii="Arial" w:hAnsi="Arial" w:cs="Arial"/>
          <w:lang w:val="en-GB"/>
        </w:rPr>
        <w:t>,</w:t>
      </w:r>
      <w:r>
        <w:rPr>
          <w:rFonts w:ascii="Arial" w:hAnsi="Arial" w:cs="Arial"/>
          <w:lang w:val="en-GB"/>
        </w:rPr>
        <w:t xml:space="preserve"> and his wife Catherine (nee </w:t>
      </w:r>
      <w:proofErr w:type="spellStart"/>
      <w:r>
        <w:rPr>
          <w:rFonts w:ascii="Arial" w:hAnsi="Arial" w:cs="Arial"/>
          <w:lang w:val="en-GB"/>
        </w:rPr>
        <w:t>A</w:t>
      </w:r>
      <w:r w:rsidR="007A5FFB">
        <w:rPr>
          <w:rFonts w:ascii="Arial" w:hAnsi="Arial" w:cs="Arial"/>
          <w:lang w:val="en-GB"/>
        </w:rPr>
        <w:t>psley</w:t>
      </w:r>
      <w:proofErr w:type="spellEnd"/>
      <w:r w:rsidR="007A5FFB">
        <w:rPr>
          <w:rFonts w:ascii="Arial" w:hAnsi="Arial" w:cs="Arial"/>
          <w:lang w:val="en-GB"/>
        </w:rPr>
        <w:t>) welcomed their second so into the world</w:t>
      </w:r>
      <w:r>
        <w:rPr>
          <w:rFonts w:ascii="Arial" w:hAnsi="Arial" w:cs="Arial"/>
          <w:lang w:val="en-GB"/>
        </w:rPr>
        <w:t xml:space="preserve">. Henry Bathurst (1714-1794) would go on to forge an illustrious career </w:t>
      </w:r>
      <w:r w:rsidR="007A5FFB">
        <w:rPr>
          <w:rFonts w:ascii="Arial" w:hAnsi="Arial" w:cs="Arial"/>
          <w:lang w:val="en-GB"/>
        </w:rPr>
        <w:t xml:space="preserve">in the law being created Lord </w:t>
      </w:r>
      <w:proofErr w:type="spellStart"/>
      <w:r w:rsidR="007A5FFB">
        <w:rPr>
          <w:rFonts w:ascii="Arial" w:hAnsi="Arial" w:cs="Arial"/>
          <w:lang w:val="en-GB"/>
        </w:rPr>
        <w:t>Apsley</w:t>
      </w:r>
      <w:proofErr w:type="spellEnd"/>
      <w:r w:rsidR="007A5FFB">
        <w:rPr>
          <w:rFonts w:ascii="Arial" w:hAnsi="Arial" w:cs="Arial"/>
          <w:lang w:val="en-GB"/>
        </w:rPr>
        <w:t xml:space="preserve"> in 1771 as Lord Chancellor </w:t>
      </w:r>
      <w:r>
        <w:rPr>
          <w:rFonts w:ascii="Arial" w:hAnsi="Arial" w:cs="Arial"/>
          <w:lang w:val="en-GB"/>
        </w:rPr>
        <w:t>before succeedin</w:t>
      </w:r>
      <w:r w:rsidR="006A6323">
        <w:rPr>
          <w:rFonts w:ascii="Arial" w:hAnsi="Arial" w:cs="Arial"/>
          <w:lang w:val="en-GB"/>
        </w:rPr>
        <w:t>g to his father’s Earldom in 1775</w:t>
      </w:r>
      <w:r w:rsidR="001048EB">
        <w:rPr>
          <w:rFonts w:ascii="Arial" w:hAnsi="Arial" w:cs="Arial"/>
          <w:lang w:val="en-GB"/>
        </w:rPr>
        <w:t>.</w:t>
      </w:r>
    </w:p>
    <w:p w:rsidR="001B1F70" w:rsidRDefault="001B1F70" w:rsidP="00BB662F">
      <w:pPr>
        <w:spacing w:line="360" w:lineRule="auto"/>
        <w:jc w:val="both"/>
        <w:rPr>
          <w:rFonts w:ascii="Arial" w:hAnsi="Arial" w:cs="Arial"/>
          <w:lang w:val="en-GB"/>
        </w:rPr>
      </w:pPr>
    </w:p>
    <w:p w:rsidR="00074180" w:rsidRDefault="006A6323" w:rsidP="00BB662F">
      <w:pPr>
        <w:spacing w:line="360" w:lineRule="auto"/>
        <w:jc w:val="both"/>
        <w:rPr>
          <w:rFonts w:ascii="Arial" w:hAnsi="Arial" w:cs="Arial"/>
          <w:lang w:val="en-GB"/>
        </w:rPr>
      </w:pPr>
      <w:r>
        <w:rPr>
          <w:rFonts w:ascii="Arial" w:hAnsi="Arial" w:cs="Arial"/>
          <w:lang w:val="en-GB"/>
        </w:rPr>
        <w:t>Bathurst</w:t>
      </w:r>
      <w:r w:rsidR="001B1F70">
        <w:rPr>
          <w:rFonts w:ascii="Arial" w:hAnsi="Arial" w:cs="Arial"/>
          <w:lang w:val="en-GB"/>
        </w:rPr>
        <w:t xml:space="preserve"> was educated at Eton College and at </w:t>
      </w:r>
      <w:proofErr w:type="spellStart"/>
      <w:r w:rsidR="001B1F70">
        <w:rPr>
          <w:rFonts w:ascii="Arial" w:hAnsi="Arial" w:cs="Arial"/>
          <w:lang w:val="en-GB"/>
        </w:rPr>
        <w:t>Bailliol</w:t>
      </w:r>
      <w:proofErr w:type="spellEnd"/>
      <w:r w:rsidR="001B1F70">
        <w:rPr>
          <w:rFonts w:ascii="Arial" w:hAnsi="Arial" w:cs="Arial"/>
          <w:lang w:val="en-GB"/>
        </w:rPr>
        <w:t xml:space="preserve"> College in the University of Oxford.</w:t>
      </w:r>
      <w:r w:rsidR="00074180">
        <w:rPr>
          <w:rFonts w:ascii="Arial" w:hAnsi="Arial" w:cs="Arial"/>
          <w:lang w:val="en-GB"/>
        </w:rPr>
        <w:t xml:space="preserve"> He took his degree of BA in 1733. </w:t>
      </w:r>
      <w:r w:rsidR="001B1F70">
        <w:rPr>
          <w:rFonts w:ascii="Arial" w:hAnsi="Arial" w:cs="Arial"/>
          <w:lang w:val="en-GB"/>
        </w:rPr>
        <w:t xml:space="preserve"> He read law at the Inner Temple and was called to the Bar in 1736.</w:t>
      </w:r>
      <w:r w:rsidR="000C1AD1">
        <w:rPr>
          <w:rFonts w:ascii="Arial" w:hAnsi="Arial" w:cs="Arial"/>
          <w:lang w:val="en-GB"/>
        </w:rPr>
        <w:t xml:space="preserve"> </w:t>
      </w:r>
      <w:r w:rsidR="00074180">
        <w:rPr>
          <w:rFonts w:ascii="Arial" w:hAnsi="Arial" w:cs="Arial"/>
          <w:lang w:val="en-GB"/>
        </w:rPr>
        <w:t>Whilst at the Bar Bathurst</w:t>
      </w:r>
      <w:r w:rsidR="007A5FFB">
        <w:rPr>
          <w:rFonts w:ascii="Arial" w:hAnsi="Arial" w:cs="Arial"/>
          <w:lang w:val="en-GB"/>
        </w:rPr>
        <w:t xml:space="preserve"> rode the Oxford circuit and appeared before</w:t>
      </w:r>
      <w:r w:rsidR="00074180">
        <w:rPr>
          <w:rFonts w:ascii="Arial" w:hAnsi="Arial" w:cs="Arial"/>
          <w:lang w:val="en-GB"/>
        </w:rPr>
        <w:t xml:space="preserve"> the Court of King’s Bench.</w:t>
      </w:r>
    </w:p>
    <w:p w:rsidR="00074180" w:rsidRDefault="00074180" w:rsidP="00BB662F">
      <w:pPr>
        <w:spacing w:line="360" w:lineRule="auto"/>
        <w:jc w:val="both"/>
        <w:rPr>
          <w:rFonts w:ascii="Arial" w:hAnsi="Arial" w:cs="Arial"/>
          <w:lang w:val="en-GB"/>
        </w:rPr>
      </w:pPr>
    </w:p>
    <w:p w:rsidR="002349D5" w:rsidRDefault="000C1AD1" w:rsidP="00BB662F">
      <w:pPr>
        <w:spacing w:line="360" w:lineRule="auto"/>
        <w:jc w:val="both"/>
        <w:rPr>
          <w:rFonts w:ascii="Arial" w:hAnsi="Arial" w:cs="Arial"/>
          <w:lang w:val="en-GB"/>
        </w:rPr>
      </w:pPr>
      <w:r>
        <w:rPr>
          <w:rFonts w:ascii="Arial" w:hAnsi="Arial" w:cs="Arial"/>
          <w:lang w:val="en-GB"/>
        </w:rPr>
        <w:t>A year previously he had been elected to Parliament for the family seat at Cirencester in Gloucestershire.</w:t>
      </w:r>
      <w:r w:rsidR="004A72DC">
        <w:rPr>
          <w:rFonts w:ascii="Arial" w:hAnsi="Arial" w:cs="Arial"/>
          <w:lang w:val="en-GB"/>
        </w:rPr>
        <w:t xml:space="preserve"> He sat from 1736 until 1751.</w:t>
      </w:r>
      <w:r w:rsidR="001B1F70">
        <w:rPr>
          <w:rFonts w:ascii="Arial" w:hAnsi="Arial" w:cs="Arial"/>
          <w:lang w:val="en-GB"/>
        </w:rPr>
        <w:t xml:space="preserve"> </w:t>
      </w:r>
      <w:r w:rsidR="002349D5">
        <w:rPr>
          <w:rFonts w:ascii="Arial" w:hAnsi="Arial" w:cs="Arial"/>
          <w:lang w:val="en-GB"/>
        </w:rPr>
        <w:t>During his time as an MP Bathurst made contributions to debates touching on international matters including staffing in the Navy and on the port of Dunkirk.</w:t>
      </w:r>
      <w:r w:rsidR="007A5FFB">
        <w:rPr>
          <w:rFonts w:ascii="Arial" w:hAnsi="Arial" w:cs="Arial"/>
          <w:lang w:val="en-GB"/>
        </w:rPr>
        <w:t xml:space="preserve"> International themes were familiar to Bathurst.</w:t>
      </w:r>
    </w:p>
    <w:p w:rsidR="002349D5" w:rsidRDefault="002349D5" w:rsidP="00BB662F">
      <w:pPr>
        <w:spacing w:line="360" w:lineRule="auto"/>
        <w:jc w:val="both"/>
        <w:rPr>
          <w:rFonts w:ascii="Arial" w:hAnsi="Arial" w:cs="Arial"/>
          <w:lang w:val="en-GB"/>
        </w:rPr>
      </w:pPr>
    </w:p>
    <w:p w:rsidR="001B1F70" w:rsidRDefault="000C1AD1" w:rsidP="00BB662F">
      <w:pPr>
        <w:spacing w:line="360" w:lineRule="auto"/>
        <w:jc w:val="both"/>
        <w:rPr>
          <w:rFonts w:ascii="Arial" w:hAnsi="Arial" w:cs="Arial"/>
          <w:lang w:val="en-GB"/>
        </w:rPr>
      </w:pPr>
      <w:r>
        <w:rPr>
          <w:rFonts w:ascii="Arial" w:hAnsi="Arial" w:cs="Arial"/>
          <w:lang w:val="en-GB"/>
        </w:rPr>
        <w:t xml:space="preserve">Advancement in the legal profession came quickly. </w:t>
      </w:r>
      <w:r w:rsidR="001B1F70">
        <w:rPr>
          <w:rFonts w:ascii="Arial" w:hAnsi="Arial" w:cs="Arial"/>
          <w:lang w:val="en-GB"/>
        </w:rPr>
        <w:t>On the 22</w:t>
      </w:r>
      <w:r w:rsidR="001B1F70" w:rsidRPr="001B1F70">
        <w:rPr>
          <w:rFonts w:ascii="Arial" w:hAnsi="Arial" w:cs="Arial"/>
          <w:vertAlign w:val="superscript"/>
          <w:lang w:val="en-GB"/>
        </w:rPr>
        <w:t>nd</w:t>
      </w:r>
      <w:r w:rsidR="001B1F70">
        <w:rPr>
          <w:rFonts w:ascii="Arial" w:hAnsi="Arial" w:cs="Arial"/>
          <w:lang w:val="en-GB"/>
        </w:rPr>
        <w:t xml:space="preserve"> June 1743</w:t>
      </w:r>
      <w:r>
        <w:rPr>
          <w:rFonts w:ascii="Arial" w:hAnsi="Arial" w:cs="Arial"/>
          <w:lang w:val="en-GB"/>
        </w:rPr>
        <w:t xml:space="preserve"> he was admitted to Lincoln’s Inn</w:t>
      </w:r>
      <w:r w:rsidR="007A5FFB">
        <w:rPr>
          <w:rFonts w:ascii="Arial" w:hAnsi="Arial" w:cs="Arial"/>
          <w:lang w:val="en-GB"/>
        </w:rPr>
        <w:t xml:space="preserve"> in addition to his Inner Temple membership</w:t>
      </w:r>
      <w:r>
        <w:rPr>
          <w:rFonts w:ascii="Arial" w:hAnsi="Arial" w:cs="Arial"/>
          <w:lang w:val="en-GB"/>
        </w:rPr>
        <w:t>. He was made a Bencher of Inner Temple 25th April 1746 having recently been elevated to the front bench taking silk</w:t>
      </w:r>
      <w:r w:rsidR="002349D5">
        <w:rPr>
          <w:rFonts w:ascii="Arial" w:hAnsi="Arial" w:cs="Arial"/>
          <w:lang w:val="en-GB"/>
        </w:rPr>
        <w:t xml:space="preserve"> as King’s Counsel</w:t>
      </w:r>
      <w:r>
        <w:rPr>
          <w:rFonts w:ascii="Arial" w:hAnsi="Arial" w:cs="Arial"/>
          <w:lang w:val="en-GB"/>
        </w:rPr>
        <w:t xml:space="preserve"> on the 20</w:t>
      </w:r>
      <w:r w:rsidRPr="000C1AD1">
        <w:rPr>
          <w:rFonts w:ascii="Arial" w:hAnsi="Arial" w:cs="Arial"/>
          <w:vertAlign w:val="superscript"/>
          <w:lang w:val="en-GB"/>
        </w:rPr>
        <w:t>th</w:t>
      </w:r>
      <w:r>
        <w:rPr>
          <w:rFonts w:ascii="Arial" w:hAnsi="Arial" w:cs="Arial"/>
          <w:lang w:val="en-GB"/>
        </w:rPr>
        <w:t xml:space="preserve"> January 1746.</w:t>
      </w:r>
      <w:r w:rsidR="00CF7288">
        <w:rPr>
          <w:rStyle w:val="FootnoteReference"/>
          <w:rFonts w:ascii="Arial" w:hAnsi="Arial" w:cs="Arial"/>
          <w:lang w:val="en-GB"/>
        </w:rPr>
        <w:footnoteReference w:id="38"/>
      </w:r>
      <w:r w:rsidR="006A6323">
        <w:rPr>
          <w:rFonts w:ascii="Arial" w:hAnsi="Arial" w:cs="Arial"/>
          <w:lang w:val="en-GB"/>
        </w:rPr>
        <w:t xml:space="preserve"> A year previously in </w:t>
      </w:r>
      <w:r w:rsidR="006A6323">
        <w:rPr>
          <w:rFonts w:ascii="Arial" w:hAnsi="Arial" w:cs="Arial"/>
          <w:lang w:val="en-GB"/>
        </w:rPr>
        <w:lastRenderedPageBreak/>
        <w:t>1745 Bathurst</w:t>
      </w:r>
      <w:r>
        <w:rPr>
          <w:rFonts w:ascii="Arial" w:hAnsi="Arial" w:cs="Arial"/>
          <w:lang w:val="en-GB"/>
        </w:rPr>
        <w:t xml:space="preserve"> had become Solicitor-General to Frederick, prince of Wales. In 1748 he became the Prince’s Attorney-General until the Prince’s death in 1751 w</w:t>
      </w:r>
      <w:r w:rsidR="006A6323">
        <w:rPr>
          <w:rFonts w:ascii="Arial" w:hAnsi="Arial" w:cs="Arial"/>
          <w:lang w:val="en-GB"/>
        </w:rPr>
        <w:t>hereupon Bathurst</w:t>
      </w:r>
      <w:r>
        <w:rPr>
          <w:rFonts w:ascii="Arial" w:hAnsi="Arial" w:cs="Arial"/>
          <w:lang w:val="en-GB"/>
        </w:rPr>
        <w:t xml:space="preserve"> became Attorney-General to George, prince of Wales. </w:t>
      </w:r>
    </w:p>
    <w:p w:rsidR="000C1AD1" w:rsidRDefault="000C1AD1" w:rsidP="00BB662F">
      <w:pPr>
        <w:spacing w:line="360" w:lineRule="auto"/>
        <w:jc w:val="both"/>
        <w:rPr>
          <w:rFonts w:ascii="Arial" w:hAnsi="Arial" w:cs="Arial"/>
          <w:lang w:val="en-GB"/>
        </w:rPr>
      </w:pPr>
    </w:p>
    <w:p w:rsidR="000C1AD1" w:rsidRDefault="000C1AD1" w:rsidP="00BB662F">
      <w:pPr>
        <w:spacing w:line="360" w:lineRule="auto"/>
        <w:jc w:val="both"/>
        <w:rPr>
          <w:rFonts w:ascii="Arial" w:hAnsi="Arial" w:cs="Arial"/>
          <w:lang w:val="en-GB"/>
        </w:rPr>
      </w:pPr>
      <w:r>
        <w:rPr>
          <w:rFonts w:ascii="Arial" w:hAnsi="Arial" w:cs="Arial"/>
          <w:lang w:val="en-GB"/>
        </w:rPr>
        <w:t>It was</w:t>
      </w:r>
      <w:r w:rsidR="006A6323">
        <w:rPr>
          <w:rFonts w:ascii="Arial" w:hAnsi="Arial" w:cs="Arial"/>
          <w:lang w:val="en-GB"/>
        </w:rPr>
        <w:t xml:space="preserve"> from these positions that Bathurst</w:t>
      </w:r>
      <w:r>
        <w:rPr>
          <w:rFonts w:ascii="Arial" w:hAnsi="Arial" w:cs="Arial"/>
          <w:lang w:val="en-GB"/>
        </w:rPr>
        <w:t xml:space="preserve"> was elevated to the</w:t>
      </w:r>
      <w:r w:rsidR="002349D5">
        <w:rPr>
          <w:rFonts w:ascii="Arial" w:hAnsi="Arial" w:cs="Arial"/>
          <w:lang w:val="en-GB"/>
        </w:rPr>
        <w:t xml:space="preserve"> position of a </w:t>
      </w:r>
      <w:proofErr w:type="spellStart"/>
      <w:r w:rsidR="002349D5">
        <w:rPr>
          <w:rFonts w:ascii="Arial" w:hAnsi="Arial" w:cs="Arial"/>
          <w:lang w:val="en-GB"/>
        </w:rPr>
        <w:t>pusine</w:t>
      </w:r>
      <w:proofErr w:type="spellEnd"/>
      <w:r w:rsidR="002349D5">
        <w:rPr>
          <w:rFonts w:ascii="Arial" w:hAnsi="Arial" w:cs="Arial"/>
          <w:lang w:val="en-GB"/>
        </w:rPr>
        <w:t xml:space="preserve"> judge of the</w:t>
      </w:r>
      <w:r>
        <w:rPr>
          <w:rFonts w:ascii="Arial" w:hAnsi="Arial" w:cs="Arial"/>
          <w:lang w:val="en-GB"/>
        </w:rPr>
        <w:t xml:space="preserve"> Court of Common Pleas on the 2</w:t>
      </w:r>
      <w:r w:rsidRPr="000C1AD1">
        <w:rPr>
          <w:rFonts w:ascii="Arial" w:hAnsi="Arial" w:cs="Arial"/>
          <w:vertAlign w:val="superscript"/>
          <w:lang w:val="en-GB"/>
        </w:rPr>
        <w:t>nd</w:t>
      </w:r>
      <w:r>
        <w:rPr>
          <w:rFonts w:ascii="Arial" w:hAnsi="Arial" w:cs="Arial"/>
          <w:lang w:val="en-GB"/>
        </w:rPr>
        <w:t xml:space="preserve"> May 1754</w:t>
      </w:r>
      <w:r w:rsidR="002349D5">
        <w:rPr>
          <w:rFonts w:ascii="Arial" w:hAnsi="Arial" w:cs="Arial"/>
          <w:lang w:val="en-GB"/>
        </w:rPr>
        <w:t xml:space="preserve"> by Lord Hardwicke</w:t>
      </w:r>
      <w:r>
        <w:rPr>
          <w:rFonts w:ascii="Arial" w:hAnsi="Arial" w:cs="Arial"/>
          <w:lang w:val="en-GB"/>
        </w:rPr>
        <w:t>.</w:t>
      </w:r>
      <w:r w:rsidR="00804DB8">
        <w:rPr>
          <w:rStyle w:val="FootnoteReference"/>
          <w:rFonts w:ascii="Arial" w:hAnsi="Arial" w:cs="Arial"/>
          <w:lang w:val="en-GB"/>
        </w:rPr>
        <w:footnoteReference w:id="39"/>
      </w:r>
      <w:r>
        <w:rPr>
          <w:rFonts w:ascii="Arial" w:hAnsi="Arial" w:cs="Arial"/>
          <w:lang w:val="en-GB"/>
        </w:rPr>
        <w:t xml:space="preserve"> He had stood aside from the family seat  in the general election of 1754 in favour of his brother. </w:t>
      </w:r>
      <w:r w:rsidR="00DA6AD4">
        <w:rPr>
          <w:rFonts w:ascii="Arial" w:hAnsi="Arial" w:cs="Arial"/>
          <w:lang w:val="en-GB"/>
        </w:rPr>
        <w:t>When Charles Yorke, the Lord Chancellor, died in 1770 the Great Seal was put into commission.</w:t>
      </w:r>
      <w:r w:rsidR="00306DFC">
        <w:rPr>
          <w:rStyle w:val="FootnoteReference"/>
          <w:rFonts w:ascii="Arial" w:hAnsi="Arial" w:cs="Arial"/>
          <w:lang w:val="en-GB"/>
        </w:rPr>
        <w:footnoteReference w:id="40"/>
      </w:r>
      <w:r w:rsidR="00DA6AD4">
        <w:rPr>
          <w:rFonts w:ascii="Arial" w:hAnsi="Arial" w:cs="Arial"/>
          <w:lang w:val="en-GB"/>
        </w:rPr>
        <w:t xml:space="preserve"> Bathurst became o</w:t>
      </w:r>
      <w:r w:rsidR="00CF7288">
        <w:rPr>
          <w:rFonts w:ascii="Arial" w:hAnsi="Arial" w:cs="Arial"/>
          <w:lang w:val="en-GB"/>
        </w:rPr>
        <w:t>ne of the commissioners whilst the Great Seal was in commission</w:t>
      </w:r>
      <w:r w:rsidR="00DA6AD4">
        <w:rPr>
          <w:rFonts w:ascii="Arial" w:hAnsi="Arial" w:cs="Arial"/>
          <w:lang w:val="en-GB"/>
        </w:rPr>
        <w:t xml:space="preserve"> before a new Lord Chancellor was appointed. It was Bathurst himself who would be appointed</w:t>
      </w:r>
      <w:r w:rsidR="004239BE">
        <w:rPr>
          <w:rFonts w:ascii="Arial" w:hAnsi="Arial" w:cs="Arial"/>
          <w:lang w:val="en-GB"/>
        </w:rPr>
        <w:t>, apparently</w:t>
      </w:r>
      <w:r w:rsidR="00DA6AD4">
        <w:rPr>
          <w:rFonts w:ascii="Arial" w:hAnsi="Arial" w:cs="Arial"/>
          <w:lang w:val="en-GB"/>
        </w:rPr>
        <w:t xml:space="preserve"> despite himself</w:t>
      </w:r>
      <w:r w:rsidR="004239BE">
        <w:rPr>
          <w:rFonts w:ascii="Arial" w:hAnsi="Arial" w:cs="Arial"/>
          <w:lang w:val="en-GB"/>
        </w:rPr>
        <w:t>,</w:t>
      </w:r>
      <w:r w:rsidR="00DA6AD4">
        <w:rPr>
          <w:rFonts w:ascii="Arial" w:hAnsi="Arial" w:cs="Arial"/>
          <w:lang w:val="en-GB"/>
        </w:rPr>
        <w:t xml:space="preserve"> on the 23</w:t>
      </w:r>
      <w:r w:rsidR="00DA6AD4" w:rsidRPr="00DA6AD4">
        <w:rPr>
          <w:rFonts w:ascii="Arial" w:hAnsi="Arial" w:cs="Arial"/>
          <w:vertAlign w:val="superscript"/>
          <w:lang w:val="en-GB"/>
        </w:rPr>
        <w:t>rd</w:t>
      </w:r>
      <w:r w:rsidR="00DA6AD4">
        <w:rPr>
          <w:rFonts w:ascii="Arial" w:hAnsi="Arial" w:cs="Arial"/>
          <w:lang w:val="en-GB"/>
        </w:rPr>
        <w:t xml:space="preserve"> January 1771. As Jones has observed: </w:t>
      </w:r>
    </w:p>
    <w:p w:rsidR="00DA6AD4" w:rsidRDefault="00DA6AD4" w:rsidP="00BB662F">
      <w:pPr>
        <w:spacing w:line="360" w:lineRule="auto"/>
        <w:jc w:val="both"/>
        <w:rPr>
          <w:rFonts w:ascii="Arial" w:hAnsi="Arial" w:cs="Arial"/>
          <w:lang w:val="en-GB"/>
        </w:rPr>
      </w:pPr>
    </w:p>
    <w:p w:rsidR="00DA6AD4" w:rsidRPr="004A6EC4" w:rsidRDefault="00DA6AD4" w:rsidP="00826448">
      <w:pPr>
        <w:ind w:left="720"/>
        <w:jc w:val="both"/>
        <w:rPr>
          <w:rFonts w:ascii="Arial" w:hAnsi="Arial" w:cs="Arial"/>
          <w:i/>
          <w:sz w:val="22"/>
          <w:szCs w:val="22"/>
          <w:lang w:val="en-GB"/>
        </w:rPr>
      </w:pPr>
      <w:r w:rsidRPr="004A6EC4">
        <w:rPr>
          <w:rFonts w:ascii="Arial" w:hAnsi="Arial" w:cs="Arial"/>
          <w:i/>
          <w:sz w:val="22"/>
          <w:szCs w:val="22"/>
          <w:lang w:val="en-GB"/>
        </w:rPr>
        <w:t xml:space="preserve">“As the commissioners were thought incompetent, there was considerable surprise when on 23 January 1771 Bathurst, regarded as the least competent, was appointed lord chancellor and raised to the peerage as Baron </w:t>
      </w:r>
      <w:proofErr w:type="spellStart"/>
      <w:r w:rsidRPr="004A6EC4">
        <w:rPr>
          <w:rFonts w:ascii="Arial" w:hAnsi="Arial" w:cs="Arial"/>
          <w:i/>
          <w:sz w:val="22"/>
          <w:szCs w:val="22"/>
          <w:lang w:val="en-GB"/>
        </w:rPr>
        <w:t>Apsley</w:t>
      </w:r>
      <w:proofErr w:type="spellEnd"/>
      <w:r w:rsidRPr="004A6EC4">
        <w:rPr>
          <w:rFonts w:ascii="Arial" w:hAnsi="Arial" w:cs="Arial"/>
          <w:i/>
          <w:sz w:val="22"/>
          <w:szCs w:val="22"/>
          <w:lang w:val="en-GB"/>
        </w:rPr>
        <w:t>.</w:t>
      </w:r>
      <w:r w:rsidR="00A57685" w:rsidRPr="004A6EC4">
        <w:rPr>
          <w:rFonts w:ascii="Arial" w:hAnsi="Arial" w:cs="Arial"/>
          <w:i/>
          <w:sz w:val="22"/>
          <w:szCs w:val="22"/>
          <w:lang w:val="en-GB"/>
        </w:rPr>
        <w:t>”</w:t>
      </w:r>
      <w:r w:rsidR="00A57685" w:rsidRPr="004A6EC4">
        <w:rPr>
          <w:rStyle w:val="FootnoteReference"/>
          <w:rFonts w:ascii="Arial" w:hAnsi="Arial" w:cs="Arial"/>
          <w:sz w:val="22"/>
          <w:szCs w:val="22"/>
          <w:lang w:val="en-GB"/>
        </w:rPr>
        <w:footnoteReference w:id="41"/>
      </w:r>
    </w:p>
    <w:p w:rsidR="001B1F70" w:rsidRDefault="001B1F70" w:rsidP="00BB662F">
      <w:pPr>
        <w:spacing w:line="360" w:lineRule="auto"/>
        <w:jc w:val="both"/>
        <w:rPr>
          <w:rFonts w:ascii="Arial" w:hAnsi="Arial" w:cs="Arial"/>
          <w:lang w:val="en-GB"/>
        </w:rPr>
      </w:pPr>
    </w:p>
    <w:p w:rsidR="00924F85" w:rsidRDefault="00924F85" w:rsidP="00BB662F">
      <w:pPr>
        <w:spacing w:line="360" w:lineRule="auto"/>
        <w:jc w:val="both"/>
        <w:rPr>
          <w:rFonts w:ascii="Arial" w:hAnsi="Arial" w:cs="Arial"/>
          <w:lang w:val="en-GB"/>
        </w:rPr>
      </w:pPr>
      <w:r>
        <w:rPr>
          <w:rFonts w:ascii="Arial" w:hAnsi="Arial" w:cs="Arial"/>
          <w:lang w:val="en-GB"/>
        </w:rPr>
        <w:t xml:space="preserve">Bathurst was installed </w:t>
      </w:r>
      <w:r w:rsidR="0075779C">
        <w:rPr>
          <w:rFonts w:ascii="Arial" w:hAnsi="Arial" w:cs="Arial"/>
          <w:lang w:val="en-GB"/>
        </w:rPr>
        <w:t xml:space="preserve">as Lord Chancellor and raised to the peerage with the title Baron </w:t>
      </w:r>
      <w:proofErr w:type="spellStart"/>
      <w:r w:rsidR="0075779C">
        <w:rPr>
          <w:rFonts w:ascii="Arial" w:hAnsi="Arial" w:cs="Arial"/>
          <w:lang w:val="en-GB"/>
        </w:rPr>
        <w:t>Apsley</w:t>
      </w:r>
      <w:proofErr w:type="spellEnd"/>
      <w:r w:rsidR="0075779C">
        <w:rPr>
          <w:rFonts w:ascii="Arial" w:hAnsi="Arial" w:cs="Arial"/>
          <w:lang w:val="en-GB"/>
        </w:rPr>
        <w:t xml:space="preserve"> </w:t>
      </w:r>
      <w:r w:rsidR="00C5096A">
        <w:rPr>
          <w:rFonts w:ascii="Arial" w:hAnsi="Arial" w:cs="Arial"/>
          <w:lang w:val="en-GB"/>
        </w:rPr>
        <w:t xml:space="preserve">of </w:t>
      </w:r>
      <w:proofErr w:type="spellStart"/>
      <w:r w:rsidR="00C5096A">
        <w:rPr>
          <w:rFonts w:ascii="Arial" w:hAnsi="Arial" w:cs="Arial"/>
          <w:lang w:val="en-GB"/>
        </w:rPr>
        <w:t>A</w:t>
      </w:r>
      <w:r w:rsidR="0075779C">
        <w:rPr>
          <w:rFonts w:ascii="Arial" w:hAnsi="Arial" w:cs="Arial"/>
          <w:lang w:val="en-GB"/>
        </w:rPr>
        <w:t>psley</w:t>
      </w:r>
      <w:proofErr w:type="spellEnd"/>
      <w:r w:rsidR="0075779C">
        <w:rPr>
          <w:rStyle w:val="FootnoteReference"/>
          <w:rFonts w:ascii="Arial" w:hAnsi="Arial" w:cs="Arial"/>
          <w:lang w:val="en-GB"/>
        </w:rPr>
        <w:footnoteReference w:id="42"/>
      </w:r>
      <w:r w:rsidR="0075779C">
        <w:rPr>
          <w:rFonts w:ascii="Arial" w:hAnsi="Arial" w:cs="Arial"/>
          <w:lang w:val="en-GB"/>
        </w:rPr>
        <w:t xml:space="preserve"> </w:t>
      </w:r>
      <w:r w:rsidR="00FE1BF0">
        <w:rPr>
          <w:rFonts w:ascii="Arial" w:hAnsi="Arial" w:cs="Arial"/>
          <w:lang w:val="en-GB"/>
        </w:rPr>
        <w:t>in the county of S</w:t>
      </w:r>
      <w:r w:rsidR="0075779C">
        <w:rPr>
          <w:rFonts w:ascii="Arial" w:hAnsi="Arial" w:cs="Arial"/>
          <w:lang w:val="en-GB"/>
        </w:rPr>
        <w:t xml:space="preserve">ussex </w:t>
      </w:r>
      <w:r>
        <w:rPr>
          <w:rFonts w:ascii="Arial" w:hAnsi="Arial" w:cs="Arial"/>
          <w:lang w:val="en-GB"/>
        </w:rPr>
        <w:t>on the 23</w:t>
      </w:r>
      <w:r w:rsidRPr="00924F85">
        <w:rPr>
          <w:rFonts w:ascii="Arial" w:hAnsi="Arial" w:cs="Arial"/>
          <w:vertAlign w:val="superscript"/>
          <w:lang w:val="en-GB"/>
        </w:rPr>
        <w:t>rd</w:t>
      </w:r>
      <w:r>
        <w:rPr>
          <w:rFonts w:ascii="Arial" w:hAnsi="Arial" w:cs="Arial"/>
          <w:lang w:val="en-GB"/>
        </w:rPr>
        <w:t xml:space="preserve"> January 1771</w:t>
      </w:r>
      <w:r w:rsidR="0075779C">
        <w:rPr>
          <w:rFonts w:ascii="Arial" w:hAnsi="Arial" w:cs="Arial"/>
          <w:lang w:val="en-GB"/>
        </w:rPr>
        <w:t xml:space="preserve"> at St. James’s, the first day of the Hilary term.</w:t>
      </w:r>
      <w:r w:rsidR="00C5096A">
        <w:rPr>
          <w:rFonts w:ascii="Arial" w:hAnsi="Arial" w:cs="Arial"/>
          <w:lang w:val="en-GB"/>
        </w:rPr>
        <w:t xml:space="preserve"> A day later he surrender his </w:t>
      </w:r>
      <w:proofErr w:type="spellStart"/>
      <w:r w:rsidR="00C5096A">
        <w:rPr>
          <w:rFonts w:ascii="Arial" w:hAnsi="Arial" w:cs="Arial"/>
          <w:lang w:val="en-GB"/>
        </w:rPr>
        <w:t>pusine</w:t>
      </w:r>
      <w:proofErr w:type="spellEnd"/>
      <w:r w:rsidR="00C5096A">
        <w:rPr>
          <w:rFonts w:ascii="Arial" w:hAnsi="Arial" w:cs="Arial"/>
          <w:lang w:val="en-GB"/>
        </w:rPr>
        <w:t xml:space="preserve"> judgeship.</w:t>
      </w:r>
      <w:r w:rsidR="00C5096A">
        <w:rPr>
          <w:rStyle w:val="FootnoteReference"/>
          <w:rFonts w:ascii="Arial" w:hAnsi="Arial" w:cs="Arial"/>
          <w:lang w:val="en-GB"/>
        </w:rPr>
        <w:footnoteReference w:id="43"/>
      </w:r>
      <w:r w:rsidR="000B4A73">
        <w:rPr>
          <w:rFonts w:ascii="Arial" w:hAnsi="Arial" w:cs="Arial"/>
          <w:lang w:val="en-GB"/>
        </w:rPr>
        <w:t xml:space="preserve"> </w:t>
      </w:r>
      <w:r w:rsidR="00253C16">
        <w:rPr>
          <w:rFonts w:ascii="Arial" w:hAnsi="Arial" w:cs="Arial"/>
          <w:lang w:val="en-GB"/>
        </w:rPr>
        <w:t xml:space="preserve">His tenure on the Woolsack lasted seven years. </w:t>
      </w:r>
    </w:p>
    <w:p w:rsidR="000B4A73" w:rsidRDefault="000B4A73" w:rsidP="00BB662F">
      <w:pPr>
        <w:spacing w:line="360" w:lineRule="auto"/>
        <w:jc w:val="both"/>
        <w:rPr>
          <w:rFonts w:ascii="Arial" w:hAnsi="Arial" w:cs="Arial"/>
          <w:lang w:val="en-GB"/>
        </w:rPr>
      </w:pPr>
    </w:p>
    <w:p w:rsidR="002E2905" w:rsidRDefault="00201307" w:rsidP="00BB662F">
      <w:pPr>
        <w:spacing w:line="360" w:lineRule="auto"/>
        <w:jc w:val="both"/>
        <w:rPr>
          <w:rFonts w:ascii="Arial" w:hAnsi="Arial" w:cs="Arial"/>
          <w:lang w:val="en-GB"/>
        </w:rPr>
      </w:pPr>
      <w:r>
        <w:rPr>
          <w:rFonts w:ascii="Arial" w:hAnsi="Arial" w:cs="Arial"/>
          <w:lang w:val="en-GB"/>
        </w:rPr>
        <w:t>In 1775</w:t>
      </w:r>
      <w:r w:rsidR="006A6323">
        <w:rPr>
          <w:rFonts w:ascii="Arial" w:hAnsi="Arial" w:cs="Arial"/>
          <w:lang w:val="en-GB"/>
        </w:rPr>
        <w:t xml:space="preserve"> </w:t>
      </w:r>
      <w:r w:rsidR="002E2905">
        <w:rPr>
          <w:rFonts w:ascii="Arial" w:hAnsi="Arial" w:cs="Arial"/>
          <w:lang w:val="en-GB"/>
        </w:rPr>
        <w:t>Bathurst became the 2</w:t>
      </w:r>
      <w:r w:rsidR="002E2905" w:rsidRPr="002E2905">
        <w:rPr>
          <w:rFonts w:ascii="Arial" w:hAnsi="Arial" w:cs="Arial"/>
          <w:vertAlign w:val="superscript"/>
          <w:lang w:val="en-GB"/>
        </w:rPr>
        <w:t>nd</w:t>
      </w:r>
      <w:r w:rsidR="002E2905">
        <w:rPr>
          <w:rFonts w:ascii="Arial" w:hAnsi="Arial" w:cs="Arial"/>
          <w:lang w:val="en-GB"/>
        </w:rPr>
        <w:t xml:space="preserve"> Earl Bathurst, succeeding to his father’s Earldom. </w:t>
      </w:r>
      <w:r>
        <w:rPr>
          <w:rFonts w:ascii="Arial" w:hAnsi="Arial" w:cs="Arial"/>
          <w:lang w:val="en-GB"/>
        </w:rPr>
        <w:t>He was replaced as Lo</w:t>
      </w:r>
      <w:r w:rsidR="0069427E">
        <w:rPr>
          <w:rFonts w:ascii="Arial" w:hAnsi="Arial" w:cs="Arial"/>
          <w:lang w:val="en-GB"/>
        </w:rPr>
        <w:t xml:space="preserve">rd Chancellor </w:t>
      </w:r>
      <w:r>
        <w:rPr>
          <w:rFonts w:ascii="Arial" w:hAnsi="Arial" w:cs="Arial"/>
          <w:lang w:val="en-GB"/>
        </w:rPr>
        <w:t>on the 3</w:t>
      </w:r>
      <w:r w:rsidRPr="00201307">
        <w:rPr>
          <w:rFonts w:ascii="Arial" w:hAnsi="Arial" w:cs="Arial"/>
          <w:vertAlign w:val="superscript"/>
          <w:lang w:val="en-GB"/>
        </w:rPr>
        <w:t>rd</w:t>
      </w:r>
      <w:r>
        <w:rPr>
          <w:rFonts w:ascii="Arial" w:hAnsi="Arial" w:cs="Arial"/>
          <w:lang w:val="en-GB"/>
        </w:rPr>
        <w:t xml:space="preserve"> June 1778</w:t>
      </w:r>
      <w:r w:rsidR="0069427E">
        <w:rPr>
          <w:rFonts w:ascii="Arial" w:hAnsi="Arial" w:cs="Arial"/>
          <w:lang w:val="en-GB"/>
        </w:rPr>
        <w:t xml:space="preserve"> when he su</w:t>
      </w:r>
      <w:r w:rsidR="00970363">
        <w:rPr>
          <w:rFonts w:ascii="Arial" w:hAnsi="Arial" w:cs="Arial"/>
          <w:lang w:val="en-GB"/>
        </w:rPr>
        <w:t>rrendered the Great Seal</w:t>
      </w:r>
      <w:r>
        <w:rPr>
          <w:rFonts w:ascii="Arial" w:hAnsi="Arial" w:cs="Arial"/>
          <w:lang w:val="en-GB"/>
        </w:rPr>
        <w:t>.</w:t>
      </w:r>
      <w:r w:rsidR="00970363">
        <w:rPr>
          <w:rFonts w:ascii="Arial" w:hAnsi="Arial" w:cs="Arial"/>
          <w:lang w:val="en-GB"/>
        </w:rPr>
        <w:t xml:space="preserve"> Edward Thurlow, then Attorney-General, became Lord Chancellor in his place.</w:t>
      </w:r>
      <w:r>
        <w:rPr>
          <w:rFonts w:ascii="Arial" w:hAnsi="Arial" w:cs="Arial"/>
          <w:lang w:val="en-GB"/>
        </w:rPr>
        <w:t xml:space="preserve"> Bathurst then acted</w:t>
      </w:r>
      <w:r w:rsidR="00253C16">
        <w:rPr>
          <w:rFonts w:ascii="Arial" w:hAnsi="Arial" w:cs="Arial"/>
          <w:lang w:val="en-GB"/>
        </w:rPr>
        <w:t xml:space="preserve"> as</w:t>
      </w:r>
      <w:r>
        <w:rPr>
          <w:rFonts w:ascii="Arial" w:hAnsi="Arial" w:cs="Arial"/>
          <w:lang w:val="en-GB"/>
        </w:rPr>
        <w:t xml:space="preserve"> Lord President of the Council until 1782. </w:t>
      </w:r>
    </w:p>
    <w:p w:rsidR="006057CE" w:rsidRDefault="006057CE" w:rsidP="00BB662F">
      <w:pPr>
        <w:spacing w:line="360" w:lineRule="auto"/>
        <w:jc w:val="both"/>
        <w:rPr>
          <w:rFonts w:ascii="Arial" w:hAnsi="Arial" w:cs="Arial"/>
          <w:lang w:val="en-GB"/>
        </w:rPr>
      </w:pPr>
    </w:p>
    <w:p w:rsidR="006057CE" w:rsidRDefault="006057CE" w:rsidP="00BB662F">
      <w:pPr>
        <w:spacing w:line="360" w:lineRule="auto"/>
        <w:jc w:val="both"/>
        <w:rPr>
          <w:rFonts w:ascii="Arial" w:hAnsi="Arial" w:cs="Arial"/>
          <w:lang w:val="en-GB"/>
        </w:rPr>
      </w:pPr>
      <w:r>
        <w:rPr>
          <w:rFonts w:ascii="Arial" w:hAnsi="Arial" w:cs="Arial"/>
          <w:lang w:val="en-GB"/>
        </w:rPr>
        <w:lastRenderedPageBreak/>
        <w:t xml:space="preserve">In later life Bathurst may himself have encountered the bankruptcy laws in a personal capacity, at least from the perspective of a creditor. The </w:t>
      </w:r>
      <w:r w:rsidR="00D675E8">
        <w:rPr>
          <w:rFonts w:ascii="Arial" w:hAnsi="Arial" w:cs="Arial"/>
          <w:lang w:val="en-GB"/>
        </w:rPr>
        <w:t>Gloucestershire</w:t>
      </w:r>
      <w:r>
        <w:rPr>
          <w:rFonts w:ascii="Arial" w:hAnsi="Arial" w:cs="Arial"/>
          <w:lang w:val="en-GB"/>
        </w:rPr>
        <w:t xml:space="preserve"> Archives contain papers concerning a law suit brought by Bathurst.</w:t>
      </w:r>
      <w:r>
        <w:rPr>
          <w:rStyle w:val="FootnoteReference"/>
          <w:rFonts w:ascii="Arial" w:hAnsi="Arial" w:cs="Arial"/>
          <w:lang w:val="en-GB"/>
        </w:rPr>
        <w:footnoteReference w:id="44"/>
      </w:r>
    </w:p>
    <w:p w:rsidR="00201307" w:rsidRDefault="00201307" w:rsidP="00BB662F">
      <w:pPr>
        <w:spacing w:line="360" w:lineRule="auto"/>
        <w:jc w:val="both"/>
        <w:rPr>
          <w:rFonts w:ascii="Arial" w:hAnsi="Arial" w:cs="Arial"/>
          <w:lang w:val="en-GB"/>
        </w:rPr>
      </w:pPr>
    </w:p>
    <w:p w:rsidR="00201307" w:rsidRDefault="002A2B09" w:rsidP="00BB662F">
      <w:pPr>
        <w:spacing w:line="360" w:lineRule="auto"/>
        <w:jc w:val="both"/>
        <w:rPr>
          <w:rFonts w:ascii="Arial" w:hAnsi="Arial" w:cs="Arial"/>
          <w:lang w:val="en-GB"/>
        </w:rPr>
      </w:pPr>
      <w:r>
        <w:rPr>
          <w:rFonts w:ascii="Arial" w:hAnsi="Arial" w:cs="Arial"/>
          <w:lang w:val="en-GB"/>
        </w:rPr>
        <w:t xml:space="preserve">One of his more recent </w:t>
      </w:r>
      <w:r w:rsidR="009B3132">
        <w:rPr>
          <w:rFonts w:ascii="Arial" w:hAnsi="Arial" w:cs="Arial"/>
          <w:lang w:val="en-GB"/>
        </w:rPr>
        <w:t>biogr</w:t>
      </w:r>
      <w:r w:rsidR="00201307">
        <w:rPr>
          <w:rFonts w:ascii="Arial" w:hAnsi="Arial" w:cs="Arial"/>
          <w:lang w:val="en-GB"/>
        </w:rPr>
        <w:t>apher</w:t>
      </w:r>
      <w:r>
        <w:rPr>
          <w:rFonts w:ascii="Arial" w:hAnsi="Arial" w:cs="Arial"/>
          <w:lang w:val="en-GB"/>
        </w:rPr>
        <w:t>s</w:t>
      </w:r>
      <w:r w:rsidR="00201307">
        <w:rPr>
          <w:rFonts w:ascii="Arial" w:hAnsi="Arial" w:cs="Arial"/>
          <w:lang w:val="en-GB"/>
        </w:rPr>
        <w:t xml:space="preserve"> takes a dim view of Bathurst’s performance as Lord Chancellor. Jones notes: </w:t>
      </w:r>
    </w:p>
    <w:p w:rsidR="00201307" w:rsidRDefault="00201307" w:rsidP="00BB662F">
      <w:pPr>
        <w:spacing w:line="360" w:lineRule="auto"/>
        <w:jc w:val="both"/>
        <w:rPr>
          <w:rFonts w:ascii="Arial" w:hAnsi="Arial" w:cs="Arial"/>
          <w:lang w:val="en-GB"/>
        </w:rPr>
      </w:pPr>
    </w:p>
    <w:p w:rsidR="00201307" w:rsidRPr="00AE53EE" w:rsidRDefault="00201307" w:rsidP="00E9377A">
      <w:pPr>
        <w:ind w:left="720"/>
        <w:jc w:val="both"/>
        <w:rPr>
          <w:rFonts w:ascii="Arial" w:hAnsi="Arial" w:cs="Arial"/>
          <w:i/>
          <w:sz w:val="22"/>
          <w:szCs w:val="22"/>
          <w:lang w:val="en-GB"/>
        </w:rPr>
      </w:pPr>
      <w:r w:rsidRPr="00AE53EE">
        <w:rPr>
          <w:rFonts w:ascii="Arial" w:hAnsi="Arial" w:cs="Arial"/>
          <w:i/>
          <w:sz w:val="22"/>
          <w:szCs w:val="22"/>
          <w:lang w:val="en-GB"/>
        </w:rPr>
        <w:t>“His abilities were mediocre and unsuited to the high offices which he came to fill, but even his critic Lord Campbell admitted that his career had been without reproach and that, so far as the public could observe, he had performed his duties decently.”</w:t>
      </w:r>
      <w:r w:rsidR="009B3132" w:rsidRPr="00AE53EE">
        <w:rPr>
          <w:rStyle w:val="FootnoteReference"/>
          <w:rFonts w:ascii="Arial" w:hAnsi="Arial" w:cs="Arial"/>
          <w:sz w:val="22"/>
          <w:szCs w:val="22"/>
          <w:lang w:val="en-GB"/>
        </w:rPr>
        <w:footnoteReference w:id="45"/>
      </w:r>
    </w:p>
    <w:p w:rsidR="009B3132" w:rsidRDefault="009B3132" w:rsidP="00BB662F">
      <w:pPr>
        <w:spacing w:line="360" w:lineRule="auto"/>
        <w:jc w:val="both"/>
        <w:rPr>
          <w:rFonts w:ascii="Arial" w:hAnsi="Arial" w:cs="Arial"/>
          <w:lang w:val="en-GB"/>
        </w:rPr>
      </w:pPr>
    </w:p>
    <w:p w:rsidR="000318FB" w:rsidRDefault="000318FB" w:rsidP="00BB662F">
      <w:pPr>
        <w:spacing w:line="360" w:lineRule="auto"/>
        <w:jc w:val="both"/>
        <w:rPr>
          <w:rFonts w:ascii="Arial" w:hAnsi="Arial" w:cs="Arial"/>
          <w:lang w:val="en-GB"/>
        </w:rPr>
      </w:pPr>
      <w:r>
        <w:rPr>
          <w:rFonts w:ascii="Arial" w:hAnsi="Arial" w:cs="Arial"/>
          <w:lang w:val="en-GB"/>
        </w:rPr>
        <w:t xml:space="preserve">This </w:t>
      </w:r>
      <w:r w:rsidR="000302D2">
        <w:rPr>
          <w:rFonts w:ascii="Arial" w:hAnsi="Arial" w:cs="Arial"/>
          <w:lang w:val="en-GB"/>
        </w:rPr>
        <w:t>was not however before Campbell</w:t>
      </w:r>
      <w:r>
        <w:rPr>
          <w:rFonts w:ascii="Arial" w:hAnsi="Arial" w:cs="Arial"/>
          <w:lang w:val="en-GB"/>
        </w:rPr>
        <w:t xml:space="preserve"> noted “One incompetent Judge better than three”</w:t>
      </w:r>
      <w:r>
        <w:rPr>
          <w:rStyle w:val="FootnoteReference"/>
          <w:rFonts w:ascii="Arial" w:hAnsi="Arial" w:cs="Arial"/>
          <w:lang w:val="en-GB"/>
        </w:rPr>
        <w:footnoteReference w:id="46"/>
      </w:r>
      <w:r>
        <w:rPr>
          <w:rFonts w:ascii="Arial" w:hAnsi="Arial" w:cs="Arial"/>
          <w:lang w:val="en-GB"/>
        </w:rPr>
        <w:t xml:space="preserve"> in relation to Bathurst succeeding the three man commission that had held the Gr</w:t>
      </w:r>
      <w:r w:rsidR="001B4CF0">
        <w:rPr>
          <w:rFonts w:ascii="Arial" w:hAnsi="Arial" w:cs="Arial"/>
          <w:lang w:val="en-GB"/>
        </w:rPr>
        <w:t>eat Seal up to his appointment following the death by suicide of Charles Yorke, Lord Morden</w:t>
      </w:r>
      <w:r w:rsidR="003C26EA">
        <w:rPr>
          <w:rFonts w:ascii="Arial" w:hAnsi="Arial" w:cs="Arial"/>
          <w:lang w:val="en-GB"/>
        </w:rPr>
        <w:t>, the short</w:t>
      </w:r>
      <w:r w:rsidR="001B4CF0">
        <w:rPr>
          <w:rFonts w:ascii="Arial" w:hAnsi="Arial" w:cs="Arial"/>
          <w:lang w:val="en-GB"/>
        </w:rPr>
        <w:t xml:space="preserve">-lived previous </w:t>
      </w:r>
      <w:r w:rsidR="003C26EA">
        <w:rPr>
          <w:rFonts w:ascii="Arial" w:hAnsi="Arial" w:cs="Arial"/>
          <w:lang w:val="en-GB"/>
        </w:rPr>
        <w:t>incumbent</w:t>
      </w:r>
      <w:r w:rsidR="001B4CF0">
        <w:rPr>
          <w:rFonts w:ascii="Arial" w:hAnsi="Arial" w:cs="Arial"/>
          <w:lang w:val="en-GB"/>
        </w:rPr>
        <w:t xml:space="preserve"> of t</w:t>
      </w:r>
      <w:r w:rsidR="00E80D00">
        <w:rPr>
          <w:rFonts w:ascii="Arial" w:hAnsi="Arial" w:cs="Arial"/>
          <w:lang w:val="en-GB"/>
        </w:rPr>
        <w:t>he W</w:t>
      </w:r>
      <w:r w:rsidR="001B4CF0">
        <w:rPr>
          <w:rFonts w:ascii="Arial" w:hAnsi="Arial" w:cs="Arial"/>
          <w:lang w:val="en-GB"/>
        </w:rPr>
        <w:t>oolsack.</w:t>
      </w:r>
      <w:r w:rsidR="002A0FF3">
        <w:rPr>
          <w:rFonts w:ascii="Arial" w:hAnsi="Arial" w:cs="Arial"/>
          <w:lang w:val="en-GB"/>
        </w:rPr>
        <w:t xml:space="preserve"> Campbell, who some have argued is an unreliable commentator,</w:t>
      </w:r>
      <w:r w:rsidR="00074180">
        <w:rPr>
          <w:rStyle w:val="FootnoteReference"/>
          <w:rFonts w:ascii="Arial" w:hAnsi="Arial" w:cs="Arial"/>
          <w:lang w:val="en-GB"/>
        </w:rPr>
        <w:footnoteReference w:id="47"/>
      </w:r>
      <w:r w:rsidR="002A0FF3">
        <w:rPr>
          <w:rFonts w:ascii="Arial" w:hAnsi="Arial" w:cs="Arial"/>
          <w:lang w:val="en-GB"/>
        </w:rPr>
        <w:t xml:space="preserve"> pulled no punches in relation to</w:t>
      </w:r>
      <w:r w:rsidR="00F77050">
        <w:rPr>
          <w:rFonts w:ascii="Arial" w:hAnsi="Arial" w:cs="Arial"/>
          <w:lang w:val="en-GB"/>
        </w:rPr>
        <w:t xml:space="preserve"> Bathurst. In his forty</w:t>
      </w:r>
      <w:r w:rsidR="002A0FF3">
        <w:rPr>
          <w:rFonts w:ascii="Arial" w:hAnsi="Arial" w:cs="Arial"/>
          <w:lang w:val="en-GB"/>
        </w:rPr>
        <w:t xml:space="preserve"> page treatment of Bathurst’</w:t>
      </w:r>
      <w:r w:rsidR="00F77050">
        <w:rPr>
          <w:rFonts w:ascii="Arial" w:hAnsi="Arial" w:cs="Arial"/>
          <w:lang w:val="en-GB"/>
        </w:rPr>
        <w:t>s tenure on the W</w:t>
      </w:r>
      <w:r w:rsidR="002A0FF3">
        <w:rPr>
          <w:rFonts w:ascii="Arial" w:hAnsi="Arial" w:cs="Arial"/>
          <w:lang w:val="en-GB"/>
        </w:rPr>
        <w:t xml:space="preserve">oolsack </w:t>
      </w:r>
      <w:r w:rsidR="00DC74A9">
        <w:rPr>
          <w:rFonts w:ascii="Arial" w:hAnsi="Arial" w:cs="Arial"/>
          <w:lang w:val="en-GB"/>
        </w:rPr>
        <w:t>critique abounds. For example, in h</w:t>
      </w:r>
      <w:r w:rsidR="00BB7C5E">
        <w:rPr>
          <w:rFonts w:ascii="Arial" w:hAnsi="Arial" w:cs="Arial"/>
          <w:lang w:val="en-GB"/>
        </w:rPr>
        <w:t>is introduction Campbell notes that Bathurst was, “…little qualified for any intellectual pursuit”</w:t>
      </w:r>
      <w:r w:rsidR="00BB7C5E">
        <w:rPr>
          <w:rStyle w:val="FootnoteReference"/>
          <w:rFonts w:ascii="Arial" w:hAnsi="Arial" w:cs="Arial"/>
          <w:lang w:val="en-GB"/>
        </w:rPr>
        <w:footnoteReference w:id="48"/>
      </w:r>
      <w:r w:rsidR="00BF4772">
        <w:rPr>
          <w:rFonts w:ascii="Arial" w:hAnsi="Arial" w:cs="Arial"/>
          <w:lang w:val="en-GB"/>
        </w:rPr>
        <w:t xml:space="preserve"> nor did he have </w:t>
      </w:r>
      <w:r w:rsidR="005F2E95">
        <w:rPr>
          <w:rFonts w:ascii="Arial" w:hAnsi="Arial" w:cs="Arial"/>
          <w:lang w:val="en-GB"/>
        </w:rPr>
        <w:t>any “striking qualities, good or bad.”</w:t>
      </w:r>
      <w:r w:rsidR="005F2E95">
        <w:rPr>
          <w:rStyle w:val="FootnoteReference"/>
          <w:rFonts w:ascii="Arial" w:hAnsi="Arial" w:cs="Arial"/>
          <w:lang w:val="en-GB"/>
        </w:rPr>
        <w:footnoteReference w:id="49"/>
      </w:r>
      <w:r w:rsidR="002A0FF3">
        <w:rPr>
          <w:rFonts w:ascii="Arial" w:hAnsi="Arial" w:cs="Arial"/>
          <w:lang w:val="en-GB"/>
        </w:rPr>
        <w:t xml:space="preserve"> </w:t>
      </w:r>
      <w:r w:rsidR="002A2B09">
        <w:rPr>
          <w:rFonts w:ascii="Arial" w:hAnsi="Arial" w:cs="Arial"/>
          <w:lang w:val="en-GB"/>
        </w:rPr>
        <w:t>He also stated that Bathurst had “moderate abilities and learning.”</w:t>
      </w:r>
      <w:r w:rsidR="002A2B09">
        <w:rPr>
          <w:rStyle w:val="FootnoteReference"/>
          <w:rFonts w:ascii="Arial" w:hAnsi="Arial" w:cs="Arial"/>
          <w:lang w:val="en-GB"/>
        </w:rPr>
        <w:footnoteReference w:id="50"/>
      </w:r>
      <w:r w:rsidR="00287CBB">
        <w:rPr>
          <w:rFonts w:ascii="Arial" w:hAnsi="Arial" w:cs="Arial"/>
          <w:lang w:val="en-GB"/>
        </w:rPr>
        <w:t xml:space="preserve"> By way of final example there stands Campbell’s critique of Bathurst’s competence in matters of international law. When Bathurst relinquished the Great Seal</w:t>
      </w:r>
      <w:r w:rsidR="00970363">
        <w:rPr>
          <w:rFonts w:ascii="Arial" w:hAnsi="Arial" w:cs="Arial"/>
          <w:lang w:val="en-GB"/>
        </w:rPr>
        <w:t xml:space="preserve"> in 1788</w:t>
      </w:r>
      <w:r w:rsidR="00287CBB">
        <w:rPr>
          <w:rFonts w:ascii="Arial" w:hAnsi="Arial" w:cs="Arial"/>
          <w:lang w:val="en-GB"/>
        </w:rPr>
        <w:t xml:space="preserve"> perhaps prematurely</w:t>
      </w:r>
      <w:r w:rsidR="00970363">
        <w:rPr>
          <w:rFonts w:ascii="Arial" w:hAnsi="Arial" w:cs="Arial"/>
          <w:lang w:val="en-GB"/>
        </w:rPr>
        <w:t>,</w:t>
      </w:r>
      <w:r w:rsidR="00287CBB">
        <w:rPr>
          <w:rFonts w:ascii="Arial" w:hAnsi="Arial" w:cs="Arial"/>
          <w:lang w:val="en-GB"/>
        </w:rPr>
        <w:t xml:space="preserve"> Campbell observed when searching for a reason: “I suspect that, from</w:t>
      </w:r>
      <w:r w:rsidR="00177E37">
        <w:rPr>
          <w:rFonts w:ascii="Arial" w:hAnsi="Arial" w:cs="Arial"/>
          <w:lang w:val="en-GB"/>
        </w:rPr>
        <w:t xml:space="preserve"> the approaching war against France and Span, and the questions which were </w:t>
      </w:r>
      <w:r w:rsidR="00177E37">
        <w:rPr>
          <w:rFonts w:ascii="Arial" w:hAnsi="Arial" w:cs="Arial"/>
          <w:lang w:val="en-GB"/>
        </w:rPr>
        <w:lastRenderedPageBreak/>
        <w:t>anticipated with neutral powers, some advice was required in the cabinet upon international law, which might be given in a bolder tone, and acted upon with more confidence.”</w:t>
      </w:r>
      <w:r w:rsidR="00177E37">
        <w:rPr>
          <w:rStyle w:val="FootnoteReference"/>
          <w:rFonts w:ascii="Arial" w:hAnsi="Arial" w:cs="Arial"/>
          <w:lang w:val="en-GB"/>
        </w:rPr>
        <w:footnoteReference w:id="51"/>
      </w:r>
      <w:r w:rsidR="00287CBB">
        <w:rPr>
          <w:rFonts w:ascii="Arial" w:hAnsi="Arial" w:cs="Arial"/>
          <w:lang w:val="en-GB"/>
        </w:rPr>
        <w:t xml:space="preserve"> </w:t>
      </w:r>
      <w:r w:rsidR="000302D2">
        <w:rPr>
          <w:rFonts w:ascii="Arial" w:hAnsi="Arial" w:cs="Arial"/>
          <w:lang w:val="en-GB"/>
        </w:rPr>
        <w:t xml:space="preserve">Campbell was clearly unfamiliar with </w:t>
      </w:r>
      <w:proofErr w:type="spellStart"/>
      <w:r w:rsidR="000302D2" w:rsidRPr="000302D2">
        <w:rPr>
          <w:rFonts w:ascii="Arial" w:hAnsi="Arial" w:cs="Arial"/>
          <w:i/>
          <w:lang w:val="en-GB"/>
        </w:rPr>
        <w:t>Solomons</w:t>
      </w:r>
      <w:proofErr w:type="spellEnd"/>
      <w:r w:rsidR="000302D2" w:rsidRPr="000302D2">
        <w:rPr>
          <w:rFonts w:ascii="Arial" w:hAnsi="Arial" w:cs="Arial"/>
          <w:i/>
          <w:lang w:val="en-GB"/>
        </w:rPr>
        <w:t xml:space="preserve"> v. Ross</w:t>
      </w:r>
      <w:r w:rsidR="000302D2">
        <w:rPr>
          <w:rFonts w:ascii="Arial" w:hAnsi="Arial" w:cs="Arial"/>
          <w:lang w:val="en-GB"/>
        </w:rPr>
        <w:t xml:space="preserve"> and Bathurst’s input in the case.</w:t>
      </w:r>
    </w:p>
    <w:p w:rsidR="00E80D00" w:rsidRDefault="00E80D00" w:rsidP="00BB662F">
      <w:pPr>
        <w:spacing w:line="360" w:lineRule="auto"/>
        <w:jc w:val="both"/>
        <w:rPr>
          <w:rFonts w:ascii="Arial" w:hAnsi="Arial" w:cs="Arial"/>
          <w:lang w:val="en-GB"/>
        </w:rPr>
      </w:pPr>
    </w:p>
    <w:p w:rsidR="00E80D00" w:rsidRDefault="00E80D00" w:rsidP="00BB662F">
      <w:pPr>
        <w:spacing w:line="360" w:lineRule="auto"/>
        <w:jc w:val="both"/>
        <w:rPr>
          <w:rFonts w:ascii="Arial" w:hAnsi="Arial" w:cs="Arial"/>
          <w:lang w:val="en-GB"/>
        </w:rPr>
      </w:pPr>
      <w:r>
        <w:rPr>
          <w:rFonts w:ascii="Arial" w:hAnsi="Arial" w:cs="Arial"/>
          <w:lang w:val="en-GB"/>
        </w:rPr>
        <w:t>There is some veiled positivity, Campbell noting that “dull discretion”</w:t>
      </w:r>
      <w:r>
        <w:rPr>
          <w:rStyle w:val="FootnoteReference"/>
          <w:rFonts w:ascii="Arial" w:hAnsi="Arial" w:cs="Arial"/>
          <w:lang w:val="en-GB"/>
        </w:rPr>
        <w:footnoteReference w:id="52"/>
      </w:r>
      <w:r>
        <w:rPr>
          <w:rFonts w:ascii="Arial" w:hAnsi="Arial" w:cs="Arial"/>
          <w:lang w:val="en-GB"/>
        </w:rPr>
        <w:t xml:space="preserve"> and “harmless manners, sober habits, family interest and the mediocrity of his parts”</w:t>
      </w:r>
      <w:r>
        <w:rPr>
          <w:rStyle w:val="FootnoteReference"/>
          <w:rFonts w:ascii="Arial" w:hAnsi="Arial" w:cs="Arial"/>
          <w:lang w:val="en-GB"/>
        </w:rPr>
        <w:footnoteReference w:id="53"/>
      </w:r>
      <w:r>
        <w:rPr>
          <w:rFonts w:ascii="Arial" w:hAnsi="Arial" w:cs="Arial"/>
          <w:lang w:val="en-GB"/>
        </w:rPr>
        <w:t xml:space="preserve"> played their part in Bathurst’s progression from MP to Lord Chancellor. Campbell seems to paint Bathurst as a yes man who didn’t inspire jealousy or envy.</w:t>
      </w:r>
      <w:r w:rsidR="004D4E44">
        <w:rPr>
          <w:rFonts w:ascii="Arial" w:hAnsi="Arial" w:cs="Arial"/>
          <w:lang w:val="en-GB"/>
        </w:rPr>
        <w:t xml:space="preserve"> Upon his elevation to the bench as a </w:t>
      </w:r>
      <w:proofErr w:type="spellStart"/>
      <w:r w:rsidR="004D4E44">
        <w:rPr>
          <w:rFonts w:ascii="Arial" w:hAnsi="Arial" w:cs="Arial"/>
          <w:lang w:val="en-GB"/>
        </w:rPr>
        <w:t>pusine</w:t>
      </w:r>
      <w:proofErr w:type="spellEnd"/>
      <w:r w:rsidR="004D4E44">
        <w:rPr>
          <w:rFonts w:ascii="Arial" w:hAnsi="Arial" w:cs="Arial"/>
          <w:lang w:val="en-GB"/>
        </w:rPr>
        <w:t xml:space="preserve"> judge in the Court of Common Pleas, Campbell notes that Bathurst was, “quiet and bland in manners, and he possessed a great share of discretion, which enabled him on the bench to surmount difficulties, and to keep out of scrapes</w:t>
      </w:r>
      <w:r w:rsidR="00E54EAF">
        <w:rPr>
          <w:rFonts w:ascii="Arial" w:hAnsi="Arial" w:cs="Arial"/>
          <w:lang w:val="en-GB"/>
        </w:rPr>
        <w:t xml:space="preserve">…he made a very tolerable </w:t>
      </w:r>
      <w:proofErr w:type="spellStart"/>
      <w:r w:rsidR="00E54EAF">
        <w:rPr>
          <w:rFonts w:ascii="Arial" w:hAnsi="Arial" w:cs="Arial"/>
          <w:lang w:val="en-GB"/>
        </w:rPr>
        <w:t>pusine</w:t>
      </w:r>
      <w:proofErr w:type="spellEnd"/>
      <w:r w:rsidR="00E54EAF">
        <w:rPr>
          <w:rFonts w:ascii="Arial" w:hAnsi="Arial" w:cs="Arial"/>
          <w:lang w:val="en-GB"/>
        </w:rPr>
        <w:t>.</w:t>
      </w:r>
      <w:r w:rsidR="004D4E44">
        <w:rPr>
          <w:rFonts w:ascii="Arial" w:hAnsi="Arial" w:cs="Arial"/>
          <w:lang w:val="en-GB"/>
        </w:rPr>
        <w:t>”</w:t>
      </w:r>
      <w:r w:rsidR="004D4E44">
        <w:rPr>
          <w:rStyle w:val="FootnoteReference"/>
          <w:rFonts w:ascii="Arial" w:hAnsi="Arial" w:cs="Arial"/>
          <w:lang w:val="en-GB"/>
        </w:rPr>
        <w:footnoteReference w:id="54"/>
      </w:r>
      <w:r w:rsidR="00E54EAF">
        <w:rPr>
          <w:rFonts w:ascii="Arial" w:hAnsi="Arial" w:cs="Arial"/>
          <w:lang w:val="en-GB"/>
        </w:rPr>
        <w:t xml:space="preserve"> </w:t>
      </w:r>
    </w:p>
    <w:p w:rsidR="000318FB" w:rsidRDefault="000318FB" w:rsidP="00BB662F">
      <w:pPr>
        <w:spacing w:line="360" w:lineRule="auto"/>
        <w:jc w:val="both"/>
        <w:rPr>
          <w:rFonts w:ascii="Arial" w:hAnsi="Arial" w:cs="Arial"/>
          <w:lang w:val="en-GB"/>
        </w:rPr>
      </w:pPr>
    </w:p>
    <w:p w:rsidR="00911ED3" w:rsidRDefault="00911ED3" w:rsidP="00BB662F">
      <w:pPr>
        <w:spacing w:line="360" w:lineRule="auto"/>
        <w:jc w:val="both"/>
        <w:rPr>
          <w:rFonts w:ascii="Arial" w:hAnsi="Arial" w:cs="Arial"/>
          <w:lang w:val="en-GB"/>
        </w:rPr>
      </w:pPr>
      <w:r>
        <w:rPr>
          <w:rFonts w:ascii="Arial" w:hAnsi="Arial" w:cs="Arial"/>
          <w:lang w:val="en-GB"/>
        </w:rPr>
        <w:t>Hogarth also painted a rather negative picture of Henry Bathurst. In Hogarth’</w:t>
      </w:r>
      <w:r w:rsidR="00585D17">
        <w:rPr>
          <w:rFonts w:ascii="Arial" w:hAnsi="Arial" w:cs="Arial"/>
          <w:lang w:val="en-GB"/>
        </w:rPr>
        <w:t xml:space="preserve">s </w:t>
      </w:r>
      <w:r w:rsidR="00585D17" w:rsidRPr="00585D17">
        <w:rPr>
          <w:rFonts w:ascii="Arial" w:hAnsi="Arial" w:cs="Arial"/>
          <w:i/>
          <w:lang w:val="en-GB"/>
        </w:rPr>
        <w:t>“The Bench”</w:t>
      </w:r>
      <w:r w:rsidR="00585D17">
        <w:rPr>
          <w:rFonts w:ascii="Arial" w:hAnsi="Arial" w:cs="Arial"/>
          <w:lang w:val="en-GB"/>
        </w:rPr>
        <w:t xml:space="preserve"> line engraving of 1758, </w:t>
      </w:r>
      <w:r w:rsidR="00585D17" w:rsidRPr="00585D17">
        <w:rPr>
          <w:rFonts w:ascii="Arial" w:hAnsi="Arial" w:cs="Arial"/>
          <w:lang w:val="en-GB"/>
        </w:rPr>
        <w:t>Sir John Willes, Lord Chief Justice</w:t>
      </w:r>
      <w:r w:rsidR="00585D17">
        <w:rPr>
          <w:rFonts w:ascii="Arial" w:hAnsi="Arial" w:cs="Arial"/>
          <w:lang w:val="en-GB"/>
        </w:rPr>
        <w:t xml:space="preserve"> of the </w:t>
      </w:r>
      <w:r w:rsidR="00585D17" w:rsidRPr="00585D17">
        <w:rPr>
          <w:rFonts w:ascii="Arial" w:hAnsi="Arial" w:cs="Arial"/>
          <w:lang w:val="en-GB"/>
        </w:rPr>
        <w:t>Court of the King's Bench,</w:t>
      </w:r>
      <w:r w:rsidR="00585D17">
        <w:rPr>
          <w:rFonts w:ascii="Arial" w:hAnsi="Arial" w:cs="Arial"/>
          <w:lang w:val="en-GB"/>
        </w:rPr>
        <w:t xml:space="preserve"> is pictured with Bathurst. Bathurst is</w:t>
      </w:r>
      <w:r w:rsidR="00361E4B">
        <w:rPr>
          <w:rFonts w:ascii="Arial" w:hAnsi="Arial" w:cs="Arial"/>
          <w:lang w:val="en-GB"/>
        </w:rPr>
        <w:t xml:space="preserve"> ho</w:t>
      </w:r>
      <w:r w:rsidR="00585D17">
        <w:rPr>
          <w:rFonts w:ascii="Arial" w:hAnsi="Arial" w:cs="Arial"/>
          <w:lang w:val="en-GB"/>
        </w:rPr>
        <w:t xml:space="preserve">wever asleep! </w:t>
      </w:r>
      <w:r w:rsidR="000302D2">
        <w:rPr>
          <w:rFonts w:ascii="Arial" w:hAnsi="Arial" w:cs="Arial"/>
          <w:lang w:val="en-GB"/>
        </w:rPr>
        <w:t xml:space="preserve">The picture may be saying more about Willes’ conversation than Bathurst’s competence. </w:t>
      </w:r>
    </w:p>
    <w:p w:rsidR="00BD4B6F" w:rsidRDefault="00BD4B6F" w:rsidP="00BB662F">
      <w:pPr>
        <w:spacing w:line="360" w:lineRule="auto"/>
        <w:jc w:val="both"/>
        <w:rPr>
          <w:rFonts w:ascii="Arial" w:hAnsi="Arial" w:cs="Arial"/>
          <w:lang w:val="en-GB"/>
        </w:rPr>
      </w:pPr>
    </w:p>
    <w:p w:rsidR="002A2B09" w:rsidRDefault="000318FB" w:rsidP="00BB662F">
      <w:pPr>
        <w:spacing w:line="360" w:lineRule="auto"/>
        <w:jc w:val="both"/>
        <w:rPr>
          <w:rFonts w:ascii="Arial" w:hAnsi="Arial" w:cs="Arial"/>
          <w:lang w:val="en-GB"/>
        </w:rPr>
      </w:pPr>
      <w:r>
        <w:rPr>
          <w:rFonts w:ascii="Arial" w:hAnsi="Arial" w:cs="Arial"/>
          <w:lang w:val="en-GB"/>
        </w:rPr>
        <w:t>Underhill</w:t>
      </w:r>
      <w:r w:rsidR="00BD4B6F">
        <w:rPr>
          <w:rFonts w:ascii="Arial" w:hAnsi="Arial" w:cs="Arial"/>
          <w:lang w:val="en-GB"/>
        </w:rPr>
        <w:t xml:space="preserve"> has </w:t>
      </w:r>
      <w:r w:rsidR="00E54EAF">
        <w:rPr>
          <w:rFonts w:ascii="Arial" w:hAnsi="Arial" w:cs="Arial"/>
          <w:lang w:val="en-GB"/>
        </w:rPr>
        <w:t xml:space="preserve">also </w:t>
      </w:r>
      <w:r>
        <w:rPr>
          <w:rFonts w:ascii="Arial" w:hAnsi="Arial" w:cs="Arial"/>
          <w:lang w:val="en-GB"/>
        </w:rPr>
        <w:t xml:space="preserve">delivered a rather dim view </w:t>
      </w:r>
      <w:r w:rsidR="00BD4B6F">
        <w:rPr>
          <w:rFonts w:ascii="Arial" w:hAnsi="Arial" w:cs="Arial"/>
          <w:lang w:val="en-GB"/>
        </w:rPr>
        <w:t>of Bathurs</w:t>
      </w:r>
      <w:r>
        <w:rPr>
          <w:rFonts w:ascii="Arial" w:hAnsi="Arial" w:cs="Arial"/>
          <w:lang w:val="en-GB"/>
        </w:rPr>
        <w:t>t</w:t>
      </w:r>
      <w:r w:rsidR="00E54EAF">
        <w:rPr>
          <w:rFonts w:ascii="Arial" w:hAnsi="Arial" w:cs="Arial"/>
          <w:lang w:val="en-GB"/>
        </w:rPr>
        <w:t>, perhaps influenced by the unreliable Campbell,</w:t>
      </w:r>
      <w:r w:rsidR="009D1BFC">
        <w:rPr>
          <w:rStyle w:val="FootnoteReference"/>
          <w:rFonts w:ascii="Arial" w:hAnsi="Arial" w:cs="Arial"/>
          <w:lang w:val="en-GB"/>
        </w:rPr>
        <w:footnoteReference w:id="55"/>
      </w:r>
      <w:r>
        <w:rPr>
          <w:rFonts w:ascii="Arial" w:hAnsi="Arial" w:cs="Arial"/>
          <w:lang w:val="en-GB"/>
        </w:rPr>
        <w:t xml:space="preserve"> when he noted in relation to Bathurst’s elevation to</w:t>
      </w:r>
      <w:r w:rsidR="00BD4B6F">
        <w:rPr>
          <w:rFonts w:ascii="Arial" w:hAnsi="Arial" w:cs="Arial"/>
          <w:lang w:val="en-GB"/>
        </w:rPr>
        <w:t xml:space="preserve"> the woolsack in the alternative to Lord Mansfield</w:t>
      </w:r>
      <w:r>
        <w:rPr>
          <w:rFonts w:ascii="Arial" w:hAnsi="Arial" w:cs="Arial"/>
          <w:lang w:val="en-GB"/>
        </w:rPr>
        <w:t xml:space="preserve"> and the aforementioned three man commission</w:t>
      </w:r>
      <w:r w:rsidR="00BD4B6F">
        <w:rPr>
          <w:rFonts w:ascii="Arial" w:hAnsi="Arial" w:cs="Arial"/>
          <w:lang w:val="en-GB"/>
        </w:rPr>
        <w:t>, “</w:t>
      </w:r>
      <w:r>
        <w:rPr>
          <w:rFonts w:ascii="Arial" w:hAnsi="Arial" w:cs="Arial"/>
          <w:lang w:val="en-GB"/>
        </w:rPr>
        <w:t xml:space="preserve">the Government…settled for the blameless but wholly insignificant </w:t>
      </w:r>
      <w:proofErr w:type="spellStart"/>
      <w:r>
        <w:rPr>
          <w:rFonts w:ascii="Arial" w:hAnsi="Arial" w:cs="Arial"/>
          <w:lang w:val="en-GB"/>
        </w:rPr>
        <w:t>pusine</w:t>
      </w:r>
      <w:proofErr w:type="spellEnd"/>
      <w:r>
        <w:rPr>
          <w:rFonts w:ascii="Arial" w:hAnsi="Arial" w:cs="Arial"/>
          <w:lang w:val="en-GB"/>
        </w:rPr>
        <w:t xml:space="preserve"> judge, Henry Bathurst, who was created Lord </w:t>
      </w:r>
      <w:proofErr w:type="spellStart"/>
      <w:r>
        <w:rPr>
          <w:rFonts w:ascii="Arial" w:hAnsi="Arial" w:cs="Arial"/>
          <w:lang w:val="en-GB"/>
        </w:rPr>
        <w:t>Apsely</w:t>
      </w:r>
      <w:proofErr w:type="spellEnd"/>
      <w:r>
        <w:rPr>
          <w:rFonts w:ascii="Arial" w:hAnsi="Arial" w:cs="Arial"/>
          <w:lang w:val="en-GB"/>
        </w:rPr>
        <w:t xml:space="preserve"> (later becoming Earl Bathurst in succession to his father).”</w:t>
      </w:r>
      <w:r>
        <w:rPr>
          <w:rStyle w:val="FootnoteReference"/>
          <w:rFonts w:ascii="Arial" w:hAnsi="Arial" w:cs="Arial"/>
          <w:lang w:val="en-GB"/>
        </w:rPr>
        <w:footnoteReference w:id="56"/>
      </w:r>
      <w:r w:rsidR="00C81F43">
        <w:rPr>
          <w:rFonts w:ascii="Arial" w:hAnsi="Arial" w:cs="Arial"/>
          <w:lang w:val="en-GB"/>
        </w:rPr>
        <w:t xml:space="preserve"> Underhill has also argued that</w:t>
      </w:r>
      <w:r>
        <w:rPr>
          <w:rFonts w:ascii="Arial" w:hAnsi="Arial" w:cs="Arial"/>
          <w:lang w:val="en-GB"/>
        </w:rPr>
        <w:t xml:space="preserve"> Bathurst unsuited </w:t>
      </w:r>
      <w:r w:rsidR="00C81F43">
        <w:rPr>
          <w:rFonts w:ascii="Arial" w:hAnsi="Arial" w:cs="Arial"/>
          <w:lang w:val="en-GB"/>
        </w:rPr>
        <w:t xml:space="preserve">to the role of Lord Chancellor as keeper of the King’s conscience and head of the Court of Chancery </w:t>
      </w:r>
      <w:r>
        <w:rPr>
          <w:rFonts w:ascii="Arial" w:hAnsi="Arial" w:cs="Arial"/>
          <w:lang w:val="en-GB"/>
        </w:rPr>
        <w:t>due to his common law practice, as opposed</w:t>
      </w:r>
      <w:r w:rsidR="00C81F43">
        <w:rPr>
          <w:rFonts w:ascii="Arial" w:hAnsi="Arial" w:cs="Arial"/>
          <w:lang w:val="en-GB"/>
        </w:rPr>
        <w:t xml:space="preserve"> to working on the equity side.</w:t>
      </w:r>
      <w:r w:rsidR="00FE2865">
        <w:rPr>
          <w:rStyle w:val="FootnoteReference"/>
          <w:rFonts w:ascii="Arial" w:hAnsi="Arial" w:cs="Arial"/>
          <w:lang w:val="en-GB"/>
        </w:rPr>
        <w:footnoteReference w:id="57"/>
      </w:r>
      <w:r w:rsidR="00C81F43">
        <w:rPr>
          <w:rFonts w:ascii="Arial" w:hAnsi="Arial" w:cs="Arial"/>
          <w:lang w:val="en-GB"/>
        </w:rPr>
        <w:t xml:space="preserve"> </w:t>
      </w:r>
      <w:r w:rsidR="002A2B09">
        <w:rPr>
          <w:rFonts w:ascii="Arial" w:hAnsi="Arial" w:cs="Arial"/>
          <w:lang w:val="en-GB"/>
        </w:rPr>
        <w:t xml:space="preserve">A similar charge was made by Campbell who observed that Bathurst </w:t>
      </w:r>
      <w:r w:rsidR="002A2B09">
        <w:rPr>
          <w:rFonts w:ascii="Arial" w:hAnsi="Arial" w:cs="Arial"/>
          <w:lang w:val="en-GB"/>
        </w:rPr>
        <w:lastRenderedPageBreak/>
        <w:t xml:space="preserve">and his fellow commissioners were “almost entirely </w:t>
      </w:r>
      <w:r w:rsidR="007634A5">
        <w:rPr>
          <w:rFonts w:ascii="Arial" w:hAnsi="Arial" w:cs="Arial"/>
          <w:lang w:val="en-GB"/>
        </w:rPr>
        <w:t>unacquainted with the practice of Courts of Equity.”</w:t>
      </w:r>
      <w:r w:rsidR="007634A5">
        <w:rPr>
          <w:rStyle w:val="FootnoteReference"/>
          <w:rFonts w:ascii="Arial" w:hAnsi="Arial" w:cs="Arial"/>
          <w:lang w:val="en-GB"/>
        </w:rPr>
        <w:footnoteReference w:id="58"/>
      </w:r>
      <w:r w:rsidR="000302D2">
        <w:rPr>
          <w:rFonts w:ascii="Arial" w:hAnsi="Arial" w:cs="Arial"/>
          <w:lang w:val="en-GB"/>
        </w:rPr>
        <w:t xml:space="preserve"> True, apart from Bathurst previously sitting as a judge in the Court of Chancery. </w:t>
      </w:r>
    </w:p>
    <w:p w:rsidR="007634A5" w:rsidRDefault="007634A5" w:rsidP="00BB662F">
      <w:pPr>
        <w:spacing w:line="360" w:lineRule="auto"/>
        <w:jc w:val="both"/>
        <w:rPr>
          <w:rFonts w:ascii="Arial" w:hAnsi="Arial" w:cs="Arial"/>
          <w:lang w:val="en-GB"/>
        </w:rPr>
      </w:pPr>
    </w:p>
    <w:p w:rsidR="00BD4B6F" w:rsidRDefault="007634A5" w:rsidP="00BB662F">
      <w:pPr>
        <w:spacing w:line="360" w:lineRule="auto"/>
        <w:jc w:val="both"/>
        <w:rPr>
          <w:rFonts w:ascii="Arial" w:hAnsi="Arial" w:cs="Arial"/>
          <w:lang w:val="en-GB"/>
        </w:rPr>
      </w:pPr>
      <w:r>
        <w:rPr>
          <w:rFonts w:ascii="Arial" w:hAnsi="Arial" w:cs="Arial"/>
          <w:lang w:val="en-GB"/>
        </w:rPr>
        <w:t>Was Bathurst really unacquainted, unsuitable</w:t>
      </w:r>
      <w:r w:rsidR="00C81F43">
        <w:rPr>
          <w:rFonts w:ascii="Arial" w:hAnsi="Arial" w:cs="Arial"/>
          <w:lang w:val="en-GB"/>
        </w:rPr>
        <w:t xml:space="preserve"> and </w:t>
      </w:r>
      <w:r>
        <w:rPr>
          <w:rFonts w:ascii="Arial" w:hAnsi="Arial" w:cs="Arial"/>
          <w:lang w:val="en-GB"/>
        </w:rPr>
        <w:t>insignificant? Is this an accurate reflection of his abili</w:t>
      </w:r>
      <w:r w:rsidR="0095220B">
        <w:rPr>
          <w:rFonts w:ascii="Arial" w:hAnsi="Arial" w:cs="Arial"/>
          <w:lang w:val="en-GB"/>
        </w:rPr>
        <w:t>ti</w:t>
      </w:r>
      <w:r>
        <w:rPr>
          <w:rFonts w:ascii="Arial" w:hAnsi="Arial" w:cs="Arial"/>
          <w:lang w:val="en-GB"/>
        </w:rPr>
        <w:t>es and standing? W</w:t>
      </w:r>
      <w:r w:rsidR="00C81F43">
        <w:rPr>
          <w:rFonts w:ascii="Arial" w:hAnsi="Arial" w:cs="Arial"/>
          <w:lang w:val="en-GB"/>
        </w:rPr>
        <w:t>hy was Bathurst</w:t>
      </w:r>
      <w:r w:rsidR="000318FB">
        <w:rPr>
          <w:rFonts w:ascii="Arial" w:hAnsi="Arial" w:cs="Arial"/>
          <w:lang w:val="en-GB"/>
        </w:rPr>
        <w:t xml:space="preserve"> drafted in to </w:t>
      </w:r>
      <w:r w:rsidR="00C81F43">
        <w:rPr>
          <w:rFonts w:ascii="Arial" w:hAnsi="Arial" w:cs="Arial"/>
          <w:lang w:val="en-GB"/>
        </w:rPr>
        <w:t xml:space="preserve">hold the fort for </w:t>
      </w:r>
      <w:r>
        <w:rPr>
          <w:rFonts w:ascii="Arial" w:hAnsi="Arial" w:cs="Arial"/>
          <w:lang w:val="en-GB"/>
        </w:rPr>
        <w:t xml:space="preserve">Lord </w:t>
      </w:r>
      <w:proofErr w:type="spellStart"/>
      <w:r w:rsidR="00C81F43">
        <w:rPr>
          <w:rFonts w:ascii="Arial" w:hAnsi="Arial" w:cs="Arial"/>
          <w:lang w:val="en-GB"/>
        </w:rPr>
        <w:t>Northington</w:t>
      </w:r>
      <w:proofErr w:type="spellEnd"/>
      <w:r w:rsidR="00C81F43">
        <w:rPr>
          <w:rFonts w:ascii="Arial" w:hAnsi="Arial" w:cs="Arial"/>
          <w:lang w:val="en-GB"/>
        </w:rPr>
        <w:t xml:space="preserve"> in 1764, some seven years</w:t>
      </w:r>
      <w:r w:rsidR="0095220B">
        <w:rPr>
          <w:rFonts w:ascii="Arial" w:hAnsi="Arial" w:cs="Arial"/>
          <w:lang w:val="en-GB"/>
        </w:rPr>
        <w:t xml:space="preserve"> before his appointment to the W</w:t>
      </w:r>
      <w:r w:rsidR="00C81F43">
        <w:rPr>
          <w:rFonts w:ascii="Arial" w:hAnsi="Arial" w:cs="Arial"/>
          <w:lang w:val="en-GB"/>
        </w:rPr>
        <w:t>oolsack</w:t>
      </w:r>
      <w:r>
        <w:rPr>
          <w:rFonts w:ascii="Arial" w:hAnsi="Arial" w:cs="Arial"/>
          <w:lang w:val="en-GB"/>
        </w:rPr>
        <w:t xml:space="preserve"> if he was unfamiliar with equity</w:t>
      </w:r>
      <w:r w:rsidR="00C81F43">
        <w:rPr>
          <w:rFonts w:ascii="Arial" w:hAnsi="Arial" w:cs="Arial"/>
          <w:lang w:val="en-GB"/>
        </w:rPr>
        <w:t xml:space="preserve">? </w:t>
      </w:r>
      <w:r w:rsidR="0095220B">
        <w:rPr>
          <w:rFonts w:ascii="Arial" w:hAnsi="Arial" w:cs="Arial"/>
          <w:lang w:val="en-GB"/>
        </w:rPr>
        <w:t xml:space="preserve">Were both Campbell and Underhill unfamiliar with this episode? </w:t>
      </w:r>
      <w:r w:rsidR="000302D2">
        <w:rPr>
          <w:rFonts w:ascii="Arial" w:hAnsi="Arial" w:cs="Arial"/>
          <w:lang w:val="en-GB"/>
        </w:rPr>
        <w:t xml:space="preserve">From their writing it seems they both had a tenuous, if any, understanding of Bathurst’s judicial activity. </w:t>
      </w:r>
    </w:p>
    <w:p w:rsidR="000B26F5" w:rsidRDefault="000B26F5" w:rsidP="00BB662F">
      <w:pPr>
        <w:spacing w:line="360" w:lineRule="auto"/>
        <w:jc w:val="both"/>
        <w:rPr>
          <w:rFonts w:ascii="Arial" w:hAnsi="Arial" w:cs="Arial"/>
          <w:lang w:val="en-GB"/>
        </w:rPr>
      </w:pPr>
    </w:p>
    <w:p w:rsidR="00C44CFE" w:rsidRDefault="00014CF1" w:rsidP="00BB662F">
      <w:pPr>
        <w:spacing w:line="360" w:lineRule="auto"/>
        <w:jc w:val="both"/>
        <w:rPr>
          <w:rFonts w:ascii="Arial" w:hAnsi="Arial" w:cs="Arial"/>
          <w:lang w:val="en-GB"/>
        </w:rPr>
      </w:pPr>
      <w:r>
        <w:rPr>
          <w:rFonts w:ascii="Arial" w:hAnsi="Arial" w:cs="Arial"/>
          <w:lang w:val="en-GB"/>
        </w:rPr>
        <w:t xml:space="preserve">These critical assessments of Bathurst may well be accurate in the general sense, but when one comes to analyse Bathurst’s contribution to international insolvency law, his contribution must be considered to be more than mediocre or insignificant, at least in terms of its impact. It is to that contribution that we can now turn. </w:t>
      </w:r>
    </w:p>
    <w:p w:rsidR="00C51BF9" w:rsidRDefault="00C51BF9" w:rsidP="00BB662F">
      <w:pPr>
        <w:spacing w:line="360" w:lineRule="auto"/>
        <w:jc w:val="both"/>
        <w:rPr>
          <w:rFonts w:ascii="Arial" w:hAnsi="Arial" w:cs="Arial"/>
          <w:lang w:val="en-GB"/>
        </w:rPr>
      </w:pPr>
    </w:p>
    <w:p w:rsidR="00C51BF9" w:rsidRDefault="00C51BF9" w:rsidP="00BB662F">
      <w:pPr>
        <w:spacing w:line="360" w:lineRule="auto"/>
        <w:jc w:val="both"/>
        <w:rPr>
          <w:rFonts w:ascii="Arial" w:hAnsi="Arial" w:cs="Arial"/>
          <w:lang w:val="en-GB"/>
        </w:rPr>
      </w:pPr>
    </w:p>
    <w:p w:rsidR="00D350A1" w:rsidRDefault="00D350A1" w:rsidP="00BB662F">
      <w:pPr>
        <w:pStyle w:val="ListParagraph"/>
        <w:numPr>
          <w:ilvl w:val="0"/>
          <w:numId w:val="3"/>
        </w:numPr>
        <w:spacing w:line="360" w:lineRule="auto"/>
        <w:jc w:val="both"/>
        <w:rPr>
          <w:rFonts w:ascii="Arial" w:hAnsi="Arial" w:cs="Arial"/>
          <w:lang w:val="en-GB"/>
        </w:rPr>
      </w:pPr>
      <w:proofErr w:type="spellStart"/>
      <w:r w:rsidRPr="00E169A3">
        <w:rPr>
          <w:rFonts w:ascii="Arial" w:hAnsi="Arial" w:cs="Arial"/>
          <w:i/>
          <w:u w:val="single"/>
          <w:lang w:val="en-GB"/>
        </w:rPr>
        <w:t>Solomons</w:t>
      </w:r>
      <w:proofErr w:type="spellEnd"/>
      <w:r w:rsidRPr="00E169A3">
        <w:rPr>
          <w:rFonts w:ascii="Arial" w:hAnsi="Arial" w:cs="Arial"/>
          <w:i/>
          <w:u w:val="single"/>
          <w:lang w:val="en-GB"/>
        </w:rPr>
        <w:t xml:space="preserve"> v</w:t>
      </w:r>
      <w:r w:rsidR="00E169A3" w:rsidRPr="00E169A3">
        <w:rPr>
          <w:rFonts w:ascii="Arial" w:hAnsi="Arial" w:cs="Arial"/>
          <w:i/>
          <w:u w:val="single"/>
          <w:lang w:val="en-GB"/>
        </w:rPr>
        <w:t>.</w:t>
      </w:r>
      <w:r w:rsidRPr="00E169A3">
        <w:rPr>
          <w:rFonts w:ascii="Arial" w:hAnsi="Arial" w:cs="Arial"/>
          <w:i/>
          <w:u w:val="single"/>
          <w:lang w:val="en-GB"/>
        </w:rPr>
        <w:t xml:space="preserve"> Ross</w:t>
      </w:r>
      <w:r w:rsidR="00147574">
        <w:rPr>
          <w:rStyle w:val="FootnoteReference"/>
          <w:rFonts w:ascii="Arial" w:hAnsi="Arial" w:cs="Arial"/>
          <w:lang w:val="en-GB"/>
        </w:rPr>
        <w:footnoteReference w:id="59"/>
      </w:r>
    </w:p>
    <w:p w:rsidR="00D350A1" w:rsidRDefault="00D350A1" w:rsidP="00BB662F">
      <w:pPr>
        <w:spacing w:line="360" w:lineRule="auto"/>
        <w:jc w:val="both"/>
        <w:rPr>
          <w:rFonts w:ascii="Arial" w:hAnsi="Arial" w:cs="Arial"/>
          <w:lang w:val="en-GB"/>
        </w:rPr>
      </w:pPr>
    </w:p>
    <w:p w:rsidR="00F32316" w:rsidRDefault="00491593" w:rsidP="00BB662F">
      <w:pPr>
        <w:spacing w:line="360" w:lineRule="auto"/>
        <w:jc w:val="both"/>
        <w:rPr>
          <w:rFonts w:ascii="Arial" w:hAnsi="Arial" w:cs="Arial"/>
          <w:lang w:val="en-GB"/>
        </w:rPr>
      </w:pPr>
      <w:r>
        <w:rPr>
          <w:rFonts w:ascii="Arial" w:hAnsi="Arial" w:cs="Arial"/>
          <w:lang w:val="en-GB"/>
        </w:rPr>
        <w:t>There are two main sources through which an examination of</w:t>
      </w:r>
      <w:r w:rsidR="00F32316">
        <w:rPr>
          <w:rFonts w:ascii="Arial" w:hAnsi="Arial" w:cs="Arial"/>
          <w:lang w:val="en-GB"/>
        </w:rPr>
        <w:t xml:space="preserve"> </w:t>
      </w:r>
      <w:proofErr w:type="spellStart"/>
      <w:r w:rsidR="00F32316" w:rsidRPr="00F32316">
        <w:rPr>
          <w:rFonts w:ascii="Arial" w:hAnsi="Arial" w:cs="Arial"/>
          <w:i/>
          <w:lang w:val="en-GB"/>
        </w:rPr>
        <w:t>Solomons</w:t>
      </w:r>
      <w:proofErr w:type="spellEnd"/>
      <w:r w:rsidR="00F32316" w:rsidRPr="00F32316">
        <w:rPr>
          <w:rFonts w:ascii="Arial" w:hAnsi="Arial" w:cs="Arial"/>
          <w:i/>
          <w:lang w:val="en-GB"/>
        </w:rPr>
        <w:t xml:space="preserve"> v. Ross</w:t>
      </w:r>
      <w:r w:rsidR="00F32316">
        <w:rPr>
          <w:rFonts w:ascii="Arial" w:hAnsi="Arial" w:cs="Arial"/>
          <w:lang w:val="en-GB"/>
        </w:rPr>
        <w:t xml:space="preserve"> can be undertaken. First</w:t>
      </w:r>
      <w:r w:rsidR="00AE53EE">
        <w:rPr>
          <w:rFonts w:ascii="Arial" w:hAnsi="Arial" w:cs="Arial"/>
          <w:lang w:val="en-GB"/>
        </w:rPr>
        <w:t>,</w:t>
      </w:r>
      <w:r w:rsidR="00F32316">
        <w:rPr>
          <w:rFonts w:ascii="Arial" w:hAnsi="Arial" w:cs="Arial"/>
          <w:lang w:val="en-GB"/>
        </w:rPr>
        <w:t xml:space="preserve"> there is the reported decision, or rather a note </w:t>
      </w:r>
      <w:r w:rsidR="00AE53EE">
        <w:rPr>
          <w:rFonts w:ascii="Arial" w:hAnsi="Arial" w:cs="Arial"/>
          <w:lang w:val="en-GB"/>
        </w:rPr>
        <w:t>to a 1764 report in Henry Blackstone’s reports</w:t>
      </w:r>
      <w:r w:rsidR="00AE53EE" w:rsidRPr="00AE53EE">
        <w:rPr>
          <w:rFonts w:ascii="Arial" w:hAnsi="Arial" w:cs="Arial"/>
          <w:lang w:val="en-GB"/>
        </w:rPr>
        <w:t xml:space="preserve">. </w:t>
      </w:r>
      <w:r w:rsidR="00AE53EE">
        <w:rPr>
          <w:rFonts w:ascii="Arial" w:hAnsi="Arial" w:cs="Arial"/>
          <w:lang w:val="en-GB"/>
        </w:rPr>
        <w:t xml:space="preserve">This note </w:t>
      </w:r>
      <w:r w:rsidR="00F32316">
        <w:rPr>
          <w:rFonts w:ascii="Arial" w:hAnsi="Arial" w:cs="Arial"/>
          <w:lang w:val="en-GB"/>
        </w:rPr>
        <w:t xml:space="preserve">refers to </w:t>
      </w:r>
      <w:proofErr w:type="spellStart"/>
      <w:r w:rsidR="00F32316" w:rsidRPr="00F32316">
        <w:rPr>
          <w:rFonts w:ascii="Arial" w:hAnsi="Arial" w:cs="Arial"/>
          <w:i/>
          <w:lang w:val="en-GB"/>
        </w:rPr>
        <w:t>Solomons</w:t>
      </w:r>
      <w:proofErr w:type="spellEnd"/>
      <w:r w:rsidR="00F32316" w:rsidRPr="00F32316">
        <w:rPr>
          <w:rFonts w:ascii="Arial" w:hAnsi="Arial" w:cs="Arial"/>
          <w:i/>
          <w:lang w:val="en-GB"/>
        </w:rPr>
        <w:t xml:space="preserve"> v. Ross</w:t>
      </w:r>
      <w:r w:rsidR="00F32316">
        <w:rPr>
          <w:rFonts w:ascii="Arial" w:hAnsi="Arial" w:cs="Arial"/>
          <w:lang w:val="en-GB"/>
        </w:rPr>
        <w:t xml:space="preserve">, for </w:t>
      </w:r>
      <w:proofErr w:type="spellStart"/>
      <w:r w:rsidR="00F32316" w:rsidRPr="00F32316">
        <w:rPr>
          <w:rFonts w:ascii="Arial" w:hAnsi="Arial" w:cs="Arial"/>
          <w:i/>
          <w:lang w:val="en-GB"/>
        </w:rPr>
        <w:t>Solomons</w:t>
      </w:r>
      <w:proofErr w:type="spellEnd"/>
      <w:r w:rsidR="00F32316" w:rsidRPr="00F32316">
        <w:rPr>
          <w:rFonts w:ascii="Arial" w:hAnsi="Arial" w:cs="Arial"/>
          <w:i/>
          <w:lang w:val="en-GB"/>
        </w:rPr>
        <w:t xml:space="preserve"> v. Ross</w:t>
      </w:r>
      <w:r w:rsidR="00F32316">
        <w:rPr>
          <w:rFonts w:ascii="Arial" w:hAnsi="Arial" w:cs="Arial"/>
          <w:lang w:val="en-GB"/>
        </w:rPr>
        <w:t xml:space="preserve"> was never fully reported in its own right. </w:t>
      </w:r>
    </w:p>
    <w:p w:rsidR="00F32316" w:rsidRDefault="00F32316" w:rsidP="00BB662F">
      <w:pPr>
        <w:spacing w:line="360" w:lineRule="auto"/>
        <w:jc w:val="both"/>
        <w:rPr>
          <w:rFonts w:ascii="Arial" w:hAnsi="Arial" w:cs="Arial"/>
          <w:lang w:val="en-GB"/>
        </w:rPr>
      </w:pPr>
    </w:p>
    <w:p w:rsidR="00491593" w:rsidRDefault="000302D2" w:rsidP="00BB662F">
      <w:pPr>
        <w:spacing w:line="360" w:lineRule="auto"/>
        <w:jc w:val="both"/>
        <w:rPr>
          <w:rFonts w:ascii="Arial" w:hAnsi="Arial" w:cs="Arial"/>
          <w:lang w:val="en-GB"/>
        </w:rPr>
      </w:pPr>
      <w:r>
        <w:rPr>
          <w:rFonts w:ascii="Arial" w:hAnsi="Arial" w:cs="Arial"/>
          <w:lang w:val="en-GB"/>
        </w:rPr>
        <w:t xml:space="preserve">The second source are the surviving </w:t>
      </w:r>
      <w:r w:rsidR="00F32316">
        <w:rPr>
          <w:rFonts w:ascii="Arial" w:hAnsi="Arial" w:cs="Arial"/>
          <w:lang w:val="en-GB"/>
        </w:rPr>
        <w:t xml:space="preserve">primary sources materials relating to the case in the National Archive. These include the </w:t>
      </w:r>
      <w:r w:rsidR="00396CF3" w:rsidRPr="00396CF3">
        <w:rPr>
          <w:rFonts w:ascii="Arial" w:hAnsi="Arial" w:cs="Arial"/>
          <w:color w:val="000000" w:themeColor="text1"/>
          <w:lang w:val="en-GB"/>
        </w:rPr>
        <w:t>pleadings, bills and answers</w:t>
      </w:r>
      <w:r w:rsidR="00AE53EE" w:rsidRPr="00396CF3">
        <w:rPr>
          <w:rFonts w:ascii="Arial" w:hAnsi="Arial" w:cs="Arial"/>
          <w:color w:val="000000" w:themeColor="text1"/>
          <w:lang w:val="en-GB"/>
        </w:rPr>
        <w:t>.</w:t>
      </w:r>
      <w:r w:rsidR="00491593" w:rsidRPr="00396CF3">
        <w:rPr>
          <w:rFonts w:ascii="Arial" w:hAnsi="Arial" w:cs="Arial"/>
          <w:color w:val="000000" w:themeColor="text1"/>
          <w:lang w:val="en-GB"/>
        </w:rPr>
        <w:t xml:space="preserve"> </w:t>
      </w:r>
    </w:p>
    <w:p w:rsidR="00491593" w:rsidRDefault="00491593" w:rsidP="00BB662F">
      <w:pPr>
        <w:spacing w:line="360" w:lineRule="auto"/>
        <w:jc w:val="both"/>
        <w:rPr>
          <w:rFonts w:ascii="Arial" w:hAnsi="Arial" w:cs="Arial"/>
          <w:lang w:val="en-GB"/>
        </w:rPr>
      </w:pPr>
    </w:p>
    <w:p w:rsidR="00C44CFE" w:rsidRDefault="00D350A1" w:rsidP="00BB662F">
      <w:pPr>
        <w:spacing w:line="360" w:lineRule="auto"/>
        <w:jc w:val="both"/>
        <w:rPr>
          <w:rFonts w:ascii="Arial" w:hAnsi="Arial" w:cs="Arial"/>
          <w:lang w:val="en-GB"/>
        </w:rPr>
      </w:pPr>
      <w:r>
        <w:rPr>
          <w:rFonts w:ascii="Arial" w:hAnsi="Arial" w:cs="Arial"/>
          <w:lang w:val="en-GB"/>
        </w:rPr>
        <w:t xml:space="preserve">It should be noted that in the period under discussion in this article, </w:t>
      </w:r>
      <w:r w:rsidR="00C81A19">
        <w:rPr>
          <w:rFonts w:ascii="Arial" w:hAnsi="Arial" w:cs="Arial"/>
          <w:lang w:val="en-GB"/>
        </w:rPr>
        <w:t xml:space="preserve">i.e. </w:t>
      </w:r>
      <w:r>
        <w:rPr>
          <w:rFonts w:ascii="Arial" w:hAnsi="Arial" w:cs="Arial"/>
          <w:lang w:val="en-GB"/>
        </w:rPr>
        <w:t>the 1760s, the bankruptcy laws provided a jurisdiction for discharge that was only available to “traders”</w:t>
      </w:r>
      <w:r w:rsidR="00C81A19">
        <w:rPr>
          <w:rFonts w:ascii="Arial" w:hAnsi="Arial" w:cs="Arial"/>
          <w:lang w:val="en-GB"/>
        </w:rPr>
        <w:t xml:space="preserve"> as a narrowly defined group of individuals</w:t>
      </w:r>
      <w:r>
        <w:rPr>
          <w:rFonts w:ascii="Arial" w:hAnsi="Arial" w:cs="Arial"/>
          <w:lang w:val="en-GB"/>
        </w:rPr>
        <w:t xml:space="preserve">. This remained the case until the </w:t>
      </w:r>
      <w:r w:rsidR="00530113">
        <w:rPr>
          <w:rFonts w:ascii="Arial" w:hAnsi="Arial" w:cs="Arial"/>
          <w:lang w:val="en-GB"/>
        </w:rPr>
        <w:lastRenderedPageBreak/>
        <w:t xml:space="preserve">1869 reforms </w:t>
      </w:r>
      <w:r w:rsidR="00C81A19">
        <w:rPr>
          <w:rFonts w:ascii="Arial" w:hAnsi="Arial" w:cs="Arial"/>
          <w:lang w:val="en-GB"/>
        </w:rPr>
        <w:t>removed the distinction between the bankruptcy jurisdiction</w:t>
      </w:r>
      <w:r w:rsidR="00C81A19">
        <w:rPr>
          <w:rStyle w:val="FootnoteReference"/>
          <w:rFonts w:ascii="Arial" w:hAnsi="Arial" w:cs="Arial"/>
          <w:lang w:val="en-GB"/>
        </w:rPr>
        <w:footnoteReference w:id="60"/>
      </w:r>
      <w:r w:rsidR="00C81A19">
        <w:rPr>
          <w:rFonts w:ascii="Arial" w:hAnsi="Arial" w:cs="Arial"/>
          <w:lang w:val="en-GB"/>
        </w:rPr>
        <w:t xml:space="preserve"> and the imprisonment for debt jurisdiction</w:t>
      </w:r>
      <w:r w:rsidR="00C81A19">
        <w:rPr>
          <w:rStyle w:val="FootnoteReference"/>
          <w:rFonts w:ascii="Arial" w:hAnsi="Arial" w:cs="Arial"/>
          <w:lang w:val="en-GB"/>
        </w:rPr>
        <w:footnoteReference w:id="61"/>
      </w:r>
      <w:r w:rsidR="00C81A19">
        <w:rPr>
          <w:rFonts w:ascii="Arial" w:hAnsi="Arial" w:cs="Arial"/>
          <w:lang w:val="en-GB"/>
        </w:rPr>
        <w:t xml:space="preserve"> by abolishing the latter and opening up the former to all subjects, save for married women. </w:t>
      </w:r>
    </w:p>
    <w:p w:rsidR="009230E7" w:rsidRDefault="009230E7" w:rsidP="00BB662F">
      <w:pPr>
        <w:spacing w:line="360" w:lineRule="auto"/>
        <w:jc w:val="both"/>
        <w:rPr>
          <w:rFonts w:ascii="Arial" w:hAnsi="Arial" w:cs="Arial"/>
          <w:lang w:val="en-GB"/>
        </w:rPr>
      </w:pPr>
    </w:p>
    <w:p w:rsidR="009230E7" w:rsidRDefault="009230E7" w:rsidP="00BB662F">
      <w:pPr>
        <w:spacing w:line="360" w:lineRule="auto"/>
        <w:jc w:val="both"/>
        <w:rPr>
          <w:rFonts w:ascii="Arial" w:hAnsi="Arial" w:cs="Arial"/>
          <w:lang w:val="en-GB"/>
        </w:rPr>
      </w:pPr>
      <w:r>
        <w:rPr>
          <w:rFonts w:ascii="Arial" w:hAnsi="Arial" w:cs="Arial"/>
          <w:lang w:val="en-GB"/>
        </w:rPr>
        <w:t xml:space="preserve">We can now move to a close consideration of the facts and reasoning in </w:t>
      </w:r>
      <w:proofErr w:type="spellStart"/>
      <w:r w:rsidRPr="007B7781">
        <w:rPr>
          <w:rFonts w:ascii="Arial" w:hAnsi="Arial" w:cs="Arial"/>
          <w:i/>
          <w:lang w:val="en-GB"/>
        </w:rPr>
        <w:t>Solomons</w:t>
      </w:r>
      <w:proofErr w:type="spellEnd"/>
      <w:r w:rsidRPr="007B7781">
        <w:rPr>
          <w:rFonts w:ascii="Arial" w:hAnsi="Arial" w:cs="Arial"/>
          <w:i/>
          <w:lang w:val="en-GB"/>
        </w:rPr>
        <w:t xml:space="preserve"> v. Ross</w:t>
      </w:r>
      <w:r w:rsidR="00491593">
        <w:rPr>
          <w:rFonts w:ascii="Arial" w:hAnsi="Arial" w:cs="Arial"/>
          <w:lang w:val="en-GB"/>
        </w:rPr>
        <w:t xml:space="preserve"> by reference to the reported decision, such as it is. We will then consider the primary sources that exist in the National Archive in relation to the case. </w:t>
      </w:r>
    </w:p>
    <w:p w:rsidR="00A23961" w:rsidRDefault="00A23961" w:rsidP="00BB662F">
      <w:pPr>
        <w:spacing w:line="360" w:lineRule="auto"/>
        <w:jc w:val="both"/>
        <w:rPr>
          <w:rFonts w:ascii="Arial" w:hAnsi="Arial" w:cs="Arial"/>
          <w:lang w:val="en-GB"/>
        </w:rPr>
      </w:pPr>
    </w:p>
    <w:p w:rsidR="00A23961" w:rsidRPr="007B7781" w:rsidRDefault="00A23961" w:rsidP="00BB662F">
      <w:pPr>
        <w:spacing w:line="360" w:lineRule="auto"/>
        <w:jc w:val="both"/>
        <w:rPr>
          <w:rFonts w:ascii="Arial" w:hAnsi="Arial" w:cs="Arial"/>
          <w:u w:val="single"/>
          <w:lang w:val="en-GB"/>
        </w:rPr>
      </w:pPr>
      <w:r w:rsidRPr="007B7781">
        <w:rPr>
          <w:rFonts w:ascii="Arial" w:hAnsi="Arial" w:cs="Arial"/>
          <w:u w:val="single"/>
          <w:lang w:val="en-GB"/>
        </w:rPr>
        <w:t xml:space="preserve">Facts </w:t>
      </w:r>
    </w:p>
    <w:p w:rsidR="00A23961" w:rsidRDefault="00A23961" w:rsidP="00BB662F">
      <w:pPr>
        <w:spacing w:line="360" w:lineRule="auto"/>
        <w:jc w:val="both"/>
        <w:rPr>
          <w:rFonts w:ascii="Arial" w:hAnsi="Arial" w:cs="Arial"/>
          <w:lang w:val="en-GB"/>
        </w:rPr>
      </w:pPr>
    </w:p>
    <w:p w:rsidR="00E169A3" w:rsidRDefault="00A23961" w:rsidP="00BB662F">
      <w:pPr>
        <w:spacing w:line="360" w:lineRule="auto"/>
        <w:jc w:val="both"/>
        <w:rPr>
          <w:rFonts w:ascii="Arial" w:hAnsi="Arial" w:cs="Arial"/>
          <w:lang w:val="en-GB"/>
        </w:rPr>
      </w:pPr>
      <w:r>
        <w:rPr>
          <w:rFonts w:ascii="Arial" w:hAnsi="Arial" w:cs="Arial"/>
          <w:lang w:val="en-GB"/>
        </w:rPr>
        <w:t xml:space="preserve">The salient facts in </w:t>
      </w:r>
      <w:proofErr w:type="spellStart"/>
      <w:r w:rsidRPr="007B7781">
        <w:rPr>
          <w:rFonts w:ascii="Arial" w:hAnsi="Arial" w:cs="Arial"/>
          <w:i/>
          <w:lang w:val="en-GB"/>
        </w:rPr>
        <w:t>Solomons</w:t>
      </w:r>
      <w:proofErr w:type="spellEnd"/>
      <w:r w:rsidRPr="007B7781">
        <w:rPr>
          <w:rFonts w:ascii="Arial" w:hAnsi="Arial" w:cs="Arial"/>
          <w:i/>
          <w:lang w:val="en-GB"/>
        </w:rPr>
        <w:t xml:space="preserve"> v. Ross</w:t>
      </w:r>
      <w:r>
        <w:rPr>
          <w:rFonts w:ascii="Arial" w:hAnsi="Arial" w:cs="Arial"/>
          <w:lang w:val="en-GB"/>
        </w:rPr>
        <w:t xml:space="preserve"> </w:t>
      </w:r>
      <w:r w:rsidR="007B7781">
        <w:rPr>
          <w:rFonts w:ascii="Arial" w:hAnsi="Arial" w:cs="Arial"/>
          <w:lang w:val="en-GB"/>
        </w:rPr>
        <w:t xml:space="preserve">relate to two London merchants, Michael </w:t>
      </w:r>
      <w:proofErr w:type="spellStart"/>
      <w:r w:rsidR="007B7781">
        <w:rPr>
          <w:rFonts w:ascii="Arial" w:hAnsi="Arial" w:cs="Arial"/>
          <w:lang w:val="en-GB"/>
        </w:rPr>
        <w:t>Solomons</w:t>
      </w:r>
      <w:proofErr w:type="spellEnd"/>
      <w:r w:rsidR="007B7781">
        <w:rPr>
          <w:rFonts w:ascii="Arial" w:hAnsi="Arial" w:cs="Arial"/>
          <w:lang w:val="en-GB"/>
        </w:rPr>
        <w:t xml:space="preserve"> and Hugh Ross, and their dealings with Messrs </w:t>
      </w:r>
      <w:proofErr w:type="spellStart"/>
      <w:r w:rsidR="007B7781">
        <w:rPr>
          <w:rFonts w:ascii="Arial" w:hAnsi="Arial" w:cs="Arial"/>
          <w:lang w:val="en-GB"/>
        </w:rPr>
        <w:t>Deneufvilles</w:t>
      </w:r>
      <w:proofErr w:type="spellEnd"/>
      <w:r w:rsidR="000302D2">
        <w:rPr>
          <w:rFonts w:ascii="Arial" w:hAnsi="Arial" w:cs="Arial"/>
          <w:lang w:val="en-GB"/>
        </w:rPr>
        <w:t>,</w:t>
      </w:r>
      <w:r w:rsidR="007B7781">
        <w:rPr>
          <w:rFonts w:ascii="Arial" w:hAnsi="Arial" w:cs="Arial"/>
          <w:lang w:val="en-GB"/>
        </w:rPr>
        <w:t xml:space="preserve"> merchants and partners in Amsterdam, </w:t>
      </w:r>
      <w:r w:rsidR="00E169A3">
        <w:rPr>
          <w:rFonts w:ascii="Arial" w:hAnsi="Arial" w:cs="Arial"/>
          <w:lang w:val="en-GB"/>
        </w:rPr>
        <w:t>Holland</w:t>
      </w:r>
      <w:r w:rsidR="007B7781">
        <w:rPr>
          <w:rFonts w:ascii="Arial" w:hAnsi="Arial" w:cs="Arial"/>
          <w:lang w:val="en-GB"/>
        </w:rPr>
        <w:t>.</w:t>
      </w:r>
      <w:r w:rsidR="00FA3E59">
        <w:rPr>
          <w:rFonts w:ascii="Arial" w:hAnsi="Arial" w:cs="Arial"/>
          <w:lang w:val="en-GB"/>
        </w:rPr>
        <w:t xml:space="preserve"> Hugh </w:t>
      </w:r>
      <w:r w:rsidR="00750D03">
        <w:rPr>
          <w:rFonts w:ascii="Arial" w:hAnsi="Arial" w:cs="Arial"/>
          <w:lang w:val="en-GB"/>
        </w:rPr>
        <w:t xml:space="preserve">Ross </w:t>
      </w:r>
      <w:r w:rsidR="0089041D">
        <w:rPr>
          <w:rFonts w:ascii="Arial" w:hAnsi="Arial" w:cs="Arial"/>
          <w:lang w:val="en-GB"/>
        </w:rPr>
        <w:t>was</w:t>
      </w:r>
      <w:r w:rsidR="00750D03">
        <w:rPr>
          <w:rFonts w:ascii="Arial" w:hAnsi="Arial" w:cs="Arial"/>
          <w:lang w:val="en-GB"/>
        </w:rPr>
        <w:t xml:space="preserve"> an iron merchant</w:t>
      </w:r>
      <w:r w:rsidR="008076EA">
        <w:rPr>
          <w:rStyle w:val="FootnoteReference"/>
          <w:rFonts w:ascii="Arial" w:hAnsi="Arial" w:cs="Arial"/>
          <w:lang w:val="en-GB"/>
        </w:rPr>
        <w:footnoteReference w:id="62"/>
      </w:r>
      <w:r w:rsidR="00750D03">
        <w:rPr>
          <w:rFonts w:ascii="Arial" w:hAnsi="Arial" w:cs="Arial"/>
          <w:lang w:val="en-GB"/>
        </w:rPr>
        <w:t xml:space="preserve"> and supplier of hemp</w:t>
      </w:r>
      <w:r w:rsidR="00D428CE">
        <w:rPr>
          <w:rStyle w:val="FootnoteReference"/>
          <w:rFonts w:ascii="Arial" w:hAnsi="Arial" w:cs="Arial"/>
          <w:lang w:val="en-GB"/>
        </w:rPr>
        <w:footnoteReference w:id="63"/>
      </w:r>
      <w:r w:rsidR="00750D03">
        <w:rPr>
          <w:rFonts w:ascii="Arial" w:hAnsi="Arial" w:cs="Arial"/>
          <w:lang w:val="en-GB"/>
        </w:rPr>
        <w:t xml:space="preserve"> to the Royal Navy. He had </w:t>
      </w:r>
      <w:r w:rsidR="00F12F79">
        <w:rPr>
          <w:rFonts w:ascii="Arial" w:hAnsi="Arial" w:cs="Arial"/>
          <w:lang w:val="en-GB"/>
        </w:rPr>
        <w:t xml:space="preserve">iron </w:t>
      </w:r>
      <w:r w:rsidR="00750D03">
        <w:rPr>
          <w:rFonts w:ascii="Arial" w:hAnsi="Arial" w:cs="Arial"/>
          <w:lang w:val="en-GB"/>
        </w:rPr>
        <w:t>dealings as far afield as the Baltic and Sweden.</w:t>
      </w:r>
      <w:r w:rsidR="00A262AC">
        <w:rPr>
          <w:rFonts w:ascii="Arial" w:hAnsi="Arial" w:cs="Arial"/>
          <w:lang w:val="en-GB"/>
        </w:rPr>
        <w:t xml:space="preserve"> Ross</w:t>
      </w:r>
      <w:r w:rsidR="00AB15F2">
        <w:rPr>
          <w:rFonts w:ascii="Arial" w:hAnsi="Arial" w:cs="Arial"/>
          <w:lang w:val="en-GB"/>
        </w:rPr>
        <w:t xml:space="preserve"> was </w:t>
      </w:r>
      <w:r w:rsidR="00442469">
        <w:rPr>
          <w:rFonts w:ascii="Arial" w:hAnsi="Arial" w:cs="Arial"/>
          <w:lang w:val="en-GB"/>
        </w:rPr>
        <w:t>also no</w:t>
      </w:r>
      <w:r w:rsidR="0089041D">
        <w:rPr>
          <w:rFonts w:ascii="Arial" w:hAnsi="Arial" w:cs="Arial"/>
          <w:lang w:val="en-GB"/>
        </w:rPr>
        <w:t xml:space="preserve"> stranger to litigation.</w:t>
      </w:r>
      <w:r w:rsidR="0089041D">
        <w:rPr>
          <w:rStyle w:val="FootnoteReference"/>
          <w:rFonts w:ascii="Arial" w:hAnsi="Arial" w:cs="Arial"/>
          <w:lang w:val="en-GB"/>
        </w:rPr>
        <w:footnoteReference w:id="64"/>
      </w:r>
      <w:r w:rsidR="00750D03">
        <w:rPr>
          <w:rFonts w:ascii="Arial" w:hAnsi="Arial" w:cs="Arial"/>
          <w:lang w:val="en-GB"/>
        </w:rPr>
        <w:t xml:space="preserve"> </w:t>
      </w:r>
    </w:p>
    <w:p w:rsidR="00A56187" w:rsidRDefault="00A56187" w:rsidP="00BB662F">
      <w:pPr>
        <w:spacing w:line="360" w:lineRule="auto"/>
        <w:jc w:val="both"/>
        <w:rPr>
          <w:rFonts w:ascii="Arial" w:hAnsi="Arial" w:cs="Arial"/>
          <w:lang w:val="en-GB"/>
        </w:rPr>
      </w:pPr>
    </w:p>
    <w:p w:rsidR="00A56187" w:rsidRDefault="00855464" w:rsidP="00BB662F">
      <w:pPr>
        <w:spacing w:line="360" w:lineRule="auto"/>
        <w:jc w:val="both"/>
        <w:rPr>
          <w:rFonts w:ascii="Arial" w:hAnsi="Arial" w:cs="Arial"/>
          <w:lang w:val="en-GB"/>
        </w:rPr>
      </w:pPr>
      <w:r>
        <w:rPr>
          <w:rFonts w:ascii="Arial" w:hAnsi="Arial" w:cs="Arial"/>
          <w:lang w:val="en-GB"/>
        </w:rPr>
        <w:t xml:space="preserve">On the </w:t>
      </w:r>
      <w:r w:rsidR="00A56187">
        <w:rPr>
          <w:rFonts w:ascii="Arial" w:hAnsi="Arial" w:cs="Arial"/>
          <w:lang w:val="en-GB"/>
        </w:rPr>
        <w:t>2nd of January 1760 the Chamber of Desolate E</w:t>
      </w:r>
      <w:r w:rsidR="00A56187" w:rsidRPr="00A56187">
        <w:rPr>
          <w:rFonts w:ascii="Arial" w:hAnsi="Arial" w:cs="Arial"/>
          <w:lang w:val="en-GB"/>
        </w:rPr>
        <w:t>states in Amsterdam declared</w:t>
      </w:r>
      <w:r w:rsidR="00A56187">
        <w:rPr>
          <w:rFonts w:ascii="Arial" w:hAnsi="Arial" w:cs="Arial"/>
          <w:lang w:val="en-GB"/>
        </w:rPr>
        <w:t xml:space="preserve"> Messrs </w:t>
      </w:r>
      <w:proofErr w:type="spellStart"/>
      <w:r w:rsidR="00A56187">
        <w:rPr>
          <w:rFonts w:ascii="Arial" w:hAnsi="Arial" w:cs="Arial"/>
          <w:lang w:val="en-GB"/>
        </w:rPr>
        <w:t>Deneufvilles</w:t>
      </w:r>
      <w:proofErr w:type="spellEnd"/>
      <w:r w:rsidR="00A56187">
        <w:rPr>
          <w:rFonts w:ascii="Arial" w:hAnsi="Arial" w:cs="Arial"/>
          <w:lang w:val="en-GB"/>
        </w:rPr>
        <w:t xml:space="preserve"> bankrupts.</w:t>
      </w:r>
      <w:r w:rsidR="00A56187">
        <w:rPr>
          <w:rStyle w:val="FootnoteReference"/>
          <w:rFonts w:ascii="Arial" w:hAnsi="Arial" w:cs="Arial"/>
          <w:lang w:val="en-GB"/>
        </w:rPr>
        <w:footnoteReference w:id="65"/>
      </w:r>
      <w:r w:rsidR="00A56187">
        <w:rPr>
          <w:rFonts w:ascii="Arial" w:hAnsi="Arial" w:cs="Arial"/>
          <w:lang w:val="en-GB"/>
        </w:rPr>
        <w:t xml:space="preserve"> Curators and</w:t>
      </w:r>
      <w:r w:rsidR="00A56187" w:rsidRPr="00A56187">
        <w:rPr>
          <w:rFonts w:ascii="Arial" w:hAnsi="Arial" w:cs="Arial"/>
          <w:lang w:val="en-GB"/>
        </w:rPr>
        <w:t xml:space="preserve"> assignees</w:t>
      </w:r>
      <w:r w:rsidR="00A56187">
        <w:rPr>
          <w:rFonts w:ascii="Arial" w:hAnsi="Arial" w:cs="Arial"/>
          <w:lang w:val="en-GB"/>
        </w:rPr>
        <w:t xml:space="preserve"> were</w:t>
      </w:r>
      <w:r w:rsidR="00A56187" w:rsidRPr="00A56187">
        <w:rPr>
          <w:rFonts w:ascii="Arial" w:hAnsi="Arial" w:cs="Arial"/>
          <w:lang w:val="en-GB"/>
        </w:rPr>
        <w:t xml:space="preserve"> appointed of their </w:t>
      </w:r>
      <w:r w:rsidR="00A56187" w:rsidRPr="00A56187">
        <w:rPr>
          <w:rFonts w:ascii="Arial" w:hAnsi="Arial" w:cs="Arial"/>
          <w:lang w:val="en-GB"/>
        </w:rPr>
        <w:lastRenderedPageBreak/>
        <w:t>estates and effects.</w:t>
      </w:r>
      <w:r w:rsidR="00A56187">
        <w:rPr>
          <w:rFonts w:ascii="Arial" w:hAnsi="Arial" w:cs="Arial"/>
          <w:lang w:val="en-GB"/>
        </w:rPr>
        <w:t xml:space="preserve"> Unfortunately for Ross he was owed approximately 3000l by the </w:t>
      </w:r>
      <w:proofErr w:type="spellStart"/>
      <w:r w:rsidR="00A56187">
        <w:rPr>
          <w:rFonts w:ascii="Arial" w:hAnsi="Arial" w:cs="Arial"/>
          <w:lang w:val="en-GB"/>
        </w:rPr>
        <w:t>Deneufvilles</w:t>
      </w:r>
      <w:proofErr w:type="spellEnd"/>
      <w:r w:rsidR="00A56187">
        <w:rPr>
          <w:rFonts w:ascii="Arial" w:hAnsi="Arial" w:cs="Arial"/>
          <w:lang w:val="en-GB"/>
        </w:rPr>
        <w:t xml:space="preserve">. This indebtedness is evidenced from an affidavit that was made by Ross on the </w:t>
      </w:r>
      <w:r w:rsidR="00A56187" w:rsidRPr="00A56187">
        <w:rPr>
          <w:rFonts w:ascii="Arial" w:hAnsi="Arial" w:cs="Arial"/>
          <w:lang w:val="en-GB"/>
        </w:rPr>
        <w:t>20th of December 17</w:t>
      </w:r>
      <w:r w:rsidR="00A56187">
        <w:rPr>
          <w:rFonts w:ascii="Arial" w:hAnsi="Arial" w:cs="Arial"/>
          <w:lang w:val="en-GB"/>
        </w:rPr>
        <w:t>59 in the Mayor's Court of London.</w:t>
      </w:r>
      <w:r w:rsidR="00C66ABE">
        <w:rPr>
          <w:rFonts w:ascii="Arial" w:hAnsi="Arial" w:cs="Arial"/>
          <w:lang w:val="en-GB"/>
        </w:rPr>
        <w:t xml:space="preserve"> </w:t>
      </w:r>
      <w:r w:rsidR="000F52CD" w:rsidRPr="000F52CD">
        <w:rPr>
          <w:rFonts w:ascii="Arial" w:hAnsi="Arial" w:cs="Arial"/>
          <w:lang w:val="en-GB"/>
        </w:rPr>
        <w:t>The Mayor’s Court was a popular, cheap and speedy forum within which merchants could solve their disputes. There was no monetary limit on the actions for debt that could be heard in the Mayor’s Court. This differed to the Sheriff’s Court where debt recovery was capped. The Mayor’s Court was also cheaper than the competitor Royal Courts at Westminster. Unfortunately</w:t>
      </w:r>
      <w:r w:rsidR="000302D2">
        <w:rPr>
          <w:rFonts w:ascii="Arial" w:hAnsi="Arial" w:cs="Arial"/>
          <w:lang w:val="en-GB"/>
        </w:rPr>
        <w:t>,</w:t>
      </w:r>
      <w:r w:rsidR="000F52CD" w:rsidRPr="000F52CD">
        <w:rPr>
          <w:rFonts w:ascii="Arial" w:hAnsi="Arial" w:cs="Arial"/>
          <w:lang w:val="en-GB"/>
        </w:rPr>
        <w:t xml:space="preserve"> no record</w:t>
      </w:r>
      <w:r w:rsidR="000F52CD">
        <w:rPr>
          <w:rFonts w:ascii="Arial" w:hAnsi="Arial" w:cs="Arial"/>
          <w:lang w:val="en-GB"/>
        </w:rPr>
        <w:t xml:space="preserve">s survive from the 18th century for the Mayor’s Court that can shed further light on </w:t>
      </w:r>
      <w:proofErr w:type="spellStart"/>
      <w:r w:rsidR="000F52CD" w:rsidRPr="00F12F7C">
        <w:rPr>
          <w:rFonts w:ascii="Arial" w:hAnsi="Arial" w:cs="Arial"/>
          <w:i/>
          <w:lang w:val="en-GB"/>
        </w:rPr>
        <w:t>Solomons</w:t>
      </w:r>
      <w:proofErr w:type="spellEnd"/>
      <w:r w:rsidR="000F52CD" w:rsidRPr="00F12F7C">
        <w:rPr>
          <w:rFonts w:ascii="Arial" w:hAnsi="Arial" w:cs="Arial"/>
          <w:i/>
          <w:lang w:val="en-GB"/>
        </w:rPr>
        <w:t xml:space="preserve"> v. Ross</w:t>
      </w:r>
      <w:r w:rsidR="000F52CD">
        <w:rPr>
          <w:rFonts w:ascii="Arial" w:hAnsi="Arial" w:cs="Arial"/>
          <w:lang w:val="en-GB"/>
        </w:rPr>
        <w:t>.</w:t>
      </w:r>
      <w:r w:rsidR="000F52CD">
        <w:rPr>
          <w:rStyle w:val="FootnoteReference"/>
          <w:rFonts w:ascii="Arial" w:hAnsi="Arial" w:cs="Arial"/>
          <w:lang w:val="en-GB"/>
        </w:rPr>
        <w:footnoteReference w:id="66"/>
      </w:r>
    </w:p>
    <w:p w:rsidR="007E3091" w:rsidRDefault="007E3091" w:rsidP="00BB662F">
      <w:pPr>
        <w:spacing w:line="360" w:lineRule="auto"/>
        <w:jc w:val="both"/>
        <w:rPr>
          <w:rFonts w:ascii="Arial" w:hAnsi="Arial" w:cs="Arial"/>
          <w:lang w:val="en-GB"/>
        </w:rPr>
      </w:pPr>
    </w:p>
    <w:p w:rsidR="004C54E2" w:rsidRDefault="000F52CD" w:rsidP="00BB662F">
      <w:pPr>
        <w:spacing w:line="360" w:lineRule="auto"/>
        <w:jc w:val="both"/>
        <w:rPr>
          <w:rFonts w:ascii="Arial" w:hAnsi="Arial" w:cs="Arial"/>
          <w:lang w:val="en-GB"/>
        </w:rPr>
      </w:pPr>
      <w:r>
        <w:rPr>
          <w:rFonts w:ascii="Arial" w:hAnsi="Arial" w:cs="Arial"/>
          <w:lang w:val="en-GB"/>
        </w:rPr>
        <w:t xml:space="preserve">The law report does however show that </w:t>
      </w:r>
      <w:r w:rsidR="004C54E2">
        <w:rPr>
          <w:rFonts w:ascii="Arial" w:hAnsi="Arial" w:cs="Arial"/>
          <w:lang w:val="en-GB"/>
        </w:rPr>
        <w:t xml:space="preserve">Ross obtained an attachment on </w:t>
      </w:r>
      <w:proofErr w:type="spellStart"/>
      <w:r w:rsidR="004C54E2">
        <w:rPr>
          <w:rFonts w:ascii="Arial" w:hAnsi="Arial" w:cs="Arial"/>
          <w:lang w:val="en-GB"/>
        </w:rPr>
        <w:t>Deneufvilles</w:t>
      </w:r>
      <w:proofErr w:type="spellEnd"/>
      <w:r w:rsidR="004C54E2">
        <w:rPr>
          <w:rFonts w:ascii="Arial" w:hAnsi="Arial" w:cs="Arial"/>
          <w:lang w:val="en-GB"/>
        </w:rPr>
        <w:t xml:space="preserve"> monies that were in the hands of Michael </w:t>
      </w:r>
      <w:proofErr w:type="spellStart"/>
      <w:r w:rsidR="004C54E2">
        <w:rPr>
          <w:rFonts w:ascii="Arial" w:hAnsi="Arial" w:cs="Arial"/>
          <w:lang w:val="en-GB"/>
        </w:rPr>
        <w:t>Solomons</w:t>
      </w:r>
      <w:proofErr w:type="spellEnd"/>
      <w:r>
        <w:rPr>
          <w:rFonts w:ascii="Arial" w:hAnsi="Arial" w:cs="Arial"/>
          <w:lang w:val="en-GB"/>
        </w:rPr>
        <w:t xml:space="preserve"> and located in England</w:t>
      </w:r>
      <w:r w:rsidR="004C54E2">
        <w:rPr>
          <w:rFonts w:ascii="Arial" w:hAnsi="Arial" w:cs="Arial"/>
          <w:lang w:val="en-GB"/>
        </w:rPr>
        <w:t xml:space="preserve">. </w:t>
      </w:r>
      <w:proofErr w:type="spellStart"/>
      <w:r w:rsidR="004C54E2">
        <w:rPr>
          <w:rFonts w:ascii="Arial" w:hAnsi="Arial" w:cs="Arial"/>
          <w:lang w:val="en-GB"/>
        </w:rPr>
        <w:t>Solomons</w:t>
      </w:r>
      <w:proofErr w:type="spellEnd"/>
      <w:r w:rsidR="004C54E2">
        <w:rPr>
          <w:rFonts w:ascii="Arial" w:hAnsi="Arial" w:cs="Arial"/>
          <w:lang w:val="en-GB"/>
        </w:rPr>
        <w:t xml:space="preserve"> was a debtor of the </w:t>
      </w:r>
      <w:proofErr w:type="spellStart"/>
      <w:r w:rsidR="004C54E2">
        <w:rPr>
          <w:rFonts w:ascii="Arial" w:hAnsi="Arial" w:cs="Arial"/>
          <w:lang w:val="en-GB"/>
        </w:rPr>
        <w:t>Deneufvilles</w:t>
      </w:r>
      <w:proofErr w:type="spellEnd"/>
      <w:r w:rsidR="004C54E2">
        <w:rPr>
          <w:rFonts w:ascii="Arial" w:hAnsi="Arial" w:cs="Arial"/>
          <w:lang w:val="en-GB"/>
        </w:rPr>
        <w:t xml:space="preserve"> to the amount of 1200l. The 8</w:t>
      </w:r>
      <w:r w:rsidR="004C54E2" w:rsidRPr="004C54E2">
        <w:rPr>
          <w:rFonts w:ascii="Arial" w:hAnsi="Arial" w:cs="Arial"/>
          <w:vertAlign w:val="superscript"/>
          <w:lang w:val="en-GB"/>
        </w:rPr>
        <w:t>th</w:t>
      </w:r>
      <w:r w:rsidR="004C54E2">
        <w:rPr>
          <w:rFonts w:ascii="Arial" w:hAnsi="Arial" w:cs="Arial"/>
          <w:lang w:val="en-GB"/>
        </w:rPr>
        <w:t xml:space="preserve"> of March 1760 was a bad day for </w:t>
      </w:r>
      <w:proofErr w:type="spellStart"/>
      <w:r w:rsidR="004C54E2">
        <w:rPr>
          <w:rFonts w:ascii="Arial" w:hAnsi="Arial" w:cs="Arial"/>
          <w:lang w:val="en-GB"/>
        </w:rPr>
        <w:t>Solomons</w:t>
      </w:r>
      <w:proofErr w:type="spellEnd"/>
      <w:r w:rsidR="004C54E2">
        <w:rPr>
          <w:rFonts w:ascii="Arial" w:hAnsi="Arial" w:cs="Arial"/>
          <w:lang w:val="en-GB"/>
        </w:rPr>
        <w:t xml:space="preserve"> as he was taken in execution and imprisoned for debt. This was because Ross had obtained judgment by default on the attachment and issued a writ of execution against </w:t>
      </w:r>
      <w:proofErr w:type="spellStart"/>
      <w:r w:rsidR="004C54E2">
        <w:rPr>
          <w:rFonts w:ascii="Arial" w:hAnsi="Arial" w:cs="Arial"/>
          <w:lang w:val="en-GB"/>
        </w:rPr>
        <w:t>Solomons</w:t>
      </w:r>
      <w:proofErr w:type="spellEnd"/>
      <w:r w:rsidR="004C54E2">
        <w:rPr>
          <w:rFonts w:ascii="Arial" w:hAnsi="Arial" w:cs="Arial"/>
          <w:lang w:val="en-GB"/>
        </w:rPr>
        <w:t xml:space="preserve">. </w:t>
      </w:r>
      <w:proofErr w:type="spellStart"/>
      <w:r w:rsidR="004C54E2">
        <w:rPr>
          <w:rFonts w:ascii="Arial" w:hAnsi="Arial" w:cs="Arial"/>
          <w:lang w:val="en-GB"/>
        </w:rPr>
        <w:t>Solomons</w:t>
      </w:r>
      <w:proofErr w:type="spellEnd"/>
      <w:r w:rsidR="004C54E2">
        <w:rPr>
          <w:rFonts w:ascii="Arial" w:hAnsi="Arial" w:cs="Arial"/>
          <w:lang w:val="en-GB"/>
        </w:rPr>
        <w:t xml:space="preserve"> was unable to pay the 1200l, hence the execution. </w:t>
      </w:r>
    </w:p>
    <w:p w:rsidR="004C54E2" w:rsidRDefault="004C54E2" w:rsidP="00BB662F">
      <w:pPr>
        <w:spacing w:line="360" w:lineRule="auto"/>
        <w:jc w:val="both"/>
        <w:rPr>
          <w:rFonts w:ascii="Arial" w:hAnsi="Arial" w:cs="Arial"/>
          <w:lang w:val="en-GB"/>
        </w:rPr>
      </w:pPr>
    </w:p>
    <w:p w:rsidR="004C54E2" w:rsidRDefault="004C54E2" w:rsidP="00BB662F">
      <w:pPr>
        <w:spacing w:line="360" w:lineRule="auto"/>
        <w:jc w:val="both"/>
        <w:rPr>
          <w:rFonts w:ascii="Arial" w:hAnsi="Arial" w:cs="Arial"/>
          <w:lang w:val="en-GB"/>
        </w:rPr>
      </w:pPr>
      <w:r>
        <w:rPr>
          <w:rFonts w:ascii="Arial" w:hAnsi="Arial" w:cs="Arial"/>
          <w:lang w:val="en-GB"/>
        </w:rPr>
        <w:t xml:space="preserve">A fourth character then enters the scene, namely, Israel </w:t>
      </w:r>
      <w:proofErr w:type="spellStart"/>
      <w:r>
        <w:rPr>
          <w:rFonts w:ascii="Arial" w:hAnsi="Arial" w:cs="Arial"/>
          <w:lang w:val="en-GB"/>
        </w:rPr>
        <w:t>Solomons</w:t>
      </w:r>
      <w:proofErr w:type="spellEnd"/>
      <w:r>
        <w:rPr>
          <w:rFonts w:ascii="Arial" w:hAnsi="Arial" w:cs="Arial"/>
          <w:lang w:val="en-GB"/>
        </w:rPr>
        <w:t xml:space="preserve">. Israel had a power of attorney from the Dutch curators to act for them in England. Israel filed a bill as plaintiff praying that the defendant Michael </w:t>
      </w:r>
      <w:proofErr w:type="spellStart"/>
      <w:r>
        <w:rPr>
          <w:rFonts w:ascii="Arial" w:hAnsi="Arial" w:cs="Arial"/>
          <w:lang w:val="en-GB"/>
        </w:rPr>
        <w:t>Solomons</w:t>
      </w:r>
      <w:proofErr w:type="spellEnd"/>
      <w:r>
        <w:rPr>
          <w:rFonts w:ascii="Arial" w:hAnsi="Arial" w:cs="Arial"/>
          <w:lang w:val="en-GB"/>
        </w:rPr>
        <w:t xml:space="preserve"> might account with the Curators for </w:t>
      </w:r>
      <w:r w:rsidR="00125B87">
        <w:rPr>
          <w:rFonts w:ascii="Arial" w:hAnsi="Arial" w:cs="Arial"/>
          <w:lang w:val="en-GB"/>
        </w:rPr>
        <w:t>the effects of the bankrupts (</w:t>
      </w:r>
      <w:proofErr w:type="spellStart"/>
      <w:r>
        <w:rPr>
          <w:rFonts w:ascii="Arial" w:hAnsi="Arial" w:cs="Arial"/>
          <w:lang w:val="en-GB"/>
        </w:rPr>
        <w:t>Deneufvilles</w:t>
      </w:r>
      <w:proofErr w:type="spellEnd"/>
      <w:r>
        <w:rPr>
          <w:rFonts w:ascii="Arial" w:hAnsi="Arial" w:cs="Arial"/>
          <w:lang w:val="en-GB"/>
        </w:rPr>
        <w:t xml:space="preserve">) which were in his hands, namely, the 1200l. The bill prayed that Michael </w:t>
      </w:r>
      <w:proofErr w:type="spellStart"/>
      <w:r>
        <w:rPr>
          <w:rFonts w:ascii="Arial" w:hAnsi="Arial" w:cs="Arial"/>
          <w:lang w:val="en-GB"/>
        </w:rPr>
        <w:t>Solomons</w:t>
      </w:r>
      <w:proofErr w:type="spellEnd"/>
      <w:r>
        <w:rPr>
          <w:rFonts w:ascii="Arial" w:hAnsi="Arial" w:cs="Arial"/>
          <w:lang w:val="en-GB"/>
        </w:rPr>
        <w:t xml:space="preserve"> would deliver the 1200l to Israel </w:t>
      </w:r>
      <w:proofErr w:type="spellStart"/>
      <w:r>
        <w:rPr>
          <w:rFonts w:ascii="Arial" w:hAnsi="Arial" w:cs="Arial"/>
          <w:lang w:val="en-GB"/>
        </w:rPr>
        <w:t>Solomo</w:t>
      </w:r>
      <w:r w:rsidR="00C13D39">
        <w:rPr>
          <w:rFonts w:ascii="Arial" w:hAnsi="Arial" w:cs="Arial"/>
          <w:lang w:val="en-GB"/>
        </w:rPr>
        <w:t>ns</w:t>
      </w:r>
      <w:proofErr w:type="spellEnd"/>
      <w:r w:rsidR="00C13D39">
        <w:rPr>
          <w:rFonts w:ascii="Arial" w:hAnsi="Arial" w:cs="Arial"/>
          <w:lang w:val="en-GB"/>
        </w:rPr>
        <w:t xml:space="preserve"> for the use of the curators,  and perhaps most importantly, be restrained from paying them over to Ross. The 1200l was then paid into court </w:t>
      </w:r>
      <w:r w:rsidR="001320A9">
        <w:rPr>
          <w:rFonts w:ascii="Arial" w:hAnsi="Arial" w:cs="Arial"/>
          <w:lang w:val="en-GB"/>
        </w:rPr>
        <w:t xml:space="preserve">in the name of the Accountant -General </w:t>
      </w:r>
      <w:r w:rsidR="00C13D39">
        <w:rPr>
          <w:rFonts w:ascii="Arial" w:hAnsi="Arial" w:cs="Arial"/>
          <w:lang w:val="en-GB"/>
        </w:rPr>
        <w:t xml:space="preserve">following a separate bill filed by Israel </w:t>
      </w:r>
      <w:proofErr w:type="spellStart"/>
      <w:r w:rsidR="00C13D39">
        <w:rPr>
          <w:rFonts w:ascii="Arial" w:hAnsi="Arial" w:cs="Arial"/>
          <w:lang w:val="en-GB"/>
        </w:rPr>
        <w:t>Solomons</w:t>
      </w:r>
      <w:proofErr w:type="spellEnd"/>
      <w:r w:rsidR="00C13D39">
        <w:rPr>
          <w:rFonts w:ascii="Arial" w:hAnsi="Arial" w:cs="Arial"/>
          <w:lang w:val="en-GB"/>
        </w:rPr>
        <w:t>.</w:t>
      </w:r>
    </w:p>
    <w:p w:rsidR="004C54E2" w:rsidRDefault="004C54E2" w:rsidP="00BB662F">
      <w:pPr>
        <w:spacing w:line="360" w:lineRule="auto"/>
        <w:jc w:val="both"/>
        <w:rPr>
          <w:rFonts w:ascii="Arial" w:hAnsi="Arial" w:cs="Arial"/>
          <w:lang w:val="en-GB"/>
        </w:rPr>
      </w:pPr>
    </w:p>
    <w:p w:rsidR="00242484" w:rsidRDefault="004C54E2" w:rsidP="00BB662F">
      <w:pPr>
        <w:spacing w:line="360" w:lineRule="auto"/>
        <w:jc w:val="both"/>
        <w:rPr>
          <w:rFonts w:ascii="Arial" w:hAnsi="Arial" w:cs="Arial"/>
          <w:color w:val="000000" w:themeColor="text1"/>
          <w:lang w:val="en-GB"/>
        </w:rPr>
      </w:pPr>
      <w:r w:rsidRPr="001320A9">
        <w:rPr>
          <w:rFonts w:ascii="Arial" w:hAnsi="Arial" w:cs="Arial"/>
          <w:color w:val="000000" w:themeColor="text1"/>
          <w:lang w:val="en-GB"/>
        </w:rPr>
        <w:lastRenderedPageBreak/>
        <w:t>So in short we have the English creditors (Ross) versus the Dutch creditors (</w:t>
      </w:r>
      <w:r w:rsidR="00A610D8">
        <w:rPr>
          <w:rFonts w:ascii="Arial" w:hAnsi="Arial" w:cs="Arial"/>
          <w:color w:val="000000" w:themeColor="text1"/>
          <w:lang w:val="en-GB"/>
        </w:rPr>
        <w:t xml:space="preserve">in the form of </w:t>
      </w:r>
      <w:r w:rsidRPr="001320A9">
        <w:rPr>
          <w:rFonts w:ascii="Arial" w:hAnsi="Arial" w:cs="Arial"/>
          <w:color w:val="000000" w:themeColor="text1"/>
          <w:lang w:val="en-GB"/>
        </w:rPr>
        <w:t xml:space="preserve">Israel and the Curators). </w:t>
      </w:r>
    </w:p>
    <w:p w:rsidR="00242484" w:rsidRDefault="00242484" w:rsidP="00BB662F">
      <w:pPr>
        <w:spacing w:line="360" w:lineRule="auto"/>
        <w:jc w:val="both"/>
        <w:rPr>
          <w:rFonts w:ascii="Arial" w:hAnsi="Arial" w:cs="Arial"/>
          <w:color w:val="000000" w:themeColor="text1"/>
          <w:lang w:val="en-GB"/>
        </w:rPr>
      </w:pPr>
    </w:p>
    <w:p w:rsidR="000929A2" w:rsidRDefault="00242484" w:rsidP="00BB662F">
      <w:pPr>
        <w:spacing w:line="360" w:lineRule="auto"/>
        <w:jc w:val="both"/>
        <w:rPr>
          <w:rFonts w:ascii="Arial" w:hAnsi="Arial" w:cs="Arial"/>
          <w:color w:val="000000" w:themeColor="text1"/>
          <w:lang w:val="en-GB"/>
        </w:rPr>
      </w:pPr>
      <w:r>
        <w:rPr>
          <w:rFonts w:ascii="Arial" w:hAnsi="Arial" w:cs="Arial"/>
          <w:color w:val="000000" w:themeColor="text1"/>
          <w:lang w:val="en-GB"/>
        </w:rPr>
        <w:t>The case came on before Bathurst sitting in the Court of Chancery</w:t>
      </w:r>
      <w:r w:rsidR="009300E3">
        <w:rPr>
          <w:rStyle w:val="FootnoteReference"/>
          <w:rFonts w:ascii="Arial" w:hAnsi="Arial" w:cs="Arial"/>
          <w:color w:val="000000" w:themeColor="text1"/>
          <w:lang w:val="en-GB"/>
        </w:rPr>
        <w:footnoteReference w:id="67"/>
      </w:r>
      <w:r w:rsidR="007B0BF2">
        <w:rPr>
          <w:rFonts w:ascii="Arial" w:hAnsi="Arial" w:cs="Arial"/>
          <w:color w:val="000000" w:themeColor="text1"/>
          <w:lang w:val="en-GB"/>
        </w:rPr>
        <w:t xml:space="preserve"> in place of the indisposed Lord Chancellor </w:t>
      </w:r>
      <w:proofErr w:type="spellStart"/>
      <w:r w:rsidR="007B0BF2">
        <w:rPr>
          <w:rFonts w:ascii="Arial" w:hAnsi="Arial" w:cs="Arial"/>
          <w:color w:val="000000" w:themeColor="text1"/>
          <w:lang w:val="en-GB"/>
        </w:rPr>
        <w:t>Northington</w:t>
      </w:r>
      <w:proofErr w:type="spellEnd"/>
      <w:r w:rsidR="007B0BF2">
        <w:rPr>
          <w:rFonts w:ascii="Arial" w:hAnsi="Arial" w:cs="Arial"/>
          <w:color w:val="000000" w:themeColor="text1"/>
          <w:lang w:val="en-GB"/>
        </w:rPr>
        <w:t>.</w:t>
      </w:r>
      <w:r w:rsidR="00306DFC">
        <w:rPr>
          <w:rStyle w:val="FootnoteReference"/>
          <w:rFonts w:ascii="Arial" w:hAnsi="Arial" w:cs="Arial"/>
          <w:color w:val="000000" w:themeColor="text1"/>
          <w:lang w:val="en-GB"/>
        </w:rPr>
        <w:footnoteReference w:id="68"/>
      </w:r>
      <w:r w:rsidR="007B0BF2">
        <w:rPr>
          <w:rFonts w:ascii="Arial" w:hAnsi="Arial" w:cs="Arial"/>
          <w:color w:val="000000" w:themeColor="text1"/>
          <w:lang w:val="en-GB"/>
        </w:rPr>
        <w:t xml:space="preserve"> </w:t>
      </w:r>
      <w:proofErr w:type="spellStart"/>
      <w:r w:rsidR="00BD5FC4">
        <w:rPr>
          <w:rFonts w:ascii="Arial" w:hAnsi="Arial" w:cs="Arial"/>
          <w:color w:val="000000" w:themeColor="text1"/>
          <w:lang w:val="en-GB"/>
        </w:rPr>
        <w:t>Northington</w:t>
      </w:r>
      <w:proofErr w:type="spellEnd"/>
      <w:r w:rsidR="00BD5FC4">
        <w:rPr>
          <w:rFonts w:ascii="Arial" w:hAnsi="Arial" w:cs="Arial"/>
          <w:color w:val="000000" w:themeColor="text1"/>
          <w:lang w:val="en-GB"/>
        </w:rPr>
        <w:t xml:space="preserve"> was probably ill with gout. His biographer has noted that “His health…had latterly become much impaired; his constitution was enfeebled by repeated attacks of gout; and he had frequently and for considerable intervals, been incapacitated from performing the laborious duties of his office.”</w:t>
      </w:r>
      <w:r w:rsidR="00BD5FC4">
        <w:rPr>
          <w:rStyle w:val="FootnoteReference"/>
          <w:rFonts w:ascii="Arial" w:hAnsi="Arial" w:cs="Arial"/>
          <w:color w:val="000000" w:themeColor="text1"/>
          <w:lang w:val="en-GB"/>
        </w:rPr>
        <w:footnoteReference w:id="69"/>
      </w:r>
      <w:r w:rsidR="00BD5FC4">
        <w:rPr>
          <w:rFonts w:ascii="Arial" w:hAnsi="Arial" w:cs="Arial"/>
          <w:color w:val="000000" w:themeColor="text1"/>
          <w:lang w:val="en-GB"/>
        </w:rPr>
        <w:t xml:space="preserve"> </w:t>
      </w:r>
    </w:p>
    <w:p w:rsidR="009300E3" w:rsidRDefault="009300E3" w:rsidP="00BB662F">
      <w:pPr>
        <w:spacing w:line="360" w:lineRule="auto"/>
        <w:jc w:val="both"/>
        <w:rPr>
          <w:rFonts w:ascii="Arial" w:hAnsi="Arial" w:cs="Arial"/>
          <w:color w:val="000000" w:themeColor="text1"/>
          <w:lang w:val="en-GB"/>
        </w:rPr>
      </w:pPr>
    </w:p>
    <w:p w:rsidR="00242484" w:rsidRDefault="007B0BF2" w:rsidP="00BB662F">
      <w:pPr>
        <w:spacing w:line="360" w:lineRule="auto"/>
        <w:jc w:val="both"/>
        <w:rPr>
          <w:rFonts w:ascii="Arial" w:hAnsi="Arial" w:cs="Arial"/>
          <w:color w:val="000000" w:themeColor="text1"/>
          <w:lang w:val="en-GB"/>
        </w:rPr>
      </w:pPr>
      <w:r>
        <w:rPr>
          <w:rFonts w:ascii="Arial" w:hAnsi="Arial" w:cs="Arial"/>
          <w:color w:val="000000" w:themeColor="text1"/>
          <w:lang w:val="en-GB"/>
        </w:rPr>
        <w:t xml:space="preserve">Ross would have been hopeful of a favourable outcome not least as he was encountering difficulties with the quality of his iron </w:t>
      </w:r>
      <w:r w:rsidR="00876ACD">
        <w:rPr>
          <w:rFonts w:ascii="Arial" w:hAnsi="Arial" w:cs="Arial"/>
          <w:color w:val="000000" w:themeColor="text1"/>
          <w:lang w:val="en-GB"/>
        </w:rPr>
        <w:t xml:space="preserve">at </w:t>
      </w:r>
      <w:r>
        <w:rPr>
          <w:rFonts w:ascii="Arial" w:hAnsi="Arial" w:cs="Arial"/>
          <w:color w:val="000000" w:themeColor="text1"/>
          <w:lang w:val="en-GB"/>
        </w:rPr>
        <w:t>around the same time</w:t>
      </w:r>
      <w:r w:rsidR="00876ACD">
        <w:rPr>
          <w:rFonts w:ascii="Arial" w:hAnsi="Arial" w:cs="Arial"/>
          <w:color w:val="000000" w:themeColor="text1"/>
          <w:lang w:val="en-GB"/>
        </w:rPr>
        <w:t xml:space="preserve"> as his insolvency c</w:t>
      </w:r>
      <w:r w:rsidR="00E6645B">
        <w:rPr>
          <w:rFonts w:ascii="Arial" w:hAnsi="Arial" w:cs="Arial"/>
          <w:color w:val="000000" w:themeColor="text1"/>
          <w:lang w:val="en-GB"/>
        </w:rPr>
        <w:t>ase was being heard in the Court of Chancery</w:t>
      </w:r>
      <w:r>
        <w:rPr>
          <w:rFonts w:ascii="Arial" w:hAnsi="Arial" w:cs="Arial"/>
          <w:color w:val="000000" w:themeColor="text1"/>
          <w:lang w:val="en-GB"/>
        </w:rPr>
        <w:t>.</w:t>
      </w:r>
      <w:r>
        <w:rPr>
          <w:rStyle w:val="FootnoteReference"/>
          <w:rFonts w:ascii="Arial" w:hAnsi="Arial" w:cs="Arial"/>
          <w:color w:val="000000" w:themeColor="text1"/>
          <w:lang w:val="en-GB"/>
        </w:rPr>
        <w:footnoteReference w:id="70"/>
      </w:r>
      <w:r w:rsidR="00242484">
        <w:rPr>
          <w:rFonts w:ascii="Arial" w:hAnsi="Arial" w:cs="Arial"/>
          <w:color w:val="000000" w:themeColor="text1"/>
          <w:lang w:val="en-GB"/>
        </w:rPr>
        <w:t xml:space="preserve"> </w:t>
      </w:r>
    </w:p>
    <w:p w:rsidR="00242484" w:rsidRDefault="00242484" w:rsidP="00BB662F">
      <w:pPr>
        <w:spacing w:line="360" w:lineRule="auto"/>
        <w:jc w:val="both"/>
        <w:rPr>
          <w:rFonts w:ascii="Arial" w:hAnsi="Arial" w:cs="Arial"/>
          <w:color w:val="000000" w:themeColor="text1"/>
          <w:lang w:val="en-GB"/>
        </w:rPr>
      </w:pPr>
    </w:p>
    <w:p w:rsidR="001320A9" w:rsidRDefault="00E169A3" w:rsidP="00BB662F">
      <w:pPr>
        <w:spacing w:line="360" w:lineRule="auto"/>
        <w:jc w:val="both"/>
        <w:rPr>
          <w:rFonts w:ascii="Arial" w:hAnsi="Arial" w:cs="Arial"/>
          <w:i/>
          <w:color w:val="000000" w:themeColor="text1"/>
          <w:lang w:val="en-GB"/>
        </w:rPr>
      </w:pPr>
      <w:r w:rsidRPr="001320A9">
        <w:rPr>
          <w:rFonts w:ascii="Arial" w:hAnsi="Arial" w:cs="Arial"/>
          <w:color w:val="000000" w:themeColor="text1"/>
          <w:lang w:val="en-GB"/>
        </w:rPr>
        <w:t xml:space="preserve">The decree directed, </w:t>
      </w:r>
      <w:r w:rsidRPr="00AE53EE">
        <w:rPr>
          <w:rFonts w:ascii="Arial" w:hAnsi="Arial" w:cs="Arial"/>
          <w:i/>
          <w:color w:val="000000" w:themeColor="text1"/>
          <w:lang w:val="en-GB"/>
        </w:rPr>
        <w:t>inter alia</w:t>
      </w:r>
      <w:r w:rsidRPr="001320A9">
        <w:rPr>
          <w:rFonts w:ascii="Arial" w:hAnsi="Arial" w:cs="Arial"/>
          <w:color w:val="000000" w:themeColor="text1"/>
          <w:lang w:val="en-GB"/>
        </w:rPr>
        <w:t>,</w:t>
      </w:r>
      <w:r w:rsidRPr="001320A9">
        <w:rPr>
          <w:rFonts w:ascii="Arial" w:hAnsi="Arial" w:cs="Arial"/>
          <w:i/>
          <w:color w:val="000000" w:themeColor="text1"/>
          <w:lang w:val="en-GB"/>
        </w:rPr>
        <w:t xml:space="preserve"> </w:t>
      </w:r>
    </w:p>
    <w:p w:rsidR="001320A9" w:rsidRDefault="001320A9" w:rsidP="00BB662F">
      <w:pPr>
        <w:spacing w:line="360" w:lineRule="auto"/>
        <w:jc w:val="both"/>
        <w:rPr>
          <w:rFonts w:ascii="Arial" w:hAnsi="Arial" w:cs="Arial"/>
          <w:i/>
          <w:color w:val="000000" w:themeColor="text1"/>
          <w:lang w:val="en-GB"/>
        </w:rPr>
      </w:pPr>
    </w:p>
    <w:p w:rsidR="001320A9" w:rsidRPr="00AE53EE" w:rsidRDefault="00E169A3" w:rsidP="00FF7A83">
      <w:pPr>
        <w:ind w:left="720"/>
        <w:jc w:val="both"/>
        <w:rPr>
          <w:rFonts w:ascii="Arial" w:hAnsi="Arial" w:cs="Arial"/>
          <w:color w:val="000000" w:themeColor="text1"/>
          <w:sz w:val="22"/>
          <w:szCs w:val="22"/>
          <w:lang w:val="en-GB"/>
        </w:rPr>
      </w:pPr>
      <w:r w:rsidRPr="00AE53EE">
        <w:rPr>
          <w:rFonts w:ascii="Arial" w:hAnsi="Arial" w:cs="Arial"/>
          <w:i/>
          <w:color w:val="000000" w:themeColor="text1"/>
          <w:sz w:val="22"/>
          <w:szCs w:val="22"/>
          <w:lang w:val="en-GB"/>
        </w:rPr>
        <w:t xml:space="preserve">“That the stock purchased with the money paid into the bank, should be transferred to Israel </w:t>
      </w:r>
      <w:proofErr w:type="spellStart"/>
      <w:r w:rsidRPr="00AE53EE">
        <w:rPr>
          <w:rFonts w:ascii="Arial" w:hAnsi="Arial" w:cs="Arial"/>
          <w:i/>
          <w:color w:val="000000" w:themeColor="text1"/>
          <w:sz w:val="22"/>
          <w:szCs w:val="22"/>
          <w:lang w:val="en-GB"/>
        </w:rPr>
        <w:t>Solomons</w:t>
      </w:r>
      <w:proofErr w:type="spellEnd"/>
      <w:r w:rsidRPr="00AE53EE">
        <w:rPr>
          <w:rFonts w:ascii="Arial" w:hAnsi="Arial" w:cs="Arial"/>
          <w:i/>
          <w:color w:val="000000" w:themeColor="text1"/>
          <w:sz w:val="22"/>
          <w:szCs w:val="22"/>
          <w:lang w:val="en-GB"/>
        </w:rPr>
        <w:t xml:space="preserve">, for the benefit of the creditors of the bankrupts, and that Ross should deliver up the note given by Michael </w:t>
      </w:r>
      <w:proofErr w:type="spellStart"/>
      <w:r w:rsidRPr="00AE53EE">
        <w:rPr>
          <w:rFonts w:ascii="Arial" w:hAnsi="Arial" w:cs="Arial"/>
          <w:i/>
          <w:color w:val="000000" w:themeColor="text1"/>
          <w:sz w:val="22"/>
          <w:szCs w:val="22"/>
          <w:lang w:val="en-GB"/>
        </w:rPr>
        <w:t>Solomons</w:t>
      </w:r>
      <w:proofErr w:type="spellEnd"/>
      <w:r w:rsidRPr="00AE53EE">
        <w:rPr>
          <w:rFonts w:ascii="Arial" w:hAnsi="Arial" w:cs="Arial"/>
          <w:i/>
          <w:color w:val="000000" w:themeColor="text1"/>
          <w:sz w:val="22"/>
          <w:szCs w:val="22"/>
          <w:lang w:val="en-GB"/>
        </w:rPr>
        <w:t xml:space="preserve"> for 1200l. to be cancelled.”</w:t>
      </w:r>
      <w:r w:rsidR="001320A9" w:rsidRPr="00AE53EE">
        <w:rPr>
          <w:rStyle w:val="FootnoteReference"/>
          <w:rFonts w:ascii="Arial" w:hAnsi="Arial" w:cs="Arial"/>
          <w:color w:val="000000" w:themeColor="text1"/>
          <w:sz w:val="22"/>
          <w:szCs w:val="22"/>
          <w:lang w:val="en-GB"/>
        </w:rPr>
        <w:footnoteReference w:id="71"/>
      </w:r>
      <w:r w:rsidRPr="00AE53EE">
        <w:rPr>
          <w:rFonts w:ascii="Arial" w:hAnsi="Arial" w:cs="Arial"/>
          <w:color w:val="000000" w:themeColor="text1"/>
          <w:sz w:val="22"/>
          <w:szCs w:val="22"/>
          <w:lang w:val="en-GB"/>
        </w:rPr>
        <w:t xml:space="preserve"> </w:t>
      </w:r>
    </w:p>
    <w:p w:rsidR="00A610D8" w:rsidRDefault="00A610D8" w:rsidP="00BB662F">
      <w:pPr>
        <w:spacing w:line="360" w:lineRule="auto"/>
        <w:ind w:left="720"/>
        <w:jc w:val="both"/>
        <w:rPr>
          <w:rFonts w:ascii="Arial" w:hAnsi="Arial" w:cs="Arial"/>
          <w:color w:val="000000" w:themeColor="text1"/>
          <w:lang w:val="en-GB"/>
        </w:rPr>
      </w:pPr>
    </w:p>
    <w:p w:rsidR="00A610D8" w:rsidRDefault="00A610D8" w:rsidP="00BB662F">
      <w:pPr>
        <w:spacing w:line="360" w:lineRule="auto"/>
        <w:jc w:val="both"/>
        <w:rPr>
          <w:rFonts w:ascii="Arial" w:hAnsi="Arial" w:cs="Arial"/>
          <w:lang w:val="en-GB"/>
        </w:rPr>
      </w:pPr>
      <w:r>
        <w:rPr>
          <w:rFonts w:ascii="Arial" w:hAnsi="Arial" w:cs="Arial"/>
          <w:color w:val="000000" w:themeColor="text1"/>
          <w:lang w:val="en-GB"/>
        </w:rPr>
        <w:t>The effect of Bathurst’s judgment is then to</w:t>
      </w:r>
      <w:r w:rsidR="00125B87">
        <w:rPr>
          <w:rFonts w:ascii="Arial" w:hAnsi="Arial" w:cs="Arial"/>
          <w:color w:val="000000" w:themeColor="text1"/>
          <w:lang w:val="en-GB"/>
        </w:rPr>
        <w:t xml:space="preserve"> stipulate that the effect of the bankruptcy was to vest all of the </w:t>
      </w:r>
      <w:proofErr w:type="spellStart"/>
      <w:r w:rsidR="00125B87">
        <w:rPr>
          <w:rFonts w:ascii="Arial" w:hAnsi="Arial" w:cs="Arial"/>
          <w:lang w:val="en-GB"/>
        </w:rPr>
        <w:t>Deneufvilles</w:t>
      </w:r>
      <w:proofErr w:type="spellEnd"/>
      <w:r w:rsidR="00125B87">
        <w:rPr>
          <w:rFonts w:ascii="Arial" w:hAnsi="Arial" w:cs="Arial"/>
          <w:lang w:val="en-GB"/>
        </w:rPr>
        <w:t xml:space="preserve">’ moveable assets in the Dutch Curators. This included debts owed by English debtors, such as Michael </w:t>
      </w:r>
      <w:proofErr w:type="spellStart"/>
      <w:r w:rsidR="00125B87">
        <w:rPr>
          <w:rFonts w:ascii="Arial" w:hAnsi="Arial" w:cs="Arial"/>
          <w:lang w:val="en-GB"/>
        </w:rPr>
        <w:t>Solomons</w:t>
      </w:r>
      <w:proofErr w:type="spellEnd"/>
      <w:r w:rsidR="00125B87">
        <w:rPr>
          <w:rFonts w:ascii="Arial" w:hAnsi="Arial" w:cs="Arial"/>
          <w:lang w:val="en-GB"/>
        </w:rPr>
        <w:t xml:space="preserve">. </w:t>
      </w:r>
    </w:p>
    <w:p w:rsidR="007B0BF2" w:rsidRDefault="007B0BF2" w:rsidP="00BB662F">
      <w:pPr>
        <w:spacing w:line="360" w:lineRule="auto"/>
        <w:jc w:val="both"/>
        <w:rPr>
          <w:rFonts w:ascii="Arial" w:hAnsi="Arial" w:cs="Arial"/>
          <w:lang w:val="en-GB"/>
        </w:rPr>
      </w:pPr>
    </w:p>
    <w:p w:rsidR="007B0BF2" w:rsidRDefault="007B0BF2" w:rsidP="00BB662F">
      <w:pPr>
        <w:spacing w:line="360" w:lineRule="auto"/>
        <w:jc w:val="both"/>
        <w:rPr>
          <w:rFonts w:ascii="Arial" w:hAnsi="Arial" w:cs="Arial"/>
          <w:lang w:val="en-GB"/>
        </w:rPr>
      </w:pPr>
      <w:r>
        <w:rPr>
          <w:rFonts w:ascii="Arial" w:hAnsi="Arial" w:cs="Arial"/>
          <w:lang w:val="en-GB"/>
        </w:rPr>
        <w:t xml:space="preserve">A number of interesting points spring from the judgment. Would the result have been different if Lord </w:t>
      </w:r>
      <w:proofErr w:type="spellStart"/>
      <w:r>
        <w:rPr>
          <w:rFonts w:ascii="Arial" w:hAnsi="Arial" w:cs="Arial"/>
          <w:lang w:val="en-GB"/>
        </w:rPr>
        <w:t>Northington</w:t>
      </w:r>
      <w:proofErr w:type="spellEnd"/>
      <w:r>
        <w:rPr>
          <w:rFonts w:ascii="Arial" w:hAnsi="Arial" w:cs="Arial"/>
          <w:lang w:val="en-GB"/>
        </w:rPr>
        <w:t xml:space="preserve"> had not be indisposed? </w:t>
      </w:r>
    </w:p>
    <w:p w:rsidR="00491593" w:rsidRDefault="00491593" w:rsidP="00BB662F">
      <w:pPr>
        <w:spacing w:line="360" w:lineRule="auto"/>
        <w:jc w:val="both"/>
        <w:rPr>
          <w:rFonts w:ascii="Arial" w:hAnsi="Arial" w:cs="Arial"/>
          <w:lang w:val="en-GB"/>
        </w:rPr>
      </w:pPr>
    </w:p>
    <w:p w:rsidR="00FE5A49" w:rsidRPr="00FE5A49" w:rsidRDefault="00FE5A49" w:rsidP="00BB662F">
      <w:pPr>
        <w:spacing w:line="360" w:lineRule="auto"/>
        <w:jc w:val="both"/>
        <w:rPr>
          <w:rFonts w:ascii="Arial" w:hAnsi="Arial" w:cs="Arial"/>
          <w:u w:val="single"/>
          <w:lang w:val="en-GB"/>
        </w:rPr>
      </w:pPr>
    </w:p>
    <w:p w:rsidR="00491593" w:rsidRPr="00FE5A49" w:rsidRDefault="00FE5A49" w:rsidP="00BB662F">
      <w:pPr>
        <w:spacing w:line="360" w:lineRule="auto"/>
        <w:jc w:val="both"/>
        <w:rPr>
          <w:rFonts w:ascii="Arial" w:hAnsi="Arial" w:cs="Arial"/>
          <w:u w:val="single"/>
          <w:lang w:val="en-GB"/>
        </w:rPr>
      </w:pPr>
      <w:r w:rsidRPr="00FE5A49">
        <w:rPr>
          <w:rFonts w:ascii="Arial" w:hAnsi="Arial" w:cs="Arial"/>
          <w:u w:val="single"/>
          <w:lang w:val="en-GB"/>
        </w:rPr>
        <w:t xml:space="preserve">The National Archive materials on </w:t>
      </w:r>
      <w:proofErr w:type="spellStart"/>
      <w:r w:rsidRPr="00E921B8">
        <w:rPr>
          <w:rFonts w:ascii="Arial" w:hAnsi="Arial" w:cs="Arial"/>
          <w:i/>
          <w:u w:val="single"/>
          <w:lang w:val="en-GB"/>
        </w:rPr>
        <w:t>Solomons</w:t>
      </w:r>
      <w:proofErr w:type="spellEnd"/>
      <w:r w:rsidRPr="00E921B8">
        <w:rPr>
          <w:rFonts w:ascii="Arial" w:hAnsi="Arial" w:cs="Arial"/>
          <w:i/>
          <w:u w:val="single"/>
          <w:lang w:val="en-GB"/>
        </w:rPr>
        <w:t xml:space="preserve"> v. Ross</w:t>
      </w:r>
    </w:p>
    <w:p w:rsidR="00FE5A49" w:rsidRDefault="00FE5A49" w:rsidP="00BB662F">
      <w:pPr>
        <w:spacing w:line="360" w:lineRule="auto"/>
        <w:jc w:val="both"/>
        <w:rPr>
          <w:rFonts w:ascii="Arial" w:hAnsi="Arial" w:cs="Arial"/>
          <w:lang w:val="en-GB"/>
        </w:rPr>
      </w:pPr>
    </w:p>
    <w:p w:rsidR="008E069B" w:rsidRDefault="00352FBF" w:rsidP="003505D3">
      <w:pPr>
        <w:spacing w:line="360" w:lineRule="auto"/>
        <w:jc w:val="both"/>
        <w:rPr>
          <w:rFonts w:ascii="Arial" w:hAnsi="Arial" w:cs="Arial"/>
          <w:lang w:val="en-GB"/>
        </w:rPr>
      </w:pPr>
      <w:r>
        <w:rPr>
          <w:rFonts w:ascii="Arial" w:hAnsi="Arial" w:cs="Arial"/>
          <w:lang w:val="en-GB"/>
        </w:rPr>
        <w:t>As noted above t</w:t>
      </w:r>
      <w:r w:rsidR="00FE5A49">
        <w:rPr>
          <w:rFonts w:ascii="Arial" w:hAnsi="Arial" w:cs="Arial"/>
          <w:lang w:val="en-GB"/>
        </w:rPr>
        <w:t xml:space="preserve">he National Archive contains a number of materials that relate to the </w:t>
      </w:r>
      <w:proofErr w:type="spellStart"/>
      <w:r w:rsidR="00FE5A49" w:rsidRPr="00352FBF">
        <w:rPr>
          <w:rFonts w:ascii="Arial" w:hAnsi="Arial" w:cs="Arial"/>
          <w:i/>
          <w:lang w:val="en-GB"/>
        </w:rPr>
        <w:t>Solomons</w:t>
      </w:r>
      <w:proofErr w:type="spellEnd"/>
      <w:r w:rsidR="00FE5A49" w:rsidRPr="00352FBF">
        <w:rPr>
          <w:rFonts w:ascii="Arial" w:hAnsi="Arial" w:cs="Arial"/>
          <w:i/>
          <w:lang w:val="en-GB"/>
        </w:rPr>
        <w:t xml:space="preserve"> v. Ross</w:t>
      </w:r>
      <w:r w:rsidR="00FE5A49">
        <w:rPr>
          <w:rFonts w:ascii="Arial" w:hAnsi="Arial" w:cs="Arial"/>
          <w:lang w:val="en-GB"/>
        </w:rPr>
        <w:t xml:space="preserve"> litigation. </w:t>
      </w:r>
      <w:r>
        <w:rPr>
          <w:rFonts w:ascii="Arial" w:hAnsi="Arial" w:cs="Arial"/>
          <w:lang w:val="en-GB"/>
        </w:rPr>
        <w:t>These include</w:t>
      </w:r>
      <w:r w:rsidR="003505D3">
        <w:rPr>
          <w:rFonts w:ascii="Arial" w:hAnsi="Arial" w:cs="Arial"/>
          <w:lang w:val="en-GB"/>
        </w:rPr>
        <w:t xml:space="preserve"> pleadings for the case</w:t>
      </w:r>
      <w:r w:rsidR="008E069B">
        <w:rPr>
          <w:rFonts w:ascii="Arial" w:hAnsi="Arial" w:cs="Arial"/>
          <w:lang w:val="en-GB"/>
        </w:rPr>
        <w:t>.</w:t>
      </w:r>
      <w:r w:rsidR="008E069B">
        <w:rPr>
          <w:rStyle w:val="FootnoteReference"/>
          <w:rFonts w:ascii="Arial" w:hAnsi="Arial" w:cs="Arial"/>
          <w:lang w:val="en-GB"/>
        </w:rPr>
        <w:footnoteReference w:id="72"/>
      </w:r>
      <w:r w:rsidR="003505D3">
        <w:rPr>
          <w:rFonts w:ascii="Arial" w:hAnsi="Arial" w:cs="Arial"/>
          <w:lang w:val="en-GB"/>
        </w:rPr>
        <w:t xml:space="preserve"> </w:t>
      </w:r>
      <w:r w:rsidR="003505D3" w:rsidRPr="003505D3">
        <w:rPr>
          <w:rFonts w:ascii="Arial" w:hAnsi="Arial" w:cs="Arial"/>
          <w:lang w:val="en-GB"/>
        </w:rPr>
        <w:t>There is a bill and answer,</w:t>
      </w:r>
      <w:r w:rsidR="00EC3E40">
        <w:rPr>
          <w:rStyle w:val="FootnoteReference"/>
          <w:rFonts w:ascii="Arial" w:hAnsi="Arial" w:cs="Arial"/>
          <w:lang w:val="en-GB"/>
        </w:rPr>
        <w:footnoteReference w:id="73"/>
      </w:r>
      <w:r w:rsidR="003505D3" w:rsidRPr="003505D3">
        <w:rPr>
          <w:rFonts w:ascii="Arial" w:hAnsi="Arial" w:cs="Arial"/>
          <w:lang w:val="en-GB"/>
        </w:rPr>
        <w:t xml:space="preserve"> a bill and two answers both in 1760</w:t>
      </w:r>
      <w:r w:rsidR="00EC3E40">
        <w:rPr>
          <w:rStyle w:val="FootnoteReference"/>
          <w:rFonts w:ascii="Arial" w:hAnsi="Arial" w:cs="Arial"/>
          <w:lang w:val="en-GB"/>
        </w:rPr>
        <w:footnoteReference w:id="74"/>
      </w:r>
      <w:r w:rsidR="003505D3" w:rsidRPr="003505D3">
        <w:rPr>
          <w:rFonts w:ascii="Arial" w:hAnsi="Arial" w:cs="Arial"/>
          <w:lang w:val="en-GB"/>
        </w:rPr>
        <w:t xml:space="preserve"> and a separated answer in 1761.</w:t>
      </w:r>
      <w:r w:rsidR="00EC3E40">
        <w:rPr>
          <w:rStyle w:val="FootnoteReference"/>
          <w:rFonts w:ascii="Arial" w:hAnsi="Arial" w:cs="Arial"/>
          <w:lang w:val="en-GB"/>
        </w:rPr>
        <w:footnoteReference w:id="75"/>
      </w:r>
      <w:r w:rsidR="003505D3" w:rsidRPr="003505D3">
        <w:rPr>
          <w:rFonts w:ascii="Arial" w:hAnsi="Arial" w:cs="Arial"/>
          <w:lang w:val="en-GB"/>
        </w:rPr>
        <w:t xml:space="preserve"> </w:t>
      </w:r>
    </w:p>
    <w:p w:rsidR="008E069B" w:rsidRDefault="008E069B" w:rsidP="003505D3">
      <w:pPr>
        <w:spacing w:line="360" w:lineRule="auto"/>
        <w:jc w:val="both"/>
        <w:rPr>
          <w:rFonts w:ascii="Arial" w:hAnsi="Arial" w:cs="Arial"/>
          <w:lang w:val="en-GB"/>
        </w:rPr>
      </w:pPr>
    </w:p>
    <w:p w:rsidR="003505D3" w:rsidRPr="005438FF" w:rsidRDefault="003505D3" w:rsidP="003505D3">
      <w:pPr>
        <w:spacing w:line="360" w:lineRule="auto"/>
        <w:jc w:val="both"/>
        <w:rPr>
          <w:rFonts w:ascii="Arial" w:hAnsi="Arial" w:cs="Arial"/>
          <w:i/>
          <w:color w:val="A8D08D" w:themeColor="accent6" w:themeTint="99"/>
          <w:lang w:val="en-GB"/>
        </w:rPr>
      </w:pPr>
      <w:r w:rsidRPr="005438FF">
        <w:rPr>
          <w:rFonts w:ascii="Arial" w:hAnsi="Arial" w:cs="Arial"/>
          <w:i/>
          <w:color w:val="A8D08D" w:themeColor="accent6" w:themeTint="99"/>
          <w:lang w:val="en-GB"/>
        </w:rPr>
        <w:t>There may be other pleadings so it could be worth looking at the Cause Book at IND 1/4200 to see if there should be anything else.</w:t>
      </w:r>
    </w:p>
    <w:p w:rsidR="003505D3" w:rsidRPr="005438FF" w:rsidRDefault="003505D3" w:rsidP="003505D3">
      <w:pPr>
        <w:spacing w:line="360" w:lineRule="auto"/>
        <w:jc w:val="both"/>
        <w:rPr>
          <w:rFonts w:ascii="Arial" w:hAnsi="Arial" w:cs="Arial"/>
          <w:i/>
          <w:color w:val="A8D08D" w:themeColor="accent6" w:themeTint="99"/>
          <w:lang w:val="en-GB"/>
        </w:rPr>
      </w:pPr>
      <w:r w:rsidRPr="005438FF">
        <w:rPr>
          <w:rFonts w:ascii="Arial" w:hAnsi="Arial" w:cs="Arial"/>
          <w:i/>
          <w:color w:val="A8D08D" w:themeColor="accent6" w:themeTint="99"/>
          <w:lang w:val="en-GB"/>
        </w:rPr>
        <w:t xml:space="preserve"> </w:t>
      </w:r>
    </w:p>
    <w:p w:rsidR="003505D3" w:rsidRPr="005438FF" w:rsidRDefault="003505D3" w:rsidP="003505D3">
      <w:pPr>
        <w:spacing w:line="360" w:lineRule="auto"/>
        <w:jc w:val="both"/>
        <w:rPr>
          <w:rFonts w:ascii="Arial" w:hAnsi="Arial" w:cs="Arial"/>
          <w:i/>
          <w:color w:val="A8D08D" w:themeColor="accent6" w:themeTint="99"/>
          <w:lang w:val="en-GB"/>
        </w:rPr>
      </w:pPr>
      <w:r w:rsidRPr="005438FF">
        <w:rPr>
          <w:rFonts w:ascii="Arial" w:hAnsi="Arial" w:cs="Arial"/>
          <w:i/>
          <w:color w:val="A8D08D" w:themeColor="accent6" w:themeTint="99"/>
          <w:lang w:val="en-GB"/>
        </w:rPr>
        <w:t>As with all legal records the documents are stored by record type, see our research guide on Chancery to identify other series of documents worth checking, there should be something in the Decrees and Orders (C 33).</w:t>
      </w:r>
    </w:p>
    <w:p w:rsidR="00352FBF" w:rsidRDefault="00352FBF" w:rsidP="00BB662F">
      <w:pPr>
        <w:spacing w:line="360" w:lineRule="auto"/>
        <w:jc w:val="both"/>
        <w:rPr>
          <w:rFonts w:ascii="Arial" w:hAnsi="Arial" w:cs="Arial"/>
          <w:lang w:val="en-GB"/>
        </w:rPr>
      </w:pPr>
    </w:p>
    <w:p w:rsidR="00352FBF" w:rsidRDefault="00352FBF" w:rsidP="00BB662F">
      <w:pPr>
        <w:spacing w:line="360" w:lineRule="auto"/>
        <w:jc w:val="both"/>
        <w:rPr>
          <w:rFonts w:ascii="Arial" w:hAnsi="Arial" w:cs="Arial"/>
          <w:lang w:val="en-GB"/>
        </w:rPr>
      </w:pPr>
      <w:r>
        <w:rPr>
          <w:rFonts w:ascii="Arial" w:hAnsi="Arial" w:cs="Arial"/>
          <w:lang w:val="en-GB"/>
        </w:rPr>
        <w:t xml:space="preserve">What do these teach us about the case? </w:t>
      </w:r>
      <w:r w:rsidRPr="00352FBF">
        <w:rPr>
          <w:rFonts w:ascii="Arial" w:hAnsi="Arial" w:cs="Arial"/>
          <w:color w:val="FF0000"/>
          <w:lang w:val="en-GB"/>
        </w:rPr>
        <w:t>XXXX</w:t>
      </w:r>
    </w:p>
    <w:p w:rsidR="004E2C06" w:rsidRDefault="004E2C06" w:rsidP="00BB662F">
      <w:pPr>
        <w:spacing w:line="360" w:lineRule="auto"/>
        <w:jc w:val="both"/>
        <w:rPr>
          <w:rFonts w:ascii="Arial" w:hAnsi="Arial" w:cs="Arial"/>
          <w:lang w:val="en-GB"/>
        </w:rPr>
      </w:pPr>
    </w:p>
    <w:p w:rsidR="004E2C06" w:rsidRDefault="004E2C06" w:rsidP="00BB662F">
      <w:pPr>
        <w:spacing w:line="360" w:lineRule="auto"/>
        <w:jc w:val="both"/>
        <w:rPr>
          <w:rFonts w:ascii="Arial" w:hAnsi="Arial" w:cs="Arial"/>
          <w:lang w:val="en-GB"/>
        </w:rPr>
      </w:pPr>
    </w:p>
    <w:p w:rsidR="004E2C06" w:rsidRPr="00014CF1" w:rsidRDefault="004E2C06" w:rsidP="004E2C06">
      <w:pPr>
        <w:spacing w:line="360" w:lineRule="auto"/>
        <w:jc w:val="both"/>
        <w:rPr>
          <w:rFonts w:ascii="Arial" w:hAnsi="Arial" w:cs="Arial"/>
          <w:u w:val="single"/>
          <w:lang w:val="en-GB"/>
        </w:rPr>
      </w:pPr>
      <w:r w:rsidRPr="00014CF1">
        <w:rPr>
          <w:rFonts w:ascii="Arial" w:hAnsi="Arial" w:cs="Arial"/>
          <w:u w:val="single"/>
          <w:lang w:val="en-GB"/>
        </w:rPr>
        <w:t>Bathurst’s other judgments</w:t>
      </w:r>
    </w:p>
    <w:p w:rsidR="004E2C06" w:rsidRDefault="004E2C06" w:rsidP="004E2C06">
      <w:pPr>
        <w:spacing w:line="360" w:lineRule="auto"/>
        <w:jc w:val="both"/>
        <w:rPr>
          <w:rFonts w:ascii="Arial" w:hAnsi="Arial" w:cs="Arial"/>
          <w:lang w:val="en-GB"/>
        </w:rPr>
      </w:pPr>
    </w:p>
    <w:p w:rsidR="00352FBF" w:rsidRDefault="00352FBF" w:rsidP="004E2C06">
      <w:pPr>
        <w:spacing w:line="360" w:lineRule="auto"/>
        <w:jc w:val="both"/>
        <w:rPr>
          <w:rFonts w:ascii="Arial" w:hAnsi="Arial" w:cs="Arial"/>
          <w:lang w:val="en-GB"/>
        </w:rPr>
      </w:pPr>
      <w:r>
        <w:rPr>
          <w:rFonts w:ascii="Arial" w:hAnsi="Arial" w:cs="Arial"/>
          <w:lang w:val="en-GB"/>
        </w:rPr>
        <w:t xml:space="preserve">Bathurst’s judicial activity was not restricted to </w:t>
      </w:r>
      <w:proofErr w:type="spellStart"/>
      <w:r w:rsidRPr="00396CF3">
        <w:rPr>
          <w:rFonts w:ascii="Arial" w:hAnsi="Arial" w:cs="Arial"/>
          <w:i/>
          <w:lang w:val="en-GB"/>
        </w:rPr>
        <w:t>Solomons</w:t>
      </w:r>
      <w:proofErr w:type="spellEnd"/>
      <w:r w:rsidRPr="00396CF3">
        <w:rPr>
          <w:rFonts w:ascii="Arial" w:hAnsi="Arial" w:cs="Arial"/>
          <w:i/>
          <w:lang w:val="en-GB"/>
        </w:rPr>
        <w:t xml:space="preserve"> v. Ross</w:t>
      </w:r>
      <w:r>
        <w:rPr>
          <w:rFonts w:ascii="Arial" w:hAnsi="Arial" w:cs="Arial"/>
          <w:lang w:val="en-GB"/>
        </w:rPr>
        <w:t xml:space="preserve">. He sat as a </w:t>
      </w:r>
      <w:proofErr w:type="spellStart"/>
      <w:r>
        <w:rPr>
          <w:rFonts w:ascii="Arial" w:hAnsi="Arial" w:cs="Arial"/>
          <w:lang w:val="en-GB"/>
        </w:rPr>
        <w:t>pusine</w:t>
      </w:r>
      <w:proofErr w:type="spellEnd"/>
      <w:r>
        <w:rPr>
          <w:rFonts w:ascii="Arial" w:hAnsi="Arial" w:cs="Arial"/>
          <w:lang w:val="en-GB"/>
        </w:rPr>
        <w:t xml:space="preserve"> judge of the Court of Common pleas for </w:t>
      </w:r>
      <w:r w:rsidRPr="00941B72">
        <w:rPr>
          <w:rFonts w:ascii="Arial" w:hAnsi="Arial" w:cs="Arial"/>
          <w:color w:val="FF0000"/>
          <w:lang w:val="en-GB"/>
        </w:rPr>
        <w:t xml:space="preserve">XX years </w:t>
      </w:r>
      <w:r>
        <w:rPr>
          <w:rFonts w:ascii="Arial" w:hAnsi="Arial" w:cs="Arial"/>
          <w:lang w:val="en-GB"/>
        </w:rPr>
        <w:t xml:space="preserve">and as Lord Chancellor of England and Wales for </w:t>
      </w:r>
      <w:r w:rsidRPr="00941B72">
        <w:rPr>
          <w:rFonts w:ascii="Arial" w:hAnsi="Arial" w:cs="Arial"/>
          <w:color w:val="FF0000"/>
          <w:lang w:val="en-GB"/>
        </w:rPr>
        <w:t xml:space="preserve">XX years. </w:t>
      </w:r>
    </w:p>
    <w:p w:rsidR="00352FBF" w:rsidRDefault="00352FBF" w:rsidP="004E2C06">
      <w:pPr>
        <w:spacing w:line="360" w:lineRule="auto"/>
        <w:jc w:val="both"/>
        <w:rPr>
          <w:rFonts w:ascii="Arial" w:hAnsi="Arial" w:cs="Arial"/>
          <w:lang w:val="en-GB"/>
        </w:rPr>
      </w:pPr>
    </w:p>
    <w:p w:rsidR="004E2C06" w:rsidRDefault="004E2C06" w:rsidP="004E2C06">
      <w:pPr>
        <w:spacing w:line="360" w:lineRule="auto"/>
        <w:jc w:val="both"/>
        <w:rPr>
          <w:rFonts w:ascii="Arial" w:hAnsi="Arial" w:cs="Arial"/>
          <w:color w:val="000000" w:themeColor="text1"/>
          <w:lang w:val="en-GB"/>
        </w:rPr>
      </w:pPr>
      <w:r>
        <w:rPr>
          <w:rFonts w:ascii="Arial" w:hAnsi="Arial" w:cs="Arial"/>
          <w:lang w:val="en-GB"/>
        </w:rPr>
        <w:t xml:space="preserve">A perusal of the law reports in which Bathurst gave judgment is enlightening as it shows (1) the type of business that was before him, and; (2) the quality of the advocates who appeared before him. </w:t>
      </w:r>
      <w:r>
        <w:rPr>
          <w:rFonts w:ascii="Arial" w:hAnsi="Arial" w:cs="Arial"/>
          <w:color w:val="000000" w:themeColor="text1"/>
          <w:lang w:val="en-GB"/>
        </w:rPr>
        <w:t>W</w:t>
      </w:r>
      <w:r w:rsidRPr="00745BDF">
        <w:rPr>
          <w:rFonts w:ascii="Arial" w:hAnsi="Arial" w:cs="Arial"/>
          <w:color w:val="000000" w:themeColor="text1"/>
          <w:lang w:val="en-GB"/>
        </w:rPr>
        <w:t>ould</w:t>
      </w:r>
      <w:r>
        <w:rPr>
          <w:rFonts w:ascii="Arial" w:hAnsi="Arial" w:cs="Arial"/>
          <w:color w:val="000000" w:themeColor="text1"/>
          <w:lang w:val="en-GB"/>
        </w:rPr>
        <w:t xml:space="preserve"> these advocates</w:t>
      </w:r>
      <w:r w:rsidRPr="00745BDF">
        <w:rPr>
          <w:rFonts w:ascii="Arial" w:hAnsi="Arial" w:cs="Arial"/>
          <w:color w:val="000000" w:themeColor="text1"/>
          <w:lang w:val="en-GB"/>
        </w:rPr>
        <w:t xml:space="preserve"> have tolerated the kind of judge commentators like Underhill and Campbell have asserted Bathurst was</w:t>
      </w:r>
      <w:r>
        <w:rPr>
          <w:rFonts w:ascii="Arial" w:hAnsi="Arial" w:cs="Arial"/>
          <w:color w:val="000000" w:themeColor="text1"/>
          <w:lang w:val="en-GB"/>
        </w:rPr>
        <w:t>? Do their diaries, reminiscences, etc, critique Bathurst the judge?</w:t>
      </w:r>
      <w:r w:rsidRPr="00745BDF">
        <w:rPr>
          <w:rFonts w:ascii="Arial" w:hAnsi="Arial" w:cs="Arial"/>
          <w:color w:val="000000" w:themeColor="text1"/>
          <w:lang w:val="en-GB"/>
        </w:rPr>
        <w:t xml:space="preserve"> We know that a fellow </w:t>
      </w:r>
      <w:r>
        <w:rPr>
          <w:rFonts w:ascii="Arial" w:hAnsi="Arial" w:cs="Arial"/>
          <w:color w:val="000000" w:themeColor="text1"/>
          <w:lang w:val="en-GB"/>
        </w:rPr>
        <w:lastRenderedPageBreak/>
        <w:t xml:space="preserve">later </w:t>
      </w:r>
      <w:r w:rsidRPr="00745BDF">
        <w:rPr>
          <w:rFonts w:ascii="Arial" w:hAnsi="Arial" w:cs="Arial"/>
          <w:color w:val="000000" w:themeColor="text1"/>
          <w:lang w:val="en-GB"/>
        </w:rPr>
        <w:t>Lord Chancellor, Lor</w:t>
      </w:r>
      <w:r>
        <w:rPr>
          <w:rFonts w:ascii="Arial" w:hAnsi="Arial" w:cs="Arial"/>
          <w:color w:val="000000" w:themeColor="text1"/>
          <w:lang w:val="en-GB"/>
        </w:rPr>
        <w:t>d</w:t>
      </w:r>
      <w:r w:rsidRPr="00745BDF">
        <w:rPr>
          <w:rFonts w:ascii="Arial" w:hAnsi="Arial" w:cs="Arial"/>
          <w:color w:val="000000" w:themeColor="text1"/>
          <w:lang w:val="en-GB"/>
        </w:rPr>
        <w:t xml:space="preserve"> Loughb</w:t>
      </w:r>
      <w:r>
        <w:rPr>
          <w:rFonts w:ascii="Arial" w:hAnsi="Arial" w:cs="Arial"/>
          <w:color w:val="000000" w:themeColor="text1"/>
          <w:lang w:val="en-GB"/>
        </w:rPr>
        <w:t>o</w:t>
      </w:r>
      <w:r w:rsidRPr="00745BDF">
        <w:rPr>
          <w:rFonts w:ascii="Arial" w:hAnsi="Arial" w:cs="Arial"/>
          <w:color w:val="000000" w:themeColor="text1"/>
          <w:lang w:val="en-GB"/>
        </w:rPr>
        <w:t>rough,</w:t>
      </w:r>
      <w:r w:rsidRPr="00745BDF">
        <w:rPr>
          <w:rStyle w:val="FootnoteReference"/>
          <w:rFonts w:ascii="Arial" w:hAnsi="Arial" w:cs="Arial"/>
          <w:color w:val="000000" w:themeColor="text1"/>
          <w:lang w:val="en-GB"/>
        </w:rPr>
        <w:footnoteReference w:id="76"/>
      </w:r>
      <w:r>
        <w:rPr>
          <w:rFonts w:ascii="Arial" w:hAnsi="Arial" w:cs="Arial"/>
          <w:color w:val="000000" w:themeColor="text1"/>
          <w:lang w:val="en-GB"/>
        </w:rPr>
        <w:t xml:space="preserve"> was </w:t>
      </w:r>
      <w:r w:rsidRPr="00745BDF">
        <w:rPr>
          <w:rFonts w:ascii="Arial" w:hAnsi="Arial" w:cs="Arial"/>
          <w:color w:val="000000" w:themeColor="text1"/>
          <w:lang w:val="en-GB"/>
        </w:rPr>
        <w:t xml:space="preserve">counsel in </w:t>
      </w:r>
      <w:proofErr w:type="spellStart"/>
      <w:r w:rsidRPr="004D0357">
        <w:rPr>
          <w:rFonts w:ascii="Arial" w:hAnsi="Arial" w:cs="Arial"/>
          <w:i/>
          <w:color w:val="000000" w:themeColor="text1"/>
          <w:lang w:val="en-GB"/>
        </w:rPr>
        <w:t>Solomons</w:t>
      </w:r>
      <w:proofErr w:type="spellEnd"/>
      <w:r w:rsidRPr="004D0357">
        <w:rPr>
          <w:rFonts w:ascii="Arial" w:hAnsi="Arial" w:cs="Arial"/>
          <w:i/>
          <w:color w:val="000000" w:themeColor="text1"/>
          <w:lang w:val="en-GB"/>
        </w:rPr>
        <w:t xml:space="preserve"> v. Ross</w:t>
      </w:r>
      <w:r>
        <w:rPr>
          <w:rFonts w:ascii="Arial" w:hAnsi="Arial" w:cs="Arial"/>
          <w:i/>
          <w:color w:val="000000" w:themeColor="text1"/>
          <w:lang w:val="en-GB"/>
        </w:rPr>
        <w:t>.</w:t>
      </w:r>
      <w:r w:rsidRPr="00745BDF">
        <w:rPr>
          <w:rFonts w:ascii="Arial" w:hAnsi="Arial" w:cs="Arial"/>
          <w:color w:val="000000" w:themeColor="text1"/>
          <w:lang w:val="en-GB"/>
        </w:rPr>
        <w:t xml:space="preserve"> </w:t>
      </w:r>
      <w:r>
        <w:rPr>
          <w:rFonts w:ascii="Arial" w:hAnsi="Arial" w:cs="Arial"/>
          <w:color w:val="000000" w:themeColor="text1"/>
          <w:lang w:val="en-GB"/>
        </w:rPr>
        <w:t xml:space="preserve">Loughborough, an experienced Chancery practitioner appeared before </w:t>
      </w:r>
      <w:r w:rsidRPr="00745BDF">
        <w:rPr>
          <w:rFonts w:ascii="Arial" w:hAnsi="Arial" w:cs="Arial"/>
          <w:color w:val="000000" w:themeColor="text1"/>
          <w:lang w:val="en-GB"/>
        </w:rPr>
        <w:t>Bathurst’s tenure as Lord Chancellor</w:t>
      </w:r>
      <w:r>
        <w:rPr>
          <w:rFonts w:ascii="Arial" w:hAnsi="Arial" w:cs="Arial"/>
          <w:color w:val="000000" w:themeColor="text1"/>
          <w:lang w:val="en-GB"/>
        </w:rPr>
        <w:t>. Loughborough contact took place whilst Bathurst</w:t>
      </w:r>
      <w:r w:rsidRPr="00745BDF">
        <w:rPr>
          <w:rFonts w:ascii="Arial" w:hAnsi="Arial" w:cs="Arial"/>
          <w:color w:val="000000" w:themeColor="text1"/>
          <w:lang w:val="en-GB"/>
        </w:rPr>
        <w:t xml:space="preserve"> was a </w:t>
      </w:r>
      <w:proofErr w:type="spellStart"/>
      <w:r w:rsidRPr="00745BDF">
        <w:rPr>
          <w:rFonts w:ascii="Arial" w:hAnsi="Arial" w:cs="Arial"/>
          <w:color w:val="000000" w:themeColor="text1"/>
          <w:lang w:val="en-GB"/>
        </w:rPr>
        <w:t>pusine</w:t>
      </w:r>
      <w:proofErr w:type="spellEnd"/>
      <w:r w:rsidRPr="00745BDF">
        <w:rPr>
          <w:rFonts w:ascii="Arial" w:hAnsi="Arial" w:cs="Arial"/>
          <w:color w:val="000000" w:themeColor="text1"/>
          <w:lang w:val="en-GB"/>
        </w:rPr>
        <w:t xml:space="preserve"> judge</w:t>
      </w:r>
      <w:r>
        <w:rPr>
          <w:rFonts w:ascii="Arial" w:hAnsi="Arial" w:cs="Arial"/>
          <w:color w:val="000000" w:themeColor="text1"/>
          <w:lang w:val="en-GB"/>
        </w:rPr>
        <w:t xml:space="preserve"> of the Court of Common Pleas, who was</w:t>
      </w:r>
      <w:r w:rsidRPr="00745BDF">
        <w:rPr>
          <w:rFonts w:ascii="Arial" w:hAnsi="Arial" w:cs="Arial"/>
          <w:color w:val="000000" w:themeColor="text1"/>
          <w:lang w:val="en-GB"/>
        </w:rPr>
        <w:t xml:space="preserve"> sitting in for Lord </w:t>
      </w:r>
      <w:proofErr w:type="spellStart"/>
      <w:r w:rsidRPr="00745BDF">
        <w:rPr>
          <w:rFonts w:ascii="Arial" w:hAnsi="Arial" w:cs="Arial"/>
          <w:color w:val="000000" w:themeColor="text1"/>
          <w:lang w:val="en-GB"/>
        </w:rPr>
        <w:t>Northington</w:t>
      </w:r>
      <w:proofErr w:type="spellEnd"/>
      <w:r w:rsidRPr="00745BDF">
        <w:rPr>
          <w:rFonts w:ascii="Arial" w:hAnsi="Arial" w:cs="Arial"/>
          <w:color w:val="000000" w:themeColor="text1"/>
          <w:lang w:val="en-GB"/>
        </w:rPr>
        <w:t>.</w:t>
      </w:r>
    </w:p>
    <w:p w:rsidR="004E2C06" w:rsidRDefault="004E2C06" w:rsidP="004E2C06">
      <w:pPr>
        <w:spacing w:line="360" w:lineRule="auto"/>
        <w:jc w:val="both"/>
        <w:rPr>
          <w:rFonts w:ascii="Arial" w:hAnsi="Arial" w:cs="Arial"/>
          <w:color w:val="000000" w:themeColor="text1"/>
          <w:lang w:val="en-GB"/>
        </w:rPr>
      </w:pPr>
    </w:p>
    <w:p w:rsidR="004E2C06" w:rsidRPr="00745BDF" w:rsidRDefault="004E2C06" w:rsidP="004E2C06">
      <w:pPr>
        <w:spacing w:line="360" w:lineRule="auto"/>
        <w:jc w:val="both"/>
        <w:rPr>
          <w:rFonts w:ascii="Arial" w:hAnsi="Arial" w:cs="Arial"/>
          <w:color w:val="000000" w:themeColor="text1"/>
          <w:lang w:val="en-GB"/>
        </w:rPr>
      </w:pPr>
      <w:r>
        <w:rPr>
          <w:rFonts w:ascii="Arial" w:hAnsi="Arial" w:cs="Arial"/>
          <w:color w:val="000000" w:themeColor="text1"/>
          <w:lang w:val="en-GB"/>
        </w:rPr>
        <w:t xml:space="preserve">Bathurst’s other noteworthy </w:t>
      </w:r>
      <w:r w:rsidRPr="003A09CE">
        <w:rPr>
          <w:rFonts w:ascii="Arial" w:hAnsi="Arial" w:cs="Arial"/>
          <w:color w:val="FF0000"/>
          <w:lang w:val="en-GB"/>
        </w:rPr>
        <w:t>cases include…</w:t>
      </w:r>
    </w:p>
    <w:p w:rsidR="004E2C06" w:rsidRDefault="004E2C06" w:rsidP="004E2C06">
      <w:pPr>
        <w:spacing w:line="360" w:lineRule="auto"/>
        <w:jc w:val="both"/>
        <w:rPr>
          <w:rFonts w:ascii="Arial" w:hAnsi="Arial" w:cs="Arial"/>
          <w:lang w:val="en-GB"/>
        </w:rPr>
      </w:pPr>
    </w:p>
    <w:p w:rsidR="004E2C06" w:rsidRDefault="004E2C06" w:rsidP="004E2C06">
      <w:pPr>
        <w:spacing w:line="360" w:lineRule="auto"/>
        <w:jc w:val="both"/>
        <w:rPr>
          <w:rFonts w:ascii="Arial" w:hAnsi="Arial" w:cs="Arial"/>
          <w:lang w:val="en-GB"/>
        </w:rPr>
      </w:pPr>
      <w:r>
        <w:rPr>
          <w:rFonts w:ascii="Arial" w:hAnsi="Arial" w:cs="Arial"/>
          <w:lang w:val="en-GB"/>
        </w:rPr>
        <w:t xml:space="preserve">Was the result in </w:t>
      </w:r>
      <w:proofErr w:type="spellStart"/>
      <w:r w:rsidRPr="00DC74A9">
        <w:rPr>
          <w:rFonts w:ascii="Arial" w:hAnsi="Arial" w:cs="Arial"/>
          <w:i/>
          <w:lang w:val="en-GB"/>
        </w:rPr>
        <w:t>Solomons</w:t>
      </w:r>
      <w:proofErr w:type="spellEnd"/>
      <w:r w:rsidRPr="00DC74A9">
        <w:rPr>
          <w:rFonts w:ascii="Arial" w:hAnsi="Arial" w:cs="Arial"/>
          <w:i/>
          <w:lang w:val="en-GB"/>
        </w:rPr>
        <w:t xml:space="preserve"> v. Ross</w:t>
      </w:r>
      <w:r>
        <w:rPr>
          <w:rFonts w:ascii="Arial" w:hAnsi="Arial" w:cs="Arial"/>
          <w:lang w:val="en-GB"/>
        </w:rPr>
        <w:t xml:space="preserve"> an accident caused by an incompetent the results of which have echoed through the ages? </w:t>
      </w:r>
    </w:p>
    <w:p w:rsidR="004E2C06" w:rsidRDefault="004E2C06" w:rsidP="004E2C06">
      <w:pPr>
        <w:spacing w:line="360" w:lineRule="auto"/>
        <w:jc w:val="both"/>
        <w:rPr>
          <w:rFonts w:ascii="Arial" w:hAnsi="Arial" w:cs="Arial"/>
          <w:lang w:val="en-GB"/>
        </w:rPr>
      </w:pPr>
    </w:p>
    <w:p w:rsidR="004E2C06" w:rsidRDefault="004E2C06" w:rsidP="004E2C06">
      <w:pPr>
        <w:spacing w:line="360" w:lineRule="auto"/>
        <w:jc w:val="both"/>
        <w:rPr>
          <w:rFonts w:ascii="Arial" w:hAnsi="Arial" w:cs="Arial"/>
          <w:lang w:val="en-GB"/>
        </w:rPr>
      </w:pPr>
    </w:p>
    <w:p w:rsidR="004E2C06" w:rsidRDefault="004E2C06" w:rsidP="004E2C06">
      <w:pPr>
        <w:spacing w:line="360" w:lineRule="auto"/>
        <w:jc w:val="both"/>
        <w:rPr>
          <w:rFonts w:ascii="Arial" w:hAnsi="Arial" w:cs="Arial"/>
          <w:lang w:val="en-GB"/>
        </w:rPr>
      </w:pPr>
    </w:p>
    <w:p w:rsidR="004E2C06" w:rsidRPr="00AB76A6" w:rsidRDefault="004E2C06" w:rsidP="004E2C06">
      <w:pPr>
        <w:spacing w:line="360" w:lineRule="auto"/>
        <w:jc w:val="both"/>
        <w:rPr>
          <w:rFonts w:ascii="Arial" w:hAnsi="Arial" w:cs="Arial"/>
          <w:u w:val="single"/>
          <w:lang w:val="en-GB"/>
        </w:rPr>
      </w:pPr>
      <w:r w:rsidRPr="00AB76A6">
        <w:rPr>
          <w:rFonts w:ascii="Arial" w:hAnsi="Arial" w:cs="Arial"/>
          <w:u w:val="single"/>
          <w:lang w:val="en-GB"/>
        </w:rPr>
        <w:t xml:space="preserve">The shadowy influence of Lord Mansfield? </w:t>
      </w:r>
    </w:p>
    <w:p w:rsidR="004E2C06" w:rsidRDefault="004E2C06" w:rsidP="004E2C06">
      <w:pPr>
        <w:spacing w:line="360" w:lineRule="auto"/>
        <w:jc w:val="both"/>
        <w:rPr>
          <w:rFonts w:ascii="Arial" w:hAnsi="Arial" w:cs="Arial"/>
          <w:lang w:val="en-GB"/>
        </w:rPr>
      </w:pPr>
    </w:p>
    <w:p w:rsidR="00C51BF9" w:rsidRDefault="004E2C06" w:rsidP="004E2C06">
      <w:pPr>
        <w:spacing w:line="360" w:lineRule="auto"/>
        <w:jc w:val="both"/>
        <w:rPr>
          <w:rFonts w:ascii="Arial" w:hAnsi="Arial" w:cs="Arial"/>
          <w:lang w:val="en-GB"/>
        </w:rPr>
      </w:pPr>
      <w:r>
        <w:rPr>
          <w:rFonts w:ascii="Arial" w:hAnsi="Arial" w:cs="Arial"/>
          <w:lang w:val="en-GB"/>
        </w:rPr>
        <w:t>Lord Mansfield had refused the Woolsack f</w:t>
      </w:r>
      <w:r w:rsidR="00C51BF9">
        <w:rPr>
          <w:rFonts w:ascii="Arial" w:hAnsi="Arial" w:cs="Arial"/>
          <w:lang w:val="en-GB"/>
        </w:rPr>
        <w:t xml:space="preserve">ollowing the death of </w:t>
      </w:r>
      <w:r w:rsidR="00941B72">
        <w:rPr>
          <w:rFonts w:ascii="Arial" w:hAnsi="Arial" w:cs="Arial"/>
          <w:lang w:val="en-GB"/>
        </w:rPr>
        <w:t xml:space="preserve">Lord </w:t>
      </w:r>
      <w:proofErr w:type="spellStart"/>
      <w:r w:rsidR="00941B72">
        <w:rPr>
          <w:rFonts w:ascii="Arial" w:hAnsi="Arial" w:cs="Arial"/>
          <w:lang w:val="en-GB"/>
        </w:rPr>
        <w:t>Chancelor</w:t>
      </w:r>
      <w:proofErr w:type="spellEnd"/>
      <w:r w:rsidR="00941B72">
        <w:rPr>
          <w:rFonts w:ascii="Arial" w:hAnsi="Arial" w:cs="Arial"/>
          <w:lang w:val="en-GB"/>
        </w:rPr>
        <w:t xml:space="preserve"> </w:t>
      </w:r>
      <w:r w:rsidR="00C51BF9">
        <w:rPr>
          <w:rFonts w:ascii="Arial" w:hAnsi="Arial" w:cs="Arial"/>
          <w:lang w:val="en-GB"/>
        </w:rPr>
        <w:t>Yorke</w:t>
      </w:r>
      <w:r w:rsidR="00941B72">
        <w:rPr>
          <w:rFonts w:ascii="Arial" w:hAnsi="Arial" w:cs="Arial"/>
          <w:lang w:val="en-GB"/>
        </w:rPr>
        <w:t>. Lord Mansfield</w:t>
      </w:r>
      <w:r>
        <w:rPr>
          <w:rFonts w:ascii="Arial" w:hAnsi="Arial" w:cs="Arial"/>
          <w:lang w:val="en-GB"/>
        </w:rPr>
        <w:t xml:space="preserve"> was happy to remain Lord Chief Justice and to stay out of the rough and tumble of politics. As we have seen Bathurst was himself elevated </w:t>
      </w:r>
      <w:r w:rsidR="004E12B7">
        <w:rPr>
          <w:rFonts w:ascii="Arial" w:hAnsi="Arial" w:cs="Arial"/>
          <w:lang w:val="en-GB"/>
        </w:rPr>
        <w:t xml:space="preserve">to the Woolsack </w:t>
      </w:r>
      <w:r>
        <w:rPr>
          <w:rFonts w:ascii="Arial" w:hAnsi="Arial" w:cs="Arial"/>
          <w:lang w:val="en-GB"/>
        </w:rPr>
        <w:t>via the commissionership. Fletcher has noted that a number of Lord Mansfield’s judgments paved the way for cross-border cooperation between the English courts and foreign jurisdictions.</w:t>
      </w:r>
      <w:r>
        <w:rPr>
          <w:rStyle w:val="FootnoteReference"/>
          <w:rFonts w:ascii="Arial" w:hAnsi="Arial" w:cs="Arial"/>
          <w:lang w:val="en-GB"/>
        </w:rPr>
        <w:footnoteReference w:id="77"/>
      </w:r>
      <w:r w:rsidR="0033109B">
        <w:rPr>
          <w:rFonts w:ascii="Arial" w:hAnsi="Arial" w:cs="Arial"/>
          <w:lang w:val="en-GB"/>
        </w:rPr>
        <w:t xml:space="preserve"> </w:t>
      </w:r>
    </w:p>
    <w:p w:rsidR="00C51BF9" w:rsidRDefault="00C51BF9" w:rsidP="004E2C06">
      <w:pPr>
        <w:spacing w:line="360" w:lineRule="auto"/>
        <w:jc w:val="both"/>
        <w:rPr>
          <w:rFonts w:ascii="Arial" w:hAnsi="Arial" w:cs="Arial"/>
          <w:lang w:val="en-GB"/>
        </w:rPr>
      </w:pPr>
    </w:p>
    <w:p w:rsidR="004E2C06" w:rsidRDefault="0033109B" w:rsidP="004E2C06">
      <w:pPr>
        <w:spacing w:line="360" w:lineRule="auto"/>
        <w:jc w:val="both"/>
        <w:rPr>
          <w:rFonts w:ascii="Arial" w:hAnsi="Arial" w:cs="Arial"/>
          <w:lang w:val="en-GB"/>
        </w:rPr>
      </w:pPr>
      <w:r>
        <w:rPr>
          <w:rFonts w:ascii="Arial" w:hAnsi="Arial" w:cs="Arial"/>
          <w:lang w:val="en-GB"/>
        </w:rPr>
        <w:t>Mansfield certainly presided over a number of bankruptcy cases a</w:t>
      </w:r>
      <w:r w:rsidR="008E556F">
        <w:rPr>
          <w:rFonts w:ascii="Arial" w:hAnsi="Arial" w:cs="Arial"/>
          <w:lang w:val="en-GB"/>
        </w:rPr>
        <w:t xml:space="preserve">s </w:t>
      </w:r>
      <w:proofErr w:type="spellStart"/>
      <w:r w:rsidR="008E556F">
        <w:rPr>
          <w:rFonts w:ascii="Arial" w:hAnsi="Arial" w:cs="Arial"/>
          <w:lang w:val="en-GB"/>
        </w:rPr>
        <w:t>Fifoot</w:t>
      </w:r>
      <w:proofErr w:type="spellEnd"/>
      <w:r w:rsidR="008E556F">
        <w:rPr>
          <w:rFonts w:ascii="Arial" w:hAnsi="Arial" w:cs="Arial"/>
          <w:lang w:val="en-GB"/>
        </w:rPr>
        <w:t xml:space="preserve"> has demonstrated</w:t>
      </w:r>
      <w:r>
        <w:rPr>
          <w:rFonts w:ascii="Arial" w:hAnsi="Arial" w:cs="Arial"/>
          <w:lang w:val="en-GB"/>
        </w:rPr>
        <w:t>.</w:t>
      </w:r>
      <w:r>
        <w:rPr>
          <w:rStyle w:val="FootnoteReference"/>
          <w:rFonts w:ascii="Arial" w:hAnsi="Arial" w:cs="Arial"/>
          <w:lang w:val="en-GB"/>
        </w:rPr>
        <w:footnoteReference w:id="78"/>
      </w:r>
      <w:r>
        <w:rPr>
          <w:rFonts w:ascii="Arial" w:hAnsi="Arial" w:cs="Arial"/>
          <w:lang w:val="en-GB"/>
        </w:rPr>
        <w:t xml:space="preserve"> This includes cases such as </w:t>
      </w:r>
      <w:r w:rsidRPr="008B43E6">
        <w:rPr>
          <w:rFonts w:ascii="Arial" w:hAnsi="Arial" w:cs="Arial"/>
          <w:i/>
          <w:lang w:val="en-GB"/>
        </w:rPr>
        <w:t>Alderson v. Temple</w:t>
      </w:r>
      <w:r>
        <w:rPr>
          <w:rStyle w:val="FootnoteReference"/>
          <w:rFonts w:ascii="Arial" w:hAnsi="Arial" w:cs="Arial"/>
          <w:lang w:val="en-GB"/>
        </w:rPr>
        <w:footnoteReference w:id="79"/>
      </w:r>
      <w:r>
        <w:rPr>
          <w:rFonts w:ascii="Arial" w:hAnsi="Arial" w:cs="Arial"/>
          <w:lang w:val="en-GB"/>
        </w:rPr>
        <w:t xml:space="preserve"> in 1768 and </w:t>
      </w:r>
      <w:r w:rsidRPr="008B43E6">
        <w:rPr>
          <w:rFonts w:ascii="Arial" w:hAnsi="Arial" w:cs="Arial"/>
          <w:i/>
          <w:lang w:val="en-GB"/>
        </w:rPr>
        <w:t>Le Chevalier v. Lynch</w:t>
      </w:r>
      <w:r>
        <w:rPr>
          <w:rStyle w:val="FootnoteReference"/>
          <w:rFonts w:ascii="Arial" w:hAnsi="Arial" w:cs="Arial"/>
          <w:lang w:val="en-GB"/>
        </w:rPr>
        <w:footnoteReference w:id="80"/>
      </w:r>
      <w:r>
        <w:rPr>
          <w:rFonts w:ascii="Arial" w:hAnsi="Arial" w:cs="Arial"/>
          <w:lang w:val="en-GB"/>
        </w:rPr>
        <w:t xml:space="preserve"> in 1779.</w:t>
      </w:r>
      <w:r w:rsidR="00950D00">
        <w:rPr>
          <w:rFonts w:ascii="Arial" w:hAnsi="Arial" w:cs="Arial"/>
          <w:lang w:val="en-GB"/>
        </w:rPr>
        <w:t xml:space="preserve"> The latter is particularly noteworthy as the case concerned the gathering in to the estate debts that were due to the bankrupt from a debtor out of England. Mansfield held that, “the debtor shall</w:t>
      </w:r>
      <w:r w:rsidR="00F41D9D">
        <w:rPr>
          <w:rFonts w:ascii="Arial" w:hAnsi="Arial" w:cs="Arial"/>
          <w:lang w:val="en-GB"/>
        </w:rPr>
        <w:t xml:space="preserve"> be answerable to the assignees…In Scotland they permit assignees of a bankrupt in England to sue for money owing to the bankrupt in Scotland; and it has been determined at the Cockpit, upon solemn consideration, that bills by English assignees may be maintained in the </w:t>
      </w:r>
      <w:r w:rsidR="00F41D9D">
        <w:rPr>
          <w:rFonts w:ascii="Arial" w:hAnsi="Arial" w:cs="Arial"/>
          <w:lang w:val="en-GB"/>
        </w:rPr>
        <w:lastRenderedPageBreak/>
        <w:t>Plantations upon demands due to the bankrupt’s estate.</w:t>
      </w:r>
      <w:r w:rsidR="00950D00">
        <w:rPr>
          <w:rFonts w:ascii="Arial" w:hAnsi="Arial" w:cs="Arial"/>
          <w:lang w:val="en-GB"/>
        </w:rPr>
        <w:t>”</w:t>
      </w:r>
      <w:r w:rsidR="00F41D9D">
        <w:rPr>
          <w:rStyle w:val="FootnoteReference"/>
          <w:rFonts w:ascii="Arial" w:hAnsi="Arial" w:cs="Arial"/>
          <w:lang w:val="en-GB"/>
        </w:rPr>
        <w:footnoteReference w:id="81"/>
      </w:r>
      <w:r w:rsidR="00B01565">
        <w:rPr>
          <w:rFonts w:ascii="Arial" w:hAnsi="Arial" w:cs="Arial"/>
          <w:lang w:val="en-GB"/>
        </w:rPr>
        <w:t xml:space="preserve"> But this case was decide some years after </w:t>
      </w:r>
      <w:proofErr w:type="spellStart"/>
      <w:r w:rsidR="00B01565" w:rsidRPr="00C03083">
        <w:rPr>
          <w:rFonts w:ascii="Arial" w:hAnsi="Arial" w:cs="Arial"/>
          <w:i/>
          <w:lang w:val="en-GB"/>
        </w:rPr>
        <w:t>Solomons</w:t>
      </w:r>
      <w:proofErr w:type="spellEnd"/>
      <w:r w:rsidR="00B01565" w:rsidRPr="00C03083">
        <w:rPr>
          <w:rFonts w:ascii="Arial" w:hAnsi="Arial" w:cs="Arial"/>
          <w:i/>
          <w:lang w:val="en-GB"/>
        </w:rPr>
        <w:t xml:space="preserve"> v. Ross</w:t>
      </w:r>
      <w:r w:rsidR="00B01565">
        <w:rPr>
          <w:rFonts w:ascii="Arial" w:hAnsi="Arial" w:cs="Arial"/>
          <w:lang w:val="en-GB"/>
        </w:rPr>
        <w:t xml:space="preserve">. What came before it in terms of Mansfield’s judgments? </w:t>
      </w:r>
    </w:p>
    <w:p w:rsidR="00C03083" w:rsidRDefault="00C03083" w:rsidP="004E2C06">
      <w:pPr>
        <w:spacing w:line="360" w:lineRule="auto"/>
        <w:jc w:val="both"/>
        <w:rPr>
          <w:rFonts w:ascii="Arial" w:hAnsi="Arial" w:cs="Arial"/>
          <w:lang w:val="en-GB"/>
        </w:rPr>
      </w:pPr>
    </w:p>
    <w:p w:rsidR="00C03083" w:rsidRDefault="00C03083" w:rsidP="004E2C06">
      <w:pPr>
        <w:spacing w:line="360" w:lineRule="auto"/>
        <w:jc w:val="both"/>
        <w:rPr>
          <w:rFonts w:ascii="Arial" w:hAnsi="Arial" w:cs="Arial"/>
          <w:lang w:val="en-GB"/>
        </w:rPr>
      </w:pPr>
      <w:r>
        <w:rPr>
          <w:rFonts w:ascii="Arial" w:hAnsi="Arial" w:cs="Arial"/>
          <w:lang w:val="en-GB"/>
        </w:rPr>
        <w:t xml:space="preserve">In 1756 Mansfield gave judgment in </w:t>
      </w:r>
      <w:proofErr w:type="spellStart"/>
      <w:r w:rsidRPr="007946B5">
        <w:rPr>
          <w:rFonts w:ascii="Arial" w:hAnsi="Arial" w:cs="Arial"/>
          <w:i/>
          <w:lang w:val="en-GB"/>
        </w:rPr>
        <w:t>Raynard</w:t>
      </w:r>
      <w:proofErr w:type="spellEnd"/>
      <w:r w:rsidRPr="007946B5">
        <w:rPr>
          <w:rFonts w:ascii="Arial" w:hAnsi="Arial" w:cs="Arial"/>
          <w:i/>
          <w:lang w:val="en-GB"/>
        </w:rPr>
        <w:t xml:space="preserve"> v. Chase</w:t>
      </w:r>
      <w:r>
        <w:rPr>
          <w:rFonts w:ascii="Arial" w:hAnsi="Arial" w:cs="Arial"/>
          <w:lang w:val="en-GB"/>
        </w:rPr>
        <w:t>,</w:t>
      </w:r>
      <w:r>
        <w:rPr>
          <w:rStyle w:val="FootnoteReference"/>
          <w:rFonts w:ascii="Arial" w:hAnsi="Arial" w:cs="Arial"/>
          <w:lang w:val="en-GB"/>
        </w:rPr>
        <w:footnoteReference w:id="82"/>
      </w:r>
      <w:r>
        <w:rPr>
          <w:rFonts w:ascii="Arial" w:hAnsi="Arial" w:cs="Arial"/>
          <w:lang w:val="en-GB"/>
        </w:rPr>
        <w:t xml:space="preserve"> an appeal in a bankruptcy case. Mansfield heard this case on only his second day sitting as a judge.</w:t>
      </w:r>
      <w:r>
        <w:rPr>
          <w:rStyle w:val="FootnoteReference"/>
          <w:rFonts w:ascii="Arial" w:hAnsi="Arial" w:cs="Arial"/>
          <w:lang w:val="en-GB"/>
        </w:rPr>
        <w:footnoteReference w:id="83"/>
      </w:r>
      <w:r w:rsidR="00231B1B">
        <w:rPr>
          <w:rFonts w:ascii="Arial" w:hAnsi="Arial" w:cs="Arial"/>
          <w:lang w:val="en-GB"/>
        </w:rPr>
        <w:t xml:space="preserve"> </w:t>
      </w:r>
      <w:r w:rsidR="00941B72">
        <w:rPr>
          <w:rFonts w:ascii="Arial" w:hAnsi="Arial" w:cs="Arial"/>
          <w:lang w:val="en-GB"/>
        </w:rPr>
        <w:t xml:space="preserve">This case pre-dates </w:t>
      </w:r>
      <w:proofErr w:type="spellStart"/>
      <w:r w:rsidR="00941B72" w:rsidRPr="00941B72">
        <w:rPr>
          <w:rFonts w:ascii="Arial" w:hAnsi="Arial" w:cs="Arial"/>
          <w:i/>
          <w:lang w:val="en-GB"/>
        </w:rPr>
        <w:t>Solomons</w:t>
      </w:r>
      <w:proofErr w:type="spellEnd"/>
      <w:r w:rsidR="00941B72" w:rsidRPr="00941B72">
        <w:rPr>
          <w:rFonts w:ascii="Arial" w:hAnsi="Arial" w:cs="Arial"/>
          <w:i/>
          <w:lang w:val="en-GB"/>
        </w:rPr>
        <w:t xml:space="preserve"> v. Ross</w:t>
      </w:r>
      <w:r w:rsidR="00941B72">
        <w:rPr>
          <w:rFonts w:ascii="Arial" w:hAnsi="Arial" w:cs="Arial"/>
          <w:lang w:val="en-GB"/>
        </w:rPr>
        <w:t xml:space="preserve"> by 8 years. </w:t>
      </w:r>
      <w:bookmarkStart w:id="0" w:name="_GoBack"/>
      <w:proofErr w:type="spellStart"/>
      <w:r w:rsidR="00231B1B" w:rsidRPr="00231B1B">
        <w:rPr>
          <w:rFonts w:ascii="Arial" w:hAnsi="Arial" w:cs="Arial"/>
          <w:i/>
          <w:color w:val="FF0000"/>
          <w:lang w:val="en-GB"/>
        </w:rPr>
        <w:t>Raynard</w:t>
      </w:r>
      <w:proofErr w:type="spellEnd"/>
      <w:r w:rsidR="00231B1B" w:rsidRPr="00231B1B">
        <w:rPr>
          <w:rFonts w:ascii="Arial" w:hAnsi="Arial" w:cs="Arial"/>
          <w:i/>
          <w:color w:val="FF0000"/>
          <w:lang w:val="en-GB"/>
        </w:rPr>
        <w:t xml:space="preserve"> v. Chase</w:t>
      </w:r>
      <w:r w:rsidR="00231B1B" w:rsidRPr="00231B1B">
        <w:rPr>
          <w:rFonts w:ascii="Arial" w:hAnsi="Arial" w:cs="Arial"/>
          <w:color w:val="FF0000"/>
          <w:lang w:val="en-GB"/>
        </w:rPr>
        <w:t xml:space="preserve"> </w:t>
      </w:r>
      <w:bookmarkEnd w:id="0"/>
      <w:r w:rsidR="00231B1B" w:rsidRPr="00231B1B">
        <w:rPr>
          <w:rFonts w:ascii="Arial" w:hAnsi="Arial" w:cs="Arial"/>
          <w:color w:val="FF0000"/>
          <w:lang w:val="en-GB"/>
        </w:rPr>
        <w:t>concerned…</w:t>
      </w:r>
    </w:p>
    <w:p w:rsidR="004E2C06" w:rsidRDefault="004E2C06" w:rsidP="004E2C06">
      <w:pPr>
        <w:spacing w:line="360" w:lineRule="auto"/>
        <w:jc w:val="both"/>
        <w:rPr>
          <w:rFonts w:ascii="Arial" w:hAnsi="Arial" w:cs="Arial"/>
          <w:lang w:val="en-GB"/>
        </w:rPr>
      </w:pPr>
    </w:p>
    <w:p w:rsidR="004E2C06" w:rsidRDefault="004E2C06" w:rsidP="004E2C06">
      <w:pPr>
        <w:spacing w:line="360" w:lineRule="auto"/>
        <w:jc w:val="both"/>
        <w:rPr>
          <w:rFonts w:ascii="Arial" w:hAnsi="Arial" w:cs="Arial"/>
          <w:color w:val="000000" w:themeColor="text1"/>
          <w:lang w:val="en-GB"/>
        </w:rPr>
      </w:pPr>
      <w:r w:rsidRPr="003F49C8">
        <w:rPr>
          <w:rFonts w:ascii="Arial" w:hAnsi="Arial" w:cs="Arial"/>
          <w:color w:val="000000" w:themeColor="text1"/>
          <w:lang w:val="en-GB"/>
        </w:rPr>
        <w:t xml:space="preserve">Fletcher cites the 1760 case of </w:t>
      </w:r>
      <w:r w:rsidRPr="003F49C8">
        <w:rPr>
          <w:rFonts w:ascii="Arial" w:hAnsi="Arial" w:cs="Arial"/>
          <w:i/>
          <w:color w:val="000000" w:themeColor="text1"/>
          <w:lang w:val="en-GB"/>
        </w:rPr>
        <w:t>Robinson v. Bland</w:t>
      </w:r>
      <w:r w:rsidRPr="003F49C8">
        <w:rPr>
          <w:rFonts w:ascii="Arial" w:hAnsi="Arial" w:cs="Arial"/>
          <w:color w:val="000000" w:themeColor="text1"/>
          <w:lang w:val="en-GB"/>
        </w:rPr>
        <w:t>,</w:t>
      </w:r>
      <w:r w:rsidRPr="003F49C8">
        <w:rPr>
          <w:rStyle w:val="FootnoteReference"/>
          <w:rFonts w:ascii="Arial" w:hAnsi="Arial" w:cs="Arial"/>
          <w:color w:val="000000" w:themeColor="text1"/>
          <w:lang w:val="en-GB"/>
        </w:rPr>
        <w:footnoteReference w:id="84"/>
      </w:r>
      <w:r>
        <w:rPr>
          <w:rFonts w:ascii="Arial" w:hAnsi="Arial" w:cs="Arial"/>
          <w:color w:val="000000" w:themeColor="text1"/>
          <w:lang w:val="en-GB"/>
        </w:rPr>
        <w:t xml:space="preserve"> heard some four years before </w:t>
      </w:r>
      <w:proofErr w:type="spellStart"/>
      <w:r w:rsidRPr="00B51052">
        <w:rPr>
          <w:rFonts w:ascii="Arial" w:hAnsi="Arial" w:cs="Arial"/>
          <w:i/>
          <w:color w:val="000000" w:themeColor="text1"/>
          <w:lang w:val="en-GB"/>
        </w:rPr>
        <w:t>Solomons</w:t>
      </w:r>
      <w:proofErr w:type="spellEnd"/>
      <w:r w:rsidRPr="00B51052">
        <w:rPr>
          <w:rFonts w:ascii="Arial" w:hAnsi="Arial" w:cs="Arial"/>
          <w:i/>
          <w:color w:val="000000" w:themeColor="text1"/>
          <w:lang w:val="en-GB"/>
        </w:rPr>
        <w:t xml:space="preserve"> v. Ross</w:t>
      </w:r>
      <w:r>
        <w:rPr>
          <w:rFonts w:ascii="Arial" w:hAnsi="Arial" w:cs="Arial"/>
          <w:color w:val="000000" w:themeColor="text1"/>
          <w:lang w:val="en-GB"/>
        </w:rPr>
        <w:t xml:space="preserve">, as well as judgments that were handed down subsequently. These include </w:t>
      </w:r>
      <w:r w:rsidRPr="003F49C8">
        <w:rPr>
          <w:rFonts w:ascii="Arial" w:hAnsi="Arial" w:cs="Arial"/>
          <w:color w:val="000000" w:themeColor="text1"/>
          <w:lang w:val="en-GB"/>
        </w:rPr>
        <w:t xml:space="preserve">the 1774 case of </w:t>
      </w:r>
      <w:r w:rsidRPr="003F49C8">
        <w:rPr>
          <w:rFonts w:ascii="Arial" w:hAnsi="Arial" w:cs="Arial"/>
          <w:i/>
          <w:color w:val="000000" w:themeColor="text1"/>
          <w:lang w:val="en-GB"/>
        </w:rPr>
        <w:t xml:space="preserve">Mostyn v. </w:t>
      </w:r>
      <w:proofErr w:type="spellStart"/>
      <w:r w:rsidRPr="003F49C8">
        <w:rPr>
          <w:rFonts w:ascii="Arial" w:hAnsi="Arial" w:cs="Arial"/>
          <w:i/>
          <w:color w:val="000000" w:themeColor="text1"/>
          <w:lang w:val="en-GB"/>
        </w:rPr>
        <w:t>Fabrigas</w:t>
      </w:r>
      <w:proofErr w:type="spellEnd"/>
      <w:r w:rsidRPr="003F49C8">
        <w:rPr>
          <w:rFonts w:ascii="Arial" w:hAnsi="Arial" w:cs="Arial"/>
          <w:color w:val="000000" w:themeColor="text1"/>
          <w:lang w:val="en-GB"/>
        </w:rPr>
        <w:t>,</w:t>
      </w:r>
      <w:r w:rsidRPr="003F49C8">
        <w:rPr>
          <w:rStyle w:val="FootnoteReference"/>
          <w:rFonts w:ascii="Arial" w:hAnsi="Arial" w:cs="Arial"/>
          <w:color w:val="000000" w:themeColor="text1"/>
          <w:lang w:val="en-GB"/>
        </w:rPr>
        <w:footnoteReference w:id="85"/>
      </w:r>
      <w:r w:rsidRPr="003F49C8">
        <w:rPr>
          <w:rFonts w:ascii="Arial" w:hAnsi="Arial" w:cs="Arial"/>
          <w:color w:val="000000" w:themeColor="text1"/>
          <w:lang w:val="en-GB"/>
        </w:rPr>
        <w:t xml:space="preserve"> and the 1775 case of </w:t>
      </w:r>
      <w:r w:rsidRPr="00B51052">
        <w:rPr>
          <w:rFonts w:ascii="Arial" w:hAnsi="Arial" w:cs="Arial"/>
          <w:i/>
          <w:color w:val="000000" w:themeColor="text1"/>
          <w:lang w:val="en-GB"/>
        </w:rPr>
        <w:t>Holman v. Johnson.</w:t>
      </w:r>
      <w:r w:rsidRPr="003F49C8">
        <w:rPr>
          <w:rStyle w:val="FootnoteReference"/>
          <w:rFonts w:ascii="Arial" w:hAnsi="Arial" w:cs="Arial"/>
          <w:color w:val="000000" w:themeColor="text1"/>
          <w:lang w:val="en-GB"/>
        </w:rPr>
        <w:footnoteReference w:id="86"/>
      </w:r>
      <w:r w:rsidRPr="003F49C8">
        <w:rPr>
          <w:rFonts w:ascii="Arial" w:hAnsi="Arial" w:cs="Arial"/>
          <w:color w:val="000000" w:themeColor="text1"/>
          <w:lang w:val="en-GB"/>
        </w:rPr>
        <w:t xml:space="preserve"> The last is particularly noteworthy, even though it was decided some eleven years after </w:t>
      </w:r>
      <w:proofErr w:type="spellStart"/>
      <w:r w:rsidRPr="00B51052">
        <w:rPr>
          <w:rFonts w:ascii="Arial" w:hAnsi="Arial" w:cs="Arial"/>
          <w:i/>
          <w:color w:val="000000" w:themeColor="text1"/>
          <w:lang w:val="en-GB"/>
        </w:rPr>
        <w:t>Solomons</w:t>
      </w:r>
      <w:proofErr w:type="spellEnd"/>
      <w:r w:rsidRPr="00B51052">
        <w:rPr>
          <w:rFonts w:ascii="Arial" w:hAnsi="Arial" w:cs="Arial"/>
          <w:i/>
          <w:color w:val="000000" w:themeColor="text1"/>
          <w:lang w:val="en-GB"/>
        </w:rPr>
        <w:t xml:space="preserve"> v. Ross</w:t>
      </w:r>
      <w:r w:rsidRPr="003F49C8">
        <w:rPr>
          <w:rFonts w:ascii="Arial" w:hAnsi="Arial" w:cs="Arial"/>
          <w:color w:val="000000" w:themeColor="text1"/>
          <w:lang w:val="en-GB"/>
        </w:rPr>
        <w:t xml:space="preserve">. In </w:t>
      </w:r>
      <w:r w:rsidRPr="003F49C8">
        <w:rPr>
          <w:rFonts w:ascii="Arial" w:hAnsi="Arial" w:cs="Arial"/>
          <w:i/>
          <w:color w:val="000000" w:themeColor="text1"/>
          <w:lang w:val="en-GB"/>
        </w:rPr>
        <w:t>Holman</w:t>
      </w:r>
      <w:r w:rsidRPr="003F49C8">
        <w:rPr>
          <w:rFonts w:ascii="Arial" w:hAnsi="Arial" w:cs="Arial"/>
          <w:color w:val="000000" w:themeColor="text1"/>
          <w:lang w:val="en-GB"/>
        </w:rPr>
        <w:t xml:space="preserve"> Lord Mansfield stated that: “in a variety of circumstances, with regard to contracts legally made abroad, the laws of the country where the cause of action arose shall govern.”</w:t>
      </w:r>
      <w:r w:rsidRPr="003F49C8">
        <w:rPr>
          <w:rStyle w:val="FootnoteReference"/>
          <w:rFonts w:ascii="Arial" w:hAnsi="Arial" w:cs="Arial"/>
          <w:color w:val="000000" w:themeColor="text1"/>
          <w:lang w:val="en-GB"/>
        </w:rPr>
        <w:footnoteReference w:id="87"/>
      </w:r>
      <w:r>
        <w:rPr>
          <w:rFonts w:ascii="Arial" w:hAnsi="Arial" w:cs="Arial"/>
          <w:color w:val="000000" w:themeColor="text1"/>
          <w:lang w:val="en-GB"/>
        </w:rPr>
        <w:t xml:space="preserve"> Here we therefore have Lord Mansfield acknowledging the universal effect of certain legal proceedings, in foreign jurisdictions. </w:t>
      </w:r>
    </w:p>
    <w:p w:rsidR="004E2C06" w:rsidRDefault="004E2C06" w:rsidP="004E2C06">
      <w:pPr>
        <w:spacing w:line="360" w:lineRule="auto"/>
        <w:jc w:val="both"/>
        <w:rPr>
          <w:rFonts w:ascii="Arial" w:hAnsi="Arial" w:cs="Arial"/>
          <w:color w:val="000000" w:themeColor="text1"/>
          <w:lang w:val="en-GB"/>
        </w:rPr>
      </w:pPr>
    </w:p>
    <w:p w:rsidR="004E2C06" w:rsidRPr="003F49C8" w:rsidRDefault="004E2C06" w:rsidP="004E2C06">
      <w:pPr>
        <w:spacing w:line="360" w:lineRule="auto"/>
        <w:jc w:val="both"/>
        <w:rPr>
          <w:rFonts w:ascii="Arial" w:hAnsi="Arial" w:cs="Arial"/>
          <w:color w:val="000000" w:themeColor="text1"/>
          <w:lang w:val="en-GB"/>
        </w:rPr>
      </w:pPr>
      <w:r>
        <w:rPr>
          <w:rFonts w:ascii="Arial" w:hAnsi="Arial" w:cs="Arial"/>
          <w:color w:val="000000" w:themeColor="text1"/>
          <w:lang w:val="en-GB"/>
        </w:rPr>
        <w:t xml:space="preserve">But we can go back further, and in particular </w:t>
      </w:r>
      <w:r w:rsidRPr="00A75DF0">
        <w:rPr>
          <w:rFonts w:ascii="Arial" w:hAnsi="Arial" w:cs="Arial"/>
          <w:color w:val="000000" w:themeColor="text1"/>
          <w:u w:val="single"/>
          <w:lang w:val="en-GB"/>
        </w:rPr>
        <w:t>before</w:t>
      </w:r>
      <w:r>
        <w:rPr>
          <w:rFonts w:ascii="Arial" w:hAnsi="Arial" w:cs="Arial"/>
          <w:color w:val="000000" w:themeColor="text1"/>
          <w:lang w:val="en-GB"/>
        </w:rPr>
        <w:t xml:space="preserve"> </w:t>
      </w:r>
      <w:proofErr w:type="spellStart"/>
      <w:r w:rsidRPr="00A75DF0">
        <w:rPr>
          <w:rFonts w:ascii="Arial" w:hAnsi="Arial" w:cs="Arial"/>
          <w:i/>
          <w:color w:val="000000" w:themeColor="text1"/>
          <w:lang w:val="en-GB"/>
        </w:rPr>
        <w:t>Solomons</w:t>
      </w:r>
      <w:proofErr w:type="spellEnd"/>
      <w:r w:rsidRPr="00A75DF0">
        <w:rPr>
          <w:rFonts w:ascii="Arial" w:hAnsi="Arial" w:cs="Arial"/>
          <w:i/>
          <w:color w:val="000000" w:themeColor="text1"/>
          <w:lang w:val="en-GB"/>
        </w:rPr>
        <w:t xml:space="preserve"> v. Ross,</w:t>
      </w:r>
      <w:r>
        <w:rPr>
          <w:rFonts w:ascii="Arial" w:hAnsi="Arial" w:cs="Arial"/>
          <w:color w:val="000000" w:themeColor="text1"/>
          <w:lang w:val="en-GB"/>
        </w:rPr>
        <w:t xml:space="preserve"> to </w:t>
      </w:r>
      <w:r w:rsidRPr="003F49C8">
        <w:rPr>
          <w:rFonts w:ascii="Arial" w:hAnsi="Arial" w:cs="Arial"/>
          <w:i/>
          <w:color w:val="000000" w:themeColor="text1"/>
          <w:lang w:val="en-GB"/>
        </w:rPr>
        <w:t>Robinson v. Bland</w:t>
      </w:r>
      <w:r>
        <w:rPr>
          <w:rFonts w:ascii="Arial" w:hAnsi="Arial" w:cs="Arial"/>
          <w:i/>
          <w:color w:val="000000" w:themeColor="text1"/>
          <w:lang w:val="en-GB"/>
        </w:rPr>
        <w:t>,</w:t>
      </w:r>
      <w:r w:rsidRPr="00365E45">
        <w:rPr>
          <w:rStyle w:val="FootnoteReference"/>
          <w:rFonts w:ascii="Arial" w:hAnsi="Arial" w:cs="Arial"/>
          <w:color w:val="000000" w:themeColor="text1"/>
          <w:lang w:val="en-GB"/>
        </w:rPr>
        <w:footnoteReference w:id="88"/>
      </w:r>
      <w:r>
        <w:rPr>
          <w:rFonts w:ascii="Arial" w:hAnsi="Arial" w:cs="Arial"/>
          <w:i/>
          <w:color w:val="000000" w:themeColor="text1"/>
          <w:lang w:val="en-GB"/>
        </w:rPr>
        <w:t xml:space="preserve"> </w:t>
      </w:r>
      <w:r>
        <w:rPr>
          <w:rFonts w:ascii="Arial" w:hAnsi="Arial" w:cs="Arial"/>
          <w:color w:val="000000" w:themeColor="text1"/>
          <w:lang w:val="en-GB"/>
        </w:rPr>
        <w:t>a</w:t>
      </w:r>
      <w:r w:rsidRPr="00A75DF0">
        <w:rPr>
          <w:rFonts w:ascii="Arial" w:hAnsi="Arial" w:cs="Arial"/>
          <w:color w:val="000000" w:themeColor="text1"/>
          <w:lang w:val="en-GB"/>
        </w:rPr>
        <w:t xml:space="preserve"> case</w:t>
      </w:r>
      <w:r>
        <w:rPr>
          <w:rFonts w:ascii="Arial" w:hAnsi="Arial" w:cs="Arial"/>
          <w:color w:val="000000" w:themeColor="text1"/>
          <w:lang w:val="en-GB"/>
        </w:rPr>
        <w:t xml:space="preserve"> heard in Westminster Hall on the 22</w:t>
      </w:r>
      <w:r w:rsidRPr="00A75DF0">
        <w:rPr>
          <w:rFonts w:ascii="Arial" w:hAnsi="Arial" w:cs="Arial"/>
          <w:color w:val="000000" w:themeColor="text1"/>
          <w:vertAlign w:val="superscript"/>
          <w:lang w:val="en-GB"/>
        </w:rPr>
        <w:t>nd</w:t>
      </w:r>
      <w:r>
        <w:rPr>
          <w:rFonts w:ascii="Arial" w:hAnsi="Arial" w:cs="Arial"/>
          <w:color w:val="000000" w:themeColor="text1"/>
          <w:lang w:val="en-GB"/>
        </w:rPr>
        <w:t xml:space="preserve"> May 1760 before Lord Mansfield. The advocates included</w:t>
      </w:r>
      <w:r w:rsidRPr="00A75DF0">
        <w:rPr>
          <w:rFonts w:ascii="Arial" w:hAnsi="Arial" w:cs="Arial"/>
          <w:color w:val="000000" w:themeColor="text1"/>
          <w:lang w:val="en-GB"/>
        </w:rPr>
        <w:t xml:space="preserve"> </w:t>
      </w:r>
      <w:proofErr w:type="spellStart"/>
      <w:r w:rsidRPr="00A75DF0">
        <w:rPr>
          <w:rFonts w:ascii="Arial" w:hAnsi="Arial" w:cs="Arial"/>
          <w:color w:val="000000" w:themeColor="text1"/>
          <w:lang w:val="en-GB"/>
        </w:rPr>
        <w:t>Wedderburn</w:t>
      </w:r>
      <w:proofErr w:type="spellEnd"/>
      <w:r w:rsidRPr="00A75DF0">
        <w:rPr>
          <w:rFonts w:ascii="Arial" w:hAnsi="Arial" w:cs="Arial"/>
          <w:color w:val="000000" w:themeColor="text1"/>
          <w:lang w:val="en-GB"/>
        </w:rPr>
        <w:t xml:space="preserve"> (later Lord L</w:t>
      </w:r>
      <w:r>
        <w:rPr>
          <w:rFonts w:ascii="Arial" w:hAnsi="Arial" w:cs="Arial"/>
          <w:color w:val="000000" w:themeColor="text1"/>
          <w:lang w:val="en-GB"/>
        </w:rPr>
        <w:t>oughborough, LC) and Blackstone. The facts involved a deceased intestate English gentleman, Sir John Bland, who had borrowed money for the purposes of gambling. The plaintiffs sought recover of the loan of £672 based on a bill of exchange drawn up in Paris. Lord Mansfield stated</w:t>
      </w:r>
      <w:r w:rsidRPr="00365E45">
        <w:rPr>
          <w:rFonts w:ascii="Arial" w:hAnsi="Arial" w:cs="Arial"/>
          <w:color w:val="000000" w:themeColor="text1"/>
          <w:lang w:val="en-GB"/>
        </w:rPr>
        <w:t xml:space="preserve"> that in the present case, </w:t>
      </w:r>
      <w:r>
        <w:rPr>
          <w:rFonts w:ascii="Arial" w:hAnsi="Arial" w:cs="Arial"/>
          <w:color w:val="000000" w:themeColor="text1"/>
          <w:lang w:val="en-GB"/>
        </w:rPr>
        <w:t>“</w:t>
      </w:r>
      <w:r w:rsidRPr="00365E45">
        <w:rPr>
          <w:rFonts w:ascii="Arial" w:hAnsi="Arial" w:cs="Arial"/>
          <w:color w:val="000000" w:themeColor="text1"/>
          <w:lang w:val="en-GB"/>
        </w:rPr>
        <w:t xml:space="preserve">the facts stated scarce leave room for any question; </w:t>
      </w:r>
      <w:r w:rsidRPr="00855524">
        <w:rPr>
          <w:rFonts w:ascii="Arial" w:hAnsi="Arial" w:cs="Arial"/>
          <w:color w:val="FF0000"/>
          <w:lang w:val="en-GB"/>
        </w:rPr>
        <w:t>because the law of France and of England is the same”</w:t>
      </w:r>
      <w:r w:rsidRPr="00855524">
        <w:rPr>
          <w:rStyle w:val="FootnoteReference"/>
          <w:rFonts w:ascii="Arial" w:hAnsi="Arial" w:cs="Arial"/>
          <w:color w:val="FF0000"/>
          <w:lang w:val="en-GB"/>
        </w:rPr>
        <w:footnoteReference w:id="89"/>
      </w:r>
      <w:r w:rsidRPr="00855524">
        <w:rPr>
          <w:rFonts w:ascii="Arial" w:hAnsi="Arial" w:cs="Arial"/>
          <w:color w:val="FF0000"/>
          <w:lang w:val="en-GB"/>
        </w:rPr>
        <w:t xml:space="preserve"> that is that, “That </w:t>
      </w:r>
      <w:r w:rsidRPr="00855524">
        <w:rPr>
          <w:rFonts w:ascii="Arial" w:hAnsi="Arial" w:cs="Arial"/>
          <w:color w:val="FF0000"/>
          <w:lang w:val="en-GB"/>
        </w:rPr>
        <w:lastRenderedPageBreak/>
        <w:t>money lent to play with, or at the time and place of play, may be recovered there, as a debt…”</w:t>
      </w:r>
      <w:r w:rsidRPr="00855524">
        <w:rPr>
          <w:rStyle w:val="FootnoteReference"/>
          <w:rFonts w:ascii="Arial" w:hAnsi="Arial" w:cs="Arial"/>
          <w:color w:val="FF0000"/>
          <w:lang w:val="en-GB"/>
        </w:rPr>
        <w:footnoteReference w:id="90"/>
      </w:r>
      <w:r w:rsidRPr="00855524">
        <w:rPr>
          <w:rFonts w:ascii="Arial" w:hAnsi="Arial" w:cs="Arial"/>
          <w:color w:val="FF0000"/>
          <w:lang w:val="en-GB"/>
        </w:rPr>
        <w:t xml:space="preserve">    </w:t>
      </w:r>
    </w:p>
    <w:p w:rsidR="004E2C06" w:rsidRDefault="004E2C06" w:rsidP="004E2C06">
      <w:pPr>
        <w:spacing w:line="360" w:lineRule="auto"/>
        <w:jc w:val="both"/>
        <w:rPr>
          <w:rFonts w:ascii="Arial" w:hAnsi="Arial" w:cs="Arial"/>
          <w:lang w:val="en-GB"/>
        </w:rPr>
      </w:pPr>
    </w:p>
    <w:p w:rsidR="004E12B7" w:rsidRDefault="004E2C06" w:rsidP="004E2C06">
      <w:pPr>
        <w:spacing w:line="360" w:lineRule="auto"/>
        <w:jc w:val="both"/>
        <w:rPr>
          <w:rFonts w:ascii="Arial" w:hAnsi="Arial" w:cs="Arial"/>
          <w:lang w:val="en-GB"/>
        </w:rPr>
      </w:pPr>
      <w:r>
        <w:rPr>
          <w:rFonts w:ascii="Arial" w:hAnsi="Arial" w:cs="Arial"/>
          <w:lang w:val="en-GB"/>
        </w:rPr>
        <w:t>Why is this foreign law recognition activity important? It has been suggested that Bathurst and his fellow commissioners consulted Lord Mansfield, Lord Chief Justice, on their decrees</w:t>
      </w:r>
      <w:r>
        <w:rPr>
          <w:rStyle w:val="FootnoteReference"/>
          <w:rFonts w:ascii="Arial" w:hAnsi="Arial" w:cs="Arial"/>
          <w:lang w:val="en-GB"/>
        </w:rPr>
        <w:footnoteReference w:id="91"/>
      </w:r>
      <w:r>
        <w:rPr>
          <w:rFonts w:ascii="Arial" w:hAnsi="Arial" w:cs="Arial"/>
          <w:lang w:val="en-GB"/>
        </w:rPr>
        <w:t xml:space="preserve"> and that Lord Mansfield attended Scottish appeals to specifically assist Bathurst.</w:t>
      </w:r>
      <w:r>
        <w:rPr>
          <w:rStyle w:val="FootnoteReference"/>
          <w:rFonts w:ascii="Arial" w:hAnsi="Arial" w:cs="Arial"/>
          <w:lang w:val="en-GB"/>
        </w:rPr>
        <w:footnoteReference w:id="92"/>
      </w:r>
      <w:r>
        <w:rPr>
          <w:rFonts w:ascii="Arial" w:hAnsi="Arial" w:cs="Arial"/>
          <w:lang w:val="en-GB"/>
        </w:rPr>
        <w:t xml:space="preserve"> So this raises the question of whether or not Bathurst engaged in this behaviour seven years before when he sat in for Lord </w:t>
      </w:r>
      <w:proofErr w:type="spellStart"/>
      <w:r>
        <w:rPr>
          <w:rFonts w:ascii="Arial" w:hAnsi="Arial" w:cs="Arial"/>
          <w:lang w:val="en-GB"/>
        </w:rPr>
        <w:t>Northington</w:t>
      </w:r>
      <w:proofErr w:type="spellEnd"/>
      <w:r>
        <w:rPr>
          <w:rFonts w:ascii="Arial" w:hAnsi="Arial" w:cs="Arial"/>
          <w:lang w:val="en-GB"/>
        </w:rPr>
        <w:t xml:space="preserve"> in </w:t>
      </w:r>
      <w:proofErr w:type="spellStart"/>
      <w:r w:rsidRPr="00BE6013">
        <w:rPr>
          <w:rFonts w:ascii="Arial" w:hAnsi="Arial" w:cs="Arial"/>
          <w:i/>
          <w:lang w:val="en-GB"/>
        </w:rPr>
        <w:t>Solomons</w:t>
      </w:r>
      <w:proofErr w:type="spellEnd"/>
      <w:r w:rsidRPr="00BE6013">
        <w:rPr>
          <w:rFonts w:ascii="Arial" w:hAnsi="Arial" w:cs="Arial"/>
          <w:i/>
          <w:lang w:val="en-GB"/>
        </w:rPr>
        <w:t xml:space="preserve"> v. Ross</w:t>
      </w:r>
      <w:r>
        <w:rPr>
          <w:rFonts w:ascii="Arial" w:hAnsi="Arial" w:cs="Arial"/>
          <w:lang w:val="en-GB"/>
        </w:rPr>
        <w:t xml:space="preserve">? Did Bathurst consult Lord Mansfield on </w:t>
      </w:r>
      <w:proofErr w:type="spellStart"/>
      <w:r w:rsidRPr="003F49C8">
        <w:rPr>
          <w:rFonts w:ascii="Arial" w:hAnsi="Arial" w:cs="Arial"/>
          <w:i/>
          <w:lang w:val="en-GB"/>
        </w:rPr>
        <w:t>Solomons</w:t>
      </w:r>
      <w:proofErr w:type="spellEnd"/>
      <w:r w:rsidRPr="003F49C8">
        <w:rPr>
          <w:rFonts w:ascii="Arial" w:hAnsi="Arial" w:cs="Arial"/>
          <w:i/>
          <w:lang w:val="en-GB"/>
        </w:rPr>
        <w:t xml:space="preserve"> v. Ross</w:t>
      </w:r>
      <w:r>
        <w:rPr>
          <w:rFonts w:ascii="Arial" w:hAnsi="Arial" w:cs="Arial"/>
          <w:lang w:val="en-GB"/>
        </w:rPr>
        <w:t xml:space="preserve">? Was Lord Mansfield therefore behind the decree in </w:t>
      </w:r>
      <w:proofErr w:type="spellStart"/>
      <w:r w:rsidRPr="00BE6013">
        <w:rPr>
          <w:rFonts w:ascii="Arial" w:hAnsi="Arial" w:cs="Arial"/>
          <w:i/>
          <w:lang w:val="en-GB"/>
        </w:rPr>
        <w:t>Solomons</w:t>
      </w:r>
      <w:proofErr w:type="spellEnd"/>
      <w:r w:rsidRPr="00BE6013">
        <w:rPr>
          <w:rFonts w:ascii="Arial" w:hAnsi="Arial" w:cs="Arial"/>
          <w:i/>
          <w:lang w:val="en-GB"/>
        </w:rPr>
        <w:t xml:space="preserve"> v. Ross</w:t>
      </w:r>
      <w:r>
        <w:rPr>
          <w:rFonts w:ascii="Arial" w:hAnsi="Arial" w:cs="Arial"/>
          <w:lang w:val="en-GB"/>
        </w:rPr>
        <w:t xml:space="preserve">? </w:t>
      </w:r>
    </w:p>
    <w:p w:rsidR="004E12B7" w:rsidRDefault="004E12B7" w:rsidP="004E2C06">
      <w:pPr>
        <w:spacing w:line="360" w:lineRule="auto"/>
        <w:jc w:val="both"/>
        <w:rPr>
          <w:rFonts w:ascii="Arial" w:hAnsi="Arial" w:cs="Arial"/>
          <w:lang w:val="en-GB"/>
        </w:rPr>
      </w:pPr>
    </w:p>
    <w:p w:rsidR="004E12B7" w:rsidRDefault="004E2C06" w:rsidP="004E2C06">
      <w:pPr>
        <w:spacing w:line="360" w:lineRule="auto"/>
        <w:jc w:val="both"/>
        <w:rPr>
          <w:rFonts w:ascii="Arial" w:hAnsi="Arial" w:cs="Arial"/>
          <w:lang w:val="en-GB"/>
        </w:rPr>
      </w:pPr>
      <w:r>
        <w:rPr>
          <w:rFonts w:ascii="Arial" w:hAnsi="Arial" w:cs="Arial"/>
          <w:lang w:val="en-GB"/>
        </w:rPr>
        <w:t>It is an interesting theory but one that is not supported by lat</w:t>
      </w:r>
      <w:r w:rsidR="000457A4">
        <w:rPr>
          <w:rFonts w:ascii="Arial" w:hAnsi="Arial" w:cs="Arial"/>
          <w:lang w:val="en-GB"/>
        </w:rPr>
        <w:t>er biographers. No less than three</w:t>
      </w:r>
      <w:r>
        <w:rPr>
          <w:rFonts w:ascii="Arial" w:hAnsi="Arial" w:cs="Arial"/>
          <w:lang w:val="en-GB"/>
        </w:rPr>
        <w:t xml:space="preserve"> biographers have evaluated Lord Mansfield’s life, including the great CHS </w:t>
      </w:r>
      <w:proofErr w:type="spellStart"/>
      <w:r>
        <w:rPr>
          <w:rFonts w:ascii="Arial" w:hAnsi="Arial" w:cs="Arial"/>
          <w:lang w:val="en-GB"/>
        </w:rPr>
        <w:t>Fifoot</w:t>
      </w:r>
      <w:proofErr w:type="spellEnd"/>
      <w:r>
        <w:rPr>
          <w:rStyle w:val="FootnoteReference"/>
          <w:rFonts w:ascii="Arial" w:hAnsi="Arial" w:cs="Arial"/>
          <w:lang w:val="en-GB"/>
        </w:rPr>
        <w:footnoteReference w:id="93"/>
      </w:r>
      <w:r w:rsidR="000457A4">
        <w:rPr>
          <w:rFonts w:ascii="Arial" w:hAnsi="Arial" w:cs="Arial"/>
          <w:lang w:val="en-GB"/>
        </w:rPr>
        <w:t xml:space="preserve">, </w:t>
      </w:r>
      <w:r>
        <w:rPr>
          <w:rFonts w:ascii="Arial" w:hAnsi="Arial" w:cs="Arial"/>
          <w:lang w:val="en-GB"/>
        </w:rPr>
        <w:t>Oldham</w:t>
      </w:r>
      <w:r w:rsidR="000457A4">
        <w:rPr>
          <w:rFonts w:ascii="Arial" w:hAnsi="Arial" w:cs="Arial"/>
          <w:lang w:val="en-GB"/>
        </w:rPr>
        <w:t>,</w:t>
      </w:r>
      <w:r>
        <w:rPr>
          <w:rStyle w:val="FootnoteReference"/>
          <w:rFonts w:ascii="Arial" w:hAnsi="Arial" w:cs="Arial"/>
          <w:lang w:val="en-GB"/>
        </w:rPr>
        <w:footnoteReference w:id="94"/>
      </w:r>
      <w:r w:rsidR="000457A4">
        <w:rPr>
          <w:rFonts w:ascii="Arial" w:hAnsi="Arial" w:cs="Arial"/>
          <w:lang w:val="en-GB"/>
        </w:rPr>
        <w:t xml:space="preserve"> and Poser</w:t>
      </w:r>
      <w:r w:rsidR="000457A4">
        <w:rPr>
          <w:rStyle w:val="FootnoteReference"/>
          <w:rFonts w:ascii="Arial" w:hAnsi="Arial" w:cs="Arial"/>
          <w:lang w:val="en-GB"/>
        </w:rPr>
        <w:footnoteReference w:id="95"/>
      </w:r>
      <w:r w:rsidR="00270CE3">
        <w:rPr>
          <w:rFonts w:ascii="Arial" w:hAnsi="Arial" w:cs="Arial"/>
          <w:lang w:val="en-GB"/>
        </w:rPr>
        <w:t xml:space="preserve"> none</w:t>
      </w:r>
      <w:r>
        <w:rPr>
          <w:rFonts w:ascii="Arial" w:hAnsi="Arial" w:cs="Arial"/>
          <w:lang w:val="en-GB"/>
        </w:rPr>
        <w:t xml:space="preserve"> make mention of</w:t>
      </w:r>
      <w:r w:rsidR="00270CE3">
        <w:rPr>
          <w:rFonts w:ascii="Arial" w:hAnsi="Arial" w:cs="Arial"/>
          <w:lang w:val="en-GB"/>
        </w:rPr>
        <w:t xml:space="preserve"> Bathurst in anyway whatsoever. This does of course not mean that contact between the two judges did not occur.</w:t>
      </w:r>
      <w:r w:rsidR="007946B5">
        <w:rPr>
          <w:rFonts w:ascii="Arial" w:hAnsi="Arial" w:cs="Arial"/>
          <w:lang w:val="en-GB"/>
        </w:rPr>
        <w:t xml:space="preserve"> In later life Mansfield did come to the aid of Bathurst during debates in the House of Lords</w:t>
      </w:r>
      <w:r w:rsidR="002768E4">
        <w:rPr>
          <w:rFonts w:ascii="Arial" w:hAnsi="Arial" w:cs="Arial"/>
          <w:lang w:val="en-GB"/>
        </w:rPr>
        <w:t xml:space="preserve"> whereupon the former apparently “rescued”</w:t>
      </w:r>
      <w:r w:rsidR="007946B5">
        <w:rPr>
          <w:rStyle w:val="FootnoteReference"/>
          <w:rFonts w:ascii="Arial" w:hAnsi="Arial" w:cs="Arial"/>
          <w:lang w:val="en-GB"/>
        </w:rPr>
        <w:footnoteReference w:id="96"/>
      </w:r>
      <w:r w:rsidR="002768E4">
        <w:rPr>
          <w:rFonts w:ascii="Arial" w:hAnsi="Arial" w:cs="Arial"/>
          <w:lang w:val="en-GB"/>
        </w:rPr>
        <w:t xml:space="preserve"> the latter.</w:t>
      </w:r>
      <w:r w:rsidR="00270CE3">
        <w:rPr>
          <w:rFonts w:ascii="Arial" w:hAnsi="Arial" w:cs="Arial"/>
          <w:lang w:val="en-GB"/>
        </w:rPr>
        <w:t xml:space="preserve"> </w:t>
      </w:r>
    </w:p>
    <w:p w:rsidR="004E12B7" w:rsidRDefault="004E12B7" w:rsidP="004E2C06">
      <w:pPr>
        <w:spacing w:line="360" w:lineRule="auto"/>
        <w:jc w:val="both"/>
        <w:rPr>
          <w:rFonts w:ascii="Arial" w:hAnsi="Arial" w:cs="Arial"/>
          <w:lang w:val="en-GB"/>
        </w:rPr>
      </w:pPr>
    </w:p>
    <w:p w:rsidR="004E12B7" w:rsidRDefault="004E12B7" w:rsidP="004E2C06">
      <w:pPr>
        <w:spacing w:line="360" w:lineRule="auto"/>
        <w:jc w:val="both"/>
        <w:rPr>
          <w:rFonts w:ascii="Arial" w:hAnsi="Arial" w:cs="Arial"/>
          <w:lang w:val="en-GB"/>
        </w:rPr>
      </w:pPr>
      <w:r>
        <w:rPr>
          <w:rFonts w:ascii="Arial" w:hAnsi="Arial" w:cs="Arial"/>
          <w:lang w:val="en-GB"/>
        </w:rPr>
        <w:t>Whoever is responsible, Fletcher is correct to observe that, “these early decisions contain the seeds of what can be justly acclaimed as an internationalist tradition spanning more than two centuries of English judicial development of international insolvency.”</w:t>
      </w:r>
      <w:r>
        <w:rPr>
          <w:rStyle w:val="FootnoteReference"/>
          <w:rFonts w:ascii="Arial" w:hAnsi="Arial" w:cs="Arial"/>
          <w:lang w:val="en-GB"/>
        </w:rPr>
        <w:footnoteReference w:id="97"/>
      </w:r>
    </w:p>
    <w:p w:rsidR="004E12B7" w:rsidRDefault="004E12B7" w:rsidP="004E2C06">
      <w:pPr>
        <w:spacing w:line="360" w:lineRule="auto"/>
        <w:jc w:val="both"/>
        <w:rPr>
          <w:rFonts w:ascii="Arial" w:hAnsi="Arial" w:cs="Arial"/>
          <w:lang w:val="en-GB"/>
        </w:rPr>
      </w:pPr>
    </w:p>
    <w:p w:rsidR="004E12B7" w:rsidRDefault="004E12B7" w:rsidP="004E2C06">
      <w:pPr>
        <w:spacing w:line="360" w:lineRule="auto"/>
        <w:jc w:val="both"/>
        <w:rPr>
          <w:rFonts w:ascii="Arial" w:hAnsi="Arial" w:cs="Arial"/>
          <w:lang w:val="en-GB"/>
        </w:rPr>
      </w:pPr>
      <w:r>
        <w:rPr>
          <w:rFonts w:ascii="Arial" w:hAnsi="Arial" w:cs="Arial"/>
          <w:lang w:val="en-GB"/>
        </w:rPr>
        <w:t xml:space="preserve">It is to that development that we now turn, but with particular reference to how these early cases, and in particular </w:t>
      </w:r>
      <w:proofErr w:type="spellStart"/>
      <w:r w:rsidRPr="004E12B7">
        <w:rPr>
          <w:rFonts w:ascii="Arial" w:hAnsi="Arial" w:cs="Arial"/>
          <w:i/>
          <w:lang w:val="en-GB"/>
        </w:rPr>
        <w:t>Solomons</w:t>
      </w:r>
      <w:proofErr w:type="spellEnd"/>
      <w:r w:rsidRPr="004E12B7">
        <w:rPr>
          <w:rFonts w:ascii="Arial" w:hAnsi="Arial" w:cs="Arial"/>
          <w:i/>
          <w:lang w:val="en-GB"/>
        </w:rPr>
        <w:t xml:space="preserve"> v. Ross</w:t>
      </w:r>
      <w:r>
        <w:rPr>
          <w:rFonts w:ascii="Arial" w:hAnsi="Arial" w:cs="Arial"/>
          <w:lang w:val="en-GB"/>
        </w:rPr>
        <w:t>, have been used by</w:t>
      </w:r>
      <w:r w:rsidR="00A2631F">
        <w:rPr>
          <w:rFonts w:ascii="Arial" w:hAnsi="Arial" w:cs="Arial"/>
          <w:lang w:val="en-GB"/>
        </w:rPr>
        <w:t xml:space="preserve"> judges in</w:t>
      </w:r>
      <w:r>
        <w:rPr>
          <w:rFonts w:ascii="Arial" w:hAnsi="Arial" w:cs="Arial"/>
          <w:lang w:val="en-GB"/>
        </w:rPr>
        <w:t xml:space="preserve"> su</w:t>
      </w:r>
      <w:r w:rsidR="00A2631F">
        <w:rPr>
          <w:rFonts w:ascii="Arial" w:hAnsi="Arial" w:cs="Arial"/>
          <w:lang w:val="en-GB"/>
        </w:rPr>
        <w:t>bsequent cases</w:t>
      </w:r>
      <w:r>
        <w:rPr>
          <w:rFonts w:ascii="Arial" w:hAnsi="Arial" w:cs="Arial"/>
          <w:lang w:val="en-GB"/>
        </w:rPr>
        <w:t xml:space="preserve">. </w:t>
      </w:r>
    </w:p>
    <w:p w:rsidR="004E2C06" w:rsidRDefault="004E2C06" w:rsidP="00BB662F">
      <w:pPr>
        <w:spacing w:line="360" w:lineRule="auto"/>
        <w:jc w:val="both"/>
        <w:rPr>
          <w:rFonts w:ascii="Arial" w:hAnsi="Arial" w:cs="Arial"/>
          <w:color w:val="000000" w:themeColor="text1"/>
          <w:lang w:val="en-GB"/>
        </w:rPr>
      </w:pPr>
    </w:p>
    <w:p w:rsidR="00A610D8" w:rsidRDefault="00A610D8" w:rsidP="00BB662F">
      <w:pPr>
        <w:spacing w:line="360" w:lineRule="auto"/>
        <w:jc w:val="both"/>
        <w:rPr>
          <w:rFonts w:ascii="Arial" w:hAnsi="Arial" w:cs="Arial"/>
          <w:color w:val="000000" w:themeColor="text1"/>
          <w:lang w:val="en-GB"/>
        </w:rPr>
      </w:pPr>
    </w:p>
    <w:p w:rsidR="001320A9" w:rsidRDefault="001320A9" w:rsidP="00BB662F">
      <w:pPr>
        <w:spacing w:line="360" w:lineRule="auto"/>
        <w:jc w:val="both"/>
        <w:rPr>
          <w:rFonts w:ascii="Arial" w:hAnsi="Arial" w:cs="Arial"/>
          <w:color w:val="FF0000"/>
          <w:lang w:val="en-GB"/>
        </w:rPr>
      </w:pPr>
    </w:p>
    <w:p w:rsidR="00701B26" w:rsidRDefault="00701B26" w:rsidP="00BB662F">
      <w:pPr>
        <w:spacing w:line="360" w:lineRule="auto"/>
        <w:jc w:val="both"/>
        <w:rPr>
          <w:rFonts w:ascii="Arial" w:hAnsi="Arial" w:cs="Arial"/>
          <w:color w:val="FF0000"/>
          <w:lang w:val="en-GB"/>
        </w:rPr>
      </w:pPr>
    </w:p>
    <w:p w:rsidR="001320A9" w:rsidRDefault="001320A9" w:rsidP="00BB662F">
      <w:pPr>
        <w:spacing w:line="360" w:lineRule="auto"/>
        <w:jc w:val="both"/>
        <w:rPr>
          <w:rFonts w:ascii="Arial" w:hAnsi="Arial" w:cs="Arial"/>
          <w:color w:val="FF0000"/>
          <w:lang w:val="en-GB"/>
        </w:rPr>
      </w:pPr>
    </w:p>
    <w:p w:rsidR="001320A9" w:rsidRDefault="001320A9" w:rsidP="00BB662F">
      <w:pPr>
        <w:spacing w:line="360" w:lineRule="auto"/>
        <w:jc w:val="both"/>
        <w:rPr>
          <w:rFonts w:ascii="Arial" w:hAnsi="Arial" w:cs="Arial"/>
          <w:color w:val="FF0000"/>
          <w:lang w:val="en-GB"/>
        </w:rPr>
      </w:pPr>
    </w:p>
    <w:p w:rsidR="001320A9" w:rsidRDefault="001320A9" w:rsidP="00BB662F">
      <w:pPr>
        <w:spacing w:line="360" w:lineRule="auto"/>
        <w:jc w:val="both"/>
        <w:rPr>
          <w:rFonts w:ascii="Arial" w:hAnsi="Arial" w:cs="Arial"/>
          <w:color w:val="FF0000"/>
          <w:lang w:val="en-GB"/>
        </w:rPr>
      </w:pPr>
    </w:p>
    <w:p w:rsidR="001320A9" w:rsidRDefault="001320A9" w:rsidP="00BB662F">
      <w:pPr>
        <w:spacing w:line="360" w:lineRule="auto"/>
        <w:jc w:val="both"/>
        <w:rPr>
          <w:rFonts w:ascii="Arial" w:hAnsi="Arial" w:cs="Arial"/>
          <w:color w:val="FF0000"/>
          <w:lang w:val="en-GB"/>
        </w:rPr>
      </w:pPr>
    </w:p>
    <w:p w:rsidR="001320A9" w:rsidRDefault="001320A9" w:rsidP="00BB662F">
      <w:pPr>
        <w:spacing w:line="360" w:lineRule="auto"/>
        <w:jc w:val="both"/>
        <w:rPr>
          <w:rFonts w:ascii="Arial" w:hAnsi="Arial" w:cs="Arial"/>
          <w:color w:val="FF0000"/>
          <w:lang w:val="en-GB"/>
        </w:rPr>
      </w:pPr>
    </w:p>
    <w:p w:rsidR="00E169A3" w:rsidRDefault="00E169A3" w:rsidP="00BB662F">
      <w:pPr>
        <w:spacing w:line="360" w:lineRule="auto"/>
        <w:jc w:val="both"/>
        <w:rPr>
          <w:rFonts w:ascii="Arial" w:hAnsi="Arial" w:cs="Arial"/>
          <w:lang w:val="en-GB"/>
        </w:rPr>
      </w:pPr>
    </w:p>
    <w:p w:rsidR="00E169A3" w:rsidRDefault="00E169A3" w:rsidP="00BB662F">
      <w:pPr>
        <w:spacing w:line="360" w:lineRule="auto"/>
        <w:jc w:val="both"/>
        <w:rPr>
          <w:rFonts w:ascii="Arial" w:hAnsi="Arial" w:cs="Arial"/>
          <w:lang w:val="en-GB"/>
        </w:rPr>
      </w:pPr>
    </w:p>
    <w:p w:rsidR="00E169A3" w:rsidRDefault="00E169A3" w:rsidP="00BB662F">
      <w:pPr>
        <w:spacing w:line="360" w:lineRule="auto"/>
        <w:jc w:val="both"/>
        <w:rPr>
          <w:rFonts w:ascii="Arial" w:hAnsi="Arial" w:cs="Arial"/>
          <w:lang w:val="en-GB"/>
        </w:rPr>
      </w:pPr>
    </w:p>
    <w:p w:rsidR="00E169A3" w:rsidRDefault="00E169A3" w:rsidP="00BB662F">
      <w:pPr>
        <w:spacing w:line="360" w:lineRule="auto"/>
        <w:jc w:val="both"/>
        <w:rPr>
          <w:rFonts w:ascii="Arial" w:hAnsi="Arial" w:cs="Arial"/>
          <w:lang w:val="en-GB"/>
        </w:rPr>
      </w:pPr>
    </w:p>
    <w:p w:rsidR="00E169A3" w:rsidRDefault="00E169A3" w:rsidP="00BB662F">
      <w:pPr>
        <w:spacing w:line="360" w:lineRule="auto"/>
        <w:jc w:val="both"/>
        <w:rPr>
          <w:rFonts w:ascii="Arial" w:hAnsi="Arial" w:cs="Arial"/>
          <w:lang w:val="en-GB"/>
        </w:rPr>
      </w:pPr>
    </w:p>
    <w:p w:rsidR="00E169A3" w:rsidRDefault="00E169A3" w:rsidP="00BB662F">
      <w:pPr>
        <w:spacing w:line="360" w:lineRule="auto"/>
        <w:jc w:val="both"/>
        <w:rPr>
          <w:rFonts w:ascii="Arial" w:hAnsi="Arial" w:cs="Arial"/>
          <w:lang w:val="en-GB"/>
        </w:rPr>
      </w:pPr>
    </w:p>
    <w:p w:rsidR="00E169A3" w:rsidRDefault="00E169A3" w:rsidP="00BB662F">
      <w:pPr>
        <w:spacing w:line="360" w:lineRule="auto"/>
        <w:jc w:val="both"/>
        <w:rPr>
          <w:rFonts w:ascii="Arial" w:hAnsi="Arial" w:cs="Arial"/>
          <w:lang w:val="en-GB"/>
        </w:rPr>
      </w:pPr>
    </w:p>
    <w:p w:rsidR="00E169A3" w:rsidRDefault="00E169A3" w:rsidP="00BB662F">
      <w:pPr>
        <w:spacing w:line="360" w:lineRule="auto"/>
        <w:jc w:val="both"/>
        <w:rPr>
          <w:rFonts w:ascii="Arial" w:hAnsi="Arial" w:cs="Arial"/>
          <w:lang w:val="en-GB"/>
        </w:rPr>
      </w:pPr>
    </w:p>
    <w:p w:rsidR="00E169A3" w:rsidRDefault="00E169A3" w:rsidP="00BB662F">
      <w:pPr>
        <w:spacing w:line="360" w:lineRule="auto"/>
        <w:jc w:val="both"/>
        <w:rPr>
          <w:rFonts w:ascii="Arial" w:hAnsi="Arial" w:cs="Arial"/>
          <w:lang w:val="en-GB"/>
        </w:rPr>
      </w:pPr>
    </w:p>
    <w:p w:rsidR="00E169A3" w:rsidRDefault="00E169A3" w:rsidP="00BB662F">
      <w:pPr>
        <w:spacing w:line="360" w:lineRule="auto"/>
        <w:jc w:val="both"/>
        <w:rPr>
          <w:rFonts w:ascii="Arial" w:hAnsi="Arial" w:cs="Arial"/>
          <w:lang w:val="en-GB"/>
        </w:rPr>
      </w:pPr>
      <w:r>
        <w:rPr>
          <w:rFonts w:ascii="Arial" w:hAnsi="Arial" w:cs="Arial"/>
          <w:lang w:val="en-GB"/>
        </w:rPr>
        <w:br w:type="page"/>
      </w:r>
    </w:p>
    <w:p w:rsidR="00E169A3" w:rsidRDefault="00E169A3" w:rsidP="00BB662F">
      <w:pPr>
        <w:spacing w:line="360" w:lineRule="auto"/>
        <w:jc w:val="both"/>
        <w:rPr>
          <w:rFonts w:ascii="Arial" w:hAnsi="Arial" w:cs="Arial"/>
          <w:lang w:val="en-GB"/>
        </w:rPr>
      </w:pPr>
    </w:p>
    <w:p w:rsidR="00E169A3" w:rsidRPr="00E169A3" w:rsidRDefault="00E169A3" w:rsidP="00BB662F">
      <w:pPr>
        <w:spacing w:line="360" w:lineRule="auto"/>
        <w:jc w:val="both"/>
        <w:rPr>
          <w:rFonts w:ascii="Arial" w:hAnsi="Arial" w:cs="Arial"/>
          <w:u w:val="single"/>
          <w:lang w:val="en-GB"/>
        </w:rPr>
      </w:pPr>
      <w:r w:rsidRPr="00E169A3">
        <w:rPr>
          <w:rFonts w:ascii="Arial" w:hAnsi="Arial" w:cs="Arial"/>
          <w:u w:val="single"/>
          <w:lang w:val="en-GB"/>
        </w:rPr>
        <w:t xml:space="preserve">Later Judicial </w:t>
      </w:r>
      <w:r w:rsidR="00BC1C86">
        <w:rPr>
          <w:rFonts w:ascii="Arial" w:hAnsi="Arial" w:cs="Arial"/>
          <w:u w:val="single"/>
          <w:lang w:val="en-GB"/>
        </w:rPr>
        <w:t xml:space="preserve">and Academic </w:t>
      </w:r>
      <w:r w:rsidRPr="00E169A3">
        <w:rPr>
          <w:rFonts w:ascii="Arial" w:hAnsi="Arial" w:cs="Arial"/>
          <w:u w:val="single"/>
          <w:lang w:val="en-GB"/>
        </w:rPr>
        <w:t xml:space="preserve">Treatment of </w:t>
      </w:r>
      <w:proofErr w:type="spellStart"/>
      <w:r w:rsidRPr="00BC1C86">
        <w:rPr>
          <w:rFonts w:ascii="Arial" w:hAnsi="Arial" w:cs="Arial"/>
          <w:i/>
          <w:u w:val="single"/>
          <w:lang w:val="en-GB"/>
        </w:rPr>
        <w:t>Solomons</w:t>
      </w:r>
      <w:proofErr w:type="spellEnd"/>
      <w:r w:rsidRPr="00BC1C86">
        <w:rPr>
          <w:rFonts w:ascii="Arial" w:hAnsi="Arial" w:cs="Arial"/>
          <w:i/>
          <w:u w:val="single"/>
          <w:lang w:val="en-GB"/>
        </w:rPr>
        <w:t xml:space="preserve"> v. Ross</w:t>
      </w:r>
      <w:r w:rsidRPr="00E169A3">
        <w:rPr>
          <w:rFonts w:ascii="Arial" w:hAnsi="Arial" w:cs="Arial"/>
          <w:u w:val="single"/>
          <w:lang w:val="en-GB"/>
        </w:rPr>
        <w:t xml:space="preserve"> – accurate?</w:t>
      </w:r>
      <w:r w:rsidR="00A846C6">
        <w:rPr>
          <w:rStyle w:val="FootnoteReference"/>
          <w:rFonts w:ascii="Arial" w:hAnsi="Arial" w:cs="Arial"/>
          <w:u w:val="single"/>
          <w:lang w:val="en-GB"/>
        </w:rPr>
        <w:footnoteReference w:id="98"/>
      </w:r>
      <w:r w:rsidRPr="00E169A3">
        <w:rPr>
          <w:rFonts w:ascii="Arial" w:hAnsi="Arial" w:cs="Arial"/>
          <w:u w:val="single"/>
          <w:lang w:val="en-GB"/>
        </w:rPr>
        <w:t xml:space="preserve"> </w:t>
      </w:r>
    </w:p>
    <w:p w:rsidR="00A10D96" w:rsidRDefault="00A10D96" w:rsidP="00BB662F">
      <w:pPr>
        <w:spacing w:line="360" w:lineRule="auto"/>
        <w:jc w:val="both"/>
        <w:rPr>
          <w:rFonts w:ascii="Arial" w:hAnsi="Arial" w:cs="Arial"/>
          <w:lang w:val="en-GB"/>
        </w:rPr>
      </w:pPr>
    </w:p>
    <w:p w:rsidR="00BC1C86" w:rsidRDefault="00BC1C86" w:rsidP="00BB662F">
      <w:pPr>
        <w:spacing w:line="360" w:lineRule="auto"/>
        <w:jc w:val="both"/>
        <w:rPr>
          <w:rFonts w:ascii="Arial" w:hAnsi="Arial" w:cs="Arial"/>
          <w:u w:val="single"/>
          <w:lang w:val="en-GB"/>
        </w:rPr>
      </w:pPr>
      <w:r w:rsidRPr="00BC1C86">
        <w:rPr>
          <w:rFonts w:ascii="Arial" w:hAnsi="Arial" w:cs="Arial"/>
          <w:u w:val="single"/>
          <w:lang w:val="en-GB"/>
        </w:rPr>
        <w:t>Judicial</w:t>
      </w:r>
      <w:r>
        <w:rPr>
          <w:rFonts w:ascii="Arial" w:hAnsi="Arial" w:cs="Arial"/>
          <w:u w:val="single"/>
          <w:lang w:val="en-GB"/>
        </w:rPr>
        <w:t xml:space="preserve"> Treatment</w:t>
      </w:r>
    </w:p>
    <w:p w:rsidR="00BC1C86" w:rsidRDefault="00BC1C86" w:rsidP="00BB662F">
      <w:pPr>
        <w:spacing w:line="360" w:lineRule="auto"/>
        <w:jc w:val="both"/>
        <w:rPr>
          <w:rFonts w:ascii="Arial" w:hAnsi="Arial" w:cs="Arial"/>
          <w:u w:val="single"/>
          <w:lang w:val="en-GB"/>
        </w:rPr>
      </w:pPr>
    </w:p>
    <w:p w:rsidR="00577AE7" w:rsidRDefault="00577AE7" w:rsidP="00BB662F">
      <w:pPr>
        <w:spacing w:line="360" w:lineRule="auto"/>
        <w:jc w:val="both"/>
        <w:rPr>
          <w:rFonts w:ascii="Arial" w:hAnsi="Arial" w:cs="Arial"/>
          <w:lang w:val="en-GB"/>
        </w:rPr>
      </w:pPr>
      <w:proofErr w:type="spellStart"/>
      <w:r w:rsidRPr="00577AE7">
        <w:rPr>
          <w:rFonts w:ascii="Arial" w:hAnsi="Arial" w:cs="Arial"/>
          <w:i/>
          <w:lang w:val="en-GB"/>
        </w:rPr>
        <w:t>Solomons</w:t>
      </w:r>
      <w:proofErr w:type="spellEnd"/>
      <w:r w:rsidRPr="00577AE7">
        <w:rPr>
          <w:rFonts w:ascii="Arial" w:hAnsi="Arial" w:cs="Arial"/>
          <w:i/>
          <w:lang w:val="en-GB"/>
        </w:rPr>
        <w:t xml:space="preserve"> v. Ross</w:t>
      </w:r>
      <w:r>
        <w:rPr>
          <w:rFonts w:ascii="Arial" w:hAnsi="Arial" w:cs="Arial"/>
          <w:lang w:val="en-GB"/>
        </w:rPr>
        <w:t xml:space="preserve"> continues to survive in the English Reports, and therefore their derived nominate reports in a surprisingly abundant </w:t>
      </w:r>
      <w:r w:rsidR="009300E3">
        <w:rPr>
          <w:rFonts w:ascii="Arial" w:hAnsi="Arial" w:cs="Arial"/>
          <w:lang w:val="en-GB"/>
        </w:rPr>
        <w:t>form. There are at least ten</w:t>
      </w:r>
      <w:r>
        <w:rPr>
          <w:rFonts w:ascii="Arial" w:hAnsi="Arial" w:cs="Arial"/>
          <w:lang w:val="en-GB"/>
        </w:rPr>
        <w:t xml:space="preserve"> references to the case, albeit relatively cursory references.</w:t>
      </w:r>
      <w:r w:rsidR="0020360B">
        <w:rPr>
          <w:rStyle w:val="FootnoteReference"/>
          <w:rFonts w:ascii="Arial" w:hAnsi="Arial" w:cs="Arial"/>
          <w:lang w:val="en-GB"/>
        </w:rPr>
        <w:footnoteReference w:id="99"/>
      </w:r>
      <w:r>
        <w:rPr>
          <w:rFonts w:ascii="Arial" w:hAnsi="Arial" w:cs="Arial"/>
          <w:lang w:val="en-GB"/>
        </w:rPr>
        <w:t xml:space="preserve"> </w:t>
      </w:r>
    </w:p>
    <w:p w:rsidR="00577AE7" w:rsidRDefault="00577AE7" w:rsidP="00BB662F">
      <w:pPr>
        <w:spacing w:line="360" w:lineRule="auto"/>
        <w:jc w:val="both"/>
        <w:rPr>
          <w:rFonts w:ascii="Arial" w:hAnsi="Arial" w:cs="Arial"/>
          <w:lang w:val="en-GB"/>
        </w:rPr>
      </w:pPr>
    </w:p>
    <w:p w:rsidR="00D1339A" w:rsidRDefault="00BC1C86" w:rsidP="00BB662F">
      <w:pPr>
        <w:spacing w:line="360" w:lineRule="auto"/>
        <w:jc w:val="both"/>
        <w:rPr>
          <w:rFonts w:ascii="Arial" w:hAnsi="Arial" w:cs="Arial"/>
          <w:lang w:val="en-GB"/>
        </w:rPr>
      </w:pPr>
      <w:r w:rsidRPr="00BC1C86">
        <w:rPr>
          <w:rFonts w:ascii="Arial" w:hAnsi="Arial" w:cs="Arial"/>
          <w:lang w:val="en-GB"/>
        </w:rPr>
        <w:t xml:space="preserve">Perhaps the most </w:t>
      </w:r>
      <w:r w:rsidR="00E41A04" w:rsidRPr="00BC1C86">
        <w:rPr>
          <w:rFonts w:ascii="Arial" w:hAnsi="Arial" w:cs="Arial"/>
          <w:lang w:val="en-GB"/>
        </w:rPr>
        <w:t>startling</w:t>
      </w:r>
      <w:r w:rsidRPr="00BC1C86">
        <w:rPr>
          <w:rFonts w:ascii="Arial" w:hAnsi="Arial" w:cs="Arial"/>
          <w:lang w:val="en-GB"/>
        </w:rPr>
        <w:t xml:space="preserve"> use, or rather lack of use</w:t>
      </w:r>
      <w:r w:rsidR="002F5BA8">
        <w:rPr>
          <w:rFonts w:ascii="Arial" w:hAnsi="Arial" w:cs="Arial"/>
          <w:lang w:val="en-GB"/>
        </w:rPr>
        <w:t>,</w:t>
      </w:r>
      <w:r w:rsidR="00E41A04">
        <w:rPr>
          <w:rFonts w:ascii="Arial" w:hAnsi="Arial" w:cs="Arial"/>
          <w:lang w:val="en-GB"/>
        </w:rPr>
        <w:t xml:space="preserve"> of </w:t>
      </w:r>
      <w:proofErr w:type="spellStart"/>
      <w:r w:rsidR="00E41A04" w:rsidRPr="00E41A04">
        <w:rPr>
          <w:rFonts w:ascii="Arial" w:hAnsi="Arial" w:cs="Arial"/>
          <w:i/>
          <w:lang w:val="en-GB"/>
        </w:rPr>
        <w:t>Solomons</w:t>
      </w:r>
      <w:proofErr w:type="spellEnd"/>
      <w:r w:rsidR="00E41A04" w:rsidRPr="00E41A04">
        <w:rPr>
          <w:rFonts w:ascii="Arial" w:hAnsi="Arial" w:cs="Arial"/>
          <w:i/>
          <w:lang w:val="en-GB"/>
        </w:rPr>
        <w:t xml:space="preserve"> v. Ross</w:t>
      </w:r>
      <w:r w:rsidRPr="00BC1C86">
        <w:rPr>
          <w:rFonts w:ascii="Arial" w:hAnsi="Arial" w:cs="Arial"/>
          <w:lang w:val="en-GB"/>
        </w:rPr>
        <w:t>, features in the H</w:t>
      </w:r>
      <w:r w:rsidR="00EB09FE">
        <w:rPr>
          <w:rFonts w:ascii="Arial" w:hAnsi="Arial" w:cs="Arial"/>
          <w:lang w:val="en-GB"/>
        </w:rPr>
        <w:t>ouse of Lords 1910</w:t>
      </w:r>
      <w:r w:rsidRPr="00BC1C86">
        <w:rPr>
          <w:rFonts w:ascii="Arial" w:hAnsi="Arial" w:cs="Arial"/>
          <w:lang w:val="en-GB"/>
        </w:rPr>
        <w:t xml:space="preserve"> decision i</w:t>
      </w:r>
      <w:r w:rsidR="00EB09FE">
        <w:rPr>
          <w:rFonts w:ascii="Arial" w:hAnsi="Arial" w:cs="Arial"/>
          <w:lang w:val="en-GB"/>
        </w:rPr>
        <w:t xml:space="preserve">n </w:t>
      </w:r>
      <w:r w:rsidR="00EB09FE" w:rsidRPr="00722ACE">
        <w:rPr>
          <w:rFonts w:ascii="Arial" w:hAnsi="Arial" w:cs="Arial"/>
          <w:i/>
          <w:lang w:val="en-GB"/>
        </w:rPr>
        <w:t xml:space="preserve">Galbraith v. </w:t>
      </w:r>
      <w:proofErr w:type="spellStart"/>
      <w:r w:rsidR="00EB09FE" w:rsidRPr="00722ACE">
        <w:rPr>
          <w:rFonts w:ascii="Arial" w:hAnsi="Arial" w:cs="Arial"/>
          <w:i/>
          <w:lang w:val="en-GB"/>
        </w:rPr>
        <w:t>Grimshaw</w:t>
      </w:r>
      <w:proofErr w:type="spellEnd"/>
      <w:r w:rsidR="00EB09FE">
        <w:rPr>
          <w:rFonts w:ascii="Arial" w:hAnsi="Arial" w:cs="Arial"/>
          <w:lang w:val="en-GB"/>
        </w:rPr>
        <w:t>.</w:t>
      </w:r>
      <w:r w:rsidR="00EB09FE">
        <w:rPr>
          <w:rStyle w:val="FootnoteReference"/>
          <w:rFonts w:ascii="Arial" w:hAnsi="Arial" w:cs="Arial"/>
          <w:lang w:val="en-GB"/>
        </w:rPr>
        <w:footnoteReference w:id="100"/>
      </w:r>
      <w:r w:rsidR="00722ACE">
        <w:rPr>
          <w:rFonts w:ascii="Arial" w:hAnsi="Arial" w:cs="Arial"/>
          <w:lang w:val="en-GB"/>
        </w:rPr>
        <w:t xml:space="preserve"> Lor</w:t>
      </w:r>
      <w:r w:rsidR="00D1339A">
        <w:rPr>
          <w:rFonts w:ascii="Arial" w:hAnsi="Arial" w:cs="Arial"/>
          <w:lang w:val="en-GB"/>
        </w:rPr>
        <w:t xml:space="preserve">d </w:t>
      </w:r>
      <w:proofErr w:type="spellStart"/>
      <w:r w:rsidR="00D1339A">
        <w:rPr>
          <w:rFonts w:ascii="Arial" w:hAnsi="Arial" w:cs="Arial"/>
          <w:lang w:val="en-GB"/>
        </w:rPr>
        <w:t>Loreburn</w:t>
      </w:r>
      <w:proofErr w:type="spellEnd"/>
      <w:r w:rsidR="00D1339A">
        <w:rPr>
          <w:rFonts w:ascii="Arial" w:hAnsi="Arial" w:cs="Arial"/>
          <w:lang w:val="en-GB"/>
        </w:rPr>
        <w:t>, Lord Chancellor,</w:t>
      </w:r>
      <w:r w:rsidR="00722ACE" w:rsidRPr="00722ACE">
        <w:rPr>
          <w:rFonts w:ascii="Arial" w:hAnsi="Arial" w:cs="Arial"/>
          <w:color w:val="FF0000"/>
          <w:lang w:val="en-GB"/>
        </w:rPr>
        <w:t xml:space="preserve"> </w:t>
      </w:r>
      <w:r w:rsidR="00722ACE">
        <w:rPr>
          <w:rFonts w:ascii="Arial" w:hAnsi="Arial" w:cs="Arial"/>
          <w:lang w:val="en-GB"/>
        </w:rPr>
        <w:t>decline</w:t>
      </w:r>
      <w:r w:rsidR="00D1339A">
        <w:rPr>
          <w:rFonts w:ascii="Arial" w:hAnsi="Arial" w:cs="Arial"/>
          <w:lang w:val="en-GB"/>
        </w:rPr>
        <w:t xml:space="preserve">d to act on </w:t>
      </w:r>
      <w:proofErr w:type="spellStart"/>
      <w:r w:rsidR="00D1339A" w:rsidRPr="000028CF">
        <w:rPr>
          <w:rFonts w:ascii="Arial" w:hAnsi="Arial" w:cs="Arial"/>
          <w:i/>
          <w:lang w:val="en-GB"/>
        </w:rPr>
        <w:t>Solomons</w:t>
      </w:r>
      <w:proofErr w:type="spellEnd"/>
      <w:r w:rsidR="00D1339A" w:rsidRPr="000028CF">
        <w:rPr>
          <w:rFonts w:ascii="Arial" w:hAnsi="Arial" w:cs="Arial"/>
          <w:i/>
          <w:lang w:val="en-GB"/>
        </w:rPr>
        <w:t xml:space="preserve"> v. Ross</w:t>
      </w:r>
      <w:r w:rsidR="00D1339A">
        <w:rPr>
          <w:rFonts w:ascii="Arial" w:hAnsi="Arial" w:cs="Arial"/>
          <w:lang w:val="en-GB"/>
        </w:rPr>
        <w:t xml:space="preserve"> mainly due to the brevity of the</w:t>
      </w:r>
      <w:r w:rsidR="002F5BA8">
        <w:rPr>
          <w:rFonts w:ascii="Arial" w:hAnsi="Arial" w:cs="Arial"/>
          <w:lang w:val="en-GB"/>
        </w:rPr>
        <w:t xml:space="preserve"> report</w:t>
      </w:r>
      <w:r w:rsidR="00D1339A">
        <w:rPr>
          <w:rFonts w:ascii="Arial" w:hAnsi="Arial" w:cs="Arial"/>
          <w:lang w:val="en-GB"/>
        </w:rPr>
        <w:t xml:space="preserve"> of the case. </w:t>
      </w:r>
      <w:r w:rsidR="00145FAD">
        <w:rPr>
          <w:rFonts w:ascii="Arial" w:hAnsi="Arial" w:cs="Arial"/>
          <w:lang w:val="en-GB"/>
        </w:rPr>
        <w:t xml:space="preserve">At seven pages Galbraith isn’t a lengthy set of opinions in its own right. In relation to </w:t>
      </w:r>
      <w:proofErr w:type="spellStart"/>
      <w:r w:rsidR="00145FAD" w:rsidRPr="00145FAD">
        <w:rPr>
          <w:rFonts w:ascii="Arial" w:hAnsi="Arial" w:cs="Arial"/>
          <w:i/>
          <w:lang w:val="en-GB"/>
        </w:rPr>
        <w:t>Solomons</w:t>
      </w:r>
      <w:proofErr w:type="spellEnd"/>
      <w:r w:rsidR="00145FAD" w:rsidRPr="00145FAD">
        <w:rPr>
          <w:rFonts w:ascii="Arial" w:hAnsi="Arial" w:cs="Arial"/>
          <w:i/>
          <w:lang w:val="en-GB"/>
        </w:rPr>
        <w:t xml:space="preserve"> v. Ross</w:t>
      </w:r>
      <w:r w:rsidR="00145FAD">
        <w:rPr>
          <w:rFonts w:ascii="Arial" w:hAnsi="Arial" w:cs="Arial"/>
          <w:lang w:val="en-GB"/>
        </w:rPr>
        <w:t xml:space="preserve"> Lord </w:t>
      </w:r>
      <w:proofErr w:type="spellStart"/>
      <w:r w:rsidR="00145FAD">
        <w:rPr>
          <w:rFonts w:ascii="Arial" w:hAnsi="Arial" w:cs="Arial"/>
          <w:lang w:val="en-GB"/>
        </w:rPr>
        <w:t>Loreburn</w:t>
      </w:r>
      <w:proofErr w:type="spellEnd"/>
      <w:r w:rsidR="00145FAD">
        <w:rPr>
          <w:rFonts w:ascii="Arial" w:hAnsi="Arial" w:cs="Arial"/>
          <w:lang w:val="en-GB"/>
        </w:rPr>
        <w:t xml:space="preserve"> o</w:t>
      </w:r>
      <w:r w:rsidR="00D1339A">
        <w:rPr>
          <w:rFonts w:ascii="Arial" w:hAnsi="Arial" w:cs="Arial"/>
          <w:lang w:val="en-GB"/>
        </w:rPr>
        <w:t>bserved:</w:t>
      </w:r>
    </w:p>
    <w:p w:rsidR="00D1339A" w:rsidRDefault="00D1339A" w:rsidP="00BB662F">
      <w:pPr>
        <w:spacing w:line="360" w:lineRule="auto"/>
        <w:jc w:val="both"/>
        <w:rPr>
          <w:rFonts w:ascii="Arial" w:hAnsi="Arial" w:cs="Arial"/>
          <w:lang w:val="en-GB"/>
        </w:rPr>
      </w:pPr>
    </w:p>
    <w:p w:rsidR="00D1339A" w:rsidRPr="00B67B19" w:rsidRDefault="00D1339A" w:rsidP="00B67B19">
      <w:pPr>
        <w:ind w:left="720"/>
        <w:jc w:val="both"/>
        <w:rPr>
          <w:rFonts w:ascii="Arial" w:hAnsi="Arial" w:cs="Arial"/>
          <w:i/>
          <w:lang w:val="en-GB"/>
        </w:rPr>
      </w:pPr>
      <w:r w:rsidRPr="00B67B19">
        <w:rPr>
          <w:rFonts w:ascii="Arial" w:hAnsi="Arial" w:cs="Arial"/>
          <w:i/>
          <w:lang w:val="en-GB"/>
        </w:rPr>
        <w:t>“</w:t>
      </w:r>
      <w:r w:rsidR="000245E3" w:rsidRPr="00B67B19">
        <w:rPr>
          <w:rFonts w:ascii="Arial" w:hAnsi="Arial" w:cs="Arial"/>
          <w:i/>
          <w:lang w:val="en-GB"/>
        </w:rPr>
        <w:t>…And I am not prepared to accept and act upon the case [</w:t>
      </w:r>
      <w:proofErr w:type="spellStart"/>
      <w:r w:rsidR="000245E3" w:rsidRPr="00B67B19">
        <w:rPr>
          <w:rFonts w:ascii="Arial" w:hAnsi="Arial" w:cs="Arial"/>
          <w:i/>
          <w:lang w:val="en-GB"/>
        </w:rPr>
        <w:t>Solomons</w:t>
      </w:r>
      <w:proofErr w:type="spellEnd"/>
      <w:r w:rsidR="000245E3" w:rsidRPr="00B67B19">
        <w:rPr>
          <w:rFonts w:ascii="Arial" w:hAnsi="Arial" w:cs="Arial"/>
          <w:i/>
          <w:lang w:val="en-GB"/>
        </w:rPr>
        <w:t xml:space="preserve"> v. Ross (1764) 1 H.Bl.131,n.] which is scantily reported in the volume of Blackstone’s Reports to which we have </w:t>
      </w:r>
      <w:r w:rsidR="002F5BA8">
        <w:rPr>
          <w:rFonts w:ascii="Arial" w:hAnsi="Arial" w:cs="Arial"/>
          <w:i/>
          <w:lang w:val="en-GB"/>
        </w:rPr>
        <w:t>been referred. I am not</w:t>
      </w:r>
      <w:r w:rsidR="000245E3" w:rsidRPr="00B67B19">
        <w:rPr>
          <w:rFonts w:ascii="Arial" w:hAnsi="Arial" w:cs="Arial"/>
          <w:i/>
          <w:lang w:val="en-GB"/>
        </w:rPr>
        <w:t xml:space="preserve"> prepared to accept that case as an authority against the rule which I have referred to.”</w:t>
      </w:r>
      <w:r w:rsidR="000245E3" w:rsidRPr="002F5BA8">
        <w:rPr>
          <w:rStyle w:val="FootnoteReference"/>
          <w:rFonts w:ascii="Arial" w:hAnsi="Arial" w:cs="Arial"/>
          <w:lang w:val="en-GB"/>
        </w:rPr>
        <w:footnoteReference w:id="101"/>
      </w:r>
    </w:p>
    <w:p w:rsidR="00BC1C86" w:rsidRDefault="00BC1C86" w:rsidP="00BB662F">
      <w:pPr>
        <w:spacing w:line="360" w:lineRule="auto"/>
        <w:jc w:val="both"/>
        <w:rPr>
          <w:rFonts w:ascii="Arial" w:hAnsi="Arial" w:cs="Arial"/>
          <w:u w:val="single"/>
          <w:lang w:val="en-GB"/>
        </w:rPr>
      </w:pPr>
    </w:p>
    <w:p w:rsidR="00DA4D1F" w:rsidRDefault="00B67B19" w:rsidP="00BB662F">
      <w:pPr>
        <w:spacing w:line="360" w:lineRule="auto"/>
        <w:jc w:val="both"/>
        <w:rPr>
          <w:rFonts w:ascii="Arial" w:hAnsi="Arial" w:cs="Arial"/>
          <w:lang w:val="en-GB"/>
        </w:rPr>
      </w:pPr>
      <w:r w:rsidRPr="00B67B19">
        <w:rPr>
          <w:rFonts w:ascii="Arial" w:hAnsi="Arial" w:cs="Arial"/>
          <w:lang w:val="en-GB"/>
        </w:rPr>
        <w:t xml:space="preserve">This is a severe break in the continuity of the golden thread. If it is not a complete rupture it is certainly a </w:t>
      </w:r>
      <w:r w:rsidR="00E951FE">
        <w:rPr>
          <w:rFonts w:ascii="Arial" w:hAnsi="Arial" w:cs="Arial"/>
          <w:lang w:val="en-GB"/>
        </w:rPr>
        <w:t xml:space="preserve">heavy </w:t>
      </w:r>
      <w:r w:rsidRPr="00B67B19">
        <w:rPr>
          <w:rFonts w:ascii="Arial" w:hAnsi="Arial" w:cs="Arial"/>
          <w:lang w:val="en-GB"/>
        </w:rPr>
        <w:t xml:space="preserve">snag. </w:t>
      </w:r>
      <w:r w:rsidR="00E951FE">
        <w:rPr>
          <w:rFonts w:ascii="Arial" w:hAnsi="Arial" w:cs="Arial"/>
          <w:lang w:val="en-GB"/>
        </w:rPr>
        <w:t xml:space="preserve">Lord </w:t>
      </w:r>
      <w:proofErr w:type="spellStart"/>
      <w:r w:rsidR="00E951FE">
        <w:rPr>
          <w:rFonts w:ascii="Arial" w:hAnsi="Arial" w:cs="Arial"/>
          <w:lang w:val="en-GB"/>
        </w:rPr>
        <w:t>Loreburn</w:t>
      </w:r>
      <w:proofErr w:type="spellEnd"/>
      <w:r w:rsidR="00E951FE">
        <w:rPr>
          <w:rFonts w:ascii="Arial" w:hAnsi="Arial" w:cs="Arial"/>
          <w:lang w:val="en-GB"/>
        </w:rPr>
        <w:t xml:space="preserve"> was a noted authority on company law, as was Lord </w:t>
      </w:r>
      <w:proofErr w:type="spellStart"/>
      <w:r w:rsidR="00E951FE">
        <w:rPr>
          <w:rFonts w:ascii="Arial" w:hAnsi="Arial" w:cs="Arial"/>
          <w:lang w:val="en-GB"/>
        </w:rPr>
        <w:t>Macnaugh</w:t>
      </w:r>
      <w:r w:rsidR="00DE47EF">
        <w:rPr>
          <w:rFonts w:ascii="Arial" w:hAnsi="Arial" w:cs="Arial"/>
          <w:lang w:val="en-GB"/>
        </w:rPr>
        <w:t>ten</w:t>
      </w:r>
      <w:proofErr w:type="spellEnd"/>
      <w:r w:rsidR="00DE47EF">
        <w:rPr>
          <w:rFonts w:ascii="Arial" w:hAnsi="Arial" w:cs="Arial"/>
          <w:lang w:val="en-GB"/>
        </w:rPr>
        <w:t xml:space="preserve"> of Salomon fame. He also sat</w:t>
      </w:r>
      <w:r w:rsidR="00E951FE">
        <w:rPr>
          <w:rFonts w:ascii="Arial" w:hAnsi="Arial" w:cs="Arial"/>
          <w:lang w:val="en-GB"/>
        </w:rPr>
        <w:t xml:space="preserve"> in the </w:t>
      </w:r>
      <w:r w:rsidR="00E951FE" w:rsidRPr="00DE47EF">
        <w:rPr>
          <w:rFonts w:ascii="Arial" w:hAnsi="Arial" w:cs="Arial"/>
          <w:i/>
          <w:lang w:val="en-GB"/>
        </w:rPr>
        <w:t>Galbraith</w:t>
      </w:r>
      <w:r w:rsidR="00E951FE">
        <w:rPr>
          <w:rFonts w:ascii="Arial" w:hAnsi="Arial" w:cs="Arial"/>
          <w:lang w:val="en-GB"/>
        </w:rPr>
        <w:t xml:space="preserve"> case.</w:t>
      </w:r>
      <w:r w:rsidR="00DA4D1F">
        <w:rPr>
          <w:rFonts w:ascii="Arial" w:hAnsi="Arial" w:cs="Arial"/>
          <w:lang w:val="en-GB"/>
        </w:rPr>
        <w:t xml:space="preserve"> However its effect on </w:t>
      </w:r>
      <w:proofErr w:type="spellStart"/>
      <w:r w:rsidR="00DA4D1F">
        <w:rPr>
          <w:rFonts w:ascii="Arial" w:hAnsi="Arial" w:cs="Arial"/>
          <w:lang w:val="en-GB"/>
        </w:rPr>
        <w:t>Solomons</w:t>
      </w:r>
      <w:proofErr w:type="spellEnd"/>
      <w:r w:rsidR="00DA4D1F">
        <w:rPr>
          <w:rFonts w:ascii="Arial" w:hAnsi="Arial" w:cs="Arial"/>
          <w:lang w:val="en-GB"/>
        </w:rPr>
        <w:t xml:space="preserve"> v. Ross is considered at the very least it must be seen as</w:t>
      </w:r>
      <w:r w:rsidR="00685811">
        <w:rPr>
          <w:rFonts w:ascii="Arial" w:hAnsi="Arial" w:cs="Arial"/>
          <w:lang w:val="en-GB"/>
        </w:rPr>
        <w:t xml:space="preserve"> blocking the effect of </w:t>
      </w:r>
      <w:proofErr w:type="spellStart"/>
      <w:r w:rsidR="00685811">
        <w:rPr>
          <w:rFonts w:ascii="Arial" w:hAnsi="Arial" w:cs="Arial"/>
          <w:lang w:val="en-GB"/>
        </w:rPr>
        <w:t>Solomons</w:t>
      </w:r>
      <w:proofErr w:type="spellEnd"/>
      <w:r w:rsidR="00685811">
        <w:rPr>
          <w:rFonts w:ascii="Arial" w:hAnsi="Arial" w:cs="Arial"/>
          <w:lang w:val="en-GB"/>
        </w:rPr>
        <w:t xml:space="preserve"> v. Ross where there is an attachment.</w:t>
      </w:r>
      <w:r w:rsidR="00685811">
        <w:rPr>
          <w:rStyle w:val="FootnoteReference"/>
          <w:rFonts w:ascii="Arial" w:hAnsi="Arial" w:cs="Arial"/>
          <w:lang w:val="en-GB"/>
        </w:rPr>
        <w:footnoteReference w:id="102"/>
      </w:r>
      <w:r w:rsidR="00DA4D1F">
        <w:rPr>
          <w:rFonts w:ascii="Arial" w:hAnsi="Arial" w:cs="Arial"/>
          <w:lang w:val="en-GB"/>
        </w:rPr>
        <w:t xml:space="preserve"> </w:t>
      </w:r>
    </w:p>
    <w:p w:rsidR="00DA4D1F" w:rsidRDefault="00DA4D1F" w:rsidP="00BB662F">
      <w:pPr>
        <w:spacing w:line="360" w:lineRule="auto"/>
        <w:jc w:val="both"/>
        <w:rPr>
          <w:rFonts w:ascii="Arial" w:hAnsi="Arial" w:cs="Arial"/>
          <w:lang w:val="en-GB"/>
        </w:rPr>
      </w:pPr>
    </w:p>
    <w:p w:rsidR="004C5B47" w:rsidRDefault="00DA4D1F" w:rsidP="00BB662F">
      <w:pPr>
        <w:spacing w:line="360" w:lineRule="auto"/>
        <w:jc w:val="both"/>
        <w:rPr>
          <w:rFonts w:ascii="Arial" w:hAnsi="Arial" w:cs="Arial"/>
          <w:lang w:val="en-GB"/>
        </w:rPr>
      </w:pPr>
      <w:r>
        <w:rPr>
          <w:rFonts w:ascii="Arial" w:hAnsi="Arial" w:cs="Arial"/>
          <w:lang w:val="en-GB"/>
        </w:rPr>
        <w:t>This “G</w:t>
      </w:r>
      <w:r w:rsidR="004C5B47">
        <w:rPr>
          <w:rFonts w:ascii="Arial" w:hAnsi="Arial" w:cs="Arial"/>
          <w:lang w:val="en-GB"/>
        </w:rPr>
        <w:t>albraith Disruption” is not frequently</w:t>
      </w:r>
      <w:r>
        <w:rPr>
          <w:rFonts w:ascii="Arial" w:hAnsi="Arial" w:cs="Arial"/>
          <w:lang w:val="en-GB"/>
        </w:rPr>
        <w:t xml:space="preserve"> discussed.</w:t>
      </w:r>
      <w:r w:rsidR="004C5B47">
        <w:rPr>
          <w:rFonts w:ascii="Arial" w:hAnsi="Arial" w:cs="Arial"/>
          <w:lang w:val="en-GB"/>
        </w:rPr>
        <w:t xml:space="preserve"> </w:t>
      </w:r>
      <w:proofErr w:type="spellStart"/>
      <w:r w:rsidR="004C5B47">
        <w:rPr>
          <w:rFonts w:ascii="Arial" w:hAnsi="Arial" w:cs="Arial"/>
          <w:lang w:val="en-GB"/>
        </w:rPr>
        <w:t>Blom</w:t>
      </w:r>
      <w:proofErr w:type="spellEnd"/>
      <w:r w:rsidR="004C5B47">
        <w:rPr>
          <w:rFonts w:ascii="Arial" w:hAnsi="Arial" w:cs="Arial"/>
          <w:lang w:val="en-GB"/>
        </w:rPr>
        <w:t>-Cooper has observed that, “had this report been available to the court in Galbraith v. Galbraith it is probable that greater value would have been accorded the decision even had it been it been finally rejected as a legal proposition.”</w:t>
      </w:r>
      <w:r w:rsidR="00937C23">
        <w:rPr>
          <w:rStyle w:val="FootnoteReference"/>
          <w:rFonts w:ascii="Arial" w:hAnsi="Arial" w:cs="Arial"/>
          <w:lang w:val="en-GB"/>
        </w:rPr>
        <w:footnoteReference w:id="103"/>
      </w:r>
    </w:p>
    <w:p w:rsidR="004C5B47" w:rsidRDefault="004C5B47" w:rsidP="00BB662F">
      <w:pPr>
        <w:spacing w:line="360" w:lineRule="auto"/>
        <w:jc w:val="both"/>
        <w:rPr>
          <w:rFonts w:ascii="Arial" w:hAnsi="Arial" w:cs="Arial"/>
          <w:lang w:val="en-GB"/>
        </w:rPr>
      </w:pPr>
    </w:p>
    <w:p w:rsidR="00B67B19" w:rsidRPr="00B67B19" w:rsidRDefault="00DA4D1F" w:rsidP="00BB662F">
      <w:pPr>
        <w:spacing w:line="360" w:lineRule="auto"/>
        <w:jc w:val="both"/>
        <w:rPr>
          <w:rFonts w:ascii="Arial" w:hAnsi="Arial" w:cs="Arial"/>
          <w:lang w:val="en-GB"/>
        </w:rPr>
      </w:pPr>
      <w:proofErr w:type="spellStart"/>
      <w:r w:rsidRPr="00DA4D1F">
        <w:rPr>
          <w:rFonts w:ascii="Arial" w:hAnsi="Arial" w:cs="Arial"/>
          <w:i/>
          <w:lang w:val="en-GB"/>
        </w:rPr>
        <w:t>Solomons</w:t>
      </w:r>
      <w:proofErr w:type="spellEnd"/>
      <w:r w:rsidRPr="00DA4D1F">
        <w:rPr>
          <w:rFonts w:ascii="Arial" w:hAnsi="Arial" w:cs="Arial"/>
          <w:i/>
          <w:lang w:val="en-GB"/>
        </w:rPr>
        <w:t xml:space="preserve"> v. Ross</w:t>
      </w:r>
      <w:r>
        <w:rPr>
          <w:rFonts w:ascii="Arial" w:hAnsi="Arial" w:cs="Arial"/>
          <w:lang w:val="en-GB"/>
        </w:rPr>
        <w:t xml:space="preserve"> seems to escape the binding shackles of the case and continue to be lauded by many as the genesis. It is to one of those laudatory judgments that we can now turn. </w:t>
      </w:r>
      <w:r w:rsidR="00E951FE">
        <w:rPr>
          <w:rFonts w:ascii="Arial" w:hAnsi="Arial" w:cs="Arial"/>
          <w:lang w:val="en-GB"/>
        </w:rPr>
        <w:t xml:space="preserve"> </w:t>
      </w:r>
    </w:p>
    <w:p w:rsidR="00B67B19" w:rsidRDefault="00B67B19" w:rsidP="00BB662F">
      <w:pPr>
        <w:spacing w:line="360" w:lineRule="auto"/>
        <w:jc w:val="both"/>
        <w:rPr>
          <w:rFonts w:ascii="Arial" w:hAnsi="Arial" w:cs="Arial"/>
          <w:u w:val="single"/>
          <w:lang w:val="en-GB"/>
        </w:rPr>
      </w:pPr>
    </w:p>
    <w:p w:rsidR="00BC1C86" w:rsidRDefault="00BC1C86" w:rsidP="00BB662F">
      <w:pPr>
        <w:spacing w:line="360" w:lineRule="auto"/>
        <w:jc w:val="both"/>
        <w:rPr>
          <w:rFonts w:ascii="Arial" w:hAnsi="Arial" w:cs="Arial"/>
          <w:u w:val="single"/>
          <w:lang w:val="en-GB"/>
        </w:rPr>
      </w:pPr>
    </w:p>
    <w:p w:rsidR="00BC1C86" w:rsidRPr="000C49C4" w:rsidRDefault="00BC1C86" w:rsidP="00BB662F">
      <w:pPr>
        <w:spacing w:line="360" w:lineRule="auto"/>
        <w:jc w:val="both"/>
        <w:rPr>
          <w:rFonts w:ascii="Arial" w:hAnsi="Arial" w:cs="Arial"/>
          <w:i/>
          <w:u w:val="single"/>
          <w:lang w:val="en-GB"/>
        </w:rPr>
      </w:pPr>
      <w:r w:rsidRPr="000C49C4">
        <w:rPr>
          <w:rFonts w:ascii="Arial" w:hAnsi="Arial" w:cs="Arial"/>
          <w:i/>
          <w:u w:val="single"/>
          <w:lang w:val="en-GB"/>
        </w:rPr>
        <w:t xml:space="preserve">HIH </w:t>
      </w:r>
    </w:p>
    <w:p w:rsidR="00F8327F" w:rsidRDefault="00F8327F" w:rsidP="00BB662F">
      <w:pPr>
        <w:spacing w:line="360" w:lineRule="auto"/>
        <w:jc w:val="both"/>
        <w:rPr>
          <w:rFonts w:ascii="Arial" w:hAnsi="Arial" w:cs="Arial"/>
          <w:lang w:val="en-GB"/>
        </w:rPr>
      </w:pPr>
    </w:p>
    <w:p w:rsidR="000C49C4" w:rsidRDefault="000C49C4" w:rsidP="00BC1C86">
      <w:pPr>
        <w:spacing w:line="360" w:lineRule="auto"/>
        <w:jc w:val="both"/>
        <w:rPr>
          <w:rFonts w:ascii="Arial" w:hAnsi="Arial" w:cs="Arial"/>
          <w:lang w:val="en-GB"/>
        </w:rPr>
      </w:pPr>
      <w:r>
        <w:rPr>
          <w:rFonts w:ascii="Arial" w:hAnsi="Arial" w:cs="Arial"/>
          <w:lang w:val="en-GB"/>
        </w:rPr>
        <w:t xml:space="preserve">More recently Lord Hoffmann made great use of </w:t>
      </w:r>
      <w:proofErr w:type="spellStart"/>
      <w:r>
        <w:rPr>
          <w:rFonts w:ascii="Arial" w:hAnsi="Arial" w:cs="Arial"/>
          <w:lang w:val="en-GB"/>
        </w:rPr>
        <w:t>Solomons</w:t>
      </w:r>
      <w:proofErr w:type="spellEnd"/>
      <w:r>
        <w:rPr>
          <w:rFonts w:ascii="Arial" w:hAnsi="Arial" w:cs="Arial"/>
          <w:lang w:val="en-GB"/>
        </w:rPr>
        <w:t xml:space="preserve"> v. Ross in both </w:t>
      </w:r>
      <w:r w:rsidRPr="000C49C4">
        <w:rPr>
          <w:rFonts w:ascii="Arial" w:hAnsi="Arial" w:cs="Arial"/>
          <w:i/>
          <w:lang w:val="en-GB"/>
        </w:rPr>
        <w:t xml:space="preserve">Cambridge Transportation </w:t>
      </w:r>
      <w:r>
        <w:rPr>
          <w:rFonts w:ascii="Arial" w:hAnsi="Arial" w:cs="Arial"/>
          <w:lang w:val="en-GB"/>
        </w:rPr>
        <w:t xml:space="preserve">and </w:t>
      </w:r>
      <w:r w:rsidRPr="008E601B">
        <w:rPr>
          <w:rFonts w:ascii="Arial" w:hAnsi="Arial" w:cs="Arial"/>
          <w:i/>
          <w:lang w:val="en-GB"/>
        </w:rPr>
        <w:t>HIH</w:t>
      </w:r>
      <w:r>
        <w:rPr>
          <w:rFonts w:ascii="Arial" w:hAnsi="Arial" w:cs="Arial"/>
          <w:lang w:val="en-GB"/>
        </w:rPr>
        <w:t xml:space="preserve">. </w:t>
      </w:r>
    </w:p>
    <w:p w:rsidR="000C49C4" w:rsidRDefault="000C49C4" w:rsidP="00BC1C86">
      <w:pPr>
        <w:spacing w:line="360" w:lineRule="auto"/>
        <w:jc w:val="both"/>
        <w:rPr>
          <w:rFonts w:ascii="Arial" w:hAnsi="Arial" w:cs="Arial"/>
          <w:lang w:val="en-GB"/>
        </w:rPr>
      </w:pPr>
    </w:p>
    <w:p w:rsidR="00BC1C86" w:rsidRDefault="00BC1C86" w:rsidP="00BC1C86">
      <w:pPr>
        <w:spacing w:line="360" w:lineRule="auto"/>
        <w:jc w:val="both"/>
        <w:rPr>
          <w:rFonts w:ascii="Arial" w:hAnsi="Arial" w:cs="Arial"/>
          <w:lang w:val="en-GB"/>
        </w:rPr>
      </w:pPr>
      <w:r w:rsidRPr="00050EB1">
        <w:rPr>
          <w:rFonts w:ascii="Arial" w:hAnsi="Arial" w:cs="Arial"/>
          <w:lang w:val="en-GB"/>
        </w:rPr>
        <w:t>“The primary rule of private international law which seems to me applicable to this case is the principle of (modified) universalism, which has been the golden thread running through English cross-border insolvency law since the 18th century. That principle requires that English courts should, so far as is consistent with justice and UK public policy, co-operate with the courts in the country of the principal liquidation to ensure that all the company’s assets are distributed to its creditors under a single system of distribution.”</w:t>
      </w:r>
      <w:r>
        <w:rPr>
          <w:rStyle w:val="FootnoteReference"/>
          <w:rFonts w:ascii="Arial" w:hAnsi="Arial" w:cs="Arial"/>
          <w:lang w:val="en-GB"/>
        </w:rPr>
        <w:footnoteReference w:id="104"/>
      </w:r>
      <w:r w:rsidRPr="00050EB1">
        <w:rPr>
          <w:rFonts w:ascii="Arial" w:hAnsi="Arial" w:cs="Arial"/>
          <w:lang w:val="en-GB"/>
        </w:rPr>
        <w:t xml:space="preserve"> (Lord Hoffmann).</w:t>
      </w:r>
    </w:p>
    <w:p w:rsidR="00BC1C86" w:rsidRDefault="00BC1C86" w:rsidP="00BC1C86">
      <w:pPr>
        <w:spacing w:line="360" w:lineRule="auto"/>
        <w:jc w:val="both"/>
        <w:rPr>
          <w:rFonts w:ascii="Arial" w:hAnsi="Arial" w:cs="Arial"/>
          <w:lang w:val="en-GB"/>
        </w:rPr>
      </w:pPr>
    </w:p>
    <w:p w:rsidR="00BC1C86" w:rsidRDefault="00BC1C86" w:rsidP="00BB662F">
      <w:pPr>
        <w:spacing w:line="360" w:lineRule="auto"/>
        <w:jc w:val="both"/>
        <w:rPr>
          <w:rFonts w:ascii="Arial" w:hAnsi="Arial" w:cs="Arial"/>
          <w:lang w:val="en-GB"/>
        </w:rPr>
      </w:pPr>
    </w:p>
    <w:p w:rsidR="00BC1C86" w:rsidRDefault="00BC1C86" w:rsidP="00BB662F">
      <w:pPr>
        <w:spacing w:line="360" w:lineRule="auto"/>
        <w:jc w:val="both"/>
        <w:rPr>
          <w:rFonts w:ascii="Arial" w:hAnsi="Arial" w:cs="Arial"/>
          <w:lang w:val="en-GB"/>
        </w:rPr>
      </w:pPr>
    </w:p>
    <w:p w:rsidR="00F8327F" w:rsidRDefault="00F8327F" w:rsidP="00BB662F">
      <w:pPr>
        <w:spacing w:line="360" w:lineRule="auto"/>
        <w:jc w:val="both"/>
        <w:rPr>
          <w:rFonts w:ascii="Arial" w:hAnsi="Arial" w:cs="Arial"/>
          <w:lang w:val="en-GB"/>
        </w:rPr>
      </w:pPr>
      <w:r>
        <w:rPr>
          <w:rFonts w:ascii="Arial" w:hAnsi="Arial" w:cs="Arial"/>
          <w:lang w:val="en-GB"/>
        </w:rPr>
        <w:t>“</w:t>
      </w:r>
      <w:r w:rsidRPr="00F8327F">
        <w:rPr>
          <w:rFonts w:ascii="Arial" w:hAnsi="Arial" w:cs="Arial"/>
          <w:lang w:val="en-GB"/>
        </w:rPr>
        <w:t xml:space="preserve">For example, in </w:t>
      </w:r>
      <w:proofErr w:type="spellStart"/>
      <w:r w:rsidRPr="00F8327F">
        <w:rPr>
          <w:rFonts w:ascii="Arial" w:hAnsi="Arial" w:cs="Arial"/>
          <w:lang w:val="en-GB"/>
        </w:rPr>
        <w:t>Solomons</w:t>
      </w:r>
      <w:proofErr w:type="spellEnd"/>
      <w:r w:rsidRPr="00F8327F">
        <w:rPr>
          <w:rFonts w:ascii="Arial" w:hAnsi="Arial" w:cs="Arial"/>
          <w:lang w:val="en-GB"/>
        </w:rPr>
        <w:t xml:space="preserve"> v Ross (1764) 1 H </w:t>
      </w:r>
      <w:proofErr w:type="spellStart"/>
      <w:r w:rsidRPr="00F8327F">
        <w:rPr>
          <w:rFonts w:ascii="Arial" w:hAnsi="Arial" w:cs="Arial"/>
          <w:lang w:val="en-GB"/>
        </w:rPr>
        <w:t>Bl</w:t>
      </w:r>
      <w:proofErr w:type="spellEnd"/>
      <w:r w:rsidRPr="00F8327F">
        <w:rPr>
          <w:rFonts w:ascii="Arial" w:hAnsi="Arial" w:cs="Arial"/>
          <w:lang w:val="en-GB"/>
        </w:rPr>
        <w:t xml:space="preserve"> 131n a firm in Amsterdam was declared bankrupt and assignees were appointed. An English creditor brought garnishee proceedings in London to attach £1,200 owing to the Dutch firm but Bathurst J, sitting for the Lord Chancellor, decreed that the bankruptcy had vested all the firm's moveable assets, including debts owed by English debtors, in the Dutch assignees. </w:t>
      </w:r>
      <w:r w:rsidRPr="00F8327F">
        <w:rPr>
          <w:rFonts w:ascii="Arial" w:hAnsi="Arial" w:cs="Arial"/>
          <w:lang w:val="en-GB"/>
        </w:rPr>
        <w:lastRenderedPageBreak/>
        <w:t>The English creditor had to surrender the fruits of the garnishee proceedings and prove in the Dutch bankruptcy.</w:t>
      </w:r>
    </w:p>
    <w:p w:rsidR="00F8327F" w:rsidRDefault="00F8327F" w:rsidP="00BB662F">
      <w:pPr>
        <w:spacing w:line="360" w:lineRule="auto"/>
        <w:jc w:val="both"/>
        <w:rPr>
          <w:rFonts w:ascii="Arial" w:hAnsi="Arial" w:cs="Arial"/>
          <w:lang w:val="en-GB"/>
        </w:rPr>
      </w:pPr>
    </w:p>
    <w:p w:rsidR="00F8327F" w:rsidRDefault="00F8327F" w:rsidP="00BB662F">
      <w:pPr>
        <w:spacing w:line="360" w:lineRule="auto"/>
        <w:jc w:val="both"/>
        <w:rPr>
          <w:rFonts w:ascii="Arial" w:hAnsi="Arial" w:cs="Arial"/>
          <w:lang w:val="en-GB"/>
        </w:rPr>
      </w:pPr>
      <w:r w:rsidRPr="00F8327F">
        <w:rPr>
          <w:rFonts w:ascii="Arial" w:hAnsi="Arial" w:cs="Arial"/>
          <w:lang w:val="en-GB"/>
        </w:rPr>
        <w:t>17 This doctrine may owe something to the fact that 18th and 19th century Britain was an imperial power, trading and financing development all over the world. It was often the case that the principal creditors were in Britain but many of the debtor's assets were in foreign jurisdictions. Universality of bankruptcy protected the position of British creditors. Not all countries took the same view. Countries less engaged in international commerce and finance did not always see it as being in their interest to allow foreign creditors to share equally with domestic creditors. But universality of bankruptcy has long been an aspiration, if not always fully achieved, of United Kingdom law. And with increasing world trade and globalisation, many other countries have come round to the same view.</w:t>
      </w:r>
    </w:p>
    <w:p w:rsidR="000F079E" w:rsidRDefault="000F079E" w:rsidP="00BB662F">
      <w:pPr>
        <w:spacing w:line="360" w:lineRule="auto"/>
        <w:jc w:val="both"/>
        <w:rPr>
          <w:rFonts w:ascii="Arial" w:hAnsi="Arial" w:cs="Arial"/>
          <w:lang w:val="en-GB"/>
        </w:rPr>
      </w:pPr>
    </w:p>
    <w:p w:rsidR="000F079E" w:rsidRDefault="000F079E" w:rsidP="00BB662F">
      <w:pPr>
        <w:spacing w:line="360" w:lineRule="auto"/>
        <w:jc w:val="both"/>
        <w:rPr>
          <w:rFonts w:ascii="Arial" w:hAnsi="Arial" w:cs="Arial"/>
          <w:lang w:val="en-GB"/>
        </w:rPr>
      </w:pPr>
      <w:r>
        <w:rPr>
          <w:rFonts w:ascii="Arial" w:hAnsi="Arial" w:cs="Arial"/>
          <w:lang w:val="en-GB"/>
        </w:rPr>
        <w:t xml:space="preserve">(HIH or Cambridge per Hoffmann). </w:t>
      </w:r>
    </w:p>
    <w:p w:rsidR="00B333B3" w:rsidRDefault="00B333B3" w:rsidP="00BB662F">
      <w:pPr>
        <w:spacing w:line="360" w:lineRule="auto"/>
        <w:jc w:val="both"/>
        <w:rPr>
          <w:rFonts w:ascii="Arial" w:hAnsi="Arial" w:cs="Arial"/>
          <w:lang w:val="en-GB"/>
        </w:rPr>
      </w:pPr>
    </w:p>
    <w:p w:rsidR="00DC28CE" w:rsidRDefault="00DC28CE" w:rsidP="00BB662F">
      <w:pPr>
        <w:spacing w:line="360" w:lineRule="auto"/>
        <w:jc w:val="both"/>
        <w:rPr>
          <w:rFonts w:ascii="Arial" w:hAnsi="Arial" w:cs="Arial"/>
          <w:lang w:val="en-GB"/>
        </w:rPr>
      </w:pPr>
      <w:r>
        <w:rPr>
          <w:rFonts w:ascii="Arial" w:hAnsi="Arial" w:cs="Arial"/>
          <w:lang w:val="en-GB"/>
        </w:rPr>
        <w:br w:type="page"/>
      </w:r>
    </w:p>
    <w:p w:rsidR="00244FA0" w:rsidRPr="008E601B" w:rsidRDefault="00244FA0" w:rsidP="00BB662F">
      <w:pPr>
        <w:spacing w:line="360" w:lineRule="auto"/>
        <w:jc w:val="both"/>
        <w:rPr>
          <w:rFonts w:ascii="Arial" w:hAnsi="Arial" w:cs="Arial"/>
          <w:u w:val="single"/>
          <w:lang w:val="en-GB"/>
        </w:rPr>
      </w:pPr>
      <w:r w:rsidRPr="008E601B">
        <w:rPr>
          <w:rFonts w:ascii="Arial" w:hAnsi="Arial" w:cs="Arial"/>
          <w:u w:val="single"/>
          <w:lang w:val="en-GB"/>
        </w:rPr>
        <w:lastRenderedPageBreak/>
        <w:t xml:space="preserve">Academic Treatment </w:t>
      </w:r>
    </w:p>
    <w:p w:rsidR="00244FA0" w:rsidRDefault="00244FA0" w:rsidP="00BB662F">
      <w:pPr>
        <w:spacing w:line="360" w:lineRule="auto"/>
        <w:jc w:val="both"/>
        <w:rPr>
          <w:rFonts w:ascii="Arial" w:hAnsi="Arial" w:cs="Arial"/>
          <w:lang w:val="en-GB"/>
        </w:rPr>
      </w:pPr>
    </w:p>
    <w:p w:rsidR="004657FF" w:rsidRDefault="00B85808" w:rsidP="004657FF">
      <w:pPr>
        <w:spacing w:line="360" w:lineRule="auto"/>
        <w:jc w:val="both"/>
        <w:rPr>
          <w:rFonts w:ascii="Arial" w:hAnsi="Arial" w:cs="Arial"/>
          <w:lang w:val="en-GB"/>
        </w:rPr>
      </w:pPr>
      <w:r>
        <w:rPr>
          <w:rFonts w:ascii="Arial" w:hAnsi="Arial" w:cs="Arial"/>
          <w:lang w:val="en-GB"/>
        </w:rPr>
        <w:t xml:space="preserve">What do commentators say about </w:t>
      </w:r>
      <w:r w:rsidRPr="00B04683">
        <w:rPr>
          <w:rFonts w:ascii="Arial" w:hAnsi="Arial" w:cs="Arial"/>
          <w:i/>
          <w:lang w:val="en-GB"/>
        </w:rPr>
        <w:t>Solomon v. Ross</w:t>
      </w:r>
      <w:r>
        <w:rPr>
          <w:rFonts w:ascii="Arial" w:hAnsi="Arial" w:cs="Arial"/>
          <w:lang w:val="en-GB"/>
        </w:rPr>
        <w:t xml:space="preserve">? </w:t>
      </w:r>
      <w:r w:rsidR="00334FBF">
        <w:rPr>
          <w:rFonts w:ascii="Arial" w:hAnsi="Arial" w:cs="Arial"/>
          <w:lang w:val="en-GB"/>
        </w:rPr>
        <w:t xml:space="preserve">Is the text book treatment of </w:t>
      </w:r>
      <w:proofErr w:type="spellStart"/>
      <w:r w:rsidR="00334FBF" w:rsidRPr="00334FBF">
        <w:rPr>
          <w:rFonts w:ascii="Arial" w:hAnsi="Arial" w:cs="Arial"/>
          <w:i/>
          <w:lang w:val="en-GB"/>
        </w:rPr>
        <w:t>Solomons</w:t>
      </w:r>
      <w:proofErr w:type="spellEnd"/>
      <w:r w:rsidR="00334FBF" w:rsidRPr="00334FBF">
        <w:rPr>
          <w:rFonts w:ascii="Arial" w:hAnsi="Arial" w:cs="Arial"/>
          <w:i/>
          <w:lang w:val="en-GB"/>
        </w:rPr>
        <w:t xml:space="preserve"> v. Ross</w:t>
      </w:r>
      <w:r w:rsidR="00334FBF">
        <w:rPr>
          <w:rFonts w:ascii="Arial" w:hAnsi="Arial" w:cs="Arial"/>
          <w:lang w:val="en-GB"/>
        </w:rPr>
        <w:t xml:space="preserve"> accurate? </w:t>
      </w:r>
      <w:r>
        <w:rPr>
          <w:rFonts w:ascii="Arial" w:hAnsi="Arial" w:cs="Arial"/>
          <w:lang w:val="en-GB"/>
        </w:rPr>
        <w:t>For the mo</w:t>
      </w:r>
      <w:r w:rsidR="00BC1C86">
        <w:rPr>
          <w:rFonts w:ascii="Arial" w:hAnsi="Arial" w:cs="Arial"/>
          <w:lang w:val="en-GB"/>
        </w:rPr>
        <w:t xml:space="preserve">st part comment </w:t>
      </w:r>
      <w:r w:rsidR="00211064">
        <w:rPr>
          <w:rFonts w:ascii="Arial" w:hAnsi="Arial" w:cs="Arial"/>
          <w:lang w:val="en-GB"/>
        </w:rPr>
        <w:t>is positive, if the case is</w:t>
      </w:r>
      <w:r w:rsidR="00BC1C86">
        <w:rPr>
          <w:rFonts w:ascii="Arial" w:hAnsi="Arial" w:cs="Arial"/>
          <w:lang w:val="en-GB"/>
        </w:rPr>
        <w:t xml:space="preserve"> mentioned.</w:t>
      </w:r>
      <w:r w:rsidR="00BC1C86">
        <w:rPr>
          <w:rStyle w:val="FootnoteReference"/>
          <w:rFonts w:ascii="Arial" w:hAnsi="Arial" w:cs="Arial"/>
          <w:lang w:val="en-GB"/>
        </w:rPr>
        <w:footnoteReference w:id="105"/>
      </w:r>
      <w:r w:rsidR="004657FF">
        <w:rPr>
          <w:rFonts w:ascii="Arial" w:hAnsi="Arial" w:cs="Arial"/>
          <w:lang w:val="en-GB"/>
        </w:rPr>
        <w:t xml:space="preserve"> The case has been cited by a number of commentators</w:t>
      </w:r>
      <w:r w:rsidR="00DA4B8D">
        <w:rPr>
          <w:rFonts w:ascii="Arial" w:hAnsi="Arial" w:cs="Arial"/>
          <w:lang w:val="en-GB"/>
        </w:rPr>
        <w:t xml:space="preserve"> in modern scholarship</w:t>
      </w:r>
      <w:r w:rsidR="004657FF">
        <w:rPr>
          <w:rFonts w:ascii="Arial" w:hAnsi="Arial" w:cs="Arial"/>
          <w:lang w:val="en-GB"/>
        </w:rPr>
        <w:t xml:space="preserve"> for the proposition that assets can be remitted to a foreign liquidator.</w:t>
      </w:r>
      <w:r w:rsidR="004657FF">
        <w:rPr>
          <w:rStyle w:val="FootnoteReference"/>
          <w:rFonts w:ascii="Arial" w:hAnsi="Arial" w:cs="Arial"/>
          <w:lang w:val="en-GB"/>
        </w:rPr>
        <w:footnoteReference w:id="106"/>
      </w:r>
      <w:r w:rsidR="00020606">
        <w:rPr>
          <w:rFonts w:ascii="Arial" w:hAnsi="Arial" w:cs="Arial"/>
          <w:lang w:val="en-GB"/>
        </w:rPr>
        <w:t xml:space="preserve"> </w:t>
      </w:r>
    </w:p>
    <w:p w:rsidR="00020606" w:rsidRDefault="00020606" w:rsidP="004657FF">
      <w:pPr>
        <w:spacing w:line="360" w:lineRule="auto"/>
        <w:jc w:val="both"/>
        <w:rPr>
          <w:rFonts w:ascii="Arial" w:hAnsi="Arial" w:cs="Arial"/>
          <w:lang w:val="en-GB"/>
        </w:rPr>
      </w:pPr>
    </w:p>
    <w:p w:rsidR="00020606" w:rsidRDefault="00DA4B8D" w:rsidP="004657FF">
      <w:pPr>
        <w:spacing w:line="360" w:lineRule="auto"/>
        <w:jc w:val="both"/>
        <w:rPr>
          <w:rFonts w:ascii="Arial" w:hAnsi="Arial" w:cs="Arial"/>
          <w:lang w:val="en-GB"/>
        </w:rPr>
      </w:pPr>
      <w:r>
        <w:rPr>
          <w:rFonts w:ascii="Arial" w:hAnsi="Arial" w:cs="Arial"/>
          <w:lang w:val="en-GB"/>
        </w:rPr>
        <w:t>Going back though the</w:t>
      </w:r>
      <w:r w:rsidR="00020606">
        <w:rPr>
          <w:rFonts w:ascii="Arial" w:hAnsi="Arial" w:cs="Arial"/>
          <w:lang w:val="en-GB"/>
        </w:rPr>
        <w:t xml:space="preserve"> positive coverage</w:t>
      </w:r>
      <w:r>
        <w:rPr>
          <w:rFonts w:ascii="Arial" w:hAnsi="Arial" w:cs="Arial"/>
          <w:lang w:val="en-GB"/>
        </w:rPr>
        <w:t xml:space="preserve"> of </w:t>
      </w:r>
      <w:proofErr w:type="spellStart"/>
      <w:r w:rsidRPr="00DA4B8D">
        <w:rPr>
          <w:rFonts w:ascii="Arial" w:hAnsi="Arial" w:cs="Arial"/>
          <w:i/>
          <w:lang w:val="en-GB"/>
        </w:rPr>
        <w:t>Solomons</w:t>
      </w:r>
      <w:proofErr w:type="spellEnd"/>
      <w:r w:rsidRPr="00DA4B8D">
        <w:rPr>
          <w:rFonts w:ascii="Arial" w:hAnsi="Arial" w:cs="Arial"/>
          <w:i/>
          <w:lang w:val="en-GB"/>
        </w:rPr>
        <w:t xml:space="preserve"> v. Ross</w:t>
      </w:r>
      <w:r w:rsidR="00020606">
        <w:rPr>
          <w:rFonts w:ascii="Arial" w:hAnsi="Arial" w:cs="Arial"/>
          <w:lang w:val="en-GB"/>
        </w:rPr>
        <w:t xml:space="preserve"> reached its zenith with </w:t>
      </w:r>
      <w:r>
        <w:rPr>
          <w:rFonts w:ascii="Arial" w:hAnsi="Arial" w:cs="Arial"/>
          <w:lang w:val="en-GB"/>
        </w:rPr>
        <w:t xml:space="preserve">its use by </w:t>
      </w:r>
      <w:r w:rsidR="00020606">
        <w:rPr>
          <w:rFonts w:ascii="Arial" w:hAnsi="Arial" w:cs="Arial"/>
          <w:lang w:val="en-GB"/>
        </w:rPr>
        <w:t>Dicey in 1879</w:t>
      </w:r>
      <w:r w:rsidR="00020606">
        <w:rPr>
          <w:rStyle w:val="FootnoteReference"/>
          <w:rFonts w:ascii="Arial" w:hAnsi="Arial" w:cs="Arial"/>
          <w:lang w:val="en-GB"/>
        </w:rPr>
        <w:footnoteReference w:id="107"/>
      </w:r>
      <w:r w:rsidR="00020606">
        <w:rPr>
          <w:rFonts w:ascii="Arial" w:hAnsi="Arial" w:cs="Arial"/>
          <w:lang w:val="en-GB"/>
        </w:rPr>
        <w:t xml:space="preserve"> and continued in the late 19</w:t>
      </w:r>
      <w:r w:rsidR="00020606" w:rsidRPr="00020606">
        <w:rPr>
          <w:rFonts w:ascii="Arial" w:hAnsi="Arial" w:cs="Arial"/>
          <w:vertAlign w:val="superscript"/>
          <w:lang w:val="en-GB"/>
        </w:rPr>
        <w:t>th</w:t>
      </w:r>
      <w:r w:rsidR="00020606">
        <w:rPr>
          <w:rFonts w:ascii="Arial" w:hAnsi="Arial" w:cs="Arial"/>
          <w:lang w:val="en-GB"/>
        </w:rPr>
        <w:t xml:space="preserve"> century with other commentators in England and Wales</w:t>
      </w:r>
      <w:r w:rsidR="00C65011">
        <w:rPr>
          <w:rStyle w:val="FootnoteReference"/>
          <w:rFonts w:ascii="Arial" w:hAnsi="Arial" w:cs="Arial"/>
          <w:lang w:val="en-GB"/>
        </w:rPr>
        <w:footnoteReference w:id="108"/>
      </w:r>
      <w:r w:rsidR="00020606">
        <w:rPr>
          <w:rFonts w:ascii="Arial" w:hAnsi="Arial" w:cs="Arial"/>
          <w:lang w:val="en-GB"/>
        </w:rPr>
        <w:t xml:space="preserve"> and America.</w:t>
      </w:r>
      <w:r w:rsidR="00020606">
        <w:rPr>
          <w:rStyle w:val="FootnoteReference"/>
          <w:rFonts w:ascii="Arial" w:hAnsi="Arial" w:cs="Arial"/>
          <w:lang w:val="en-GB"/>
        </w:rPr>
        <w:footnoteReference w:id="109"/>
      </w:r>
      <w:r w:rsidR="00020606">
        <w:rPr>
          <w:rFonts w:ascii="Arial" w:hAnsi="Arial" w:cs="Arial"/>
          <w:lang w:val="en-GB"/>
        </w:rPr>
        <w:t xml:space="preserve"> </w:t>
      </w:r>
    </w:p>
    <w:p w:rsidR="00C65011" w:rsidRDefault="00C65011" w:rsidP="004657FF">
      <w:pPr>
        <w:spacing w:line="360" w:lineRule="auto"/>
        <w:jc w:val="both"/>
        <w:rPr>
          <w:rFonts w:ascii="Arial" w:hAnsi="Arial" w:cs="Arial"/>
          <w:lang w:val="en-GB"/>
        </w:rPr>
      </w:pPr>
    </w:p>
    <w:p w:rsidR="00C65011" w:rsidRDefault="00C65011" w:rsidP="004657FF">
      <w:pPr>
        <w:spacing w:line="360" w:lineRule="auto"/>
        <w:jc w:val="both"/>
        <w:rPr>
          <w:rFonts w:ascii="Arial" w:hAnsi="Arial" w:cs="Arial"/>
          <w:lang w:val="en-GB"/>
        </w:rPr>
      </w:pPr>
      <w:r>
        <w:rPr>
          <w:rFonts w:ascii="Arial" w:hAnsi="Arial" w:cs="Arial"/>
          <w:lang w:val="en-GB"/>
        </w:rPr>
        <w:t>Interestingly, later editions of Dicey argue that the claim of the attaching creditor would “now be preferred”</w:t>
      </w:r>
      <w:r>
        <w:rPr>
          <w:rStyle w:val="FootnoteReference"/>
          <w:rFonts w:ascii="Arial" w:hAnsi="Arial" w:cs="Arial"/>
          <w:lang w:val="en-GB"/>
        </w:rPr>
        <w:footnoteReference w:id="110"/>
      </w:r>
      <w:r>
        <w:rPr>
          <w:rFonts w:ascii="Arial" w:hAnsi="Arial" w:cs="Arial"/>
          <w:lang w:val="en-GB"/>
        </w:rPr>
        <w:t xml:space="preserve"> and cite </w:t>
      </w:r>
      <w:proofErr w:type="spellStart"/>
      <w:r w:rsidRPr="0029118E">
        <w:rPr>
          <w:rFonts w:ascii="Arial" w:hAnsi="Arial" w:cs="Arial"/>
          <w:i/>
          <w:lang w:val="en-GB"/>
        </w:rPr>
        <w:t>Gasgoigne</w:t>
      </w:r>
      <w:proofErr w:type="spellEnd"/>
      <w:r w:rsidRPr="0029118E">
        <w:rPr>
          <w:rFonts w:ascii="Arial" w:hAnsi="Arial" w:cs="Arial"/>
          <w:i/>
          <w:lang w:val="en-GB"/>
        </w:rPr>
        <w:t xml:space="preserve"> v. Galbraith</w:t>
      </w:r>
      <w:r>
        <w:rPr>
          <w:rFonts w:ascii="Arial" w:hAnsi="Arial" w:cs="Arial"/>
          <w:lang w:val="en-GB"/>
        </w:rPr>
        <w:t xml:space="preserve"> as authority for this proposition, a case that decided not to use </w:t>
      </w:r>
      <w:proofErr w:type="spellStart"/>
      <w:r w:rsidRPr="0029118E">
        <w:rPr>
          <w:rFonts w:ascii="Arial" w:hAnsi="Arial" w:cs="Arial"/>
          <w:i/>
          <w:lang w:val="en-GB"/>
        </w:rPr>
        <w:t>Solomons</w:t>
      </w:r>
      <w:proofErr w:type="spellEnd"/>
      <w:r w:rsidRPr="0029118E">
        <w:rPr>
          <w:rFonts w:ascii="Arial" w:hAnsi="Arial" w:cs="Arial"/>
          <w:i/>
          <w:lang w:val="en-GB"/>
        </w:rPr>
        <w:t xml:space="preserve"> v. Ross</w:t>
      </w:r>
      <w:r>
        <w:rPr>
          <w:rFonts w:ascii="Arial" w:hAnsi="Arial" w:cs="Arial"/>
          <w:lang w:val="en-GB"/>
        </w:rPr>
        <w:t xml:space="preserve"> because of its brevity. </w:t>
      </w:r>
    </w:p>
    <w:p w:rsidR="00B85808" w:rsidRDefault="00B85808" w:rsidP="00BB662F">
      <w:pPr>
        <w:spacing w:line="360" w:lineRule="auto"/>
        <w:jc w:val="both"/>
        <w:rPr>
          <w:rFonts w:ascii="Arial" w:hAnsi="Arial" w:cs="Arial"/>
          <w:lang w:val="en-GB"/>
        </w:rPr>
      </w:pPr>
    </w:p>
    <w:p w:rsidR="00593E6C" w:rsidRDefault="00593E6C" w:rsidP="00BB662F">
      <w:pPr>
        <w:spacing w:line="360" w:lineRule="auto"/>
        <w:jc w:val="both"/>
        <w:rPr>
          <w:rFonts w:ascii="Arial" w:hAnsi="Arial" w:cs="Arial"/>
          <w:lang w:val="en-GB"/>
        </w:rPr>
      </w:pPr>
      <w:r>
        <w:rPr>
          <w:rFonts w:ascii="Arial" w:hAnsi="Arial" w:cs="Arial"/>
          <w:lang w:val="en-GB"/>
        </w:rPr>
        <w:t>Apart from the two editions of his major monograph on the subject of cross-border insolvency Fletcher made a number of other contributions that discuss international insolvency, including a brief historical sketch</w:t>
      </w:r>
      <w:r>
        <w:rPr>
          <w:rStyle w:val="FootnoteReference"/>
          <w:rFonts w:ascii="Arial" w:hAnsi="Arial" w:cs="Arial"/>
          <w:lang w:val="en-GB"/>
        </w:rPr>
        <w:footnoteReference w:id="111"/>
      </w:r>
      <w:r>
        <w:rPr>
          <w:rFonts w:ascii="Arial" w:hAnsi="Arial" w:cs="Arial"/>
          <w:lang w:val="en-GB"/>
        </w:rPr>
        <w:t xml:space="preserve"> and his important Current Legal Problems inaugural lecture at UCL.</w:t>
      </w:r>
      <w:r>
        <w:rPr>
          <w:rStyle w:val="FootnoteReference"/>
          <w:rFonts w:ascii="Arial" w:hAnsi="Arial" w:cs="Arial"/>
          <w:lang w:val="en-GB"/>
        </w:rPr>
        <w:footnoteReference w:id="112"/>
      </w:r>
      <w:r>
        <w:rPr>
          <w:rFonts w:ascii="Arial" w:hAnsi="Arial" w:cs="Arial"/>
          <w:lang w:val="en-GB"/>
        </w:rPr>
        <w:t xml:space="preserve"> </w:t>
      </w:r>
      <w:r w:rsidR="00211064">
        <w:rPr>
          <w:rFonts w:ascii="Arial" w:hAnsi="Arial" w:cs="Arial"/>
          <w:lang w:val="en-GB"/>
        </w:rPr>
        <w:t xml:space="preserve">In the former Fletcher notes </w:t>
      </w:r>
      <w:r w:rsidR="00211064" w:rsidRPr="00211064">
        <w:rPr>
          <w:rFonts w:ascii="Arial" w:hAnsi="Arial" w:cs="Arial"/>
          <w:color w:val="FF0000"/>
          <w:lang w:val="en-GB"/>
        </w:rPr>
        <w:t>that…</w:t>
      </w:r>
    </w:p>
    <w:p w:rsidR="00B333B3" w:rsidRDefault="00593E6C" w:rsidP="00BB662F">
      <w:pPr>
        <w:spacing w:line="360" w:lineRule="auto"/>
        <w:jc w:val="both"/>
        <w:rPr>
          <w:rFonts w:ascii="Arial" w:hAnsi="Arial" w:cs="Arial"/>
          <w:lang w:val="en-GB"/>
        </w:rPr>
      </w:pPr>
      <w:r>
        <w:rPr>
          <w:rFonts w:ascii="Arial" w:hAnsi="Arial" w:cs="Arial"/>
          <w:lang w:val="en-GB"/>
        </w:rPr>
        <w:t xml:space="preserve"> </w:t>
      </w:r>
    </w:p>
    <w:p w:rsidR="00B333B3" w:rsidRPr="00593E6C" w:rsidRDefault="00B333B3" w:rsidP="00BB662F">
      <w:pPr>
        <w:pStyle w:val="ListParagraph"/>
        <w:numPr>
          <w:ilvl w:val="0"/>
          <w:numId w:val="4"/>
        </w:numPr>
        <w:spacing w:line="360" w:lineRule="auto"/>
        <w:jc w:val="both"/>
        <w:rPr>
          <w:rFonts w:ascii="Arial" w:hAnsi="Arial" w:cs="Arial"/>
          <w:color w:val="FF0000"/>
          <w:lang w:val="en-GB"/>
        </w:rPr>
      </w:pPr>
      <w:r w:rsidRPr="00593E6C">
        <w:rPr>
          <w:rFonts w:ascii="Arial" w:hAnsi="Arial" w:cs="Arial"/>
          <w:color w:val="FF0000"/>
          <w:lang w:val="en-GB"/>
        </w:rPr>
        <w:t xml:space="preserve">Smart – </w:t>
      </w:r>
    </w:p>
    <w:p w:rsidR="00B333B3" w:rsidRPr="00593E6C" w:rsidRDefault="00B333B3" w:rsidP="00BB662F">
      <w:pPr>
        <w:spacing w:line="360" w:lineRule="auto"/>
        <w:jc w:val="both"/>
        <w:rPr>
          <w:rFonts w:ascii="Arial" w:hAnsi="Arial" w:cs="Arial"/>
          <w:color w:val="FF0000"/>
          <w:lang w:val="en-GB"/>
        </w:rPr>
      </w:pPr>
    </w:p>
    <w:p w:rsidR="00B333B3" w:rsidRPr="00593E6C" w:rsidRDefault="00B333B3" w:rsidP="00BB662F">
      <w:pPr>
        <w:pStyle w:val="ListParagraph"/>
        <w:numPr>
          <w:ilvl w:val="0"/>
          <w:numId w:val="4"/>
        </w:numPr>
        <w:spacing w:line="360" w:lineRule="auto"/>
        <w:jc w:val="both"/>
        <w:rPr>
          <w:rFonts w:ascii="Arial" w:hAnsi="Arial" w:cs="Arial"/>
          <w:color w:val="FF0000"/>
          <w:lang w:val="en-GB"/>
        </w:rPr>
      </w:pPr>
      <w:r w:rsidRPr="00593E6C">
        <w:rPr>
          <w:rFonts w:ascii="Arial" w:hAnsi="Arial" w:cs="Arial"/>
          <w:color w:val="FF0000"/>
          <w:lang w:val="en-GB"/>
        </w:rPr>
        <w:lastRenderedPageBreak/>
        <w:t xml:space="preserve">Omar </w:t>
      </w:r>
      <w:r w:rsidR="00B85808" w:rsidRPr="00593E6C">
        <w:rPr>
          <w:rFonts w:ascii="Arial" w:hAnsi="Arial" w:cs="Arial"/>
          <w:color w:val="FF0000"/>
          <w:lang w:val="en-GB"/>
        </w:rPr>
        <w:t>–</w:t>
      </w:r>
      <w:r w:rsidRPr="00593E6C">
        <w:rPr>
          <w:rFonts w:ascii="Arial" w:hAnsi="Arial" w:cs="Arial"/>
          <w:color w:val="FF0000"/>
          <w:lang w:val="en-GB"/>
        </w:rPr>
        <w:t xml:space="preserve"> </w:t>
      </w:r>
    </w:p>
    <w:p w:rsidR="00B85808" w:rsidRDefault="00B85808" w:rsidP="00B85808">
      <w:pPr>
        <w:pStyle w:val="ListParagraph"/>
        <w:rPr>
          <w:rFonts w:ascii="Arial" w:hAnsi="Arial" w:cs="Arial"/>
          <w:lang w:val="en-GB"/>
        </w:rPr>
      </w:pPr>
    </w:p>
    <w:p w:rsidR="00B85808" w:rsidRPr="00B85808" w:rsidRDefault="00B85808" w:rsidP="00B85808">
      <w:pPr>
        <w:pStyle w:val="ListParagraph"/>
        <w:rPr>
          <w:rFonts w:ascii="Arial" w:hAnsi="Arial" w:cs="Arial"/>
          <w:lang w:val="en-GB"/>
        </w:rPr>
      </w:pPr>
    </w:p>
    <w:p w:rsidR="00B85808" w:rsidRPr="00B85808" w:rsidRDefault="00593E6C" w:rsidP="00B85808">
      <w:pPr>
        <w:spacing w:line="360" w:lineRule="auto"/>
        <w:jc w:val="both"/>
        <w:rPr>
          <w:rFonts w:ascii="Arial" w:hAnsi="Arial" w:cs="Arial"/>
          <w:lang w:val="en-GB"/>
        </w:rPr>
      </w:pPr>
      <w:r>
        <w:rPr>
          <w:rFonts w:ascii="Arial" w:hAnsi="Arial" w:cs="Arial"/>
          <w:lang w:val="en-GB"/>
        </w:rPr>
        <w:t xml:space="preserve">The most thorough academic treatment flowed from the pen of the </w:t>
      </w:r>
      <w:proofErr w:type="spellStart"/>
      <w:r>
        <w:rPr>
          <w:rFonts w:ascii="Arial" w:hAnsi="Arial" w:cs="Arial"/>
          <w:lang w:val="en-GB"/>
        </w:rPr>
        <w:t>renknowned</w:t>
      </w:r>
      <w:proofErr w:type="spellEnd"/>
      <w:r>
        <w:rPr>
          <w:rFonts w:ascii="Arial" w:hAnsi="Arial" w:cs="Arial"/>
          <w:lang w:val="en-GB"/>
        </w:rPr>
        <w:t xml:space="preserve"> America scholar, Kurt (???) </w:t>
      </w:r>
      <w:proofErr w:type="spellStart"/>
      <w:r w:rsidR="00B85808">
        <w:rPr>
          <w:rFonts w:ascii="Arial" w:hAnsi="Arial" w:cs="Arial"/>
          <w:lang w:val="en-GB"/>
        </w:rPr>
        <w:t>Nadelman</w:t>
      </w:r>
      <w:proofErr w:type="spellEnd"/>
      <w:r>
        <w:rPr>
          <w:rFonts w:ascii="Arial" w:hAnsi="Arial" w:cs="Arial"/>
          <w:lang w:val="en-GB"/>
        </w:rPr>
        <w:t xml:space="preserve">, a professor at Harvard (????). </w:t>
      </w:r>
      <w:proofErr w:type="spellStart"/>
      <w:r>
        <w:rPr>
          <w:rFonts w:ascii="Arial" w:hAnsi="Arial" w:cs="Arial"/>
          <w:lang w:val="en-GB"/>
        </w:rPr>
        <w:t>Nadelman</w:t>
      </w:r>
      <w:proofErr w:type="spellEnd"/>
      <w:r w:rsidR="00B85808">
        <w:rPr>
          <w:rFonts w:ascii="Arial" w:hAnsi="Arial" w:cs="Arial"/>
          <w:lang w:val="en-GB"/>
        </w:rPr>
        <w:t xml:space="preserve"> takes a </w:t>
      </w:r>
      <w:r>
        <w:rPr>
          <w:rFonts w:ascii="Arial" w:hAnsi="Arial" w:cs="Arial"/>
          <w:lang w:val="en-GB"/>
        </w:rPr>
        <w:t xml:space="preserve">forensic approach to the judgement, but he did not consult any primary sources such as the Court of Chancery records. </w:t>
      </w:r>
    </w:p>
    <w:p w:rsidR="00244FA0" w:rsidRDefault="00244FA0" w:rsidP="00BB662F">
      <w:pPr>
        <w:spacing w:line="360" w:lineRule="auto"/>
        <w:jc w:val="both"/>
        <w:rPr>
          <w:rFonts w:ascii="Arial" w:hAnsi="Arial" w:cs="Arial"/>
          <w:lang w:val="en-GB"/>
        </w:rPr>
      </w:pPr>
    </w:p>
    <w:p w:rsidR="00147574" w:rsidRPr="00147574" w:rsidRDefault="00147574" w:rsidP="00BB662F">
      <w:pPr>
        <w:spacing w:line="360" w:lineRule="auto"/>
        <w:jc w:val="both"/>
        <w:rPr>
          <w:rFonts w:ascii="Arial" w:hAnsi="Arial" w:cs="Arial"/>
          <w:lang w:val="en-GB"/>
        </w:rPr>
      </w:pPr>
      <w:r>
        <w:rPr>
          <w:rFonts w:ascii="Arial" w:hAnsi="Arial" w:cs="Arial"/>
          <w:lang w:val="en-GB"/>
        </w:rPr>
        <w:t>“</w:t>
      </w:r>
      <w:proofErr w:type="spellStart"/>
      <w:r w:rsidRPr="00147574">
        <w:rPr>
          <w:rFonts w:ascii="Arial" w:hAnsi="Arial" w:cs="Arial"/>
          <w:lang w:val="en-GB"/>
        </w:rPr>
        <w:t>Solornons</w:t>
      </w:r>
      <w:proofErr w:type="spellEnd"/>
      <w:r w:rsidRPr="00147574">
        <w:rPr>
          <w:rFonts w:ascii="Arial" w:hAnsi="Arial" w:cs="Arial"/>
          <w:lang w:val="en-GB"/>
        </w:rPr>
        <w:t xml:space="preserve"> v. Ross, decided by Justice Bathurst in 1764, is</w:t>
      </w:r>
    </w:p>
    <w:p w:rsidR="00147574" w:rsidRPr="00147574" w:rsidRDefault="00147574" w:rsidP="00BB662F">
      <w:pPr>
        <w:spacing w:line="360" w:lineRule="auto"/>
        <w:jc w:val="both"/>
        <w:rPr>
          <w:rFonts w:ascii="Arial" w:hAnsi="Arial" w:cs="Arial"/>
          <w:lang w:val="en-GB"/>
        </w:rPr>
      </w:pPr>
      <w:r w:rsidRPr="00147574">
        <w:rPr>
          <w:rFonts w:ascii="Arial" w:hAnsi="Arial" w:cs="Arial"/>
          <w:lang w:val="en-GB"/>
        </w:rPr>
        <w:t xml:space="preserve"> reported in Henry Blackstone's Reports in a note to </w:t>
      </w:r>
      <w:proofErr w:type="spellStart"/>
      <w:r w:rsidRPr="00147574">
        <w:rPr>
          <w:rFonts w:ascii="Arial" w:hAnsi="Arial" w:cs="Arial"/>
          <w:lang w:val="en-GB"/>
        </w:rPr>
        <w:t>Folliott</w:t>
      </w:r>
      <w:proofErr w:type="spellEnd"/>
      <w:r w:rsidRPr="00147574">
        <w:rPr>
          <w:rFonts w:ascii="Arial" w:hAnsi="Arial" w:cs="Arial"/>
          <w:lang w:val="en-GB"/>
        </w:rPr>
        <w:t xml:space="preserve"> v.</w:t>
      </w:r>
    </w:p>
    <w:p w:rsidR="00147574" w:rsidRPr="00147574" w:rsidRDefault="00147574" w:rsidP="00BB662F">
      <w:pPr>
        <w:spacing w:line="360" w:lineRule="auto"/>
        <w:jc w:val="both"/>
        <w:rPr>
          <w:rFonts w:ascii="Arial" w:hAnsi="Arial" w:cs="Arial"/>
          <w:lang w:val="en-GB"/>
        </w:rPr>
      </w:pPr>
      <w:r w:rsidRPr="00147574">
        <w:rPr>
          <w:rFonts w:ascii="Arial" w:hAnsi="Arial" w:cs="Arial"/>
          <w:lang w:val="en-GB"/>
        </w:rPr>
        <w:t xml:space="preserve"> Ogden,' which was before Lord Loughborough in 1789. The</w:t>
      </w:r>
    </w:p>
    <w:p w:rsidR="00147574" w:rsidRPr="00147574" w:rsidRDefault="00147574" w:rsidP="00BB662F">
      <w:pPr>
        <w:spacing w:line="360" w:lineRule="auto"/>
        <w:jc w:val="both"/>
        <w:rPr>
          <w:rFonts w:ascii="Arial" w:hAnsi="Arial" w:cs="Arial"/>
          <w:lang w:val="en-GB"/>
        </w:rPr>
      </w:pPr>
      <w:r w:rsidRPr="00147574">
        <w:rPr>
          <w:rFonts w:ascii="Arial" w:hAnsi="Arial" w:cs="Arial"/>
          <w:lang w:val="en-GB"/>
        </w:rPr>
        <w:t xml:space="preserve"> same note reports two other decisions rendered in favour of</w:t>
      </w:r>
    </w:p>
    <w:p w:rsidR="00147574" w:rsidRPr="00147574" w:rsidRDefault="00147574" w:rsidP="00BB662F">
      <w:pPr>
        <w:spacing w:line="360" w:lineRule="auto"/>
        <w:jc w:val="both"/>
        <w:rPr>
          <w:rFonts w:ascii="Arial" w:hAnsi="Arial" w:cs="Arial"/>
          <w:lang w:val="en-GB"/>
        </w:rPr>
      </w:pPr>
      <w:r w:rsidRPr="00147574">
        <w:rPr>
          <w:rFonts w:ascii="Arial" w:hAnsi="Arial" w:cs="Arial"/>
          <w:lang w:val="en-GB"/>
        </w:rPr>
        <w:t xml:space="preserve"> foreign trustees in bankruptcy; one is an English decision,</w:t>
      </w:r>
    </w:p>
    <w:p w:rsidR="00147574" w:rsidRPr="00147574" w:rsidRDefault="00147574" w:rsidP="00BB662F">
      <w:pPr>
        <w:spacing w:line="360" w:lineRule="auto"/>
        <w:jc w:val="both"/>
        <w:rPr>
          <w:rFonts w:ascii="Arial" w:hAnsi="Arial" w:cs="Arial"/>
          <w:lang w:val="en-GB"/>
        </w:rPr>
      </w:pPr>
      <w:r w:rsidRPr="00147574">
        <w:rPr>
          <w:rFonts w:ascii="Arial" w:hAnsi="Arial" w:cs="Arial"/>
          <w:lang w:val="en-GB"/>
        </w:rPr>
        <w:t xml:space="preserve"> </w:t>
      </w:r>
      <w:proofErr w:type="spellStart"/>
      <w:r w:rsidRPr="00147574">
        <w:rPr>
          <w:rFonts w:ascii="Arial" w:hAnsi="Arial" w:cs="Arial"/>
          <w:lang w:val="en-GB"/>
        </w:rPr>
        <w:t>Jollet</w:t>
      </w:r>
      <w:proofErr w:type="spellEnd"/>
      <w:r w:rsidRPr="00147574">
        <w:rPr>
          <w:rFonts w:ascii="Arial" w:hAnsi="Arial" w:cs="Arial"/>
          <w:lang w:val="en-GB"/>
        </w:rPr>
        <w:t xml:space="preserve"> v. </w:t>
      </w:r>
      <w:proofErr w:type="spellStart"/>
      <w:r w:rsidRPr="00147574">
        <w:rPr>
          <w:rFonts w:ascii="Arial" w:hAnsi="Arial" w:cs="Arial"/>
          <w:lang w:val="en-GB"/>
        </w:rPr>
        <w:t>Deponthicu</w:t>
      </w:r>
      <w:proofErr w:type="spellEnd"/>
      <w:r w:rsidRPr="00147574">
        <w:rPr>
          <w:rFonts w:ascii="Arial" w:hAnsi="Arial" w:cs="Arial"/>
          <w:lang w:val="en-GB"/>
        </w:rPr>
        <w:t>,' decided by Lord Chancellor Camden in</w:t>
      </w:r>
    </w:p>
    <w:p w:rsidR="00147574" w:rsidRPr="00147574" w:rsidRDefault="00147574" w:rsidP="00BB662F">
      <w:pPr>
        <w:spacing w:line="360" w:lineRule="auto"/>
        <w:jc w:val="both"/>
        <w:rPr>
          <w:rFonts w:ascii="Arial" w:hAnsi="Arial" w:cs="Arial"/>
          <w:lang w:val="en-GB"/>
        </w:rPr>
      </w:pPr>
      <w:r w:rsidRPr="00147574">
        <w:rPr>
          <w:rFonts w:ascii="Arial" w:hAnsi="Arial" w:cs="Arial"/>
          <w:lang w:val="en-GB"/>
        </w:rPr>
        <w:t xml:space="preserve"> 1769, which again involved Dutch trustees in bankruptcy who</w:t>
      </w:r>
    </w:p>
    <w:p w:rsidR="00147574" w:rsidRPr="00147574" w:rsidRDefault="00147574" w:rsidP="00BB662F">
      <w:pPr>
        <w:spacing w:line="360" w:lineRule="auto"/>
        <w:jc w:val="both"/>
        <w:rPr>
          <w:rFonts w:ascii="Arial" w:hAnsi="Arial" w:cs="Arial"/>
          <w:lang w:val="en-GB"/>
        </w:rPr>
      </w:pPr>
      <w:r w:rsidRPr="00147574">
        <w:rPr>
          <w:rFonts w:ascii="Arial" w:hAnsi="Arial" w:cs="Arial"/>
          <w:lang w:val="en-GB"/>
        </w:rPr>
        <w:t xml:space="preserve"> claimed assets that were garnished after the Dutch declaration</w:t>
      </w:r>
    </w:p>
    <w:p w:rsidR="00147574" w:rsidRPr="00147574" w:rsidRDefault="00147574" w:rsidP="00BB662F">
      <w:pPr>
        <w:spacing w:line="360" w:lineRule="auto"/>
        <w:jc w:val="both"/>
        <w:rPr>
          <w:rFonts w:ascii="Arial" w:hAnsi="Arial" w:cs="Arial"/>
          <w:lang w:val="en-GB"/>
        </w:rPr>
      </w:pPr>
      <w:r w:rsidRPr="00147574">
        <w:rPr>
          <w:rFonts w:ascii="Arial" w:hAnsi="Arial" w:cs="Arial"/>
          <w:lang w:val="en-GB"/>
        </w:rPr>
        <w:t xml:space="preserve"> of bankruptcy; the other is Irish, Neale v. </w:t>
      </w:r>
      <w:proofErr w:type="spellStart"/>
      <w:r w:rsidRPr="00147574">
        <w:rPr>
          <w:rFonts w:ascii="Arial" w:hAnsi="Arial" w:cs="Arial"/>
          <w:lang w:val="en-GB"/>
        </w:rPr>
        <w:t>Cottingharm</w:t>
      </w:r>
      <w:proofErr w:type="spellEnd"/>
      <w:r w:rsidRPr="00147574">
        <w:rPr>
          <w:rFonts w:ascii="Arial" w:hAnsi="Arial" w:cs="Arial"/>
          <w:lang w:val="en-GB"/>
        </w:rPr>
        <w:t>,' before</w:t>
      </w:r>
    </w:p>
    <w:p w:rsidR="00147574" w:rsidRPr="00147574" w:rsidRDefault="00147574" w:rsidP="00BB662F">
      <w:pPr>
        <w:spacing w:line="360" w:lineRule="auto"/>
        <w:jc w:val="both"/>
        <w:rPr>
          <w:rFonts w:ascii="Arial" w:hAnsi="Arial" w:cs="Arial"/>
          <w:lang w:val="en-GB"/>
        </w:rPr>
      </w:pPr>
      <w:r w:rsidRPr="00147574">
        <w:rPr>
          <w:rFonts w:ascii="Arial" w:hAnsi="Arial" w:cs="Arial"/>
          <w:lang w:val="en-GB"/>
        </w:rPr>
        <w:t xml:space="preserve"> </w:t>
      </w:r>
      <w:proofErr w:type="spellStart"/>
      <w:r w:rsidRPr="00147574">
        <w:rPr>
          <w:rFonts w:ascii="Arial" w:hAnsi="Arial" w:cs="Arial"/>
          <w:lang w:val="en-GB"/>
        </w:rPr>
        <w:t>Iord</w:t>
      </w:r>
      <w:proofErr w:type="spellEnd"/>
      <w:r w:rsidRPr="00147574">
        <w:rPr>
          <w:rFonts w:ascii="Arial" w:hAnsi="Arial" w:cs="Arial"/>
          <w:lang w:val="en-GB"/>
        </w:rPr>
        <w:t xml:space="preserve"> </w:t>
      </w:r>
      <w:proofErr w:type="spellStart"/>
      <w:r w:rsidRPr="00147574">
        <w:rPr>
          <w:rFonts w:ascii="Arial" w:hAnsi="Arial" w:cs="Arial"/>
          <w:lang w:val="en-GB"/>
        </w:rPr>
        <w:t>Lifford</w:t>
      </w:r>
      <w:proofErr w:type="spellEnd"/>
      <w:r w:rsidRPr="00147574">
        <w:rPr>
          <w:rFonts w:ascii="Arial" w:hAnsi="Arial" w:cs="Arial"/>
          <w:lang w:val="en-GB"/>
        </w:rPr>
        <w:t>, in which an Irish creditor was ordered to refund</w:t>
      </w:r>
    </w:p>
    <w:p w:rsidR="00147574" w:rsidRPr="00147574" w:rsidRDefault="00147574" w:rsidP="00BB662F">
      <w:pPr>
        <w:spacing w:line="360" w:lineRule="auto"/>
        <w:jc w:val="both"/>
        <w:rPr>
          <w:rFonts w:ascii="Arial" w:hAnsi="Arial" w:cs="Arial"/>
          <w:lang w:val="en-GB"/>
        </w:rPr>
      </w:pPr>
      <w:r w:rsidRPr="00147574">
        <w:rPr>
          <w:rFonts w:ascii="Arial" w:hAnsi="Arial" w:cs="Arial"/>
          <w:lang w:val="en-GB"/>
        </w:rPr>
        <w:t xml:space="preserve"> to English trustees in bankruptcy money which he had</w:t>
      </w:r>
    </w:p>
    <w:p w:rsidR="00147574" w:rsidRPr="00147574" w:rsidRDefault="00147574" w:rsidP="00BB662F">
      <w:pPr>
        <w:spacing w:line="360" w:lineRule="auto"/>
        <w:jc w:val="both"/>
        <w:rPr>
          <w:rFonts w:ascii="Arial" w:hAnsi="Arial" w:cs="Arial"/>
          <w:lang w:val="en-GB"/>
        </w:rPr>
      </w:pPr>
      <w:r w:rsidRPr="00147574">
        <w:rPr>
          <w:rFonts w:ascii="Arial" w:hAnsi="Arial" w:cs="Arial"/>
          <w:lang w:val="en-GB"/>
        </w:rPr>
        <w:t xml:space="preserve"> obtained by garnishee proceedings begun after the bank-</w:t>
      </w:r>
    </w:p>
    <w:p w:rsidR="00A10D96" w:rsidRDefault="00147574" w:rsidP="00BB662F">
      <w:pPr>
        <w:spacing w:line="360" w:lineRule="auto"/>
        <w:jc w:val="both"/>
        <w:rPr>
          <w:rFonts w:ascii="Arial" w:hAnsi="Arial" w:cs="Arial"/>
          <w:lang w:val="en-GB"/>
        </w:rPr>
      </w:pPr>
      <w:r w:rsidRPr="00147574">
        <w:rPr>
          <w:rFonts w:ascii="Arial" w:hAnsi="Arial" w:cs="Arial"/>
          <w:lang w:val="en-GB"/>
        </w:rPr>
        <w:t xml:space="preserve"> </w:t>
      </w:r>
      <w:proofErr w:type="spellStart"/>
      <w:r w:rsidRPr="00147574">
        <w:rPr>
          <w:rFonts w:ascii="Arial" w:hAnsi="Arial" w:cs="Arial"/>
          <w:lang w:val="en-GB"/>
        </w:rPr>
        <w:t>ruptcy</w:t>
      </w:r>
      <w:proofErr w:type="spellEnd"/>
      <w:r w:rsidRPr="00147574">
        <w:rPr>
          <w:rFonts w:ascii="Arial" w:hAnsi="Arial" w:cs="Arial"/>
          <w:lang w:val="en-GB"/>
        </w:rPr>
        <w:t xml:space="preserve"> declaration in England</w:t>
      </w:r>
      <w:r>
        <w:rPr>
          <w:rFonts w:ascii="Arial" w:hAnsi="Arial" w:cs="Arial"/>
          <w:lang w:val="en-GB"/>
        </w:rPr>
        <w:t>” (</w:t>
      </w:r>
      <w:proofErr w:type="spellStart"/>
      <w:r>
        <w:rPr>
          <w:rFonts w:ascii="Arial" w:hAnsi="Arial" w:cs="Arial"/>
          <w:lang w:val="en-GB"/>
        </w:rPr>
        <w:t>Nadelman</w:t>
      </w:r>
      <w:proofErr w:type="spellEnd"/>
      <w:r>
        <w:rPr>
          <w:rFonts w:ascii="Arial" w:hAnsi="Arial" w:cs="Arial"/>
          <w:lang w:val="en-GB"/>
        </w:rPr>
        <w:t xml:space="preserve">) </w:t>
      </w:r>
      <w:r w:rsidR="00A10D96">
        <w:rPr>
          <w:rFonts w:ascii="Arial" w:hAnsi="Arial" w:cs="Arial"/>
          <w:lang w:val="en-GB"/>
        </w:rPr>
        <w:br w:type="page"/>
      </w:r>
    </w:p>
    <w:p w:rsidR="000B07C7" w:rsidRDefault="000B07C7" w:rsidP="00BB662F">
      <w:pPr>
        <w:spacing w:line="360" w:lineRule="auto"/>
        <w:jc w:val="both"/>
        <w:rPr>
          <w:rFonts w:ascii="Arial" w:hAnsi="Arial" w:cs="Arial"/>
          <w:lang w:val="en-GB"/>
        </w:rPr>
      </w:pPr>
    </w:p>
    <w:p w:rsidR="00147574" w:rsidRDefault="00147574" w:rsidP="00BB662F">
      <w:pPr>
        <w:spacing w:line="360" w:lineRule="auto"/>
        <w:jc w:val="both"/>
        <w:rPr>
          <w:rFonts w:ascii="Arial" w:hAnsi="Arial" w:cs="Arial"/>
          <w:lang w:val="en-GB"/>
        </w:rPr>
      </w:pPr>
      <w:r>
        <w:rPr>
          <w:rFonts w:ascii="Arial" w:hAnsi="Arial" w:cs="Arial"/>
          <w:lang w:val="en-GB"/>
        </w:rPr>
        <w:br w:type="page"/>
      </w:r>
    </w:p>
    <w:p w:rsidR="00244FA0" w:rsidRDefault="00244FA0" w:rsidP="00BB662F">
      <w:pPr>
        <w:spacing w:line="360" w:lineRule="auto"/>
        <w:jc w:val="both"/>
        <w:rPr>
          <w:rFonts w:ascii="Arial" w:hAnsi="Arial" w:cs="Arial"/>
          <w:i/>
          <w:u w:val="single"/>
          <w:lang w:val="en-GB"/>
        </w:rPr>
      </w:pPr>
      <w:r>
        <w:rPr>
          <w:rFonts w:ascii="Arial" w:hAnsi="Arial" w:cs="Arial"/>
          <w:i/>
          <w:u w:val="single"/>
          <w:lang w:val="en-GB"/>
        </w:rPr>
        <w:lastRenderedPageBreak/>
        <w:t>An alternative genesis of the Golden Thread</w:t>
      </w:r>
      <w:r w:rsidR="006F2995">
        <w:rPr>
          <w:rFonts w:ascii="Arial" w:hAnsi="Arial" w:cs="Arial"/>
          <w:i/>
          <w:u w:val="single"/>
          <w:lang w:val="en-GB"/>
        </w:rPr>
        <w:t>?</w:t>
      </w:r>
    </w:p>
    <w:p w:rsidR="00244FA0" w:rsidRDefault="00244FA0" w:rsidP="00BB662F">
      <w:pPr>
        <w:spacing w:line="360" w:lineRule="auto"/>
        <w:jc w:val="both"/>
        <w:rPr>
          <w:rFonts w:ascii="Arial" w:hAnsi="Arial" w:cs="Arial"/>
          <w:i/>
          <w:u w:val="single"/>
          <w:lang w:val="en-GB"/>
        </w:rPr>
      </w:pPr>
    </w:p>
    <w:p w:rsidR="00244FA0" w:rsidRPr="00244FA0" w:rsidRDefault="00244FA0" w:rsidP="00BB662F">
      <w:pPr>
        <w:spacing w:line="360" w:lineRule="auto"/>
        <w:jc w:val="both"/>
        <w:rPr>
          <w:rFonts w:ascii="Arial" w:hAnsi="Arial" w:cs="Arial"/>
          <w:lang w:val="en-GB"/>
        </w:rPr>
      </w:pPr>
      <w:r w:rsidRPr="00244FA0">
        <w:rPr>
          <w:rFonts w:ascii="Arial" w:hAnsi="Arial" w:cs="Arial"/>
          <w:lang w:val="en-GB"/>
        </w:rPr>
        <w:t xml:space="preserve">If </w:t>
      </w:r>
      <w:proofErr w:type="spellStart"/>
      <w:r w:rsidRPr="00244FA0">
        <w:rPr>
          <w:rFonts w:ascii="Arial" w:hAnsi="Arial" w:cs="Arial"/>
          <w:i/>
          <w:lang w:val="en-GB"/>
        </w:rPr>
        <w:t>Solomons</w:t>
      </w:r>
      <w:proofErr w:type="spellEnd"/>
      <w:r w:rsidRPr="00244FA0">
        <w:rPr>
          <w:rFonts w:ascii="Arial" w:hAnsi="Arial" w:cs="Arial"/>
          <w:i/>
          <w:lang w:val="en-GB"/>
        </w:rPr>
        <w:t xml:space="preserve"> v. Ross</w:t>
      </w:r>
      <w:r w:rsidR="006F2995">
        <w:rPr>
          <w:rFonts w:ascii="Arial" w:hAnsi="Arial" w:cs="Arial"/>
          <w:lang w:val="en-GB"/>
        </w:rPr>
        <w:t xml:space="preserve"> is not</w:t>
      </w:r>
      <w:r w:rsidRPr="00244FA0">
        <w:rPr>
          <w:rFonts w:ascii="Arial" w:hAnsi="Arial" w:cs="Arial"/>
          <w:lang w:val="en-GB"/>
        </w:rPr>
        <w:t xml:space="preserve"> the true genesis of the golden thread, what is? A</w:t>
      </w:r>
      <w:r>
        <w:rPr>
          <w:rFonts w:ascii="Arial" w:hAnsi="Arial" w:cs="Arial"/>
          <w:lang w:val="en-GB"/>
        </w:rPr>
        <w:t xml:space="preserve">re there alternative judgments that can be used in place of </w:t>
      </w:r>
      <w:proofErr w:type="spellStart"/>
      <w:r w:rsidRPr="00244FA0">
        <w:rPr>
          <w:rFonts w:ascii="Arial" w:hAnsi="Arial" w:cs="Arial"/>
          <w:i/>
          <w:lang w:val="en-GB"/>
        </w:rPr>
        <w:t>Solomons</w:t>
      </w:r>
      <w:proofErr w:type="spellEnd"/>
      <w:r w:rsidRPr="00244FA0">
        <w:rPr>
          <w:rFonts w:ascii="Arial" w:hAnsi="Arial" w:cs="Arial"/>
          <w:i/>
          <w:lang w:val="en-GB"/>
        </w:rPr>
        <w:t xml:space="preserve"> v. Ross</w:t>
      </w:r>
      <w:r>
        <w:rPr>
          <w:rFonts w:ascii="Arial" w:hAnsi="Arial" w:cs="Arial"/>
          <w:lang w:val="en-GB"/>
        </w:rPr>
        <w:t xml:space="preserve"> that provide the origin of universalism? </w:t>
      </w:r>
    </w:p>
    <w:p w:rsidR="00244FA0" w:rsidRPr="00244FA0" w:rsidRDefault="00244FA0" w:rsidP="00BB662F">
      <w:pPr>
        <w:spacing w:line="360" w:lineRule="auto"/>
        <w:jc w:val="both"/>
        <w:rPr>
          <w:rFonts w:ascii="Arial" w:hAnsi="Arial" w:cs="Arial"/>
          <w:lang w:val="en-GB"/>
        </w:rPr>
      </w:pPr>
    </w:p>
    <w:p w:rsidR="00244FA0" w:rsidRPr="00244FA0" w:rsidRDefault="00244FA0" w:rsidP="00BB662F">
      <w:pPr>
        <w:spacing w:line="360" w:lineRule="auto"/>
        <w:jc w:val="both"/>
        <w:rPr>
          <w:rFonts w:ascii="Arial" w:hAnsi="Arial" w:cs="Arial"/>
          <w:lang w:val="en-GB"/>
        </w:rPr>
      </w:pPr>
      <w:r w:rsidRPr="006F2995">
        <w:rPr>
          <w:rFonts w:ascii="Arial" w:hAnsi="Arial" w:cs="Arial"/>
          <w:i/>
          <w:lang w:val="en-GB"/>
        </w:rPr>
        <w:t>Holman</w:t>
      </w:r>
      <w:r w:rsidR="00F93EAD">
        <w:rPr>
          <w:rFonts w:ascii="Arial" w:hAnsi="Arial" w:cs="Arial"/>
          <w:lang w:val="en-GB"/>
        </w:rPr>
        <w:t>, decided in 17XX</w:t>
      </w:r>
      <w:r w:rsidRPr="00244FA0">
        <w:rPr>
          <w:rFonts w:ascii="Arial" w:hAnsi="Arial" w:cs="Arial"/>
          <w:lang w:val="en-GB"/>
        </w:rPr>
        <w:t xml:space="preserve"> by Lord Mansfield must stand as a strong contender</w:t>
      </w:r>
      <w:r w:rsidR="00FF7A83">
        <w:rPr>
          <w:rFonts w:ascii="Arial" w:hAnsi="Arial" w:cs="Arial"/>
          <w:lang w:val="en-GB"/>
        </w:rPr>
        <w:t xml:space="preserve"> for the origin of the Golden Thread.</w:t>
      </w:r>
      <w:r w:rsidRPr="00244FA0">
        <w:rPr>
          <w:rFonts w:ascii="Arial" w:hAnsi="Arial" w:cs="Arial"/>
          <w:lang w:val="en-GB"/>
        </w:rPr>
        <w:t xml:space="preserve">  </w:t>
      </w:r>
    </w:p>
    <w:p w:rsidR="00244FA0" w:rsidRDefault="00244FA0" w:rsidP="00BB662F">
      <w:pPr>
        <w:spacing w:line="360" w:lineRule="auto"/>
        <w:jc w:val="both"/>
        <w:rPr>
          <w:rFonts w:ascii="Arial" w:hAnsi="Arial" w:cs="Arial"/>
          <w:i/>
          <w:u w:val="single"/>
          <w:lang w:val="en-GB"/>
        </w:rPr>
      </w:pPr>
    </w:p>
    <w:p w:rsidR="00244FA0" w:rsidRDefault="00244FA0" w:rsidP="00BB662F">
      <w:pPr>
        <w:spacing w:line="360" w:lineRule="auto"/>
        <w:jc w:val="both"/>
        <w:rPr>
          <w:rFonts w:ascii="Arial" w:hAnsi="Arial" w:cs="Arial"/>
          <w:i/>
          <w:u w:val="single"/>
          <w:lang w:val="en-GB"/>
        </w:rPr>
      </w:pPr>
    </w:p>
    <w:p w:rsidR="000B07C7" w:rsidRDefault="00147574" w:rsidP="00BB662F">
      <w:pPr>
        <w:spacing w:line="360" w:lineRule="auto"/>
        <w:jc w:val="both"/>
        <w:rPr>
          <w:rFonts w:ascii="Arial" w:hAnsi="Arial" w:cs="Arial"/>
          <w:lang w:val="en-GB"/>
        </w:rPr>
      </w:pPr>
      <w:proofErr w:type="spellStart"/>
      <w:r w:rsidRPr="00147574">
        <w:rPr>
          <w:rFonts w:ascii="Arial" w:hAnsi="Arial" w:cs="Arial"/>
          <w:i/>
          <w:u w:val="single"/>
          <w:lang w:val="en-GB"/>
        </w:rPr>
        <w:t>J</w:t>
      </w:r>
      <w:r w:rsidR="000B07C7" w:rsidRPr="00147574">
        <w:rPr>
          <w:rFonts w:ascii="Arial" w:hAnsi="Arial" w:cs="Arial"/>
          <w:i/>
          <w:u w:val="single"/>
          <w:lang w:val="en-GB"/>
        </w:rPr>
        <w:t>ollett</w:t>
      </w:r>
      <w:proofErr w:type="spellEnd"/>
      <w:r w:rsidR="000B07C7" w:rsidRPr="00147574">
        <w:rPr>
          <w:rFonts w:ascii="Arial" w:hAnsi="Arial" w:cs="Arial"/>
          <w:i/>
          <w:u w:val="single"/>
          <w:lang w:val="en-GB"/>
        </w:rPr>
        <w:t xml:space="preserve"> and </w:t>
      </w:r>
      <w:proofErr w:type="spellStart"/>
      <w:r w:rsidR="000B07C7" w:rsidRPr="00147574">
        <w:rPr>
          <w:rFonts w:ascii="Arial" w:hAnsi="Arial" w:cs="Arial"/>
          <w:i/>
          <w:u w:val="single"/>
          <w:lang w:val="en-GB"/>
        </w:rPr>
        <w:t>Reitveld</w:t>
      </w:r>
      <w:proofErr w:type="spellEnd"/>
      <w:r w:rsidR="000B07C7" w:rsidRPr="00147574">
        <w:rPr>
          <w:rFonts w:ascii="Arial" w:hAnsi="Arial" w:cs="Arial"/>
          <w:i/>
          <w:u w:val="single"/>
          <w:lang w:val="en-GB"/>
        </w:rPr>
        <w:t xml:space="preserve"> v. </w:t>
      </w:r>
      <w:proofErr w:type="spellStart"/>
      <w:r w:rsidR="000B07C7" w:rsidRPr="00147574">
        <w:rPr>
          <w:rFonts w:ascii="Arial" w:hAnsi="Arial" w:cs="Arial"/>
          <w:i/>
          <w:u w:val="single"/>
          <w:lang w:val="en-GB"/>
        </w:rPr>
        <w:t>Deponthieu</w:t>
      </w:r>
      <w:proofErr w:type="spellEnd"/>
      <w:r w:rsidRPr="00BB5CD3">
        <w:rPr>
          <w:rStyle w:val="FootnoteReference"/>
          <w:rFonts w:ascii="Arial" w:hAnsi="Arial" w:cs="Arial"/>
          <w:i/>
          <w:lang w:val="en-GB"/>
        </w:rPr>
        <w:footnoteReference w:id="113"/>
      </w:r>
    </w:p>
    <w:p w:rsidR="00147574" w:rsidRDefault="00147574" w:rsidP="00BB662F">
      <w:pPr>
        <w:spacing w:line="360" w:lineRule="auto"/>
        <w:jc w:val="both"/>
        <w:rPr>
          <w:rFonts w:ascii="Arial" w:hAnsi="Arial" w:cs="Arial"/>
          <w:lang w:val="en-GB"/>
        </w:rPr>
      </w:pPr>
    </w:p>
    <w:p w:rsidR="00147574" w:rsidRDefault="00D237E6" w:rsidP="00BB662F">
      <w:pPr>
        <w:spacing w:line="360" w:lineRule="auto"/>
        <w:jc w:val="both"/>
        <w:rPr>
          <w:rFonts w:ascii="Arial" w:hAnsi="Arial" w:cs="Arial"/>
          <w:lang w:val="en-GB"/>
        </w:rPr>
      </w:pPr>
      <w:r>
        <w:rPr>
          <w:rFonts w:ascii="Arial" w:hAnsi="Arial" w:cs="Arial"/>
          <w:lang w:val="en-GB"/>
        </w:rPr>
        <w:t xml:space="preserve">Decided by </w:t>
      </w:r>
      <w:r w:rsidR="00147574">
        <w:rPr>
          <w:rFonts w:ascii="Arial" w:hAnsi="Arial" w:cs="Arial"/>
          <w:lang w:val="en-GB"/>
        </w:rPr>
        <w:t>Lord chancellor Camden</w:t>
      </w:r>
      <w:r>
        <w:rPr>
          <w:rFonts w:ascii="Arial" w:hAnsi="Arial" w:cs="Arial"/>
          <w:lang w:val="en-GB"/>
        </w:rPr>
        <w:t xml:space="preserve"> in 1769 this case…</w:t>
      </w:r>
      <w:r w:rsidR="00147574">
        <w:rPr>
          <w:rFonts w:ascii="Arial" w:hAnsi="Arial" w:cs="Arial"/>
          <w:lang w:val="en-GB"/>
        </w:rPr>
        <w:t xml:space="preserve"> </w:t>
      </w:r>
    </w:p>
    <w:p w:rsidR="001320A9" w:rsidRDefault="001320A9" w:rsidP="00BB662F">
      <w:pPr>
        <w:spacing w:line="360" w:lineRule="auto"/>
        <w:jc w:val="both"/>
        <w:rPr>
          <w:rFonts w:ascii="Arial" w:hAnsi="Arial" w:cs="Arial"/>
          <w:lang w:val="en-GB"/>
        </w:rPr>
      </w:pPr>
    </w:p>
    <w:p w:rsidR="001320A9" w:rsidRDefault="001320A9" w:rsidP="00BB662F">
      <w:pPr>
        <w:spacing w:line="360" w:lineRule="auto"/>
        <w:jc w:val="both"/>
        <w:rPr>
          <w:rFonts w:ascii="Arial" w:hAnsi="Arial" w:cs="Arial"/>
          <w:lang w:val="en-GB"/>
        </w:rPr>
      </w:pPr>
    </w:p>
    <w:p w:rsidR="001320A9" w:rsidRDefault="001320A9" w:rsidP="00BB662F">
      <w:pPr>
        <w:spacing w:line="360" w:lineRule="auto"/>
        <w:jc w:val="both"/>
        <w:rPr>
          <w:rFonts w:ascii="Arial" w:hAnsi="Arial" w:cs="Arial"/>
          <w:color w:val="FF0000"/>
          <w:lang w:val="en-GB"/>
        </w:rPr>
      </w:pPr>
      <w:proofErr w:type="spellStart"/>
      <w:r w:rsidRPr="00E169A3">
        <w:rPr>
          <w:rFonts w:ascii="Arial" w:hAnsi="Arial" w:cs="Arial"/>
          <w:color w:val="FF0000"/>
          <w:lang w:val="en-GB"/>
        </w:rPr>
        <w:t>Jollet</w:t>
      </w:r>
      <w:proofErr w:type="spellEnd"/>
      <w:r w:rsidRPr="00E169A3">
        <w:rPr>
          <w:rFonts w:ascii="Arial" w:hAnsi="Arial" w:cs="Arial"/>
          <w:color w:val="FF0000"/>
          <w:lang w:val="en-GB"/>
        </w:rPr>
        <w:t xml:space="preserve"> and </w:t>
      </w:r>
      <w:proofErr w:type="spellStart"/>
      <w:r w:rsidRPr="00E169A3">
        <w:rPr>
          <w:rFonts w:ascii="Arial" w:hAnsi="Arial" w:cs="Arial"/>
          <w:color w:val="FF0000"/>
          <w:lang w:val="en-GB"/>
        </w:rPr>
        <w:t>Reitveld</w:t>
      </w:r>
      <w:proofErr w:type="spellEnd"/>
      <w:r w:rsidRPr="00E169A3">
        <w:rPr>
          <w:rFonts w:ascii="Arial" w:hAnsi="Arial" w:cs="Arial"/>
          <w:color w:val="FF0000"/>
          <w:lang w:val="en-GB"/>
        </w:rPr>
        <w:t xml:space="preserve"> v. </w:t>
      </w:r>
      <w:proofErr w:type="spellStart"/>
      <w:r w:rsidRPr="00E169A3">
        <w:rPr>
          <w:rFonts w:ascii="Arial" w:hAnsi="Arial" w:cs="Arial"/>
          <w:color w:val="FF0000"/>
          <w:lang w:val="en-GB"/>
        </w:rPr>
        <w:t>Deponthieu</w:t>
      </w:r>
      <w:proofErr w:type="spellEnd"/>
      <w:r w:rsidRPr="00E169A3">
        <w:rPr>
          <w:rFonts w:ascii="Arial" w:hAnsi="Arial" w:cs="Arial"/>
          <w:color w:val="FF0000"/>
          <w:lang w:val="en-GB"/>
        </w:rPr>
        <w:t xml:space="preserve"> and </w:t>
      </w:r>
      <w:proofErr w:type="spellStart"/>
      <w:r w:rsidRPr="00E169A3">
        <w:rPr>
          <w:rFonts w:ascii="Arial" w:hAnsi="Arial" w:cs="Arial"/>
          <w:color w:val="FF0000"/>
          <w:lang w:val="en-GB"/>
        </w:rPr>
        <w:t>Baril</w:t>
      </w:r>
      <w:proofErr w:type="spellEnd"/>
      <w:r w:rsidRPr="00E169A3">
        <w:rPr>
          <w:rFonts w:ascii="Arial" w:hAnsi="Arial" w:cs="Arial"/>
          <w:color w:val="FF0000"/>
          <w:lang w:val="en-GB"/>
        </w:rPr>
        <w:t xml:space="preserve"> , in Cane. November 23, 1769, before Lord Chancellor Camden.* </w:t>
      </w:r>
    </w:p>
    <w:p w:rsidR="001320A9" w:rsidRDefault="001320A9" w:rsidP="00BB662F">
      <w:pPr>
        <w:spacing w:line="360" w:lineRule="auto"/>
        <w:jc w:val="both"/>
        <w:rPr>
          <w:rFonts w:ascii="Arial" w:hAnsi="Arial" w:cs="Arial"/>
          <w:color w:val="FF0000"/>
          <w:lang w:val="en-GB"/>
        </w:rPr>
      </w:pPr>
    </w:p>
    <w:p w:rsidR="001320A9" w:rsidRDefault="001320A9" w:rsidP="00BB662F">
      <w:pPr>
        <w:spacing w:line="360" w:lineRule="auto"/>
        <w:jc w:val="both"/>
        <w:rPr>
          <w:rFonts w:ascii="Arial" w:hAnsi="Arial" w:cs="Arial"/>
          <w:color w:val="FF0000"/>
          <w:lang w:val="en-GB"/>
        </w:rPr>
      </w:pPr>
      <w:r w:rsidRPr="00E169A3">
        <w:rPr>
          <w:rFonts w:ascii="Arial" w:hAnsi="Arial" w:cs="Arial"/>
          <w:color w:val="FF0000"/>
          <w:lang w:val="en-GB"/>
        </w:rPr>
        <w:t xml:space="preserve">The </w:t>
      </w:r>
      <w:proofErr w:type="spellStart"/>
      <w:r w:rsidRPr="00E169A3">
        <w:rPr>
          <w:rFonts w:ascii="Arial" w:hAnsi="Arial" w:cs="Arial"/>
          <w:color w:val="FF0000"/>
          <w:lang w:val="en-GB"/>
        </w:rPr>
        <w:t>Deneufvilles</w:t>
      </w:r>
      <w:proofErr w:type="spellEnd"/>
      <w:r w:rsidRPr="00E169A3">
        <w:rPr>
          <w:rFonts w:ascii="Arial" w:hAnsi="Arial" w:cs="Arial"/>
          <w:color w:val="FF0000"/>
          <w:lang w:val="en-GB"/>
        </w:rPr>
        <w:t xml:space="preserve">, merchants, at Amsterdam (but not the same as those mentioned in the preceding case), on the 30th of July 1763, stopped payment. On the 8th of October, the plaintiffs were appointed curators of their estate and effects. At the time when the </w:t>
      </w:r>
      <w:proofErr w:type="spellStart"/>
      <w:r w:rsidRPr="00E169A3">
        <w:rPr>
          <w:rFonts w:ascii="Arial" w:hAnsi="Arial" w:cs="Arial"/>
          <w:color w:val="FF0000"/>
          <w:lang w:val="en-GB"/>
        </w:rPr>
        <w:t>Deneufvilles</w:t>
      </w:r>
      <w:proofErr w:type="spellEnd"/>
      <w:r w:rsidRPr="00E169A3">
        <w:rPr>
          <w:rFonts w:ascii="Arial" w:hAnsi="Arial" w:cs="Arial"/>
          <w:color w:val="FF0000"/>
          <w:lang w:val="en-GB"/>
        </w:rPr>
        <w:t xml:space="preserve"> stopped, and were declared bankrupts, they were indebted to Messrs. </w:t>
      </w:r>
      <w:proofErr w:type="spellStart"/>
      <w:r w:rsidRPr="00E169A3">
        <w:rPr>
          <w:rFonts w:ascii="Arial" w:hAnsi="Arial" w:cs="Arial"/>
          <w:color w:val="FF0000"/>
          <w:lang w:val="en-GB"/>
        </w:rPr>
        <w:t>Deponthieu</w:t>
      </w:r>
      <w:proofErr w:type="spellEnd"/>
      <w:r w:rsidRPr="00E169A3">
        <w:rPr>
          <w:rFonts w:ascii="Arial" w:hAnsi="Arial" w:cs="Arial"/>
          <w:color w:val="FF0000"/>
          <w:lang w:val="en-GB"/>
        </w:rPr>
        <w:t xml:space="preserve"> and Co. merchants of London in 1600l. and Messrs. </w:t>
      </w:r>
      <w:proofErr w:type="spellStart"/>
      <w:r w:rsidRPr="00E169A3">
        <w:rPr>
          <w:rFonts w:ascii="Arial" w:hAnsi="Arial" w:cs="Arial"/>
          <w:color w:val="FF0000"/>
          <w:lang w:val="en-GB"/>
        </w:rPr>
        <w:t>Baril</w:t>
      </w:r>
      <w:proofErr w:type="spellEnd"/>
      <w:r w:rsidRPr="00E169A3">
        <w:rPr>
          <w:rFonts w:ascii="Arial" w:hAnsi="Arial" w:cs="Arial"/>
          <w:color w:val="FF0000"/>
          <w:lang w:val="en-GB"/>
        </w:rPr>
        <w:t xml:space="preserve"> and </w:t>
      </w:r>
      <w:proofErr w:type="spellStart"/>
      <w:r w:rsidRPr="00E169A3">
        <w:rPr>
          <w:rFonts w:ascii="Arial" w:hAnsi="Arial" w:cs="Arial"/>
          <w:color w:val="FF0000"/>
          <w:lang w:val="en-GB"/>
        </w:rPr>
        <w:t>Texier</w:t>
      </w:r>
      <w:proofErr w:type="spellEnd"/>
      <w:r w:rsidRPr="00E169A3">
        <w:rPr>
          <w:rFonts w:ascii="Arial" w:hAnsi="Arial" w:cs="Arial"/>
          <w:color w:val="FF0000"/>
          <w:lang w:val="en-GB"/>
        </w:rPr>
        <w:t xml:space="preserve"> were indebted to the </w:t>
      </w:r>
      <w:proofErr w:type="spellStart"/>
      <w:r w:rsidRPr="00E169A3">
        <w:rPr>
          <w:rFonts w:ascii="Arial" w:hAnsi="Arial" w:cs="Arial"/>
          <w:color w:val="FF0000"/>
          <w:lang w:val="en-GB"/>
        </w:rPr>
        <w:t>Deneufvilles</w:t>
      </w:r>
      <w:proofErr w:type="spellEnd"/>
      <w:r w:rsidRPr="00E169A3">
        <w:rPr>
          <w:rFonts w:ascii="Arial" w:hAnsi="Arial" w:cs="Arial"/>
          <w:color w:val="FF0000"/>
          <w:lang w:val="en-GB"/>
        </w:rPr>
        <w:t xml:space="preserve"> in 2131l. 18s. 11d. </w:t>
      </w:r>
    </w:p>
    <w:p w:rsidR="001320A9" w:rsidRDefault="001320A9" w:rsidP="00BB662F">
      <w:pPr>
        <w:spacing w:line="360" w:lineRule="auto"/>
        <w:jc w:val="both"/>
        <w:rPr>
          <w:rFonts w:ascii="Arial" w:hAnsi="Arial" w:cs="Arial"/>
          <w:color w:val="FF0000"/>
          <w:lang w:val="en-GB"/>
        </w:rPr>
      </w:pPr>
    </w:p>
    <w:p w:rsidR="001320A9" w:rsidRDefault="001320A9" w:rsidP="00BB662F">
      <w:pPr>
        <w:spacing w:line="360" w:lineRule="auto"/>
        <w:jc w:val="both"/>
        <w:rPr>
          <w:rFonts w:ascii="Arial" w:hAnsi="Arial" w:cs="Arial"/>
          <w:color w:val="FF0000"/>
          <w:lang w:val="en-GB"/>
        </w:rPr>
      </w:pPr>
      <w:r w:rsidRPr="00E169A3">
        <w:rPr>
          <w:rFonts w:ascii="Arial" w:hAnsi="Arial" w:cs="Arial"/>
          <w:color w:val="FF0000"/>
          <w:lang w:val="en-GB"/>
        </w:rPr>
        <w:t xml:space="preserve">On the 5th of January 1764, the </w:t>
      </w:r>
      <w:proofErr w:type="spellStart"/>
      <w:r w:rsidRPr="00E169A3">
        <w:rPr>
          <w:rFonts w:ascii="Arial" w:hAnsi="Arial" w:cs="Arial"/>
          <w:color w:val="FF0000"/>
          <w:lang w:val="en-GB"/>
        </w:rPr>
        <w:t>Deponthieus</w:t>
      </w:r>
      <w:proofErr w:type="spellEnd"/>
      <w:r w:rsidRPr="00E169A3">
        <w:rPr>
          <w:rFonts w:ascii="Arial" w:hAnsi="Arial" w:cs="Arial"/>
          <w:color w:val="FF0000"/>
          <w:lang w:val="en-GB"/>
        </w:rPr>
        <w:t xml:space="preserve"> and Co. made an affidavit of their debt, and on the 12th of that month attached the monies of the </w:t>
      </w:r>
      <w:proofErr w:type="spellStart"/>
      <w:r w:rsidRPr="00E169A3">
        <w:rPr>
          <w:rFonts w:ascii="Arial" w:hAnsi="Arial" w:cs="Arial"/>
          <w:color w:val="FF0000"/>
          <w:lang w:val="en-GB"/>
        </w:rPr>
        <w:t>Daneufvilles</w:t>
      </w:r>
      <w:proofErr w:type="spellEnd"/>
      <w:r w:rsidRPr="00E169A3">
        <w:rPr>
          <w:rFonts w:ascii="Arial" w:hAnsi="Arial" w:cs="Arial"/>
          <w:color w:val="FF0000"/>
          <w:lang w:val="en-GB"/>
        </w:rPr>
        <w:t xml:space="preserve"> in the hands of </w:t>
      </w:r>
      <w:proofErr w:type="spellStart"/>
      <w:r w:rsidRPr="00E169A3">
        <w:rPr>
          <w:rFonts w:ascii="Arial" w:hAnsi="Arial" w:cs="Arial"/>
          <w:color w:val="FF0000"/>
          <w:lang w:val="en-GB"/>
        </w:rPr>
        <w:t>Baril</w:t>
      </w:r>
      <w:proofErr w:type="spellEnd"/>
      <w:r w:rsidRPr="00E169A3">
        <w:rPr>
          <w:rFonts w:ascii="Arial" w:hAnsi="Arial" w:cs="Arial"/>
          <w:color w:val="FF0000"/>
          <w:lang w:val="en-GB"/>
        </w:rPr>
        <w:t xml:space="preserve"> and </w:t>
      </w:r>
      <w:proofErr w:type="spellStart"/>
      <w:r w:rsidRPr="00E169A3">
        <w:rPr>
          <w:rFonts w:ascii="Arial" w:hAnsi="Arial" w:cs="Arial"/>
          <w:color w:val="FF0000"/>
          <w:lang w:val="en-GB"/>
        </w:rPr>
        <w:t>Texier</w:t>
      </w:r>
      <w:proofErr w:type="spellEnd"/>
      <w:r w:rsidRPr="00E169A3">
        <w:rPr>
          <w:rFonts w:ascii="Arial" w:hAnsi="Arial" w:cs="Arial"/>
          <w:color w:val="FF0000"/>
          <w:lang w:val="en-GB"/>
        </w:rPr>
        <w:t xml:space="preserve">. Pending the attachment, the curators filed their bill against </w:t>
      </w:r>
      <w:proofErr w:type="spellStart"/>
      <w:r w:rsidRPr="00E169A3">
        <w:rPr>
          <w:rFonts w:ascii="Arial" w:hAnsi="Arial" w:cs="Arial"/>
          <w:color w:val="FF0000"/>
          <w:lang w:val="en-GB"/>
        </w:rPr>
        <w:t>Deponthieu</w:t>
      </w:r>
      <w:proofErr w:type="spellEnd"/>
      <w:r w:rsidRPr="00E169A3">
        <w:rPr>
          <w:rFonts w:ascii="Arial" w:hAnsi="Arial" w:cs="Arial"/>
          <w:color w:val="FF0000"/>
          <w:lang w:val="en-GB"/>
        </w:rPr>
        <w:t xml:space="preserve"> and Co. and </w:t>
      </w:r>
      <w:proofErr w:type="spellStart"/>
      <w:r w:rsidRPr="00E169A3">
        <w:rPr>
          <w:rFonts w:ascii="Arial" w:hAnsi="Arial" w:cs="Arial"/>
          <w:color w:val="FF0000"/>
          <w:lang w:val="en-GB"/>
        </w:rPr>
        <w:t>Baril</w:t>
      </w:r>
      <w:proofErr w:type="spellEnd"/>
      <w:r w:rsidRPr="00E169A3">
        <w:rPr>
          <w:rFonts w:ascii="Arial" w:hAnsi="Arial" w:cs="Arial"/>
          <w:color w:val="FF0000"/>
          <w:lang w:val="en-GB"/>
        </w:rPr>
        <w:t xml:space="preserve"> (</w:t>
      </w:r>
      <w:proofErr w:type="spellStart"/>
      <w:r w:rsidRPr="00E169A3">
        <w:rPr>
          <w:rFonts w:ascii="Arial" w:hAnsi="Arial" w:cs="Arial"/>
          <w:color w:val="FF0000"/>
          <w:lang w:val="en-GB"/>
        </w:rPr>
        <w:t>Texier</w:t>
      </w:r>
      <w:proofErr w:type="spellEnd"/>
      <w:r w:rsidRPr="00E169A3">
        <w:rPr>
          <w:rFonts w:ascii="Arial" w:hAnsi="Arial" w:cs="Arial"/>
          <w:color w:val="FF0000"/>
          <w:lang w:val="en-GB"/>
        </w:rPr>
        <w:t xml:space="preserve"> being absent) praying, “that an account might be taken of all dealings and transactions between the bankrupts and </w:t>
      </w:r>
      <w:proofErr w:type="spellStart"/>
      <w:r w:rsidRPr="00E169A3">
        <w:rPr>
          <w:rFonts w:ascii="Arial" w:hAnsi="Arial" w:cs="Arial"/>
          <w:color w:val="FF0000"/>
          <w:lang w:val="en-GB"/>
        </w:rPr>
        <w:t>Baril</w:t>
      </w:r>
      <w:proofErr w:type="spellEnd"/>
      <w:r w:rsidRPr="00E169A3">
        <w:rPr>
          <w:rFonts w:ascii="Arial" w:hAnsi="Arial" w:cs="Arial"/>
          <w:color w:val="FF0000"/>
          <w:lang w:val="en-GB"/>
        </w:rPr>
        <w:t xml:space="preserve"> and </w:t>
      </w:r>
      <w:proofErr w:type="spellStart"/>
      <w:r w:rsidRPr="00E169A3">
        <w:rPr>
          <w:rFonts w:ascii="Arial" w:hAnsi="Arial" w:cs="Arial"/>
          <w:color w:val="FF0000"/>
          <w:lang w:val="en-GB"/>
        </w:rPr>
        <w:t>Texier</w:t>
      </w:r>
      <w:proofErr w:type="spellEnd"/>
      <w:r w:rsidRPr="00E169A3">
        <w:rPr>
          <w:rFonts w:ascii="Arial" w:hAnsi="Arial" w:cs="Arial"/>
          <w:color w:val="FF0000"/>
          <w:lang w:val="en-GB"/>
        </w:rPr>
        <w:t xml:space="preserve">, that the balance might be liquidated, and paid to the plaintiffs, and that the other defendant might be restrained by injunction, from any further proceedings against </w:t>
      </w:r>
      <w:proofErr w:type="spellStart"/>
      <w:r w:rsidRPr="00E169A3">
        <w:rPr>
          <w:rFonts w:ascii="Arial" w:hAnsi="Arial" w:cs="Arial"/>
          <w:color w:val="FF0000"/>
          <w:lang w:val="en-GB"/>
        </w:rPr>
        <w:t>Baril</w:t>
      </w:r>
      <w:proofErr w:type="spellEnd"/>
      <w:r w:rsidRPr="00E169A3">
        <w:rPr>
          <w:rFonts w:ascii="Arial" w:hAnsi="Arial" w:cs="Arial"/>
          <w:color w:val="FF0000"/>
          <w:lang w:val="en-GB"/>
        </w:rPr>
        <w:t xml:space="preserve"> </w:t>
      </w:r>
      <w:r w:rsidRPr="00E169A3">
        <w:rPr>
          <w:rFonts w:ascii="Arial" w:hAnsi="Arial" w:cs="Arial"/>
          <w:color w:val="FF0000"/>
          <w:lang w:val="en-GB"/>
        </w:rPr>
        <w:lastRenderedPageBreak/>
        <w:t xml:space="preserve">and </w:t>
      </w:r>
      <w:proofErr w:type="spellStart"/>
      <w:r w:rsidRPr="00E169A3">
        <w:rPr>
          <w:rFonts w:ascii="Arial" w:hAnsi="Arial" w:cs="Arial"/>
          <w:color w:val="FF0000"/>
          <w:lang w:val="en-GB"/>
        </w:rPr>
        <w:t>Texier</w:t>
      </w:r>
      <w:proofErr w:type="spellEnd"/>
      <w:r w:rsidRPr="00E169A3">
        <w:rPr>
          <w:rFonts w:ascii="Arial" w:hAnsi="Arial" w:cs="Arial"/>
          <w:color w:val="FF0000"/>
          <w:lang w:val="en-GB"/>
        </w:rPr>
        <w:t xml:space="preserve"> in respect of the foreign attachment, or any security given in consequence thereof.” It was decreed, “that the plaintiffs were entitled to recover from </w:t>
      </w:r>
      <w:proofErr w:type="spellStart"/>
      <w:r w:rsidRPr="00E169A3">
        <w:rPr>
          <w:rFonts w:ascii="Arial" w:hAnsi="Arial" w:cs="Arial"/>
          <w:color w:val="FF0000"/>
          <w:lang w:val="en-GB"/>
        </w:rPr>
        <w:t>Baril</w:t>
      </w:r>
      <w:proofErr w:type="spellEnd"/>
      <w:r w:rsidRPr="00E169A3">
        <w:rPr>
          <w:rFonts w:ascii="Arial" w:hAnsi="Arial" w:cs="Arial"/>
          <w:color w:val="FF0000"/>
          <w:lang w:val="en-GB"/>
        </w:rPr>
        <w:t xml:space="preserve"> and </w:t>
      </w:r>
      <w:proofErr w:type="spellStart"/>
      <w:r w:rsidRPr="00E169A3">
        <w:rPr>
          <w:rFonts w:ascii="Arial" w:hAnsi="Arial" w:cs="Arial"/>
          <w:color w:val="FF0000"/>
          <w:lang w:val="en-GB"/>
        </w:rPr>
        <w:t>Texier</w:t>
      </w:r>
      <w:proofErr w:type="spellEnd"/>
      <w:r w:rsidRPr="00E169A3">
        <w:rPr>
          <w:rFonts w:ascii="Arial" w:hAnsi="Arial" w:cs="Arial"/>
          <w:color w:val="FF0000"/>
          <w:lang w:val="en-GB"/>
        </w:rPr>
        <w:t xml:space="preserve"> the sum of 2131l. 18s. 11d. being the balance of an account current, transmitted to the </w:t>
      </w:r>
      <w:proofErr w:type="spellStart"/>
      <w:r w:rsidRPr="00E169A3">
        <w:rPr>
          <w:rFonts w:ascii="Arial" w:hAnsi="Arial" w:cs="Arial"/>
          <w:color w:val="FF0000"/>
          <w:lang w:val="en-GB"/>
        </w:rPr>
        <w:t>Deneufvilles</w:t>
      </w:r>
      <w:proofErr w:type="spellEnd"/>
      <w:r w:rsidRPr="00E169A3">
        <w:rPr>
          <w:rFonts w:ascii="Arial" w:hAnsi="Arial" w:cs="Arial"/>
          <w:color w:val="FF0000"/>
          <w:lang w:val="en-GB"/>
        </w:rPr>
        <w:t xml:space="preserve"> on the 24th of October 1764,” (which the plaintiffs consented to accept as the real balance due, and to waive all further account, and therefore) “that it should be referred to one of the masters to compute interest on the principal sum of 2131l. 18s. 11d. at 4 per cent. from the 26th of October 1764, and that a perpetual injunction should issue against </w:t>
      </w:r>
      <w:proofErr w:type="spellStart"/>
      <w:r w:rsidRPr="00E169A3">
        <w:rPr>
          <w:rFonts w:ascii="Arial" w:hAnsi="Arial" w:cs="Arial"/>
          <w:color w:val="FF0000"/>
          <w:lang w:val="en-GB"/>
        </w:rPr>
        <w:t>Deponthieu</w:t>
      </w:r>
      <w:proofErr w:type="spellEnd"/>
      <w:r w:rsidRPr="00E169A3">
        <w:rPr>
          <w:rFonts w:ascii="Arial" w:hAnsi="Arial" w:cs="Arial"/>
          <w:color w:val="FF0000"/>
          <w:lang w:val="en-GB"/>
        </w:rPr>
        <w:t xml:space="preserve"> and Co. to restrain them from proceeding on the foreign attachment.” </w:t>
      </w:r>
    </w:p>
    <w:p w:rsidR="001320A9" w:rsidRDefault="001320A9" w:rsidP="00BB662F">
      <w:pPr>
        <w:spacing w:line="360" w:lineRule="auto"/>
        <w:jc w:val="both"/>
        <w:rPr>
          <w:rFonts w:ascii="Arial" w:hAnsi="Arial" w:cs="Arial"/>
          <w:color w:val="FF0000"/>
          <w:lang w:val="en-GB"/>
        </w:rPr>
      </w:pPr>
    </w:p>
    <w:p w:rsidR="001320A9" w:rsidRDefault="001320A9" w:rsidP="00BB662F">
      <w:pPr>
        <w:spacing w:line="360" w:lineRule="auto"/>
        <w:jc w:val="both"/>
        <w:rPr>
          <w:rFonts w:ascii="Arial" w:hAnsi="Arial" w:cs="Arial"/>
          <w:color w:val="FF0000"/>
          <w:lang w:val="en-GB"/>
        </w:rPr>
      </w:pPr>
      <w:r w:rsidRPr="00E169A3">
        <w:rPr>
          <w:rFonts w:ascii="Arial" w:hAnsi="Arial" w:cs="Arial"/>
          <w:color w:val="FF0000"/>
          <w:lang w:val="en-GB"/>
        </w:rPr>
        <w:t xml:space="preserve">It appeared from the proofs taken in the cause, that a bankrupt's effects, by the laws of Holland vest in the curators only from the time of their being appointed, and not by relation to the time of the committing the act of bankruptcy. </w:t>
      </w:r>
    </w:p>
    <w:p w:rsidR="001320A9" w:rsidRDefault="001320A9" w:rsidP="00BB662F">
      <w:pPr>
        <w:spacing w:line="360" w:lineRule="auto"/>
        <w:jc w:val="both"/>
        <w:rPr>
          <w:rFonts w:ascii="Arial" w:hAnsi="Arial" w:cs="Arial"/>
          <w:lang w:val="en-GB"/>
        </w:rPr>
      </w:pPr>
    </w:p>
    <w:p w:rsidR="00147574" w:rsidRDefault="00147574" w:rsidP="00BB662F">
      <w:pPr>
        <w:spacing w:line="360" w:lineRule="auto"/>
        <w:jc w:val="both"/>
        <w:rPr>
          <w:rFonts w:ascii="Arial" w:hAnsi="Arial" w:cs="Arial"/>
          <w:lang w:val="en-GB"/>
        </w:rPr>
      </w:pPr>
    </w:p>
    <w:p w:rsidR="00147574" w:rsidRDefault="00147574" w:rsidP="00BB662F">
      <w:pPr>
        <w:spacing w:line="360" w:lineRule="auto"/>
        <w:jc w:val="both"/>
        <w:rPr>
          <w:rFonts w:ascii="Arial" w:hAnsi="Arial" w:cs="Arial"/>
          <w:lang w:val="en-GB"/>
        </w:rPr>
      </w:pPr>
    </w:p>
    <w:p w:rsidR="00147574" w:rsidRDefault="00147574" w:rsidP="00BB662F">
      <w:pPr>
        <w:spacing w:line="360" w:lineRule="auto"/>
        <w:jc w:val="both"/>
        <w:rPr>
          <w:rFonts w:ascii="Arial" w:hAnsi="Arial" w:cs="Arial"/>
          <w:lang w:val="en-GB"/>
        </w:rPr>
      </w:pPr>
    </w:p>
    <w:p w:rsidR="00147574" w:rsidRDefault="00147574" w:rsidP="00BB662F">
      <w:pPr>
        <w:spacing w:line="360" w:lineRule="auto"/>
        <w:jc w:val="both"/>
        <w:rPr>
          <w:rFonts w:ascii="Arial" w:hAnsi="Arial" w:cs="Arial"/>
          <w:lang w:val="en-GB"/>
        </w:rPr>
      </w:pPr>
    </w:p>
    <w:p w:rsidR="00147574" w:rsidRDefault="00147574" w:rsidP="00BB662F">
      <w:pPr>
        <w:spacing w:line="360" w:lineRule="auto"/>
        <w:jc w:val="both"/>
        <w:rPr>
          <w:rFonts w:ascii="Arial" w:hAnsi="Arial" w:cs="Arial"/>
          <w:lang w:val="en-GB"/>
        </w:rPr>
      </w:pPr>
    </w:p>
    <w:p w:rsidR="00147574" w:rsidRDefault="00147574" w:rsidP="00BB662F">
      <w:pPr>
        <w:spacing w:line="360" w:lineRule="auto"/>
        <w:jc w:val="both"/>
        <w:rPr>
          <w:rFonts w:ascii="Arial" w:hAnsi="Arial" w:cs="Arial"/>
          <w:lang w:val="en-GB"/>
        </w:rPr>
      </w:pPr>
      <w:r>
        <w:rPr>
          <w:rFonts w:ascii="Arial" w:hAnsi="Arial" w:cs="Arial"/>
          <w:lang w:val="en-GB"/>
        </w:rPr>
        <w:br w:type="page"/>
      </w:r>
    </w:p>
    <w:p w:rsidR="00147574" w:rsidRPr="00147574" w:rsidRDefault="00147574" w:rsidP="00BB662F">
      <w:pPr>
        <w:spacing w:line="360" w:lineRule="auto"/>
        <w:jc w:val="both"/>
        <w:rPr>
          <w:rFonts w:ascii="Arial" w:hAnsi="Arial" w:cs="Arial"/>
          <w:lang w:val="en-GB"/>
        </w:rPr>
      </w:pPr>
      <w:r w:rsidRPr="00147574">
        <w:rPr>
          <w:rFonts w:ascii="Arial" w:hAnsi="Arial" w:cs="Arial"/>
          <w:i/>
          <w:u w:val="single"/>
          <w:lang w:val="en-GB"/>
        </w:rPr>
        <w:lastRenderedPageBreak/>
        <w:t xml:space="preserve">Neale v. </w:t>
      </w:r>
      <w:proofErr w:type="spellStart"/>
      <w:r w:rsidRPr="00147574">
        <w:rPr>
          <w:rFonts w:ascii="Arial" w:hAnsi="Arial" w:cs="Arial"/>
          <w:i/>
          <w:u w:val="single"/>
          <w:lang w:val="en-GB"/>
        </w:rPr>
        <w:t>Cottinghar</w:t>
      </w:r>
      <w:r w:rsidR="00F93EAD">
        <w:rPr>
          <w:rFonts w:ascii="Arial" w:hAnsi="Arial" w:cs="Arial"/>
          <w:i/>
          <w:u w:val="single"/>
          <w:lang w:val="en-GB"/>
        </w:rPr>
        <w:t>m</w:t>
      </w:r>
      <w:proofErr w:type="spellEnd"/>
      <w:r w:rsidR="00F93EAD" w:rsidRPr="00F93EAD">
        <w:rPr>
          <w:rStyle w:val="FootnoteReference"/>
          <w:rFonts w:ascii="Arial" w:hAnsi="Arial" w:cs="Arial"/>
          <w:lang w:val="en-GB"/>
        </w:rPr>
        <w:footnoteReference w:id="114"/>
      </w:r>
      <w:r w:rsidRPr="00F93EAD">
        <w:rPr>
          <w:rFonts w:ascii="Arial" w:hAnsi="Arial" w:cs="Arial"/>
          <w:lang w:val="en-GB"/>
        </w:rPr>
        <w:t xml:space="preserve"> </w:t>
      </w:r>
    </w:p>
    <w:p w:rsidR="00F93EAD" w:rsidRDefault="00F93EAD" w:rsidP="00BB662F">
      <w:pPr>
        <w:spacing w:line="360" w:lineRule="auto"/>
        <w:jc w:val="both"/>
        <w:rPr>
          <w:rFonts w:ascii="Arial" w:hAnsi="Arial" w:cs="Arial"/>
          <w:lang w:val="en-GB"/>
        </w:rPr>
      </w:pPr>
    </w:p>
    <w:p w:rsidR="00147574" w:rsidRDefault="00147574" w:rsidP="00BB662F">
      <w:pPr>
        <w:spacing w:line="360" w:lineRule="auto"/>
        <w:jc w:val="both"/>
        <w:rPr>
          <w:rFonts w:ascii="Arial" w:hAnsi="Arial" w:cs="Arial"/>
          <w:lang w:val="en-GB"/>
        </w:rPr>
      </w:pPr>
      <w:r>
        <w:rPr>
          <w:rFonts w:ascii="Arial" w:hAnsi="Arial" w:cs="Arial"/>
          <w:lang w:val="en-GB"/>
        </w:rPr>
        <w:t>Lo</w:t>
      </w:r>
      <w:r w:rsidRPr="00147574">
        <w:rPr>
          <w:rFonts w:ascii="Arial" w:hAnsi="Arial" w:cs="Arial"/>
          <w:lang w:val="en-GB"/>
        </w:rPr>
        <w:t xml:space="preserve">rd </w:t>
      </w:r>
      <w:proofErr w:type="spellStart"/>
      <w:r w:rsidRPr="00147574">
        <w:rPr>
          <w:rFonts w:ascii="Arial" w:hAnsi="Arial" w:cs="Arial"/>
          <w:lang w:val="en-GB"/>
        </w:rPr>
        <w:t>Lifford</w:t>
      </w:r>
      <w:r w:rsidR="00F93EAD">
        <w:rPr>
          <w:rFonts w:ascii="Arial" w:hAnsi="Arial" w:cs="Arial"/>
          <w:lang w:val="en-GB"/>
        </w:rPr>
        <w:t>’s</w:t>
      </w:r>
      <w:proofErr w:type="spellEnd"/>
      <w:r w:rsidR="00F93EAD">
        <w:rPr>
          <w:rFonts w:ascii="Arial" w:hAnsi="Arial" w:cs="Arial"/>
          <w:lang w:val="en-GB"/>
        </w:rPr>
        <w:t xml:space="preserve"> judgment in the Irish case of Neale is also another early contender. Heard in XX the case involved XX </w:t>
      </w:r>
    </w:p>
    <w:p w:rsidR="00A610D8" w:rsidRDefault="00A610D8" w:rsidP="00BB662F">
      <w:pPr>
        <w:spacing w:line="360" w:lineRule="auto"/>
        <w:jc w:val="both"/>
        <w:rPr>
          <w:rFonts w:ascii="Arial" w:hAnsi="Arial" w:cs="Arial"/>
          <w:lang w:val="en-GB"/>
        </w:rPr>
      </w:pPr>
    </w:p>
    <w:p w:rsidR="00A610D8" w:rsidRDefault="00A610D8" w:rsidP="00BB662F">
      <w:pPr>
        <w:spacing w:line="360" w:lineRule="auto"/>
        <w:jc w:val="both"/>
        <w:rPr>
          <w:rFonts w:ascii="Arial" w:hAnsi="Arial" w:cs="Arial"/>
          <w:lang w:val="en-GB"/>
        </w:rPr>
      </w:pPr>
    </w:p>
    <w:p w:rsidR="00A610D8" w:rsidRDefault="00A610D8" w:rsidP="00BB662F">
      <w:pPr>
        <w:spacing w:line="360" w:lineRule="auto"/>
        <w:jc w:val="both"/>
        <w:rPr>
          <w:rFonts w:ascii="Arial" w:hAnsi="Arial" w:cs="Arial"/>
          <w:color w:val="FF0000"/>
          <w:lang w:val="en-GB"/>
        </w:rPr>
      </w:pPr>
      <w:r w:rsidRPr="00E169A3">
        <w:rPr>
          <w:rFonts w:ascii="Arial" w:hAnsi="Arial" w:cs="Arial"/>
          <w:color w:val="FF0000"/>
          <w:lang w:val="en-GB"/>
        </w:rPr>
        <w:t xml:space="preserve">Grattan a merchant in London was indebted to Cottingham a merchant in Dublin in 862l. 4s. 1d., and the </w:t>
      </w:r>
      <w:proofErr w:type="spellStart"/>
      <w:r w:rsidRPr="00E169A3">
        <w:rPr>
          <w:rFonts w:ascii="Arial" w:hAnsi="Arial" w:cs="Arial"/>
          <w:color w:val="FF0000"/>
          <w:lang w:val="en-GB"/>
        </w:rPr>
        <w:t>Houghtons</w:t>
      </w:r>
      <w:proofErr w:type="spellEnd"/>
      <w:r w:rsidRPr="00E169A3">
        <w:rPr>
          <w:rFonts w:ascii="Arial" w:hAnsi="Arial" w:cs="Arial"/>
          <w:color w:val="FF0000"/>
          <w:lang w:val="en-GB"/>
        </w:rPr>
        <w:t xml:space="preserve"> were indebted to Grattan in 600l. On the 27th of October 1763, Cottingham made an affidavit of his debt, and commenced an action in the </w:t>
      </w:r>
      <w:proofErr w:type="spellStart"/>
      <w:r w:rsidRPr="00E169A3">
        <w:rPr>
          <w:rFonts w:ascii="Arial" w:hAnsi="Arial" w:cs="Arial"/>
          <w:color w:val="FF0000"/>
          <w:lang w:val="en-GB"/>
        </w:rPr>
        <w:t>Tholsel</w:t>
      </w:r>
      <w:proofErr w:type="spellEnd"/>
      <w:r w:rsidRPr="00E169A3">
        <w:rPr>
          <w:rFonts w:ascii="Arial" w:hAnsi="Arial" w:cs="Arial"/>
          <w:color w:val="FF0000"/>
          <w:lang w:val="en-GB"/>
        </w:rPr>
        <w:t xml:space="preserve"> Court of Dublin against Grattan, and on the 31st of that month attached the monies due to him from the </w:t>
      </w:r>
      <w:proofErr w:type="spellStart"/>
      <w:r w:rsidRPr="00E169A3">
        <w:rPr>
          <w:rFonts w:ascii="Arial" w:hAnsi="Arial" w:cs="Arial"/>
          <w:color w:val="FF0000"/>
          <w:lang w:val="en-GB"/>
        </w:rPr>
        <w:t>Houghtons</w:t>
      </w:r>
      <w:proofErr w:type="spellEnd"/>
      <w:r w:rsidRPr="00E169A3">
        <w:rPr>
          <w:rFonts w:ascii="Arial" w:hAnsi="Arial" w:cs="Arial"/>
          <w:color w:val="FF0000"/>
          <w:lang w:val="en-GB"/>
        </w:rPr>
        <w:t xml:space="preserve">, in their hands. On the 21st of November, judgment was signed by default, and on the 9th of January 1764, the </w:t>
      </w:r>
      <w:proofErr w:type="spellStart"/>
      <w:r w:rsidRPr="00E169A3">
        <w:rPr>
          <w:rFonts w:ascii="Arial" w:hAnsi="Arial" w:cs="Arial"/>
          <w:color w:val="FF0000"/>
          <w:lang w:val="en-GB"/>
        </w:rPr>
        <w:t>Houghtons</w:t>
      </w:r>
      <w:proofErr w:type="spellEnd"/>
      <w:r w:rsidRPr="00E169A3">
        <w:rPr>
          <w:rFonts w:ascii="Arial" w:hAnsi="Arial" w:cs="Arial"/>
          <w:color w:val="FF0000"/>
          <w:lang w:val="en-GB"/>
        </w:rPr>
        <w:t xml:space="preserve"> were taken in execution on a ca. </w:t>
      </w:r>
      <w:proofErr w:type="spellStart"/>
      <w:r w:rsidRPr="00E169A3">
        <w:rPr>
          <w:rFonts w:ascii="Arial" w:hAnsi="Arial" w:cs="Arial"/>
          <w:color w:val="FF0000"/>
          <w:lang w:val="en-GB"/>
        </w:rPr>
        <w:t>sa</w:t>
      </w:r>
      <w:proofErr w:type="spellEnd"/>
      <w:r w:rsidRPr="00E169A3">
        <w:rPr>
          <w:rFonts w:ascii="Arial" w:hAnsi="Arial" w:cs="Arial"/>
          <w:color w:val="FF0000"/>
          <w:lang w:val="en-GB"/>
        </w:rPr>
        <w:t xml:space="preserve">. who in order to procure their discharge, paid Cottingham 600l. the money due from them, and 1l. 19s. 11d. costs. On the 28th of October 1763, a commission of bankrupt issued against Grattan in England, who on that day was declared a bankrupt. On the 10th of November 1763, his effects were assigned to the plaintiffs' assignees. On the 16th of November 1764, they filed a bill in the Court of Chancery in Ireland, against Cottingham and the </w:t>
      </w:r>
      <w:proofErr w:type="spellStart"/>
      <w:r w:rsidRPr="00E169A3">
        <w:rPr>
          <w:rFonts w:ascii="Arial" w:hAnsi="Arial" w:cs="Arial"/>
          <w:color w:val="FF0000"/>
          <w:lang w:val="en-GB"/>
        </w:rPr>
        <w:t>Houghtons</w:t>
      </w:r>
      <w:proofErr w:type="spellEnd"/>
      <w:r w:rsidRPr="00E169A3">
        <w:rPr>
          <w:rFonts w:ascii="Arial" w:hAnsi="Arial" w:cs="Arial"/>
          <w:color w:val="FF0000"/>
          <w:lang w:val="en-GB"/>
        </w:rPr>
        <w:t xml:space="preserve">, praying, that an account might be taken of all such sums of money as had been received by Cottingham from the </w:t>
      </w:r>
      <w:proofErr w:type="spellStart"/>
      <w:r w:rsidRPr="00E169A3">
        <w:rPr>
          <w:rFonts w:ascii="Arial" w:hAnsi="Arial" w:cs="Arial"/>
          <w:color w:val="FF0000"/>
          <w:lang w:val="en-GB"/>
        </w:rPr>
        <w:t>Houghtons</w:t>
      </w:r>
      <w:proofErr w:type="spellEnd"/>
      <w:r w:rsidRPr="00E169A3">
        <w:rPr>
          <w:rFonts w:ascii="Arial" w:hAnsi="Arial" w:cs="Arial"/>
          <w:color w:val="FF0000"/>
          <w:lang w:val="en-GB"/>
        </w:rPr>
        <w:t xml:space="preserve">, for any debt due by them to Grattan before his bankruptcy, and that interest might be computed thereon from the times when he received the same respectively, and that he might be decreed to pay what should be found due to the assignees. As this was the first cause of this kind ever decided in Ireland, the Lord Chancellor called in the assistance of several of the Judges, and after great consideration, with the approbation of the Judges whom he consulted, pronounced a decree in favour of the plaintiffs, and ordered Cottingham to pay them the money which he had received of the </w:t>
      </w:r>
      <w:proofErr w:type="spellStart"/>
      <w:r w:rsidRPr="00E169A3">
        <w:rPr>
          <w:rFonts w:ascii="Arial" w:hAnsi="Arial" w:cs="Arial"/>
          <w:color w:val="FF0000"/>
          <w:lang w:val="en-GB"/>
        </w:rPr>
        <w:t>Houghtons</w:t>
      </w:r>
      <w:proofErr w:type="spellEnd"/>
      <w:r w:rsidRPr="00E169A3">
        <w:rPr>
          <w:rFonts w:ascii="Arial" w:hAnsi="Arial" w:cs="Arial"/>
          <w:color w:val="FF0000"/>
          <w:lang w:val="en-GB"/>
        </w:rPr>
        <w:t xml:space="preserve">. </w:t>
      </w:r>
    </w:p>
    <w:p w:rsidR="00A610D8" w:rsidRDefault="00A610D8" w:rsidP="00BB662F">
      <w:pPr>
        <w:spacing w:line="360" w:lineRule="auto"/>
        <w:jc w:val="both"/>
        <w:rPr>
          <w:rFonts w:ascii="Arial" w:hAnsi="Arial" w:cs="Arial"/>
          <w:color w:val="FF0000"/>
          <w:lang w:val="en-GB"/>
        </w:rPr>
      </w:pPr>
    </w:p>
    <w:p w:rsidR="00A610D8" w:rsidRDefault="00A610D8" w:rsidP="00BB662F">
      <w:pPr>
        <w:spacing w:line="360" w:lineRule="auto"/>
        <w:jc w:val="both"/>
        <w:rPr>
          <w:rFonts w:ascii="Arial" w:hAnsi="Arial" w:cs="Arial"/>
          <w:color w:val="FF0000"/>
          <w:lang w:val="en-GB"/>
        </w:rPr>
      </w:pPr>
    </w:p>
    <w:p w:rsidR="00A610D8" w:rsidRPr="00E169A3" w:rsidRDefault="00A610D8" w:rsidP="00BB662F">
      <w:pPr>
        <w:spacing w:line="360" w:lineRule="auto"/>
        <w:jc w:val="both"/>
        <w:rPr>
          <w:rFonts w:ascii="Arial" w:hAnsi="Arial" w:cs="Arial"/>
          <w:color w:val="FF0000"/>
          <w:lang w:val="en-GB"/>
        </w:rPr>
      </w:pPr>
      <w:r w:rsidRPr="00E169A3">
        <w:rPr>
          <w:rFonts w:ascii="Arial" w:hAnsi="Arial" w:cs="Arial"/>
          <w:color w:val="FF0000"/>
          <w:lang w:val="en-GB"/>
        </w:rPr>
        <w:lastRenderedPageBreak/>
        <w:t>But see Cooke's Bankrupt Law, 243 and 244. [See the comments on this case post, 691, vol. ii. p. 407.] [See the comments on this case post, 691, vol. ii. p. 407.] [Vide post, vol. ii. p. 407.]”</w:t>
      </w:r>
    </w:p>
    <w:p w:rsidR="00A610D8" w:rsidRDefault="00A610D8" w:rsidP="00BB662F">
      <w:pPr>
        <w:spacing w:line="360" w:lineRule="auto"/>
        <w:jc w:val="both"/>
        <w:rPr>
          <w:rFonts w:ascii="Arial" w:hAnsi="Arial" w:cs="Arial"/>
          <w:lang w:val="en-GB"/>
        </w:rPr>
      </w:pPr>
    </w:p>
    <w:p w:rsidR="00BB5CD3" w:rsidRDefault="00BB5CD3" w:rsidP="00BB662F">
      <w:pPr>
        <w:spacing w:line="360" w:lineRule="auto"/>
        <w:jc w:val="both"/>
        <w:rPr>
          <w:rFonts w:ascii="Arial" w:hAnsi="Arial" w:cs="Arial"/>
          <w:lang w:val="en-GB"/>
        </w:rPr>
      </w:pPr>
    </w:p>
    <w:p w:rsidR="00BB5CD3" w:rsidRDefault="00BB5CD3" w:rsidP="00BB662F">
      <w:pPr>
        <w:spacing w:line="360" w:lineRule="auto"/>
        <w:jc w:val="both"/>
        <w:rPr>
          <w:rFonts w:ascii="Arial" w:hAnsi="Arial" w:cs="Arial"/>
          <w:lang w:val="en-GB"/>
        </w:rPr>
      </w:pPr>
    </w:p>
    <w:p w:rsidR="00BB5CD3" w:rsidRDefault="00BB5CD3" w:rsidP="00BB662F">
      <w:pPr>
        <w:spacing w:line="360" w:lineRule="auto"/>
        <w:jc w:val="both"/>
        <w:rPr>
          <w:rFonts w:ascii="Arial" w:hAnsi="Arial" w:cs="Arial"/>
          <w:lang w:val="en-GB"/>
        </w:rPr>
      </w:pPr>
    </w:p>
    <w:p w:rsidR="00BB5CD3" w:rsidRDefault="00BB5CD3" w:rsidP="00BB662F">
      <w:pPr>
        <w:spacing w:line="360" w:lineRule="auto"/>
        <w:jc w:val="both"/>
        <w:rPr>
          <w:rFonts w:ascii="Arial" w:hAnsi="Arial" w:cs="Arial"/>
          <w:lang w:val="en-GB"/>
        </w:rPr>
      </w:pPr>
    </w:p>
    <w:p w:rsidR="00BB5CD3" w:rsidRDefault="00BB5CD3" w:rsidP="00BB662F">
      <w:pPr>
        <w:spacing w:line="360" w:lineRule="auto"/>
        <w:jc w:val="both"/>
        <w:rPr>
          <w:rFonts w:ascii="Arial" w:hAnsi="Arial" w:cs="Arial"/>
          <w:lang w:val="en-GB"/>
        </w:rPr>
      </w:pPr>
    </w:p>
    <w:p w:rsidR="00147574" w:rsidRDefault="00147574" w:rsidP="00BB662F">
      <w:pPr>
        <w:spacing w:line="360" w:lineRule="auto"/>
        <w:jc w:val="both"/>
        <w:rPr>
          <w:rFonts w:ascii="Arial" w:hAnsi="Arial" w:cs="Arial"/>
          <w:lang w:val="en-GB"/>
        </w:rPr>
      </w:pPr>
    </w:p>
    <w:p w:rsidR="00D350A1" w:rsidRDefault="00D350A1" w:rsidP="00BB662F">
      <w:pPr>
        <w:spacing w:line="360" w:lineRule="auto"/>
        <w:jc w:val="both"/>
        <w:rPr>
          <w:rFonts w:ascii="Arial" w:hAnsi="Arial" w:cs="Arial"/>
          <w:lang w:val="en-GB"/>
        </w:rPr>
      </w:pPr>
    </w:p>
    <w:p w:rsidR="00D350A1" w:rsidRDefault="00D350A1" w:rsidP="00BB662F">
      <w:pPr>
        <w:spacing w:line="360" w:lineRule="auto"/>
        <w:jc w:val="both"/>
        <w:rPr>
          <w:rFonts w:ascii="Arial" w:hAnsi="Arial" w:cs="Arial"/>
          <w:lang w:val="en-GB"/>
        </w:rPr>
      </w:pPr>
    </w:p>
    <w:p w:rsidR="00534DA8" w:rsidRDefault="00534DA8" w:rsidP="00BB662F">
      <w:pPr>
        <w:spacing w:line="360" w:lineRule="auto"/>
        <w:jc w:val="both"/>
        <w:rPr>
          <w:rFonts w:ascii="Arial" w:hAnsi="Arial" w:cs="Arial"/>
          <w:lang w:val="en-GB"/>
        </w:rPr>
      </w:pPr>
      <w:r>
        <w:rPr>
          <w:rFonts w:ascii="Arial" w:hAnsi="Arial" w:cs="Arial"/>
          <w:lang w:val="en-GB"/>
        </w:rPr>
        <w:br w:type="page"/>
      </w:r>
    </w:p>
    <w:p w:rsidR="00C44CFE" w:rsidRDefault="00C44CFE" w:rsidP="00BB662F">
      <w:pPr>
        <w:spacing w:line="360" w:lineRule="auto"/>
        <w:jc w:val="both"/>
        <w:rPr>
          <w:rFonts w:ascii="Arial" w:hAnsi="Arial" w:cs="Arial"/>
          <w:lang w:val="en-GB"/>
        </w:rPr>
      </w:pPr>
      <w:proofErr w:type="spellStart"/>
      <w:r>
        <w:rPr>
          <w:rFonts w:ascii="Arial" w:hAnsi="Arial" w:cs="Arial"/>
          <w:lang w:val="en-GB"/>
        </w:rPr>
        <w:lastRenderedPageBreak/>
        <w:t>Odwin</w:t>
      </w:r>
      <w:proofErr w:type="spellEnd"/>
      <w:r>
        <w:rPr>
          <w:rFonts w:ascii="Arial" w:hAnsi="Arial" w:cs="Arial"/>
          <w:lang w:val="en-GB"/>
        </w:rPr>
        <w:t xml:space="preserve"> v. Forbes (Jabez work).</w:t>
      </w:r>
    </w:p>
    <w:p w:rsidR="00485B7E" w:rsidRDefault="00485B7E" w:rsidP="00BB662F">
      <w:pPr>
        <w:spacing w:line="360" w:lineRule="auto"/>
        <w:jc w:val="both"/>
        <w:rPr>
          <w:rFonts w:ascii="Arial" w:hAnsi="Arial" w:cs="Arial"/>
          <w:lang w:val="en-GB"/>
        </w:rPr>
      </w:pPr>
    </w:p>
    <w:p w:rsidR="00485B7E" w:rsidRDefault="00534DA8" w:rsidP="00BB662F">
      <w:pPr>
        <w:spacing w:line="360" w:lineRule="auto"/>
        <w:jc w:val="both"/>
        <w:rPr>
          <w:rFonts w:ascii="Arial" w:hAnsi="Arial" w:cs="Arial"/>
          <w:lang w:val="en-GB"/>
        </w:rPr>
      </w:pPr>
      <w:proofErr w:type="spellStart"/>
      <w:r w:rsidRPr="00534DA8">
        <w:rPr>
          <w:rFonts w:ascii="Arial" w:hAnsi="Arial" w:cs="Arial"/>
          <w:lang w:val="en-GB"/>
        </w:rPr>
        <w:t>Odwin</w:t>
      </w:r>
      <w:proofErr w:type="spellEnd"/>
      <w:r w:rsidRPr="00534DA8">
        <w:rPr>
          <w:rFonts w:ascii="Arial" w:hAnsi="Arial" w:cs="Arial"/>
          <w:lang w:val="en-GB"/>
        </w:rPr>
        <w:t xml:space="preserve"> v Forbes (1817) 1 Buck 57 (PC)</w:t>
      </w:r>
    </w:p>
    <w:p w:rsidR="008B4D75" w:rsidRPr="008B4D75" w:rsidRDefault="008B4D75" w:rsidP="00BB662F">
      <w:pPr>
        <w:spacing w:line="360" w:lineRule="auto"/>
        <w:jc w:val="both"/>
        <w:rPr>
          <w:rFonts w:ascii="Arial" w:hAnsi="Arial" w:cs="Arial"/>
          <w:lang w:val="en-GB"/>
        </w:rPr>
      </w:pPr>
      <w:proofErr w:type="spellStart"/>
      <w:r w:rsidRPr="008B4D75">
        <w:rPr>
          <w:rFonts w:ascii="Arial" w:hAnsi="Arial" w:cs="Arial"/>
          <w:lang w:val="en-GB"/>
        </w:rPr>
        <w:t>Odwin</w:t>
      </w:r>
      <w:proofErr w:type="spellEnd"/>
      <w:r w:rsidRPr="008B4D75">
        <w:rPr>
          <w:rFonts w:ascii="Arial" w:hAnsi="Arial" w:cs="Arial"/>
          <w:lang w:val="en-GB"/>
        </w:rPr>
        <w:t xml:space="preserve"> v Forbes (1817) 1 Buck. 57 (PC); J. Henry, The Judgment Of The Court of Demerara, in the</w:t>
      </w:r>
    </w:p>
    <w:p w:rsidR="008B4D75" w:rsidRPr="008B4D75" w:rsidRDefault="008B4D75" w:rsidP="00BB662F">
      <w:pPr>
        <w:spacing w:line="360" w:lineRule="auto"/>
        <w:jc w:val="both"/>
        <w:rPr>
          <w:rFonts w:ascii="Arial" w:hAnsi="Arial" w:cs="Arial"/>
          <w:lang w:val="en-GB"/>
        </w:rPr>
      </w:pPr>
      <w:r w:rsidRPr="008B4D75">
        <w:rPr>
          <w:rFonts w:ascii="Arial" w:hAnsi="Arial" w:cs="Arial"/>
          <w:lang w:val="en-GB"/>
        </w:rPr>
        <w:t xml:space="preserve">case of </w:t>
      </w:r>
      <w:proofErr w:type="spellStart"/>
      <w:r w:rsidRPr="008B4D75">
        <w:rPr>
          <w:rFonts w:ascii="Arial" w:hAnsi="Arial" w:cs="Arial"/>
          <w:lang w:val="en-GB"/>
        </w:rPr>
        <w:t>Odwin</w:t>
      </w:r>
      <w:proofErr w:type="spellEnd"/>
      <w:r w:rsidRPr="008B4D75">
        <w:rPr>
          <w:rFonts w:ascii="Arial" w:hAnsi="Arial" w:cs="Arial"/>
          <w:lang w:val="en-GB"/>
        </w:rPr>
        <w:t xml:space="preserve"> v. Forbes (1823, S. Sweet, London) (reprinted 2010, Kessinger Publishing, Whitefish</w:t>
      </w:r>
    </w:p>
    <w:p w:rsidR="00485B7E" w:rsidRDefault="008B4D75" w:rsidP="00BB662F">
      <w:pPr>
        <w:spacing w:line="360" w:lineRule="auto"/>
        <w:jc w:val="both"/>
        <w:rPr>
          <w:rFonts w:ascii="Arial" w:hAnsi="Arial" w:cs="Arial"/>
          <w:lang w:val="en-GB"/>
        </w:rPr>
      </w:pPr>
      <w:r w:rsidRPr="008B4D75">
        <w:rPr>
          <w:rFonts w:ascii="Arial" w:hAnsi="Arial" w:cs="Arial"/>
          <w:lang w:val="en-GB"/>
        </w:rPr>
        <w:t>MT).</w:t>
      </w:r>
    </w:p>
    <w:p w:rsidR="008B4D75" w:rsidRDefault="008B4D75" w:rsidP="00BB662F">
      <w:pPr>
        <w:spacing w:line="360" w:lineRule="auto"/>
        <w:jc w:val="both"/>
        <w:rPr>
          <w:rFonts w:ascii="Arial" w:hAnsi="Arial" w:cs="Arial"/>
          <w:lang w:val="en-GB"/>
        </w:rPr>
      </w:pPr>
    </w:p>
    <w:p w:rsidR="008B4D75" w:rsidRDefault="008B4D75" w:rsidP="00BB662F">
      <w:pPr>
        <w:spacing w:line="360" w:lineRule="auto"/>
        <w:jc w:val="both"/>
        <w:rPr>
          <w:rFonts w:ascii="Arial" w:hAnsi="Arial" w:cs="Arial"/>
          <w:lang w:val="en-GB"/>
        </w:rPr>
      </w:pPr>
    </w:p>
    <w:p w:rsidR="008B4D75" w:rsidRPr="008B4D75" w:rsidRDefault="008B4D75" w:rsidP="00BB662F">
      <w:pPr>
        <w:spacing w:line="360" w:lineRule="auto"/>
        <w:jc w:val="both"/>
        <w:rPr>
          <w:rFonts w:ascii="Arial" w:hAnsi="Arial" w:cs="Arial"/>
          <w:lang w:val="en-GB"/>
        </w:rPr>
      </w:pPr>
      <w:r w:rsidRPr="008B4D75">
        <w:rPr>
          <w:rFonts w:ascii="Arial" w:hAnsi="Arial" w:cs="Arial"/>
          <w:lang w:val="en-GB"/>
        </w:rPr>
        <w:t>o Ian F. Fletcher, International Insolvency: A Case for Study and Treatment, 27 INT’L LAW.</w:t>
      </w:r>
    </w:p>
    <w:p w:rsidR="008B4D75" w:rsidRDefault="008B4D75" w:rsidP="00BB662F">
      <w:pPr>
        <w:spacing w:line="360" w:lineRule="auto"/>
        <w:jc w:val="both"/>
        <w:rPr>
          <w:rFonts w:ascii="Arial" w:hAnsi="Arial" w:cs="Arial"/>
          <w:lang w:val="en-GB"/>
        </w:rPr>
      </w:pPr>
      <w:r w:rsidRPr="008B4D75">
        <w:rPr>
          <w:rFonts w:ascii="Arial" w:hAnsi="Arial" w:cs="Arial"/>
          <w:lang w:val="en-GB"/>
        </w:rPr>
        <w:t>429, 437 (1993)</w:t>
      </w:r>
    </w:p>
    <w:p w:rsidR="00485B7E" w:rsidRDefault="00485B7E" w:rsidP="00BB662F">
      <w:pPr>
        <w:spacing w:line="360" w:lineRule="auto"/>
        <w:jc w:val="both"/>
        <w:rPr>
          <w:rFonts w:ascii="Arial" w:hAnsi="Arial" w:cs="Arial"/>
          <w:lang w:val="en-GB"/>
        </w:rPr>
      </w:pPr>
    </w:p>
    <w:p w:rsidR="00534DA8" w:rsidRDefault="00534DA8" w:rsidP="00BB662F">
      <w:pPr>
        <w:spacing w:line="360" w:lineRule="auto"/>
        <w:jc w:val="both"/>
        <w:rPr>
          <w:rFonts w:ascii="Arial" w:hAnsi="Arial" w:cs="Arial"/>
          <w:lang w:val="en-GB"/>
        </w:rPr>
      </w:pPr>
    </w:p>
    <w:p w:rsidR="00534DA8" w:rsidRDefault="00534DA8" w:rsidP="00BB662F">
      <w:pPr>
        <w:spacing w:line="360" w:lineRule="auto"/>
        <w:jc w:val="both"/>
        <w:rPr>
          <w:rFonts w:ascii="Arial" w:hAnsi="Arial" w:cs="Arial"/>
          <w:lang w:val="en-GB"/>
        </w:rPr>
      </w:pPr>
      <w:proofErr w:type="spellStart"/>
      <w:r w:rsidRPr="00534DA8">
        <w:rPr>
          <w:rFonts w:ascii="Arial" w:hAnsi="Arial" w:cs="Arial"/>
          <w:lang w:val="en-GB"/>
        </w:rPr>
        <w:t>Solomons</w:t>
      </w:r>
      <w:proofErr w:type="spellEnd"/>
      <w:r w:rsidRPr="00534DA8">
        <w:rPr>
          <w:rFonts w:ascii="Arial" w:hAnsi="Arial" w:cs="Arial"/>
          <w:lang w:val="en-GB"/>
        </w:rPr>
        <w:t xml:space="preserve"> v. Ross (1764) 1 </w:t>
      </w:r>
      <w:proofErr w:type="spellStart"/>
      <w:r w:rsidRPr="00534DA8">
        <w:rPr>
          <w:rFonts w:ascii="Arial" w:hAnsi="Arial" w:cs="Arial"/>
          <w:lang w:val="en-GB"/>
        </w:rPr>
        <w:t>Hy.Bl</w:t>
      </w:r>
      <w:proofErr w:type="spellEnd"/>
      <w:r w:rsidRPr="00534DA8">
        <w:rPr>
          <w:rFonts w:ascii="Arial" w:hAnsi="Arial" w:cs="Arial"/>
          <w:lang w:val="en-GB"/>
        </w:rPr>
        <w:t>. 131n; 126 E.R. 79</w:t>
      </w:r>
    </w:p>
    <w:p w:rsidR="00BB5CD3" w:rsidRPr="00BB5CD3" w:rsidRDefault="00BB5CD3" w:rsidP="00BB662F">
      <w:pPr>
        <w:spacing w:line="360" w:lineRule="auto"/>
        <w:jc w:val="both"/>
        <w:rPr>
          <w:rFonts w:ascii="Arial" w:hAnsi="Arial" w:cs="Arial"/>
          <w:lang w:val="en-GB"/>
        </w:rPr>
      </w:pPr>
    </w:p>
    <w:p w:rsidR="00BB5CD3" w:rsidRPr="00534DA8" w:rsidRDefault="00BB5CD3" w:rsidP="00BB662F">
      <w:pPr>
        <w:spacing w:line="360" w:lineRule="auto"/>
        <w:jc w:val="both"/>
        <w:rPr>
          <w:rFonts w:ascii="Arial" w:hAnsi="Arial" w:cs="Arial"/>
          <w:lang w:val="en-GB"/>
        </w:rPr>
      </w:pPr>
      <w:r w:rsidRPr="00BB5CD3">
        <w:rPr>
          <w:rFonts w:ascii="Arial" w:hAnsi="Arial" w:cs="Arial"/>
          <w:lang w:val="en-GB"/>
        </w:rPr>
        <w:t xml:space="preserve">Sill v </w:t>
      </w:r>
      <w:proofErr w:type="spellStart"/>
      <w:r w:rsidRPr="00BB5CD3">
        <w:rPr>
          <w:rFonts w:ascii="Arial" w:hAnsi="Arial" w:cs="Arial"/>
          <w:lang w:val="en-GB"/>
        </w:rPr>
        <w:t>Worswick</w:t>
      </w:r>
      <w:proofErr w:type="spellEnd"/>
      <w:r w:rsidRPr="00BB5CD3">
        <w:rPr>
          <w:rFonts w:ascii="Arial" w:hAnsi="Arial" w:cs="Arial"/>
          <w:lang w:val="en-GB"/>
        </w:rPr>
        <w:t xml:space="preserve"> (1781) 1 H. Bl. 665.</w:t>
      </w:r>
    </w:p>
    <w:p w:rsidR="00534DA8" w:rsidRPr="00534DA8" w:rsidRDefault="00534DA8" w:rsidP="00BB662F">
      <w:pPr>
        <w:spacing w:line="360" w:lineRule="auto"/>
        <w:jc w:val="both"/>
        <w:rPr>
          <w:rFonts w:ascii="Arial" w:hAnsi="Arial" w:cs="Arial"/>
          <w:lang w:val="en-GB"/>
        </w:rPr>
      </w:pPr>
      <w:r w:rsidRPr="00534DA8">
        <w:rPr>
          <w:rFonts w:ascii="Arial" w:hAnsi="Arial" w:cs="Arial"/>
          <w:lang w:val="en-GB"/>
        </w:rPr>
        <w:t xml:space="preserve"> </w:t>
      </w:r>
      <w:proofErr w:type="spellStart"/>
      <w:r w:rsidRPr="00534DA8">
        <w:rPr>
          <w:rFonts w:ascii="Arial" w:hAnsi="Arial" w:cs="Arial"/>
          <w:lang w:val="en-GB"/>
        </w:rPr>
        <w:t>Odwin</w:t>
      </w:r>
      <w:proofErr w:type="spellEnd"/>
      <w:r w:rsidRPr="00534DA8">
        <w:rPr>
          <w:rFonts w:ascii="Arial" w:hAnsi="Arial" w:cs="Arial"/>
          <w:lang w:val="en-GB"/>
        </w:rPr>
        <w:t xml:space="preserve"> v. Forbes (1817) 1 Buck. 57 (PC)</w:t>
      </w:r>
    </w:p>
    <w:p w:rsidR="00534DA8" w:rsidRPr="00534DA8" w:rsidRDefault="00534DA8" w:rsidP="00BB662F">
      <w:pPr>
        <w:spacing w:line="360" w:lineRule="auto"/>
        <w:jc w:val="both"/>
        <w:rPr>
          <w:rFonts w:ascii="Arial" w:hAnsi="Arial" w:cs="Arial"/>
          <w:lang w:val="en-GB"/>
        </w:rPr>
      </w:pPr>
      <w:r w:rsidRPr="00534DA8">
        <w:rPr>
          <w:rFonts w:ascii="Arial" w:hAnsi="Arial" w:cs="Arial"/>
          <w:lang w:val="en-GB"/>
        </w:rPr>
        <w:t xml:space="preserve"> Re </w:t>
      </w:r>
      <w:proofErr w:type="spellStart"/>
      <w:r w:rsidRPr="00534DA8">
        <w:rPr>
          <w:rFonts w:ascii="Arial" w:hAnsi="Arial" w:cs="Arial"/>
          <w:lang w:val="en-GB"/>
        </w:rPr>
        <w:t>Kooperman</w:t>
      </w:r>
      <w:proofErr w:type="spellEnd"/>
      <w:r w:rsidRPr="00534DA8">
        <w:rPr>
          <w:rFonts w:ascii="Arial" w:hAnsi="Arial" w:cs="Arial"/>
          <w:lang w:val="en-GB"/>
        </w:rPr>
        <w:t xml:space="preserve"> [1928] W.N. 101, 72 Sol. Jo. 400</w:t>
      </w:r>
    </w:p>
    <w:p w:rsidR="00534DA8" w:rsidRPr="00534DA8" w:rsidRDefault="00534DA8" w:rsidP="00BB662F">
      <w:pPr>
        <w:spacing w:line="360" w:lineRule="auto"/>
        <w:jc w:val="both"/>
        <w:rPr>
          <w:rFonts w:ascii="Arial" w:hAnsi="Arial" w:cs="Arial"/>
          <w:lang w:val="en-GB"/>
        </w:rPr>
      </w:pPr>
      <w:r w:rsidRPr="00534DA8">
        <w:rPr>
          <w:rFonts w:ascii="Arial" w:hAnsi="Arial" w:cs="Arial"/>
          <w:lang w:val="en-GB"/>
        </w:rPr>
        <w:t>Waite v. Bingley (1882) 21 Ch.D.674</w:t>
      </w:r>
    </w:p>
    <w:p w:rsidR="00534DA8" w:rsidRDefault="00534DA8" w:rsidP="00BB662F">
      <w:pPr>
        <w:spacing w:line="360" w:lineRule="auto"/>
        <w:jc w:val="both"/>
        <w:rPr>
          <w:rFonts w:ascii="Arial" w:hAnsi="Arial" w:cs="Arial"/>
          <w:lang w:val="en-GB"/>
        </w:rPr>
      </w:pPr>
      <w:r w:rsidRPr="00534DA8">
        <w:rPr>
          <w:rFonts w:ascii="Arial" w:hAnsi="Arial" w:cs="Arial"/>
          <w:lang w:val="en-GB"/>
        </w:rPr>
        <w:t>New Zealand Loan &amp; Mercantile Agency Co. Ltd v. Morrison [1898] A.C. 349 (PC)</w:t>
      </w:r>
    </w:p>
    <w:p w:rsidR="00147574" w:rsidRDefault="00147574" w:rsidP="00BB662F">
      <w:pPr>
        <w:spacing w:line="360" w:lineRule="auto"/>
        <w:jc w:val="both"/>
        <w:rPr>
          <w:rFonts w:ascii="Arial" w:hAnsi="Arial" w:cs="Arial"/>
          <w:lang w:val="en-GB"/>
        </w:rPr>
      </w:pPr>
      <w:r w:rsidRPr="00F8327F">
        <w:rPr>
          <w:rFonts w:ascii="Arial" w:hAnsi="Arial" w:cs="Arial"/>
          <w:lang w:val="en-GB"/>
        </w:rPr>
        <w:t xml:space="preserve">In re Davidson's Settlement Trusts (1873) LR 15 </w:t>
      </w:r>
      <w:proofErr w:type="spellStart"/>
      <w:r w:rsidRPr="00F8327F">
        <w:rPr>
          <w:rFonts w:ascii="Arial" w:hAnsi="Arial" w:cs="Arial"/>
          <w:lang w:val="en-GB"/>
        </w:rPr>
        <w:t>Eq</w:t>
      </w:r>
      <w:proofErr w:type="spellEnd"/>
      <w:r w:rsidRPr="00F8327F">
        <w:rPr>
          <w:rFonts w:ascii="Arial" w:hAnsi="Arial" w:cs="Arial"/>
          <w:lang w:val="en-GB"/>
        </w:rPr>
        <w:t xml:space="preserve"> 383</w:t>
      </w:r>
    </w:p>
    <w:p w:rsidR="00E169A3" w:rsidRDefault="00E169A3" w:rsidP="00BB662F">
      <w:pPr>
        <w:spacing w:line="360" w:lineRule="auto"/>
        <w:jc w:val="both"/>
        <w:rPr>
          <w:rFonts w:ascii="Arial" w:hAnsi="Arial" w:cs="Arial"/>
          <w:lang w:val="en-GB"/>
        </w:rPr>
      </w:pPr>
    </w:p>
    <w:p w:rsidR="00E169A3" w:rsidRPr="00E169A3" w:rsidRDefault="00E169A3" w:rsidP="00BB662F">
      <w:pPr>
        <w:spacing w:line="360" w:lineRule="auto"/>
        <w:jc w:val="both"/>
        <w:rPr>
          <w:rFonts w:ascii="Arial" w:hAnsi="Arial" w:cs="Arial"/>
          <w:lang w:val="en-GB"/>
        </w:rPr>
      </w:pPr>
      <w:r w:rsidRPr="00E169A3">
        <w:rPr>
          <w:rFonts w:ascii="Arial" w:hAnsi="Arial" w:cs="Arial"/>
          <w:lang w:val="en-GB"/>
        </w:rPr>
        <w:t>Woods and Lewis Contract, Re</w:t>
      </w:r>
    </w:p>
    <w:p w:rsidR="00E169A3" w:rsidRPr="00E169A3" w:rsidRDefault="00E169A3" w:rsidP="00BB662F">
      <w:pPr>
        <w:spacing w:line="360" w:lineRule="auto"/>
        <w:jc w:val="both"/>
        <w:rPr>
          <w:rFonts w:ascii="Arial" w:hAnsi="Arial" w:cs="Arial"/>
          <w:lang w:val="en-GB"/>
        </w:rPr>
      </w:pPr>
      <w:r w:rsidRPr="00E169A3">
        <w:rPr>
          <w:rFonts w:ascii="Arial" w:hAnsi="Arial" w:cs="Arial"/>
          <w:lang w:val="en-GB"/>
        </w:rPr>
        <w:t>[1898] 1 Ch. 433; CHD; 04 March 1898</w:t>
      </w:r>
    </w:p>
    <w:p w:rsidR="00E169A3" w:rsidRPr="00E169A3" w:rsidRDefault="00E169A3" w:rsidP="00BB662F">
      <w:pPr>
        <w:spacing w:line="360" w:lineRule="auto"/>
        <w:jc w:val="both"/>
        <w:rPr>
          <w:rFonts w:ascii="Arial" w:hAnsi="Arial" w:cs="Arial"/>
          <w:lang w:val="en-GB"/>
        </w:rPr>
      </w:pPr>
    </w:p>
    <w:p w:rsidR="00E169A3" w:rsidRPr="00E169A3" w:rsidRDefault="00E169A3" w:rsidP="00BB662F">
      <w:pPr>
        <w:spacing w:line="360" w:lineRule="auto"/>
        <w:jc w:val="both"/>
        <w:rPr>
          <w:rFonts w:ascii="Arial" w:hAnsi="Arial" w:cs="Arial"/>
          <w:lang w:val="en-GB"/>
        </w:rPr>
      </w:pPr>
      <w:r w:rsidRPr="00E169A3">
        <w:rPr>
          <w:rFonts w:ascii="Arial" w:hAnsi="Arial" w:cs="Arial"/>
          <w:lang w:val="en-GB"/>
        </w:rPr>
        <w:t>Rein v Stein</w:t>
      </w:r>
    </w:p>
    <w:p w:rsidR="00E169A3" w:rsidRPr="00E169A3" w:rsidRDefault="00E169A3" w:rsidP="00BB662F">
      <w:pPr>
        <w:spacing w:line="360" w:lineRule="auto"/>
        <w:jc w:val="both"/>
        <w:rPr>
          <w:rFonts w:ascii="Arial" w:hAnsi="Arial" w:cs="Arial"/>
          <w:lang w:val="en-GB"/>
        </w:rPr>
      </w:pPr>
      <w:r w:rsidRPr="00E169A3">
        <w:rPr>
          <w:rFonts w:ascii="Arial" w:hAnsi="Arial" w:cs="Arial"/>
          <w:lang w:val="en-GB"/>
        </w:rPr>
        <w:t>[1892] 1 Q.B. 753; CA; 05 March 1891</w:t>
      </w:r>
    </w:p>
    <w:p w:rsidR="00E169A3" w:rsidRPr="00E169A3" w:rsidRDefault="00E169A3" w:rsidP="00BB662F">
      <w:pPr>
        <w:spacing w:line="360" w:lineRule="auto"/>
        <w:jc w:val="both"/>
        <w:rPr>
          <w:rFonts w:ascii="Arial" w:hAnsi="Arial" w:cs="Arial"/>
          <w:lang w:val="en-GB"/>
        </w:rPr>
      </w:pPr>
    </w:p>
    <w:p w:rsidR="00E169A3" w:rsidRPr="00E169A3" w:rsidRDefault="00E169A3" w:rsidP="00BB662F">
      <w:pPr>
        <w:spacing w:line="360" w:lineRule="auto"/>
        <w:jc w:val="both"/>
        <w:rPr>
          <w:rFonts w:ascii="Arial" w:hAnsi="Arial" w:cs="Arial"/>
          <w:lang w:val="en-GB"/>
        </w:rPr>
      </w:pPr>
      <w:proofErr w:type="spellStart"/>
      <w:r w:rsidRPr="00E169A3">
        <w:rPr>
          <w:rFonts w:ascii="Arial" w:hAnsi="Arial" w:cs="Arial"/>
          <w:lang w:val="en-GB"/>
        </w:rPr>
        <w:t>Nouvion</w:t>
      </w:r>
      <w:proofErr w:type="spellEnd"/>
      <w:r w:rsidRPr="00E169A3">
        <w:rPr>
          <w:rFonts w:ascii="Arial" w:hAnsi="Arial" w:cs="Arial"/>
          <w:lang w:val="en-GB"/>
        </w:rPr>
        <w:t xml:space="preserve"> v Freeman</w:t>
      </w:r>
    </w:p>
    <w:p w:rsidR="00E169A3" w:rsidRPr="00E169A3" w:rsidRDefault="00E169A3" w:rsidP="00BB662F">
      <w:pPr>
        <w:spacing w:line="360" w:lineRule="auto"/>
        <w:jc w:val="both"/>
        <w:rPr>
          <w:rFonts w:ascii="Arial" w:hAnsi="Arial" w:cs="Arial"/>
          <w:lang w:val="en-GB"/>
        </w:rPr>
      </w:pPr>
      <w:r w:rsidRPr="00E169A3">
        <w:rPr>
          <w:rFonts w:ascii="Arial" w:hAnsi="Arial" w:cs="Arial"/>
          <w:lang w:val="en-GB"/>
        </w:rPr>
        <w:t>(1889) 15 App. Cas. 1; HL; 22 November 1889</w:t>
      </w:r>
    </w:p>
    <w:p w:rsidR="00E169A3" w:rsidRPr="00E169A3" w:rsidRDefault="00E169A3" w:rsidP="00BB662F">
      <w:pPr>
        <w:spacing w:line="360" w:lineRule="auto"/>
        <w:jc w:val="both"/>
        <w:rPr>
          <w:rFonts w:ascii="Arial" w:hAnsi="Arial" w:cs="Arial"/>
          <w:lang w:val="en-GB"/>
        </w:rPr>
      </w:pPr>
    </w:p>
    <w:p w:rsidR="00E169A3" w:rsidRPr="00E169A3" w:rsidRDefault="00E169A3" w:rsidP="00BB662F">
      <w:pPr>
        <w:spacing w:line="360" w:lineRule="auto"/>
        <w:jc w:val="both"/>
        <w:rPr>
          <w:rFonts w:ascii="Arial" w:hAnsi="Arial" w:cs="Arial"/>
          <w:lang w:val="en-GB"/>
        </w:rPr>
      </w:pPr>
      <w:r w:rsidRPr="00E169A3">
        <w:rPr>
          <w:rFonts w:ascii="Arial" w:hAnsi="Arial" w:cs="Arial"/>
          <w:lang w:val="en-GB"/>
        </w:rPr>
        <w:t>Robertson, Ex p.</w:t>
      </w:r>
    </w:p>
    <w:p w:rsidR="00E169A3" w:rsidRPr="00E169A3" w:rsidRDefault="00E169A3" w:rsidP="00BB662F">
      <w:pPr>
        <w:spacing w:line="360" w:lineRule="auto"/>
        <w:jc w:val="both"/>
        <w:rPr>
          <w:rFonts w:ascii="Arial" w:hAnsi="Arial" w:cs="Arial"/>
          <w:lang w:val="en-GB"/>
        </w:rPr>
      </w:pPr>
      <w:r w:rsidRPr="00E169A3">
        <w:rPr>
          <w:rFonts w:ascii="Arial" w:hAnsi="Arial" w:cs="Arial"/>
          <w:lang w:val="en-GB"/>
        </w:rPr>
        <w:lastRenderedPageBreak/>
        <w:t>(1875) L.R. 20 Eq. 733; Ct of Chancery; 07 June 1875</w:t>
      </w:r>
    </w:p>
    <w:p w:rsidR="00E169A3" w:rsidRPr="00E169A3" w:rsidRDefault="00E169A3" w:rsidP="00BB662F">
      <w:pPr>
        <w:spacing w:line="360" w:lineRule="auto"/>
        <w:jc w:val="both"/>
        <w:rPr>
          <w:rFonts w:ascii="Arial" w:hAnsi="Arial" w:cs="Arial"/>
          <w:lang w:val="en-GB"/>
        </w:rPr>
      </w:pPr>
    </w:p>
    <w:p w:rsidR="00E169A3" w:rsidRPr="00E169A3" w:rsidRDefault="00E169A3" w:rsidP="00BB662F">
      <w:pPr>
        <w:spacing w:line="360" w:lineRule="auto"/>
        <w:jc w:val="both"/>
        <w:rPr>
          <w:rFonts w:ascii="Arial" w:hAnsi="Arial" w:cs="Arial"/>
          <w:lang w:val="en-GB"/>
        </w:rPr>
      </w:pPr>
      <w:r w:rsidRPr="00E169A3">
        <w:rPr>
          <w:rFonts w:ascii="Arial" w:hAnsi="Arial" w:cs="Arial"/>
          <w:lang w:val="en-GB"/>
        </w:rPr>
        <w:t xml:space="preserve">Godard v </w:t>
      </w:r>
      <w:proofErr w:type="spellStart"/>
      <w:r w:rsidRPr="00E169A3">
        <w:rPr>
          <w:rFonts w:ascii="Arial" w:hAnsi="Arial" w:cs="Arial"/>
          <w:lang w:val="en-GB"/>
        </w:rPr>
        <w:t>Gray</w:t>
      </w:r>
      <w:proofErr w:type="spellEnd"/>
    </w:p>
    <w:p w:rsidR="00E169A3" w:rsidRPr="00E169A3" w:rsidRDefault="00E169A3" w:rsidP="00BB662F">
      <w:pPr>
        <w:spacing w:line="360" w:lineRule="auto"/>
        <w:jc w:val="both"/>
        <w:rPr>
          <w:rFonts w:ascii="Arial" w:hAnsi="Arial" w:cs="Arial"/>
          <w:lang w:val="en-GB"/>
        </w:rPr>
      </w:pPr>
      <w:r w:rsidRPr="00E169A3">
        <w:rPr>
          <w:rFonts w:ascii="Arial" w:hAnsi="Arial" w:cs="Arial"/>
          <w:lang w:val="en-GB"/>
        </w:rPr>
        <w:t>(1870-71) L.R. 6 Q.B. 139; QB; 10 December 1870</w:t>
      </w:r>
    </w:p>
    <w:p w:rsidR="00E169A3" w:rsidRPr="00E169A3" w:rsidRDefault="00E169A3" w:rsidP="00BB662F">
      <w:pPr>
        <w:spacing w:line="360" w:lineRule="auto"/>
        <w:jc w:val="both"/>
        <w:rPr>
          <w:rFonts w:ascii="Arial" w:hAnsi="Arial" w:cs="Arial"/>
          <w:lang w:val="en-GB"/>
        </w:rPr>
      </w:pPr>
    </w:p>
    <w:p w:rsidR="00E169A3" w:rsidRPr="00E169A3" w:rsidRDefault="00E169A3" w:rsidP="00BB662F">
      <w:pPr>
        <w:spacing w:line="360" w:lineRule="auto"/>
        <w:jc w:val="both"/>
        <w:rPr>
          <w:rFonts w:ascii="Arial" w:hAnsi="Arial" w:cs="Arial"/>
          <w:lang w:val="en-GB"/>
        </w:rPr>
      </w:pPr>
      <w:r w:rsidRPr="00E169A3">
        <w:rPr>
          <w:rFonts w:ascii="Arial" w:hAnsi="Arial" w:cs="Arial"/>
          <w:lang w:val="en-GB"/>
        </w:rPr>
        <w:t>Williams v Jones</w:t>
      </w:r>
    </w:p>
    <w:p w:rsidR="00E169A3" w:rsidRPr="00E169A3" w:rsidRDefault="00E169A3" w:rsidP="00BB662F">
      <w:pPr>
        <w:spacing w:line="360" w:lineRule="auto"/>
        <w:jc w:val="both"/>
        <w:rPr>
          <w:rFonts w:ascii="Arial" w:hAnsi="Arial" w:cs="Arial"/>
          <w:lang w:val="en-GB"/>
        </w:rPr>
      </w:pPr>
      <w:r w:rsidRPr="00E169A3">
        <w:rPr>
          <w:rFonts w:ascii="Arial" w:hAnsi="Arial" w:cs="Arial"/>
          <w:lang w:val="en-GB"/>
        </w:rPr>
        <w:t>153 E.R. 262; (1845) 13 M. &amp; W. 628; Ex Ct; 01 January 1845</w:t>
      </w:r>
    </w:p>
    <w:p w:rsidR="00E169A3" w:rsidRPr="00E169A3" w:rsidRDefault="00E169A3" w:rsidP="00BB662F">
      <w:pPr>
        <w:spacing w:line="360" w:lineRule="auto"/>
        <w:jc w:val="both"/>
        <w:rPr>
          <w:rFonts w:ascii="Arial" w:hAnsi="Arial" w:cs="Arial"/>
          <w:lang w:val="en-GB"/>
        </w:rPr>
      </w:pPr>
    </w:p>
    <w:p w:rsidR="00E169A3" w:rsidRPr="00E169A3" w:rsidRDefault="00E169A3" w:rsidP="00BB662F">
      <w:pPr>
        <w:spacing w:line="360" w:lineRule="auto"/>
        <w:jc w:val="both"/>
        <w:rPr>
          <w:rFonts w:ascii="Arial" w:hAnsi="Arial" w:cs="Arial"/>
          <w:lang w:val="en-GB"/>
        </w:rPr>
      </w:pPr>
      <w:r w:rsidRPr="00E169A3">
        <w:rPr>
          <w:rFonts w:ascii="Arial" w:hAnsi="Arial" w:cs="Arial"/>
          <w:lang w:val="en-GB"/>
        </w:rPr>
        <w:t>Wallace v King</w:t>
      </w:r>
    </w:p>
    <w:p w:rsidR="00E169A3" w:rsidRDefault="00E169A3" w:rsidP="00BB662F">
      <w:pPr>
        <w:spacing w:line="360" w:lineRule="auto"/>
        <w:jc w:val="both"/>
        <w:rPr>
          <w:rFonts w:ascii="Arial" w:hAnsi="Arial" w:cs="Arial"/>
          <w:lang w:val="en-GB"/>
        </w:rPr>
      </w:pPr>
      <w:r w:rsidRPr="00E169A3">
        <w:rPr>
          <w:rFonts w:ascii="Arial" w:hAnsi="Arial" w:cs="Arial"/>
          <w:lang w:val="en-GB"/>
        </w:rPr>
        <w:t>126 E.R. 9; (1788) 1 H. Bl. 13; CCP; 01 January 1788</w:t>
      </w:r>
    </w:p>
    <w:p w:rsidR="00534DA8" w:rsidRDefault="00534DA8" w:rsidP="00BB662F">
      <w:pPr>
        <w:spacing w:line="360" w:lineRule="auto"/>
        <w:jc w:val="both"/>
        <w:rPr>
          <w:rFonts w:ascii="Arial" w:hAnsi="Arial" w:cs="Arial"/>
          <w:lang w:val="en-GB"/>
        </w:rPr>
      </w:pPr>
    </w:p>
    <w:p w:rsidR="00534DA8" w:rsidRDefault="00534DA8" w:rsidP="00BB662F">
      <w:pPr>
        <w:spacing w:line="360" w:lineRule="auto"/>
        <w:jc w:val="both"/>
        <w:rPr>
          <w:rFonts w:ascii="Arial" w:hAnsi="Arial" w:cs="Arial"/>
          <w:lang w:val="en-GB"/>
        </w:rPr>
      </w:pPr>
    </w:p>
    <w:p w:rsidR="00534DA8" w:rsidRDefault="00534DA8" w:rsidP="00BB662F">
      <w:pPr>
        <w:spacing w:line="360" w:lineRule="auto"/>
        <w:jc w:val="both"/>
        <w:rPr>
          <w:rFonts w:ascii="Arial" w:hAnsi="Arial" w:cs="Arial"/>
          <w:lang w:val="en-GB"/>
        </w:rPr>
      </w:pPr>
    </w:p>
    <w:p w:rsidR="00485B7E" w:rsidRDefault="00485B7E" w:rsidP="00BB662F">
      <w:pPr>
        <w:spacing w:line="360" w:lineRule="auto"/>
        <w:jc w:val="both"/>
        <w:rPr>
          <w:rFonts w:ascii="Arial" w:hAnsi="Arial" w:cs="Arial"/>
          <w:lang w:val="en-GB"/>
        </w:rPr>
      </w:pPr>
    </w:p>
    <w:p w:rsidR="00485B7E" w:rsidRDefault="00485B7E" w:rsidP="00BB662F">
      <w:pPr>
        <w:spacing w:line="360" w:lineRule="auto"/>
        <w:jc w:val="both"/>
        <w:rPr>
          <w:rFonts w:ascii="Arial" w:hAnsi="Arial" w:cs="Arial"/>
          <w:lang w:val="en-GB"/>
        </w:rPr>
      </w:pPr>
      <w:r w:rsidRPr="00485B7E">
        <w:rPr>
          <w:rFonts w:ascii="Arial" w:hAnsi="Arial" w:cs="Arial"/>
          <w:lang w:val="en-GB"/>
        </w:rPr>
        <w:t xml:space="preserve">See also Fletcher’s comments on bankruptcy in an international context where he notes, “...the successive statutory enactments that have borne upon the matter of jurisdiction and its limits contain no internal evidence of any systematic or principled approach to these problems on the part of the Legislature...”: see I. Fletcher, Insolvency in Private International Law: National and International Approaches (2nd </w:t>
      </w:r>
      <w:proofErr w:type="spellStart"/>
      <w:r w:rsidRPr="00485B7E">
        <w:rPr>
          <w:rFonts w:ascii="Arial" w:hAnsi="Arial" w:cs="Arial"/>
          <w:lang w:val="en-GB"/>
        </w:rPr>
        <w:t>ed</w:t>
      </w:r>
      <w:proofErr w:type="spellEnd"/>
      <w:r w:rsidRPr="00485B7E">
        <w:rPr>
          <w:rFonts w:ascii="Arial" w:hAnsi="Arial" w:cs="Arial"/>
          <w:lang w:val="en-GB"/>
        </w:rPr>
        <w:t>) (2005, Oxford University Press, Oxford), at paragraph 2.12 (“Fletcher International”).</w:t>
      </w:r>
    </w:p>
    <w:p w:rsidR="00491472" w:rsidRDefault="00491472" w:rsidP="00BB662F">
      <w:pPr>
        <w:spacing w:line="360" w:lineRule="auto"/>
        <w:jc w:val="both"/>
        <w:rPr>
          <w:rFonts w:ascii="Arial" w:hAnsi="Arial" w:cs="Arial"/>
          <w:lang w:val="en-GB"/>
        </w:rPr>
      </w:pPr>
    </w:p>
    <w:p w:rsidR="00491472" w:rsidRDefault="00491472" w:rsidP="00BB662F">
      <w:pPr>
        <w:spacing w:line="360" w:lineRule="auto"/>
        <w:jc w:val="both"/>
        <w:rPr>
          <w:rFonts w:ascii="Arial" w:hAnsi="Arial" w:cs="Arial"/>
          <w:lang w:val="en-GB"/>
        </w:rPr>
      </w:pPr>
    </w:p>
    <w:p w:rsidR="00491472" w:rsidRDefault="00491472" w:rsidP="00BB662F">
      <w:pPr>
        <w:spacing w:line="360" w:lineRule="auto"/>
        <w:jc w:val="both"/>
        <w:rPr>
          <w:rFonts w:ascii="Arial" w:hAnsi="Arial" w:cs="Arial"/>
          <w:lang w:val="en-GB"/>
        </w:rPr>
      </w:pPr>
      <w:r>
        <w:rPr>
          <w:rFonts w:ascii="Arial" w:hAnsi="Arial" w:cs="Arial"/>
          <w:lang w:val="en-GB"/>
        </w:rPr>
        <w:br w:type="page"/>
      </w:r>
    </w:p>
    <w:p w:rsidR="00491472" w:rsidRDefault="00491472" w:rsidP="00BB662F">
      <w:pPr>
        <w:spacing w:line="360" w:lineRule="auto"/>
        <w:jc w:val="both"/>
        <w:rPr>
          <w:rFonts w:ascii="Arial" w:hAnsi="Arial" w:cs="Arial"/>
          <w:lang w:val="en-GB"/>
        </w:rPr>
      </w:pPr>
    </w:p>
    <w:p w:rsidR="00491472" w:rsidRPr="00491472" w:rsidRDefault="00491472" w:rsidP="00BB662F">
      <w:pPr>
        <w:spacing w:line="360" w:lineRule="auto"/>
        <w:jc w:val="both"/>
        <w:rPr>
          <w:rFonts w:ascii="Arial" w:hAnsi="Arial" w:cs="Arial"/>
          <w:b/>
          <w:u w:val="single"/>
          <w:lang w:val="en-GB"/>
        </w:rPr>
      </w:pPr>
      <w:r w:rsidRPr="00491472">
        <w:rPr>
          <w:rFonts w:ascii="Arial" w:hAnsi="Arial" w:cs="Arial"/>
          <w:b/>
          <w:u w:val="single"/>
          <w:lang w:val="en-GB"/>
        </w:rPr>
        <w:t xml:space="preserve">Conclusion </w:t>
      </w:r>
    </w:p>
    <w:p w:rsidR="00491472" w:rsidRDefault="00491472" w:rsidP="00BB662F">
      <w:pPr>
        <w:spacing w:line="360" w:lineRule="auto"/>
        <w:jc w:val="both"/>
        <w:rPr>
          <w:rFonts w:ascii="Arial" w:hAnsi="Arial" w:cs="Arial"/>
          <w:lang w:val="en-GB"/>
        </w:rPr>
      </w:pPr>
    </w:p>
    <w:p w:rsidR="000C27B7" w:rsidRDefault="00DC7969" w:rsidP="00BB662F">
      <w:pPr>
        <w:spacing w:line="360" w:lineRule="auto"/>
        <w:jc w:val="both"/>
        <w:rPr>
          <w:rFonts w:ascii="Arial" w:hAnsi="Arial" w:cs="Arial"/>
          <w:lang w:val="en-GB"/>
        </w:rPr>
      </w:pPr>
      <w:r>
        <w:rPr>
          <w:rFonts w:ascii="Arial" w:hAnsi="Arial" w:cs="Arial"/>
          <w:lang w:val="en-GB"/>
        </w:rPr>
        <w:t xml:space="preserve">Bathurst’s </w:t>
      </w:r>
      <w:r w:rsidR="000C27B7">
        <w:rPr>
          <w:rFonts w:ascii="Arial" w:hAnsi="Arial" w:cs="Arial"/>
          <w:lang w:val="en-GB"/>
        </w:rPr>
        <w:t xml:space="preserve">recent </w:t>
      </w:r>
      <w:r>
        <w:rPr>
          <w:rFonts w:ascii="Arial" w:hAnsi="Arial" w:cs="Arial"/>
          <w:lang w:val="en-GB"/>
        </w:rPr>
        <w:t>biographer has observed that: “</w:t>
      </w:r>
      <w:r w:rsidRPr="00DC7969">
        <w:rPr>
          <w:rFonts w:ascii="Arial" w:hAnsi="Arial" w:cs="Arial"/>
          <w:lang w:val="en-GB"/>
        </w:rPr>
        <w:t>B</w:t>
      </w:r>
      <w:r>
        <w:rPr>
          <w:rFonts w:ascii="Arial" w:hAnsi="Arial" w:cs="Arial"/>
          <w:lang w:val="en-GB"/>
        </w:rPr>
        <w:t xml:space="preserve">athurst's </w:t>
      </w:r>
      <w:r w:rsidRPr="00DC7969">
        <w:rPr>
          <w:rFonts w:ascii="Arial" w:hAnsi="Arial" w:cs="Arial"/>
          <w:lang w:val="en-GB"/>
        </w:rPr>
        <w:t>judgments as lord chancellor are n</w:t>
      </w:r>
      <w:r w:rsidR="00FF7A83">
        <w:rPr>
          <w:rFonts w:ascii="Arial" w:hAnsi="Arial" w:cs="Arial"/>
          <w:lang w:val="en-GB"/>
        </w:rPr>
        <w:t>ot memorable..</w:t>
      </w:r>
      <w:r>
        <w:rPr>
          <w:rFonts w:ascii="Arial" w:hAnsi="Arial" w:cs="Arial"/>
          <w:lang w:val="en-GB"/>
        </w:rPr>
        <w:t>.”</w:t>
      </w:r>
      <w:r w:rsidR="00092B45">
        <w:rPr>
          <w:rStyle w:val="FootnoteReference"/>
          <w:rFonts w:ascii="Arial" w:hAnsi="Arial" w:cs="Arial"/>
          <w:lang w:val="en-GB"/>
        </w:rPr>
        <w:footnoteReference w:id="115"/>
      </w:r>
      <w:r>
        <w:rPr>
          <w:rFonts w:ascii="Arial" w:hAnsi="Arial" w:cs="Arial"/>
          <w:lang w:val="en-GB"/>
        </w:rPr>
        <w:t xml:space="preserve"> </w:t>
      </w:r>
      <w:r w:rsidR="000C27B7">
        <w:rPr>
          <w:rFonts w:ascii="Arial" w:hAnsi="Arial" w:cs="Arial"/>
          <w:lang w:val="en-GB"/>
        </w:rPr>
        <w:t>Similarly Campbell observed that</w:t>
      </w:r>
      <w:r w:rsidR="00A17A17">
        <w:rPr>
          <w:rFonts w:ascii="Arial" w:hAnsi="Arial" w:cs="Arial"/>
          <w:lang w:val="en-GB"/>
        </w:rPr>
        <w:t>, “He [Bathurst] does not seem to have settled any point of much importance…”</w:t>
      </w:r>
      <w:r w:rsidR="00A17A17">
        <w:rPr>
          <w:rStyle w:val="FootnoteReference"/>
          <w:rFonts w:ascii="Arial" w:hAnsi="Arial" w:cs="Arial"/>
          <w:lang w:val="en-GB"/>
        </w:rPr>
        <w:footnoteReference w:id="116"/>
      </w:r>
      <w:r w:rsidR="000C27B7">
        <w:rPr>
          <w:rFonts w:ascii="Arial" w:hAnsi="Arial" w:cs="Arial"/>
          <w:lang w:val="en-GB"/>
        </w:rPr>
        <w:t xml:space="preserve"> </w:t>
      </w:r>
    </w:p>
    <w:p w:rsidR="000C27B7" w:rsidRDefault="000C27B7" w:rsidP="00BB662F">
      <w:pPr>
        <w:spacing w:line="360" w:lineRule="auto"/>
        <w:jc w:val="both"/>
        <w:rPr>
          <w:rFonts w:ascii="Arial" w:hAnsi="Arial" w:cs="Arial"/>
          <w:lang w:val="en-GB"/>
        </w:rPr>
      </w:pPr>
    </w:p>
    <w:p w:rsidR="00DC7969" w:rsidRDefault="00DC7969" w:rsidP="00BB662F">
      <w:pPr>
        <w:spacing w:line="360" w:lineRule="auto"/>
        <w:jc w:val="both"/>
        <w:rPr>
          <w:rFonts w:ascii="Arial" w:hAnsi="Arial" w:cs="Arial"/>
          <w:lang w:val="en-GB"/>
        </w:rPr>
      </w:pPr>
      <w:r>
        <w:rPr>
          <w:rFonts w:ascii="Arial" w:hAnsi="Arial" w:cs="Arial"/>
          <w:lang w:val="en-GB"/>
        </w:rPr>
        <w:t xml:space="preserve">Taking into account the long influence of </w:t>
      </w:r>
      <w:proofErr w:type="spellStart"/>
      <w:r w:rsidRPr="0013542A">
        <w:rPr>
          <w:rFonts w:ascii="Arial" w:hAnsi="Arial" w:cs="Arial"/>
          <w:i/>
          <w:lang w:val="en-GB"/>
        </w:rPr>
        <w:t>Solomons</w:t>
      </w:r>
      <w:proofErr w:type="spellEnd"/>
      <w:r w:rsidRPr="0013542A">
        <w:rPr>
          <w:rFonts w:ascii="Arial" w:hAnsi="Arial" w:cs="Arial"/>
          <w:i/>
          <w:lang w:val="en-GB"/>
        </w:rPr>
        <w:t xml:space="preserve"> v. Ross</w:t>
      </w:r>
      <w:r>
        <w:rPr>
          <w:rFonts w:ascii="Arial" w:hAnsi="Arial" w:cs="Arial"/>
          <w:lang w:val="en-GB"/>
        </w:rPr>
        <w:t xml:space="preserve"> this </w:t>
      </w:r>
      <w:r w:rsidR="0013542A">
        <w:rPr>
          <w:rFonts w:ascii="Arial" w:hAnsi="Arial" w:cs="Arial"/>
          <w:lang w:val="en-GB"/>
        </w:rPr>
        <w:t xml:space="preserve">perception of Bathurst’s judicial contribution on the cross-border insolvency front must be incorrect. </w:t>
      </w:r>
    </w:p>
    <w:p w:rsidR="00DC7969" w:rsidRDefault="00DC7969" w:rsidP="00BB662F">
      <w:pPr>
        <w:spacing w:line="360" w:lineRule="auto"/>
        <w:jc w:val="both"/>
        <w:rPr>
          <w:rFonts w:ascii="Arial" w:hAnsi="Arial" w:cs="Arial"/>
          <w:lang w:val="en-GB"/>
        </w:rPr>
      </w:pPr>
    </w:p>
    <w:p w:rsidR="00C050BF" w:rsidRDefault="00C050BF" w:rsidP="00BB662F">
      <w:pPr>
        <w:spacing w:line="360" w:lineRule="auto"/>
        <w:jc w:val="both"/>
        <w:rPr>
          <w:rFonts w:ascii="Arial" w:hAnsi="Arial" w:cs="Arial"/>
          <w:lang w:val="en-GB"/>
        </w:rPr>
      </w:pPr>
      <w:r>
        <w:rPr>
          <w:rFonts w:ascii="Arial" w:hAnsi="Arial" w:cs="Arial"/>
          <w:lang w:val="en-GB"/>
        </w:rPr>
        <w:t>Professor Ian F. Fletcher QC (Hon) was peerless in the field of cross-border insolvency law</w:t>
      </w:r>
      <w:r>
        <w:rPr>
          <w:rStyle w:val="FootnoteReference"/>
          <w:rFonts w:ascii="Arial" w:hAnsi="Arial" w:cs="Arial"/>
          <w:lang w:val="en-GB"/>
        </w:rPr>
        <w:footnoteReference w:id="117"/>
      </w:r>
      <w:r>
        <w:rPr>
          <w:rFonts w:ascii="Arial" w:hAnsi="Arial" w:cs="Arial"/>
          <w:lang w:val="en-GB"/>
        </w:rPr>
        <w:t xml:space="preserve"> and insolvency law more generally.</w:t>
      </w:r>
      <w:r>
        <w:rPr>
          <w:rStyle w:val="FootnoteReference"/>
          <w:rFonts w:ascii="Arial" w:hAnsi="Arial" w:cs="Arial"/>
          <w:lang w:val="en-GB"/>
        </w:rPr>
        <w:footnoteReference w:id="118"/>
      </w:r>
      <w:r>
        <w:rPr>
          <w:rFonts w:ascii="Arial" w:hAnsi="Arial" w:cs="Arial"/>
          <w:lang w:val="en-GB"/>
        </w:rPr>
        <w:t xml:space="preserve"> His cross-border insolvency work has been cited in the Judicial Committee of the House of Lords (as it then was)</w:t>
      </w:r>
      <w:r>
        <w:rPr>
          <w:rStyle w:val="FootnoteReference"/>
          <w:rFonts w:ascii="Arial" w:hAnsi="Arial" w:cs="Arial"/>
          <w:lang w:val="en-GB"/>
        </w:rPr>
        <w:footnoteReference w:id="119"/>
      </w:r>
      <w:r>
        <w:rPr>
          <w:rFonts w:ascii="Arial" w:hAnsi="Arial" w:cs="Arial"/>
          <w:lang w:val="en-GB"/>
        </w:rPr>
        <w:t xml:space="preserve"> and he has appeared in its successor appellate court, the UK Supreme Court, in the famous Rubin case.</w:t>
      </w:r>
      <w:r>
        <w:rPr>
          <w:rStyle w:val="FootnoteReference"/>
          <w:rFonts w:ascii="Arial" w:hAnsi="Arial" w:cs="Arial"/>
          <w:lang w:val="en-GB"/>
        </w:rPr>
        <w:footnoteReference w:id="120"/>
      </w:r>
      <w:r>
        <w:rPr>
          <w:rFonts w:ascii="Arial" w:hAnsi="Arial" w:cs="Arial"/>
          <w:lang w:val="en-GB"/>
        </w:rPr>
        <w:t xml:space="preserve">  </w:t>
      </w:r>
    </w:p>
    <w:p w:rsidR="00C050BF" w:rsidRDefault="00C050BF" w:rsidP="00BB662F">
      <w:pPr>
        <w:spacing w:line="360" w:lineRule="auto"/>
        <w:jc w:val="both"/>
        <w:rPr>
          <w:rFonts w:ascii="Arial" w:hAnsi="Arial" w:cs="Arial"/>
          <w:lang w:val="en-GB"/>
        </w:rPr>
      </w:pPr>
    </w:p>
    <w:p w:rsidR="00C050BF" w:rsidRDefault="00C050BF" w:rsidP="00BB662F">
      <w:pPr>
        <w:spacing w:line="360" w:lineRule="auto"/>
        <w:jc w:val="both"/>
        <w:rPr>
          <w:rFonts w:ascii="Arial" w:hAnsi="Arial" w:cs="Arial"/>
          <w:lang w:val="en-GB"/>
        </w:rPr>
      </w:pPr>
      <w:r>
        <w:rPr>
          <w:rFonts w:ascii="Arial" w:hAnsi="Arial" w:cs="Arial"/>
          <w:lang w:val="en-GB"/>
        </w:rPr>
        <w:lastRenderedPageBreak/>
        <w:t xml:space="preserve">Fletcher’s work has also laid the foundations upon which a number of subsequent scholars have forged their own careers. In recent times this has included the work of, </w:t>
      </w:r>
      <w:r w:rsidRPr="00485B7E">
        <w:rPr>
          <w:rFonts w:ascii="Arial" w:hAnsi="Arial" w:cs="Arial"/>
          <w:i/>
          <w:lang w:val="en-GB"/>
        </w:rPr>
        <w:t>inter alia</w:t>
      </w:r>
      <w:r>
        <w:rPr>
          <w:rFonts w:ascii="Arial" w:hAnsi="Arial" w:cs="Arial"/>
          <w:lang w:val="en-GB"/>
        </w:rPr>
        <w:t xml:space="preserve">, </w:t>
      </w:r>
      <w:proofErr w:type="spellStart"/>
      <w:r>
        <w:rPr>
          <w:rFonts w:ascii="Arial" w:hAnsi="Arial" w:cs="Arial"/>
          <w:lang w:val="en-GB"/>
        </w:rPr>
        <w:t>Mevorach</w:t>
      </w:r>
      <w:proofErr w:type="spellEnd"/>
      <w:r>
        <w:rPr>
          <w:rFonts w:ascii="Arial" w:hAnsi="Arial" w:cs="Arial"/>
          <w:lang w:val="en-GB"/>
        </w:rPr>
        <w:t>,</w:t>
      </w:r>
      <w:r>
        <w:rPr>
          <w:rStyle w:val="FootnoteReference"/>
          <w:rFonts w:ascii="Arial" w:hAnsi="Arial" w:cs="Arial"/>
          <w:lang w:val="en-GB"/>
        </w:rPr>
        <w:footnoteReference w:id="121"/>
      </w:r>
      <w:r>
        <w:rPr>
          <w:rFonts w:ascii="Arial" w:hAnsi="Arial" w:cs="Arial"/>
          <w:lang w:val="en-GB"/>
        </w:rPr>
        <w:t xml:space="preserve"> Omar,</w:t>
      </w:r>
      <w:r>
        <w:rPr>
          <w:rStyle w:val="FootnoteReference"/>
          <w:rFonts w:ascii="Arial" w:hAnsi="Arial" w:cs="Arial"/>
          <w:lang w:val="en-GB"/>
        </w:rPr>
        <w:footnoteReference w:id="122"/>
      </w:r>
      <w:r>
        <w:rPr>
          <w:rFonts w:ascii="Arial" w:hAnsi="Arial" w:cs="Arial"/>
          <w:lang w:val="en-GB"/>
        </w:rPr>
        <w:t xml:space="preserve"> Chan </w:t>
      </w:r>
      <w:proofErr w:type="spellStart"/>
      <w:r>
        <w:rPr>
          <w:rFonts w:ascii="Arial" w:hAnsi="Arial" w:cs="Arial"/>
          <w:lang w:val="en-GB"/>
        </w:rPr>
        <w:t>Ho</w:t>
      </w:r>
      <w:proofErr w:type="spellEnd"/>
      <w:r>
        <w:rPr>
          <w:rFonts w:ascii="Arial" w:hAnsi="Arial" w:cs="Arial"/>
          <w:lang w:val="en-GB"/>
        </w:rPr>
        <w:t xml:space="preserve"> and Wood.</w:t>
      </w:r>
      <w:r>
        <w:rPr>
          <w:rStyle w:val="FootnoteReference"/>
          <w:rFonts w:ascii="Arial" w:hAnsi="Arial" w:cs="Arial"/>
          <w:lang w:val="en-GB"/>
        </w:rPr>
        <w:footnoteReference w:id="123"/>
      </w:r>
      <w:r>
        <w:rPr>
          <w:rFonts w:ascii="Arial" w:hAnsi="Arial" w:cs="Arial"/>
          <w:lang w:val="en-GB"/>
        </w:rPr>
        <w:t xml:space="preserve"> Their continued work on these complex cross-border issues helps us to understand particularly in troubled period of Brexit (take some more Brexit material from original article for here).</w:t>
      </w:r>
    </w:p>
    <w:p w:rsidR="0013542A" w:rsidRDefault="0013542A" w:rsidP="00BB662F">
      <w:pPr>
        <w:spacing w:line="360" w:lineRule="auto"/>
        <w:jc w:val="both"/>
        <w:rPr>
          <w:rFonts w:ascii="Arial" w:hAnsi="Arial" w:cs="Arial"/>
          <w:lang w:val="en-GB"/>
        </w:rPr>
      </w:pPr>
    </w:p>
    <w:p w:rsidR="0013542A" w:rsidRDefault="0013542A" w:rsidP="00BB662F">
      <w:pPr>
        <w:spacing w:line="360" w:lineRule="auto"/>
        <w:jc w:val="both"/>
        <w:rPr>
          <w:rFonts w:ascii="Arial" w:hAnsi="Arial" w:cs="Arial"/>
          <w:lang w:val="en-GB"/>
        </w:rPr>
      </w:pPr>
    </w:p>
    <w:p w:rsidR="0013542A" w:rsidRPr="00BC42B5" w:rsidRDefault="0013542A" w:rsidP="00BB662F">
      <w:pPr>
        <w:spacing w:line="360" w:lineRule="auto"/>
        <w:jc w:val="both"/>
        <w:rPr>
          <w:rFonts w:ascii="Arial" w:hAnsi="Arial" w:cs="Arial"/>
          <w:u w:val="single"/>
          <w:lang w:val="en-GB"/>
        </w:rPr>
      </w:pPr>
      <w:r w:rsidRPr="00BC42B5">
        <w:rPr>
          <w:rFonts w:ascii="Arial" w:hAnsi="Arial" w:cs="Arial"/>
          <w:u w:val="single"/>
          <w:lang w:val="en-GB"/>
        </w:rPr>
        <w:t>National Futures</w:t>
      </w:r>
    </w:p>
    <w:p w:rsidR="0013542A" w:rsidRDefault="0013542A" w:rsidP="00BB662F">
      <w:pPr>
        <w:spacing w:line="360" w:lineRule="auto"/>
        <w:jc w:val="both"/>
        <w:rPr>
          <w:rFonts w:ascii="Arial" w:hAnsi="Arial" w:cs="Arial"/>
          <w:lang w:val="en-GB"/>
        </w:rPr>
      </w:pPr>
      <w:r>
        <w:rPr>
          <w:rFonts w:ascii="Arial" w:hAnsi="Arial" w:cs="Arial"/>
          <w:lang w:val="en-GB"/>
        </w:rPr>
        <w:t xml:space="preserve">Common law – Fletcher’s counter </w:t>
      </w:r>
      <w:proofErr w:type="spellStart"/>
      <w:r>
        <w:rPr>
          <w:rFonts w:ascii="Arial" w:hAnsi="Arial" w:cs="Arial"/>
          <w:lang w:val="en-GB"/>
        </w:rPr>
        <w:t>counter</w:t>
      </w:r>
      <w:proofErr w:type="spellEnd"/>
      <w:r>
        <w:rPr>
          <w:rFonts w:ascii="Arial" w:hAnsi="Arial" w:cs="Arial"/>
          <w:lang w:val="en-GB"/>
        </w:rPr>
        <w:t xml:space="preserve"> </w:t>
      </w:r>
      <w:proofErr w:type="spellStart"/>
      <w:r>
        <w:rPr>
          <w:rFonts w:ascii="Arial" w:hAnsi="Arial" w:cs="Arial"/>
          <w:lang w:val="en-GB"/>
        </w:rPr>
        <w:t>reofmration</w:t>
      </w:r>
      <w:proofErr w:type="spellEnd"/>
      <w:r>
        <w:rPr>
          <w:rFonts w:ascii="Arial" w:hAnsi="Arial" w:cs="Arial"/>
          <w:lang w:val="en-GB"/>
        </w:rPr>
        <w:t xml:space="preserve"> (from UKRIP email). </w:t>
      </w:r>
    </w:p>
    <w:p w:rsidR="0013542A" w:rsidRDefault="0013542A" w:rsidP="00BB662F">
      <w:pPr>
        <w:spacing w:line="360" w:lineRule="auto"/>
        <w:jc w:val="both"/>
        <w:rPr>
          <w:rFonts w:ascii="Arial" w:hAnsi="Arial" w:cs="Arial"/>
          <w:lang w:val="en-GB"/>
        </w:rPr>
      </w:pPr>
    </w:p>
    <w:p w:rsidR="00C050BF" w:rsidRPr="0003110A" w:rsidRDefault="00C050BF" w:rsidP="00BB662F">
      <w:pPr>
        <w:spacing w:line="360" w:lineRule="auto"/>
        <w:jc w:val="both"/>
        <w:rPr>
          <w:rFonts w:ascii="Arial" w:hAnsi="Arial" w:cs="Arial"/>
          <w:lang w:val="en-GB"/>
        </w:rPr>
      </w:pPr>
    </w:p>
    <w:p w:rsidR="00491472" w:rsidRDefault="00491472" w:rsidP="00BB662F">
      <w:pPr>
        <w:spacing w:line="360" w:lineRule="auto"/>
        <w:jc w:val="both"/>
        <w:rPr>
          <w:rFonts w:ascii="Arial" w:hAnsi="Arial" w:cs="Arial"/>
          <w:b/>
          <w:u w:val="single"/>
          <w:lang w:val="en-GB"/>
        </w:rPr>
      </w:pPr>
      <w:r>
        <w:rPr>
          <w:rFonts w:ascii="Arial" w:hAnsi="Arial" w:cs="Arial"/>
          <w:b/>
          <w:u w:val="single"/>
          <w:lang w:val="en-GB"/>
        </w:rPr>
        <w:br w:type="page"/>
      </w:r>
    </w:p>
    <w:p w:rsidR="00491472" w:rsidRDefault="00491472" w:rsidP="00BB662F">
      <w:pPr>
        <w:spacing w:line="360" w:lineRule="auto"/>
        <w:jc w:val="both"/>
        <w:rPr>
          <w:rFonts w:ascii="Arial" w:hAnsi="Arial" w:cs="Arial"/>
          <w:b/>
          <w:u w:val="single"/>
          <w:lang w:val="en-GB"/>
        </w:rPr>
      </w:pPr>
      <w:r w:rsidRPr="00491472">
        <w:rPr>
          <w:rFonts w:ascii="Arial" w:hAnsi="Arial" w:cs="Arial"/>
          <w:b/>
          <w:u w:val="single"/>
          <w:lang w:val="en-GB"/>
        </w:rPr>
        <w:lastRenderedPageBreak/>
        <w:t>TO DO</w:t>
      </w:r>
    </w:p>
    <w:p w:rsidR="00A44B21" w:rsidRPr="00491472" w:rsidRDefault="00A44B21" w:rsidP="00BB662F">
      <w:pPr>
        <w:spacing w:line="360" w:lineRule="auto"/>
        <w:jc w:val="both"/>
        <w:rPr>
          <w:rFonts w:ascii="Arial" w:hAnsi="Arial" w:cs="Arial"/>
          <w:b/>
          <w:u w:val="single"/>
          <w:lang w:val="en-GB"/>
        </w:rPr>
      </w:pPr>
    </w:p>
    <w:p w:rsidR="000E3449" w:rsidRDefault="000E3449" w:rsidP="00BB662F">
      <w:pPr>
        <w:pStyle w:val="ListParagraph"/>
        <w:numPr>
          <w:ilvl w:val="0"/>
          <w:numId w:val="1"/>
        </w:numPr>
        <w:spacing w:line="360" w:lineRule="auto"/>
        <w:jc w:val="both"/>
        <w:rPr>
          <w:rFonts w:ascii="Arial" w:hAnsi="Arial" w:cs="Arial"/>
          <w:lang w:val="en-GB"/>
        </w:rPr>
      </w:pPr>
      <w:r>
        <w:rPr>
          <w:rFonts w:ascii="Arial" w:hAnsi="Arial" w:cs="Arial"/>
          <w:lang w:val="en-GB"/>
        </w:rPr>
        <w:t>Search emails from Fletcher for any direction on his thoughts on cross border</w:t>
      </w:r>
    </w:p>
    <w:p w:rsidR="00A44B21" w:rsidRDefault="00A44B21" w:rsidP="00BB662F">
      <w:pPr>
        <w:pStyle w:val="ListParagraph"/>
        <w:numPr>
          <w:ilvl w:val="0"/>
          <w:numId w:val="1"/>
        </w:numPr>
        <w:spacing w:line="360" w:lineRule="auto"/>
        <w:jc w:val="both"/>
        <w:rPr>
          <w:rFonts w:ascii="Arial" w:hAnsi="Arial" w:cs="Arial"/>
          <w:lang w:val="en-GB"/>
        </w:rPr>
      </w:pPr>
      <w:r>
        <w:rPr>
          <w:rFonts w:ascii="Arial" w:hAnsi="Arial" w:cs="Arial"/>
          <w:lang w:val="en-GB"/>
        </w:rPr>
        <w:t>Cooke’s bankruptcy and other early bankruptcy books</w:t>
      </w:r>
    </w:p>
    <w:p w:rsidR="00A44B21" w:rsidRDefault="00A44B21" w:rsidP="00A44B21">
      <w:pPr>
        <w:pStyle w:val="ListParagraph"/>
        <w:numPr>
          <w:ilvl w:val="0"/>
          <w:numId w:val="1"/>
        </w:numPr>
        <w:spacing w:line="360" w:lineRule="auto"/>
        <w:jc w:val="both"/>
        <w:rPr>
          <w:rFonts w:ascii="Arial" w:hAnsi="Arial" w:cs="Arial"/>
          <w:lang w:val="en-GB"/>
        </w:rPr>
      </w:pPr>
      <w:r>
        <w:rPr>
          <w:rFonts w:ascii="Arial" w:hAnsi="Arial" w:cs="Arial"/>
          <w:lang w:val="en-GB"/>
        </w:rPr>
        <w:t>Selden materials on Bathurst</w:t>
      </w:r>
    </w:p>
    <w:p w:rsidR="00D23F4C" w:rsidRDefault="00D23F4C" w:rsidP="00A44B21">
      <w:pPr>
        <w:pStyle w:val="ListParagraph"/>
        <w:numPr>
          <w:ilvl w:val="0"/>
          <w:numId w:val="1"/>
        </w:numPr>
        <w:spacing w:line="360" w:lineRule="auto"/>
        <w:jc w:val="both"/>
        <w:rPr>
          <w:rFonts w:ascii="Arial" w:hAnsi="Arial" w:cs="Arial"/>
          <w:lang w:val="en-GB"/>
        </w:rPr>
      </w:pPr>
      <w:r>
        <w:rPr>
          <w:rFonts w:ascii="Arial" w:hAnsi="Arial" w:cs="Arial"/>
          <w:lang w:val="en-GB"/>
        </w:rPr>
        <w:t xml:space="preserve">Oxford history of </w:t>
      </w:r>
      <w:proofErr w:type="spellStart"/>
      <w:r>
        <w:rPr>
          <w:rFonts w:ascii="Arial" w:hAnsi="Arial" w:cs="Arial"/>
          <w:lang w:val="en-GB"/>
        </w:rPr>
        <w:t>enlgish</w:t>
      </w:r>
      <w:proofErr w:type="spellEnd"/>
      <w:r>
        <w:rPr>
          <w:rFonts w:ascii="Arial" w:hAnsi="Arial" w:cs="Arial"/>
          <w:lang w:val="en-GB"/>
        </w:rPr>
        <w:t xml:space="preserve"> law on the period? </w:t>
      </w:r>
    </w:p>
    <w:p w:rsidR="00D23F4C" w:rsidRDefault="00D23F4C" w:rsidP="00A44B21">
      <w:pPr>
        <w:pStyle w:val="ListParagraph"/>
        <w:numPr>
          <w:ilvl w:val="0"/>
          <w:numId w:val="1"/>
        </w:numPr>
        <w:spacing w:line="360" w:lineRule="auto"/>
        <w:jc w:val="both"/>
        <w:rPr>
          <w:rFonts w:ascii="Arial" w:hAnsi="Arial" w:cs="Arial"/>
          <w:lang w:val="en-GB"/>
        </w:rPr>
      </w:pPr>
      <w:proofErr w:type="spellStart"/>
      <w:r>
        <w:rPr>
          <w:rFonts w:ascii="Arial" w:hAnsi="Arial" w:cs="Arial"/>
          <w:lang w:val="en-GB"/>
        </w:rPr>
        <w:t>Holdsworth</w:t>
      </w:r>
      <w:proofErr w:type="spellEnd"/>
      <w:r>
        <w:rPr>
          <w:rFonts w:ascii="Arial" w:hAnsi="Arial" w:cs="Arial"/>
          <w:lang w:val="en-GB"/>
        </w:rPr>
        <w:t xml:space="preserve"> on the period of Bathurst? </w:t>
      </w:r>
    </w:p>
    <w:p w:rsidR="00782959" w:rsidRDefault="00782959" w:rsidP="00A44B21">
      <w:pPr>
        <w:pStyle w:val="ListParagraph"/>
        <w:numPr>
          <w:ilvl w:val="0"/>
          <w:numId w:val="1"/>
        </w:numPr>
        <w:spacing w:line="360" w:lineRule="auto"/>
        <w:jc w:val="both"/>
        <w:rPr>
          <w:rFonts w:ascii="Arial" w:hAnsi="Arial" w:cs="Arial"/>
          <w:lang w:val="en-GB"/>
        </w:rPr>
      </w:pPr>
      <w:proofErr w:type="spellStart"/>
      <w:r>
        <w:rPr>
          <w:rFonts w:ascii="Arial" w:hAnsi="Arial" w:cs="Arial"/>
          <w:lang w:val="en-GB"/>
        </w:rPr>
        <w:t>Polden</w:t>
      </w:r>
      <w:proofErr w:type="spellEnd"/>
      <w:r>
        <w:rPr>
          <w:rFonts w:ascii="Arial" w:hAnsi="Arial" w:cs="Arial"/>
          <w:lang w:val="en-GB"/>
        </w:rPr>
        <w:t xml:space="preserve"> and OUP white cover histories on Bathurst, etc. </w:t>
      </w:r>
    </w:p>
    <w:p w:rsidR="00C009A7" w:rsidRDefault="00C009A7" w:rsidP="00A44B21">
      <w:pPr>
        <w:pStyle w:val="ListParagraph"/>
        <w:numPr>
          <w:ilvl w:val="0"/>
          <w:numId w:val="1"/>
        </w:numPr>
        <w:spacing w:line="360" w:lineRule="auto"/>
        <w:jc w:val="both"/>
        <w:rPr>
          <w:rFonts w:ascii="Arial" w:hAnsi="Arial" w:cs="Arial"/>
          <w:lang w:val="en-GB"/>
        </w:rPr>
      </w:pPr>
      <w:proofErr w:type="spellStart"/>
      <w:r>
        <w:rPr>
          <w:rFonts w:ascii="Arial" w:hAnsi="Arial" w:cs="Arial"/>
          <w:lang w:val="en-GB"/>
        </w:rPr>
        <w:t>Blom</w:t>
      </w:r>
      <w:proofErr w:type="spellEnd"/>
      <w:r>
        <w:rPr>
          <w:rFonts w:ascii="Arial" w:hAnsi="Arial" w:cs="Arial"/>
          <w:lang w:val="en-GB"/>
        </w:rPr>
        <w:t xml:space="preserve"> cooper </w:t>
      </w:r>
      <w:proofErr w:type="spellStart"/>
      <w:r>
        <w:rPr>
          <w:rFonts w:ascii="Arial" w:hAnsi="Arial" w:cs="Arial"/>
          <w:lang w:val="en-GB"/>
        </w:rPr>
        <w:t>llm</w:t>
      </w:r>
      <w:proofErr w:type="spellEnd"/>
      <w:r>
        <w:rPr>
          <w:rFonts w:ascii="Arial" w:hAnsi="Arial" w:cs="Arial"/>
          <w:lang w:val="en-GB"/>
        </w:rPr>
        <w:t xml:space="preserve"> thesis</w:t>
      </w:r>
    </w:p>
    <w:p w:rsidR="00C009A7" w:rsidRPr="00A44B21" w:rsidRDefault="00C009A7" w:rsidP="00A44B21">
      <w:pPr>
        <w:pStyle w:val="ListParagraph"/>
        <w:numPr>
          <w:ilvl w:val="0"/>
          <w:numId w:val="1"/>
        </w:numPr>
        <w:spacing w:line="360" w:lineRule="auto"/>
        <w:jc w:val="both"/>
        <w:rPr>
          <w:rFonts w:ascii="Arial" w:hAnsi="Arial" w:cs="Arial"/>
          <w:lang w:val="en-GB"/>
        </w:rPr>
      </w:pPr>
      <w:r>
        <w:rPr>
          <w:rFonts w:ascii="Arial" w:hAnsi="Arial" w:cs="Arial"/>
          <w:lang w:val="en-GB"/>
        </w:rPr>
        <w:t>Comparative thesis in room</w:t>
      </w:r>
      <w:r w:rsidR="005F0D78">
        <w:rPr>
          <w:rFonts w:ascii="Arial" w:hAnsi="Arial" w:cs="Arial"/>
          <w:lang w:val="en-GB"/>
        </w:rPr>
        <w:t xml:space="preserve"> on top of </w:t>
      </w:r>
      <w:proofErr w:type="spellStart"/>
      <w:r w:rsidR="005F0D78">
        <w:rPr>
          <w:rFonts w:ascii="Arial" w:hAnsi="Arial" w:cs="Arial"/>
          <w:lang w:val="en-GB"/>
        </w:rPr>
        <w:t>milman</w:t>
      </w:r>
      <w:proofErr w:type="spellEnd"/>
      <w:r w:rsidR="005F0D78">
        <w:rPr>
          <w:rFonts w:ascii="Arial" w:hAnsi="Arial" w:cs="Arial"/>
          <w:lang w:val="en-GB"/>
        </w:rPr>
        <w:t xml:space="preserve"> and </w:t>
      </w:r>
      <w:proofErr w:type="spellStart"/>
      <w:r w:rsidR="005F0D78">
        <w:rPr>
          <w:rFonts w:ascii="Arial" w:hAnsi="Arial" w:cs="Arial"/>
          <w:lang w:val="en-GB"/>
        </w:rPr>
        <w:t>sealy</w:t>
      </w:r>
      <w:proofErr w:type="spellEnd"/>
      <w:r w:rsidR="00C713A2">
        <w:rPr>
          <w:rFonts w:ascii="Arial" w:hAnsi="Arial" w:cs="Arial"/>
          <w:lang w:val="en-GB"/>
        </w:rPr>
        <w:t xml:space="preserve"> – Whitney Dunscomb, S. </w:t>
      </w:r>
      <w:r w:rsidR="00C713A2" w:rsidRPr="00C713A2">
        <w:rPr>
          <w:rFonts w:ascii="Arial" w:hAnsi="Arial" w:cs="Arial"/>
          <w:i/>
          <w:lang w:val="en-GB"/>
        </w:rPr>
        <w:t>Bankruptcy – A Study in Comparative Legislation</w:t>
      </w:r>
      <w:r w:rsidR="00C713A2">
        <w:rPr>
          <w:rFonts w:ascii="Arial" w:hAnsi="Arial" w:cs="Arial"/>
          <w:lang w:val="en-GB"/>
        </w:rPr>
        <w:t xml:space="preserve">. Studies in History, Economics and Public Law, </w:t>
      </w:r>
      <w:proofErr w:type="spellStart"/>
      <w:r w:rsidR="00C713A2">
        <w:rPr>
          <w:rFonts w:ascii="Arial" w:hAnsi="Arial" w:cs="Arial"/>
          <w:lang w:val="en-GB"/>
        </w:rPr>
        <w:t>Vol.II</w:t>
      </w:r>
      <w:proofErr w:type="spellEnd"/>
      <w:r w:rsidR="00C713A2">
        <w:rPr>
          <w:rFonts w:ascii="Arial" w:hAnsi="Arial" w:cs="Arial"/>
          <w:lang w:val="en-GB"/>
        </w:rPr>
        <w:t>, No.2, Columbia College, New York, 1893.</w:t>
      </w:r>
    </w:p>
    <w:p w:rsidR="00E242D8" w:rsidRDefault="00E242D8" w:rsidP="00BB662F">
      <w:pPr>
        <w:spacing w:line="360" w:lineRule="auto"/>
        <w:jc w:val="both"/>
      </w:pPr>
    </w:p>
    <w:p w:rsidR="00D92A6C" w:rsidRDefault="00D92A6C" w:rsidP="00BB662F">
      <w:pPr>
        <w:spacing w:line="360" w:lineRule="auto"/>
        <w:jc w:val="both"/>
      </w:pPr>
    </w:p>
    <w:p w:rsidR="00D92A6C" w:rsidRDefault="00D92A6C" w:rsidP="00BB662F">
      <w:pPr>
        <w:spacing w:line="360" w:lineRule="auto"/>
        <w:jc w:val="both"/>
      </w:pPr>
      <w:r>
        <w:t xml:space="preserve">Look at??: </w:t>
      </w:r>
    </w:p>
    <w:p w:rsidR="00D92A6C" w:rsidRPr="002C3D2A" w:rsidRDefault="00D92A6C" w:rsidP="00D92A6C">
      <w:pPr>
        <w:spacing w:line="360" w:lineRule="auto"/>
        <w:jc w:val="both"/>
        <w:rPr>
          <w:rFonts w:ascii="Arial" w:hAnsi="Arial" w:cs="Arial"/>
          <w:lang w:val="en-GB"/>
        </w:rPr>
      </w:pPr>
      <w:r w:rsidRPr="002C3D2A">
        <w:rPr>
          <w:rFonts w:ascii="Arial" w:hAnsi="Arial" w:cs="Arial"/>
          <w:lang w:val="en-GB"/>
        </w:rPr>
        <w:t>Constitutional Change in England and the Diffusion of Regulatory Initiative, 1660–1714</w:t>
      </w:r>
    </w:p>
    <w:p w:rsidR="00D92A6C" w:rsidRDefault="00D92A6C" w:rsidP="00D92A6C">
      <w:pPr>
        <w:spacing w:line="360" w:lineRule="auto"/>
        <w:jc w:val="both"/>
        <w:rPr>
          <w:rFonts w:ascii="Arial" w:hAnsi="Arial" w:cs="Arial"/>
          <w:lang w:val="en-GB"/>
        </w:rPr>
      </w:pPr>
      <w:r w:rsidRPr="002C3D2A">
        <w:rPr>
          <w:rFonts w:ascii="Arial" w:hAnsi="Arial" w:cs="Arial"/>
          <w:lang w:val="en-GB"/>
        </w:rPr>
        <w:t>Pettigrew, William A, History, December 2014, Vol.99(338), pp.839-863</w:t>
      </w:r>
    </w:p>
    <w:p w:rsidR="000B6443" w:rsidRDefault="000B6443" w:rsidP="00D92A6C">
      <w:pPr>
        <w:spacing w:line="360" w:lineRule="auto"/>
        <w:jc w:val="both"/>
        <w:rPr>
          <w:rFonts w:ascii="Arial" w:hAnsi="Arial" w:cs="Arial"/>
          <w:lang w:val="en-GB"/>
        </w:rPr>
      </w:pPr>
    </w:p>
    <w:p w:rsidR="000B6443" w:rsidRDefault="000B6443" w:rsidP="00D92A6C">
      <w:pPr>
        <w:spacing w:line="360" w:lineRule="auto"/>
        <w:jc w:val="both"/>
        <w:rPr>
          <w:rFonts w:ascii="Arial" w:hAnsi="Arial" w:cs="Arial"/>
          <w:lang w:val="en-GB"/>
        </w:rPr>
      </w:pPr>
    </w:p>
    <w:p w:rsidR="000B6443" w:rsidRDefault="000B6443" w:rsidP="00D92A6C">
      <w:pPr>
        <w:spacing w:line="360" w:lineRule="auto"/>
        <w:jc w:val="both"/>
        <w:rPr>
          <w:rFonts w:ascii="Arial" w:hAnsi="Arial" w:cs="Arial"/>
          <w:lang w:val="en-GB"/>
        </w:rPr>
      </w:pPr>
    </w:p>
    <w:p w:rsidR="000B6443" w:rsidRPr="000B6443" w:rsidRDefault="000B6443" w:rsidP="000B6443">
      <w:pPr>
        <w:shd w:val="clear" w:color="auto" w:fill="FFFFFF"/>
        <w:jc w:val="center"/>
        <w:outlineLvl w:val="1"/>
        <w:rPr>
          <w:rFonts w:ascii="Trebuchet MS" w:eastAsia="Times New Roman" w:hAnsi="Trebuchet MS" w:cs="Times New Roman"/>
          <w:b/>
          <w:bCs/>
          <w:color w:val="000000"/>
          <w:sz w:val="29"/>
          <w:szCs w:val="29"/>
          <w:lang w:val="en-GB"/>
        </w:rPr>
      </w:pPr>
      <w:r w:rsidRPr="000B6443">
        <w:rPr>
          <w:rFonts w:ascii="Trebuchet MS" w:eastAsia="Times New Roman" w:hAnsi="Trebuchet MS" w:cs="Times New Roman"/>
          <w:b/>
          <w:bCs/>
          <w:color w:val="000000"/>
          <w:sz w:val="29"/>
          <w:szCs w:val="29"/>
          <w:lang w:val="en-GB"/>
        </w:rPr>
        <w:t>Cross-border </w:t>
      </w:r>
      <w:r w:rsidRPr="000B6443">
        <w:rPr>
          <w:rFonts w:ascii="Trebuchet MS" w:eastAsia="Times New Roman" w:hAnsi="Trebuchet MS" w:cs="Times New Roman"/>
          <w:b/>
          <w:bCs/>
          <w:color w:val="000000"/>
          <w:sz w:val="29"/>
          <w:szCs w:val="29"/>
          <w:shd w:val="clear" w:color="auto" w:fill="FFFF00"/>
          <w:lang w:val="en-GB"/>
        </w:rPr>
        <w:t>insolvency</w:t>
      </w:r>
      <w:r w:rsidRPr="000B6443">
        <w:rPr>
          <w:rFonts w:ascii="Trebuchet MS" w:eastAsia="Times New Roman" w:hAnsi="Trebuchet MS" w:cs="Times New Roman"/>
          <w:b/>
          <w:bCs/>
          <w:color w:val="000000"/>
          <w:sz w:val="29"/>
          <w:szCs w:val="29"/>
          <w:lang w:val="en-GB"/>
        </w:rPr>
        <w:t>.</w:t>
      </w:r>
    </w:p>
    <w:p w:rsidR="000B6443" w:rsidRPr="000B6443" w:rsidRDefault="000B6443" w:rsidP="000B6443">
      <w:pPr>
        <w:shd w:val="clear" w:color="auto" w:fill="FFFFFF"/>
        <w:jc w:val="center"/>
        <w:rPr>
          <w:rFonts w:ascii="Verdana" w:eastAsia="Times New Roman" w:hAnsi="Verdana" w:cs="Times New Roman"/>
          <w:color w:val="000000"/>
          <w:sz w:val="19"/>
          <w:szCs w:val="19"/>
          <w:lang w:val="en-GB"/>
        </w:rPr>
      </w:pPr>
      <w:r w:rsidRPr="000B6443">
        <w:rPr>
          <w:rFonts w:ascii="Verdana" w:eastAsia="Times New Roman" w:hAnsi="Verdana" w:cs="Times New Roman"/>
          <w:b/>
          <w:bCs/>
          <w:color w:val="000000"/>
          <w:sz w:val="19"/>
          <w:szCs w:val="19"/>
          <w:shd w:val="clear" w:color="auto" w:fill="FFFF00"/>
          <w:lang w:val="en-GB"/>
        </w:rPr>
        <w:t>David</w:t>
      </w:r>
      <w:r w:rsidRPr="000B6443">
        <w:rPr>
          <w:rFonts w:ascii="Verdana" w:eastAsia="Times New Roman" w:hAnsi="Verdana" w:cs="Times New Roman"/>
          <w:color w:val="000000"/>
          <w:sz w:val="19"/>
          <w:szCs w:val="19"/>
          <w:lang w:val="en-GB"/>
        </w:rPr>
        <w:t> </w:t>
      </w:r>
      <w:r w:rsidRPr="000B6443">
        <w:rPr>
          <w:rFonts w:ascii="Verdana" w:eastAsia="Times New Roman" w:hAnsi="Verdana" w:cs="Times New Roman"/>
          <w:b/>
          <w:bCs/>
          <w:color w:val="000000"/>
          <w:sz w:val="19"/>
          <w:szCs w:val="19"/>
          <w:shd w:val="clear" w:color="auto" w:fill="FFFF00"/>
          <w:lang w:val="en-GB"/>
        </w:rPr>
        <w:t>Graham</w:t>
      </w:r>
      <w:r w:rsidRPr="000B6443">
        <w:rPr>
          <w:rFonts w:ascii="Verdana" w:eastAsia="Times New Roman" w:hAnsi="Verdana" w:cs="Times New Roman"/>
          <w:color w:val="000000"/>
          <w:sz w:val="19"/>
          <w:szCs w:val="19"/>
          <w:lang w:val="en-GB"/>
        </w:rPr>
        <w:t>.</w:t>
      </w:r>
    </w:p>
    <w:p w:rsidR="000B6443" w:rsidRPr="000B6443" w:rsidRDefault="000B6443" w:rsidP="000B6443">
      <w:pPr>
        <w:shd w:val="clear" w:color="auto" w:fill="FFFFFF"/>
        <w:jc w:val="center"/>
        <w:rPr>
          <w:rFonts w:ascii="Verdana" w:eastAsia="Times New Roman" w:hAnsi="Verdana" w:cs="Times New Roman"/>
          <w:color w:val="000000"/>
          <w:sz w:val="19"/>
          <w:szCs w:val="19"/>
          <w:lang w:val="en-GB"/>
        </w:rPr>
      </w:pPr>
      <w:r w:rsidRPr="000B6443">
        <w:rPr>
          <w:rFonts w:ascii="Verdana" w:eastAsia="Times New Roman" w:hAnsi="Verdana" w:cs="Times New Roman"/>
          <w:color w:val="000000"/>
          <w:sz w:val="19"/>
          <w:szCs w:val="19"/>
          <w:lang w:val="en-GB"/>
        </w:rPr>
        <w:t>C.L.P. 1989, 42, 217-229.</w:t>
      </w:r>
    </w:p>
    <w:p w:rsidR="000B6443" w:rsidRPr="002C3D2A" w:rsidRDefault="000B6443" w:rsidP="00D92A6C">
      <w:pPr>
        <w:spacing w:line="360" w:lineRule="auto"/>
        <w:jc w:val="both"/>
        <w:rPr>
          <w:rFonts w:ascii="Arial" w:hAnsi="Arial" w:cs="Arial"/>
          <w:lang w:val="en-GB"/>
        </w:rPr>
      </w:pPr>
    </w:p>
    <w:p w:rsidR="00D92A6C" w:rsidRDefault="00D92A6C" w:rsidP="00BB662F">
      <w:pPr>
        <w:spacing w:line="360" w:lineRule="auto"/>
        <w:jc w:val="both"/>
      </w:pPr>
    </w:p>
    <w:sectPr w:rsidR="00D92A6C" w:rsidSect="007E504B">
      <w:headerReference w:type="default" r:id="rId8"/>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3B33" w:rsidRDefault="002D3B33" w:rsidP="00C44CFE">
      <w:r>
        <w:separator/>
      </w:r>
    </w:p>
  </w:endnote>
  <w:endnote w:type="continuationSeparator" w:id="0">
    <w:p w:rsidR="002D3B33" w:rsidRDefault="002D3B33" w:rsidP="00C44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85067777"/>
      <w:docPartObj>
        <w:docPartGallery w:val="Page Numbers (Bottom of Page)"/>
        <w:docPartUnique/>
      </w:docPartObj>
    </w:sdtPr>
    <w:sdtEndPr>
      <w:rPr>
        <w:rStyle w:val="PageNumber"/>
      </w:rPr>
    </w:sdtEndPr>
    <w:sdtContent>
      <w:p w:rsidR="00C713A2" w:rsidRDefault="00C713A2" w:rsidP="00E242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713A2" w:rsidRDefault="00C713A2" w:rsidP="004338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60562940"/>
      <w:docPartObj>
        <w:docPartGallery w:val="Page Numbers (Bottom of Page)"/>
        <w:docPartUnique/>
      </w:docPartObj>
    </w:sdtPr>
    <w:sdtEndPr>
      <w:rPr>
        <w:rStyle w:val="PageNumber"/>
      </w:rPr>
    </w:sdtEndPr>
    <w:sdtContent>
      <w:p w:rsidR="00C713A2" w:rsidRDefault="00C713A2" w:rsidP="00E242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C713A2" w:rsidRDefault="00C713A2" w:rsidP="004338F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3B33" w:rsidRDefault="002D3B33" w:rsidP="00C44CFE">
      <w:r>
        <w:separator/>
      </w:r>
    </w:p>
  </w:footnote>
  <w:footnote w:type="continuationSeparator" w:id="0">
    <w:p w:rsidR="002D3B33" w:rsidRDefault="002D3B33" w:rsidP="00C44CFE">
      <w:r>
        <w:continuationSeparator/>
      </w:r>
    </w:p>
  </w:footnote>
  <w:footnote w:id="1">
    <w:p w:rsidR="00AD751C" w:rsidRPr="00331847" w:rsidRDefault="00AD751C" w:rsidP="00AD751C">
      <w:pPr>
        <w:pStyle w:val="FootnoteText"/>
        <w:jc w:val="both"/>
        <w:rPr>
          <w:rFonts w:ascii="Arial" w:hAnsi="Arial" w:cs="Arial"/>
          <w:lang w:val="en-GB"/>
        </w:rPr>
      </w:pPr>
      <w:r w:rsidRPr="00331847">
        <w:rPr>
          <w:rStyle w:val="FootnoteReference"/>
          <w:rFonts w:ascii="Arial" w:hAnsi="Arial" w:cs="Arial"/>
        </w:rPr>
        <w:sym w:font="Symbol" w:char="F0A8"/>
      </w:r>
      <w:r w:rsidRPr="00331847">
        <w:rPr>
          <w:rFonts w:ascii="Arial" w:hAnsi="Arial" w:cs="Arial"/>
        </w:rPr>
        <w:t xml:space="preserve"> </w:t>
      </w:r>
      <w:r w:rsidRPr="00331847">
        <w:rPr>
          <w:rFonts w:ascii="Arial" w:hAnsi="Arial" w:cs="Arial"/>
          <w:lang w:val="en-GB"/>
        </w:rPr>
        <w:t>Chief Registrar in Bankruptcy</w:t>
      </w:r>
      <w:r>
        <w:rPr>
          <w:rFonts w:ascii="Arial" w:hAnsi="Arial" w:cs="Arial"/>
          <w:lang w:val="en-GB"/>
        </w:rPr>
        <w:t xml:space="preserve"> (2004-2017)</w:t>
      </w:r>
      <w:r w:rsidRPr="00331847">
        <w:rPr>
          <w:rFonts w:ascii="Arial" w:hAnsi="Arial" w:cs="Arial"/>
          <w:lang w:val="en-GB"/>
        </w:rPr>
        <w:t>,</w:t>
      </w:r>
      <w:r>
        <w:rPr>
          <w:rFonts w:ascii="Arial" w:hAnsi="Arial" w:cs="Arial"/>
          <w:lang w:val="en-GB"/>
        </w:rPr>
        <w:t xml:space="preserve"> Registrar in Bankruptcy (1996-2004),</w:t>
      </w:r>
      <w:r w:rsidRPr="00331847">
        <w:rPr>
          <w:rFonts w:ascii="Arial" w:hAnsi="Arial" w:cs="Arial"/>
          <w:lang w:val="en-GB"/>
        </w:rPr>
        <w:t xml:space="preserve"> High Court of Justice.</w:t>
      </w:r>
      <w:r>
        <w:rPr>
          <w:rFonts w:ascii="Arial" w:hAnsi="Arial" w:cs="Arial"/>
          <w:lang w:val="en-GB"/>
        </w:rPr>
        <w:t xml:space="preserve"> Consultant</w:t>
      </w:r>
      <w:r w:rsidR="00746F04">
        <w:rPr>
          <w:rFonts w:ascii="Arial" w:hAnsi="Arial" w:cs="Arial"/>
          <w:lang w:val="en-GB"/>
        </w:rPr>
        <w:t>, Moon Beaver and Non-Executive Director</w:t>
      </w:r>
      <w:r>
        <w:rPr>
          <w:rFonts w:ascii="Arial" w:hAnsi="Arial" w:cs="Arial"/>
          <w:lang w:val="en-GB"/>
        </w:rPr>
        <w:t xml:space="preserve">, </w:t>
      </w:r>
      <w:r w:rsidRPr="00EB149E">
        <w:rPr>
          <w:rFonts w:ascii="Arial" w:hAnsi="Arial" w:cs="Arial"/>
          <w:lang w:val="en-GB"/>
        </w:rPr>
        <w:t>Manolete Partners PLC</w:t>
      </w:r>
      <w:r>
        <w:rPr>
          <w:rFonts w:ascii="Arial" w:hAnsi="Arial" w:cs="Arial"/>
          <w:lang w:val="en-GB"/>
        </w:rPr>
        <w:t>.</w:t>
      </w:r>
      <w:r w:rsidRPr="00F66F24">
        <w:t xml:space="preserve"> </w:t>
      </w:r>
    </w:p>
  </w:footnote>
  <w:footnote w:id="2">
    <w:p w:rsidR="00C713A2" w:rsidRPr="00CF5D67" w:rsidRDefault="00C713A2" w:rsidP="00CF5D67">
      <w:pPr>
        <w:pStyle w:val="FootnoteText"/>
        <w:jc w:val="both"/>
        <w:rPr>
          <w:rFonts w:ascii="Arial" w:hAnsi="Arial" w:cs="Arial"/>
          <w:lang w:val="en-GB"/>
        </w:rPr>
      </w:pPr>
      <w:r w:rsidRPr="00CF5D67">
        <w:rPr>
          <w:rStyle w:val="FootnoteReference"/>
          <w:rFonts w:ascii="Arial" w:hAnsi="Arial" w:cs="Arial"/>
        </w:rPr>
        <w:sym w:font="Symbol" w:char="F0A7"/>
      </w:r>
      <w:r w:rsidRPr="00CF5D67">
        <w:rPr>
          <w:rFonts w:ascii="Arial" w:hAnsi="Arial" w:cs="Arial"/>
        </w:rPr>
        <w:t xml:space="preserve"> </w:t>
      </w:r>
      <w:r w:rsidRPr="00CF5D67">
        <w:rPr>
          <w:rFonts w:ascii="Arial" w:hAnsi="Arial" w:cs="Arial"/>
          <w:lang w:val="en-GB"/>
        </w:rPr>
        <w:t xml:space="preserve">Senior Lecturer in Law, School of Law and Social Justice, University of Liverpool. Academic Associate, Exchange Chambers. Email: </w:t>
      </w:r>
      <w:hyperlink r:id="rId1" w:history="1">
        <w:r w:rsidRPr="00CF5D67">
          <w:rPr>
            <w:rStyle w:val="Hyperlink"/>
            <w:rFonts w:ascii="Arial" w:hAnsi="Arial" w:cs="Arial"/>
            <w:lang w:val="en-GB"/>
          </w:rPr>
          <w:t>j.tribe@liverpool.ac.uk</w:t>
        </w:r>
      </w:hyperlink>
      <w:r w:rsidR="00AD751C">
        <w:rPr>
          <w:rFonts w:ascii="Arial" w:hAnsi="Arial" w:cs="Arial"/>
          <w:lang w:val="en-GB"/>
        </w:rPr>
        <w:t>. We</w:t>
      </w:r>
      <w:r w:rsidRPr="00CF5D67">
        <w:rPr>
          <w:rFonts w:ascii="Arial" w:hAnsi="Arial" w:cs="Arial"/>
          <w:lang w:val="en-GB"/>
        </w:rPr>
        <w:t xml:space="preserve"> would like to thank Ms. Liz </w:t>
      </w:r>
      <w:proofErr w:type="spellStart"/>
      <w:r w:rsidRPr="00CF5D67">
        <w:rPr>
          <w:rFonts w:ascii="Arial" w:hAnsi="Arial" w:cs="Arial"/>
          <w:lang w:val="en-GB"/>
        </w:rPr>
        <w:t>Hore</w:t>
      </w:r>
      <w:proofErr w:type="spellEnd"/>
      <w:r w:rsidRPr="00CF5D67">
        <w:rPr>
          <w:rFonts w:ascii="Arial" w:hAnsi="Arial" w:cs="Arial"/>
          <w:lang w:val="en-GB"/>
        </w:rPr>
        <w:t xml:space="preserve"> of the National Archive, Mr. Gabriel Mos</w:t>
      </w:r>
      <w:r w:rsidR="00746F04">
        <w:rPr>
          <w:rFonts w:ascii="Arial" w:hAnsi="Arial" w:cs="Arial"/>
          <w:lang w:val="en-GB"/>
        </w:rPr>
        <w:t xml:space="preserve">s QC, Professor Michael </w:t>
      </w:r>
      <w:proofErr w:type="spellStart"/>
      <w:r w:rsidR="00746F04">
        <w:rPr>
          <w:rFonts w:ascii="Arial" w:hAnsi="Arial" w:cs="Arial"/>
          <w:lang w:val="en-GB"/>
        </w:rPr>
        <w:t>Lobban</w:t>
      </w:r>
      <w:proofErr w:type="spellEnd"/>
      <w:r w:rsidRPr="00CF5D67">
        <w:rPr>
          <w:rFonts w:ascii="Arial" w:hAnsi="Arial" w:cs="Arial"/>
          <w:lang w:val="en-GB"/>
        </w:rPr>
        <w:t xml:space="preserve">, Professor David </w:t>
      </w:r>
      <w:proofErr w:type="spellStart"/>
      <w:r w:rsidRPr="00CF5D67">
        <w:rPr>
          <w:rFonts w:ascii="Arial" w:hAnsi="Arial" w:cs="Arial"/>
          <w:lang w:val="en-GB"/>
        </w:rPr>
        <w:t>Milman</w:t>
      </w:r>
      <w:proofErr w:type="spellEnd"/>
      <w:r w:rsidRPr="00CF5D67">
        <w:rPr>
          <w:rFonts w:ascii="Arial" w:hAnsi="Arial" w:cs="Arial"/>
          <w:lang w:val="en-GB"/>
        </w:rPr>
        <w:t xml:space="preserve">, Ms. Tamsin Bailey and </w:t>
      </w:r>
      <w:proofErr w:type="spellStart"/>
      <w:r w:rsidRPr="00CF5D67">
        <w:rPr>
          <w:rFonts w:ascii="Arial" w:hAnsi="Arial" w:cs="Arial"/>
          <w:lang w:val="en-GB"/>
        </w:rPr>
        <w:t>Dr.</w:t>
      </w:r>
      <w:proofErr w:type="spellEnd"/>
      <w:r w:rsidRPr="00CF5D67">
        <w:rPr>
          <w:rFonts w:ascii="Arial" w:hAnsi="Arial" w:cs="Arial"/>
          <w:lang w:val="en-GB"/>
        </w:rPr>
        <w:t xml:space="preserve"> Paul Omar for commenting on earlier drafts of this article. Any errors or omissions are the sole responsibility of the author</w:t>
      </w:r>
      <w:r w:rsidR="00AD751C">
        <w:rPr>
          <w:rFonts w:ascii="Arial" w:hAnsi="Arial" w:cs="Arial"/>
          <w:lang w:val="en-GB"/>
        </w:rPr>
        <w:t>s</w:t>
      </w:r>
      <w:r w:rsidRPr="00CF5D67">
        <w:rPr>
          <w:rFonts w:ascii="Arial" w:hAnsi="Arial" w:cs="Arial"/>
          <w:lang w:val="en-GB"/>
        </w:rPr>
        <w:t>. It should be noted that the dedicatee of this Special Edition of Insolvency Intelligence, Professor Ian F. Fletcher QC (Hon), is referred to as Fletcher throughout this article in line with academic convention.</w:t>
      </w:r>
    </w:p>
  </w:footnote>
  <w:footnote w:id="3">
    <w:p w:rsidR="00C713A2" w:rsidRPr="00CF5D67" w:rsidRDefault="00C713A2" w:rsidP="00CF5D67">
      <w:pPr>
        <w:pStyle w:val="FootnoteText"/>
        <w:jc w:val="both"/>
        <w:rPr>
          <w:rFonts w:ascii="Arial" w:hAnsi="Arial" w:cs="Arial"/>
          <w:lang w:val="en-GB"/>
        </w:rPr>
      </w:pPr>
      <w:r w:rsidRPr="00CF5D67">
        <w:rPr>
          <w:rStyle w:val="FootnoteReference"/>
          <w:rFonts w:ascii="Arial" w:hAnsi="Arial" w:cs="Arial"/>
        </w:rPr>
        <w:footnoteRef/>
      </w:r>
      <w:r w:rsidRPr="00CF5D67">
        <w:rPr>
          <w:rFonts w:ascii="Arial" w:hAnsi="Arial" w:cs="Arial"/>
        </w:rPr>
        <w:t xml:space="preserve"> </w:t>
      </w:r>
      <w:proofErr w:type="spellStart"/>
      <w:r w:rsidRPr="00CF5D67">
        <w:rPr>
          <w:rFonts w:ascii="Arial" w:hAnsi="Arial" w:cs="Arial"/>
          <w:lang w:val="en-GB"/>
        </w:rPr>
        <w:t>Northington</w:t>
      </w:r>
      <w:proofErr w:type="spellEnd"/>
      <w:r w:rsidRPr="00CF5D67">
        <w:rPr>
          <w:rFonts w:ascii="Arial" w:hAnsi="Arial" w:cs="Arial"/>
          <w:lang w:val="en-GB"/>
        </w:rPr>
        <w:t xml:space="preserve"> was created Lord Chancellor on the 16</w:t>
      </w:r>
      <w:r w:rsidRPr="00CF5D67">
        <w:rPr>
          <w:rFonts w:ascii="Arial" w:hAnsi="Arial" w:cs="Arial"/>
          <w:vertAlign w:val="superscript"/>
          <w:lang w:val="en-GB"/>
        </w:rPr>
        <w:t>th</w:t>
      </w:r>
      <w:r w:rsidRPr="00CF5D67">
        <w:rPr>
          <w:rFonts w:ascii="Arial" w:hAnsi="Arial" w:cs="Arial"/>
          <w:lang w:val="en-GB"/>
        </w:rPr>
        <w:t xml:space="preserve"> January 1761. His woolsack indisposition did not prevent him from being elevated to an Earldom as by letters patent bearing the date 19</w:t>
      </w:r>
      <w:r w:rsidRPr="00CF5D67">
        <w:rPr>
          <w:rFonts w:ascii="Arial" w:hAnsi="Arial" w:cs="Arial"/>
          <w:vertAlign w:val="superscript"/>
          <w:lang w:val="en-GB"/>
        </w:rPr>
        <w:t>th</w:t>
      </w:r>
      <w:r w:rsidRPr="00CF5D67">
        <w:rPr>
          <w:rFonts w:ascii="Arial" w:hAnsi="Arial" w:cs="Arial"/>
          <w:lang w:val="en-GB"/>
        </w:rPr>
        <w:t xml:space="preserve"> May 1764 he was created an Earl with the title Earl of </w:t>
      </w:r>
      <w:proofErr w:type="spellStart"/>
      <w:r w:rsidRPr="00CF5D67">
        <w:rPr>
          <w:rFonts w:ascii="Arial" w:hAnsi="Arial" w:cs="Arial"/>
          <w:lang w:val="en-GB"/>
        </w:rPr>
        <w:t>Northington</w:t>
      </w:r>
      <w:proofErr w:type="spellEnd"/>
      <w:r w:rsidRPr="00CF5D67">
        <w:rPr>
          <w:rFonts w:ascii="Arial" w:hAnsi="Arial" w:cs="Arial"/>
          <w:lang w:val="en-GB"/>
        </w:rPr>
        <w:t xml:space="preserve"> in the County of Southampton and Viscount Henley. See: Henley, R. A </w:t>
      </w:r>
      <w:r w:rsidRPr="00CF5D67">
        <w:rPr>
          <w:rFonts w:ascii="Arial" w:hAnsi="Arial" w:cs="Arial"/>
          <w:i/>
          <w:lang w:val="en-GB"/>
        </w:rPr>
        <w:t xml:space="preserve">Memoir of the Life of Robert Henley, Earl of </w:t>
      </w:r>
      <w:proofErr w:type="spellStart"/>
      <w:r w:rsidRPr="00CF5D67">
        <w:rPr>
          <w:rFonts w:ascii="Arial" w:hAnsi="Arial" w:cs="Arial"/>
          <w:i/>
          <w:lang w:val="en-GB"/>
        </w:rPr>
        <w:t>Northington</w:t>
      </w:r>
      <w:proofErr w:type="spellEnd"/>
      <w:r w:rsidRPr="00CF5D67">
        <w:rPr>
          <w:rFonts w:ascii="Arial" w:hAnsi="Arial" w:cs="Arial"/>
          <w:i/>
          <w:lang w:val="en-GB"/>
        </w:rPr>
        <w:t>, Lord High Chancellor of Great Britain.</w:t>
      </w:r>
      <w:r w:rsidRPr="00CF5D67">
        <w:rPr>
          <w:rFonts w:ascii="Arial" w:hAnsi="Arial" w:cs="Arial"/>
          <w:lang w:val="en-GB"/>
        </w:rPr>
        <w:t xml:space="preserve"> London, 1831, p.48.</w:t>
      </w:r>
    </w:p>
  </w:footnote>
  <w:footnote w:id="4">
    <w:p w:rsidR="00C713A2" w:rsidRPr="00CF5D67" w:rsidRDefault="00C713A2" w:rsidP="00CF5D67">
      <w:pPr>
        <w:pStyle w:val="FootnoteText"/>
        <w:jc w:val="both"/>
        <w:rPr>
          <w:rFonts w:ascii="Arial" w:hAnsi="Arial" w:cs="Arial"/>
          <w:lang w:val="en-GB"/>
        </w:rPr>
      </w:pPr>
      <w:r w:rsidRPr="00CF5D67">
        <w:rPr>
          <w:rStyle w:val="FootnoteReference"/>
          <w:rFonts w:ascii="Arial" w:hAnsi="Arial" w:cs="Arial"/>
        </w:rPr>
        <w:footnoteRef/>
      </w:r>
      <w:r w:rsidRPr="00CF5D67">
        <w:rPr>
          <w:rFonts w:ascii="Arial" w:hAnsi="Arial" w:cs="Arial"/>
        </w:rPr>
        <w:t xml:space="preserve"> </w:t>
      </w:r>
      <w:proofErr w:type="spellStart"/>
      <w:r w:rsidRPr="00CF5D67">
        <w:rPr>
          <w:rFonts w:ascii="Arial" w:hAnsi="Arial" w:cs="Arial"/>
          <w:i/>
          <w:lang w:val="en-GB"/>
        </w:rPr>
        <w:t>Solomons</w:t>
      </w:r>
      <w:proofErr w:type="spellEnd"/>
      <w:r w:rsidRPr="00CF5D67">
        <w:rPr>
          <w:rFonts w:ascii="Arial" w:hAnsi="Arial" w:cs="Arial"/>
          <w:i/>
          <w:lang w:val="en-GB"/>
        </w:rPr>
        <w:t xml:space="preserve"> v. Ross</w:t>
      </w:r>
      <w:r w:rsidRPr="00CF5D67">
        <w:rPr>
          <w:rFonts w:ascii="Arial" w:hAnsi="Arial" w:cs="Arial"/>
          <w:lang w:val="en-GB"/>
        </w:rPr>
        <w:t xml:space="preserve"> (1764) 1 </w:t>
      </w:r>
      <w:proofErr w:type="spellStart"/>
      <w:r w:rsidRPr="00CF5D67">
        <w:rPr>
          <w:rFonts w:ascii="Arial" w:hAnsi="Arial" w:cs="Arial"/>
          <w:lang w:val="en-GB"/>
        </w:rPr>
        <w:t>Hy</w:t>
      </w:r>
      <w:proofErr w:type="spellEnd"/>
      <w:r w:rsidRPr="00CF5D67">
        <w:rPr>
          <w:rFonts w:ascii="Arial" w:hAnsi="Arial" w:cs="Arial"/>
          <w:lang w:val="en-GB"/>
        </w:rPr>
        <w:t xml:space="preserve">. Bl. 131n; 126 E.R. 79; (1764) 1 H </w:t>
      </w:r>
      <w:proofErr w:type="spellStart"/>
      <w:r w:rsidRPr="00CF5D67">
        <w:rPr>
          <w:rFonts w:ascii="Arial" w:hAnsi="Arial" w:cs="Arial"/>
          <w:lang w:val="en-GB"/>
        </w:rPr>
        <w:t>Bl</w:t>
      </w:r>
      <w:proofErr w:type="spellEnd"/>
      <w:r w:rsidRPr="00CF5D67">
        <w:rPr>
          <w:rFonts w:ascii="Arial" w:hAnsi="Arial" w:cs="Arial"/>
          <w:lang w:val="en-GB"/>
        </w:rPr>
        <w:t xml:space="preserve"> 131n (Henry Blackstone’s reports). See also: Wallis’ Irish Chancery Reports (1839), at 59: see also: </w:t>
      </w:r>
      <w:proofErr w:type="spellStart"/>
      <w:r w:rsidRPr="00CF5D67">
        <w:rPr>
          <w:rFonts w:ascii="Arial" w:hAnsi="Arial" w:cs="Arial"/>
          <w:lang w:val="en-GB"/>
        </w:rPr>
        <w:t>Nadelman</w:t>
      </w:r>
      <w:proofErr w:type="spellEnd"/>
      <w:r w:rsidRPr="00CF5D67">
        <w:rPr>
          <w:rFonts w:ascii="Arial" w:hAnsi="Arial" w:cs="Arial"/>
          <w:lang w:val="en-GB"/>
        </w:rPr>
        <w:t xml:space="preserve">, KH. </w:t>
      </w:r>
      <w:proofErr w:type="spellStart"/>
      <w:r w:rsidRPr="00CF5D67">
        <w:rPr>
          <w:rFonts w:ascii="Arial" w:hAnsi="Arial" w:cs="Arial"/>
          <w:i/>
          <w:lang w:val="en-GB"/>
        </w:rPr>
        <w:t>Solomons</w:t>
      </w:r>
      <w:proofErr w:type="spellEnd"/>
      <w:r w:rsidRPr="00CF5D67">
        <w:rPr>
          <w:rFonts w:ascii="Arial" w:hAnsi="Arial" w:cs="Arial"/>
          <w:i/>
          <w:lang w:val="en-GB"/>
        </w:rPr>
        <w:t xml:space="preserve"> v. Ross and International Bankruptcy Law </w:t>
      </w:r>
      <w:r w:rsidRPr="00CF5D67">
        <w:rPr>
          <w:rFonts w:ascii="Arial" w:hAnsi="Arial" w:cs="Arial"/>
          <w:lang w:val="en-GB"/>
        </w:rPr>
        <w:t xml:space="preserve">(1949) 9 MLR 154, at 155. (Hereafter </w:t>
      </w:r>
      <w:proofErr w:type="spellStart"/>
      <w:r w:rsidRPr="00CF5D67">
        <w:rPr>
          <w:rFonts w:ascii="Arial" w:hAnsi="Arial" w:cs="Arial"/>
          <w:i/>
          <w:lang w:val="en-GB"/>
        </w:rPr>
        <w:t>Solomons</w:t>
      </w:r>
      <w:proofErr w:type="spellEnd"/>
      <w:r w:rsidRPr="00CF5D67">
        <w:rPr>
          <w:rFonts w:ascii="Arial" w:hAnsi="Arial" w:cs="Arial"/>
          <w:i/>
          <w:lang w:val="en-GB"/>
        </w:rPr>
        <w:t xml:space="preserve"> v. Ross</w:t>
      </w:r>
      <w:r w:rsidRPr="00CF5D67">
        <w:rPr>
          <w:rFonts w:ascii="Arial" w:hAnsi="Arial" w:cs="Arial"/>
          <w:lang w:val="en-GB"/>
        </w:rPr>
        <w:t xml:space="preserve">). </w:t>
      </w:r>
      <w:r w:rsidRPr="00CF5D67">
        <w:rPr>
          <w:rFonts w:ascii="Arial" w:hAnsi="Arial" w:cs="Arial"/>
          <w:color w:val="000000" w:themeColor="text1"/>
          <w:lang w:val="en-GB"/>
        </w:rPr>
        <w:t xml:space="preserve">Fletcher’s own discussion of </w:t>
      </w:r>
      <w:proofErr w:type="spellStart"/>
      <w:r w:rsidRPr="00CF5D67">
        <w:rPr>
          <w:rFonts w:ascii="Arial" w:hAnsi="Arial" w:cs="Arial"/>
          <w:i/>
          <w:color w:val="000000" w:themeColor="text1"/>
          <w:lang w:val="en-GB"/>
        </w:rPr>
        <w:t>Solomons</w:t>
      </w:r>
      <w:proofErr w:type="spellEnd"/>
      <w:r w:rsidRPr="00CF5D67">
        <w:rPr>
          <w:rFonts w:ascii="Arial" w:hAnsi="Arial" w:cs="Arial"/>
          <w:i/>
          <w:color w:val="000000" w:themeColor="text1"/>
          <w:lang w:val="en-GB"/>
        </w:rPr>
        <w:t xml:space="preserve"> v. Ross</w:t>
      </w:r>
      <w:r w:rsidRPr="00CF5D67">
        <w:rPr>
          <w:rFonts w:ascii="Arial" w:hAnsi="Arial" w:cs="Arial"/>
          <w:color w:val="000000" w:themeColor="text1"/>
          <w:lang w:val="en-GB"/>
        </w:rPr>
        <w:t xml:space="preserve"> can be found in: Fletcher, IF. </w:t>
      </w:r>
      <w:r w:rsidRPr="00CF5D67">
        <w:rPr>
          <w:rFonts w:ascii="Arial" w:hAnsi="Arial" w:cs="Arial"/>
          <w:i/>
          <w:color w:val="000000" w:themeColor="text1"/>
          <w:lang w:val="en-GB"/>
        </w:rPr>
        <w:t>Insolvency in Private International Law</w:t>
      </w:r>
      <w:r w:rsidRPr="00CF5D67">
        <w:rPr>
          <w:rFonts w:ascii="Arial" w:hAnsi="Arial" w:cs="Arial"/>
          <w:color w:val="000000" w:themeColor="text1"/>
          <w:lang w:val="en-GB"/>
        </w:rPr>
        <w:t>. Clarendon Press, Oxford. 1999, p.15 where he summarises the case succinctly. He notes “…as early as 1764 the English court was prepared to rule that a foreign bankruptcy could have direct extraterritorial effect upon the bankrupt’s moveable property situate within the jurisdiction of the English court.”</w:t>
      </w:r>
      <w:r>
        <w:rPr>
          <w:rFonts w:ascii="Arial" w:hAnsi="Arial" w:cs="Arial"/>
          <w:color w:val="000000" w:themeColor="text1"/>
          <w:lang w:val="en-GB"/>
        </w:rPr>
        <w:t xml:space="preserve"> In his 2002 inaugural lecture at UCL Fletcher cited </w:t>
      </w:r>
      <w:proofErr w:type="spellStart"/>
      <w:r w:rsidRPr="00464617">
        <w:rPr>
          <w:rFonts w:ascii="Arial" w:hAnsi="Arial" w:cs="Arial"/>
          <w:i/>
          <w:color w:val="000000" w:themeColor="text1"/>
          <w:lang w:val="en-GB"/>
        </w:rPr>
        <w:t>Solomons</w:t>
      </w:r>
      <w:proofErr w:type="spellEnd"/>
      <w:r w:rsidRPr="00464617">
        <w:rPr>
          <w:rFonts w:ascii="Arial" w:hAnsi="Arial" w:cs="Arial"/>
          <w:i/>
          <w:color w:val="000000" w:themeColor="text1"/>
          <w:lang w:val="en-GB"/>
        </w:rPr>
        <w:t xml:space="preserve"> v. Ross</w:t>
      </w:r>
      <w:r>
        <w:rPr>
          <w:rFonts w:ascii="Arial" w:hAnsi="Arial" w:cs="Arial"/>
          <w:color w:val="000000" w:themeColor="text1"/>
          <w:lang w:val="en-GB"/>
        </w:rPr>
        <w:t xml:space="preserve"> as authority when he stated, “Indeed, since the middle of the eighteenth century, English courts had been prepared to recognise the validity of foreign bankruptcy proceedings conducted at the debtor’s domiciliary forum, and had ruled that any of the bankrupt’s moveable property which happened to be situate in England could automatically vest in the foreign trustee in bankruptcy, in the same way as would occur of proceedings took place in England.” See: Fletcher, IF. </w:t>
      </w:r>
      <w:r w:rsidRPr="00464617">
        <w:rPr>
          <w:rFonts w:ascii="Arial" w:hAnsi="Arial" w:cs="Arial"/>
          <w:i/>
          <w:color w:val="000000" w:themeColor="text1"/>
          <w:lang w:val="en-GB"/>
        </w:rPr>
        <w:t>The Quest for Global Insolvency Law: A Challenge for Our Time</w:t>
      </w:r>
      <w:r>
        <w:rPr>
          <w:rFonts w:ascii="Arial" w:hAnsi="Arial" w:cs="Arial"/>
          <w:color w:val="000000" w:themeColor="text1"/>
          <w:lang w:val="en-GB"/>
        </w:rPr>
        <w:t xml:space="preserve">, in: Freedman, MDA (Ed). </w:t>
      </w:r>
      <w:r w:rsidRPr="00464617">
        <w:rPr>
          <w:rFonts w:ascii="Arial" w:hAnsi="Arial" w:cs="Arial"/>
          <w:i/>
          <w:color w:val="000000" w:themeColor="text1"/>
          <w:lang w:val="en-GB"/>
        </w:rPr>
        <w:t>Current Legal Problems 2002</w:t>
      </w:r>
      <w:r>
        <w:rPr>
          <w:rFonts w:ascii="Arial" w:hAnsi="Arial" w:cs="Arial"/>
          <w:color w:val="000000" w:themeColor="text1"/>
          <w:lang w:val="en-GB"/>
        </w:rPr>
        <w:t>. Volume 55. Oxford University Press, Oxford, 2003, p.434</w:t>
      </w:r>
    </w:p>
  </w:footnote>
  <w:footnote w:id="5">
    <w:p w:rsidR="00C713A2" w:rsidRPr="00CF5D67" w:rsidRDefault="00C713A2" w:rsidP="00CF5D67">
      <w:pPr>
        <w:pStyle w:val="FootnoteText"/>
        <w:jc w:val="both"/>
        <w:rPr>
          <w:rFonts w:ascii="Arial" w:hAnsi="Arial" w:cs="Arial"/>
          <w:lang w:val="en-GB"/>
        </w:rPr>
      </w:pPr>
      <w:r w:rsidRPr="00CF5D67">
        <w:rPr>
          <w:rStyle w:val="FootnoteReference"/>
          <w:rFonts w:ascii="Arial" w:hAnsi="Arial" w:cs="Arial"/>
        </w:rPr>
        <w:footnoteRef/>
      </w:r>
      <w:r w:rsidRPr="00CF5D67">
        <w:rPr>
          <w:rFonts w:ascii="Arial" w:hAnsi="Arial" w:cs="Arial"/>
        </w:rPr>
        <w:t xml:space="preserve"> </w:t>
      </w:r>
      <w:r w:rsidRPr="00CF5D67">
        <w:rPr>
          <w:rFonts w:ascii="Arial" w:hAnsi="Arial" w:cs="Arial"/>
          <w:i/>
        </w:rPr>
        <w:t>Per</w:t>
      </w:r>
      <w:r w:rsidRPr="00CF5D67">
        <w:rPr>
          <w:rFonts w:ascii="Arial" w:hAnsi="Arial" w:cs="Arial"/>
        </w:rPr>
        <w:t xml:space="preserve"> Professor Ian F. Fletcher QC (Hon) (hereafter Fletcher) in his module summary video for the Corporate International Insolvency Law LLM module at UCL, see: </w:t>
      </w:r>
      <w:hyperlink r:id="rId2" w:history="1">
        <w:r w:rsidRPr="00CF5D67">
          <w:rPr>
            <w:rStyle w:val="Hyperlink"/>
            <w:rFonts w:ascii="Arial" w:hAnsi="Arial" w:cs="Arial"/>
          </w:rPr>
          <w:t>https://youtu.be/_ckWY9Vi6zE</w:t>
        </w:r>
      </w:hyperlink>
    </w:p>
  </w:footnote>
  <w:footnote w:id="6">
    <w:p w:rsidR="00C713A2" w:rsidRPr="00CF5D67" w:rsidRDefault="00C713A2" w:rsidP="00CF5D67">
      <w:pPr>
        <w:pStyle w:val="FootnoteText"/>
        <w:jc w:val="both"/>
        <w:rPr>
          <w:rFonts w:ascii="Arial" w:hAnsi="Arial" w:cs="Arial"/>
          <w:lang w:val="en-GB"/>
        </w:rPr>
      </w:pPr>
      <w:r w:rsidRPr="00CF5D67">
        <w:rPr>
          <w:rStyle w:val="FootnoteReference"/>
          <w:rFonts w:ascii="Arial" w:hAnsi="Arial" w:cs="Arial"/>
        </w:rPr>
        <w:footnoteRef/>
      </w:r>
      <w:r w:rsidRPr="00CF5D67">
        <w:rPr>
          <w:rFonts w:ascii="Arial" w:hAnsi="Arial" w:cs="Arial"/>
        </w:rPr>
        <w:t xml:space="preserve"> </w:t>
      </w:r>
      <w:r w:rsidRPr="00CF5D67">
        <w:rPr>
          <w:rFonts w:ascii="Arial" w:hAnsi="Arial" w:cs="Arial"/>
          <w:lang w:val="en-GB"/>
        </w:rPr>
        <w:t xml:space="preserve">See further: Fletcher, IF. </w:t>
      </w:r>
      <w:r w:rsidRPr="00CF5D67">
        <w:rPr>
          <w:rFonts w:ascii="Arial" w:hAnsi="Arial" w:cs="Arial"/>
          <w:i/>
          <w:lang w:val="en-GB"/>
        </w:rPr>
        <w:t>The Genesis of Modern Insolvency Law - an Odyssey of Law Reform</w:t>
      </w:r>
      <w:r w:rsidRPr="00CF5D67">
        <w:rPr>
          <w:rFonts w:ascii="Arial" w:hAnsi="Arial" w:cs="Arial"/>
          <w:lang w:val="en-GB"/>
        </w:rPr>
        <w:t xml:space="preserve"> (1989) (Sep) JBL 365-376.</w:t>
      </w:r>
    </w:p>
  </w:footnote>
  <w:footnote w:id="7">
    <w:p w:rsidR="00C713A2" w:rsidRPr="00CF5D67" w:rsidRDefault="00C713A2" w:rsidP="00005BAC">
      <w:pPr>
        <w:pStyle w:val="FootnoteText"/>
        <w:jc w:val="both"/>
        <w:rPr>
          <w:rFonts w:ascii="Arial" w:hAnsi="Arial" w:cs="Arial"/>
          <w:lang w:val="en-GB"/>
        </w:rPr>
      </w:pPr>
      <w:r w:rsidRPr="00CF5D67">
        <w:rPr>
          <w:rStyle w:val="FootnoteReference"/>
          <w:rFonts w:ascii="Arial" w:hAnsi="Arial" w:cs="Arial"/>
        </w:rPr>
        <w:footnoteRef/>
      </w:r>
      <w:r w:rsidRPr="00CF5D67">
        <w:rPr>
          <w:rFonts w:ascii="Arial" w:hAnsi="Arial" w:cs="Arial"/>
        </w:rPr>
        <w:t xml:space="preserve"> </w:t>
      </w:r>
      <w:r w:rsidRPr="00CF5D67">
        <w:rPr>
          <w:rFonts w:ascii="Arial" w:hAnsi="Arial" w:cs="Arial"/>
          <w:lang w:val="en-GB"/>
        </w:rPr>
        <w:t>Hereafter Bathurst.</w:t>
      </w:r>
    </w:p>
  </w:footnote>
  <w:footnote w:id="8">
    <w:p w:rsidR="00C713A2" w:rsidRPr="00CF5D67" w:rsidRDefault="00C713A2" w:rsidP="00CF5D67">
      <w:pPr>
        <w:pStyle w:val="FootnoteText"/>
        <w:jc w:val="both"/>
        <w:rPr>
          <w:rFonts w:ascii="Arial" w:hAnsi="Arial" w:cs="Arial"/>
          <w:lang w:val="en-GB"/>
        </w:rPr>
      </w:pPr>
      <w:r w:rsidRPr="00CF5D67">
        <w:rPr>
          <w:rStyle w:val="FootnoteReference"/>
          <w:rFonts w:ascii="Arial" w:hAnsi="Arial" w:cs="Arial"/>
        </w:rPr>
        <w:footnoteRef/>
      </w:r>
      <w:r w:rsidRPr="00CF5D67">
        <w:rPr>
          <w:rFonts w:ascii="Arial" w:hAnsi="Arial" w:cs="Arial"/>
        </w:rPr>
        <w:t xml:space="preserve"> Alexander </w:t>
      </w:r>
      <w:proofErr w:type="spellStart"/>
      <w:r w:rsidRPr="00CF5D67">
        <w:rPr>
          <w:rFonts w:ascii="Arial" w:hAnsi="Arial" w:cs="Arial"/>
        </w:rPr>
        <w:t>Wedderburn</w:t>
      </w:r>
      <w:proofErr w:type="spellEnd"/>
      <w:r w:rsidRPr="00CF5D67">
        <w:rPr>
          <w:rFonts w:ascii="Arial" w:hAnsi="Arial" w:cs="Arial"/>
        </w:rPr>
        <w:t>, later Lord Loughborough, Lord Chancellor, and later still the 1</w:t>
      </w:r>
      <w:r w:rsidRPr="00CF5D67">
        <w:rPr>
          <w:rFonts w:ascii="Arial" w:hAnsi="Arial" w:cs="Arial"/>
          <w:vertAlign w:val="superscript"/>
        </w:rPr>
        <w:t>st</w:t>
      </w:r>
      <w:r w:rsidRPr="00CF5D67">
        <w:rPr>
          <w:rFonts w:ascii="Arial" w:hAnsi="Arial" w:cs="Arial"/>
        </w:rPr>
        <w:t xml:space="preserve"> Earl of Rosslyn. </w:t>
      </w:r>
    </w:p>
  </w:footnote>
  <w:footnote w:id="9">
    <w:p w:rsidR="00C713A2" w:rsidRPr="00CF5D67" w:rsidRDefault="00C713A2" w:rsidP="00CF5D67">
      <w:pPr>
        <w:pStyle w:val="FootnoteText"/>
        <w:jc w:val="both"/>
        <w:rPr>
          <w:rFonts w:ascii="Arial" w:hAnsi="Arial" w:cs="Arial"/>
          <w:lang w:val="en-GB"/>
        </w:rPr>
      </w:pPr>
      <w:r w:rsidRPr="00CF5D67">
        <w:rPr>
          <w:rStyle w:val="FootnoteReference"/>
          <w:rFonts w:ascii="Arial" w:hAnsi="Arial" w:cs="Arial"/>
        </w:rPr>
        <w:footnoteRef/>
      </w:r>
      <w:r w:rsidRPr="00CF5D67">
        <w:rPr>
          <w:rFonts w:ascii="Arial" w:hAnsi="Arial" w:cs="Arial"/>
        </w:rPr>
        <w:t xml:space="preserve"> </w:t>
      </w:r>
      <w:r w:rsidRPr="00CF5D67">
        <w:rPr>
          <w:rFonts w:ascii="Arial" w:hAnsi="Arial" w:cs="Arial"/>
          <w:lang w:val="en-GB"/>
        </w:rPr>
        <w:t xml:space="preserve">On these Chancery records see: Horwitz, H. </w:t>
      </w:r>
      <w:r w:rsidRPr="00CF5D67">
        <w:rPr>
          <w:rFonts w:ascii="Arial" w:hAnsi="Arial" w:cs="Arial"/>
          <w:i/>
          <w:lang w:val="en-GB"/>
        </w:rPr>
        <w:t>Chancery Equity Records and Proceedings 1600-1800</w:t>
      </w:r>
      <w:r w:rsidRPr="00CF5D67">
        <w:rPr>
          <w:rFonts w:ascii="Arial" w:hAnsi="Arial" w:cs="Arial"/>
          <w:lang w:val="en-GB"/>
        </w:rPr>
        <w:t xml:space="preserve">. Public Record Office Handbook No.27, Public Record Office, Kew, 1998. </w:t>
      </w:r>
    </w:p>
  </w:footnote>
  <w:footnote w:id="10">
    <w:p w:rsidR="00C713A2" w:rsidRPr="00C713A2" w:rsidRDefault="00C713A2" w:rsidP="00CF5D67">
      <w:pPr>
        <w:pStyle w:val="FootnoteText"/>
        <w:jc w:val="both"/>
        <w:rPr>
          <w:rFonts w:ascii="Arial" w:hAnsi="Arial" w:cs="Arial"/>
          <w:lang w:val="en-GB"/>
        </w:rPr>
      </w:pPr>
      <w:r w:rsidRPr="00CF5D67">
        <w:rPr>
          <w:rStyle w:val="FootnoteReference"/>
          <w:rFonts w:ascii="Arial" w:hAnsi="Arial" w:cs="Arial"/>
        </w:rPr>
        <w:footnoteRef/>
      </w:r>
      <w:r w:rsidRPr="00CF5D67">
        <w:rPr>
          <w:rFonts w:ascii="Arial" w:hAnsi="Arial" w:cs="Arial"/>
        </w:rPr>
        <w:t xml:space="preserve"> On the golden thread see further: </w:t>
      </w:r>
      <w:proofErr w:type="spellStart"/>
      <w:r w:rsidRPr="00CF5D67">
        <w:rPr>
          <w:rFonts w:ascii="Arial" w:hAnsi="Arial" w:cs="Arial"/>
        </w:rPr>
        <w:t>Dessain</w:t>
      </w:r>
      <w:proofErr w:type="spellEnd"/>
      <w:r w:rsidRPr="00CF5D67">
        <w:rPr>
          <w:rFonts w:ascii="Arial" w:hAnsi="Arial" w:cs="Arial"/>
        </w:rPr>
        <w:t xml:space="preserve">, A &amp; Wilkins, M. </w:t>
      </w:r>
      <w:r w:rsidRPr="00CF5D67">
        <w:rPr>
          <w:rFonts w:ascii="Arial" w:hAnsi="Arial" w:cs="Arial"/>
          <w:i/>
        </w:rPr>
        <w:t xml:space="preserve">How strong and long is "The Golden Thread"? Jurisdictional issues in a </w:t>
      </w:r>
      <w:proofErr w:type="spellStart"/>
      <w:r w:rsidRPr="00CF5D67">
        <w:rPr>
          <w:rFonts w:ascii="Arial" w:hAnsi="Arial" w:cs="Arial"/>
          <w:i/>
        </w:rPr>
        <w:t>globalised</w:t>
      </w:r>
      <w:proofErr w:type="spellEnd"/>
      <w:r w:rsidRPr="00CF5D67">
        <w:rPr>
          <w:rFonts w:ascii="Arial" w:hAnsi="Arial" w:cs="Arial"/>
          <w:i/>
        </w:rPr>
        <w:t xml:space="preserve"> world </w:t>
      </w:r>
      <w:r w:rsidRPr="00CF5D67">
        <w:rPr>
          <w:rFonts w:ascii="Arial" w:hAnsi="Arial" w:cs="Arial"/>
        </w:rPr>
        <w:t xml:space="preserve">(2014) J.G.L.R, 18(1), 72-108. See also: Crystal, M. </w:t>
      </w:r>
      <w:r w:rsidRPr="00CF5D67">
        <w:rPr>
          <w:rFonts w:ascii="Arial" w:hAnsi="Arial" w:cs="Arial"/>
          <w:i/>
        </w:rPr>
        <w:t>"The golden thread": universalism and assistance in international insolvency</w:t>
      </w:r>
      <w:r w:rsidRPr="00CF5D67">
        <w:rPr>
          <w:rFonts w:ascii="Arial" w:hAnsi="Arial" w:cs="Arial"/>
        </w:rPr>
        <w:t xml:space="preserve"> (2011) J.G.L.R, 15(1), 21-34. See also: Fletcher, IF. </w:t>
      </w:r>
      <w:r w:rsidRPr="00CF5D67">
        <w:rPr>
          <w:rFonts w:ascii="Arial" w:hAnsi="Arial" w:cs="Arial"/>
          <w:i/>
        </w:rPr>
        <w:t xml:space="preserve">Rowing back from Rubin: the Court of Appeal reaffirms the policy of </w:t>
      </w:r>
      <w:r w:rsidRPr="00C713A2">
        <w:rPr>
          <w:rFonts w:ascii="Arial" w:hAnsi="Arial" w:cs="Arial"/>
          <w:i/>
        </w:rPr>
        <w:t>modified universalism in the granting of judicial assistance</w:t>
      </w:r>
      <w:r w:rsidRPr="00C713A2">
        <w:rPr>
          <w:rFonts w:ascii="Arial" w:hAnsi="Arial" w:cs="Arial"/>
        </w:rPr>
        <w:t xml:space="preserve"> (2014) </w:t>
      </w:r>
      <w:proofErr w:type="spellStart"/>
      <w:r w:rsidRPr="00C713A2">
        <w:rPr>
          <w:rFonts w:ascii="Arial" w:hAnsi="Arial" w:cs="Arial"/>
        </w:rPr>
        <w:t>Insolv</w:t>
      </w:r>
      <w:proofErr w:type="spellEnd"/>
      <w:r w:rsidRPr="00C713A2">
        <w:rPr>
          <w:rFonts w:ascii="Arial" w:hAnsi="Arial" w:cs="Arial"/>
        </w:rPr>
        <w:t xml:space="preserve">. Int. 2014, 27(3), 43-47. See also: Kirshner, JA. </w:t>
      </w:r>
      <w:r w:rsidRPr="00C713A2">
        <w:rPr>
          <w:rFonts w:ascii="Arial" w:hAnsi="Arial" w:cs="Arial"/>
          <w:i/>
        </w:rPr>
        <w:t xml:space="preserve">A Jersey </w:t>
      </w:r>
      <w:proofErr w:type="spellStart"/>
      <w:r w:rsidRPr="00C713A2">
        <w:rPr>
          <w:rFonts w:ascii="Arial" w:hAnsi="Arial" w:cs="Arial"/>
          <w:i/>
        </w:rPr>
        <w:t>disast</w:t>
      </w:r>
      <w:proofErr w:type="spellEnd"/>
      <w:r w:rsidRPr="00C713A2">
        <w:rPr>
          <w:rFonts w:ascii="Arial" w:hAnsi="Arial" w:cs="Arial"/>
          <w:i/>
        </w:rPr>
        <w:t>(re)? Exporting corporate insolvencies across borders</w:t>
      </w:r>
      <w:r w:rsidRPr="00C713A2">
        <w:rPr>
          <w:rFonts w:ascii="Arial" w:hAnsi="Arial" w:cs="Arial"/>
        </w:rPr>
        <w:t xml:space="preserve"> (2103) C.R. &amp; I,6(4), 99-101.</w:t>
      </w:r>
    </w:p>
  </w:footnote>
  <w:footnote w:id="11">
    <w:p w:rsidR="00C713A2" w:rsidRPr="00C713A2" w:rsidRDefault="00C713A2" w:rsidP="00C713A2">
      <w:pPr>
        <w:pStyle w:val="FootnoteText"/>
        <w:jc w:val="both"/>
        <w:rPr>
          <w:lang w:val="en-GB"/>
        </w:rPr>
      </w:pPr>
      <w:r w:rsidRPr="00C713A2">
        <w:rPr>
          <w:rStyle w:val="FootnoteReference"/>
          <w:rFonts w:ascii="Arial" w:hAnsi="Arial" w:cs="Arial"/>
        </w:rPr>
        <w:footnoteRef/>
      </w:r>
      <w:r w:rsidRPr="00C713A2">
        <w:rPr>
          <w:rFonts w:ascii="Arial" w:hAnsi="Arial" w:cs="Arial"/>
        </w:rPr>
        <w:t xml:space="preserve"> </w:t>
      </w:r>
      <w:r w:rsidRPr="00C713A2">
        <w:rPr>
          <w:rFonts w:ascii="Arial" w:hAnsi="Arial" w:cs="Arial"/>
          <w:lang w:val="en-GB"/>
        </w:rPr>
        <w:t xml:space="preserve">We are not concerned here with comparative insolvency. For some </w:t>
      </w:r>
      <w:r>
        <w:rPr>
          <w:rFonts w:ascii="Arial" w:hAnsi="Arial" w:cs="Arial"/>
          <w:lang w:val="en-GB"/>
        </w:rPr>
        <w:t xml:space="preserve">interesting </w:t>
      </w:r>
      <w:r w:rsidRPr="00C713A2">
        <w:rPr>
          <w:rFonts w:ascii="Arial" w:hAnsi="Arial" w:cs="Arial"/>
          <w:lang w:val="en-GB"/>
        </w:rPr>
        <w:t xml:space="preserve">early examples of that approach see: Whitney Dunscomb, S. </w:t>
      </w:r>
      <w:r w:rsidRPr="00C713A2">
        <w:rPr>
          <w:rFonts w:ascii="Arial" w:hAnsi="Arial" w:cs="Arial"/>
          <w:i/>
          <w:lang w:val="en-GB"/>
        </w:rPr>
        <w:t>Bankruptcy – A Study in Comparative Legislation</w:t>
      </w:r>
      <w:r w:rsidRPr="00C713A2">
        <w:rPr>
          <w:rFonts w:ascii="Arial" w:hAnsi="Arial" w:cs="Arial"/>
          <w:lang w:val="en-GB"/>
        </w:rPr>
        <w:t xml:space="preserve">. Studies in History, Economics and Public Law, </w:t>
      </w:r>
      <w:proofErr w:type="spellStart"/>
      <w:r w:rsidRPr="00C713A2">
        <w:rPr>
          <w:rFonts w:ascii="Arial" w:hAnsi="Arial" w:cs="Arial"/>
          <w:lang w:val="en-GB"/>
        </w:rPr>
        <w:t>Vol.II</w:t>
      </w:r>
      <w:proofErr w:type="spellEnd"/>
      <w:r w:rsidRPr="00C713A2">
        <w:rPr>
          <w:rFonts w:ascii="Arial" w:hAnsi="Arial" w:cs="Arial"/>
          <w:lang w:val="en-GB"/>
        </w:rPr>
        <w:t>, No.2, Columbia College, New York, 1893.</w:t>
      </w:r>
    </w:p>
  </w:footnote>
  <w:footnote w:id="12">
    <w:p w:rsidR="00C713A2" w:rsidRPr="00CF5D67" w:rsidRDefault="00C713A2" w:rsidP="00CF5D67">
      <w:pPr>
        <w:jc w:val="both"/>
        <w:rPr>
          <w:rFonts w:ascii="Arial" w:hAnsi="Arial" w:cs="Arial"/>
          <w:sz w:val="20"/>
          <w:szCs w:val="20"/>
          <w:lang w:val="en-GB"/>
        </w:rPr>
      </w:pPr>
      <w:r w:rsidRPr="00CF5D67">
        <w:rPr>
          <w:rStyle w:val="FootnoteReference"/>
          <w:rFonts w:ascii="Arial" w:hAnsi="Arial" w:cs="Arial"/>
          <w:sz w:val="20"/>
          <w:szCs w:val="20"/>
        </w:rPr>
        <w:footnoteRef/>
      </w:r>
      <w:r w:rsidRPr="00CF5D67">
        <w:rPr>
          <w:rFonts w:ascii="Arial" w:hAnsi="Arial" w:cs="Arial"/>
          <w:sz w:val="20"/>
          <w:szCs w:val="20"/>
        </w:rPr>
        <w:t xml:space="preserve"> </w:t>
      </w:r>
      <w:r w:rsidRPr="00CF5D67">
        <w:rPr>
          <w:rFonts w:ascii="Arial" w:hAnsi="Arial" w:cs="Arial"/>
          <w:i/>
          <w:sz w:val="20"/>
          <w:szCs w:val="20"/>
          <w:lang w:val="en-GB"/>
        </w:rPr>
        <w:t xml:space="preserve">Re Oriental Inland Steam Company, ex </w:t>
      </w:r>
      <w:proofErr w:type="spellStart"/>
      <w:r w:rsidRPr="00CF5D67">
        <w:rPr>
          <w:rFonts w:ascii="Arial" w:hAnsi="Arial" w:cs="Arial"/>
          <w:i/>
          <w:sz w:val="20"/>
          <w:szCs w:val="20"/>
          <w:lang w:val="en-GB"/>
        </w:rPr>
        <w:t>parte</w:t>
      </w:r>
      <w:proofErr w:type="spellEnd"/>
      <w:r w:rsidRPr="00CF5D67">
        <w:rPr>
          <w:rFonts w:ascii="Arial" w:hAnsi="Arial" w:cs="Arial"/>
          <w:i/>
          <w:sz w:val="20"/>
          <w:szCs w:val="20"/>
          <w:lang w:val="en-GB"/>
        </w:rPr>
        <w:t xml:space="preserve">. </w:t>
      </w:r>
      <w:proofErr w:type="spellStart"/>
      <w:r w:rsidRPr="00CF5D67">
        <w:rPr>
          <w:rFonts w:ascii="Arial" w:hAnsi="Arial" w:cs="Arial"/>
          <w:i/>
          <w:sz w:val="20"/>
          <w:szCs w:val="20"/>
          <w:lang w:val="en-GB"/>
        </w:rPr>
        <w:t>Scinde</w:t>
      </w:r>
      <w:proofErr w:type="spellEnd"/>
      <w:r w:rsidRPr="00CF5D67">
        <w:rPr>
          <w:rFonts w:ascii="Arial" w:hAnsi="Arial" w:cs="Arial"/>
          <w:i/>
          <w:sz w:val="20"/>
          <w:szCs w:val="20"/>
          <w:lang w:val="en-GB"/>
        </w:rPr>
        <w:t xml:space="preserve"> Railway Company </w:t>
      </w:r>
      <w:r w:rsidRPr="00CF5D67">
        <w:rPr>
          <w:rFonts w:ascii="Arial" w:hAnsi="Arial" w:cs="Arial"/>
          <w:sz w:val="20"/>
          <w:szCs w:val="20"/>
          <w:lang w:val="en-GB"/>
        </w:rPr>
        <w:t xml:space="preserve">(1873-74) L.R. 9 </w:t>
      </w:r>
      <w:proofErr w:type="spellStart"/>
      <w:r w:rsidRPr="00CF5D67">
        <w:rPr>
          <w:rFonts w:ascii="Arial" w:hAnsi="Arial" w:cs="Arial"/>
          <w:sz w:val="20"/>
          <w:szCs w:val="20"/>
          <w:lang w:val="en-GB"/>
        </w:rPr>
        <w:t>Ch.App</w:t>
      </w:r>
      <w:proofErr w:type="spellEnd"/>
      <w:r w:rsidRPr="00CF5D67">
        <w:rPr>
          <w:rFonts w:ascii="Arial" w:hAnsi="Arial" w:cs="Arial"/>
          <w:sz w:val="20"/>
          <w:szCs w:val="20"/>
          <w:lang w:val="en-GB"/>
        </w:rPr>
        <w:t xml:space="preserve"> 557.</w:t>
      </w:r>
    </w:p>
  </w:footnote>
  <w:footnote w:id="13">
    <w:p w:rsidR="00C713A2" w:rsidRPr="00CF5D67" w:rsidRDefault="00C713A2" w:rsidP="00CF5D67">
      <w:pPr>
        <w:pStyle w:val="FootnoteText"/>
        <w:jc w:val="both"/>
        <w:rPr>
          <w:rFonts w:ascii="Arial" w:hAnsi="Arial" w:cs="Arial"/>
          <w:lang w:val="en-GB"/>
        </w:rPr>
      </w:pPr>
      <w:r w:rsidRPr="00CF5D67">
        <w:rPr>
          <w:rStyle w:val="FootnoteReference"/>
          <w:rFonts w:ascii="Arial" w:hAnsi="Arial" w:cs="Arial"/>
        </w:rPr>
        <w:footnoteRef/>
      </w:r>
      <w:r w:rsidRPr="00CF5D67">
        <w:rPr>
          <w:rFonts w:ascii="Arial" w:hAnsi="Arial" w:cs="Arial"/>
        </w:rPr>
        <w:t xml:space="preserve"> </w:t>
      </w:r>
      <w:r w:rsidRPr="00CF5D67">
        <w:rPr>
          <w:rFonts w:ascii="Arial" w:hAnsi="Arial" w:cs="Arial"/>
          <w:i/>
          <w:lang w:val="en-GB"/>
        </w:rPr>
        <w:t>ibid</w:t>
      </w:r>
      <w:r w:rsidRPr="00CF5D67">
        <w:rPr>
          <w:rFonts w:ascii="Arial" w:hAnsi="Arial" w:cs="Arial"/>
          <w:lang w:val="en-GB"/>
        </w:rPr>
        <w:t>, p.559.</w:t>
      </w:r>
    </w:p>
  </w:footnote>
  <w:footnote w:id="14">
    <w:p w:rsidR="00C713A2" w:rsidRPr="00CF5D67" w:rsidRDefault="00C713A2" w:rsidP="00CF5D67">
      <w:pPr>
        <w:pStyle w:val="FootnoteText"/>
        <w:jc w:val="both"/>
        <w:rPr>
          <w:rFonts w:ascii="Arial" w:hAnsi="Arial" w:cs="Arial"/>
          <w:lang w:val="en-GB"/>
        </w:rPr>
      </w:pPr>
      <w:r w:rsidRPr="00CF5D67">
        <w:rPr>
          <w:rStyle w:val="FootnoteReference"/>
          <w:rFonts w:ascii="Arial" w:hAnsi="Arial" w:cs="Arial"/>
        </w:rPr>
        <w:footnoteRef/>
      </w:r>
      <w:r w:rsidRPr="00CF5D67">
        <w:rPr>
          <w:rFonts w:ascii="Arial" w:hAnsi="Arial" w:cs="Arial"/>
        </w:rPr>
        <w:t xml:space="preserve"> </w:t>
      </w:r>
      <w:r w:rsidRPr="00CF5D67">
        <w:rPr>
          <w:rFonts w:ascii="Arial" w:hAnsi="Arial" w:cs="Arial"/>
          <w:i/>
          <w:lang w:val="en-GB"/>
        </w:rPr>
        <w:t>ibid.</w:t>
      </w:r>
    </w:p>
  </w:footnote>
  <w:footnote w:id="15">
    <w:p w:rsidR="00C713A2" w:rsidRPr="00CF5D67" w:rsidRDefault="00C713A2" w:rsidP="00CF5D67">
      <w:pPr>
        <w:pStyle w:val="FootnoteText"/>
        <w:jc w:val="both"/>
        <w:rPr>
          <w:rFonts w:ascii="Arial" w:hAnsi="Arial" w:cs="Arial"/>
        </w:rPr>
      </w:pPr>
      <w:r w:rsidRPr="00CF5D67">
        <w:rPr>
          <w:rStyle w:val="FootnoteReference"/>
          <w:rFonts w:ascii="Arial" w:hAnsi="Arial" w:cs="Arial"/>
        </w:rPr>
        <w:footnoteRef/>
      </w:r>
      <w:r w:rsidRPr="00CF5D67">
        <w:rPr>
          <w:rFonts w:ascii="Arial" w:hAnsi="Arial" w:cs="Arial"/>
        </w:rPr>
        <w:t xml:space="preserve"> </w:t>
      </w:r>
      <w:r w:rsidRPr="00CF5D67">
        <w:rPr>
          <w:rFonts w:ascii="Arial" w:hAnsi="Arial" w:cs="Arial"/>
          <w:i/>
        </w:rPr>
        <w:t xml:space="preserve">Rubin v. </w:t>
      </w:r>
      <w:proofErr w:type="spellStart"/>
      <w:r w:rsidRPr="00CF5D67">
        <w:rPr>
          <w:rFonts w:ascii="Arial" w:hAnsi="Arial" w:cs="Arial"/>
          <w:i/>
        </w:rPr>
        <w:t>Eurofinance</w:t>
      </w:r>
      <w:proofErr w:type="spellEnd"/>
      <w:r w:rsidRPr="00CF5D67">
        <w:rPr>
          <w:rFonts w:ascii="Arial" w:hAnsi="Arial" w:cs="Arial"/>
          <w:i/>
        </w:rPr>
        <w:t xml:space="preserve"> SA, New Cap Reinsurance Corp Ltd (In Liquidation) v Grant</w:t>
      </w:r>
      <w:r w:rsidRPr="00CF5D67">
        <w:rPr>
          <w:rFonts w:ascii="Arial" w:hAnsi="Arial" w:cs="Arial"/>
        </w:rPr>
        <w:t xml:space="preserve"> [2012] UKSC 46; [2013] 1 A.C. 236; [2012] 3 W.L.R. 1019. For a critique of </w:t>
      </w:r>
      <w:r w:rsidRPr="00CF5D67">
        <w:rPr>
          <w:rFonts w:ascii="Arial" w:hAnsi="Arial" w:cs="Arial"/>
          <w:i/>
        </w:rPr>
        <w:t>Rubin</w:t>
      </w:r>
      <w:r w:rsidRPr="00CF5D67">
        <w:rPr>
          <w:rFonts w:ascii="Arial" w:hAnsi="Arial" w:cs="Arial"/>
        </w:rPr>
        <w:t xml:space="preserve"> see: </w:t>
      </w:r>
      <w:r w:rsidRPr="00CF5D67">
        <w:rPr>
          <w:rFonts w:ascii="Arial" w:hAnsi="Arial" w:cs="Arial"/>
          <w:lang w:val="en-GB"/>
        </w:rPr>
        <w:t xml:space="preserve">Anderson, H. </w:t>
      </w:r>
      <w:r w:rsidRPr="00CF5D67">
        <w:rPr>
          <w:rFonts w:ascii="Arial" w:hAnsi="Arial" w:cs="Arial"/>
          <w:i/>
          <w:lang w:val="en-GB"/>
        </w:rPr>
        <w:t>Six of the best: the record of the Supreme Court in the insolvency cases decided in its first four years</w:t>
      </w:r>
      <w:r w:rsidRPr="00CF5D67">
        <w:rPr>
          <w:rFonts w:ascii="Arial" w:hAnsi="Arial" w:cs="Arial"/>
          <w:lang w:val="en-GB"/>
        </w:rPr>
        <w:t xml:space="preserve"> (2014) J.B.L, 3, 194-206. </w:t>
      </w:r>
    </w:p>
  </w:footnote>
  <w:footnote w:id="16">
    <w:p w:rsidR="00C713A2" w:rsidRPr="00CF5D67" w:rsidRDefault="00C713A2" w:rsidP="00EB06D1">
      <w:pPr>
        <w:pStyle w:val="FootnoteText"/>
        <w:jc w:val="both"/>
        <w:rPr>
          <w:rFonts w:ascii="Arial" w:hAnsi="Arial" w:cs="Arial"/>
          <w:lang w:val="en-GB"/>
        </w:rPr>
      </w:pPr>
      <w:r w:rsidRPr="00CF5D67">
        <w:rPr>
          <w:rStyle w:val="FootnoteReference"/>
          <w:rFonts w:ascii="Arial" w:hAnsi="Arial" w:cs="Arial"/>
        </w:rPr>
        <w:footnoteRef/>
      </w:r>
      <w:r w:rsidRPr="00CF5D67">
        <w:rPr>
          <w:rFonts w:ascii="Arial" w:hAnsi="Arial" w:cs="Arial"/>
        </w:rPr>
        <w:t xml:space="preserve"> </w:t>
      </w:r>
      <w:r w:rsidRPr="00CF5D67">
        <w:rPr>
          <w:rFonts w:ascii="Arial" w:hAnsi="Arial" w:cs="Arial"/>
          <w:lang w:val="en-GB"/>
        </w:rPr>
        <w:t xml:space="preserve">On which see further: Tribe, J. </w:t>
      </w:r>
      <w:r w:rsidRPr="00EB06D1">
        <w:rPr>
          <w:rFonts w:ascii="Arial" w:hAnsi="Arial" w:cs="Arial"/>
          <w:i/>
          <w:lang w:val="en-GB"/>
        </w:rPr>
        <w:t>Corporate Insolvency Law: Challenging Orthodoxies in Theory, Design and Use</w:t>
      </w:r>
      <w:r w:rsidR="00E63568">
        <w:rPr>
          <w:rFonts w:ascii="Arial" w:hAnsi="Arial" w:cs="Arial"/>
          <w:i/>
          <w:lang w:val="en-GB"/>
        </w:rPr>
        <w:t xml:space="preserve">. </w:t>
      </w:r>
      <w:r w:rsidR="00E63568" w:rsidRPr="00E63568">
        <w:rPr>
          <w:rFonts w:ascii="Arial" w:hAnsi="Arial" w:cs="Arial"/>
          <w:lang w:val="en-GB"/>
        </w:rPr>
        <w:t>Edward Elgar, London</w:t>
      </w:r>
      <w:r w:rsidR="00E63568">
        <w:rPr>
          <w:rFonts w:ascii="Arial" w:hAnsi="Arial" w:cs="Arial"/>
          <w:i/>
          <w:lang w:val="en-GB"/>
        </w:rPr>
        <w:t xml:space="preserve"> </w:t>
      </w:r>
      <w:r>
        <w:rPr>
          <w:rFonts w:ascii="Arial" w:hAnsi="Arial" w:cs="Arial"/>
          <w:lang w:val="en-GB"/>
        </w:rPr>
        <w:t>(Forthcoming).</w:t>
      </w:r>
    </w:p>
  </w:footnote>
  <w:footnote w:id="17">
    <w:p w:rsidR="00C713A2" w:rsidRPr="00CF5D67" w:rsidRDefault="00C713A2" w:rsidP="00CF5D67">
      <w:pPr>
        <w:pStyle w:val="FootnoteText"/>
        <w:jc w:val="both"/>
        <w:rPr>
          <w:rFonts w:ascii="Arial" w:hAnsi="Arial" w:cs="Arial"/>
          <w:lang w:val="en-GB"/>
        </w:rPr>
      </w:pPr>
      <w:r w:rsidRPr="00CF5D67">
        <w:rPr>
          <w:rStyle w:val="FootnoteReference"/>
          <w:rFonts w:ascii="Arial" w:hAnsi="Arial" w:cs="Arial"/>
        </w:rPr>
        <w:footnoteRef/>
      </w:r>
      <w:r w:rsidRPr="00CF5D67">
        <w:rPr>
          <w:rFonts w:ascii="Arial" w:hAnsi="Arial" w:cs="Arial"/>
        </w:rPr>
        <w:t xml:space="preserve"> </w:t>
      </w:r>
      <w:r w:rsidRPr="00CF5D67">
        <w:rPr>
          <w:rFonts w:ascii="Arial" w:hAnsi="Arial" w:cs="Arial"/>
          <w:lang w:val="en-GB"/>
        </w:rPr>
        <w:t xml:space="preserve">See: </w:t>
      </w:r>
      <w:r w:rsidRPr="00CF5D67">
        <w:rPr>
          <w:rFonts w:ascii="Arial" w:hAnsi="Arial" w:cs="Arial"/>
          <w:i/>
          <w:lang w:val="en-GB"/>
        </w:rPr>
        <w:t>Graham Discovering</w:t>
      </w:r>
      <w:r w:rsidRPr="00CF5D67">
        <w:rPr>
          <w:rFonts w:ascii="Arial" w:hAnsi="Arial" w:cs="Arial"/>
          <w:lang w:val="en-GB"/>
        </w:rPr>
        <w:t>, p.155.</w:t>
      </w:r>
    </w:p>
  </w:footnote>
  <w:footnote w:id="18">
    <w:p w:rsidR="00C713A2" w:rsidRPr="00B67AE5" w:rsidRDefault="00C713A2" w:rsidP="00B67AE5">
      <w:pPr>
        <w:pStyle w:val="FootnoteText"/>
        <w:jc w:val="both"/>
        <w:rPr>
          <w:rFonts w:ascii="Arial" w:hAnsi="Arial" w:cs="Arial"/>
          <w:lang w:val="en-GB"/>
        </w:rPr>
      </w:pPr>
      <w:r w:rsidRPr="00CF5D67">
        <w:rPr>
          <w:rStyle w:val="FootnoteReference"/>
          <w:rFonts w:ascii="Arial" w:hAnsi="Arial" w:cs="Arial"/>
        </w:rPr>
        <w:footnoteRef/>
      </w:r>
      <w:r w:rsidRPr="00CF5D67">
        <w:rPr>
          <w:rFonts w:ascii="Arial" w:hAnsi="Arial" w:cs="Arial"/>
        </w:rPr>
        <w:t xml:space="preserve"> </w:t>
      </w:r>
      <w:r w:rsidRPr="00CF5D67">
        <w:rPr>
          <w:rFonts w:ascii="Arial" w:hAnsi="Arial" w:cs="Arial"/>
          <w:lang w:val="en-GB"/>
        </w:rPr>
        <w:t xml:space="preserve">For a critical discussion of universalism see: </w:t>
      </w:r>
      <w:proofErr w:type="spellStart"/>
      <w:r w:rsidRPr="00CF5D67">
        <w:rPr>
          <w:rFonts w:ascii="Arial" w:hAnsi="Arial" w:cs="Arial"/>
          <w:lang w:val="en-GB"/>
        </w:rPr>
        <w:t>Mevorach</w:t>
      </w:r>
      <w:proofErr w:type="spellEnd"/>
      <w:r w:rsidRPr="00CF5D67">
        <w:rPr>
          <w:rFonts w:ascii="Arial" w:hAnsi="Arial" w:cs="Arial"/>
          <w:lang w:val="en-GB"/>
        </w:rPr>
        <w:t xml:space="preserve">, I. </w:t>
      </w:r>
      <w:r w:rsidRPr="00CF5D67">
        <w:rPr>
          <w:rFonts w:ascii="Arial" w:hAnsi="Arial" w:cs="Arial"/>
          <w:i/>
          <w:lang w:val="en-GB"/>
        </w:rPr>
        <w:t>On the road to universalism: a comparative and empirical study of the UNCITRAL model law on cross-border insolvency</w:t>
      </w:r>
      <w:r w:rsidRPr="00CF5D67">
        <w:rPr>
          <w:rFonts w:ascii="Arial" w:hAnsi="Arial" w:cs="Arial"/>
          <w:lang w:val="en-GB"/>
        </w:rPr>
        <w:t xml:space="preserve"> (2011) EBOLR. 12(4), 517-557. See also: McCormack, </w:t>
      </w:r>
      <w:proofErr w:type="spellStart"/>
      <w:r w:rsidRPr="00CF5D67">
        <w:rPr>
          <w:rFonts w:ascii="Arial" w:hAnsi="Arial" w:cs="Arial"/>
          <w:lang w:val="en-GB"/>
        </w:rPr>
        <w:t>lG.</w:t>
      </w:r>
      <w:proofErr w:type="spellEnd"/>
      <w:r w:rsidRPr="00CF5D67">
        <w:rPr>
          <w:rFonts w:ascii="Arial" w:hAnsi="Arial" w:cs="Arial"/>
          <w:lang w:val="en-GB"/>
        </w:rPr>
        <w:t xml:space="preserve"> </w:t>
      </w:r>
      <w:r w:rsidRPr="00CF5D67">
        <w:rPr>
          <w:rFonts w:ascii="Arial" w:hAnsi="Arial" w:cs="Arial"/>
          <w:i/>
          <w:lang w:val="en-GB"/>
        </w:rPr>
        <w:t xml:space="preserve">Universalism in insolvency proceedings and the common law </w:t>
      </w:r>
      <w:r w:rsidRPr="00B67AE5">
        <w:rPr>
          <w:rFonts w:ascii="Arial" w:hAnsi="Arial" w:cs="Arial"/>
          <w:lang w:val="en-GB"/>
        </w:rPr>
        <w:t>(2012) OJLS, 32.2 (2012), 325-347.</w:t>
      </w:r>
    </w:p>
  </w:footnote>
  <w:footnote w:id="19">
    <w:p w:rsidR="00C713A2" w:rsidRPr="00B67AE5" w:rsidRDefault="00C713A2" w:rsidP="00B67AE5">
      <w:pPr>
        <w:pStyle w:val="FootnoteText"/>
        <w:jc w:val="both"/>
        <w:rPr>
          <w:lang w:val="en-GB"/>
        </w:rPr>
      </w:pPr>
      <w:r w:rsidRPr="00B67AE5">
        <w:rPr>
          <w:rStyle w:val="FootnoteReference"/>
          <w:rFonts w:ascii="Arial" w:hAnsi="Arial" w:cs="Arial"/>
        </w:rPr>
        <w:footnoteRef/>
      </w:r>
      <w:r w:rsidRPr="00B67AE5">
        <w:rPr>
          <w:rFonts w:ascii="Arial" w:hAnsi="Arial" w:cs="Arial"/>
        </w:rPr>
        <w:t xml:space="preserve"> </w:t>
      </w:r>
      <w:r w:rsidRPr="00B67AE5">
        <w:rPr>
          <w:rFonts w:ascii="Arial" w:hAnsi="Arial" w:cs="Arial"/>
          <w:lang w:val="en-GB"/>
        </w:rPr>
        <w:t xml:space="preserve">See further: </w:t>
      </w:r>
      <w:r>
        <w:rPr>
          <w:rFonts w:ascii="Arial" w:hAnsi="Arial" w:cs="Arial"/>
          <w:lang w:val="en-GB"/>
        </w:rPr>
        <w:t>Tribe, J.</w:t>
      </w:r>
      <w:r w:rsidRPr="00B67AE5">
        <w:rPr>
          <w:rFonts w:ascii="Arial" w:hAnsi="Arial" w:cs="Arial"/>
          <w:lang w:val="en-GB"/>
        </w:rPr>
        <w:t xml:space="preserve"> </w:t>
      </w:r>
      <w:r w:rsidRPr="00B67AE5">
        <w:rPr>
          <w:rFonts w:ascii="Arial" w:hAnsi="Arial" w:cs="Arial"/>
          <w:i/>
          <w:lang w:val="en-GB"/>
        </w:rPr>
        <w:t xml:space="preserve">Brexit and Insolvency: Ruminations on Loss and Opportunity ("Re-imagining Cross-Border Insolvency in Private International Law: A Defence of Modified Universalism in the Age of Brexit"). </w:t>
      </w:r>
      <w:r w:rsidRPr="00B67AE5">
        <w:rPr>
          <w:rFonts w:ascii="Arial" w:hAnsi="Arial" w:cs="Arial"/>
          <w:lang w:val="en-GB"/>
        </w:rPr>
        <w:t>In Exchange Chambers' 17th Annual Insolvency Conference. Exchange Chambers, Manchester &amp; Leeds</w:t>
      </w:r>
      <w:r>
        <w:rPr>
          <w:rFonts w:ascii="Arial" w:hAnsi="Arial" w:cs="Arial"/>
          <w:lang w:val="en-GB"/>
        </w:rPr>
        <w:t>, October 18</w:t>
      </w:r>
      <w:r w:rsidRPr="00B67AE5">
        <w:rPr>
          <w:rFonts w:ascii="Arial" w:hAnsi="Arial" w:cs="Arial"/>
          <w:vertAlign w:val="superscript"/>
          <w:lang w:val="en-GB"/>
        </w:rPr>
        <w:t>th</w:t>
      </w:r>
      <w:r>
        <w:rPr>
          <w:rFonts w:ascii="Arial" w:hAnsi="Arial" w:cs="Arial"/>
          <w:lang w:val="en-GB"/>
        </w:rPr>
        <w:t xml:space="preserve"> 2017</w:t>
      </w:r>
      <w:r w:rsidRPr="00B67AE5">
        <w:rPr>
          <w:rFonts w:ascii="Arial" w:hAnsi="Arial" w:cs="Arial"/>
          <w:lang w:val="en-GB"/>
        </w:rPr>
        <w:t xml:space="preserve">. See also: </w:t>
      </w:r>
      <w:r>
        <w:rPr>
          <w:rFonts w:ascii="Arial" w:hAnsi="Arial" w:cs="Arial"/>
          <w:lang w:val="en-GB"/>
        </w:rPr>
        <w:t xml:space="preserve">Tribe, J. </w:t>
      </w:r>
      <w:r w:rsidRPr="00B67AE5">
        <w:rPr>
          <w:rFonts w:ascii="Arial" w:hAnsi="Arial" w:cs="Arial"/>
          <w:i/>
          <w:lang w:val="en-GB"/>
        </w:rPr>
        <w:t>The not-so-great Reformation? Recent corporate insolvency framework reform proposals, the ‘bonkers’ Brexit and England and Wales’ contribution</w:t>
      </w:r>
      <w:r>
        <w:rPr>
          <w:rFonts w:ascii="Arial" w:hAnsi="Arial" w:cs="Arial"/>
          <w:i/>
          <w:lang w:val="en-GB"/>
        </w:rPr>
        <w:t xml:space="preserve"> </w:t>
      </w:r>
      <w:r w:rsidRPr="00B67AE5">
        <w:rPr>
          <w:rFonts w:ascii="Arial" w:hAnsi="Arial" w:cs="Arial"/>
          <w:i/>
          <w:lang w:val="en-GB"/>
        </w:rPr>
        <w:t>to EU law reform</w:t>
      </w:r>
      <w:r>
        <w:rPr>
          <w:rFonts w:ascii="Arial" w:hAnsi="Arial" w:cs="Arial"/>
          <w:lang w:val="en-GB"/>
        </w:rPr>
        <w:t>. (2016)</w:t>
      </w:r>
      <w:r w:rsidRPr="00B67AE5">
        <w:rPr>
          <w:rFonts w:ascii="Arial" w:hAnsi="Arial" w:cs="Arial"/>
          <w:lang w:val="en-GB"/>
        </w:rPr>
        <w:t xml:space="preserve"> Recovery, (Autumn), 30-33.</w:t>
      </w:r>
    </w:p>
  </w:footnote>
  <w:footnote w:id="20">
    <w:p w:rsidR="00C713A2" w:rsidRPr="00CF5D67" w:rsidRDefault="00C713A2" w:rsidP="00CF5D67">
      <w:pPr>
        <w:pStyle w:val="FootnoteText"/>
        <w:jc w:val="both"/>
        <w:rPr>
          <w:rFonts w:ascii="Arial" w:hAnsi="Arial" w:cs="Arial"/>
          <w:lang w:val="en-GB"/>
        </w:rPr>
      </w:pPr>
      <w:r w:rsidRPr="00CF5D67">
        <w:rPr>
          <w:rStyle w:val="FootnoteReference"/>
          <w:rFonts w:ascii="Arial" w:hAnsi="Arial" w:cs="Arial"/>
        </w:rPr>
        <w:footnoteRef/>
      </w:r>
      <w:r w:rsidRPr="00CF5D67">
        <w:rPr>
          <w:rFonts w:ascii="Arial" w:hAnsi="Arial" w:cs="Arial"/>
        </w:rPr>
        <w:t xml:space="preserve"> </w:t>
      </w:r>
      <w:r w:rsidRPr="00CF5D67">
        <w:rPr>
          <w:rFonts w:ascii="Arial" w:hAnsi="Arial" w:cs="Arial"/>
          <w:lang w:val="en-GB"/>
        </w:rPr>
        <w:t xml:space="preserve">cite s.426 and the part of the statute that shows that universalism is the UK approach. </w:t>
      </w:r>
    </w:p>
  </w:footnote>
  <w:footnote w:id="21">
    <w:p w:rsidR="00C713A2" w:rsidRPr="009334F0" w:rsidRDefault="00C713A2" w:rsidP="00CF5D67">
      <w:pPr>
        <w:pStyle w:val="FootnoteText"/>
        <w:jc w:val="both"/>
        <w:rPr>
          <w:rFonts w:ascii="Arial" w:hAnsi="Arial" w:cs="Arial"/>
          <w:color w:val="FF0000"/>
          <w:lang w:val="en-GB"/>
        </w:rPr>
      </w:pPr>
      <w:r w:rsidRPr="009334F0">
        <w:rPr>
          <w:rStyle w:val="FootnoteReference"/>
          <w:rFonts w:ascii="Arial" w:hAnsi="Arial" w:cs="Arial"/>
          <w:color w:val="FF0000"/>
        </w:rPr>
        <w:footnoteRef/>
      </w:r>
      <w:r w:rsidRPr="009334F0">
        <w:rPr>
          <w:rFonts w:ascii="Arial" w:hAnsi="Arial" w:cs="Arial"/>
          <w:color w:val="FF0000"/>
        </w:rPr>
        <w:t xml:space="preserve"> </w:t>
      </w:r>
      <w:r w:rsidRPr="009334F0">
        <w:rPr>
          <w:rFonts w:ascii="Arial" w:hAnsi="Arial" w:cs="Arial"/>
          <w:b/>
          <w:color w:val="FF0000"/>
        </w:rPr>
        <w:t xml:space="preserve">As Finch and </w:t>
      </w:r>
      <w:proofErr w:type="spellStart"/>
      <w:r w:rsidRPr="009334F0">
        <w:rPr>
          <w:rFonts w:ascii="Arial" w:hAnsi="Arial" w:cs="Arial"/>
          <w:b/>
          <w:color w:val="FF0000"/>
        </w:rPr>
        <w:t>Milman</w:t>
      </w:r>
      <w:proofErr w:type="spellEnd"/>
      <w:r w:rsidRPr="009334F0">
        <w:rPr>
          <w:rFonts w:ascii="Arial" w:hAnsi="Arial" w:cs="Arial"/>
          <w:b/>
          <w:color w:val="FF0000"/>
        </w:rPr>
        <w:t xml:space="preserve"> have noted. See:</w:t>
      </w:r>
      <w:r w:rsidRPr="009334F0">
        <w:rPr>
          <w:rFonts w:ascii="Arial" w:hAnsi="Arial" w:cs="Arial"/>
          <w:color w:val="FF0000"/>
        </w:rPr>
        <w:t xml:space="preserve"> </w:t>
      </w:r>
    </w:p>
  </w:footnote>
  <w:footnote w:id="22">
    <w:p w:rsidR="00C713A2" w:rsidRPr="009334F0" w:rsidRDefault="00C713A2" w:rsidP="00CF5D67">
      <w:pPr>
        <w:pStyle w:val="FootnoteText"/>
        <w:jc w:val="both"/>
        <w:rPr>
          <w:rFonts w:ascii="Arial" w:hAnsi="Arial" w:cs="Arial"/>
          <w:color w:val="FF0000"/>
          <w:lang w:val="en-GB"/>
        </w:rPr>
      </w:pPr>
      <w:r w:rsidRPr="009334F0">
        <w:rPr>
          <w:rStyle w:val="FootnoteReference"/>
          <w:rFonts w:ascii="Arial" w:hAnsi="Arial" w:cs="Arial"/>
          <w:color w:val="FF0000"/>
        </w:rPr>
        <w:footnoteRef/>
      </w:r>
      <w:r w:rsidRPr="009334F0">
        <w:rPr>
          <w:rFonts w:ascii="Arial" w:hAnsi="Arial" w:cs="Arial"/>
          <w:color w:val="FF0000"/>
        </w:rPr>
        <w:t xml:space="preserve"> </w:t>
      </w:r>
      <w:r w:rsidRPr="009334F0">
        <w:rPr>
          <w:rFonts w:ascii="Arial" w:hAnsi="Arial" w:cs="Arial"/>
          <w:color w:val="FF0000"/>
          <w:lang w:val="en-GB"/>
        </w:rPr>
        <w:t xml:space="preserve">cite fletcher here. </w:t>
      </w:r>
    </w:p>
  </w:footnote>
  <w:footnote w:id="23">
    <w:p w:rsidR="00C713A2" w:rsidRPr="00CF5D67" w:rsidRDefault="00C713A2" w:rsidP="00CF5D67">
      <w:pPr>
        <w:pStyle w:val="FootnoteText"/>
        <w:jc w:val="both"/>
        <w:rPr>
          <w:rFonts w:ascii="Arial" w:hAnsi="Arial" w:cs="Arial"/>
          <w:lang w:val="en-GB"/>
        </w:rPr>
      </w:pPr>
      <w:r w:rsidRPr="009334F0">
        <w:rPr>
          <w:rStyle w:val="FootnoteReference"/>
          <w:rFonts w:ascii="Arial" w:hAnsi="Arial" w:cs="Arial"/>
          <w:color w:val="FF0000"/>
        </w:rPr>
        <w:footnoteRef/>
      </w:r>
      <w:r w:rsidRPr="009334F0">
        <w:rPr>
          <w:rFonts w:ascii="Arial" w:hAnsi="Arial" w:cs="Arial"/>
          <w:color w:val="FF0000"/>
        </w:rPr>
        <w:t xml:space="preserve"> </w:t>
      </w:r>
      <w:r w:rsidRPr="009334F0">
        <w:rPr>
          <w:rFonts w:ascii="Arial" w:hAnsi="Arial" w:cs="Arial"/>
          <w:color w:val="FF0000"/>
          <w:lang w:val="en-GB"/>
        </w:rPr>
        <w:t xml:space="preserve">Cite </w:t>
      </w:r>
      <w:proofErr w:type="spellStart"/>
      <w:r w:rsidRPr="009334F0">
        <w:rPr>
          <w:rFonts w:ascii="Arial" w:hAnsi="Arial" w:cs="Arial"/>
          <w:color w:val="FF0000"/>
          <w:lang w:val="en-GB"/>
        </w:rPr>
        <w:t>mccormack</w:t>
      </w:r>
      <w:proofErr w:type="spellEnd"/>
      <w:r w:rsidRPr="009334F0">
        <w:rPr>
          <w:rFonts w:ascii="Arial" w:hAnsi="Arial" w:cs="Arial"/>
          <w:color w:val="FF0000"/>
          <w:lang w:val="en-GB"/>
        </w:rPr>
        <w:t xml:space="preserve"> </w:t>
      </w:r>
    </w:p>
  </w:footnote>
  <w:footnote w:id="24">
    <w:p w:rsidR="00C713A2" w:rsidRPr="00CF5D67" w:rsidRDefault="00C713A2" w:rsidP="00CF5D67">
      <w:pPr>
        <w:pStyle w:val="FootnoteText"/>
        <w:jc w:val="both"/>
        <w:rPr>
          <w:rFonts w:ascii="Arial" w:hAnsi="Arial" w:cs="Arial"/>
          <w:lang w:val="en-GB"/>
        </w:rPr>
      </w:pPr>
      <w:r w:rsidRPr="00CF5D67">
        <w:rPr>
          <w:rStyle w:val="FootnoteReference"/>
          <w:rFonts w:ascii="Arial" w:hAnsi="Arial" w:cs="Arial"/>
        </w:rPr>
        <w:footnoteRef/>
      </w:r>
      <w:r w:rsidRPr="00CF5D67">
        <w:rPr>
          <w:rFonts w:ascii="Arial" w:hAnsi="Arial" w:cs="Arial"/>
        </w:rPr>
        <w:t xml:space="preserve"> </w:t>
      </w:r>
      <w:r w:rsidRPr="00CF5D67">
        <w:rPr>
          <w:rFonts w:ascii="Arial" w:hAnsi="Arial" w:cs="Arial"/>
          <w:i/>
          <w:lang w:val="en-GB"/>
        </w:rPr>
        <w:t>Fletcher International</w:t>
      </w:r>
      <w:r w:rsidRPr="00CF5D67">
        <w:rPr>
          <w:rFonts w:ascii="Arial" w:hAnsi="Arial" w:cs="Arial"/>
          <w:lang w:val="en-GB"/>
        </w:rPr>
        <w:t xml:space="preserve">, </w:t>
      </w:r>
      <w:proofErr w:type="spellStart"/>
      <w:r w:rsidRPr="0004377A">
        <w:rPr>
          <w:rFonts w:ascii="Arial" w:hAnsi="Arial" w:cs="Arial"/>
          <w:color w:val="FF0000"/>
          <w:lang w:val="en-GB"/>
        </w:rPr>
        <w:t>p.XX</w:t>
      </w:r>
      <w:proofErr w:type="spellEnd"/>
    </w:p>
  </w:footnote>
  <w:footnote w:id="25">
    <w:p w:rsidR="00C713A2" w:rsidRPr="00CF5D67" w:rsidRDefault="00C713A2" w:rsidP="00CF5D67">
      <w:pPr>
        <w:pStyle w:val="FootnoteText"/>
        <w:jc w:val="both"/>
        <w:rPr>
          <w:rFonts w:ascii="Arial" w:hAnsi="Arial" w:cs="Arial"/>
        </w:rPr>
      </w:pPr>
      <w:r w:rsidRPr="00CF5D67">
        <w:rPr>
          <w:rStyle w:val="FootnoteReference"/>
          <w:rFonts w:ascii="Arial" w:hAnsi="Arial" w:cs="Arial"/>
        </w:rPr>
        <w:footnoteRef/>
      </w:r>
      <w:r w:rsidRPr="00CF5D67">
        <w:rPr>
          <w:rFonts w:ascii="Arial" w:hAnsi="Arial" w:cs="Arial"/>
        </w:rPr>
        <w:t xml:space="preserve"> See: </w:t>
      </w:r>
      <w:r w:rsidRPr="00CF5D67">
        <w:rPr>
          <w:rFonts w:ascii="Arial" w:hAnsi="Arial" w:cs="Arial"/>
          <w:i/>
        </w:rPr>
        <w:t>Cambridge Gas Transport Corp v. Official Committee of Unsecured Creditors of Navigator Holdings Plc</w:t>
      </w:r>
      <w:r w:rsidRPr="00CF5D67">
        <w:rPr>
          <w:rFonts w:ascii="Arial" w:hAnsi="Arial" w:cs="Arial"/>
        </w:rPr>
        <w:t xml:space="preserve"> [2006] UKPC 26; [2007] 1 A.C. 508; [2006] 3 W.L.R. 689. (Hereafter </w:t>
      </w:r>
      <w:r w:rsidRPr="00CF5D67">
        <w:rPr>
          <w:rFonts w:ascii="Arial" w:hAnsi="Arial" w:cs="Arial"/>
          <w:i/>
        </w:rPr>
        <w:t>Cambridge Transportation</w:t>
      </w:r>
      <w:r w:rsidRPr="00CF5D67">
        <w:rPr>
          <w:rFonts w:ascii="Arial" w:hAnsi="Arial" w:cs="Arial"/>
        </w:rPr>
        <w:t>).</w:t>
      </w:r>
    </w:p>
  </w:footnote>
  <w:footnote w:id="26">
    <w:p w:rsidR="00C713A2" w:rsidRPr="00CF5D67" w:rsidRDefault="00C713A2" w:rsidP="00CF5D67">
      <w:pPr>
        <w:pStyle w:val="FootnoteText"/>
        <w:jc w:val="both"/>
        <w:rPr>
          <w:rFonts w:ascii="Arial" w:hAnsi="Arial" w:cs="Arial"/>
        </w:rPr>
      </w:pPr>
      <w:r w:rsidRPr="00CF5D67">
        <w:rPr>
          <w:rStyle w:val="FootnoteReference"/>
          <w:rFonts w:ascii="Arial" w:hAnsi="Arial" w:cs="Arial"/>
        </w:rPr>
        <w:footnoteRef/>
      </w:r>
      <w:r w:rsidRPr="00CF5D67">
        <w:rPr>
          <w:rFonts w:ascii="Arial" w:hAnsi="Arial" w:cs="Arial"/>
        </w:rPr>
        <w:t xml:space="preserve"> See: </w:t>
      </w:r>
      <w:r w:rsidRPr="00CF5D67">
        <w:rPr>
          <w:rFonts w:ascii="Arial" w:hAnsi="Arial" w:cs="Arial"/>
          <w:i/>
        </w:rPr>
        <w:t>Re HIH Casualty &amp; General Insurance Ltd</w:t>
      </w:r>
      <w:r w:rsidRPr="00CF5D67">
        <w:rPr>
          <w:rFonts w:ascii="Arial" w:hAnsi="Arial" w:cs="Arial"/>
        </w:rPr>
        <w:t xml:space="preserve"> [2008] UKHL 21; [2008] 1 W.L.R. 852. (Hereafter </w:t>
      </w:r>
      <w:r w:rsidRPr="00CF5D67">
        <w:rPr>
          <w:rFonts w:ascii="Arial" w:hAnsi="Arial" w:cs="Arial"/>
          <w:i/>
        </w:rPr>
        <w:t>HIH</w:t>
      </w:r>
      <w:r w:rsidRPr="00CF5D67">
        <w:rPr>
          <w:rFonts w:ascii="Arial" w:hAnsi="Arial" w:cs="Arial"/>
        </w:rPr>
        <w:t>).</w:t>
      </w:r>
    </w:p>
  </w:footnote>
  <w:footnote w:id="27">
    <w:p w:rsidR="00C713A2" w:rsidRPr="00CF5D67" w:rsidRDefault="00C713A2" w:rsidP="00CF5D67">
      <w:pPr>
        <w:pStyle w:val="FootnoteText"/>
        <w:jc w:val="both"/>
        <w:rPr>
          <w:rFonts w:ascii="Arial" w:hAnsi="Arial" w:cs="Arial"/>
          <w:lang w:val="en-GB"/>
        </w:rPr>
      </w:pPr>
      <w:r w:rsidRPr="00CF5D67">
        <w:rPr>
          <w:rStyle w:val="FootnoteReference"/>
          <w:rFonts w:ascii="Arial" w:hAnsi="Arial" w:cs="Arial"/>
        </w:rPr>
        <w:footnoteRef/>
      </w:r>
      <w:r w:rsidRPr="00CF5D67">
        <w:rPr>
          <w:rFonts w:ascii="Arial" w:hAnsi="Arial" w:cs="Arial"/>
        </w:rPr>
        <w:t xml:space="preserve"> </w:t>
      </w:r>
      <w:r w:rsidRPr="00CF5D67">
        <w:rPr>
          <w:rFonts w:ascii="Arial" w:hAnsi="Arial" w:cs="Arial"/>
          <w:lang w:val="en-GB"/>
        </w:rPr>
        <w:t xml:space="preserve">On the history of the area see: Graham, D. </w:t>
      </w:r>
      <w:r w:rsidRPr="00CF5D67">
        <w:rPr>
          <w:rFonts w:ascii="Arial" w:hAnsi="Arial" w:cs="Arial"/>
          <w:i/>
          <w:lang w:val="en-GB"/>
        </w:rPr>
        <w:t xml:space="preserve">Discovering Jabez Henry, cross-border insolvency law in the 19th century </w:t>
      </w:r>
      <w:r w:rsidRPr="00CF5D67">
        <w:rPr>
          <w:rFonts w:ascii="Arial" w:hAnsi="Arial" w:cs="Arial"/>
          <w:lang w:val="en-GB"/>
        </w:rPr>
        <w:t>(2001) I.I.R, 10(2), 153-166; See also: Graham, D.</w:t>
      </w:r>
      <w:r w:rsidRPr="00CF5D67">
        <w:rPr>
          <w:rFonts w:ascii="Arial" w:hAnsi="Arial" w:cs="Arial"/>
          <w:i/>
          <w:lang w:val="en-GB"/>
        </w:rPr>
        <w:t xml:space="preserve"> In search of Jabez Henry: Part II: the readership of Foreign Law </w:t>
      </w:r>
      <w:r w:rsidRPr="00CF5D67">
        <w:rPr>
          <w:rFonts w:ascii="Arial" w:hAnsi="Arial" w:cs="Arial"/>
          <w:lang w:val="en-GB"/>
        </w:rPr>
        <w:t xml:space="preserve">(2005) I.I.R, 14(3), 223-234. See also: Graham, D. </w:t>
      </w:r>
      <w:r w:rsidRPr="00CF5D67">
        <w:rPr>
          <w:rFonts w:ascii="Arial" w:hAnsi="Arial" w:cs="Arial"/>
          <w:i/>
          <w:lang w:val="en-GB"/>
        </w:rPr>
        <w:t>The insolvency Italian banks of medieval London: Part</w:t>
      </w:r>
      <w:r w:rsidRPr="00CF5D67">
        <w:rPr>
          <w:rFonts w:ascii="Arial" w:hAnsi="Arial" w:cs="Arial"/>
          <w:lang w:val="en-GB"/>
        </w:rPr>
        <w:t xml:space="preserve"> 2 (2000) I.I.R, 9(3), 213-231; Graham, D. </w:t>
      </w:r>
      <w:r w:rsidRPr="00CF5D67">
        <w:rPr>
          <w:rFonts w:ascii="Arial" w:hAnsi="Arial" w:cs="Arial"/>
          <w:i/>
          <w:lang w:val="en-GB"/>
        </w:rPr>
        <w:t>The insolvent Italian banks of medieval London: Part 1</w:t>
      </w:r>
      <w:r w:rsidRPr="00CF5D67">
        <w:rPr>
          <w:rFonts w:ascii="Arial" w:hAnsi="Arial" w:cs="Arial"/>
          <w:lang w:val="en-GB"/>
        </w:rPr>
        <w:t xml:space="preserve"> (2000) I.I.R., 9(2), 147-156. See also: Graham, D. </w:t>
      </w:r>
      <w:r w:rsidRPr="00CF5D67">
        <w:rPr>
          <w:rFonts w:ascii="Arial" w:hAnsi="Arial" w:cs="Arial"/>
          <w:i/>
          <w:lang w:val="en-GB"/>
        </w:rPr>
        <w:t>The cross-border scene: pre-INSOL</w:t>
      </w:r>
      <w:r w:rsidRPr="00CF5D67">
        <w:rPr>
          <w:rFonts w:ascii="Arial" w:hAnsi="Arial" w:cs="Arial"/>
          <w:lang w:val="en-GB"/>
        </w:rPr>
        <w:t xml:space="preserve"> (2007) INSOL W. 2007, 1 </w:t>
      </w:r>
      <w:proofErr w:type="spellStart"/>
      <w:r w:rsidRPr="00CF5D67">
        <w:rPr>
          <w:rFonts w:ascii="Arial" w:hAnsi="Arial" w:cs="Arial"/>
          <w:lang w:val="en-GB"/>
        </w:rPr>
        <w:t>Supp</w:t>
      </w:r>
      <w:proofErr w:type="spellEnd"/>
      <w:r w:rsidRPr="00CF5D67">
        <w:rPr>
          <w:rFonts w:ascii="Arial" w:hAnsi="Arial" w:cs="Arial"/>
          <w:lang w:val="en-GB"/>
        </w:rPr>
        <w:t xml:space="preserve"> (Silver Jubilee Edition 2007), 10-12; Graham, D. </w:t>
      </w:r>
      <w:r w:rsidRPr="00CF5D67">
        <w:rPr>
          <w:rFonts w:ascii="Arial" w:hAnsi="Arial" w:cs="Arial"/>
          <w:i/>
          <w:lang w:val="en-GB"/>
        </w:rPr>
        <w:t>Cross-border insolvency</w:t>
      </w:r>
      <w:r w:rsidRPr="00CF5D67">
        <w:rPr>
          <w:rFonts w:ascii="Arial" w:hAnsi="Arial" w:cs="Arial"/>
          <w:lang w:val="en-GB"/>
        </w:rPr>
        <w:t xml:space="preserve"> (1989) C.L.P. 1989, 42, 217-229. See also: </w:t>
      </w:r>
      <w:proofErr w:type="spellStart"/>
      <w:r w:rsidRPr="00CF5D67">
        <w:rPr>
          <w:rFonts w:ascii="Arial" w:hAnsi="Arial" w:cs="Arial"/>
          <w:lang w:val="en-GB"/>
        </w:rPr>
        <w:t>Nadelmann</w:t>
      </w:r>
      <w:proofErr w:type="spellEnd"/>
      <w:r w:rsidRPr="00CF5D67">
        <w:rPr>
          <w:rFonts w:ascii="Arial" w:hAnsi="Arial" w:cs="Arial"/>
          <w:lang w:val="en-GB"/>
        </w:rPr>
        <w:t xml:space="preserve">, K.H. </w:t>
      </w:r>
      <w:r w:rsidRPr="00CF5D67">
        <w:rPr>
          <w:rFonts w:ascii="Arial" w:hAnsi="Arial" w:cs="Arial"/>
          <w:i/>
          <w:lang w:val="en-GB"/>
        </w:rPr>
        <w:t>Bankruptcy Treatise</w:t>
      </w:r>
      <w:r w:rsidRPr="00CF5D67">
        <w:rPr>
          <w:rFonts w:ascii="Arial" w:hAnsi="Arial" w:cs="Arial"/>
          <w:lang w:val="en-GB"/>
        </w:rPr>
        <w:t xml:space="preserve"> (1944) 93 </w:t>
      </w:r>
      <w:proofErr w:type="spellStart"/>
      <w:r w:rsidRPr="00CF5D67">
        <w:rPr>
          <w:rFonts w:ascii="Arial" w:hAnsi="Arial" w:cs="Arial"/>
          <w:lang w:val="en-GB"/>
        </w:rPr>
        <w:t>U.Pa</w:t>
      </w:r>
      <w:proofErr w:type="spellEnd"/>
      <w:r w:rsidRPr="00CF5D67">
        <w:rPr>
          <w:rFonts w:ascii="Arial" w:hAnsi="Arial" w:cs="Arial"/>
          <w:lang w:val="en-GB"/>
        </w:rPr>
        <w:t xml:space="preserve">. L. Rev 58. See also: </w:t>
      </w:r>
      <w:proofErr w:type="spellStart"/>
      <w:r w:rsidRPr="00CF5D67">
        <w:rPr>
          <w:rFonts w:ascii="Arial" w:hAnsi="Arial" w:cs="Arial"/>
          <w:lang w:val="en-GB"/>
        </w:rPr>
        <w:t>Nadelmann</w:t>
      </w:r>
      <w:proofErr w:type="spellEnd"/>
      <w:r w:rsidRPr="00CF5D67">
        <w:rPr>
          <w:rFonts w:ascii="Arial" w:hAnsi="Arial" w:cs="Arial"/>
          <w:lang w:val="en-GB"/>
        </w:rPr>
        <w:t xml:space="preserve">, KH. </w:t>
      </w:r>
      <w:r w:rsidRPr="00CF5D67">
        <w:rPr>
          <w:rFonts w:ascii="Arial" w:hAnsi="Arial" w:cs="Arial"/>
          <w:i/>
          <w:lang w:val="en-GB"/>
        </w:rPr>
        <w:t>An International Bankruptcy Code: New Thoughts on an Old Idea</w:t>
      </w:r>
      <w:r w:rsidRPr="00CF5D67">
        <w:rPr>
          <w:rFonts w:ascii="Arial" w:hAnsi="Arial" w:cs="Arial"/>
          <w:lang w:val="en-GB"/>
        </w:rPr>
        <w:t xml:space="preserve"> (1961) ICLQ, Vol. 10, No. 1 (Jan., 1961), pp. 70-82.</w:t>
      </w:r>
    </w:p>
  </w:footnote>
  <w:footnote w:id="28">
    <w:p w:rsidR="00C713A2" w:rsidRPr="00CF5D67" w:rsidRDefault="00C713A2" w:rsidP="00CF5D67">
      <w:pPr>
        <w:pStyle w:val="FootnoteText"/>
        <w:jc w:val="both"/>
        <w:rPr>
          <w:rFonts w:ascii="Arial" w:hAnsi="Arial" w:cs="Arial"/>
          <w:lang w:val="en-GB"/>
        </w:rPr>
      </w:pPr>
      <w:r w:rsidRPr="00CF5D67">
        <w:rPr>
          <w:rStyle w:val="FootnoteReference"/>
          <w:rFonts w:ascii="Arial" w:hAnsi="Arial" w:cs="Arial"/>
        </w:rPr>
        <w:footnoteRef/>
      </w:r>
      <w:r w:rsidRPr="00CF5D67">
        <w:rPr>
          <w:rFonts w:ascii="Arial" w:hAnsi="Arial" w:cs="Arial"/>
        </w:rPr>
        <w:t xml:space="preserve"> </w:t>
      </w:r>
      <w:proofErr w:type="spellStart"/>
      <w:r w:rsidRPr="00CF5D67">
        <w:rPr>
          <w:rFonts w:ascii="Arial" w:hAnsi="Arial" w:cs="Arial"/>
          <w:i/>
          <w:lang w:val="en-GB"/>
        </w:rPr>
        <w:t>Solomons</w:t>
      </w:r>
      <w:proofErr w:type="spellEnd"/>
      <w:r w:rsidRPr="00CF5D67">
        <w:rPr>
          <w:rFonts w:ascii="Arial" w:hAnsi="Arial" w:cs="Arial"/>
          <w:i/>
          <w:lang w:val="en-GB"/>
        </w:rPr>
        <w:t xml:space="preserve"> v. Ross</w:t>
      </w:r>
      <w:r w:rsidRPr="00CF5D67">
        <w:rPr>
          <w:rFonts w:ascii="Arial" w:hAnsi="Arial" w:cs="Arial"/>
          <w:lang w:val="en-GB"/>
        </w:rPr>
        <w:t xml:space="preserve"> (1764) 1 </w:t>
      </w:r>
      <w:proofErr w:type="spellStart"/>
      <w:r w:rsidRPr="00CF5D67">
        <w:rPr>
          <w:rFonts w:ascii="Arial" w:hAnsi="Arial" w:cs="Arial"/>
          <w:lang w:val="en-GB"/>
        </w:rPr>
        <w:t>Hy</w:t>
      </w:r>
      <w:proofErr w:type="spellEnd"/>
      <w:r w:rsidRPr="00CF5D67">
        <w:rPr>
          <w:rFonts w:ascii="Arial" w:hAnsi="Arial" w:cs="Arial"/>
          <w:lang w:val="en-GB"/>
        </w:rPr>
        <w:t xml:space="preserve">. Bl. 131n; 126 E.R. 79; (1764) 1 H </w:t>
      </w:r>
      <w:proofErr w:type="spellStart"/>
      <w:r w:rsidRPr="00CF5D67">
        <w:rPr>
          <w:rFonts w:ascii="Arial" w:hAnsi="Arial" w:cs="Arial"/>
          <w:lang w:val="en-GB"/>
        </w:rPr>
        <w:t>Bl</w:t>
      </w:r>
      <w:proofErr w:type="spellEnd"/>
      <w:r w:rsidRPr="00CF5D67">
        <w:rPr>
          <w:rFonts w:ascii="Arial" w:hAnsi="Arial" w:cs="Arial"/>
          <w:lang w:val="en-GB"/>
        </w:rPr>
        <w:t xml:space="preserve"> 131n.</w:t>
      </w:r>
    </w:p>
  </w:footnote>
  <w:footnote w:id="29">
    <w:p w:rsidR="00C713A2" w:rsidRPr="00CF5D67" w:rsidRDefault="00C713A2" w:rsidP="00381158">
      <w:pPr>
        <w:pStyle w:val="FootnoteText"/>
        <w:jc w:val="both"/>
        <w:rPr>
          <w:rFonts w:ascii="Arial" w:hAnsi="Arial" w:cs="Arial"/>
          <w:lang w:val="en-GB"/>
        </w:rPr>
      </w:pPr>
      <w:r w:rsidRPr="00CF5D67">
        <w:rPr>
          <w:rStyle w:val="FootnoteReference"/>
          <w:rFonts w:ascii="Arial" w:hAnsi="Arial" w:cs="Arial"/>
        </w:rPr>
        <w:footnoteRef/>
      </w:r>
      <w:r w:rsidRPr="00CF5D67">
        <w:rPr>
          <w:rFonts w:ascii="Arial" w:hAnsi="Arial" w:cs="Arial"/>
        </w:rPr>
        <w:t xml:space="preserve"> </w:t>
      </w:r>
      <w:r w:rsidRPr="00CF5D67">
        <w:rPr>
          <w:rFonts w:ascii="Arial" w:hAnsi="Arial" w:cs="Arial"/>
          <w:lang w:val="en-GB"/>
        </w:rPr>
        <w:t xml:space="preserve">For general economic history, including the period under discussion in this article, see: Hill, C. </w:t>
      </w:r>
      <w:r w:rsidRPr="00CF5D67">
        <w:rPr>
          <w:rFonts w:ascii="Arial" w:hAnsi="Arial" w:cs="Arial"/>
          <w:i/>
          <w:lang w:val="en-GB"/>
        </w:rPr>
        <w:t>British Economic and Social History 1700 – 1982</w:t>
      </w:r>
      <w:r w:rsidRPr="00CF5D67">
        <w:rPr>
          <w:rFonts w:ascii="Arial" w:hAnsi="Arial" w:cs="Arial"/>
          <w:lang w:val="en-GB"/>
        </w:rPr>
        <w:t xml:space="preserve">. See also:  May, T. </w:t>
      </w:r>
      <w:r w:rsidRPr="00CF5D67">
        <w:rPr>
          <w:rFonts w:ascii="Arial" w:hAnsi="Arial" w:cs="Arial"/>
          <w:i/>
          <w:lang w:val="en-GB"/>
        </w:rPr>
        <w:t>An Economic and Social History of Britain 1760 – 1970</w:t>
      </w:r>
      <w:r w:rsidRPr="00CF5D67">
        <w:rPr>
          <w:rFonts w:ascii="Arial" w:hAnsi="Arial" w:cs="Arial"/>
          <w:lang w:val="en-GB"/>
        </w:rPr>
        <w:t>.</w:t>
      </w:r>
      <w:r>
        <w:rPr>
          <w:rFonts w:ascii="Arial" w:hAnsi="Arial" w:cs="Arial"/>
          <w:lang w:val="en-GB"/>
        </w:rPr>
        <w:t xml:space="preserve"> See also: de Zwart &amp; van </w:t>
      </w:r>
      <w:proofErr w:type="spellStart"/>
      <w:r>
        <w:rPr>
          <w:rFonts w:ascii="Arial" w:hAnsi="Arial" w:cs="Arial"/>
          <w:lang w:val="en-GB"/>
        </w:rPr>
        <w:t>Zanden</w:t>
      </w:r>
      <w:proofErr w:type="spellEnd"/>
      <w:r>
        <w:rPr>
          <w:rFonts w:ascii="Arial" w:hAnsi="Arial" w:cs="Arial"/>
          <w:lang w:val="en-GB"/>
        </w:rPr>
        <w:t xml:space="preserve">. </w:t>
      </w:r>
      <w:r w:rsidRPr="00381158">
        <w:rPr>
          <w:rFonts w:ascii="Arial" w:hAnsi="Arial" w:cs="Arial"/>
          <w:i/>
          <w:lang w:val="en-GB"/>
        </w:rPr>
        <w:t xml:space="preserve">The Origins of Globalization: World Trade in the Making of the Global Economy, 1500-1800 </w:t>
      </w:r>
      <w:r w:rsidRPr="00381158">
        <w:rPr>
          <w:rFonts w:ascii="Arial" w:hAnsi="Arial" w:cs="Arial"/>
          <w:lang w:val="en-GB"/>
        </w:rPr>
        <w:t xml:space="preserve">(New Approaches </w:t>
      </w:r>
      <w:r>
        <w:rPr>
          <w:rFonts w:ascii="Arial" w:hAnsi="Arial" w:cs="Arial"/>
          <w:lang w:val="en-GB"/>
        </w:rPr>
        <w:t xml:space="preserve">to Economic and Social History, </w:t>
      </w:r>
      <w:r w:rsidRPr="00381158">
        <w:rPr>
          <w:rFonts w:ascii="Arial" w:hAnsi="Arial" w:cs="Arial"/>
          <w:lang w:val="en-GB"/>
        </w:rPr>
        <w:t>2018</w:t>
      </w:r>
      <w:r>
        <w:rPr>
          <w:rFonts w:ascii="Arial" w:hAnsi="Arial" w:cs="Arial"/>
          <w:lang w:val="en-GB"/>
        </w:rPr>
        <w:t>.</w:t>
      </w:r>
    </w:p>
  </w:footnote>
  <w:footnote w:id="30">
    <w:p w:rsidR="00C713A2" w:rsidRPr="00CF5D67" w:rsidRDefault="00C713A2" w:rsidP="00CF5D67">
      <w:pPr>
        <w:pStyle w:val="FootnoteText"/>
        <w:jc w:val="both"/>
        <w:rPr>
          <w:rFonts w:ascii="Arial" w:hAnsi="Arial" w:cs="Arial"/>
          <w:lang w:val="en-GB"/>
        </w:rPr>
      </w:pPr>
      <w:r w:rsidRPr="00CF5D67">
        <w:rPr>
          <w:rStyle w:val="FootnoteReference"/>
          <w:rFonts w:ascii="Arial" w:hAnsi="Arial" w:cs="Arial"/>
        </w:rPr>
        <w:footnoteRef/>
      </w:r>
      <w:r w:rsidRPr="00CF5D67">
        <w:rPr>
          <w:rFonts w:ascii="Arial" w:hAnsi="Arial" w:cs="Arial"/>
        </w:rPr>
        <w:t xml:space="preserve"> </w:t>
      </w:r>
      <w:r w:rsidR="009334F0" w:rsidRPr="009334F0">
        <w:rPr>
          <w:rFonts w:ascii="Arial" w:hAnsi="Arial" w:cs="Arial"/>
          <w:i/>
          <w:lang w:val="en-GB"/>
        </w:rPr>
        <w:t>p</w:t>
      </w:r>
      <w:r w:rsidRPr="009334F0">
        <w:rPr>
          <w:rFonts w:ascii="Arial" w:hAnsi="Arial" w:cs="Arial"/>
          <w:i/>
          <w:lang w:val="en-GB"/>
        </w:rPr>
        <w:t>er</w:t>
      </w:r>
      <w:r w:rsidRPr="00CF5D67">
        <w:rPr>
          <w:rFonts w:ascii="Arial" w:hAnsi="Arial" w:cs="Arial"/>
          <w:lang w:val="en-GB"/>
        </w:rPr>
        <w:t xml:space="preserve"> Lord Hoffmann, </w:t>
      </w:r>
      <w:r w:rsidRPr="00F00CCF">
        <w:rPr>
          <w:rFonts w:ascii="Arial" w:hAnsi="Arial" w:cs="Arial"/>
          <w:i/>
          <w:lang w:val="en-GB"/>
        </w:rPr>
        <w:t>HIH</w:t>
      </w:r>
      <w:r w:rsidRPr="00CF5D67">
        <w:rPr>
          <w:rFonts w:ascii="Arial" w:hAnsi="Arial" w:cs="Arial"/>
          <w:lang w:val="en-GB"/>
        </w:rPr>
        <w:t xml:space="preserve">, </w:t>
      </w:r>
      <w:proofErr w:type="spellStart"/>
      <w:r w:rsidRPr="00CF5D67">
        <w:rPr>
          <w:rFonts w:ascii="Arial" w:hAnsi="Arial" w:cs="Arial"/>
          <w:color w:val="FF0000"/>
          <w:lang w:val="en-GB"/>
        </w:rPr>
        <w:t>para.XX</w:t>
      </w:r>
      <w:proofErr w:type="spellEnd"/>
      <w:r w:rsidRPr="00CF5D67">
        <w:rPr>
          <w:rFonts w:ascii="Arial" w:hAnsi="Arial" w:cs="Arial"/>
          <w:color w:val="FF0000"/>
          <w:lang w:val="en-GB"/>
        </w:rPr>
        <w:t>.</w:t>
      </w:r>
    </w:p>
  </w:footnote>
  <w:footnote w:id="31">
    <w:p w:rsidR="00C713A2" w:rsidRPr="00CF5D67" w:rsidRDefault="00C713A2" w:rsidP="00CF5D67">
      <w:pPr>
        <w:pStyle w:val="FootnoteText"/>
        <w:jc w:val="both"/>
        <w:rPr>
          <w:rFonts w:ascii="Arial" w:hAnsi="Arial" w:cs="Arial"/>
          <w:lang w:val="en-GB"/>
        </w:rPr>
      </w:pPr>
      <w:r w:rsidRPr="00CF5D67">
        <w:rPr>
          <w:rStyle w:val="FootnoteReference"/>
          <w:rFonts w:ascii="Arial" w:hAnsi="Arial" w:cs="Arial"/>
        </w:rPr>
        <w:footnoteRef/>
      </w:r>
      <w:r w:rsidRPr="00CF5D67">
        <w:rPr>
          <w:rFonts w:ascii="Arial" w:hAnsi="Arial" w:cs="Arial"/>
        </w:rPr>
        <w:t xml:space="preserve"> </w:t>
      </w:r>
      <w:r w:rsidRPr="00CF5D67">
        <w:rPr>
          <w:rFonts w:ascii="Arial" w:hAnsi="Arial" w:cs="Arial"/>
          <w:lang w:val="en-GB"/>
        </w:rPr>
        <w:t xml:space="preserve">Generally see: </w:t>
      </w:r>
      <w:hyperlink r:id="rId3" w:history="1">
        <w:r w:rsidRPr="00CF5D67">
          <w:rPr>
            <w:rStyle w:val="Hyperlink"/>
            <w:rFonts w:ascii="Arial" w:hAnsi="Arial" w:cs="Arial"/>
            <w:lang w:val="en-GB"/>
          </w:rPr>
          <w:t>https://www.history.ac.uk/library/collections/economic-history</w:t>
        </w:r>
      </w:hyperlink>
      <w:r w:rsidRPr="00CF5D67">
        <w:rPr>
          <w:rFonts w:ascii="Arial" w:hAnsi="Arial" w:cs="Arial"/>
          <w:lang w:val="en-GB"/>
        </w:rPr>
        <w:t xml:space="preserve"> </w:t>
      </w:r>
    </w:p>
  </w:footnote>
  <w:footnote w:id="32">
    <w:p w:rsidR="00C713A2" w:rsidRPr="00CF5D67" w:rsidRDefault="00C713A2" w:rsidP="00CF5D67">
      <w:pPr>
        <w:pStyle w:val="FootnoteText"/>
        <w:jc w:val="both"/>
        <w:rPr>
          <w:rFonts w:ascii="Arial" w:hAnsi="Arial" w:cs="Arial"/>
          <w:lang w:val="en-GB"/>
        </w:rPr>
      </w:pPr>
      <w:r w:rsidRPr="00CF5D67">
        <w:rPr>
          <w:rStyle w:val="FootnoteReference"/>
          <w:rFonts w:ascii="Arial" w:hAnsi="Arial" w:cs="Arial"/>
        </w:rPr>
        <w:footnoteRef/>
      </w:r>
      <w:r w:rsidRPr="00CF5D67">
        <w:rPr>
          <w:rFonts w:ascii="Arial" w:hAnsi="Arial" w:cs="Arial"/>
        </w:rPr>
        <w:t xml:space="preserve"> See: Ashton, TS. </w:t>
      </w:r>
      <w:r w:rsidRPr="00CF5D67">
        <w:rPr>
          <w:rFonts w:ascii="Arial" w:hAnsi="Arial" w:cs="Arial"/>
          <w:i/>
        </w:rPr>
        <w:t>An Economic History of England – The Eighteen Century</w:t>
      </w:r>
      <w:r w:rsidRPr="00CF5D67">
        <w:rPr>
          <w:rFonts w:ascii="Arial" w:hAnsi="Arial" w:cs="Arial"/>
        </w:rPr>
        <w:t>. Routledge, London, 1955,</w:t>
      </w:r>
      <w:r w:rsidRPr="00CF5D67">
        <w:rPr>
          <w:rFonts w:ascii="Arial" w:hAnsi="Arial" w:cs="Arial"/>
          <w:lang w:val="en-GB"/>
        </w:rPr>
        <w:t xml:space="preserve"> p.228.</w:t>
      </w:r>
    </w:p>
  </w:footnote>
  <w:footnote w:id="33">
    <w:p w:rsidR="00C713A2" w:rsidRPr="00CF5D67" w:rsidRDefault="00C713A2" w:rsidP="0051391A">
      <w:pPr>
        <w:jc w:val="both"/>
        <w:rPr>
          <w:rFonts w:ascii="Arial" w:hAnsi="Arial" w:cs="Arial"/>
          <w:sz w:val="20"/>
          <w:szCs w:val="20"/>
          <w:lang w:val="en-GB"/>
        </w:rPr>
      </w:pPr>
      <w:r w:rsidRPr="00CF5D67">
        <w:rPr>
          <w:rStyle w:val="FootnoteReference"/>
          <w:rFonts w:ascii="Arial" w:hAnsi="Arial" w:cs="Arial"/>
          <w:sz w:val="20"/>
          <w:szCs w:val="20"/>
        </w:rPr>
        <w:footnoteRef/>
      </w:r>
      <w:r w:rsidRPr="00CF5D67">
        <w:rPr>
          <w:rFonts w:ascii="Arial" w:hAnsi="Arial" w:cs="Arial"/>
          <w:sz w:val="20"/>
          <w:szCs w:val="20"/>
        </w:rPr>
        <w:t xml:space="preserve"> </w:t>
      </w:r>
      <w:proofErr w:type="spellStart"/>
      <w:r w:rsidRPr="00CF5D67">
        <w:rPr>
          <w:rFonts w:ascii="Arial" w:hAnsi="Arial" w:cs="Arial"/>
          <w:sz w:val="20"/>
          <w:szCs w:val="20"/>
        </w:rPr>
        <w:t>Leng</w:t>
      </w:r>
      <w:proofErr w:type="spellEnd"/>
      <w:r w:rsidRPr="00CF5D67">
        <w:rPr>
          <w:rFonts w:ascii="Arial" w:hAnsi="Arial" w:cs="Arial"/>
          <w:sz w:val="20"/>
          <w:szCs w:val="20"/>
        </w:rPr>
        <w:t xml:space="preserve">, T. </w:t>
      </w:r>
      <w:r w:rsidRPr="00CF5D67">
        <w:rPr>
          <w:rFonts w:ascii="Arial" w:hAnsi="Arial" w:cs="Arial"/>
          <w:i/>
          <w:sz w:val="20"/>
          <w:szCs w:val="20"/>
        </w:rPr>
        <w:t>Commercial Conflict and Regulation in the discourse of trade in seventeenth century England</w:t>
      </w:r>
      <w:r w:rsidRPr="00CF5D67">
        <w:rPr>
          <w:rFonts w:ascii="Arial" w:hAnsi="Arial" w:cs="Arial"/>
          <w:sz w:val="20"/>
          <w:szCs w:val="20"/>
        </w:rPr>
        <w:t xml:space="preserve"> (2005) </w:t>
      </w:r>
      <w:r w:rsidRPr="00CF5D67">
        <w:rPr>
          <w:rFonts w:ascii="Arial" w:hAnsi="Arial" w:cs="Arial"/>
          <w:sz w:val="20"/>
          <w:szCs w:val="20"/>
          <w:lang w:val="en-GB"/>
        </w:rPr>
        <w:t>The Historical Journal, 2005, Vol.48(4), pp.933-954.</w:t>
      </w:r>
    </w:p>
  </w:footnote>
  <w:footnote w:id="34">
    <w:p w:rsidR="00C713A2" w:rsidRPr="00CF5D67" w:rsidRDefault="00C713A2" w:rsidP="00CF5D67">
      <w:pPr>
        <w:pStyle w:val="FootnoteText"/>
        <w:jc w:val="both"/>
        <w:rPr>
          <w:rFonts w:ascii="Arial" w:hAnsi="Arial" w:cs="Arial"/>
        </w:rPr>
      </w:pPr>
      <w:r w:rsidRPr="00CF5D67">
        <w:rPr>
          <w:rStyle w:val="FootnoteReference"/>
          <w:rFonts w:ascii="Arial" w:hAnsi="Arial" w:cs="Arial"/>
        </w:rPr>
        <w:footnoteRef/>
      </w:r>
      <w:r w:rsidRPr="00CF5D67">
        <w:rPr>
          <w:rFonts w:ascii="Arial" w:hAnsi="Arial" w:cs="Arial"/>
        </w:rPr>
        <w:t xml:space="preserve"> Erikson, E. </w:t>
      </w:r>
      <w:r w:rsidRPr="00CF5D67">
        <w:rPr>
          <w:rFonts w:ascii="Arial" w:hAnsi="Arial" w:cs="Arial"/>
          <w:i/>
        </w:rPr>
        <w:t xml:space="preserve">Between Monopoly and Free Trade: The English East India Company, 1600-1757 </w:t>
      </w:r>
      <w:r w:rsidRPr="00CF5D67">
        <w:rPr>
          <w:rFonts w:ascii="Arial" w:hAnsi="Arial" w:cs="Arial"/>
        </w:rPr>
        <w:t xml:space="preserve">(Princeton Analytical Sociology Series), 2016. See also: Pincus, S. </w:t>
      </w:r>
      <w:r w:rsidRPr="00CF5D67">
        <w:rPr>
          <w:rFonts w:ascii="Arial" w:hAnsi="Arial" w:cs="Arial"/>
          <w:i/>
        </w:rPr>
        <w:t xml:space="preserve">Rethinking Mercantilism: Political Economy, The British Empire and the Atlantic World in the 17th and 18th Centuries </w:t>
      </w:r>
      <w:r w:rsidRPr="00CF5D67">
        <w:rPr>
          <w:rFonts w:ascii="Arial" w:hAnsi="Arial" w:cs="Arial"/>
        </w:rPr>
        <w:t xml:space="preserve">(https://warwick.ac.uk/fac/arts/ren/projects/archive/newberry/collaborativeprogramme/ren-earlymod-communities/britishandamericanhistories/25march/session3reading/rethinkingmercantilism.pdf ). See also: </w:t>
      </w:r>
      <w:proofErr w:type="spellStart"/>
      <w:r w:rsidRPr="00CF5D67">
        <w:rPr>
          <w:rFonts w:ascii="Arial" w:hAnsi="Arial" w:cs="Arial"/>
        </w:rPr>
        <w:t>Daudin</w:t>
      </w:r>
      <w:proofErr w:type="spellEnd"/>
      <w:r w:rsidRPr="00CF5D67">
        <w:rPr>
          <w:rFonts w:ascii="Arial" w:hAnsi="Arial" w:cs="Arial"/>
        </w:rPr>
        <w:t xml:space="preserve">, G &amp; O’Rourke, KH &amp; </w:t>
      </w:r>
      <w:proofErr w:type="spellStart"/>
      <w:r w:rsidRPr="00CF5D67">
        <w:rPr>
          <w:rFonts w:ascii="Arial" w:hAnsi="Arial" w:cs="Arial"/>
        </w:rPr>
        <w:t>Prados</w:t>
      </w:r>
      <w:proofErr w:type="spellEnd"/>
      <w:r w:rsidRPr="00CF5D67">
        <w:rPr>
          <w:rFonts w:ascii="Arial" w:hAnsi="Arial" w:cs="Arial"/>
        </w:rPr>
        <w:t xml:space="preserve"> de la </w:t>
      </w:r>
      <w:proofErr w:type="spellStart"/>
      <w:r w:rsidRPr="00CF5D67">
        <w:rPr>
          <w:rFonts w:ascii="Arial" w:hAnsi="Arial" w:cs="Arial"/>
        </w:rPr>
        <w:t>Excsura</w:t>
      </w:r>
      <w:proofErr w:type="spellEnd"/>
      <w:r w:rsidRPr="00CF5D67">
        <w:rPr>
          <w:rFonts w:ascii="Arial" w:hAnsi="Arial" w:cs="Arial"/>
        </w:rPr>
        <w:t xml:space="preserve">, L. </w:t>
      </w:r>
      <w:r w:rsidRPr="00CF5D67">
        <w:rPr>
          <w:rFonts w:ascii="Arial" w:hAnsi="Arial" w:cs="Arial"/>
          <w:i/>
        </w:rPr>
        <w:t>Trade and Empire, 1700 – 1870, no. 2008 – 24, July 2008,</w:t>
      </w:r>
      <w:r w:rsidRPr="00CF5D67">
        <w:rPr>
          <w:rFonts w:ascii="Arial" w:hAnsi="Arial" w:cs="Arial"/>
        </w:rPr>
        <w:t xml:space="preserve"> (https://www.researchgate.net/publication/4849529_Trade_and_Empire_1700-1870)</w:t>
      </w:r>
    </w:p>
  </w:footnote>
  <w:footnote w:id="35">
    <w:p w:rsidR="00C713A2" w:rsidRPr="00D92A6C" w:rsidRDefault="00C713A2" w:rsidP="00D92A6C">
      <w:pPr>
        <w:pStyle w:val="FootnoteText"/>
        <w:jc w:val="both"/>
        <w:rPr>
          <w:rFonts w:ascii="Arial" w:hAnsi="Arial" w:cs="Arial"/>
        </w:rPr>
      </w:pPr>
      <w:r w:rsidRPr="00CF5D67">
        <w:rPr>
          <w:rStyle w:val="FootnoteReference"/>
          <w:rFonts w:ascii="Arial" w:hAnsi="Arial" w:cs="Arial"/>
        </w:rPr>
        <w:footnoteRef/>
      </w:r>
      <w:r w:rsidRPr="00CF5D67">
        <w:rPr>
          <w:rFonts w:ascii="Arial" w:hAnsi="Arial" w:cs="Arial"/>
        </w:rPr>
        <w:t xml:space="preserve"> Gijs, R. </w:t>
      </w:r>
      <w:r w:rsidRPr="00CF5D67">
        <w:rPr>
          <w:rFonts w:ascii="Arial" w:hAnsi="Arial" w:cs="Arial"/>
          <w:i/>
        </w:rPr>
        <w:t>The role of mercantilism in Anglo</w:t>
      </w:r>
      <w:r w:rsidRPr="00CF5D67">
        <w:rPr>
          <w:rFonts w:ascii="Cambria Math" w:hAnsi="Cambria Math" w:cs="Cambria Math"/>
          <w:i/>
        </w:rPr>
        <w:t>‐</w:t>
      </w:r>
      <w:r w:rsidRPr="00CF5D67">
        <w:rPr>
          <w:rFonts w:ascii="Arial" w:hAnsi="Arial" w:cs="Arial"/>
          <w:i/>
        </w:rPr>
        <w:t>Dutch political relations, 1650–74</w:t>
      </w:r>
      <w:r w:rsidRPr="00CF5D67">
        <w:rPr>
          <w:rFonts w:ascii="Arial" w:hAnsi="Arial" w:cs="Arial"/>
        </w:rPr>
        <w:t xml:space="preserve"> (2010) Economic History Review, August, Vol.63(3), pp.591-611. See also: Morgan, K. </w:t>
      </w:r>
      <w:r w:rsidRPr="00CF5D67">
        <w:rPr>
          <w:rFonts w:ascii="Arial" w:hAnsi="Arial" w:cs="Arial"/>
          <w:i/>
        </w:rPr>
        <w:t>Anglo Dutch Economic relations in the Atlantic World, 1688 – 1783</w:t>
      </w:r>
      <w:r w:rsidRPr="00CF5D67">
        <w:rPr>
          <w:rFonts w:ascii="Arial" w:hAnsi="Arial" w:cs="Arial"/>
        </w:rPr>
        <w:t xml:space="preserve"> (https://www.jstor.org/stable/10.1163/j.ctt1w8h3c9.11?seq=1#metadata_info_tab_contents). See also: </w:t>
      </w:r>
      <w:proofErr w:type="spellStart"/>
      <w:r w:rsidRPr="00CF5D67">
        <w:rPr>
          <w:rFonts w:ascii="Arial" w:hAnsi="Arial" w:cs="Arial"/>
        </w:rPr>
        <w:t>Koot</w:t>
      </w:r>
      <w:proofErr w:type="spellEnd"/>
      <w:r w:rsidRPr="00CF5D67">
        <w:rPr>
          <w:rFonts w:ascii="Arial" w:hAnsi="Arial" w:cs="Arial"/>
        </w:rPr>
        <w:t xml:space="preserve">, CJ. </w:t>
      </w:r>
      <w:r w:rsidRPr="00CF5D67">
        <w:rPr>
          <w:rFonts w:ascii="Arial" w:hAnsi="Arial" w:cs="Arial"/>
          <w:i/>
        </w:rPr>
        <w:t xml:space="preserve">Empire at the Periphery: British Colonists, Anglo-Dutch Trade, and the Development of the British Atlantic, 1621-1713. </w:t>
      </w:r>
      <w:r w:rsidRPr="00CF5D67">
        <w:rPr>
          <w:rFonts w:ascii="Arial" w:hAnsi="Arial" w:cs="Arial"/>
        </w:rPr>
        <w:t>2015.</w:t>
      </w:r>
      <w:r>
        <w:rPr>
          <w:rFonts w:ascii="Arial" w:hAnsi="Arial" w:cs="Arial"/>
        </w:rPr>
        <w:t xml:space="preserve"> See also: Palmer, SH (Ed). </w:t>
      </w:r>
      <w:r w:rsidRPr="00D92A6C">
        <w:rPr>
          <w:rFonts w:ascii="Arial" w:hAnsi="Arial" w:cs="Arial"/>
          <w:i/>
        </w:rPr>
        <w:t>Economic Arithmetic: A Guide to the Statistical Sources of English Commerce, Industry, and Finance, 1700-1850</w:t>
      </w:r>
      <w:r w:rsidRPr="00D92A6C">
        <w:rPr>
          <w:rFonts w:ascii="Arial" w:hAnsi="Arial" w:cs="Arial"/>
        </w:rPr>
        <w:t xml:space="preserve"> (Routledge Library Editions: The Industrial Revolution)  </w:t>
      </w:r>
      <w:r>
        <w:rPr>
          <w:rFonts w:ascii="Arial" w:hAnsi="Arial" w:cs="Arial"/>
        </w:rPr>
        <w:t xml:space="preserve"> </w:t>
      </w:r>
      <w:r w:rsidRPr="00D92A6C">
        <w:rPr>
          <w:rFonts w:ascii="Arial" w:hAnsi="Arial" w:cs="Arial"/>
        </w:rPr>
        <w:t>Nov 2018</w:t>
      </w:r>
      <w:r>
        <w:rPr>
          <w:rFonts w:ascii="Arial" w:hAnsi="Arial" w:cs="Arial"/>
        </w:rPr>
        <w:t>.</w:t>
      </w:r>
    </w:p>
  </w:footnote>
  <w:footnote w:id="36">
    <w:p w:rsidR="00C713A2" w:rsidRPr="00CF5D67" w:rsidRDefault="00C713A2" w:rsidP="00CF5D67">
      <w:pPr>
        <w:pStyle w:val="FootnoteText"/>
        <w:jc w:val="both"/>
        <w:rPr>
          <w:rFonts w:ascii="Arial" w:hAnsi="Arial" w:cs="Arial"/>
          <w:lang w:val="en-GB"/>
        </w:rPr>
      </w:pPr>
      <w:r w:rsidRPr="00CF5D67">
        <w:rPr>
          <w:rStyle w:val="FootnoteReference"/>
          <w:rFonts w:ascii="Arial" w:hAnsi="Arial" w:cs="Arial"/>
        </w:rPr>
        <w:footnoteRef/>
      </w:r>
      <w:r w:rsidRPr="00CF5D67">
        <w:rPr>
          <w:rFonts w:ascii="Arial" w:hAnsi="Arial" w:cs="Arial"/>
        </w:rPr>
        <w:t xml:space="preserve"> </w:t>
      </w:r>
      <w:r w:rsidRPr="00CF5D67">
        <w:rPr>
          <w:rFonts w:ascii="Arial" w:hAnsi="Arial" w:cs="Arial"/>
          <w:lang w:val="en-GB"/>
        </w:rPr>
        <w:t xml:space="preserve">See further: Jones, N.  </w:t>
      </w:r>
      <w:r w:rsidRPr="00CF5D67">
        <w:rPr>
          <w:rFonts w:ascii="Arial" w:hAnsi="Arial" w:cs="Arial"/>
          <w:i/>
          <w:lang w:val="en-GB"/>
        </w:rPr>
        <w:t>Bathurst, Henry, second Earl Bathurst (1714–1794), lord chancellor</w:t>
      </w:r>
      <w:r w:rsidRPr="00CF5D67">
        <w:rPr>
          <w:rFonts w:ascii="Arial" w:hAnsi="Arial" w:cs="Arial"/>
          <w:lang w:val="en-GB"/>
        </w:rPr>
        <w:t xml:space="preserve">. Oxford Dictionary of National Biography. Oxford University Press. 2008. (Hereafter </w:t>
      </w:r>
      <w:r w:rsidRPr="00CF5D67">
        <w:rPr>
          <w:rFonts w:ascii="Arial" w:hAnsi="Arial" w:cs="Arial"/>
          <w:i/>
          <w:lang w:val="en-GB"/>
        </w:rPr>
        <w:t>Jones ODNB</w:t>
      </w:r>
      <w:r w:rsidRPr="00CF5D67">
        <w:rPr>
          <w:rFonts w:ascii="Arial" w:hAnsi="Arial" w:cs="Arial"/>
          <w:lang w:val="en-GB"/>
        </w:rPr>
        <w:t>).</w:t>
      </w:r>
    </w:p>
  </w:footnote>
  <w:footnote w:id="37">
    <w:p w:rsidR="00C713A2" w:rsidRPr="00CF5D67" w:rsidRDefault="00C713A2" w:rsidP="00CF5D67">
      <w:pPr>
        <w:pStyle w:val="FootnoteText"/>
        <w:jc w:val="both"/>
        <w:rPr>
          <w:rFonts w:ascii="Arial" w:hAnsi="Arial" w:cs="Arial"/>
          <w:lang w:val="en-GB"/>
        </w:rPr>
      </w:pPr>
      <w:r w:rsidRPr="00CF5D67">
        <w:rPr>
          <w:rStyle w:val="FootnoteReference"/>
          <w:rFonts w:ascii="Arial" w:hAnsi="Arial" w:cs="Arial"/>
        </w:rPr>
        <w:footnoteRef/>
      </w:r>
      <w:r w:rsidRPr="00CF5D67">
        <w:rPr>
          <w:rFonts w:ascii="Arial" w:hAnsi="Arial" w:cs="Arial"/>
        </w:rPr>
        <w:t xml:space="preserve"> </w:t>
      </w:r>
      <w:r w:rsidRPr="00CF5D67">
        <w:rPr>
          <w:rFonts w:ascii="Arial" w:hAnsi="Arial" w:cs="Arial"/>
          <w:lang w:val="en-GB"/>
        </w:rPr>
        <w:t>Campbell has it as the 2</w:t>
      </w:r>
      <w:r w:rsidRPr="00CF5D67">
        <w:rPr>
          <w:rFonts w:ascii="Arial" w:hAnsi="Arial" w:cs="Arial"/>
          <w:vertAlign w:val="superscript"/>
          <w:lang w:val="en-GB"/>
        </w:rPr>
        <w:t>nd</w:t>
      </w:r>
      <w:r w:rsidRPr="00CF5D67">
        <w:rPr>
          <w:rFonts w:ascii="Arial" w:hAnsi="Arial" w:cs="Arial"/>
          <w:lang w:val="en-GB"/>
        </w:rPr>
        <w:t xml:space="preserve"> May 1714 (p.437)</w:t>
      </w:r>
    </w:p>
  </w:footnote>
  <w:footnote w:id="38">
    <w:p w:rsidR="00C713A2" w:rsidRPr="00CF5D67" w:rsidRDefault="00C713A2" w:rsidP="00CF5D67">
      <w:pPr>
        <w:pStyle w:val="FootnoteText"/>
        <w:jc w:val="both"/>
        <w:rPr>
          <w:rFonts w:ascii="Arial" w:hAnsi="Arial" w:cs="Arial"/>
          <w:lang w:val="en-GB"/>
        </w:rPr>
      </w:pPr>
      <w:r w:rsidRPr="00CF5D67">
        <w:rPr>
          <w:rStyle w:val="FootnoteReference"/>
          <w:rFonts w:ascii="Arial" w:hAnsi="Arial" w:cs="Arial"/>
        </w:rPr>
        <w:footnoteRef/>
      </w:r>
      <w:r w:rsidRPr="00CF5D67">
        <w:rPr>
          <w:rFonts w:ascii="Arial" w:hAnsi="Arial" w:cs="Arial"/>
        </w:rPr>
        <w:t xml:space="preserve"> </w:t>
      </w:r>
      <w:r w:rsidRPr="00CF5D67">
        <w:rPr>
          <w:rFonts w:ascii="Arial" w:hAnsi="Arial" w:cs="Arial"/>
          <w:lang w:val="en-GB"/>
        </w:rPr>
        <w:t xml:space="preserve">See: </w:t>
      </w:r>
      <w:proofErr w:type="spellStart"/>
      <w:r w:rsidRPr="00CF5D67">
        <w:rPr>
          <w:rFonts w:ascii="Arial" w:hAnsi="Arial" w:cs="Arial"/>
          <w:lang w:val="en-GB"/>
        </w:rPr>
        <w:t>Sainty</w:t>
      </w:r>
      <w:proofErr w:type="spellEnd"/>
      <w:r w:rsidRPr="00CF5D67">
        <w:rPr>
          <w:rFonts w:ascii="Arial" w:hAnsi="Arial" w:cs="Arial"/>
          <w:lang w:val="en-GB"/>
        </w:rPr>
        <w:t xml:space="preserve">, J. </w:t>
      </w:r>
      <w:r w:rsidRPr="00A16BDB">
        <w:rPr>
          <w:rFonts w:ascii="Arial" w:hAnsi="Arial" w:cs="Arial"/>
          <w:i/>
          <w:lang w:val="en-GB"/>
        </w:rPr>
        <w:t>A List of English Law Officers, King’s Counsel and Holders of Patents of Precedence</w:t>
      </w:r>
      <w:r w:rsidRPr="00CF5D67">
        <w:rPr>
          <w:rFonts w:ascii="Arial" w:hAnsi="Arial" w:cs="Arial"/>
          <w:lang w:val="en-GB"/>
        </w:rPr>
        <w:t>. Selden Society, London, 1987, p.93.</w:t>
      </w:r>
    </w:p>
  </w:footnote>
  <w:footnote w:id="39">
    <w:p w:rsidR="00C713A2" w:rsidRPr="00CF5D67" w:rsidRDefault="00C713A2" w:rsidP="00CF5D67">
      <w:pPr>
        <w:pStyle w:val="FootnoteText"/>
        <w:jc w:val="both"/>
        <w:rPr>
          <w:rFonts w:ascii="Arial" w:hAnsi="Arial" w:cs="Arial"/>
          <w:lang w:val="en-GB"/>
        </w:rPr>
      </w:pPr>
      <w:r w:rsidRPr="00CF5D67">
        <w:rPr>
          <w:rStyle w:val="FootnoteReference"/>
          <w:rFonts w:ascii="Arial" w:hAnsi="Arial" w:cs="Arial"/>
        </w:rPr>
        <w:footnoteRef/>
      </w:r>
      <w:r w:rsidRPr="00CF5D67">
        <w:rPr>
          <w:rFonts w:ascii="Arial" w:hAnsi="Arial" w:cs="Arial"/>
        </w:rPr>
        <w:t xml:space="preserve"> </w:t>
      </w:r>
      <w:r w:rsidRPr="00CF5D67">
        <w:rPr>
          <w:rFonts w:ascii="Arial" w:hAnsi="Arial" w:cs="Arial"/>
          <w:lang w:val="en-GB"/>
        </w:rPr>
        <w:t xml:space="preserve">See: </w:t>
      </w:r>
      <w:proofErr w:type="spellStart"/>
      <w:r w:rsidRPr="00CF5D67">
        <w:rPr>
          <w:rFonts w:ascii="Arial" w:hAnsi="Arial" w:cs="Arial"/>
          <w:lang w:val="en-GB"/>
        </w:rPr>
        <w:t>Sainty</w:t>
      </w:r>
      <w:proofErr w:type="spellEnd"/>
      <w:r w:rsidRPr="00CF5D67">
        <w:rPr>
          <w:rFonts w:ascii="Arial" w:hAnsi="Arial" w:cs="Arial"/>
          <w:lang w:val="en-GB"/>
        </w:rPr>
        <w:t xml:space="preserve">, J. </w:t>
      </w:r>
      <w:r w:rsidRPr="00CF5D67">
        <w:rPr>
          <w:rFonts w:ascii="Arial" w:hAnsi="Arial" w:cs="Arial"/>
          <w:i/>
          <w:lang w:val="en-GB"/>
        </w:rPr>
        <w:t>The Judges of England: 1272-1990</w:t>
      </w:r>
      <w:r w:rsidRPr="00CF5D67">
        <w:rPr>
          <w:rFonts w:ascii="Arial" w:hAnsi="Arial" w:cs="Arial"/>
          <w:lang w:val="en-GB"/>
        </w:rPr>
        <w:t xml:space="preserve">. Selden Society, London, p.81. (Hereafter </w:t>
      </w:r>
      <w:proofErr w:type="spellStart"/>
      <w:r w:rsidRPr="00CF5D67">
        <w:rPr>
          <w:rFonts w:ascii="Arial" w:hAnsi="Arial" w:cs="Arial"/>
          <w:i/>
          <w:lang w:val="en-GB"/>
        </w:rPr>
        <w:t>Sainty</w:t>
      </w:r>
      <w:proofErr w:type="spellEnd"/>
      <w:r w:rsidRPr="00CF5D67">
        <w:rPr>
          <w:rFonts w:ascii="Arial" w:hAnsi="Arial" w:cs="Arial"/>
          <w:i/>
          <w:lang w:val="en-GB"/>
        </w:rPr>
        <w:t xml:space="preserve"> Judges</w:t>
      </w:r>
      <w:r w:rsidRPr="00CF5D67">
        <w:rPr>
          <w:rFonts w:ascii="Arial" w:hAnsi="Arial" w:cs="Arial"/>
          <w:lang w:val="en-GB"/>
        </w:rPr>
        <w:t>).</w:t>
      </w:r>
    </w:p>
  </w:footnote>
  <w:footnote w:id="40">
    <w:p w:rsidR="00C713A2" w:rsidRPr="00CF5D67" w:rsidRDefault="00C713A2" w:rsidP="00CF5D67">
      <w:pPr>
        <w:pStyle w:val="FootnoteText"/>
        <w:jc w:val="both"/>
        <w:rPr>
          <w:rFonts w:ascii="Arial" w:hAnsi="Arial" w:cs="Arial"/>
          <w:lang w:val="en-GB"/>
        </w:rPr>
      </w:pPr>
      <w:r w:rsidRPr="00CF5D67">
        <w:rPr>
          <w:rStyle w:val="FootnoteReference"/>
          <w:rFonts w:ascii="Arial" w:hAnsi="Arial" w:cs="Arial"/>
        </w:rPr>
        <w:footnoteRef/>
      </w:r>
      <w:r w:rsidRPr="00CF5D67">
        <w:rPr>
          <w:rFonts w:ascii="Arial" w:hAnsi="Arial" w:cs="Arial"/>
        </w:rPr>
        <w:t xml:space="preserve"> </w:t>
      </w:r>
      <w:r>
        <w:rPr>
          <w:rFonts w:ascii="Arial" w:hAnsi="Arial" w:cs="Arial"/>
        </w:rPr>
        <w:t xml:space="preserve">Thomas, P. </w:t>
      </w:r>
      <w:r w:rsidRPr="006D229C">
        <w:rPr>
          <w:rFonts w:ascii="Arial" w:hAnsi="Arial" w:cs="Arial"/>
          <w:i/>
        </w:rPr>
        <w:t>Yorke, Philip, first earl of Hardwicke (1690–1764), lord chancellor</w:t>
      </w:r>
      <w:r w:rsidRPr="006D229C">
        <w:rPr>
          <w:rFonts w:ascii="Arial" w:hAnsi="Arial" w:cs="Arial"/>
        </w:rPr>
        <w:t>. Oxford Dictionary of National Biography. Ed.</w:t>
      </w:r>
      <w:r>
        <w:rPr>
          <w:rFonts w:ascii="Arial" w:hAnsi="Arial" w:cs="Arial"/>
        </w:rPr>
        <w:t xml:space="preserve"> 2007.</w:t>
      </w:r>
    </w:p>
  </w:footnote>
  <w:footnote w:id="41">
    <w:p w:rsidR="00C713A2" w:rsidRPr="00CF5D67" w:rsidRDefault="00C713A2" w:rsidP="00CF5D67">
      <w:pPr>
        <w:pStyle w:val="FootnoteText"/>
        <w:jc w:val="both"/>
        <w:rPr>
          <w:rFonts w:ascii="Arial" w:hAnsi="Arial" w:cs="Arial"/>
          <w:lang w:val="en-GB"/>
        </w:rPr>
      </w:pPr>
      <w:r w:rsidRPr="00CF5D67">
        <w:rPr>
          <w:rStyle w:val="FootnoteReference"/>
          <w:rFonts w:ascii="Arial" w:hAnsi="Arial" w:cs="Arial"/>
        </w:rPr>
        <w:footnoteRef/>
      </w:r>
      <w:r w:rsidRPr="00CF5D67">
        <w:rPr>
          <w:rFonts w:ascii="Arial" w:hAnsi="Arial" w:cs="Arial"/>
        </w:rPr>
        <w:t xml:space="preserve"> </w:t>
      </w:r>
      <w:r w:rsidRPr="00CF5D67">
        <w:rPr>
          <w:rFonts w:ascii="Arial" w:hAnsi="Arial" w:cs="Arial"/>
          <w:i/>
          <w:lang w:val="en-GB"/>
        </w:rPr>
        <w:t>Jones ODNB.</w:t>
      </w:r>
    </w:p>
  </w:footnote>
  <w:footnote w:id="42">
    <w:p w:rsidR="00C713A2" w:rsidRPr="00CF5D67" w:rsidRDefault="00C713A2" w:rsidP="00CF5D67">
      <w:pPr>
        <w:jc w:val="both"/>
        <w:rPr>
          <w:rFonts w:ascii="Arial" w:hAnsi="Arial" w:cs="Arial"/>
          <w:sz w:val="20"/>
          <w:szCs w:val="20"/>
          <w:lang w:val="en-GB"/>
        </w:rPr>
      </w:pPr>
      <w:r w:rsidRPr="00CF5D67">
        <w:rPr>
          <w:rStyle w:val="FootnoteReference"/>
          <w:rFonts w:ascii="Arial" w:hAnsi="Arial" w:cs="Arial"/>
          <w:sz w:val="20"/>
          <w:szCs w:val="20"/>
        </w:rPr>
        <w:footnoteRef/>
      </w:r>
      <w:r w:rsidRPr="00CF5D67">
        <w:rPr>
          <w:rFonts w:ascii="Arial" w:hAnsi="Arial" w:cs="Arial"/>
          <w:sz w:val="20"/>
          <w:szCs w:val="20"/>
        </w:rPr>
        <w:t xml:space="preserve"> </w:t>
      </w:r>
      <w:r w:rsidRPr="00CF5D67">
        <w:rPr>
          <w:rFonts w:ascii="Arial" w:hAnsi="Arial" w:cs="Arial"/>
          <w:color w:val="FF0000"/>
          <w:sz w:val="20"/>
          <w:szCs w:val="20"/>
          <w:lang w:val="en-GB"/>
        </w:rPr>
        <w:t xml:space="preserve">Note about </w:t>
      </w:r>
      <w:proofErr w:type="spellStart"/>
      <w:r w:rsidRPr="00CF5D67">
        <w:rPr>
          <w:rFonts w:ascii="Arial" w:hAnsi="Arial" w:cs="Arial"/>
          <w:color w:val="FF0000"/>
          <w:sz w:val="20"/>
          <w:szCs w:val="20"/>
          <w:lang w:val="en-GB"/>
        </w:rPr>
        <w:t>apsley</w:t>
      </w:r>
      <w:proofErr w:type="spellEnd"/>
      <w:r w:rsidRPr="00CF5D67">
        <w:rPr>
          <w:rFonts w:ascii="Arial" w:hAnsi="Arial" w:cs="Arial"/>
          <w:color w:val="FF0000"/>
          <w:sz w:val="20"/>
          <w:szCs w:val="20"/>
          <w:lang w:val="en-GB"/>
        </w:rPr>
        <w:t xml:space="preserve"> house, no.1 London. Bathurst had a </w:t>
      </w:r>
      <w:proofErr w:type="spellStart"/>
      <w:r w:rsidRPr="00CF5D67">
        <w:rPr>
          <w:rFonts w:ascii="Arial" w:hAnsi="Arial" w:cs="Arial"/>
          <w:color w:val="FF0000"/>
          <w:sz w:val="20"/>
          <w:szCs w:val="20"/>
          <w:lang w:val="en-GB"/>
        </w:rPr>
        <w:t>houdse</w:t>
      </w:r>
      <w:proofErr w:type="spellEnd"/>
      <w:r w:rsidRPr="00CF5D67">
        <w:rPr>
          <w:rFonts w:ascii="Arial" w:hAnsi="Arial" w:cs="Arial"/>
          <w:color w:val="FF0000"/>
          <w:sz w:val="20"/>
          <w:szCs w:val="20"/>
          <w:lang w:val="en-GB"/>
        </w:rPr>
        <w:t xml:space="preserve"> in Dean Street at the time of his elevation to the woolsack.</w:t>
      </w:r>
    </w:p>
  </w:footnote>
  <w:footnote w:id="43">
    <w:p w:rsidR="00C713A2" w:rsidRPr="00CF5D67" w:rsidRDefault="00C713A2" w:rsidP="00CF5D67">
      <w:pPr>
        <w:pStyle w:val="FootnoteText"/>
        <w:jc w:val="both"/>
        <w:rPr>
          <w:rFonts w:ascii="Arial" w:hAnsi="Arial" w:cs="Arial"/>
          <w:lang w:val="en-GB"/>
        </w:rPr>
      </w:pPr>
      <w:r w:rsidRPr="00CF5D67">
        <w:rPr>
          <w:rStyle w:val="FootnoteReference"/>
          <w:rFonts w:ascii="Arial" w:hAnsi="Arial" w:cs="Arial"/>
        </w:rPr>
        <w:footnoteRef/>
      </w:r>
      <w:r w:rsidRPr="00CF5D67">
        <w:rPr>
          <w:rFonts w:ascii="Arial" w:hAnsi="Arial" w:cs="Arial"/>
        </w:rPr>
        <w:t xml:space="preserve"> </w:t>
      </w:r>
      <w:proofErr w:type="spellStart"/>
      <w:r w:rsidRPr="00CF5D67">
        <w:rPr>
          <w:rFonts w:ascii="Arial" w:hAnsi="Arial" w:cs="Arial"/>
          <w:i/>
          <w:lang w:val="en-GB"/>
        </w:rPr>
        <w:t>Sainty</w:t>
      </w:r>
      <w:proofErr w:type="spellEnd"/>
      <w:r w:rsidRPr="00CF5D67">
        <w:rPr>
          <w:rFonts w:ascii="Arial" w:hAnsi="Arial" w:cs="Arial"/>
          <w:i/>
          <w:lang w:val="en-GB"/>
        </w:rPr>
        <w:t xml:space="preserve"> Judges</w:t>
      </w:r>
      <w:r w:rsidRPr="00CF5D67">
        <w:rPr>
          <w:rFonts w:ascii="Arial" w:hAnsi="Arial" w:cs="Arial"/>
          <w:lang w:val="en-GB"/>
        </w:rPr>
        <w:t xml:space="preserve">, p.81. </w:t>
      </w:r>
    </w:p>
  </w:footnote>
  <w:footnote w:id="44">
    <w:p w:rsidR="00C713A2" w:rsidRPr="00CF5D67" w:rsidRDefault="00C713A2" w:rsidP="00CF5D67">
      <w:pPr>
        <w:pStyle w:val="FootnoteText"/>
        <w:jc w:val="both"/>
        <w:rPr>
          <w:rFonts w:ascii="Arial" w:hAnsi="Arial" w:cs="Arial"/>
          <w:color w:val="000000" w:themeColor="text1"/>
          <w:lang w:val="en-GB"/>
        </w:rPr>
      </w:pPr>
      <w:r w:rsidRPr="00CF5D67">
        <w:rPr>
          <w:rStyle w:val="FootnoteReference"/>
          <w:rFonts w:ascii="Arial" w:hAnsi="Arial" w:cs="Arial"/>
          <w:color w:val="000000" w:themeColor="text1"/>
        </w:rPr>
        <w:footnoteRef/>
      </w:r>
      <w:r w:rsidRPr="00CF5D67">
        <w:rPr>
          <w:rFonts w:ascii="Arial" w:hAnsi="Arial" w:cs="Arial"/>
          <w:color w:val="000000" w:themeColor="text1"/>
        </w:rPr>
        <w:t xml:space="preserve"> </w:t>
      </w:r>
      <w:r w:rsidRPr="00CF5D67">
        <w:rPr>
          <w:rFonts w:ascii="Arial" w:hAnsi="Arial" w:cs="Arial"/>
          <w:color w:val="000000" w:themeColor="text1"/>
          <w:lang w:val="en-GB"/>
        </w:rPr>
        <w:t xml:space="preserve">See: </w:t>
      </w:r>
      <w:r w:rsidRPr="00CF5D67">
        <w:rPr>
          <w:rFonts w:ascii="Arial" w:hAnsi="Arial" w:cs="Arial"/>
          <w:i/>
          <w:color w:val="000000" w:themeColor="text1"/>
          <w:lang w:val="en-GB"/>
        </w:rPr>
        <w:t>Papers concerning law suit brought by Lord Bathurst (as trustee) v. Robert Warburton, former master, bankrupt.</w:t>
      </w:r>
      <w:r w:rsidRPr="00CF5D67">
        <w:rPr>
          <w:rFonts w:ascii="Arial" w:hAnsi="Arial" w:cs="Arial"/>
          <w:color w:val="000000" w:themeColor="text1"/>
          <w:lang w:val="en-GB"/>
        </w:rPr>
        <w:t xml:space="preserve"> 1787-1788. </w:t>
      </w:r>
    </w:p>
  </w:footnote>
  <w:footnote w:id="45">
    <w:p w:rsidR="00C713A2" w:rsidRPr="00CF5D67" w:rsidRDefault="00C713A2" w:rsidP="00CF5D67">
      <w:pPr>
        <w:pStyle w:val="FootnoteText"/>
        <w:jc w:val="both"/>
        <w:rPr>
          <w:rFonts w:ascii="Arial" w:hAnsi="Arial" w:cs="Arial"/>
          <w:color w:val="000000" w:themeColor="text1"/>
          <w:lang w:val="en-GB"/>
        </w:rPr>
      </w:pPr>
      <w:r w:rsidRPr="00CF5D67">
        <w:rPr>
          <w:rStyle w:val="FootnoteReference"/>
          <w:rFonts w:ascii="Arial" w:hAnsi="Arial" w:cs="Arial"/>
          <w:color w:val="000000" w:themeColor="text1"/>
        </w:rPr>
        <w:footnoteRef/>
      </w:r>
      <w:r w:rsidRPr="00CF5D67">
        <w:rPr>
          <w:rFonts w:ascii="Arial" w:hAnsi="Arial" w:cs="Arial"/>
          <w:color w:val="000000" w:themeColor="text1"/>
        </w:rPr>
        <w:t xml:space="preserve"> </w:t>
      </w:r>
      <w:r w:rsidRPr="00CF5D67">
        <w:rPr>
          <w:rFonts w:ascii="Arial" w:hAnsi="Arial" w:cs="Arial"/>
          <w:i/>
          <w:color w:val="000000" w:themeColor="text1"/>
          <w:lang w:val="en-GB"/>
        </w:rPr>
        <w:t>Jones ODNB.</w:t>
      </w:r>
    </w:p>
  </w:footnote>
  <w:footnote w:id="46">
    <w:p w:rsidR="00C713A2" w:rsidRPr="00CF5D67" w:rsidRDefault="00C713A2" w:rsidP="00CF5D67">
      <w:pPr>
        <w:pStyle w:val="FootnoteText"/>
        <w:jc w:val="both"/>
        <w:rPr>
          <w:rFonts w:ascii="Arial" w:hAnsi="Arial" w:cs="Arial"/>
          <w:lang w:val="en-GB"/>
        </w:rPr>
      </w:pPr>
      <w:r w:rsidRPr="00CF5D67">
        <w:rPr>
          <w:rStyle w:val="FootnoteReference"/>
          <w:rFonts w:ascii="Arial" w:hAnsi="Arial" w:cs="Arial"/>
          <w:color w:val="000000" w:themeColor="text1"/>
        </w:rPr>
        <w:footnoteRef/>
      </w:r>
      <w:r w:rsidRPr="00CF5D67">
        <w:rPr>
          <w:rFonts w:ascii="Arial" w:hAnsi="Arial" w:cs="Arial"/>
          <w:color w:val="000000" w:themeColor="text1"/>
        </w:rPr>
        <w:t xml:space="preserve"> </w:t>
      </w:r>
      <w:r w:rsidRPr="00CF5D67">
        <w:rPr>
          <w:rFonts w:ascii="Arial" w:hAnsi="Arial" w:cs="Arial"/>
          <w:color w:val="000000" w:themeColor="text1"/>
          <w:lang w:val="en-GB"/>
        </w:rPr>
        <w:t xml:space="preserve">Campbell, J. </w:t>
      </w:r>
      <w:r w:rsidRPr="00CF5D67">
        <w:rPr>
          <w:rFonts w:ascii="Arial" w:hAnsi="Arial" w:cs="Arial"/>
          <w:i/>
          <w:color w:val="000000" w:themeColor="text1"/>
          <w:lang w:val="en-GB"/>
        </w:rPr>
        <w:t>The Lives of the Lord Chancellors and Keepers of the Great Seal of England, from the earliest times till the reign of King George IV</w:t>
      </w:r>
      <w:r w:rsidRPr="00CF5D67">
        <w:rPr>
          <w:rFonts w:ascii="Arial" w:hAnsi="Arial" w:cs="Arial"/>
          <w:color w:val="000000" w:themeColor="text1"/>
          <w:lang w:val="en-GB"/>
        </w:rPr>
        <w:t xml:space="preserve">. John Murray, London, 1846, vol.5, </w:t>
      </w:r>
      <w:r w:rsidRPr="00CF5D67">
        <w:rPr>
          <w:rFonts w:ascii="Arial" w:hAnsi="Arial" w:cs="Arial"/>
          <w:color w:val="FF0000"/>
          <w:lang w:val="en-GB"/>
        </w:rPr>
        <w:t xml:space="preserve">page XX </w:t>
      </w:r>
      <w:r w:rsidRPr="00CF5D67">
        <w:rPr>
          <w:rFonts w:ascii="Arial" w:hAnsi="Arial" w:cs="Arial"/>
          <w:color w:val="000000" w:themeColor="text1"/>
          <w:lang w:val="en-GB"/>
        </w:rPr>
        <w:t xml:space="preserve">(Hereafter </w:t>
      </w:r>
      <w:r w:rsidRPr="00CF5D67">
        <w:rPr>
          <w:rFonts w:ascii="Arial" w:hAnsi="Arial" w:cs="Arial"/>
          <w:i/>
          <w:color w:val="000000" w:themeColor="text1"/>
          <w:lang w:val="en-GB"/>
        </w:rPr>
        <w:t>Campbell Lives</w:t>
      </w:r>
      <w:r w:rsidRPr="00CF5D67">
        <w:rPr>
          <w:rFonts w:ascii="Arial" w:hAnsi="Arial" w:cs="Arial"/>
          <w:color w:val="000000" w:themeColor="text1"/>
          <w:lang w:val="en-GB"/>
        </w:rPr>
        <w:t xml:space="preserve">). With more than a touch of inconsistency Campbell goes on to note, “The Chancery galley was less unsteady than when three unskilful pilots were employed at the helm.” (see </w:t>
      </w:r>
      <w:proofErr w:type="spellStart"/>
      <w:r w:rsidRPr="00CF5D67">
        <w:rPr>
          <w:rFonts w:ascii="Arial" w:hAnsi="Arial" w:cs="Arial"/>
          <w:color w:val="000000" w:themeColor="text1"/>
          <w:lang w:val="en-GB"/>
        </w:rPr>
        <w:t>vol.V</w:t>
      </w:r>
      <w:proofErr w:type="spellEnd"/>
      <w:r w:rsidRPr="00CF5D67">
        <w:rPr>
          <w:rFonts w:ascii="Arial" w:hAnsi="Arial" w:cs="Arial"/>
          <w:color w:val="000000" w:themeColor="text1"/>
          <w:lang w:val="en-GB"/>
        </w:rPr>
        <w:t>, p.448).</w:t>
      </w:r>
    </w:p>
  </w:footnote>
  <w:footnote w:id="47">
    <w:p w:rsidR="00C713A2" w:rsidRPr="00CF5D67" w:rsidRDefault="00C713A2" w:rsidP="00CF5D67">
      <w:pPr>
        <w:pStyle w:val="FootnoteText"/>
        <w:jc w:val="both"/>
        <w:rPr>
          <w:rFonts w:ascii="Arial" w:hAnsi="Arial" w:cs="Arial"/>
          <w:lang w:val="en-GB"/>
        </w:rPr>
      </w:pPr>
      <w:r w:rsidRPr="00CF5D67">
        <w:rPr>
          <w:rStyle w:val="FootnoteReference"/>
          <w:rFonts w:ascii="Arial" w:hAnsi="Arial" w:cs="Arial"/>
        </w:rPr>
        <w:footnoteRef/>
      </w:r>
      <w:r w:rsidRPr="00CF5D67">
        <w:rPr>
          <w:rFonts w:ascii="Arial" w:hAnsi="Arial" w:cs="Arial"/>
        </w:rPr>
        <w:t xml:space="preserve"> </w:t>
      </w:r>
      <w:r w:rsidRPr="00CF5D67">
        <w:rPr>
          <w:rFonts w:ascii="Arial" w:hAnsi="Arial" w:cs="Arial"/>
          <w:lang w:val="en-GB"/>
        </w:rPr>
        <w:t xml:space="preserve">For example Campbell notes, “I know not, and I must own I have not taken much pains to ascertain at what school he [Bathurst] was educated. He probably passed through it with little flogging and little distinction.” This is pure speculation which could have easily be cleared up in Campbell’s time not least as Bathurst attended Eton. See </w:t>
      </w:r>
      <w:r w:rsidRPr="00CF5D67">
        <w:rPr>
          <w:rFonts w:ascii="Arial" w:hAnsi="Arial" w:cs="Arial"/>
          <w:i/>
          <w:lang w:val="en-GB"/>
        </w:rPr>
        <w:t>Campbell Lives</w:t>
      </w:r>
      <w:r w:rsidRPr="00CF5D67">
        <w:rPr>
          <w:rFonts w:ascii="Arial" w:hAnsi="Arial" w:cs="Arial"/>
          <w:lang w:val="en-GB"/>
        </w:rPr>
        <w:t xml:space="preserve">, p.437. Campbell also noted that, “Lord Chancellor Bathurst made no attempt to amend the law, or to reform the abuses of the Court of Chancery. </w:t>
      </w:r>
    </w:p>
    <w:p w:rsidR="00C713A2" w:rsidRPr="00CF5D67" w:rsidRDefault="00C713A2" w:rsidP="00CF5D67">
      <w:pPr>
        <w:pStyle w:val="FootnoteText"/>
        <w:jc w:val="both"/>
        <w:rPr>
          <w:rFonts w:ascii="Arial" w:hAnsi="Arial" w:cs="Arial"/>
          <w:lang w:val="en-GB"/>
        </w:rPr>
      </w:pPr>
      <w:r w:rsidRPr="00CF5D67">
        <w:rPr>
          <w:rFonts w:ascii="Arial" w:hAnsi="Arial" w:cs="Arial"/>
          <w:color w:val="FF0000"/>
          <w:lang w:val="en-GB"/>
        </w:rPr>
        <w:t xml:space="preserve">Jones has </w:t>
      </w:r>
      <w:proofErr w:type="spellStart"/>
      <w:r w:rsidRPr="00CF5D67">
        <w:rPr>
          <w:rFonts w:ascii="Arial" w:hAnsi="Arial" w:cs="Arial"/>
          <w:color w:val="FF0000"/>
          <w:lang w:val="en-GB"/>
        </w:rPr>
        <w:t>show</w:t>
      </w:r>
      <w:proofErr w:type="spellEnd"/>
      <w:r w:rsidRPr="00CF5D67">
        <w:rPr>
          <w:rFonts w:ascii="Arial" w:hAnsi="Arial" w:cs="Arial"/>
          <w:color w:val="FF0000"/>
          <w:lang w:val="en-GB"/>
        </w:rPr>
        <w:t xml:space="preserve"> that in fact…ODNB examples of law reform??</w:t>
      </w:r>
    </w:p>
  </w:footnote>
  <w:footnote w:id="48">
    <w:p w:rsidR="00C713A2" w:rsidRPr="00CF5D67" w:rsidRDefault="00C713A2" w:rsidP="00CF5D67">
      <w:pPr>
        <w:pStyle w:val="FootnoteText"/>
        <w:jc w:val="both"/>
        <w:rPr>
          <w:rFonts w:ascii="Arial" w:hAnsi="Arial" w:cs="Arial"/>
          <w:lang w:val="en-GB"/>
        </w:rPr>
      </w:pPr>
      <w:r w:rsidRPr="00CF5D67">
        <w:rPr>
          <w:rStyle w:val="FootnoteReference"/>
          <w:rFonts w:ascii="Arial" w:hAnsi="Arial" w:cs="Arial"/>
        </w:rPr>
        <w:footnoteRef/>
      </w:r>
      <w:r w:rsidRPr="00CF5D67">
        <w:rPr>
          <w:rFonts w:ascii="Arial" w:hAnsi="Arial" w:cs="Arial"/>
        </w:rPr>
        <w:t xml:space="preserve"> </w:t>
      </w:r>
      <w:r w:rsidRPr="00CF5D67">
        <w:rPr>
          <w:rFonts w:ascii="Arial" w:hAnsi="Arial" w:cs="Arial"/>
          <w:i/>
          <w:lang w:val="en-GB"/>
        </w:rPr>
        <w:t>Campbell Lives</w:t>
      </w:r>
      <w:r w:rsidRPr="00CF5D67">
        <w:rPr>
          <w:rFonts w:ascii="Arial" w:hAnsi="Arial" w:cs="Arial"/>
          <w:lang w:val="en-GB"/>
        </w:rPr>
        <w:t>, p.432.</w:t>
      </w:r>
    </w:p>
  </w:footnote>
  <w:footnote w:id="49">
    <w:p w:rsidR="00C713A2" w:rsidRPr="00CF5D67" w:rsidRDefault="00C713A2" w:rsidP="00CF5D67">
      <w:pPr>
        <w:pStyle w:val="FootnoteText"/>
        <w:jc w:val="both"/>
        <w:rPr>
          <w:rFonts w:ascii="Arial" w:hAnsi="Arial" w:cs="Arial"/>
          <w:lang w:val="en-GB"/>
        </w:rPr>
      </w:pPr>
      <w:r w:rsidRPr="00CF5D67">
        <w:rPr>
          <w:rStyle w:val="FootnoteReference"/>
          <w:rFonts w:ascii="Arial" w:hAnsi="Arial" w:cs="Arial"/>
        </w:rPr>
        <w:footnoteRef/>
      </w:r>
      <w:r w:rsidRPr="00CF5D67">
        <w:rPr>
          <w:rFonts w:ascii="Arial" w:hAnsi="Arial" w:cs="Arial"/>
        </w:rPr>
        <w:t xml:space="preserve"> </w:t>
      </w:r>
      <w:r w:rsidRPr="00CF5D67">
        <w:rPr>
          <w:rFonts w:ascii="Arial" w:hAnsi="Arial" w:cs="Arial"/>
          <w:i/>
        </w:rPr>
        <w:t>Campbell Lives,</w:t>
      </w:r>
      <w:r w:rsidRPr="00CF5D67">
        <w:rPr>
          <w:rFonts w:ascii="Arial" w:hAnsi="Arial" w:cs="Arial"/>
        </w:rPr>
        <w:t xml:space="preserve"> </w:t>
      </w:r>
      <w:r w:rsidRPr="00CF5D67">
        <w:rPr>
          <w:rFonts w:ascii="Arial" w:hAnsi="Arial" w:cs="Arial"/>
          <w:lang w:val="en-GB"/>
        </w:rPr>
        <w:t>p.437.</w:t>
      </w:r>
    </w:p>
  </w:footnote>
  <w:footnote w:id="50">
    <w:p w:rsidR="00C713A2" w:rsidRPr="00CF5D67" w:rsidRDefault="00C713A2" w:rsidP="00CF5D67">
      <w:pPr>
        <w:pStyle w:val="FootnoteText"/>
        <w:jc w:val="both"/>
        <w:rPr>
          <w:rFonts w:ascii="Arial" w:hAnsi="Arial" w:cs="Arial"/>
          <w:lang w:val="en-GB"/>
        </w:rPr>
      </w:pPr>
      <w:r w:rsidRPr="00CF5D67">
        <w:rPr>
          <w:rStyle w:val="FootnoteReference"/>
          <w:rFonts w:ascii="Arial" w:hAnsi="Arial" w:cs="Arial"/>
        </w:rPr>
        <w:footnoteRef/>
      </w:r>
      <w:r w:rsidRPr="00CF5D67">
        <w:rPr>
          <w:rFonts w:ascii="Arial" w:hAnsi="Arial" w:cs="Arial"/>
        </w:rPr>
        <w:t xml:space="preserve"> </w:t>
      </w:r>
      <w:r w:rsidRPr="00CF5D67">
        <w:rPr>
          <w:rFonts w:ascii="Arial" w:hAnsi="Arial" w:cs="Arial"/>
          <w:i/>
          <w:lang w:val="en-GB"/>
        </w:rPr>
        <w:t>Campbell Lives</w:t>
      </w:r>
      <w:r w:rsidRPr="00CF5D67">
        <w:rPr>
          <w:rFonts w:ascii="Arial" w:hAnsi="Arial" w:cs="Arial"/>
          <w:lang w:val="en-GB"/>
        </w:rPr>
        <w:t>, p. 445.</w:t>
      </w:r>
    </w:p>
  </w:footnote>
  <w:footnote w:id="51">
    <w:p w:rsidR="00C713A2" w:rsidRPr="00CF5D67" w:rsidRDefault="00C713A2" w:rsidP="00CF5D67">
      <w:pPr>
        <w:pStyle w:val="FootnoteText"/>
        <w:jc w:val="both"/>
        <w:rPr>
          <w:rFonts w:ascii="Arial" w:hAnsi="Arial" w:cs="Arial"/>
          <w:lang w:val="en-GB"/>
        </w:rPr>
      </w:pPr>
      <w:r w:rsidRPr="00CF5D67">
        <w:rPr>
          <w:rStyle w:val="FootnoteReference"/>
          <w:rFonts w:ascii="Arial" w:hAnsi="Arial" w:cs="Arial"/>
        </w:rPr>
        <w:footnoteRef/>
      </w:r>
      <w:r w:rsidRPr="00CF5D67">
        <w:rPr>
          <w:rFonts w:ascii="Arial" w:hAnsi="Arial" w:cs="Arial"/>
        </w:rPr>
        <w:t xml:space="preserve"> </w:t>
      </w:r>
      <w:r w:rsidRPr="00CF5D67">
        <w:rPr>
          <w:rFonts w:ascii="Arial" w:hAnsi="Arial" w:cs="Arial"/>
          <w:i/>
          <w:lang w:val="en-GB"/>
        </w:rPr>
        <w:t>Campbell Lives</w:t>
      </w:r>
      <w:r w:rsidRPr="00CF5D67">
        <w:rPr>
          <w:rFonts w:ascii="Arial" w:hAnsi="Arial" w:cs="Arial"/>
          <w:lang w:val="en-GB"/>
        </w:rPr>
        <w:t>, p.463.</w:t>
      </w:r>
    </w:p>
  </w:footnote>
  <w:footnote w:id="52">
    <w:p w:rsidR="00C713A2" w:rsidRPr="00CF5D67" w:rsidRDefault="00C713A2" w:rsidP="00CF5D67">
      <w:pPr>
        <w:pStyle w:val="FootnoteText"/>
        <w:jc w:val="both"/>
        <w:rPr>
          <w:rFonts w:ascii="Arial" w:hAnsi="Arial" w:cs="Arial"/>
          <w:lang w:val="en-GB"/>
        </w:rPr>
      </w:pPr>
      <w:r w:rsidRPr="00CF5D67">
        <w:rPr>
          <w:rStyle w:val="FootnoteReference"/>
          <w:rFonts w:ascii="Arial" w:hAnsi="Arial" w:cs="Arial"/>
        </w:rPr>
        <w:footnoteRef/>
      </w:r>
      <w:r w:rsidRPr="00CF5D67">
        <w:rPr>
          <w:rFonts w:ascii="Arial" w:hAnsi="Arial" w:cs="Arial"/>
        </w:rPr>
        <w:t xml:space="preserve"> </w:t>
      </w:r>
      <w:r w:rsidRPr="00CF5D67">
        <w:rPr>
          <w:rFonts w:ascii="Arial" w:hAnsi="Arial" w:cs="Arial"/>
          <w:i/>
          <w:lang w:val="en-GB"/>
        </w:rPr>
        <w:t>Campbell Lives</w:t>
      </w:r>
      <w:r w:rsidRPr="00CF5D67">
        <w:rPr>
          <w:rFonts w:ascii="Arial" w:hAnsi="Arial" w:cs="Arial"/>
          <w:lang w:val="en-GB"/>
        </w:rPr>
        <w:t>, p.432.</w:t>
      </w:r>
    </w:p>
  </w:footnote>
  <w:footnote w:id="53">
    <w:p w:rsidR="00C713A2" w:rsidRPr="00CF5D67" w:rsidRDefault="00C713A2" w:rsidP="00CF5D67">
      <w:pPr>
        <w:pStyle w:val="FootnoteText"/>
        <w:jc w:val="both"/>
        <w:rPr>
          <w:rFonts w:ascii="Arial" w:hAnsi="Arial" w:cs="Arial"/>
          <w:lang w:val="en-GB"/>
        </w:rPr>
      </w:pPr>
      <w:r w:rsidRPr="00CF5D67">
        <w:rPr>
          <w:rStyle w:val="FootnoteReference"/>
          <w:rFonts w:ascii="Arial" w:hAnsi="Arial" w:cs="Arial"/>
        </w:rPr>
        <w:footnoteRef/>
      </w:r>
      <w:r w:rsidRPr="00CF5D67">
        <w:rPr>
          <w:rFonts w:ascii="Arial" w:hAnsi="Arial" w:cs="Arial"/>
        </w:rPr>
        <w:t xml:space="preserve"> </w:t>
      </w:r>
      <w:r w:rsidRPr="00CF5D67">
        <w:rPr>
          <w:rFonts w:ascii="Arial" w:hAnsi="Arial" w:cs="Arial"/>
          <w:i/>
          <w:lang w:val="en-GB"/>
        </w:rPr>
        <w:t>Campbell Lives</w:t>
      </w:r>
      <w:r w:rsidRPr="00CF5D67">
        <w:rPr>
          <w:rFonts w:ascii="Arial" w:hAnsi="Arial" w:cs="Arial"/>
          <w:lang w:val="en-GB"/>
        </w:rPr>
        <w:t>, p.432.</w:t>
      </w:r>
    </w:p>
  </w:footnote>
  <w:footnote w:id="54">
    <w:p w:rsidR="00C713A2" w:rsidRPr="00CF5D67" w:rsidRDefault="00C713A2" w:rsidP="00CF5D67">
      <w:pPr>
        <w:pStyle w:val="FootnoteText"/>
        <w:jc w:val="both"/>
        <w:rPr>
          <w:rFonts w:ascii="Arial" w:hAnsi="Arial" w:cs="Arial"/>
          <w:lang w:val="en-GB"/>
        </w:rPr>
      </w:pPr>
      <w:r w:rsidRPr="00CF5D67">
        <w:rPr>
          <w:rStyle w:val="FootnoteReference"/>
          <w:rFonts w:ascii="Arial" w:hAnsi="Arial" w:cs="Arial"/>
        </w:rPr>
        <w:footnoteRef/>
      </w:r>
      <w:r w:rsidRPr="00CF5D67">
        <w:rPr>
          <w:rFonts w:ascii="Arial" w:hAnsi="Arial" w:cs="Arial"/>
        </w:rPr>
        <w:t xml:space="preserve"> </w:t>
      </w:r>
      <w:r w:rsidRPr="00CF5D67">
        <w:rPr>
          <w:rFonts w:ascii="Arial" w:hAnsi="Arial" w:cs="Arial"/>
          <w:i/>
          <w:lang w:val="en-GB"/>
        </w:rPr>
        <w:t>Campbell Lives</w:t>
      </w:r>
      <w:r w:rsidRPr="00CF5D67">
        <w:rPr>
          <w:rFonts w:ascii="Arial" w:hAnsi="Arial" w:cs="Arial"/>
          <w:lang w:val="en-GB"/>
        </w:rPr>
        <w:t>, p.413.</w:t>
      </w:r>
    </w:p>
  </w:footnote>
  <w:footnote w:id="55">
    <w:p w:rsidR="00C713A2" w:rsidRPr="00CF5D67" w:rsidRDefault="00C713A2" w:rsidP="00CF5D67">
      <w:pPr>
        <w:pStyle w:val="FootnoteText"/>
        <w:jc w:val="both"/>
        <w:rPr>
          <w:rFonts w:ascii="Arial" w:hAnsi="Arial" w:cs="Arial"/>
          <w:lang w:val="en-GB"/>
        </w:rPr>
      </w:pPr>
      <w:r w:rsidRPr="00CF5D67">
        <w:rPr>
          <w:rStyle w:val="FootnoteReference"/>
          <w:rFonts w:ascii="Arial" w:hAnsi="Arial" w:cs="Arial"/>
        </w:rPr>
        <w:footnoteRef/>
      </w:r>
      <w:r w:rsidRPr="00CF5D67">
        <w:rPr>
          <w:rFonts w:ascii="Arial" w:hAnsi="Arial" w:cs="Arial"/>
        </w:rPr>
        <w:t xml:space="preserve"> </w:t>
      </w:r>
      <w:r w:rsidRPr="00CF5D67">
        <w:rPr>
          <w:rFonts w:ascii="Arial" w:hAnsi="Arial" w:cs="Arial"/>
          <w:lang w:val="en-GB"/>
        </w:rPr>
        <w:t xml:space="preserve">On Campbell see: Jones, G., &amp; Jones, V.  </w:t>
      </w:r>
      <w:r w:rsidRPr="00CF5D67">
        <w:rPr>
          <w:rFonts w:ascii="Arial" w:hAnsi="Arial" w:cs="Arial"/>
          <w:i/>
          <w:lang w:val="en-GB"/>
        </w:rPr>
        <w:t>Campbell, John, first Baron Campbell of St Andrews (1779–1861), lord chancellor</w:t>
      </w:r>
      <w:r w:rsidRPr="00CF5D67">
        <w:rPr>
          <w:rFonts w:ascii="Arial" w:hAnsi="Arial" w:cs="Arial"/>
          <w:lang w:val="en-GB"/>
        </w:rPr>
        <w:t>. Oxford Dictionary of National Biography, Oxford, 2008.</w:t>
      </w:r>
    </w:p>
  </w:footnote>
  <w:footnote w:id="56">
    <w:p w:rsidR="00C713A2" w:rsidRPr="00CF5D67" w:rsidRDefault="00C713A2" w:rsidP="00CF5D67">
      <w:pPr>
        <w:pStyle w:val="FootnoteText"/>
        <w:jc w:val="both"/>
        <w:rPr>
          <w:rFonts w:ascii="Arial" w:hAnsi="Arial" w:cs="Arial"/>
          <w:lang w:val="en-GB"/>
        </w:rPr>
      </w:pPr>
      <w:r w:rsidRPr="00CF5D67">
        <w:rPr>
          <w:rStyle w:val="FootnoteReference"/>
          <w:rFonts w:ascii="Arial" w:hAnsi="Arial" w:cs="Arial"/>
        </w:rPr>
        <w:footnoteRef/>
      </w:r>
      <w:r w:rsidRPr="00CF5D67">
        <w:rPr>
          <w:rFonts w:ascii="Arial" w:hAnsi="Arial" w:cs="Arial"/>
        </w:rPr>
        <w:t xml:space="preserve"> Underhill, N. </w:t>
      </w:r>
      <w:r w:rsidRPr="00CF5D67">
        <w:rPr>
          <w:rFonts w:ascii="Arial" w:hAnsi="Arial" w:cs="Arial"/>
          <w:i/>
        </w:rPr>
        <w:t>The Lord Chancellor</w:t>
      </w:r>
      <w:r w:rsidRPr="00CF5D67">
        <w:rPr>
          <w:rFonts w:ascii="Arial" w:hAnsi="Arial" w:cs="Arial"/>
        </w:rPr>
        <w:t xml:space="preserve">. Terence Dalton Limited, Suffolk, 1978, p.152. (Hereafter </w:t>
      </w:r>
      <w:r w:rsidRPr="00CF5D67">
        <w:rPr>
          <w:rFonts w:ascii="Arial" w:hAnsi="Arial" w:cs="Arial"/>
          <w:i/>
        </w:rPr>
        <w:t>Underhill</w:t>
      </w:r>
      <w:r w:rsidRPr="00CF5D67">
        <w:rPr>
          <w:rFonts w:ascii="Arial" w:hAnsi="Arial" w:cs="Arial"/>
        </w:rPr>
        <w:t xml:space="preserve">). </w:t>
      </w:r>
    </w:p>
  </w:footnote>
  <w:footnote w:id="57">
    <w:p w:rsidR="00C713A2" w:rsidRPr="00CF5D67" w:rsidRDefault="00C713A2" w:rsidP="00CF5D67">
      <w:pPr>
        <w:pStyle w:val="FootnoteText"/>
        <w:jc w:val="both"/>
        <w:rPr>
          <w:rFonts w:ascii="Arial" w:hAnsi="Arial" w:cs="Arial"/>
          <w:lang w:val="en-GB"/>
        </w:rPr>
      </w:pPr>
      <w:r w:rsidRPr="00CF5D67">
        <w:rPr>
          <w:rStyle w:val="FootnoteReference"/>
          <w:rFonts w:ascii="Arial" w:hAnsi="Arial" w:cs="Arial"/>
        </w:rPr>
        <w:footnoteRef/>
      </w:r>
      <w:r w:rsidRPr="00CF5D67">
        <w:rPr>
          <w:rFonts w:ascii="Arial" w:hAnsi="Arial" w:cs="Arial"/>
        </w:rPr>
        <w:t xml:space="preserve"> </w:t>
      </w:r>
      <w:r w:rsidRPr="00CF5D67">
        <w:rPr>
          <w:rFonts w:ascii="Arial" w:hAnsi="Arial" w:cs="Arial"/>
          <w:i/>
          <w:lang w:val="en-GB"/>
        </w:rPr>
        <w:t>Underhill</w:t>
      </w:r>
      <w:r w:rsidRPr="00CF5D67">
        <w:rPr>
          <w:rFonts w:ascii="Arial" w:hAnsi="Arial" w:cs="Arial"/>
          <w:lang w:val="en-GB"/>
        </w:rPr>
        <w:t>, p.163.</w:t>
      </w:r>
    </w:p>
  </w:footnote>
  <w:footnote w:id="58">
    <w:p w:rsidR="00C713A2" w:rsidRPr="00CF5D67" w:rsidRDefault="00C713A2" w:rsidP="00CF5D67">
      <w:pPr>
        <w:pStyle w:val="FootnoteText"/>
        <w:jc w:val="both"/>
        <w:rPr>
          <w:rFonts w:ascii="Arial" w:hAnsi="Arial" w:cs="Arial"/>
          <w:lang w:val="en-GB"/>
        </w:rPr>
      </w:pPr>
      <w:r w:rsidRPr="00CF5D67">
        <w:rPr>
          <w:rStyle w:val="FootnoteReference"/>
          <w:rFonts w:ascii="Arial" w:hAnsi="Arial" w:cs="Arial"/>
        </w:rPr>
        <w:footnoteRef/>
      </w:r>
      <w:r w:rsidRPr="00CF5D67">
        <w:rPr>
          <w:rFonts w:ascii="Arial" w:hAnsi="Arial" w:cs="Arial"/>
        </w:rPr>
        <w:t xml:space="preserve"> </w:t>
      </w:r>
      <w:r w:rsidRPr="00CF5D67">
        <w:rPr>
          <w:rFonts w:ascii="Arial" w:hAnsi="Arial" w:cs="Arial"/>
          <w:i/>
          <w:lang w:val="en-GB"/>
        </w:rPr>
        <w:t>Campbell Lives</w:t>
      </w:r>
      <w:r w:rsidRPr="00CF5D67">
        <w:rPr>
          <w:rFonts w:ascii="Arial" w:hAnsi="Arial" w:cs="Arial"/>
          <w:lang w:val="en-GB"/>
        </w:rPr>
        <w:t>, p.445.</w:t>
      </w:r>
    </w:p>
  </w:footnote>
  <w:footnote w:id="59">
    <w:p w:rsidR="00C713A2" w:rsidRPr="00CF5D67" w:rsidRDefault="00C713A2" w:rsidP="00CF5D67">
      <w:pPr>
        <w:jc w:val="both"/>
        <w:rPr>
          <w:rFonts w:ascii="Arial" w:hAnsi="Arial" w:cs="Arial"/>
          <w:sz w:val="20"/>
          <w:szCs w:val="20"/>
          <w:lang w:val="en-GB"/>
        </w:rPr>
      </w:pPr>
      <w:r w:rsidRPr="00CF5D67">
        <w:rPr>
          <w:rStyle w:val="FootnoteReference"/>
          <w:rFonts w:ascii="Arial" w:hAnsi="Arial" w:cs="Arial"/>
          <w:sz w:val="20"/>
          <w:szCs w:val="20"/>
        </w:rPr>
        <w:footnoteRef/>
      </w:r>
      <w:r w:rsidRPr="00CF5D67">
        <w:rPr>
          <w:rFonts w:ascii="Arial" w:hAnsi="Arial" w:cs="Arial"/>
          <w:sz w:val="20"/>
          <w:szCs w:val="20"/>
        </w:rPr>
        <w:t xml:space="preserve"> </w:t>
      </w:r>
      <w:proofErr w:type="spellStart"/>
      <w:r w:rsidRPr="00CF5D67">
        <w:rPr>
          <w:rFonts w:ascii="Arial" w:hAnsi="Arial" w:cs="Arial"/>
          <w:i/>
          <w:sz w:val="20"/>
          <w:szCs w:val="20"/>
          <w:lang w:val="en-GB"/>
        </w:rPr>
        <w:t>Solomons</w:t>
      </w:r>
      <w:proofErr w:type="spellEnd"/>
      <w:r w:rsidRPr="00CF5D67">
        <w:rPr>
          <w:rFonts w:ascii="Arial" w:hAnsi="Arial" w:cs="Arial"/>
          <w:i/>
          <w:sz w:val="20"/>
          <w:szCs w:val="20"/>
          <w:lang w:val="en-GB"/>
        </w:rPr>
        <w:t xml:space="preserve"> v. Ross</w:t>
      </w:r>
      <w:r w:rsidRPr="00CF5D67">
        <w:rPr>
          <w:rFonts w:ascii="Arial" w:hAnsi="Arial" w:cs="Arial"/>
          <w:sz w:val="20"/>
          <w:szCs w:val="20"/>
          <w:lang w:val="en-GB"/>
        </w:rPr>
        <w:t xml:space="preserve"> (1764) 1 </w:t>
      </w:r>
      <w:proofErr w:type="spellStart"/>
      <w:r w:rsidRPr="00CF5D67">
        <w:rPr>
          <w:rFonts w:ascii="Arial" w:hAnsi="Arial" w:cs="Arial"/>
          <w:sz w:val="20"/>
          <w:szCs w:val="20"/>
          <w:lang w:val="en-GB"/>
        </w:rPr>
        <w:t>Hy</w:t>
      </w:r>
      <w:proofErr w:type="spellEnd"/>
      <w:r w:rsidRPr="00CF5D67">
        <w:rPr>
          <w:rFonts w:ascii="Arial" w:hAnsi="Arial" w:cs="Arial"/>
          <w:sz w:val="20"/>
          <w:szCs w:val="20"/>
          <w:lang w:val="en-GB"/>
        </w:rPr>
        <w:t xml:space="preserve">. Bl. 131n; 126 E.R. 79; (1764) 1 H </w:t>
      </w:r>
      <w:proofErr w:type="spellStart"/>
      <w:r w:rsidRPr="00CF5D67">
        <w:rPr>
          <w:rFonts w:ascii="Arial" w:hAnsi="Arial" w:cs="Arial"/>
          <w:sz w:val="20"/>
          <w:szCs w:val="20"/>
          <w:lang w:val="en-GB"/>
        </w:rPr>
        <w:t>Bl</w:t>
      </w:r>
      <w:proofErr w:type="spellEnd"/>
      <w:r w:rsidRPr="00CF5D67">
        <w:rPr>
          <w:rFonts w:ascii="Arial" w:hAnsi="Arial" w:cs="Arial"/>
          <w:sz w:val="20"/>
          <w:szCs w:val="20"/>
          <w:lang w:val="en-GB"/>
        </w:rPr>
        <w:t xml:space="preserve"> 131n (Henry Blackstone’s reports). See also: Wallis’ Irish Chancery Reports (1839), at 59: see also: </w:t>
      </w:r>
      <w:proofErr w:type="spellStart"/>
      <w:r w:rsidRPr="00CF5D67">
        <w:rPr>
          <w:rFonts w:ascii="Arial" w:hAnsi="Arial" w:cs="Arial"/>
          <w:sz w:val="20"/>
          <w:szCs w:val="20"/>
          <w:lang w:val="en-GB"/>
        </w:rPr>
        <w:t>Nadelman</w:t>
      </w:r>
      <w:proofErr w:type="spellEnd"/>
      <w:r w:rsidRPr="00CF5D67">
        <w:rPr>
          <w:rFonts w:ascii="Arial" w:hAnsi="Arial" w:cs="Arial"/>
          <w:sz w:val="20"/>
          <w:szCs w:val="20"/>
          <w:lang w:val="en-GB"/>
        </w:rPr>
        <w:t xml:space="preserve">, KH. </w:t>
      </w:r>
      <w:proofErr w:type="spellStart"/>
      <w:r w:rsidRPr="00CF5D67">
        <w:rPr>
          <w:rFonts w:ascii="Arial" w:hAnsi="Arial" w:cs="Arial"/>
          <w:i/>
          <w:sz w:val="20"/>
          <w:szCs w:val="20"/>
          <w:lang w:val="en-GB"/>
        </w:rPr>
        <w:t>Solomons</w:t>
      </w:r>
      <w:proofErr w:type="spellEnd"/>
      <w:r w:rsidRPr="00CF5D67">
        <w:rPr>
          <w:rFonts w:ascii="Arial" w:hAnsi="Arial" w:cs="Arial"/>
          <w:i/>
          <w:sz w:val="20"/>
          <w:szCs w:val="20"/>
          <w:lang w:val="en-GB"/>
        </w:rPr>
        <w:t xml:space="preserve"> v. Ross and International Bankruptcy Law </w:t>
      </w:r>
      <w:r w:rsidRPr="00CF5D67">
        <w:rPr>
          <w:rFonts w:ascii="Arial" w:hAnsi="Arial" w:cs="Arial"/>
          <w:sz w:val="20"/>
          <w:szCs w:val="20"/>
          <w:lang w:val="en-GB"/>
        </w:rPr>
        <w:t>(1949) 9 MLR 154.</w:t>
      </w:r>
    </w:p>
  </w:footnote>
  <w:footnote w:id="60">
    <w:p w:rsidR="00C713A2" w:rsidRPr="00CF5D67" w:rsidRDefault="00C713A2" w:rsidP="00CF5D67">
      <w:pPr>
        <w:pStyle w:val="FootnoteText"/>
        <w:jc w:val="both"/>
        <w:rPr>
          <w:rFonts w:ascii="Arial" w:hAnsi="Arial" w:cs="Arial"/>
          <w:lang w:val="en-GB"/>
        </w:rPr>
      </w:pPr>
      <w:r w:rsidRPr="00CF5D67">
        <w:rPr>
          <w:rStyle w:val="FootnoteReference"/>
          <w:rFonts w:ascii="Arial" w:hAnsi="Arial" w:cs="Arial"/>
        </w:rPr>
        <w:footnoteRef/>
      </w:r>
      <w:r w:rsidRPr="00CF5D67">
        <w:rPr>
          <w:rFonts w:ascii="Arial" w:hAnsi="Arial" w:cs="Arial"/>
        </w:rPr>
        <w:t xml:space="preserve"> </w:t>
      </w:r>
      <w:r w:rsidRPr="00CF5D67">
        <w:rPr>
          <w:rFonts w:ascii="Arial" w:hAnsi="Arial" w:cs="Arial"/>
          <w:lang w:val="en-GB"/>
        </w:rPr>
        <w:t xml:space="preserve">See further: </w:t>
      </w:r>
      <w:proofErr w:type="spellStart"/>
      <w:r w:rsidRPr="00CF5D67">
        <w:rPr>
          <w:rFonts w:ascii="Arial" w:hAnsi="Arial" w:cs="Arial"/>
          <w:lang w:val="en-GB"/>
        </w:rPr>
        <w:t>Lobban</w:t>
      </w:r>
      <w:proofErr w:type="spellEnd"/>
      <w:r w:rsidRPr="00CF5D67">
        <w:rPr>
          <w:rFonts w:ascii="Arial" w:hAnsi="Arial" w:cs="Arial"/>
          <w:lang w:val="en-GB"/>
        </w:rPr>
        <w:t xml:space="preserve">, M &amp; Cornish, WR &amp; Anderson, JS &amp; Cocks, R &amp; </w:t>
      </w:r>
      <w:proofErr w:type="spellStart"/>
      <w:r w:rsidRPr="00CF5D67">
        <w:rPr>
          <w:rFonts w:ascii="Arial" w:hAnsi="Arial" w:cs="Arial"/>
          <w:lang w:val="en-GB"/>
        </w:rPr>
        <w:t>Polden</w:t>
      </w:r>
      <w:proofErr w:type="spellEnd"/>
      <w:r w:rsidRPr="00CF5D67">
        <w:rPr>
          <w:rFonts w:ascii="Arial" w:hAnsi="Arial" w:cs="Arial"/>
          <w:lang w:val="en-GB"/>
        </w:rPr>
        <w:t xml:space="preserve">, P &amp; Smith, K. </w:t>
      </w:r>
      <w:r w:rsidRPr="00CF5D67">
        <w:rPr>
          <w:rFonts w:ascii="Arial" w:hAnsi="Arial" w:cs="Arial"/>
          <w:i/>
          <w:lang w:val="en-GB"/>
        </w:rPr>
        <w:t>The Oxford History of the Laws of England, volumes XI-XIII</w:t>
      </w:r>
      <w:r w:rsidRPr="00CF5D67">
        <w:rPr>
          <w:rFonts w:ascii="Arial" w:hAnsi="Arial" w:cs="Arial"/>
          <w:lang w:val="en-GB"/>
        </w:rPr>
        <w:t xml:space="preserve">. Oxford 2010, volume XII, at Chapter IV (bankruptcy) and V (imprisonment for debt).   </w:t>
      </w:r>
    </w:p>
  </w:footnote>
  <w:footnote w:id="61">
    <w:p w:rsidR="00C713A2" w:rsidRPr="00CF5D67" w:rsidRDefault="00C713A2" w:rsidP="00CF5D67">
      <w:pPr>
        <w:pStyle w:val="FootnoteText"/>
        <w:jc w:val="both"/>
        <w:rPr>
          <w:rFonts w:ascii="Arial" w:hAnsi="Arial" w:cs="Arial"/>
          <w:lang w:val="en-GB"/>
        </w:rPr>
      </w:pPr>
      <w:r w:rsidRPr="00CF5D67">
        <w:rPr>
          <w:rStyle w:val="FootnoteReference"/>
          <w:rFonts w:ascii="Arial" w:hAnsi="Arial" w:cs="Arial"/>
        </w:rPr>
        <w:footnoteRef/>
      </w:r>
      <w:r w:rsidRPr="00CF5D67">
        <w:rPr>
          <w:rFonts w:ascii="Arial" w:hAnsi="Arial" w:cs="Arial"/>
        </w:rPr>
        <w:t xml:space="preserve"> </w:t>
      </w:r>
      <w:r w:rsidRPr="00CF5D67">
        <w:rPr>
          <w:rFonts w:ascii="Arial" w:hAnsi="Arial" w:cs="Arial"/>
          <w:lang w:val="en-GB"/>
        </w:rPr>
        <w:t xml:space="preserve">See further: Tribe, J. </w:t>
      </w:r>
      <w:r w:rsidRPr="00CF5D67">
        <w:rPr>
          <w:rFonts w:ascii="Arial" w:hAnsi="Arial" w:cs="Arial"/>
          <w:i/>
          <w:lang w:val="en-GB"/>
        </w:rPr>
        <w:t>The Imprisonment for Debt Jurisdiction</w:t>
      </w:r>
      <w:r w:rsidRPr="00CF5D67">
        <w:rPr>
          <w:rFonts w:ascii="Arial" w:hAnsi="Arial" w:cs="Arial"/>
          <w:lang w:val="en-GB"/>
        </w:rPr>
        <w:t xml:space="preserve"> (2018) Insolvency Intelligence, (31(3)), 92-100.</w:t>
      </w:r>
    </w:p>
  </w:footnote>
  <w:footnote w:id="62">
    <w:p w:rsidR="00C713A2" w:rsidRPr="00CF5D67" w:rsidRDefault="00C713A2" w:rsidP="00CF5D67">
      <w:pPr>
        <w:pStyle w:val="FootnoteText"/>
        <w:jc w:val="both"/>
        <w:rPr>
          <w:rFonts w:ascii="Arial" w:hAnsi="Arial" w:cs="Arial"/>
          <w:lang w:val="en-GB"/>
        </w:rPr>
      </w:pPr>
      <w:r w:rsidRPr="00CF5D67">
        <w:rPr>
          <w:rStyle w:val="FootnoteReference"/>
          <w:rFonts w:ascii="Arial" w:hAnsi="Arial" w:cs="Arial"/>
        </w:rPr>
        <w:footnoteRef/>
      </w:r>
      <w:r w:rsidRPr="00CF5D67">
        <w:rPr>
          <w:rFonts w:ascii="Arial" w:hAnsi="Arial" w:cs="Arial"/>
        </w:rPr>
        <w:t xml:space="preserve"> </w:t>
      </w:r>
      <w:r w:rsidRPr="00CF5D67">
        <w:rPr>
          <w:rFonts w:ascii="Arial" w:hAnsi="Arial" w:cs="Arial"/>
          <w:lang w:val="en-GB"/>
        </w:rPr>
        <w:t xml:space="preserve">See for example: </w:t>
      </w:r>
      <w:r w:rsidRPr="00CF5D67">
        <w:rPr>
          <w:rFonts w:ascii="Arial" w:hAnsi="Arial" w:cs="Arial"/>
          <w:i/>
          <w:lang w:val="en-GB"/>
        </w:rPr>
        <w:t xml:space="preserve">Thomas Corbett. Hugh Ross, a London merchant under contract to supply iron from the Baltic, is </w:t>
      </w:r>
      <w:proofErr w:type="spellStart"/>
      <w:r w:rsidRPr="00CF5D67">
        <w:rPr>
          <w:rFonts w:ascii="Arial" w:hAnsi="Arial" w:cs="Arial"/>
          <w:i/>
          <w:lang w:val="en-GB"/>
        </w:rPr>
        <w:t>sueing</w:t>
      </w:r>
      <w:proofErr w:type="spellEnd"/>
      <w:r w:rsidRPr="00CF5D67">
        <w:rPr>
          <w:rFonts w:ascii="Arial" w:hAnsi="Arial" w:cs="Arial"/>
          <w:i/>
          <w:lang w:val="en-GB"/>
        </w:rPr>
        <w:t xml:space="preserve"> his insurers for the loss of his ship the Betty, which was detached from the convoy of the </w:t>
      </w:r>
      <w:proofErr w:type="spellStart"/>
      <w:r w:rsidRPr="00CF5D67">
        <w:rPr>
          <w:rFonts w:ascii="Arial" w:hAnsi="Arial" w:cs="Arial"/>
          <w:i/>
          <w:lang w:val="en-GB"/>
        </w:rPr>
        <w:t>Anglesea</w:t>
      </w:r>
      <w:proofErr w:type="spellEnd"/>
      <w:r w:rsidRPr="00CF5D67">
        <w:rPr>
          <w:rFonts w:ascii="Arial" w:hAnsi="Arial" w:cs="Arial"/>
          <w:i/>
          <w:lang w:val="en-GB"/>
        </w:rPr>
        <w:t>, Harwich and Deptford prize</w:t>
      </w:r>
      <w:r w:rsidRPr="00CF5D67">
        <w:rPr>
          <w:rFonts w:ascii="Arial" w:hAnsi="Arial" w:cs="Arial"/>
          <w:lang w:val="en-GB"/>
        </w:rPr>
        <w:t xml:space="preserve">. ADM 354/128/51, National Maritime Museum: The </w:t>
      </w:r>
      <w:proofErr w:type="spellStart"/>
      <w:r w:rsidRPr="00CF5D67">
        <w:rPr>
          <w:rFonts w:ascii="Arial" w:hAnsi="Arial" w:cs="Arial"/>
          <w:lang w:val="en-GB"/>
        </w:rPr>
        <w:t>Caird</w:t>
      </w:r>
      <w:proofErr w:type="spellEnd"/>
      <w:r w:rsidRPr="00CF5D67">
        <w:rPr>
          <w:rFonts w:ascii="Arial" w:hAnsi="Arial" w:cs="Arial"/>
          <w:lang w:val="en-GB"/>
        </w:rPr>
        <w:t xml:space="preserve"> Library and Archive. See also: </w:t>
      </w:r>
      <w:r w:rsidRPr="00CF5D67">
        <w:rPr>
          <w:rFonts w:ascii="Arial" w:hAnsi="Arial" w:cs="Arial"/>
          <w:i/>
          <w:lang w:val="en-GB"/>
        </w:rPr>
        <w:t>Hugh Ross of St Mary Axe. Asks that some Swedish iron surplus to contract be received at Deptford</w:t>
      </w:r>
      <w:r w:rsidRPr="00CF5D67">
        <w:rPr>
          <w:rFonts w:ascii="Arial" w:hAnsi="Arial" w:cs="Arial"/>
          <w:lang w:val="en-GB"/>
        </w:rPr>
        <w:t xml:space="preserve">. 1747 August 22, ADM 106/1048/125, The National Archives, Kew. See also: </w:t>
      </w:r>
      <w:r w:rsidRPr="00CF5D67">
        <w:rPr>
          <w:rFonts w:ascii="Arial" w:hAnsi="Arial" w:cs="Arial"/>
          <w:i/>
          <w:lang w:val="en-GB"/>
        </w:rPr>
        <w:t xml:space="preserve">John </w:t>
      </w:r>
      <w:proofErr w:type="spellStart"/>
      <w:r w:rsidRPr="00CF5D67">
        <w:rPr>
          <w:rFonts w:ascii="Arial" w:hAnsi="Arial" w:cs="Arial"/>
          <w:i/>
          <w:lang w:val="en-GB"/>
        </w:rPr>
        <w:t>Clevland</w:t>
      </w:r>
      <w:proofErr w:type="spellEnd"/>
      <w:r w:rsidRPr="00CF5D67">
        <w:rPr>
          <w:rFonts w:ascii="Arial" w:hAnsi="Arial" w:cs="Arial"/>
          <w:i/>
          <w:lang w:val="en-GB"/>
        </w:rPr>
        <w:t xml:space="preserve">. Hugh Ross, under contract to supply iron to the Navy, reports he has a ship laden with iron waiting in the Thames for convoy to Portsmouth. Ask for a convoy from the </w:t>
      </w:r>
      <w:proofErr w:type="spellStart"/>
      <w:r w:rsidRPr="00CF5D67">
        <w:rPr>
          <w:rFonts w:ascii="Arial" w:hAnsi="Arial" w:cs="Arial"/>
          <w:i/>
          <w:lang w:val="en-GB"/>
        </w:rPr>
        <w:t>Nore</w:t>
      </w:r>
      <w:proofErr w:type="spellEnd"/>
      <w:r w:rsidRPr="00CF5D67">
        <w:rPr>
          <w:rFonts w:ascii="Arial" w:hAnsi="Arial" w:cs="Arial"/>
          <w:lang w:val="en-GB"/>
        </w:rPr>
        <w:t>. 1747 Augusts 26</w:t>
      </w:r>
      <w:r w:rsidRPr="00CF5D67">
        <w:rPr>
          <w:rFonts w:ascii="Arial" w:hAnsi="Arial" w:cs="Arial"/>
          <w:vertAlign w:val="superscript"/>
          <w:lang w:val="en-GB"/>
        </w:rPr>
        <w:t>th</w:t>
      </w:r>
      <w:r w:rsidRPr="00CF5D67">
        <w:rPr>
          <w:rFonts w:ascii="Arial" w:hAnsi="Arial" w:cs="Arial"/>
          <w:lang w:val="en-GB"/>
        </w:rPr>
        <w:t xml:space="preserve">. ADM 354/136/112. National Maritime Museum: The </w:t>
      </w:r>
      <w:proofErr w:type="spellStart"/>
      <w:r w:rsidRPr="00CF5D67">
        <w:rPr>
          <w:rFonts w:ascii="Arial" w:hAnsi="Arial" w:cs="Arial"/>
          <w:lang w:val="en-GB"/>
        </w:rPr>
        <w:t>Caird</w:t>
      </w:r>
      <w:proofErr w:type="spellEnd"/>
      <w:r w:rsidRPr="00CF5D67">
        <w:rPr>
          <w:rFonts w:ascii="Arial" w:hAnsi="Arial" w:cs="Arial"/>
          <w:lang w:val="en-GB"/>
        </w:rPr>
        <w:t xml:space="preserve"> Library and Archive. See also: </w:t>
      </w:r>
      <w:r w:rsidRPr="00CF5D67">
        <w:rPr>
          <w:rFonts w:ascii="Arial" w:hAnsi="Arial" w:cs="Arial"/>
          <w:i/>
          <w:lang w:val="en-GB"/>
        </w:rPr>
        <w:t xml:space="preserve">Hugh Ross, London. His iron contract has expired and requests that the iron still due is received from the Thomas and Frances, Captain Dawson, the Triton, Captain Bride, and the Prince </w:t>
      </w:r>
      <w:proofErr w:type="spellStart"/>
      <w:r w:rsidRPr="00CF5D67">
        <w:rPr>
          <w:rFonts w:ascii="Arial" w:hAnsi="Arial" w:cs="Arial"/>
          <w:i/>
          <w:lang w:val="en-GB"/>
        </w:rPr>
        <w:t>Gustaff</w:t>
      </w:r>
      <w:proofErr w:type="spellEnd"/>
      <w:r w:rsidRPr="00CF5D67">
        <w:rPr>
          <w:rFonts w:ascii="Arial" w:hAnsi="Arial" w:cs="Arial"/>
          <w:i/>
          <w:lang w:val="en-GB"/>
        </w:rPr>
        <w:t xml:space="preserve">, Captain </w:t>
      </w:r>
      <w:proofErr w:type="spellStart"/>
      <w:r w:rsidRPr="00CF5D67">
        <w:rPr>
          <w:rFonts w:ascii="Arial" w:hAnsi="Arial" w:cs="Arial"/>
          <w:i/>
          <w:lang w:val="en-GB"/>
        </w:rPr>
        <w:t>Badendick</w:t>
      </w:r>
      <w:proofErr w:type="spellEnd"/>
      <w:r w:rsidRPr="00CF5D67">
        <w:rPr>
          <w:rFonts w:ascii="Arial" w:hAnsi="Arial" w:cs="Arial"/>
          <w:lang w:val="en-GB"/>
        </w:rPr>
        <w:t>. 19</w:t>
      </w:r>
      <w:r w:rsidRPr="00CF5D67">
        <w:rPr>
          <w:rFonts w:ascii="Arial" w:hAnsi="Arial" w:cs="Arial"/>
          <w:vertAlign w:val="superscript"/>
          <w:lang w:val="en-GB"/>
        </w:rPr>
        <w:t>th</w:t>
      </w:r>
      <w:r w:rsidRPr="00CF5D67">
        <w:rPr>
          <w:rFonts w:ascii="Arial" w:hAnsi="Arial" w:cs="Arial"/>
          <w:lang w:val="en-GB"/>
        </w:rPr>
        <w:t xml:space="preserve"> October 1763. ADM 106/1128/129. The National Archives, Kew. </w:t>
      </w:r>
    </w:p>
  </w:footnote>
  <w:footnote w:id="63">
    <w:p w:rsidR="00C713A2" w:rsidRPr="00CF5D67" w:rsidRDefault="00C713A2" w:rsidP="00CF5D67">
      <w:pPr>
        <w:pStyle w:val="FootnoteText"/>
        <w:jc w:val="both"/>
        <w:rPr>
          <w:rFonts w:ascii="Arial" w:hAnsi="Arial" w:cs="Arial"/>
          <w:lang w:val="en-GB"/>
        </w:rPr>
      </w:pPr>
      <w:r w:rsidRPr="00CF5D67">
        <w:rPr>
          <w:rStyle w:val="FootnoteReference"/>
          <w:rFonts w:ascii="Arial" w:hAnsi="Arial" w:cs="Arial"/>
        </w:rPr>
        <w:footnoteRef/>
      </w:r>
      <w:r w:rsidRPr="00CF5D67">
        <w:rPr>
          <w:rFonts w:ascii="Arial" w:hAnsi="Arial" w:cs="Arial"/>
        </w:rPr>
        <w:t xml:space="preserve"> </w:t>
      </w:r>
      <w:r w:rsidRPr="00CF5D67">
        <w:rPr>
          <w:rFonts w:ascii="Arial" w:hAnsi="Arial" w:cs="Arial"/>
          <w:lang w:val="en-GB"/>
        </w:rPr>
        <w:t xml:space="preserve">See: </w:t>
      </w:r>
      <w:r w:rsidRPr="00CF5D67">
        <w:rPr>
          <w:rFonts w:ascii="Arial" w:hAnsi="Arial" w:cs="Arial"/>
          <w:i/>
          <w:lang w:val="en-GB"/>
        </w:rPr>
        <w:t>Hugh Ross, St Mary Axe. Will be short in the delivery of hemp for Woolwich and Portsmouth, of which only part has been delivered…</w:t>
      </w:r>
      <w:r w:rsidRPr="00CF5D67">
        <w:rPr>
          <w:rFonts w:ascii="Arial" w:hAnsi="Arial" w:cs="Arial"/>
          <w:lang w:val="en-GB"/>
        </w:rPr>
        <w:t xml:space="preserve"> ADM106/1105/67. 1752. National Archives, Kew. </w:t>
      </w:r>
    </w:p>
  </w:footnote>
  <w:footnote w:id="64">
    <w:p w:rsidR="00C713A2" w:rsidRPr="00CF5D67" w:rsidRDefault="00C713A2" w:rsidP="00CF5D67">
      <w:pPr>
        <w:pStyle w:val="FootnoteText"/>
        <w:jc w:val="both"/>
        <w:rPr>
          <w:rFonts w:ascii="Arial" w:hAnsi="Arial" w:cs="Arial"/>
          <w:lang w:val="en-GB"/>
        </w:rPr>
      </w:pPr>
      <w:r w:rsidRPr="00CF5D67">
        <w:rPr>
          <w:rStyle w:val="FootnoteReference"/>
          <w:rFonts w:ascii="Arial" w:hAnsi="Arial" w:cs="Arial"/>
        </w:rPr>
        <w:footnoteRef/>
      </w:r>
      <w:r w:rsidRPr="00CF5D67">
        <w:rPr>
          <w:rFonts w:ascii="Arial" w:hAnsi="Arial" w:cs="Arial"/>
        </w:rPr>
        <w:t xml:space="preserve"> </w:t>
      </w:r>
      <w:r w:rsidRPr="00CF5D67">
        <w:rPr>
          <w:rFonts w:ascii="Arial" w:hAnsi="Arial" w:cs="Arial"/>
          <w:lang w:val="en-GB"/>
        </w:rPr>
        <w:t xml:space="preserve">See for example: </w:t>
      </w:r>
      <w:r w:rsidRPr="00CF5D67">
        <w:rPr>
          <w:rFonts w:ascii="Arial" w:hAnsi="Arial" w:cs="Arial"/>
          <w:i/>
          <w:lang w:val="en-GB"/>
        </w:rPr>
        <w:t>Ross v. Ross (documents type: Bill and two answers). Plaintiff: Hugh Ross, merchant of St Mary Axe, London</w:t>
      </w:r>
      <w:r w:rsidRPr="00CF5D67">
        <w:rPr>
          <w:rFonts w:ascii="Arial" w:hAnsi="Arial" w:cs="Arial"/>
          <w:lang w:val="en-GB"/>
        </w:rPr>
        <w:t xml:space="preserve">. C11/197/9. The National Archives, Kew.  </w:t>
      </w:r>
    </w:p>
  </w:footnote>
  <w:footnote w:id="65">
    <w:p w:rsidR="00C713A2" w:rsidRPr="00CF5D67" w:rsidRDefault="00C713A2" w:rsidP="00CF5D67">
      <w:pPr>
        <w:pStyle w:val="FootnoteText"/>
        <w:jc w:val="both"/>
        <w:rPr>
          <w:rFonts w:ascii="Arial" w:hAnsi="Arial" w:cs="Arial"/>
          <w:color w:val="000000" w:themeColor="text1"/>
          <w:lang w:val="en-GB"/>
        </w:rPr>
      </w:pPr>
      <w:r w:rsidRPr="00CF5D67">
        <w:rPr>
          <w:rStyle w:val="FootnoteReference"/>
          <w:rFonts w:ascii="Arial" w:hAnsi="Arial" w:cs="Arial"/>
          <w:color w:val="000000" w:themeColor="text1"/>
        </w:rPr>
        <w:footnoteRef/>
      </w:r>
      <w:r w:rsidRPr="00CF5D67">
        <w:rPr>
          <w:rFonts w:ascii="Arial" w:hAnsi="Arial" w:cs="Arial"/>
          <w:color w:val="000000" w:themeColor="text1"/>
        </w:rPr>
        <w:t xml:space="preserve"> </w:t>
      </w:r>
      <w:r w:rsidRPr="00CF5D67">
        <w:rPr>
          <w:rFonts w:ascii="Arial" w:hAnsi="Arial" w:cs="Arial"/>
          <w:color w:val="000000" w:themeColor="text1"/>
          <w:lang w:val="en-GB"/>
        </w:rPr>
        <w:t xml:space="preserve">Professor Sir Simon </w:t>
      </w:r>
      <w:proofErr w:type="spellStart"/>
      <w:r w:rsidRPr="00CF5D67">
        <w:rPr>
          <w:rFonts w:ascii="Arial" w:hAnsi="Arial" w:cs="Arial"/>
          <w:color w:val="000000" w:themeColor="text1"/>
          <w:lang w:val="en-GB"/>
        </w:rPr>
        <w:t>Schama’s</w:t>
      </w:r>
      <w:proofErr w:type="spellEnd"/>
      <w:r w:rsidRPr="00CF5D67">
        <w:rPr>
          <w:rFonts w:ascii="Arial" w:hAnsi="Arial" w:cs="Arial"/>
          <w:color w:val="000000" w:themeColor="text1"/>
          <w:lang w:val="en-GB"/>
        </w:rPr>
        <w:t xml:space="preserve"> 1991 “</w:t>
      </w:r>
      <w:r w:rsidRPr="00CF5D67">
        <w:rPr>
          <w:rFonts w:ascii="Arial" w:hAnsi="Arial" w:cs="Arial"/>
          <w:i/>
          <w:color w:val="000000" w:themeColor="text1"/>
          <w:lang w:val="en-GB"/>
        </w:rPr>
        <w:t>The Embarrassment of Riches”</w:t>
      </w:r>
      <w:r w:rsidRPr="00CF5D67">
        <w:rPr>
          <w:rFonts w:ascii="Arial" w:hAnsi="Arial" w:cs="Arial"/>
          <w:color w:val="000000" w:themeColor="text1"/>
          <w:lang w:val="en-GB"/>
        </w:rPr>
        <w:t xml:space="preserve"> contains a striking description of the Dutch Desolate </w:t>
      </w:r>
      <w:proofErr w:type="spellStart"/>
      <w:r w:rsidRPr="00CF5D67">
        <w:rPr>
          <w:rFonts w:ascii="Arial" w:hAnsi="Arial" w:cs="Arial"/>
          <w:color w:val="000000" w:themeColor="text1"/>
          <w:lang w:val="en-GB"/>
        </w:rPr>
        <w:t>Boedels</w:t>
      </w:r>
      <w:proofErr w:type="spellEnd"/>
      <w:r w:rsidRPr="00CF5D67">
        <w:rPr>
          <w:rFonts w:ascii="Arial" w:hAnsi="Arial" w:cs="Arial"/>
          <w:color w:val="000000" w:themeColor="text1"/>
          <w:lang w:val="en-GB"/>
        </w:rPr>
        <w:t xml:space="preserve"> Kamer, complete with pictures. </w:t>
      </w:r>
      <w:proofErr w:type="spellStart"/>
      <w:r w:rsidRPr="00CF5D67">
        <w:rPr>
          <w:rFonts w:ascii="Arial" w:hAnsi="Arial" w:cs="Arial"/>
          <w:color w:val="000000" w:themeColor="text1"/>
          <w:lang w:val="en-GB"/>
        </w:rPr>
        <w:t>Schama</w:t>
      </w:r>
      <w:proofErr w:type="spellEnd"/>
      <w:r w:rsidRPr="00CF5D67">
        <w:rPr>
          <w:rFonts w:ascii="Arial" w:hAnsi="Arial" w:cs="Arial"/>
          <w:color w:val="000000" w:themeColor="text1"/>
          <w:lang w:val="en-GB"/>
        </w:rPr>
        <w:t xml:space="preserve"> notes: “Of all the sculptured reliefs that festoon the interior of the Amsterdam town hall, none is more startling than the decoration over the door of the Bankruptcy Chamber – the Desolate </w:t>
      </w:r>
      <w:proofErr w:type="spellStart"/>
      <w:r w:rsidRPr="00CF5D67">
        <w:rPr>
          <w:rFonts w:ascii="Arial" w:hAnsi="Arial" w:cs="Arial"/>
          <w:color w:val="000000" w:themeColor="text1"/>
          <w:lang w:val="en-GB"/>
        </w:rPr>
        <w:t>Boedels</w:t>
      </w:r>
      <w:proofErr w:type="spellEnd"/>
      <w:r w:rsidRPr="00CF5D67">
        <w:rPr>
          <w:rFonts w:ascii="Arial" w:hAnsi="Arial" w:cs="Arial"/>
          <w:color w:val="000000" w:themeColor="text1"/>
          <w:lang w:val="en-GB"/>
        </w:rPr>
        <w:t xml:space="preserve"> Kamer…But it is the decoration above the plaque that is more unconventional. It is the place where reality bites into platitude, for the hanging garlands are the actual rather the emblematic, attributes of financial disaster. Empty chests, unpaid bills, worthless stock lie strewn around while among the detritus of a fortune  scuttle a family of hungry rats.” See: </w:t>
      </w:r>
      <w:proofErr w:type="spellStart"/>
      <w:r w:rsidRPr="00CF5D67">
        <w:rPr>
          <w:rFonts w:ascii="Arial" w:hAnsi="Arial" w:cs="Arial"/>
          <w:color w:val="000000" w:themeColor="text1"/>
          <w:lang w:val="en-GB"/>
        </w:rPr>
        <w:t>Schama</w:t>
      </w:r>
      <w:proofErr w:type="spellEnd"/>
      <w:r w:rsidRPr="00CF5D67">
        <w:rPr>
          <w:rFonts w:ascii="Arial" w:hAnsi="Arial" w:cs="Arial"/>
          <w:color w:val="000000" w:themeColor="text1"/>
          <w:lang w:val="en-GB"/>
        </w:rPr>
        <w:t xml:space="preserve">, S. </w:t>
      </w:r>
      <w:r w:rsidRPr="00CF5D67">
        <w:rPr>
          <w:rFonts w:ascii="Arial" w:hAnsi="Arial" w:cs="Arial"/>
          <w:i/>
          <w:color w:val="000000" w:themeColor="text1"/>
          <w:lang w:val="en-GB"/>
        </w:rPr>
        <w:t xml:space="preserve">The Embarrassment of Riches: An Interpretation of Dutch Culture in the Golden Age. </w:t>
      </w:r>
      <w:r w:rsidRPr="00CF5D67">
        <w:rPr>
          <w:rFonts w:ascii="Arial" w:hAnsi="Arial" w:cs="Arial"/>
          <w:color w:val="000000" w:themeColor="text1"/>
          <w:lang w:val="en-GB"/>
        </w:rPr>
        <w:t>Harper Perennial, London, 1991, page 343.</w:t>
      </w:r>
    </w:p>
  </w:footnote>
  <w:footnote w:id="66">
    <w:p w:rsidR="00C713A2" w:rsidRPr="009300E3" w:rsidRDefault="00C713A2" w:rsidP="00CF5D67">
      <w:pPr>
        <w:pStyle w:val="FootnoteText"/>
        <w:jc w:val="both"/>
        <w:rPr>
          <w:rFonts w:ascii="Arial" w:hAnsi="Arial" w:cs="Arial"/>
        </w:rPr>
      </w:pPr>
      <w:r w:rsidRPr="00CF5D67">
        <w:rPr>
          <w:rStyle w:val="FootnoteReference"/>
          <w:rFonts w:ascii="Arial" w:hAnsi="Arial" w:cs="Arial"/>
          <w:color w:val="000000" w:themeColor="text1"/>
        </w:rPr>
        <w:footnoteRef/>
      </w:r>
      <w:r w:rsidRPr="00CF5D67">
        <w:rPr>
          <w:rFonts w:ascii="Arial" w:hAnsi="Arial" w:cs="Arial"/>
          <w:color w:val="000000" w:themeColor="text1"/>
        </w:rPr>
        <w:t xml:space="preserve"> The City of London’s London Metropolitan Archive houses the records of the Mayor’s Court. However, many of the records have not survived. There are gaps for the 18th and 19th centuries which includes the period when </w:t>
      </w:r>
      <w:proofErr w:type="spellStart"/>
      <w:r w:rsidRPr="00CF5D67">
        <w:rPr>
          <w:rFonts w:ascii="Arial" w:hAnsi="Arial" w:cs="Arial"/>
          <w:color w:val="000000" w:themeColor="text1"/>
        </w:rPr>
        <w:t>Solomons</w:t>
      </w:r>
      <w:proofErr w:type="spellEnd"/>
      <w:r w:rsidRPr="00CF5D67">
        <w:rPr>
          <w:rFonts w:ascii="Arial" w:hAnsi="Arial" w:cs="Arial"/>
          <w:color w:val="000000" w:themeColor="text1"/>
        </w:rPr>
        <w:t xml:space="preserve"> v. Ross was litigated. The records were destroyed in a fire at the Royal </w:t>
      </w:r>
      <w:r w:rsidRPr="009300E3">
        <w:rPr>
          <w:rFonts w:ascii="Arial" w:hAnsi="Arial" w:cs="Arial"/>
          <w:color w:val="000000" w:themeColor="text1"/>
        </w:rPr>
        <w:t xml:space="preserve">Exchange in 1838. Record loss also occurred in 1941, some three years before Fletcher was born, as a result of Luftwaffe bombing during World War II. </w:t>
      </w:r>
      <w:r w:rsidRPr="009300E3">
        <w:rPr>
          <w:rFonts w:ascii="Arial" w:hAnsi="Arial" w:cs="Arial"/>
          <w:color w:val="000000" w:themeColor="text1"/>
          <w:lang w:val="en-GB"/>
        </w:rPr>
        <w:t xml:space="preserve">On this history of this court see: </w:t>
      </w:r>
      <w:proofErr w:type="spellStart"/>
      <w:r w:rsidRPr="009300E3">
        <w:rPr>
          <w:rFonts w:ascii="Arial" w:hAnsi="Arial" w:cs="Arial"/>
          <w:color w:val="000000" w:themeColor="text1"/>
          <w:lang w:val="en-GB"/>
        </w:rPr>
        <w:t>Polden</w:t>
      </w:r>
      <w:proofErr w:type="spellEnd"/>
      <w:r w:rsidRPr="009300E3">
        <w:rPr>
          <w:rFonts w:ascii="Arial" w:hAnsi="Arial" w:cs="Arial"/>
          <w:color w:val="000000" w:themeColor="text1"/>
          <w:lang w:val="en-GB"/>
        </w:rPr>
        <w:t xml:space="preserve">, P. </w:t>
      </w:r>
      <w:r w:rsidRPr="009300E3">
        <w:rPr>
          <w:rFonts w:ascii="Arial" w:hAnsi="Arial" w:cs="Arial"/>
          <w:i/>
          <w:color w:val="000000" w:themeColor="text1"/>
          <w:lang w:val="en-GB"/>
        </w:rPr>
        <w:t>Appendix 1: The Mayor's and City of London Courts". A History of the County Court, 1846–1971</w:t>
      </w:r>
      <w:r w:rsidRPr="009300E3">
        <w:rPr>
          <w:rFonts w:ascii="Arial" w:hAnsi="Arial" w:cs="Arial"/>
          <w:color w:val="000000" w:themeColor="text1"/>
          <w:lang w:val="en-GB"/>
        </w:rPr>
        <w:t xml:space="preserve">. Cambridge University Press, Cambridge, 1999, pp. 322–325. </w:t>
      </w:r>
    </w:p>
  </w:footnote>
  <w:footnote w:id="67">
    <w:p w:rsidR="00C713A2" w:rsidRPr="009300E3" w:rsidRDefault="00C713A2" w:rsidP="009300E3">
      <w:pPr>
        <w:pStyle w:val="FootnoteText"/>
        <w:jc w:val="both"/>
        <w:rPr>
          <w:rFonts w:ascii="Arial" w:hAnsi="Arial" w:cs="Arial"/>
          <w:lang w:val="en-GB"/>
        </w:rPr>
      </w:pPr>
      <w:r w:rsidRPr="009300E3">
        <w:rPr>
          <w:rStyle w:val="FootnoteReference"/>
          <w:rFonts w:ascii="Arial" w:hAnsi="Arial" w:cs="Arial"/>
        </w:rPr>
        <w:footnoteRef/>
      </w:r>
      <w:r w:rsidRPr="009300E3">
        <w:rPr>
          <w:rFonts w:ascii="Arial" w:hAnsi="Arial" w:cs="Arial"/>
        </w:rPr>
        <w:t xml:space="preserve"> </w:t>
      </w:r>
      <w:r w:rsidRPr="009300E3">
        <w:rPr>
          <w:rFonts w:ascii="Arial" w:hAnsi="Arial" w:cs="Arial"/>
          <w:lang w:val="en-GB"/>
        </w:rPr>
        <w:t xml:space="preserve">Not Lord Hardwicke as one case has </w:t>
      </w:r>
      <w:r>
        <w:rPr>
          <w:rFonts w:ascii="Arial" w:hAnsi="Arial" w:cs="Arial"/>
          <w:lang w:val="en-GB"/>
        </w:rPr>
        <w:t xml:space="preserve">erroneously </w:t>
      </w:r>
      <w:r w:rsidRPr="009300E3">
        <w:rPr>
          <w:rFonts w:ascii="Arial" w:hAnsi="Arial" w:cs="Arial"/>
          <w:lang w:val="en-GB"/>
        </w:rPr>
        <w:t xml:space="preserve">stated, see: </w:t>
      </w:r>
      <w:r w:rsidRPr="009300E3">
        <w:rPr>
          <w:rFonts w:ascii="Arial" w:hAnsi="Arial" w:cs="Arial"/>
          <w:i/>
          <w:lang w:val="en-GB"/>
        </w:rPr>
        <w:t>Phillips v. Hunter</w:t>
      </w:r>
      <w:r w:rsidRPr="009300E3">
        <w:rPr>
          <w:rFonts w:ascii="Arial" w:hAnsi="Arial" w:cs="Arial"/>
          <w:lang w:val="en-GB"/>
        </w:rPr>
        <w:t>, 2 H. Bl. 403; 126 Eng. Rep. 618 (1486-1865.</w:t>
      </w:r>
    </w:p>
  </w:footnote>
  <w:footnote w:id="68">
    <w:p w:rsidR="00C713A2" w:rsidRPr="00CF5D67" w:rsidRDefault="00C713A2" w:rsidP="00CF5D67">
      <w:pPr>
        <w:pStyle w:val="FootnoteText"/>
        <w:jc w:val="both"/>
        <w:rPr>
          <w:rFonts w:ascii="Arial" w:hAnsi="Arial" w:cs="Arial"/>
          <w:lang w:val="en-GB"/>
        </w:rPr>
      </w:pPr>
      <w:r w:rsidRPr="009300E3">
        <w:rPr>
          <w:rStyle w:val="FootnoteReference"/>
          <w:rFonts w:ascii="Arial" w:hAnsi="Arial" w:cs="Arial"/>
        </w:rPr>
        <w:footnoteRef/>
      </w:r>
      <w:r w:rsidRPr="009300E3">
        <w:rPr>
          <w:rFonts w:ascii="Arial" w:hAnsi="Arial" w:cs="Arial"/>
        </w:rPr>
        <w:t xml:space="preserve"> (1708–1772). Who presided as Lord Chancellor from the 30</w:t>
      </w:r>
      <w:r w:rsidRPr="009300E3">
        <w:rPr>
          <w:rFonts w:ascii="Arial" w:hAnsi="Arial" w:cs="Arial"/>
          <w:vertAlign w:val="superscript"/>
        </w:rPr>
        <w:t>th</w:t>
      </w:r>
      <w:r w:rsidRPr="009300E3">
        <w:rPr>
          <w:rFonts w:ascii="Arial" w:hAnsi="Arial" w:cs="Arial"/>
        </w:rPr>
        <w:t xml:space="preserve"> June 1757 until 30th July 1766. See further a memoir published</w:t>
      </w:r>
      <w:r w:rsidRPr="00CF5D67">
        <w:rPr>
          <w:rFonts w:ascii="Arial" w:hAnsi="Arial" w:cs="Arial"/>
        </w:rPr>
        <w:t xml:space="preserve"> by the second Earl: Henley, RHE. </w:t>
      </w:r>
      <w:r w:rsidRPr="00CF5D67">
        <w:rPr>
          <w:rFonts w:ascii="Arial" w:hAnsi="Arial" w:cs="Arial"/>
          <w:i/>
        </w:rPr>
        <w:t xml:space="preserve">A Memoir of the Life of Robert Henley, Earl of </w:t>
      </w:r>
      <w:proofErr w:type="spellStart"/>
      <w:r w:rsidRPr="00CF5D67">
        <w:rPr>
          <w:rFonts w:ascii="Arial" w:hAnsi="Arial" w:cs="Arial"/>
          <w:i/>
        </w:rPr>
        <w:t>Northington</w:t>
      </w:r>
      <w:proofErr w:type="spellEnd"/>
      <w:r w:rsidRPr="00CF5D67">
        <w:rPr>
          <w:rFonts w:ascii="Arial" w:hAnsi="Arial" w:cs="Arial"/>
          <w:i/>
        </w:rPr>
        <w:t xml:space="preserve">, Lord High Chancellor of Great Britain. (Appendix-a few </w:t>
      </w:r>
      <w:r w:rsidRPr="00CF5D67">
        <w:rPr>
          <w:rFonts w:ascii="Arial" w:hAnsi="Arial" w:cs="Arial"/>
          <w:i/>
          <w:color w:val="000000" w:themeColor="text1"/>
        </w:rPr>
        <w:t xml:space="preserve">of Lord </w:t>
      </w:r>
      <w:proofErr w:type="spellStart"/>
      <w:r w:rsidRPr="00CF5D67">
        <w:rPr>
          <w:rFonts w:ascii="Arial" w:hAnsi="Arial" w:cs="Arial"/>
          <w:i/>
          <w:color w:val="000000" w:themeColor="text1"/>
        </w:rPr>
        <w:t>Northington's</w:t>
      </w:r>
      <w:proofErr w:type="spellEnd"/>
      <w:r w:rsidRPr="00CF5D67">
        <w:rPr>
          <w:rFonts w:ascii="Arial" w:hAnsi="Arial" w:cs="Arial"/>
          <w:i/>
          <w:color w:val="000000" w:themeColor="text1"/>
        </w:rPr>
        <w:t xml:space="preserve"> judgements.). </w:t>
      </w:r>
      <w:r w:rsidRPr="00CF5D67">
        <w:rPr>
          <w:rFonts w:ascii="Arial" w:hAnsi="Arial" w:cs="Arial"/>
          <w:color w:val="000000" w:themeColor="text1"/>
        </w:rPr>
        <w:t xml:space="preserve">London, 1831. See also: Thomas, P. </w:t>
      </w:r>
      <w:r w:rsidRPr="00CF5D67">
        <w:rPr>
          <w:rFonts w:ascii="Arial" w:hAnsi="Arial" w:cs="Arial"/>
          <w:i/>
          <w:color w:val="000000" w:themeColor="text1"/>
        </w:rPr>
        <w:t xml:space="preserve">Henley, Robert, first earl of </w:t>
      </w:r>
      <w:proofErr w:type="spellStart"/>
      <w:r w:rsidRPr="00CF5D67">
        <w:rPr>
          <w:rFonts w:ascii="Arial" w:hAnsi="Arial" w:cs="Arial"/>
          <w:i/>
          <w:color w:val="000000" w:themeColor="text1"/>
        </w:rPr>
        <w:t>Northington</w:t>
      </w:r>
      <w:proofErr w:type="spellEnd"/>
      <w:r w:rsidRPr="00CF5D67">
        <w:rPr>
          <w:rFonts w:ascii="Arial" w:hAnsi="Arial" w:cs="Arial"/>
          <w:i/>
          <w:color w:val="000000" w:themeColor="text1"/>
        </w:rPr>
        <w:t xml:space="preserve"> (c. 1708–1772), lord chancellor.</w:t>
      </w:r>
      <w:r w:rsidRPr="00CF5D67">
        <w:rPr>
          <w:rFonts w:ascii="Arial" w:hAnsi="Arial" w:cs="Arial"/>
          <w:color w:val="000000" w:themeColor="text1"/>
        </w:rPr>
        <w:t xml:space="preserve"> Oxford Dictionary of National Biography, Oxford. 2004.</w:t>
      </w:r>
      <w:r>
        <w:rPr>
          <w:rFonts w:ascii="Arial" w:hAnsi="Arial" w:cs="Arial"/>
          <w:color w:val="000000" w:themeColor="text1"/>
        </w:rPr>
        <w:t xml:space="preserve"> </w:t>
      </w:r>
    </w:p>
  </w:footnote>
  <w:footnote w:id="69">
    <w:p w:rsidR="00C713A2" w:rsidRPr="00CF5D67" w:rsidRDefault="00C713A2" w:rsidP="00CF5D67">
      <w:pPr>
        <w:pStyle w:val="FootnoteText"/>
        <w:jc w:val="both"/>
        <w:rPr>
          <w:rFonts w:ascii="Arial" w:hAnsi="Arial" w:cs="Arial"/>
          <w:lang w:val="en-GB"/>
        </w:rPr>
      </w:pPr>
      <w:r w:rsidRPr="00CF5D67">
        <w:rPr>
          <w:rStyle w:val="FootnoteReference"/>
          <w:rFonts w:ascii="Arial" w:hAnsi="Arial" w:cs="Arial"/>
        </w:rPr>
        <w:footnoteRef/>
      </w:r>
      <w:r w:rsidRPr="00CF5D67">
        <w:rPr>
          <w:rFonts w:ascii="Arial" w:hAnsi="Arial" w:cs="Arial"/>
        </w:rPr>
        <w:t xml:space="preserve"> Henley, R. </w:t>
      </w:r>
      <w:r w:rsidRPr="00CF5D67">
        <w:rPr>
          <w:rFonts w:ascii="Arial" w:hAnsi="Arial" w:cs="Arial"/>
          <w:i/>
        </w:rPr>
        <w:t xml:space="preserve">A Memoir of the Life of Robert Henley, Earl of </w:t>
      </w:r>
      <w:proofErr w:type="spellStart"/>
      <w:r w:rsidRPr="00CF5D67">
        <w:rPr>
          <w:rFonts w:ascii="Arial" w:hAnsi="Arial" w:cs="Arial"/>
          <w:i/>
        </w:rPr>
        <w:t>Northington</w:t>
      </w:r>
      <w:proofErr w:type="spellEnd"/>
      <w:r w:rsidRPr="00CF5D67">
        <w:rPr>
          <w:rFonts w:ascii="Arial" w:hAnsi="Arial" w:cs="Arial"/>
          <w:i/>
        </w:rPr>
        <w:t>, Lord High Chancellor of Great Britain</w:t>
      </w:r>
      <w:r w:rsidRPr="00CF5D67">
        <w:rPr>
          <w:rFonts w:ascii="Arial" w:hAnsi="Arial" w:cs="Arial"/>
        </w:rPr>
        <w:t>. London, 1831, p</w:t>
      </w:r>
      <w:r w:rsidRPr="00CF5D67">
        <w:rPr>
          <w:rFonts w:ascii="Arial" w:hAnsi="Arial" w:cs="Arial"/>
          <w:lang w:val="en-GB"/>
        </w:rPr>
        <w:t>.49.</w:t>
      </w:r>
    </w:p>
  </w:footnote>
  <w:footnote w:id="70">
    <w:p w:rsidR="00C713A2" w:rsidRPr="00CF5D67" w:rsidRDefault="00C713A2" w:rsidP="00CF5D67">
      <w:pPr>
        <w:pStyle w:val="FootnoteText"/>
        <w:jc w:val="both"/>
        <w:rPr>
          <w:rFonts w:ascii="Arial" w:hAnsi="Arial" w:cs="Arial"/>
          <w:lang w:val="en-GB"/>
        </w:rPr>
      </w:pPr>
      <w:r w:rsidRPr="00CF5D67">
        <w:rPr>
          <w:rStyle w:val="FootnoteReference"/>
          <w:rFonts w:ascii="Arial" w:hAnsi="Arial" w:cs="Arial"/>
        </w:rPr>
        <w:footnoteRef/>
      </w:r>
      <w:r w:rsidRPr="00CF5D67">
        <w:rPr>
          <w:rFonts w:ascii="Arial" w:hAnsi="Arial" w:cs="Arial"/>
        </w:rPr>
        <w:t xml:space="preserve"> See: </w:t>
      </w:r>
      <w:r w:rsidRPr="00CF5D67">
        <w:rPr>
          <w:rFonts w:ascii="Arial" w:hAnsi="Arial" w:cs="Arial"/>
          <w:i/>
        </w:rPr>
        <w:t>Hugh Ross, St. Mary Axe. He stated in his last letter that the works of iron abroad have suffered from the fluctuation of property and their owners, and the marks are often altered though the iron comes from the same ore and mine…</w:t>
      </w:r>
      <w:r w:rsidRPr="00CF5D67">
        <w:rPr>
          <w:rFonts w:ascii="Arial" w:hAnsi="Arial" w:cs="Arial"/>
        </w:rPr>
        <w:t xml:space="preserve"> 3</w:t>
      </w:r>
      <w:r w:rsidRPr="00CF5D67">
        <w:rPr>
          <w:rFonts w:ascii="Arial" w:hAnsi="Arial" w:cs="Arial"/>
          <w:vertAlign w:val="superscript"/>
        </w:rPr>
        <w:t>rd</w:t>
      </w:r>
      <w:r w:rsidRPr="00CF5D67">
        <w:rPr>
          <w:rFonts w:ascii="Arial" w:hAnsi="Arial" w:cs="Arial"/>
        </w:rPr>
        <w:t xml:space="preserve"> December 1753. ADM 106/1115/32. The National Archives, Kew. </w:t>
      </w:r>
    </w:p>
  </w:footnote>
  <w:footnote w:id="71">
    <w:p w:rsidR="00C713A2" w:rsidRPr="00CF5D67" w:rsidRDefault="00C713A2" w:rsidP="00CF5D67">
      <w:pPr>
        <w:pStyle w:val="FootnoteText"/>
        <w:jc w:val="both"/>
        <w:rPr>
          <w:rFonts w:ascii="Arial" w:hAnsi="Arial" w:cs="Arial"/>
          <w:lang w:val="en-GB"/>
        </w:rPr>
      </w:pPr>
      <w:r w:rsidRPr="00CF5D67">
        <w:rPr>
          <w:rStyle w:val="FootnoteReference"/>
          <w:rFonts w:ascii="Arial" w:hAnsi="Arial" w:cs="Arial"/>
        </w:rPr>
        <w:footnoteRef/>
      </w:r>
      <w:r w:rsidRPr="00CF5D67">
        <w:rPr>
          <w:rFonts w:ascii="Arial" w:hAnsi="Arial" w:cs="Arial"/>
        </w:rPr>
        <w:t xml:space="preserve"> </w:t>
      </w:r>
      <w:proofErr w:type="spellStart"/>
      <w:r w:rsidRPr="00CF5D67">
        <w:rPr>
          <w:rFonts w:ascii="Arial" w:hAnsi="Arial" w:cs="Arial"/>
          <w:i/>
          <w:lang w:val="en-GB"/>
        </w:rPr>
        <w:t>Solomons</w:t>
      </w:r>
      <w:proofErr w:type="spellEnd"/>
      <w:r w:rsidRPr="00CF5D67">
        <w:rPr>
          <w:rFonts w:ascii="Arial" w:hAnsi="Arial" w:cs="Arial"/>
          <w:i/>
          <w:lang w:val="en-GB"/>
        </w:rPr>
        <w:t xml:space="preserve"> v. Ross.</w:t>
      </w:r>
      <w:r w:rsidRPr="00CF5D67">
        <w:rPr>
          <w:rFonts w:ascii="Arial" w:hAnsi="Arial" w:cs="Arial"/>
          <w:lang w:val="en-GB"/>
        </w:rPr>
        <w:t xml:space="preserve"> </w:t>
      </w:r>
    </w:p>
  </w:footnote>
  <w:footnote w:id="72">
    <w:p w:rsidR="00C713A2" w:rsidRPr="00CF5D67" w:rsidRDefault="00C713A2" w:rsidP="00CF5D67">
      <w:pPr>
        <w:pStyle w:val="FootnoteText"/>
        <w:jc w:val="both"/>
        <w:rPr>
          <w:rFonts w:ascii="Arial" w:hAnsi="Arial" w:cs="Arial"/>
          <w:lang w:val="en-GB"/>
        </w:rPr>
      </w:pPr>
      <w:r w:rsidRPr="00CF5D67">
        <w:rPr>
          <w:rStyle w:val="FootnoteReference"/>
          <w:rFonts w:ascii="Arial" w:hAnsi="Arial" w:cs="Arial"/>
        </w:rPr>
        <w:footnoteRef/>
      </w:r>
      <w:r w:rsidRPr="00CF5D67">
        <w:rPr>
          <w:rFonts w:ascii="Arial" w:hAnsi="Arial" w:cs="Arial"/>
        </w:rPr>
        <w:t xml:space="preserve"> These are contained in the Chancery series C 12 in the National Archive. To find these documents researchers must  use a search of the National Archive catalogue ( ) using the search terms “S*l*mons AND Ross”. This brings up three hits all with the spelling “</w:t>
      </w:r>
      <w:proofErr w:type="spellStart"/>
      <w:r w:rsidRPr="00CF5D67">
        <w:rPr>
          <w:rFonts w:ascii="Arial" w:hAnsi="Arial" w:cs="Arial"/>
        </w:rPr>
        <w:t>Salomons</w:t>
      </w:r>
      <w:proofErr w:type="spellEnd"/>
      <w:r w:rsidRPr="00CF5D67">
        <w:rPr>
          <w:rFonts w:ascii="Arial" w:hAnsi="Arial" w:cs="Arial"/>
        </w:rPr>
        <w:t>”. This is possibly an error in the National Archive catalogue.</w:t>
      </w:r>
    </w:p>
  </w:footnote>
  <w:footnote w:id="73">
    <w:p w:rsidR="00C713A2" w:rsidRPr="00CF5D67" w:rsidRDefault="00C713A2" w:rsidP="00CF5D67">
      <w:pPr>
        <w:pStyle w:val="FootnoteText"/>
        <w:jc w:val="both"/>
        <w:rPr>
          <w:rFonts w:ascii="Arial" w:hAnsi="Arial" w:cs="Arial"/>
        </w:rPr>
      </w:pPr>
      <w:r w:rsidRPr="00CF5D67">
        <w:rPr>
          <w:rStyle w:val="FootnoteReference"/>
          <w:rFonts w:ascii="Arial" w:hAnsi="Arial" w:cs="Arial"/>
        </w:rPr>
        <w:footnoteRef/>
      </w:r>
      <w:r w:rsidRPr="00CF5D67">
        <w:rPr>
          <w:rFonts w:ascii="Arial" w:hAnsi="Arial" w:cs="Arial"/>
        </w:rPr>
        <w:t xml:space="preserve"> </w:t>
      </w:r>
      <w:proofErr w:type="spellStart"/>
      <w:r w:rsidRPr="00941B72">
        <w:rPr>
          <w:rFonts w:ascii="Arial" w:hAnsi="Arial" w:cs="Arial"/>
          <w:i/>
        </w:rPr>
        <w:t>Salomons</w:t>
      </w:r>
      <w:proofErr w:type="spellEnd"/>
      <w:r w:rsidRPr="00941B72">
        <w:rPr>
          <w:rFonts w:ascii="Arial" w:hAnsi="Arial" w:cs="Arial"/>
          <w:i/>
        </w:rPr>
        <w:t xml:space="preserve"> v</w:t>
      </w:r>
      <w:r w:rsidR="00941B72">
        <w:rPr>
          <w:rFonts w:ascii="Arial" w:hAnsi="Arial" w:cs="Arial"/>
          <w:i/>
        </w:rPr>
        <w:t>.</w:t>
      </w:r>
      <w:r w:rsidRPr="00941B72">
        <w:rPr>
          <w:rFonts w:ascii="Arial" w:hAnsi="Arial" w:cs="Arial"/>
          <w:i/>
        </w:rPr>
        <w:t xml:space="preserve"> Ross</w:t>
      </w:r>
      <w:r w:rsidRPr="00CF5D67">
        <w:rPr>
          <w:rFonts w:ascii="Arial" w:hAnsi="Arial" w:cs="Arial"/>
        </w:rPr>
        <w:t xml:space="preserve"> [sic] </w:t>
      </w:r>
      <w:proofErr w:type="spellStart"/>
      <w:r w:rsidRPr="00CF5D67">
        <w:rPr>
          <w:rFonts w:ascii="Arial" w:hAnsi="Arial" w:cs="Arial"/>
        </w:rPr>
        <w:t>b.r</w:t>
      </w:r>
      <w:proofErr w:type="spellEnd"/>
      <w:r w:rsidRPr="00CF5D67">
        <w:rPr>
          <w:rFonts w:ascii="Arial" w:hAnsi="Arial" w:cs="Arial"/>
        </w:rPr>
        <w:t xml:space="preserve">. 1760, C 12/1280/32, The National Archives. </w:t>
      </w:r>
    </w:p>
  </w:footnote>
  <w:footnote w:id="74">
    <w:p w:rsidR="00C713A2" w:rsidRPr="00CF5D67" w:rsidRDefault="00C713A2" w:rsidP="00CF5D67">
      <w:pPr>
        <w:pStyle w:val="FootnoteText"/>
        <w:jc w:val="both"/>
        <w:rPr>
          <w:rFonts w:ascii="Arial" w:hAnsi="Arial" w:cs="Arial"/>
        </w:rPr>
      </w:pPr>
      <w:r w:rsidRPr="00CF5D67">
        <w:rPr>
          <w:rStyle w:val="FootnoteReference"/>
          <w:rFonts w:ascii="Arial" w:hAnsi="Arial" w:cs="Arial"/>
        </w:rPr>
        <w:footnoteRef/>
      </w:r>
      <w:r w:rsidRPr="00CF5D67">
        <w:rPr>
          <w:rFonts w:ascii="Arial" w:hAnsi="Arial" w:cs="Arial"/>
        </w:rPr>
        <w:t xml:space="preserve"> </w:t>
      </w:r>
      <w:proofErr w:type="spellStart"/>
      <w:r w:rsidRPr="00941B72">
        <w:rPr>
          <w:rFonts w:ascii="Arial" w:hAnsi="Arial" w:cs="Arial"/>
          <w:i/>
        </w:rPr>
        <w:t>Salomons</w:t>
      </w:r>
      <w:proofErr w:type="spellEnd"/>
      <w:r w:rsidRPr="00941B72">
        <w:rPr>
          <w:rFonts w:ascii="Arial" w:hAnsi="Arial" w:cs="Arial"/>
          <w:i/>
        </w:rPr>
        <w:t xml:space="preserve"> v</w:t>
      </w:r>
      <w:r w:rsidR="00941B72">
        <w:rPr>
          <w:rFonts w:ascii="Arial" w:hAnsi="Arial" w:cs="Arial"/>
          <w:i/>
        </w:rPr>
        <w:t>.</w:t>
      </w:r>
      <w:r w:rsidRPr="00941B72">
        <w:rPr>
          <w:rFonts w:ascii="Arial" w:hAnsi="Arial" w:cs="Arial"/>
          <w:i/>
        </w:rPr>
        <w:t xml:space="preserve"> Ross</w:t>
      </w:r>
      <w:r w:rsidRPr="00CF5D67">
        <w:rPr>
          <w:rFonts w:ascii="Arial" w:hAnsi="Arial" w:cs="Arial"/>
        </w:rPr>
        <w:t xml:space="preserve"> [sic] </w:t>
      </w:r>
      <w:proofErr w:type="spellStart"/>
      <w:r w:rsidRPr="00CF5D67">
        <w:rPr>
          <w:rFonts w:ascii="Arial" w:hAnsi="Arial" w:cs="Arial"/>
        </w:rPr>
        <w:t>b.r.r</w:t>
      </w:r>
      <w:proofErr w:type="spellEnd"/>
      <w:r w:rsidRPr="00CF5D67">
        <w:rPr>
          <w:rFonts w:ascii="Arial" w:hAnsi="Arial" w:cs="Arial"/>
        </w:rPr>
        <w:t xml:space="preserve">, 1760, .C 12/1280/33, The National Archives. </w:t>
      </w:r>
    </w:p>
  </w:footnote>
  <w:footnote w:id="75">
    <w:p w:rsidR="00C713A2" w:rsidRPr="00CF5D67" w:rsidRDefault="00C713A2" w:rsidP="00CF5D67">
      <w:pPr>
        <w:pStyle w:val="FootnoteText"/>
        <w:jc w:val="both"/>
        <w:rPr>
          <w:rFonts w:ascii="Arial" w:hAnsi="Arial" w:cs="Arial"/>
        </w:rPr>
      </w:pPr>
      <w:r w:rsidRPr="00CF5D67">
        <w:rPr>
          <w:rStyle w:val="FootnoteReference"/>
          <w:rFonts w:ascii="Arial" w:hAnsi="Arial" w:cs="Arial"/>
        </w:rPr>
        <w:footnoteRef/>
      </w:r>
      <w:r w:rsidRPr="00CF5D67">
        <w:rPr>
          <w:rFonts w:ascii="Arial" w:hAnsi="Arial" w:cs="Arial"/>
        </w:rPr>
        <w:t xml:space="preserve"> </w:t>
      </w:r>
      <w:proofErr w:type="spellStart"/>
      <w:r w:rsidRPr="00941B72">
        <w:rPr>
          <w:rFonts w:ascii="Arial" w:hAnsi="Arial" w:cs="Arial"/>
          <w:i/>
        </w:rPr>
        <w:t>Salomons</w:t>
      </w:r>
      <w:proofErr w:type="spellEnd"/>
      <w:r w:rsidRPr="00941B72">
        <w:rPr>
          <w:rFonts w:ascii="Arial" w:hAnsi="Arial" w:cs="Arial"/>
          <w:i/>
        </w:rPr>
        <w:t xml:space="preserve"> v</w:t>
      </w:r>
      <w:r w:rsidR="00941B72">
        <w:rPr>
          <w:rFonts w:ascii="Arial" w:hAnsi="Arial" w:cs="Arial"/>
          <w:i/>
        </w:rPr>
        <w:t>.</w:t>
      </w:r>
      <w:r w:rsidRPr="00941B72">
        <w:rPr>
          <w:rFonts w:ascii="Arial" w:hAnsi="Arial" w:cs="Arial"/>
          <w:i/>
        </w:rPr>
        <w:t xml:space="preserve"> Ross</w:t>
      </w:r>
      <w:r w:rsidRPr="00CF5D67">
        <w:rPr>
          <w:rFonts w:ascii="Arial" w:hAnsi="Arial" w:cs="Arial"/>
        </w:rPr>
        <w:t xml:space="preserve"> [sic], 1761, r. C 12/1284/36, The National Archive. </w:t>
      </w:r>
    </w:p>
  </w:footnote>
  <w:footnote w:id="76">
    <w:p w:rsidR="00C713A2" w:rsidRPr="00CF5D67" w:rsidRDefault="00C713A2" w:rsidP="00CF5D67">
      <w:pPr>
        <w:pStyle w:val="FootnoteText"/>
        <w:jc w:val="both"/>
        <w:rPr>
          <w:rFonts w:ascii="Arial" w:hAnsi="Arial" w:cs="Arial"/>
          <w:lang w:val="en-GB"/>
        </w:rPr>
      </w:pPr>
      <w:r w:rsidRPr="00CF5D67">
        <w:rPr>
          <w:rStyle w:val="FootnoteReference"/>
          <w:rFonts w:ascii="Arial" w:hAnsi="Arial" w:cs="Arial"/>
        </w:rPr>
        <w:footnoteRef/>
      </w:r>
      <w:r w:rsidRPr="00CF5D67">
        <w:rPr>
          <w:rFonts w:ascii="Arial" w:hAnsi="Arial" w:cs="Arial"/>
        </w:rPr>
        <w:t xml:space="preserve"> </w:t>
      </w:r>
      <w:r w:rsidRPr="00CF5D67">
        <w:rPr>
          <w:rFonts w:ascii="Arial" w:hAnsi="Arial" w:cs="Arial"/>
          <w:lang w:val="en-GB"/>
        </w:rPr>
        <w:t xml:space="preserve">On Lord Loughborough see: Murdoch, A. </w:t>
      </w:r>
      <w:proofErr w:type="spellStart"/>
      <w:r w:rsidRPr="00CF5D67">
        <w:rPr>
          <w:rFonts w:ascii="Arial" w:hAnsi="Arial" w:cs="Arial"/>
          <w:i/>
          <w:lang w:val="en-GB"/>
        </w:rPr>
        <w:t>Wedderburn</w:t>
      </w:r>
      <w:proofErr w:type="spellEnd"/>
      <w:r w:rsidRPr="00CF5D67">
        <w:rPr>
          <w:rFonts w:ascii="Arial" w:hAnsi="Arial" w:cs="Arial"/>
          <w:i/>
          <w:lang w:val="en-GB"/>
        </w:rPr>
        <w:t xml:space="preserve">, Alexander, first earl of Rosslyn (1733–1805), lord chancellor. </w:t>
      </w:r>
      <w:r w:rsidRPr="00CF5D67">
        <w:rPr>
          <w:rFonts w:ascii="Arial" w:hAnsi="Arial" w:cs="Arial"/>
          <w:lang w:val="en-GB"/>
        </w:rPr>
        <w:t>Oxford Dictionary of National Biography, Oxford, 2008.</w:t>
      </w:r>
    </w:p>
  </w:footnote>
  <w:footnote w:id="77">
    <w:p w:rsidR="00C713A2" w:rsidRPr="00CF5D67" w:rsidRDefault="00C713A2" w:rsidP="00CF5D67">
      <w:pPr>
        <w:pStyle w:val="FootnoteText"/>
        <w:jc w:val="both"/>
        <w:rPr>
          <w:rFonts w:ascii="Arial" w:hAnsi="Arial" w:cs="Arial"/>
          <w:lang w:val="en-GB"/>
        </w:rPr>
      </w:pPr>
      <w:r w:rsidRPr="00CF5D67">
        <w:rPr>
          <w:rStyle w:val="FootnoteReference"/>
          <w:rFonts w:ascii="Arial" w:hAnsi="Arial" w:cs="Arial"/>
        </w:rPr>
        <w:footnoteRef/>
      </w:r>
      <w:r w:rsidRPr="00CF5D67">
        <w:rPr>
          <w:rFonts w:ascii="Arial" w:hAnsi="Arial" w:cs="Arial"/>
        </w:rPr>
        <w:t xml:space="preserve"> </w:t>
      </w:r>
      <w:r w:rsidRPr="00CF5D67">
        <w:rPr>
          <w:rFonts w:ascii="Arial" w:hAnsi="Arial" w:cs="Arial"/>
          <w:color w:val="000000" w:themeColor="text1"/>
          <w:lang w:val="en-GB"/>
        </w:rPr>
        <w:t xml:space="preserve">See: Fletcher, IF. </w:t>
      </w:r>
      <w:r w:rsidRPr="00CF5D67">
        <w:rPr>
          <w:rFonts w:ascii="Arial" w:hAnsi="Arial" w:cs="Arial"/>
          <w:i/>
          <w:color w:val="000000" w:themeColor="text1"/>
          <w:lang w:val="en-GB"/>
        </w:rPr>
        <w:t>Insolvency in Private International Law</w:t>
      </w:r>
      <w:r w:rsidRPr="00CF5D67">
        <w:rPr>
          <w:rFonts w:ascii="Arial" w:hAnsi="Arial" w:cs="Arial"/>
          <w:color w:val="000000" w:themeColor="text1"/>
          <w:lang w:val="en-GB"/>
        </w:rPr>
        <w:t>. Clarendon, Oxford, 1999, p.15 (Hereafter</w:t>
      </w:r>
      <w:r w:rsidRPr="00CF5D67">
        <w:rPr>
          <w:rFonts w:ascii="Arial" w:hAnsi="Arial" w:cs="Arial"/>
          <w:i/>
          <w:color w:val="000000" w:themeColor="text1"/>
          <w:lang w:val="en-GB"/>
        </w:rPr>
        <w:t xml:space="preserve"> Fletcher International).</w:t>
      </w:r>
    </w:p>
  </w:footnote>
  <w:footnote w:id="78">
    <w:p w:rsidR="00C713A2" w:rsidRPr="00CF5D67" w:rsidRDefault="00C713A2" w:rsidP="00CF5D67">
      <w:pPr>
        <w:pStyle w:val="FootnoteText"/>
        <w:jc w:val="both"/>
        <w:rPr>
          <w:rFonts w:ascii="Arial" w:hAnsi="Arial" w:cs="Arial"/>
          <w:lang w:val="en-GB"/>
        </w:rPr>
      </w:pPr>
      <w:r w:rsidRPr="00CF5D67">
        <w:rPr>
          <w:rStyle w:val="FootnoteReference"/>
          <w:rFonts w:ascii="Arial" w:hAnsi="Arial" w:cs="Arial"/>
        </w:rPr>
        <w:footnoteRef/>
      </w:r>
      <w:r w:rsidRPr="00CF5D67">
        <w:rPr>
          <w:rFonts w:ascii="Arial" w:hAnsi="Arial" w:cs="Arial"/>
        </w:rPr>
        <w:t xml:space="preserve"> </w:t>
      </w:r>
      <w:r w:rsidRPr="00CF5D67">
        <w:rPr>
          <w:rFonts w:ascii="Arial" w:hAnsi="Arial" w:cs="Arial"/>
          <w:lang w:val="en-GB"/>
        </w:rPr>
        <w:t xml:space="preserve">See: </w:t>
      </w:r>
      <w:proofErr w:type="spellStart"/>
      <w:r w:rsidRPr="00CF5D67">
        <w:rPr>
          <w:rFonts w:ascii="Arial" w:hAnsi="Arial" w:cs="Arial"/>
          <w:lang w:val="en-GB"/>
        </w:rPr>
        <w:t>Fifoot</w:t>
      </w:r>
      <w:proofErr w:type="spellEnd"/>
      <w:r w:rsidRPr="00CF5D67">
        <w:rPr>
          <w:rFonts w:ascii="Arial" w:hAnsi="Arial" w:cs="Arial"/>
          <w:lang w:val="en-GB"/>
        </w:rPr>
        <w:t xml:space="preserve">, CHS. </w:t>
      </w:r>
      <w:r w:rsidRPr="00CF5D67">
        <w:rPr>
          <w:rFonts w:ascii="Arial" w:hAnsi="Arial" w:cs="Arial"/>
          <w:i/>
          <w:lang w:val="en-GB"/>
        </w:rPr>
        <w:t>Lord Mansfield.</w:t>
      </w:r>
      <w:r w:rsidRPr="00CF5D67">
        <w:rPr>
          <w:rFonts w:ascii="Arial" w:hAnsi="Arial" w:cs="Arial"/>
          <w:lang w:val="en-GB"/>
        </w:rPr>
        <w:t xml:space="preserve"> Clarendon Press, Oxford, 1936, pp.85-86 88, 108-10, 220-1. </w:t>
      </w:r>
    </w:p>
  </w:footnote>
  <w:footnote w:id="79">
    <w:p w:rsidR="00C713A2" w:rsidRPr="00CF5D67" w:rsidRDefault="00C713A2" w:rsidP="00CF5D67">
      <w:pPr>
        <w:pStyle w:val="FootnoteText"/>
        <w:jc w:val="both"/>
        <w:rPr>
          <w:rFonts w:ascii="Arial" w:hAnsi="Arial" w:cs="Arial"/>
          <w:lang w:val="en-GB"/>
        </w:rPr>
      </w:pPr>
      <w:r w:rsidRPr="00CF5D67">
        <w:rPr>
          <w:rStyle w:val="FootnoteReference"/>
          <w:rFonts w:ascii="Arial" w:hAnsi="Arial" w:cs="Arial"/>
        </w:rPr>
        <w:footnoteRef/>
      </w:r>
      <w:r w:rsidRPr="00CF5D67">
        <w:rPr>
          <w:rFonts w:ascii="Arial" w:hAnsi="Arial" w:cs="Arial"/>
        </w:rPr>
        <w:t xml:space="preserve"> </w:t>
      </w:r>
      <w:r w:rsidRPr="00CF5D67">
        <w:rPr>
          <w:rFonts w:ascii="Arial" w:hAnsi="Arial" w:cs="Arial"/>
          <w:lang w:val="en-GB"/>
        </w:rPr>
        <w:t>(1768) 4 Burrow 2235; 1 W. Bl.660.</w:t>
      </w:r>
    </w:p>
  </w:footnote>
  <w:footnote w:id="80">
    <w:p w:rsidR="00C713A2" w:rsidRPr="00CF5D67" w:rsidRDefault="00C713A2" w:rsidP="00CF5D67">
      <w:pPr>
        <w:pStyle w:val="FootnoteText"/>
        <w:jc w:val="both"/>
        <w:rPr>
          <w:rFonts w:ascii="Arial" w:hAnsi="Arial" w:cs="Arial"/>
          <w:lang w:val="en-GB"/>
        </w:rPr>
      </w:pPr>
      <w:r w:rsidRPr="00CF5D67">
        <w:rPr>
          <w:rStyle w:val="FootnoteReference"/>
          <w:rFonts w:ascii="Arial" w:hAnsi="Arial" w:cs="Arial"/>
        </w:rPr>
        <w:footnoteRef/>
      </w:r>
      <w:r w:rsidRPr="00CF5D67">
        <w:rPr>
          <w:rFonts w:ascii="Arial" w:hAnsi="Arial" w:cs="Arial"/>
        </w:rPr>
        <w:t xml:space="preserve"> </w:t>
      </w:r>
      <w:r w:rsidRPr="00CF5D67">
        <w:rPr>
          <w:rFonts w:ascii="Arial" w:hAnsi="Arial" w:cs="Arial"/>
          <w:lang w:val="en-GB"/>
        </w:rPr>
        <w:t>(1779) 1 Douglas 170.</w:t>
      </w:r>
    </w:p>
  </w:footnote>
  <w:footnote w:id="81">
    <w:p w:rsidR="00C713A2" w:rsidRPr="00CF5D67" w:rsidRDefault="00C713A2" w:rsidP="00CF5D67">
      <w:pPr>
        <w:pStyle w:val="FootnoteText"/>
        <w:jc w:val="both"/>
        <w:rPr>
          <w:rFonts w:ascii="Arial" w:hAnsi="Arial" w:cs="Arial"/>
          <w:lang w:val="en-GB"/>
        </w:rPr>
      </w:pPr>
      <w:r w:rsidRPr="00CF5D67">
        <w:rPr>
          <w:rStyle w:val="FootnoteReference"/>
          <w:rFonts w:ascii="Arial" w:hAnsi="Arial" w:cs="Arial"/>
        </w:rPr>
        <w:footnoteRef/>
      </w:r>
      <w:r w:rsidRPr="00CF5D67">
        <w:rPr>
          <w:rFonts w:ascii="Arial" w:hAnsi="Arial" w:cs="Arial"/>
        </w:rPr>
        <w:t xml:space="preserve"> (</w:t>
      </w:r>
      <w:r w:rsidRPr="00CF5D67">
        <w:rPr>
          <w:rFonts w:ascii="Arial" w:hAnsi="Arial" w:cs="Arial"/>
          <w:lang w:val="en-GB"/>
        </w:rPr>
        <w:t xml:space="preserve">1779) 1 Douglas 170. </w:t>
      </w:r>
    </w:p>
  </w:footnote>
  <w:footnote w:id="82">
    <w:p w:rsidR="00C713A2" w:rsidRPr="00CF5D67" w:rsidRDefault="00C713A2" w:rsidP="00CF5D67">
      <w:pPr>
        <w:pStyle w:val="FootnoteText"/>
        <w:jc w:val="both"/>
        <w:rPr>
          <w:rFonts w:ascii="Arial" w:hAnsi="Arial" w:cs="Arial"/>
          <w:lang w:val="en-GB"/>
        </w:rPr>
      </w:pPr>
      <w:r w:rsidRPr="00CF5D67">
        <w:rPr>
          <w:rStyle w:val="FootnoteReference"/>
          <w:rFonts w:ascii="Arial" w:hAnsi="Arial" w:cs="Arial"/>
        </w:rPr>
        <w:footnoteRef/>
      </w:r>
      <w:r w:rsidRPr="00CF5D67">
        <w:rPr>
          <w:rFonts w:ascii="Arial" w:hAnsi="Arial" w:cs="Arial"/>
        </w:rPr>
        <w:t xml:space="preserve"> </w:t>
      </w:r>
      <w:r w:rsidRPr="00CF5D67">
        <w:rPr>
          <w:rFonts w:ascii="Arial" w:hAnsi="Arial" w:cs="Arial"/>
          <w:lang w:val="en-GB"/>
        </w:rPr>
        <w:t>(1756) 1 Burr.6.</w:t>
      </w:r>
    </w:p>
  </w:footnote>
  <w:footnote w:id="83">
    <w:p w:rsidR="00C713A2" w:rsidRPr="00CF5D67" w:rsidRDefault="00C713A2" w:rsidP="00CF5D67">
      <w:pPr>
        <w:pStyle w:val="FootnoteText"/>
        <w:jc w:val="both"/>
        <w:rPr>
          <w:rFonts w:ascii="Arial" w:hAnsi="Arial" w:cs="Arial"/>
          <w:lang w:val="en-GB"/>
        </w:rPr>
      </w:pPr>
      <w:r w:rsidRPr="00CF5D67">
        <w:rPr>
          <w:rStyle w:val="FootnoteReference"/>
          <w:rFonts w:ascii="Arial" w:hAnsi="Arial" w:cs="Arial"/>
        </w:rPr>
        <w:footnoteRef/>
      </w:r>
      <w:r w:rsidRPr="00CF5D67">
        <w:rPr>
          <w:rFonts w:ascii="Arial" w:hAnsi="Arial" w:cs="Arial"/>
        </w:rPr>
        <w:t xml:space="preserve"> Poser, NS. </w:t>
      </w:r>
      <w:r w:rsidRPr="00CF5D67">
        <w:rPr>
          <w:rFonts w:ascii="Arial" w:hAnsi="Arial" w:cs="Arial"/>
          <w:i/>
        </w:rPr>
        <w:t>Lord Mansfield – Justice in the Age of Reason</w:t>
      </w:r>
      <w:r w:rsidRPr="00CF5D67">
        <w:rPr>
          <w:rFonts w:ascii="Arial" w:hAnsi="Arial" w:cs="Arial"/>
        </w:rPr>
        <w:t>. McGill-Queen’s University Press, Montreal, 2013, p.202.</w:t>
      </w:r>
    </w:p>
  </w:footnote>
  <w:footnote w:id="84">
    <w:p w:rsidR="00C713A2" w:rsidRPr="00CF5D67" w:rsidRDefault="00C713A2" w:rsidP="00CF5D67">
      <w:pPr>
        <w:pStyle w:val="FootnoteText"/>
        <w:jc w:val="both"/>
        <w:rPr>
          <w:rFonts w:ascii="Arial" w:hAnsi="Arial" w:cs="Arial"/>
          <w:lang w:val="en-GB"/>
        </w:rPr>
      </w:pPr>
      <w:r w:rsidRPr="00CF5D67">
        <w:rPr>
          <w:rStyle w:val="FootnoteReference"/>
          <w:rFonts w:ascii="Arial" w:hAnsi="Arial" w:cs="Arial"/>
        </w:rPr>
        <w:footnoteRef/>
      </w:r>
      <w:r w:rsidRPr="00CF5D67">
        <w:rPr>
          <w:rFonts w:ascii="Arial" w:hAnsi="Arial" w:cs="Arial"/>
        </w:rPr>
        <w:t xml:space="preserve"> (1760) 2 burr 1077; 97 ER 717; 1 WM BL 234; 96 ER 129 and 141.</w:t>
      </w:r>
    </w:p>
  </w:footnote>
  <w:footnote w:id="85">
    <w:p w:rsidR="00C713A2" w:rsidRPr="00CF5D67" w:rsidRDefault="00C713A2" w:rsidP="00CF5D67">
      <w:pPr>
        <w:pStyle w:val="FootnoteText"/>
        <w:jc w:val="both"/>
        <w:rPr>
          <w:rFonts w:ascii="Arial" w:hAnsi="Arial" w:cs="Arial"/>
          <w:lang w:val="en-GB"/>
        </w:rPr>
      </w:pPr>
      <w:r w:rsidRPr="00CF5D67">
        <w:rPr>
          <w:rStyle w:val="FootnoteReference"/>
          <w:rFonts w:ascii="Arial" w:hAnsi="Arial" w:cs="Arial"/>
        </w:rPr>
        <w:footnoteRef/>
      </w:r>
      <w:r w:rsidRPr="00CF5D67">
        <w:rPr>
          <w:rFonts w:ascii="Arial" w:hAnsi="Arial" w:cs="Arial"/>
        </w:rPr>
        <w:t xml:space="preserve"> (1774) 1 </w:t>
      </w:r>
      <w:proofErr w:type="spellStart"/>
      <w:r w:rsidRPr="00CF5D67">
        <w:rPr>
          <w:rFonts w:ascii="Arial" w:hAnsi="Arial" w:cs="Arial"/>
        </w:rPr>
        <w:t>Cowp</w:t>
      </w:r>
      <w:proofErr w:type="spellEnd"/>
      <w:r w:rsidRPr="00CF5D67">
        <w:rPr>
          <w:rFonts w:ascii="Arial" w:hAnsi="Arial" w:cs="Arial"/>
        </w:rPr>
        <w:t xml:space="preserve"> 161; 98 ER 1021.</w:t>
      </w:r>
    </w:p>
  </w:footnote>
  <w:footnote w:id="86">
    <w:p w:rsidR="00C713A2" w:rsidRPr="00CF5D67" w:rsidRDefault="00C713A2" w:rsidP="00CF5D67">
      <w:pPr>
        <w:pStyle w:val="FootnoteText"/>
        <w:jc w:val="both"/>
        <w:rPr>
          <w:rFonts w:ascii="Arial" w:hAnsi="Arial" w:cs="Arial"/>
          <w:color w:val="000000" w:themeColor="text1"/>
          <w:lang w:val="en-GB"/>
        </w:rPr>
      </w:pPr>
      <w:r w:rsidRPr="00CF5D67">
        <w:rPr>
          <w:rStyle w:val="FootnoteReference"/>
          <w:rFonts w:ascii="Arial" w:hAnsi="Arial" w:cs="Arial"/>
          <w:color w:val="000000" w:themeColor="text1"/>
        </w:rPr>
        <w:footnoteRef/>
      </w:r>
      <w:r w:rsidRPr="00CF5D67">
        <w:rPr>
          <w:rFonts w:ascii="Arial" w:hAnsi="Arial" w:cs="Arial"/>
          <w:color w:val="000000" w:themeColor="text1"/>
        </w:rPr>
        <w:t xml:space="preserve"> </w:t>
      </w:r>
      <w:r w:rsidRPr="00CF5D67">
        <w:rPr>
          <w:rFonts w:ascii="Arial" w:hAnsi="Arial" w:cs="Arial"/>
          <w:color w:val="000000" w:themeColor="text1"/>
          <w:lang w:val="en-GB"/>
        </w:rPr>
        <w:t xml:space="preserve">(1775) 1 </w:t>
      </w:r>
      <w:proofErr w:type="spellStart"/>
      <w:r w:rsidRPr="00CF5D67">
        <w:rPr>
          <w:rFonts w:ascii="Arial" w:hAnsi="Arial" w:cs="Arial"/>
          <w:color w:val="000000" w:themeColor="text1"/>
          <w:lang w:val="en-GB"/>
        </w:rPr>
        <w:t>Cowp</w:t>
      </w:r>
      <w:proofErr w:type="spellEnd"/>
      <w:r w:rsidRPr="00CF5D67">
        <w:rPr>
          <w:rFonts w:ascii="Arial" w:hAnsi="Arial" w:cs="Arial"/>
          <w:color w:val="000000" w:themeColor="text1"/>
          <w:lang w:val="en-GB"/>
        </w:rPr>
        <w:t xml:space="preserve"> 341. (Hereafter </w:t>
      </w:r>
      <w:r w:rsidRPr="00CF5D67">
        <w:rPr>
          <w:rFonts w:ascii="Arial" w:hAnsi="Arial" w:cs="Arial"/>
          <w:i/>
          <w:color w:val="000000" w:themeColor="text1"/>
          <w:lang w:val="en-GB"/>
        </w:rPr>
        <w:t>Holman</w:t>
      </w:r>
      <w:r w:rsidRPr="00CF5D67">
        <w:rPr>
          <w:rFonts w:ascii="Arial" w:hAnsi="Arial" w:cs="Arial"/>
          <w:color w:val="000000" w:themeColor="text1"/>
          <w:lang w:val="en-GB"/>
        </w:rPr>
        <w:t>).</w:t>
      </w:r>
    </w:p>
  </w:footnote>
  <w:footnote w:id="87">
    <w:p w:rsidR="00C713A2" w:rsidRPr="00CF5D67" w:rsidRDefault="00C713A2" w:rsidP="00CF5D67">
      <w:pPr>
        <w:pStyle w:val="FootnoteText"/>
        <w:jc w:val="both"/>
        <w:rPr>
          <w:rFonts w:ascii="Arial" w:hAnsi="Arial" w:cs="Arial"/>
          <w:lang w:val="en-GB"/>
        </w:rPr>
      </w:pPr>
      <w:r w:rsidRPr="00CF5D67">
        <w:rPr>
          <w:rStyle w:val="FootnoteReference"/>
          <w:rFonts w:ascii="Arial" w:hAnsi="Arial" w:cs="Arial"/>
          <w:color w:val="000000" w:themeColor="text1"/>
        </w:rPr>
        <w:footnoteRef/>
      </w:r>
      <w:r w:rsidRPr="00CF5D67">
        <w:rPr>
          <w:rFonts w:ascii="Arial" w:hAnsi="Arial" w:cs="Arial"/>
          <w:color w:val="000000" w:themeColor="text1"/>
        </w:rPr>
        <w:t xml:space="preserve"> </w:t>
      </w:r>
      <w:r w:rsidRPr="00CF5D67">
        <w:rPr>
          <w:rFonts w:ascii="Arial" w:hAnsi="Arial" w:cs="Arial"/>
          <w:color w:val="000000" w:themeColor="text1"/>
          <w:lang w:val="en-GB"/>
        </w:rPr>
        <w:t xml:space="preserve">(1775) 1 </w:t>
      </w:r>
      <w:proofErr w:type="spellStart"/>
      <w:r w:rsidRPr="00CF5D67">
        <w:rPr>
          <w:rFonts w:ascii="Arial" w:hAnsi="Arial" w:cs="Arial"/>
          <w:color w:val="000000" w:themeColor="text1"/>
          <w:lang w:val="en-GB"/>
        </w:rPr>
        <w:t>Cowp</w:t>
      </w:r>
      <w:proofErr w:type="spellEnd"/>
      <w:r w:rsidRPr="00CF5D67">
        <w:rPr>
          <w:rFonts w:ascii="Arial" w:hAnsi="Arial" w:cs="Arial"/>
          <w:color w:val="000000" w:themeColor="text1"/>
          <w:lang w:val="en-GB"/>
        </w:rPr>
        <w:t xml:space="preserve"> 341.</w:t>
      </w:r>
    </w:p>
  </w:footnote>
  <w:footnote w:id="88">
    <w:p w:rsidR="00C713A2" w:rsidRPr="00CF5D67" w:rsidRDefault="00C713A2" w:rsidP="00CF5D67">
      <w:pPr>
        <w:pStyle w:val="FootnoteText"/>
        <w:jc w:val="both"/>
        <w:rPr>
          <w:rFonts w:ascii="Arial" w:hAnsi="Arial" w:cs="Arial"/>
          <w:lang w:val="en-GB"/>
        </w:rPr>
      </w:pPr>
      <w:r w:rsidRPr="00CF5D67">
        <w:rPr>
          <w:rStyle w:val="FootnoteReference"/>
          <w:rFonts w:ascii="Arial" w:hAnsi="Arial" w:cs="Arial"/>
        </w:rPr>
        <w:footnoteRef/>
      </w:r>
      <w:r w:rsidRPr="00CF5D67">
        <w:rPr>
          <w:rFonts w:ascii="Arial" w:hAnsi="Arial" w:cs="Arial"/>
        </w:rPr>
        <w:t xml:space="preserve"> (1760) 2 burr 1077; 97 ER 717; 1 WM BL 234; 96 ER 129 and 141.</w:t>
      </w:r>
    </w:p>
  </w:footnote>
  <w:footnote w:id="89">
    <w:p w:rsidR="00C713A2" w:rsidRPr="00CF5D67" w:rsidRDefault="00C713A2" w:rsidP="00CF5D67">
      <w:pPr>
        <w:pStyle w:val="FootnoteText"/>
        <w:jc w:val="both"/>
        <w:rPr>
          <w:rFonts w:ascii="Arial" w:hAnsi="Arial" w:cs="Arial"/>
          <w:lang w:val="en-GB"/>
        </w:rPr>
      </w:pPr>
      <w:r w:rsidRPr="00CF5D67">
        <w:rPr>
          <w:rStyle w:val="FootnoteReference"/>
          <w:rFonts w:ascii="Arial" w:hAnsi="Arial" w:cs="Arial"/>
        </w:rPr>
        <w:footnoteRef/>
      </w:r>
      <w:r w:rsidRPr="00CF5D67">
        <w:rPr>
          <w:rFonts w:ascii="Arial" w:hAnsi="Arial" w:cs="Arial"/>
        </w:rPr>
        <w:t xml:space="preserve"> </w:t>
      </w:r>
      <w:r w:rsidRPr="00CF5D67">
        <w:rPr>
          <w:rFonts w:ascii="Arial" w:hAnsi="Arial" w:cs="Arial"/>
          <w:i/>
        </w:rPr>
        <w:t>Ibid.</w:t>
      </w:r>
    </w:p>
  </w:footnote>
  <w:footnote w:id="90">
    <w:p w:rsidR="00C713A2" w:rsidRPr="00CF5D67" w:rsidRDefault="00C713A2" w:rsidP="00CF5D67">
      <w:pPr>
        <w:pStyle w:val="FootnoteText"/>
        <w:jc w:val="both"/>
        <w:rPr>
          <w:rFonts w:ascii="Arial" w:hAnsi="Arial" w:cs="Arial"/>
          <w:lang w:val="en-GB"/>
        </w:rPr>
      </w:pPr>
      <w:r w:rsidRPr="00CF5D67">
        <w:rPr>
          <w:rStyle w:val="FootnoteReference"/>
          <w:rFonts w:ascii="Arial" w:hAnsi="Arial" w:cs="Arial"/>
        </w:rPr>
        <w:footnoteRef/>
      </w:r>
      <w:r w:rsidRPr="00CF5D67">
        <w:rPr>
          <w:rFonts w:ascii="Arial" w:hAnsi="Arial" w:cs="Arial"/>
        </w:rPr>
        <w:t xml:space="preserve"> </w:t>
      </w:r>
      <w:r w:rsidRPr="00CF5D67">
        <w:rPr>
          <w:rFonts w:ascii="Arial" w:hAnsi="Arial" w:cs="Arial"/>
          <w:i/>
        </w:rPr>
        <w:t>Ibid.</w:t>
      </w:r>
      <w:r w:rsidRPr="00CF5D67">
        <w:rPr>
          <w:rFonts w:ascii="Arial" w:hAnsi="Arial" w:cs="Arial"/>
        </w:rPr>
        <w:t xml:space="preserve"> </w:t>
      </w:r>
    </w:p>
  </w:footnote>
  <w:footnote w:id="91">
    <w:p w:rsidR="00C713A2" w:rsidRPr="00CF5D67" w:rsidRDefault="00C713A2" w:rsidP="00CF5D67">
      <w:pPr>
        <w:pStyle w:val="FootnoteText"/>
        <w:jc w:val="both"/>
        <w:rPr>
          <w:rFonts w:ascii="Arial" w:hAnsi="Arial" w:cs="Arial"/>
          <w:lang w:val="en-GB"/>
        </w:rPr>
      </w:pPr>
      <w:r w:rsidRPr="00CF5D67">
        <w:rPr>
          <w:rStyle w:val="FootnoteReference"/>
          <w:rFonts w:ascii="Arial" w:hAnsi="Arial" w:cs="Arial"/>
        </w:rPr>
        <w:footnoteRef/>
      </w:r>
      <w:r w:rsidRPr="00CF5D67">
        <w:rPr>
          <w:rFonts w:ascii="Arial" w:hAnsi="Arial" w:cs="Arial"/>
        </w:rPr>
        <w:t xml:space="preserve"> </w:t>
      </w:r>
      <w:r w:rsidRPr="00CF5D67">
        <w:rPr>
          <w:rFonts w:ascii="Arial" w:hAnsi="Arial" w:cs="Arial"/>
          <w:i/>
          <w:lang w:val="en-GB"/>
        </w:rPr>
        <w:t>Campbell Lives</w:t>
      </w:r>
      <w:r w:rsidRPr="00CF5D67">
        <w:rPr>
          <w:rFonts w:ascii="Arial" w:hAnsi="Arial" w:cs="Arial"/>
          <w:lang w:val="en-GB"/>
        </w:rPr>
        <w:t>, p.445, 446.</w:t>
      </w:r>
    </w:p>
  </w:footnote>
  <w:footnote w:id="92">
    <w:p w:rsidR="00C713A2" w:rsidRPr="00CF5D67" w:rsidRDefault="00C713A2" w:rsidP="00CF5D67">
      <w:pPr>
        <w:pStyle w:val="FootnoteText"/>
        <w:jc w:val="both"/>
        <w:rPr>
          <w:rFonts w:ascii="Arial" w:hAnsi="Arial" w:cs="Arial"/>
          <w:lang w:val="en-GB"/>
        </w:rPr>
      </w:pPr>
      <w:r w:rsidRPr="00CF5D67">
        <w:rPr>
          <w:rStyle w:val="FootnoteReference"/>
          <w:rFonts w:ascii="Arial" w:hAnsi="Arial" w:cs="Arial"/>
        </w:rPr>
        <w:footnoteRef/>
      </w:r>
      <w:r w:rsidRPr="00CF5D67">
        <w:rPr>
          <w:rFonts w:ascii="Arial" w:hAnsi="Arial" w:cs="Arial"/>
        </w:rPr>
        <w:t xml:space="preserve"> </w:t>
      </w:r>
      <w:r w:rsidRPr="00CF5D67">
        <w:rPr>
          <w:rFonts w:ascii="Arial" w:hAnsi="Arial" w:cs="Arial"/>
          <w:i/>
          <w:lang w:val="en-GB"/>
        </w:rPr>
        <w:t>Campbell Lives</w:t>
      </w:r>
      <w:r w:rsidRPr="00CF5D67">
        <w:rPr>
          <w:rFonts w:ascii="Arial" w:hAnsi="Arial" w:cs="Arial"/>
          <w:lang w:val="en-GB"/>
        </w:rPr>
        <w:t>, pp.452 &amp; 453.</w:t>
      </w:r>
    </w:p>
  </w:footnote>
  <w:footnote w:id="93">
    <w:p w:rsidR="00C713A2" w:rsidRPr="00CF5D67" w:rsidRDefault="00C713A2" w:rsidP="00CF5D67">
      <w:pPr>
        <w:pStyle w:val="FootnoteText"/>
        <w:jc w:val="both"/>
        <w:rPr>
          <w:rFonts w:ascii="Arial" w:hAnsi="Arial" w:cs="Arial"/>
          <w:lang w:val="en-GB"/>
        </w:rPr>
      </w:pPr>
      <w:r w:rsidRPr="00CF5D67">
        <w:rPr>
          <w:rStyle w:val="FootnoteReference"/>
          <w:rFonts w:ascii="Arial" w:hAnsi="Arial" w:cs="Arial"/>
        </w:rPr>
        <w:footnoteRef/>
      </w:r>
      <w:r w:rsidRPr="00CF5D67">
        <w:rPr>
          <w:rFonts w:ascii="Arial" w:hAnsi="Arial" w:cs="Arial"/>
        </w:rPr>
        <w:t xml:space="preserve"> </w:t>
      </w:r>
      <w:r w:rsidRPr="00CF5D67">
        <w:rPr>
          <w:rFonts w:ascii="Arial" w:hAnsi="Arial" w:cs="Arial"/>
          <w:lang w:val="en-GB"/>
        </w:rPr>
        <w:t xml:space="preserve">See: </w:t>
      </w:r>
      <w:proofErr w:type="spellStart"/>
      <w:r w:rsidRPr="00CF5D67">
        <w:rPr>
          <w:rFonts w:ascii="Arial" w:hAnsi="Arial" w:cs="Arial"/>
          <w:lang w:val="en-GB"/>
        </w:rPr>
        <w:t>Fifoot</w:t>
      </w:r>
      <w:proofErr w:type="spellEnd"/>
      <w:r w:rsidRPr="00CF5D67">
        <w:rPr>
          <w:rFonts w:ascii="Arial" w:hAnsi="Arial" w:cs="Arial"/>
          <w:lang w:val="en-GB"/>
        </w:rPr>
        <w:t xml:space="preserve">, CHS. </w:t>
      </w:r>
      <w:r w:rsidRPr="00CF5D67">
        <w:rPr>
          <w:rFonts w:ascii="Arial" w:hAnsi="Arial" w:cs="Arial"/>
          <w:i/>
          <w:lang w:val="en-GB"/>
        </w:rPr>
        <w:t>Lord Mansfield.</w:t>
      </w:r>
      <w:r w:rsidRPr="00CF5D67">
        <w:rPr>
          <w:rFonts w:ascii="Arial" w:hAnsi="Arial" w:cs="Arial"/>
          <w:lang w:val="en-GB"/>
        </w:rPr>
        <w:t xml:space="preserve"> Clarendon Press, Oxford, 1936.</w:t>
      </w:r>
    </w:p>
  </w:footnote>
  <w:footnote w:id="94">
    <w:p w:rsidR="00C713A2" w:rsidRPr="00CF5D67" w:rsidRDefault="00C713A2" w:rsidP="00CF5D67">
      <w:pPr>
        <w:pStyle w:val="FootnoteText"/>
        <w:jc w:val="both"/>
        <w:rPr>
          <w:rFonts w:ascii="Arial" w:hAnsi="Arial" w:cs="Arial"/>
          <w:lang w:val="en-GB"/>
        </w:rPr>
      </w:pPr>
      <w:r w:rsidRPr="00CF5D67">
        <w:rPr>
          <w:rStyle w:val="FootnoteReference"/>
          <w:rFonts w:ascii="Arial" w:hAnsi="Arial" w:cs="Arial"/>
        </w:rPr>
        <w:footnoteRef/>
      </w:r>
      <w:r w:rsidRPr="00CF5D67">
        <w:rPr>
          <w:rFonts w:ascii="Arial" w:hAnsi="Arial" w:cs="Arial"/>
        </w:rPr>
        <w:t xml:space="preserve"> </w:t>
      </w:r>
      <w:r w:rsidRPr="00CF5D67">
        <w:rPr>
          <w:rFonts w:ascii="Arial" w:hAnsi="Arial" w:cs="Arial"/>
          <w:lang w:val="en-GB"/>
        </w:rPr>
        <w:t xml:space="preserve">See Oldham, J.  </w:t>
      </w:r>
      <w:r w:rsidRPr="00CF5D67">
        <w:rPr>
          <w:rFonts w:ascii="Arial" w:hAnsi="Arial" w:cs="Arial"/>
          <w:i/>
          <w:lang w:val="en-GB"/>
        </w:rPr>
        <w:t>Murray, William, first earl of Mansfield (1705–1793), judge and politician.</w:t>
      </w:r>
      <w:r w:rsidRPr="00CF5D67">
        <w:rPr>
          <w:rFonts w:ascii="Arial" w:hAnsi="Arial" w:cs="Arial"/>
          <w:lang w:val="en-GB"/>
        </w:rPr>
        <w:t xml:space="preserve"> Oxford Dictionary of National Biography, Oxford, 2008.</w:t>
      </w:r>
    </w:p>
  </w:footnote>
  <w:footnote w:id="95">
    <w:p w:rsidR="00C713A2" w:rsidRPr="00CF5D67" w:rsidRDefault="00C713A2" w:rsidP="00CF5D67">
      <w:pPr>
        <w:pStyle w:val="FootnoteText"/>
        <w:jc w:val="both"/>
        <w:rPr>
          <w:rFonts w:ascii="Arial" w:hAnsi="Arial" w:cs="Arial"/>
          <w:lang w:val="en-GB"/>
        </w:rPr>
      </w:pPr>
      <w:r w:rsidRPr="00CF5D67">
        <w:rPr>
          <w:rStyle w:val="FootnoteReference"/>
          <w:rFonts w:ascii="Arial" w:hAnsi="Arial" w:cs="Arial"/>
        </w:rPr>
        <w:footnoteRef/>
      </w:r>
      <w:r w:rsidRPr="00CF5D67">
        <w:rPr>
          <w:rFonts w:ascii="Arial" w:hAnsi="Arial" w:cs="Arial"/>
        </w:rPr>
        <w:t xml:space="preserve"> Poser, NS. </w:t>
      </w:r>
      <w:r w:rsidRPr="00CF5D67">
        <w:rPr>
          <w:rFonts w:ascii="Arial" w:hAnsi="Arial" w:cs="Arial"/>
          <w:i/>
        </w:rPr>
        <w:t>Lord Mansfield – Justice in the Age of Reason</w:t>
      </w:r>
      <w:r w:rsidRPr="00CF5D67">
        <w:rPr>
          <w:rFonts w:ascii="Arial" w:hAnsi="Arial" w:cs="Arial"/>
        </w:rPr>
        <w:t>. McGill-Queen’s University Press, Montreal, 2013. (pp.202-203 on bankruptcy).</w:t>
      </w:r>
    </w:p>
  </w:footnote>
  <w:footnote w:id="96">
    <w:p w:rsidR="00C713A2" w:rsidRPr="00CF5D67" w:rsidRDefault="00C713A2" w:rsidP="00CF5D67">
      <w:pPr>
        <w:pStyle w:val="FootnoteText"/>
        <w:jc w:val="both"/>
        <w:rPr>
          <w:rFonts w:ascii="Arial" w:hAnsi="Arial" w:cs="Arial"/>
          <w:lang w:val="en-GB"/>
        </w:rPr>
      </w:pPr>
      <w:r w:rsidRPr="00CF5D67">
        <w:rPr>
          <w:rStyle w:val="FootnoteReference"/>
          <w:rFonts w:ascii="Arial" w:hAnsi="Arial" w:cs="Arial"/>
        </w:rPr>
        <w:footnoteRef/>
      </w:r>
      <w:r w:rsidRPr="00CF5D67">
        <w:rPr>
          <w:rFonts w:ascii="Arial" w:hAnsi="Arial" w:cs="Arial"/>
        </w:rPr>
        <w:t xml:space="preserve"> </w:t>
      </w:r>
      <w:r w:rsidRPr="00CF5D67">
        <w:rPr>
          <w:rFonts w:ascii="Arial" w:hAnsi="Arial" w:cs="Arial"/>
          <w:i/>
          <w:lang w:val="en-GB"/>
        </w:rPr>
        <w:t>Campbell Lives</w:t>
      </w:r>
      <w:r w:rsidRPr="00CF5D67">
        <w:rPr>
          <w:rFonts w:ascii="Arial" w:hAnsi="Arial" w:cs="Arial"/>
          <w:lang w:val="en-GB"/>
        </w:rPr>
        <w:t xml:space="preserve">, p.465, citing 20 </w:t>
      </w:r>
      <w:proofErr w:type="spellStart"/>
      <w:r w:rsidRPr="00CF5D67">
        <w:rPr>
          <w:rFonts w:ascii="Arial" w:hAnsi="Arial" w:cs="Arial"/>
          <w:lang w:val="en-GB"/>
        </w:rPr>
        <w:t>Parl</w:t>
      </w:r>
      <w:proofErr w:type="spellEnd"/>
      <w:r w:rsidRPr="00CF5D67">
        <w:rPr>
          <w:rFonts w:ascii="Arial" w:hAnsi="Arial" w:cs="Arial"/>
          <w:lang w:val="en-GB"/>
        </w:rPr>
        <w:t xml:space="preserve"> Hist. 569.</w:t>
      </w:r>
    </w:p>
  </w:footnote>
  <w:footnote w:id="97">
    <w:p w:rsidR="00C713A2" w:rsidRPr="00CF5D67" w:rsidRDefault="00C713A2" w:rsidP="00CF5D67">
      <w:pPr>
        <w:pStyle w:val="FootnoteText"/>
        <w:jc w:val="both"/>
        <w:rPr>
          <w:rFonts w:ascii="Arial" w:hAnsi="Arial" w:cs="Arial"/>
          <w:lang w:val="en-GB"/>
        </w:rPr>
      </w:pPr>
      <w:r w:rsidRPr="00CF5D67">
        <w:rPr>
          <w:rStyle w:val="FootnoteReference"/>
          <w:rFonts w:ascii="Arial" w:hAnsi="Arial" w:cs="Arial"/>
        </w:rPr>
        <w:footnoteRef/>
      </w:r>
      <w:r w:rsidRPr="00CF5D67">
        <w:rPr>
          <w:rFonts w:ascii="Arial" w:hAnsi="Arial" w:cs="Arial"/>
        </w:rPr>
        <w:t xml:space="preserve"> </w:t>
      </w:r>
      <w:r w:rsidRPr="00CF5D67">
        <w:rPr>
          <w:rFonts w:ascii="Arial" w:hAnsi="Arial" w:cs="Arial"/>
          <w:color w:val="000000" w:themeColor="text1"/>
          <w:lang w:val="en-GB"/>
        </w:rPr>
        <w:t xml:space="preserve">See: </w:t>
      </w:r>
      <w:r w:rsidRPr="00CF5D67">
        <w:rPr>
          <w:rFonts w:ascii="Arial" w:hAnsi="Arial" w:cs="Arial"/>
          <w:i/>
          <w:color w:val="000000" w:themeColor="text1"/>
          <w:lang w:val="en-GB"/>
        </w:rPr>
        <w:t>Fletcher International</w:t>
      </w:r>
      <w:r w:rsidRPr="00CF5D67">
        <w:rPr>
          <w:rFonts w:ascii="Arial" w:hAnsi="Arial" w:cs="Arial"/>
          <w:color w:val="000000" w:themeColor="text1"/>
          <w:lang w:val="en-GB"/>
        </w:rPr>
        <w:t>, p.15.</w:t>
      </w:r>
    </w:p>
  </w:footnote>
  <w:footnote w:id="98">
    <w:p w:rsidR="00C713A2" w:rsidRPr="00A846C6" w:rsidRDefault="00C713A2" w:rsidP="00A846C6">
      <w:pPr>
        <w:pStyle w:val="FootnoteText"/>
        <w:jc w:val="both"/>
        <w:rPr>
          <w:lang w:val="en-GB"/>
        </w:rPr>
      </w:pPr>
      <w:r>
        <w:rPr>
          <w:rStyle w:val="FootnoteReference"/>
        </w:rPr>
        <w:footnoteRef/>
      </w:r>
      <w:r>
        <w:t xml:space="preserve"> </w:t>
      </w:r>
      <w:r>
        <w:rPr>
          <w:lang w:val="en-GB"/>
        </w:rPr>
        <w:t xml:space="preserve">It should be noted that Government policy documents have also referred to the case in a positive light, e.g. viewing </w:t>
      </w:r>
      <w:proofErr w:type="spellStart"/>
      <w:r w:rsidRPr="00DA4D1F">
        <w:rPr>
          <w:i/>
          <w:lang w:val="en-GB"/>
        </w:rPr>
        <w:t>Solomons</w:t>
      </w:r>
      <w:proofErr w:type="spellEnd"/>
      <w:r w:rsidRPr="00DA4D1F">
        <w:rPr>
          <w:i/>
          <w:lang w:val="en-GB"/>
        </w:rPr>
        <w:t xml:space="preserve"> v. Ross</w:t>
      </w:r>
      <w:r>
        <w:rPr>
          <w:lang w:val="en-GB"/>
        </w:rPr>
        <w:t xml:space="preserve"> as an application of a “liberal conflicts rule“ See: </w:t>
      </w:r>
      <w:r w:rsidRPr="00A846C6">
        <w:rPr>
          <w:lang w:val="en-GB"/>
        </w:rPr>
        <w:t>Bankruptcy Reform Act of 1978 - Hearings before the Subcommittee on Improvements in Judicial Machinery of the Committee on the Judiciary, Senate, 95th Congress, 1st Session, on S. 2266 and H.R. 8200, November 28, 29 and December 1, 1977. Part 2; p. 411-1316</w:t>
      </w:r>
      <w:r>
        <w:rPr>
          <w:lang w:val="en-GB"/>
        </w:rPr>
        <w:t xml:space="preserve">. (Hereafter </w:t>
      </w:r>
      <w:r w:rsidRPr="00A846C6">
        <w:rPr>
          <w:i/>
          <w:lang w:val="en-GB"/>
        </w:rPr>
        <w:t>Senate Bankruptcy</w:t>
      </w:r>
      <w:r>
        <w:rPr>
          <w:lang w:val="en-GB"/>
        </w:rPr>
        <w:t xml:space="preserve">). </w:t>
      </w:r>
    </w:p>
  </w:footnote>
  <w:footnote w:id="99">
    <w:p w:rsidR="00C713A2" w:rsidRPr="00FE6377" w:rsidRDefault="00C713A2" w:rsidP="00A846C6">
      <w:pPr>
        <w:pStyle w:val="FootnoteText"/>
        <w:jc w:val="both"/>
        <w:rPr>
          <w:rFonts w:ascii="Arial" w:hAnsi="Arial" w:cs="Arial"/>
          <w:lang w:val="en-GB"/>
        </w:rPr>
      </w:pPr>
      <w:r w:rsidRPr="00FE6377">
        <w:rPr>
          <w:rStyle w:val="FootnoteReference"/>
          <w:rFonts w:ascii="Arial" w:hAnsi="Arial" w:cs="Arial"/>
        </w:rPr>
        <w:footnoteRef/>
      </w:r>
      <w:r w:rsidRPr="00FE6377">
        <w:rPr>
          <w:rFonts w:ascii="Arial" w:hAnsi="Arial" w:cs="Arial"/>
        </w:rPr>
        <w:t xml:space="preserve"> </w:t>
      </w:r>
      <w:r w:rsidRPr="00FE6377">
        <w:rPr>
          <w:rFonts w:ascii="Arial" w:hAnsi="Arial" w:cs="Arial"/>
          <w:lang w:val="en-GB"/>
        </w:rPr>
        <w:t xml:space="preserve">See for example: (1) </w:t>
      </w:r>
      <w:proofErr w:type="spellStart"/>
      <w:r w:rsidRPr="00FE6377">
        <w:rPr>
          <w:rFonts w:ascii="Arial" w:hAnsi="Arial" w:cs="Arial"/>
          <w:i/>
          <w:lang w:val="en-GB"/>
        </w:rPr>
        <w:t>Folliott</w:t>
      </w:r>
      <w:proofErr w:type="spellEnd"/>
      <w:r w:rsidRPr="00FE6377">
        <w:rPr>
          <w:rFonts w:ascii="Arial" w:hAnsi="Arial" w:cs="Arial"/>
          <w:i/>
          <w:lang w:val="en-GB"/>
        </w:rPr>
        <w:t xml:space="preserve"> v. Ogden</w:t>
      </w:r>
      <w:r w:rsidRPr="00FE6377">
        <w:rPr>
          <w:rFonts w:ascii="Arial" w:hAnsi="Arial" w:cs="Arial"/>
          <w:lang w:val="en-GB"/>
        </w:rPr>
        <w:t xml:space="preserve"> 1 H. BL. 132.126 Eng. Rep. 75 (1486-1865); (2) </w:t>
      </w:r>
      <w:r w:rsidRPr="00FE6377">
        <w:rPr>
          <w:rFonts w:ascii="Arial" w:hAnsi="Arial" w:cs="Arial"/>
          <w:i/>
          <w:lang w:val="en-GB"/>
        </w:rPr>
        <w:t xml:space="preserve">Sill v. </w:t>
      </w:r>
      <w:proofErr w:type="spellStart"/>
      <w:r w:rsidRPr="00FE6377">
        <w:rPr>
          <w:rFonts w:ascii="Arial" w:hAnsi="Arial" w:cs="Arial"/>
          <w:i/>
          <w:lang w:val="en-GB"/>
        </w:rPr>
        <w:t>Worswick</w:t>
      </w:r>
      <w:proofErr w:type="spellEnd"/>
      <w:r w:rsidRPr="00FE6377">
        <w:rPr>
          <w:rFonts w:ascii="Arial" w:hAnsi="Arial" w:cs="Arial"/>
          <w:lang w:val="en-GB"/>
        </w:rPr>
        <w:t xml:space="preserve"> 1 H. Bl. 665; 126 Eng. Rep. 379 (1486-1865); (3) </w:t>
      </w:r>
      <w:r w:rsidRPr="00FE6377">
        <w:rPr>
          <w:rFonts w:ascii="Arial" w:hAnsi="Arial" w:cs="Arial"/>
          <w:i/>
          <w:lang w:val="en-GB"/>
        </w:rPr>
        <w:t>Smith v. Buchanan,</w:t>
      </w:r>
      <w:r w:rsidRPr="00FE6377">
        <w:rPr>
          <w:rFonts w:ascii="Arial" w:hAnsi="Arial" w:cs="Arial"/>
          <w:lang w:val="en-GB"/>
        </w:rPr>
        <w:t xml:space="preserve"> 1 East, 6; 102 Eng. Rep. 3; (4) </w:t>
      </w:r>
      <w:proofErr w:type="spellStart"/>
      <w:r w:rsidRPr="00FE6377">
        <w:rPr>
          <w:rFonts w:ascii="Arial" w:hAnsi="Arial" w:cs="Arial"/>
          <w:i/>
          <w:lang w:val="en-GB"/>
        </w:rPr>
        <w:t>Hovil</w:t>
      </w:r>
      <w:proofErr w:type="spellEnd"/>
      <w:r w:rsidRPr="00FE6377">
        <w:rPr>
          <w:rFonts w:ascii="Arial" w:hAnsi="Arial" w:cs="Arial"/>
          <w:i/>
          <w:lang w:val="en-GB"/>
        </w:rPr>
        <w:t xml:space="preserve"> v. Browning</w:t>
      </w:r>
      <w:r w:rsidRPr="00FE6377">
        <w:rPr>
          <w:rFonts w:ascii="Arial" w:hAnsi="Arial" w:cs="Arial"/>
          <w:lang w:val="en-GB"/>
        </w:rPr>
        <w:t xml:space="preserve">, 7 East, 154; 103 Eng. Rep. 59; (5) </w:t>
      </w:r>
      <w:proofErr w:type="spellStart"/>
      <w:r w:rsidRPr="00FE6377">
        <w:rPr>
          <w:rFonts w:ascii="Arial" w:hAnsi="Arial" w:cs="Arial"/>
          <w:i/>
          <w:lang w:val="en-GB"/>
        </w:rPr>
        <w:t>Trimbey</w:t>
      </w:r>
      <w:proofErr w:type="spellEnd"/>
      <w:r w:rsidRPr="00FE6377">
        <w:rPr>
          <w:rFonts w:ascii="Arial" w:hAnsi="Arial" w:cs="Arial"/>
          <w:i/>
          <w:lang w:val="en-GB"/>
        </w:rPr>
        <w:t xml:space="preserve"> v. </w:t>
      </w:r>
      <w:proofErr w:type="spellStart"/>
      <w:r w:rsidRPr="00FE6377">
        <w:rPr>
          <w:rFonts w:ascii="Arial" w:hAnsi="Arial" w:cs="Arial"/>
          <w:i/>
          <w:lang w:val="en-GB"/>
        </w:rPr>
        <w:t>Vignier</w:t>
      </w:r>
      <w:proofErr w:type="spellEnd"/>
      <w:r w:rsidRPr="00FE6377">
        <w:rPr>
          <w:rFonts w:ascii="Arial" w:hAnsi="Arial" w:cs="Arial"/>
          <w:lang w:val="en-GB"/>
        </w:rPr>
        <w:t xml:space="preserve">, 1 Bing. (N. C.) 151, 131 Eng. Rep. 1075 (1486-1865); (6) </w:t>
      </w:r>
      <w:r w:rsidRPr="00FE6377">
        <w:rPr>
          <w:rFonts w:ascii="Arial" w:hAnsi="Arial" w:cs="Arial"/>
          <w:i/>
          <w:lang w:val="en-GB"/>
        </w:rPr>
        <w:t>Hunter v. Potts</w:t>
      </w:r>
      <w:r w:rsidRPr="00FE6377">
        <w:rPr>
          <w:rFonts w:ascii="Arial" w:hAnsi="Arial" w:cs="Arial"/>
          <w:lang w:val="en-GB"/>
        </w:rPr>
        <w:t xml:space="preserve">, 4 T. R. 182; 100 Eng. Rep. 962; (7) </w:t>
      </w:r>
      <w:proofErr w:type="spellStart"/>
      <w:r w:rsidRPr="00FE6377">
        <w:rPr>
          <w:rFonts w:ascii="Arial" w:hAnsi="Arial" w:cs="Arial"/>
          <w:i/>
          <w:lang w:val="en-GB"/>
        </w:rPr>
        <w:t>Selknig</w:t>
      </w:r>
      <w:proofErr w:type="spellEnd"/>
      <w:r w:rsidRPr="00FE6377">
        <w:rPr>
          <w:rFonts w:ascii="Arial" w:hAnsi="Arial" w:cs="Arial"/>
          <w:i/>
          <w:lang w:val="en-GB"/>
        </w:rPr>
        <w:t xml:space="preserve"> v. Davies</w:t>
      </w:r>
      <w:r w:rsidRPr="00FE6377">
        <w:rPr>
          <w:rFonts w:ascii="Arial" w:hAnsi="Arial" w:cs="Arial"/>
          <w:lang w:val="en-GB"/>
        </w:rPr>
        <w:t xml:space="preserve">, 2 Dow P. C. 230; 3 Eng. Rep. 848 (8) </w:t>
      </w:r>
      <w:proofErr w:type="spellStart"/>
      <w:r w:rsidRPr="00FE6377">
        <w:rPr>
          <w:rFonts w:ascii="Arial" w:hAnsi="Arial" w:cs="Arial"/>
          <w:i/>
          <w:lang w:val="en-GB"/>
        </w:rPr>
        <w:t>Sieveking</w:t>
      </w:r>
      <w:proofErr w:type="spellEnd"/>
      <w:r w:rsidRPr="00FE6377">
        <w:rPr>
          <w:rFonts w:ascii="Arial" w:hAnsi="Arial" w:cs="Arial"/>
          <w:i/>
          <w:lang w:val="en-GB"/>
        </w:rPr>
        <w:t xml:space="preserve"> v. Behrens</w:t>
      </w:r>
      <w:r w:rsidRPr="00FE6377">
        <w:rPr>
          <w:rFonts w:ascii="Arial" w:hAnsi="Arial" w:cs="Arial"/>
          <w:lang w:val="en-GB"/>
        </w:rPr>
        <w:t xml:space="preserve">, 2 My. &amp; Cr. 581; 40 Eng. Rep. 761 (9) </w:t>
      </w:r>
      <w:r w:rsidRPr="00FE6377">
        <w:rPr>
          <w:rFonts w:ascii="Arial" w:hAnsi="Arial" w:cs="Arial"/>
          <w:i/>
          <w:lang w:val="en-GB"/>
        </w:rPr>
        <w:t>Phillips v. Hunter</w:t>
      </w:r>
      <w:r w:rsidRPr="00FE6377">
        <w:rPr>
          <w:rFonts w:ascii="Arial" w:hAnsi="Arial" w:cs="Arial"/>
          <w:lang w:val="en-GB"/>
        </w:rPr>
        <w:t xml:space="preserve">, 2 H. Bl. 403; 126 Eng. Rep. 618 (1486-1865); (10) </w:t>
      </w:r>
      <w:proofErr w:type="spellStart"/>
      <w:r w:rsidRPr="00FE6377">
        <w:rPr>
          <w:rFonts w:ascii="Arial" w:hAnsi="Arial" w:cs="Arial"/>
          <w:i/>
          <w:lang w:val="en-GB"/>
        </w:rPr>
        <w:t>Alivon</w:t>
      </w:r>
      <w:proofErr w:type="spellEnd"/>
      <w:r w:rsidRPr="00FE6377">
        <w:rPr>
          <w:rFonts w:ascii="Arial" w:hAnsi="Arial" w:cs="Arial"/>
          <w:i/>
          <w:lang w:val="en-GB"/>
        </w:rPr>
        <w:t xml:space="preserve"> v. </w:t>
      </w:r>
      <w:proofErr w:type="spellStart"/>
      <w:r w:rsidRPr="00FE6377">
        <w:rPr>
          <w:rFonts w:ascii="Arial" w:hAnsi="Arial" w:cs="Arial"/>
          <w:i/>
          <w:lang w:val="en-GB"/>
        </w:rPr>
        <w:t>Furnival</w:t>
      </w:r>
      <w:proofErr w:type="spellEnd"/>
      <w:r w:rsidRPr="00FE6377">
        <w:rPr>
          <w:rFonts w:ascii="Arial" w:hAnsi="Arial" w:cs="Arial"/>
          <w:lang w:val="en-GB"/>
        </w:rPr>
        <w:t xml:space="preserve">, 1 C. M. &amp; R. 277; 149 Eng. Rep. 1084; (11) Clark v. </w:t>
      </w:r>
      <w:proofErr w:type="spellStart"/>
      <w:r w:rsidRPr="00FE6377">
        <w:rPr>
          <w:rFonts w:ascii="Arial" w:hAnsi="Arial" w:cs="Arial"/>
          <w:lang w:val="en-GB"/>
        </w:rPr>
        <w:t>Mullick</w:t>
      </w:r>
      <w:proofErr w:type="spellEnd"/>
      <w:r w:rsidRPr="00FE6377">
        <w:rPr>
          <w:rFonts w:ascii="Arial" w:hAnsi="Arial" w:cs="Arial"/>
          <w:lang w:val="en-GB"/>
        </w:rPr>
        <w:t>, 2 Moo. Ind. App. 263, 18 Eng. Rep. 300; (12)</w:t>
      </w:r>
      <w:r>
        <w:rPr>
          <w:rFonts w:ascii="Arial" w:hAnsi="Arial" w:cs="Arial"/>
          <w:lang w:val="en-GB"/>
        </w:rPr>
        <w:t xml:space="preserve"> </w:t>
      </w:r>
      <w:r w:rsidRPr="00A846C6">
        <w:rPr>
          <w:rFonts w:ascii="Arial" w:hAnsi="Arial" w:cs="Arial"/>
          <w:i/>
          <w:lang w:val="en-GB"/>
        </w:rPr>
        <w:t xml:space="preserve">Stanley v. </w:t>
      </w:r>
      <w:proofErr w:type="spellStart"/>
      <w:r w:rsidRPr="00A846C6">
        <w:rPr>
          <w:rFonts w:ascii="Arial" w:hAnsi="Arial" w:cs="Arial"/>
          <w:i/>
          <w:lang w:val="en-GB"/>
        </w:rPr>
        <w:t>Bernes</w:t>
      </w:r>
      <w:proofErr w:type="spellEnd"/>
      <w:r>
        <w:rPr>
          <w:rFonts w:ascii="Arial" w:hAnsi="Arial" w:cs="Arial"/>
          <w:lang w:val="en-GB"/>
        </w:rPr>
        <w:t xml:space="preserve">, </w:t>
      </w:r>
      <w:r w:rsidRPr="00A846C6">
        <w:rPr>
          <w:rFonts w:ascii="Arial" w:hAnsi="Arial" w:cs="Arial"/>
          <w:lang w:val="en-GB"/>
        </w:rPr>
        <w:t xml:space="preserve">3 </w:t>
      </w:r>
      <w:proofErr w:type="spellStart"/>
      <w:r w:rsidRPr="00A846C6">
        <w:rPr>
          <w:rFonts w:ascii="Arial" w:hAnsi="Arial" w:cs="Arial"/>
          <w:lang w:val="en-GB"/>
        </w:rPr>
        <w:t>Hagg</w:t>
      </w:r>
      <w:proofErr w:type="spellEnd"/>
      <w:r w:rsidRPr="00A846C6">
        <w:rPr>
          <w:rFonts w:ascii="Arial" w:hAnsi="Arial" w:cs="Arial"/>
          <w:lang w:val="en-GB"/>
        </w:rPr>
        <w:t xml:space="preserve">. </w:t>
      </w:r>
      <w:proofErr w:type="spellStart"/>
      <w:r w:rsidRPr="00A846C6">
        <w:rPr>
          <w:rFonts w:ascii="Arial" w:hAnsi="Arial" w:cs="Arial"/>
          <w:lang w:val="en-GB"/>
        </w:rPr>
        <w:t>Ecc</w:t>
      </w:r>
      <w:proofErr w:type="spellEnd"/>
      <w:r w:rsidRPr="00A846C6">
        <w:rPr>
          <w:rFonts w:ascii="Arial" w:hAnsi="Arial" w:cs="Arial"/>
          <w:lang w:val="en-GB"/>
        </w:rPr>
        <w:t>. 373</w:t>
      </w:r>
      <w:r>
        <w:rPr>
          <w:rFonts w:ascii="Arial" w:hAnsi="Arial" w:cs="Arial"/>
          <w:lang w:val="en-GB"/>
        </w:rPr>
        <w:t xml:space="preserve">; </w:t>
      </w:r>
      <w:r w:rsidRPr="00A846C6">
        <w:rPr>
          <w:rFonts w:ascii="Arial" w:hAnsi="Arial" w:cs="Arial"/>
          <w:lang w:val="en-GB"/>
        </w:rPr>
        <w:t>162 Eng. Rep. 1190</w:t>
      </w:r>
      <w:r>
        <w:rPr>
          <w:rFonts w:ascii="Arial" w:hAnsi="Arial" w:cs="Arial"/>
          <w:lang w:val="en-GB"/>
        </w:rPr>
        <w:t xml:space="preserve">; (13) </w:t>
      </w:r>
    </w:p>
  </w:footnote>
  <w:footnote w:id="100">
    <w:p w:rsidR="00C713A2" w:rsidRPr="00FE6377" w:rsidRDefault="00C713A2" w:rsidP="00CF5D67">
      <w:pPr>
        <w:pStyle w:val="FootnoteText"/>
        <w:jc w:val="both"/>
        <w:rPr>
          <w:rFonts w:ascii="Arial" w:hAnsi="Arial" w:cs="Arial"/>
          <w:lang w:val="en-GB"/>
        </w:rPr>
      </w:pPr>
      <w:r w:rsidRPr="00FE6377">
        <w:rPr>
          <w:rStyle w:val="FootnoteReference"/>
          <w:rFonts w:ascii="Arial" w:hAnsi="Arial" w:cs="Arial"/>
        </w:rPr>
        <w:footnoteRef/>
      </w:r>
      <w:r w:rsidRPr="00FE6377">
        <w:rPr>
          <w:rFonts w:ascii="Arial" w:hAnsi="Arial" w:cs="Arial"/>
        </w:rPr>
        <w:t xml:space="preserve"> </w:t>
      </w:r>
      <w:r w:rsidRPr="00FE6377">
        <w:rPr>
          <w:rFonts w:ascii="Arial" w:hAnsi="Arial" w:cs="Arial"/>
          <w:lang w:val="en-GB"/>
        </w:rPr>
        <w:t xml:space="preserve">[1910] AC 508 (HL). Hereafter </w:t>
      </w:r>
      <w:r w:rsidRPr="00FE6377">
        <w:rPr>
          <w:rFonts w:ascii="Arial" w:hAnsi="Arial" w:cs="Arial"/>
          <w:i/>
          <w:lang w:val="en-GB"/>
        </w:rPr>
        <w:t>Galbraith.</w:t>
      </w:r>
      <w:r w:rsidRPr="00FE6377">
        <w:rPr>
          <w:rFonts w:ascii="Arial" w:hAnsi="Arial" w:cs="Arial"/>
          <w:lang w:val="en-GB"/>
        </w:rPr>
        <w:t xml:space="preserve"> </w:t>
      </w:r>
    </w:p>
  </w:footnote>
  <w:footnote w:id="101">
    <w:p w:rsidR="00C713A2" w:rsidRPr="000245E3" w:rsidRDefault="00C713A2">
      <w:pPr>
        <w:pStyle w:val="FootnoteText"/>
        <w:rPr>
          <w:rFonts w:ascii="Arial" w:hAnsi="Arial" w:cs="Arial"/>
          <w:lang w:val="en-GB"/>
        </w:rPr>
      </w:pPr>
      <w:r w:rsidRPr="00FE6377">
        <w:rPr>
          <w:rStyle w:val="FootnoteReference"/>
          <w:rFonts w:ascii="Arial" w:hAnsi="Arial" w:cs="Arial"/>
        </w:rPr>
        <w:footnoteRef/>
      </w:r>
      <w:r w:rsidRPr="00FE6377">
        <w:rPr>
          <w:rFonts w:ascii="Arial" w:hAnsi="Arial" w:cs="Arial"/>
        </w:rPr>
        <w:t xml:space="preserve"> [1910] AC 508 (HL), p.511.</w:t>
      </w:r>
    </w:p>
  </w:footnote>
  <w:footnote w:id="102">
    <w:p w:rsidR="00C713A2" w:rsidRPr="00685811" w:rsidRDefault="00C713A2">
      <w:pPr>
        <w:pStyle w:val="FootnoteText"/>
        <w:rPr>
          <w:lang w:val="en-GB"/>
        </w:rPr>
      </w:pPr>
      <w:r>
        <w:rPr>
          <w:rStyle w:val="FootnoteReference"/>
        </w:rPr>
        <w:footnoteRef/>
      </w:r>
      <w:r>
        <w:t xml:space="preserve"> </w:t>
      </w:r>
      <w:r w:rsidRPr="00685811">
        <w:rPr>
          <w:i/>
          <w:lang w:val="en-GB"/>
        </w:rPr>
        <w:t>Senate Bankruptcy</w:t>
      </w:r>
      <w:r>
        <w:rPr>
          <w:lang w:val="en-GB"/>
        </w:rPr>
        <w:t xml:space="preserve">, p.1050. </w:t>
      </w:r>
    </w:p>
  </w:footnote>
  <w:footnote w:id="103">
    <w:p w:rsidR="00937C23" w:rsidRPr="00937C23" w:rsidRDefault="00937C23">
      <w:pPr>
        <w:pStyle w:val="FootnoteText"/>
        <w:rPr>
          <w:lang w:val="en-GB"/>
        </w:rPr>
      </w:pPr>
      <w:r>
        <w:rPr>
          <w:rStyle w:val="FootnoteReference"/>
        </w:rPr>
        <w:footnoteRef/>
      </w:r>
      <w:r>
        <w:t xml:space="preserve"> </w:t>
      </w:r>
      <w:proofErr w:type="spellStart"/>
      <w:r>
        <w:rPr>
          <w:lang w:val="en-GB"/>
        </w:rPr>
        <w:t>Blom</w:t>
      </w:r>
      <w:proofErr w:type="spellEnd"/>
      <w:r>
        <w:rPr>
          <w:lang w:val="en-GB"/>
        </w:rPr>
        <w:t xml:space="preserve">-Cooper, L.. </w:t>
      </w:r>
      <w:r w:rsidRPr="00937C23">
        <w:rPr>
          <w:i/>
          <w:lang w:val="en-GB"/>
        </w:rPr>
        <w:t>Bankruptcy in Private International Law</w:t>
      </w:r>
      <w:r>
        <w:rPr>
          <w:lang w:val="en-GB"/>
        </w:rPr>
        <w:t xml:space="preserve">. London, 1954, p.107. </w:t>
      </w:r>
    </w:p>
  </w:footnote>
  <w:footnote w:id="104">
    <w:p w:rsidR="00C713A2" w:rsidRPr="000245E3" w:rsidRDefault="00C713A2" w:rsidP="00CF5D67">
      <w:pPr>
        <w:spacing w:line="360" w:lineRule="auto"/>
        <w:jc w:val="both"/>
        <w:rPr>
          <w:rFonts w:ascii="Arial" w:hAnsi="Arial" w:cs="Arial"/>
          <w:sz w:val="20"/>
          <w:szCs w:val="20"/>
          <w:lang w:val="en-GB"/>
        </w:rPr>
      </w:pPr>
      <w:r w:rsidRPr="000245E3">
        <w:rPr>
          <w:rStyle w:val="FootnoteReference"/>
          <w:rFonts w:ascii="Arial" w:hAnsi="Arial" w:cs="Arial"/>
          <w:sz w:val="20"/>
          <w:szCs w:val="20"/>
        </w:rPr>
        <w:footnoteRef/>
      </w:r>
      <w:r w:rsidRPr="000245E3">
        <w:rPr>
          <w:rFonts w:ascii="Arial" w:hAnsi="Arial" w:cs="Arial"/>
          <w:sz w:val="20"/>
          <w:szCs w:val="20"/>
        </w:rPr>
        <w:t xml:space="preserve"> </w:t>
      </w:r>
      <w:r w:rsidRPr="000245E3">
        <w:rPr>
          <w:rFonts w:ascii="Arial" w:hAnsi="Arial" w:cs="Arial"/>
          <w:i/>
          <w:sz w:val="20"/>
          <w:szCs w:val="20"/>
          <w:lang w:val="en-GB"/>
        </w:rPr>
        <w:t>RE HIH Casualty &amp; General Insurance</w:t>
      </w:r>
      <w:r w:rsidRPr="000245E3">
        <w:rPr>
          <w:rFonts w:ascii="Arial" w:hAnsi="Arial" w:cs="Arial"/>
          <w:sz w:val="20"/>
          <w:szCs w:val="20"/>
          <w:lang w:val="en-GB"/>
        </w:rPr>
        <w:t xml:space="preserve"> Ltd [2008] 1 W.L.R. 852.</w:t>
      </w:r>
    </w:p>
    <w:p w:rsidR="00C713A2" w:rsidRPr="00CF5D67" w:rsidRDefault="00C713A2" w:rsidP="00CF5D67">
      <w:pPr>
        <w:pStyle w:val="FootnoteText"/>
        <w:jc w:val="both"/>
        <w:rPr>
          <w:rFonts w:ascii="Arial" w:hAnsi="Arial" w:cs="Arial"/>
          <w:lang w:val="en-GB"/>
        </w:rPr>
      </w:pPr>
    </w:p>
  </w:footnote>
  <w:footnote w:id="105">
    <w:p w:rsidR="00C713A2" w:rsidRPr="00CF5D67" w:rsidRDefault="00C713A2" w:rsidP="00CF5D67">
      <w:pPr>
        <w:pStyle w:val="FootnoteText"/>
        <w:jc w:val="both"/>
        <w:rPr>
          <w:rFonts w:ascii="Arial" w:hAnsi="Arial" w:cs="Arial"/>
          <w:lang w:val="en-GB"/>
        </w:rPr>
      </w:pPr>
      <w:r w:rsidRPr="00CF5D67">
        <w:rPr>
          <w:rStyle w:val="FootnoteReference"/>
          <w:rFonts w:ascii="Arial" w:hAnsi="Arial" w:cs="Arial"/>
        </w:rPr>
        <w:footnoteRef/>
      </w:r>
      <w:r w:rsidRPr="00CF5D67">
        <w:rPr>
          <w:rFonts w:ascii="Arial" w:hAnsi="Arial" w:cs="Arial"/>
        </w:rPr>
        <w:t xml:space="preserve"> </w:t>
      </w:r>
      <w:r w:rsidRPr="00CF5D67">
        <w:rPr>
          <w:rFonts w:ascii="Arial" w:hAnsi="Arial" w:cs="Arial"/>
          <w:lang w:val="en-GB"/>
        </w:rPr>
        <w:t xml:space="preserve">Neither </w:t>
      </w:r>
      <w:proofErr w:type="spellStart"/>
      <w:r w:rsidRPr="00CF5D67">
        <w:rPr>
          <w:rFonts w:ascii="Arial" w:hAnsi="Arial" w:cs="Arial"/>
          <w:lang w:val="en-GB"/>
        </w:rPr>
        <w:t>Mevorach</w:t>
      </w:r>
      <w:proofErr w:type="spellEnd"/>
      <w:r w:rsidRPr="00CF5D67">
        <w:rPr>
          <w:rFonts w:ascii="Arial" w:hAnsi="Arial" w:cs="Arial"/>
          <w:lang w:val="en-GB"/>
        </w:rPr>
        <w:t xml:space="preserve"> or Chan </w:t>
      </w:r>
      <w:proofErr w:type="spellStart"/>
      <w:r w:rsidRPr="00CF5D67">
        <w:rPr>
          <w:rFonts w:ascii="Arial" w:hAnsi="Arial" w:cs="Arial"/>
          <w:lang w:val="en-GB"/>
        </w:rPr>
        <w:t>Ho</w:t>
      </w:r>
      <w:proofErr w:type="spellEnd"/>
      <w:r w:rsidRPr="00CF5D67">
        <w:rPr>
          <w:rFonts w:ascii="Arial" w:hAnsi="Arial" w:cs="Arial"/>
          <w:lang w:val="en-GB"/>
        </w:rPr>
        <w:t xml:space="preserve"> mention the case in their recent modern treatments on cross-border insolvency. </w:t>
      </w:r>
    </w:p>
  </w:footnote>
  <w:footnote w:id="106">
    <w:p w:rsidR="00C713A2" w:rsidRPr="00CF5D67" w:rsidRDefault="00C713A2" w:rsidP="00CF5D67">
      <w:pPr>
        <w:pStyle w:val="FootnoteText"/>
        <w:jc w:val="both"/>
        <w:rPr>
          <w:rFonts w:ascii="Arial" w:hAnsi="Arial" w:cs="Arial"/>
        </w:rPr>
      </w:pPr>
      <w:r w:rsidRPr="00CF5D67">
        <w:rPr>
          <w:rStyle w:val="FootnoteReference"/>
          <w:rFonts w:ascii="Arial" w:hAnsi="Arial" w:cs="Arial"/>
        </w:rPr>
        <w:footnoteRef/>
      </w:r>
      <w:r w:rsidRPr="00CF5D67">
        <w:rPr>
          <w:rFonts w:ascii="Arial" w:hAnsi="Arial" w:cs="Arial"/>
        </w:rPr>
        <w:t xml:space="preserve"> See for example: McKnight, A. </w:t>
      </w:r>
      <w:r w:rsidRPr="00CF5D67">
        <w:rPr>
          <w:rFonts w:ascii="Arial" w:hAnsi="Arial" w:cs="Arial"/>
          <w:i/>
        </w:rPr>
        <w:t>A review of developments in English law during 2006: Part 2</w:t>
      </w:r>
      <w:r w:rsidRPr="00CF5D67">
        <w:rPr>
          <w:rFonts w:ascii="Arial" w:hAnsi="Arial" w:cs="Arial"/>
        </w:rPr>
        <w:t xml:space="preserve"> (2007) J.I.B.L.R, 22(4), 187-217. See also: </w:t>
      </w:r>
      <w:r w:rsidRPr="00CF5D67">
        <w:rPr>
          <w:rFonts w:ascii="Arial" w:hAnsi="Arial" w:cs="Arial"/>
          <w:lang w:val="en-GB"/>
        </w:rPr>
        <w:t xml:space="preserve">Grace, AD. </w:t>
      </w:r>
      <w:r w:rsidRPr="00CF5D67">
        <w:rPr>
          <w:rFonts w:ascii="Arial" w:hAnsi="Arial" w:cs="Arial"/>
          <w:i/>
          <w:lang w:val="en-GB"/>
        </w:rPr>
        <w:t>Law of liquidations: the recognition and enforcement of foreign liquidation orders in Canada and Australia - a critical comparison</w:t>
      </w:r>
      <w:r w:rsidRPr="00CF5D67">
        <w:rPr>
          <w:rFonts w:ascii="Arial" w:hAnsi="Arial" w:cs="Arial"/>
          <w:lang w:val="en-GB"/>
        </w:rPr>
        <w:t xml:space="preserve"> (1986) I.C.L.Q, 35(3), 664-703</w:t>
      </w:r>
      <w:r w:rsidRPr="00CF5D67">
        <w:rPr>
          <w:rFonts w:ascii="Arial" w:hAnsi="Arial" w:cs="Arial"/>
        </w:rPr>
        <w:t>.</w:t>
      </w:r>
    </w:p>
  </w:footnote>
  <w:footnote w:id="107">
    <w:p w:rsidR="00C713A2" w:rsidRPr="00020606" w:rsidRDefault="00C713A2" w:rsidP="00020606">
      <w:pPr>
        <w:pStyle w:val="FootnoteText"/>
        <w:jc w:val="both"/>
        <w:rPr>
          <w:lang w:val="en-GB"/>
        </w:rPr>
      </w:pPr>
      <w:r>
        <w:rPr>
          <w:rStyle w:val="FootnoteReference"/>
        </w:rPr>
        <w:footnoteRef/>
      </w:r>
      <w:r>
        <w:t xml:space="preserve"> </w:t>
      </w:r>
      <w:r w:rsidRPr="00020606">
        <w:t>Dicey</w:t>
      </w:r>
      <w:r>
        <w:t>, AV</w:t>
      </w:r>
      <w:r w:rsidRPr="00020606">
        <w:t xml:space="preserve">. </w:t>
      </w:r>
      <w:r w:rsidRPr="00020606">
        <w:rPr>
          <w:i/>
        </w:rPr>
        <w:t xml:space="preserve">Law of </w:t>
      </w:r>
      <w:proofErr w:type="spellStart"/>
      <w:r w:rsidRPr="00020606">
        <w:rPr>
          <w:i/>
        </w:rPr>
        <w:t>Domicil</w:t>
      </w:r>
      <w:proofErr w:type="spellEnd"/>
      <w:r w:rsidRPr="00020606">
        <w:rPr>
          <w:i/>
        </w:rPr>
        <w:t xml:space="preserve"> as a Branch of the Law of England stated in the form of Rules</w:t>
      </w:r>
      <w:r>
        <w:t xml:space="preserve">. Stevens &amp; Sons, London, 1879, p.277. See also his much later work: </w:t>
      </w:r>
      <w:r w:rsidRPr="00C65011">
        <w:t>Dicey,</w:t>
      </w:r>
      <w:r>
        <w:t xml:space="preserve"> AV.</w:t>
      </w:r>
      <w:r w:rsidRPr="00C65011">
        <w:t xml:space="preserve"> </w:t>
      </w:r>
      <w:r w:rsidRPr="00C65011">
        <w:rPr>
          <w:i/>
        </w:rPr>
        <w:t>A Digest of the Law of England with Reference to the Conflict of Laws</w:t>
      </w:r>
      <w:r>
        <w:rPr>
          <w:i/>
        </w:rPr>
        <w:t xml:space="preserve">. </w:t>
      </w:r>
      <w:r>
        <w:t xml:space="preserve">2nd ed. Stevens &amp; Sons Ltd, London, 1908, </w:t>
      </w:r>
      <w:proofErr w:type="spellStart"/>
      <w:r>
        <w:t>p.xxvii</w:t>
      </w:r>
      <w:proofErr w:type="spellEnd"/>
      <w:r>
        <w:t>.</w:t>
      </w:r>
    </w:p>
  </w:footnote>
  <w:footnote w:id="108">
    <w:p w:rsidR="00C713A2" w:rsidRPr="00C65011" w:rsidRDefault="00C713A2">
      <w:pPr>
        <w:pStyle w:val="FootnoteText"/>
        <w:rPr>
          <w:lang w:val="en-GB"/>
        </w:rPr>
      </w:pPr>
      <w:r>
        <w:rPr>
          <w:rStyle w:val="FootnoteReference"/>
        </w:rPr>
        <w:footnoteRef/>
      </w:r>
      <w:r>
        <w:t xml:space="preserve"> </w:t>
      </w:r>
      <w:r w:rsidRPr="00871B30">
        <w:rPr>
          <w:color w:val="FF0000"/>
        </w:rPr>
        <w:t xml:space="preserve">Check all the books in my room for </w:t>
      </w:r>
      <w:proofErr w:type="spellStart"/>
      <w:r w:rsidRPr="00871B30">
        <w:rPr>
          <w:color w:val="FF0000"/>
        </w:rPr>
        <w:t>Solomons</w:t>
      </w:r>
      <w:proofErr w:type="spellEnd"/>
      <w:r w:rsidRPr="00871B30">
        <w:rPr>
          <w:color w:val="FF0000"/>
        </w:rPr>
        <w:t xml:space="preserve"> v. Ross treatment. </w:t>
      </w:r>
    </w:p>
  </w:footnote>
  <w:footnote w:id="109">
    <w:p w:rsidR="00C713A2" w:rsidRPr="00020606" w:rsidRDefault="00C713A2" w:rsidP="00020606">
      <w:pPr>
        <w:pStyle w:val="FootnoteText"/>
        <w:jc w:val="both"/>
        <w:rPr>
          <w:lang w:val="en-GB"/>
        </w:rPr>
      </w:pPr>
      <w:r>
        <w:rPr>
          <w:rStyle w:val="FootnoteReference"/>
        </w:rPr>
        <w:footnoteRef/>
      </w:r>
      <w:r>
        <w:t xml:space="preserve"> </w:t>
      </w:r>
      <w:r>
        <w:rPr>
          <w:lang w:val="en-GB"/>
        </w:rPr>
        <w:t>See for example: Parsons, T &amp; Kellen, W</w:t>
      </w:r>
      <w:r w:rsidRPr="00020606">
        <w:rPr>
          <w:lang w:val="en-GB"/>
        </w:rPr>
        <w:t xml:space="preserve">. </w:t>
      </w:r>
      <w:r w:rsidRPr="00020606">
        <w:rPr>
          <w:i/>
          <w:lang w:val="en-GB"/>
        </w:rPr>
        <w:t>The Law of Contracts</w:t>
      </w:r>
      <w:r>
        <w:rPr>
          <w:lang w:val="en-GB"/>
        </w:rPr>
        <w:t xml:space="preserve">. Little Brown and Company, Boston, 1883, </w:t>
      </w:r>
      <w:proofErr w:type="spellStart"/>
      <w:r>
        <w:rPr>
          <w:lang w:val="en-GB"/>
        </w:rPr>
        <w:t>vol.III</w:t>
      </w:r>
      <w:proofErr w:type="spellEnd"/>
      <w:r>
        <w:rPr>
          <w:lang w:val="en-GB"/>
        </w:rPr>
        <w:t xml:space="preserve">, p.452. </w:t>
      </w:r>
      <w:r>
        <w:t xml:space="preserve">See also: Ross, G. </w:t>
      </w:r>
      <w:r w:rsidRPr="00C65011">
        <w:t>Leading Cases in the Commerci</w:t>
      </w:r>
      <w:r>
        <w:t xml:space="preserve">al Law of England and Scotland. T&amp;JW Johnson, Philadelphia, 1854, p.556. </w:t>
      </w:r>
    </w:p>
  </w:footnote>
  <w:footnote w:id="110">
    <w:p w:rsidR="00C713A2" w:rsidRPr="00C65011" w:rsidRDefault="00C713A2" w:rsidP="00C65011">
      <w:pPr>
        <w:pStyle w:val="FootnoteText"/>
        <w:jc w:val="both"/>
        <w:rPr>
          <w:lang w:val="en-GB"/>
        </w:rPr>
      </w:pPr>
      <w:r>
        <w:rPr>
          <w:rStyle w:val="FootnoteReference"/>
        </w:rPr>
        <w:footnoteRef/>
      </w:r>
      <w:r>
        <w:t xml:space="preserve"> See: Dicey, AV &amp; </w:t>
      </w:r>
      <w:proofErr w:type="spellStart"/>
      <w:r>
        <w:t>Berriedale</w:t>
      </w:r>
      <w:proofErr w:type="spellEnd"/>
      <w:r>
        <w:t>, AK.</w:t>
      </w:r>
      <w:r w:rsidRPr="00C65011">
        <w:t xml:space="preserve"> </w:t>
      </w:r>
      <w:r w:rsidRPr="00C65011">
        <w:rPr>
          <w:i/>
        </w:rPr>
        <w:t xml:space="preserve">A Digest of the Law of England with Reference to the Conflict of Laws. </w:t>
      </w:r>
      <w:r>
        <w:t xml:space="preserve">3rd ed. Stevens &amp; Sons Ltd, London, </w:t>
      </w:r>
      <w:r w:rsidRPr="00C65011">
        <w:t>1922)</w:t>
      </w:r>
      <w:r>
        <w:t xml:space="preserve">, </w:t>
      </w:r>
      <w:r>
        <w:rPr>
          <w:lang w:val="en-GB"/>
        </w:rPr>
        <w:t>p.476. This view is repeated in the 4</w:t>
      </w:r>
      <w:r w:rsidRPr="00871B30">
        <w:rPr>
          <w:vertAlign w:val="superscript"/>
          <w:lang w:val="en-GB"/>
        </w:rPr>
        <w:t>th</w:t>
      </w:r>
      <w:r>
        <w:rPr>
          <w:lang w:val="en-GB"/>
        </w:rPr>
        <w:t xml:space="preserve"> edition of 1927 at page 481 (footnote (z)) and the 5</w:t>
      </w:r>
      <w:r w:rsidRPr="00871B30">
        <w:rPr>
          <w:vertAlign w:val="superscript"/>
          <w:lang w:val="en-GB"/>
        </w:rPr>
        <w:t>th</w:t>
      </w:r>
      <w:r>
        <w:rPr>
          <w:lang w:val="en-GB"/>
        </w:rPr>
        <w:t xml:space="preserve"> edition of 1932 at page 501 (footnote (c)). </w:t>
      </w:r>
    </w:p>
  </w:footnote>
  <w:footnote w:id="111">
    <w:p w:rsidR="00C713A2" w:rsidRPr="00CF5D67" w:rsidRDefault="00C713A2" w:rsidP="00CF5D67">
      <w:pPr>
        <w:pStyle w:val="FootnoteText"/>
        <w:jc w:val="both"/>
        <w:rPr>
          <w:rFonts w:ascii="Arial" w:hAnsi="Arial" w:cs="Arial"/>
        </w:rPr>
      </w:pPr>
      <w:r w:rsidRPr="00CF5D67">
        <w:rPr>
          <w:rStyle w:val="FootnoteReference"/>
          <w:rFonts w:ascii="Arial" w:hAnsi="Arial" w:cs="Arial"/>
        </w:rPr>
        <w:footnoteRef/>
      </w:r>
      <w:r w:rsidRPr="00CF5D67">
        <w:rPr>
          <w:rFonts w:ascii="Arial" w:hAnsi="Arial" w:cs="Arial"/>
        </w:rPr>
        <w:t xml:space="preserve"> Fletcher, IF. </w:t>
      </w:r>
      <w:r w:rsidRPr="00CF5D67">
        <w:rPr>
          <w:rFonts w:ascii="Arial" w:hAnsi="Arial" w:cs="Arial"/>
          <w:i/>
        </w:rPr>
        <w:t>International insolvency: a brief historical sketch</w:t>
      </w:r>
      <w:r w:rsidRPr="00CF5D67">
        <w:rPr>
          <w:rFonts w:ascii="Arial" w:hAnsi="Arial" w:cs="Arial"/>
        </w:rPr>
        <w:t xml:space="preserve"> (2007) INSOL W. 2007, 1 </w:t>
      </w:r>
      <w:proofErr w:type="spellStart"/>
      <w:r w:rsidRPr="00CF5D67">
        <w:rPr>
          <w:rFonts w:ascii="Arial" w:hAnsi="Arial" w:cs="Arial"/>
        </w:rPr>
        <w:t>Supp</w:t>
      </w:r>
      <w:proofErr w:type="spellEnd"/>
      <w:r w:rsidRPr="00CF5D67">
        <w:rPr>
          <w:rFonts w:ascii="Arial" w:hAnsi="Arial" w:cs="Arial"/>
        </w:rPr>
        <w:t xml:space="preserve"> (Silver Jubilee Edition 2007), 6-9.</w:t>
      </w:r>
    </w:p>
  </w:footnote>
  <w:footnote w:id="112">
    <w:p w:rsidR="00C713A2" w:rsidRPr="00CF5D67" w:rsidRDefault="00C713A2" w:rsidP="00CF5D67">
      <w:pPr>
        <w:pStyle w:val="FootnoteText"/>
        <w:jc w:val="both"/>
        <w:rPr>
          <w:rFonts w:ascii="Arial" w:hAnsi="Arial" w:cs="Arial"/>
        </w:rPr>
      </w:pPr>
      <w:r w:rsidRPr="00CF5D67">
        <w:rPr>
          <w:rStyle w:val="FootnoteReference"/>
          <w:rFonts w:ascii="Arial" w:hAnsi="Arial" w:cs="Arial"/>
        </w:rPr>
        <w:footnoteRef/>
      </w:r>
      <w:r w:rsidRPr="00CF5D67">
        <w:rPr>
          <w:rFonts w:ascii="Arial" w:hAnsi="Arial" w:cs="Arial"/>
        </w:rPr>
        <w:t xml:space="preserve"> Fletcher, IF. </w:t>
      </w:r>
      <w:r w:rsidRPr="00CF5D67">
        <w:rPr>
          <w:rFonts w:ascii="Arial" w:hAnsi="Arial" w:cs="Arial"/>
          <w:i/>
        </w:rPr>
        <w:t>The quest for global insolvency law: a challenge for our time</w:t>
      </w:r>
      <w:r w:rsidRPr="00CF5D67">
        <w:rPr>
          <w:rFonts w:ascii="Arial" w:hAnsi="Arial" w:cs="Arial"/>
        </w:rPr>
        <w:t xml:space="preserve"> (2002) C.L.P, 55, 427-445.</w:t>
      </w:r>
    </w:p>
  </w:footnote>
  <w:footnote w:id="113">
    <w:p w:rsidR="00C713A2" w:rsidRPr="00CF5D67" w:rsidRDefault="00C713A2" w:rsidP="00CF5D67">
      <w:pPr>
        <w:pStyle w:val="FootnoteText"/>
        <w:jc w:val="both"/>
        <w:rPr>
          <w:rFonts w:ascii="Arial" w:hAnsi="Arial" w:cs="Arial"/>
          <w:lang w:val="en-GB"/>
        </w:rPr>
      </w:pPr>
      <w:r w:rsidRPr="00CF5D67">
        <w:rPr>
          <w:rStyle w:val="FootnoteReference"/>
          <w:rFonts w:ascii="Arial" w:hAnsi="Arial" w:cs="Arial"/>
        </w:rPr>
        <w:footnoteRef/>
      </w:r>
      <w:r w:rsidRPr="00CF5D67">
        <w:rPr>
          <w:rFonts w:ascii="Arial" w:hAnsi="Arial" w:cs="Arial"/>
        </w:rPr>
        <w:t xml:space="preserve"> (1764) 126 E.R. 80</w:t>
      </w:r>
    </w:p>
  </w:footnote>
  <w:footnote w:id="114">
    <w:p w:rsidR="00C713A2" w:rsidRPr="00CF5D67" w:rsidRDefault="00C713A2" w:rsidP="00CF5D67">
      <w:pPr>
        <w:pStyle w:val="FootnoteText"/>
        <w:jc w:val="both"/>
        <w:rPr>
          <w:rFonts w:ascii="Arial" w:hAnsi="Arial" w:cs="Arial"/>
          <w:lang w:val="en-GB"/>
        </w:rPr>
      </w:pPr>
      <w:r w:rsidRPr="00CF5D67">
        <w:rPr>
          <w:rStyle w:val="FootnoteReference"/>
          <w:rFonts w:ascii="Arial" w:hAnsi="Arial" w:cs="Arial"/>
        </w:rPr>
        <w:footnoteRef/>
      </w:r>
      <w:r w:rsidRPr="00CF5D67">
        <w:rPr>
          <w:rFonts w:ascii="Arial" w:hAnsi="Arial" w:cs="Arial"/>
        </w:rPr>
        <w:t xml:space="preserve"> Neale and Another, Assignees of Grattan v. Cottingham and Houghton , in Cane. in Ireland, November 16, 1764.</w:t>
      </w:r>
    </w:p>
  </w:footnote>
  <w:footnote w:id="115">
    <w:p w:rsidR="00C713A2" w:rsidRPr="00CF5D67" w:rsidRDefault="00C713A2" w:rsidP="00CF5D67">
      <w:pPr>
        <w:pStyle w:val="FootnoteText"/>
        <w:jc w:val="both"/>
        <w:rPr>
          <w:rFonts w:ascii="Arial" w:hAnsi="Arial" w:cs="Arial"/>
          <w:lang w:val="en-GB"/>
        </w:rPr>
      </w:pPr>
      <w:r w:rsidRPr="00CF5D67">
        <w:rPr>
          <w:rStyle w:val="FootnoteReference"/>
          <w:rFonts w:ascii="Arial" w:hAnsi="Arial" w:cs="Arial"/>
        </w:rPr>
        <w:footnoteRef/>
      </w:r>
      <w:r w:rsidRPr="00CF5D67">
        <w:rPr>
          <w:rFonts w:ascii="Arial" w:hAnsi="Arial" w:cs="Arial"/>
        </w:rPr>
        <w:t xml:space="preserve"> </w:t>
      </w:r>
      <w:r w:rsidRPr="00CF5D67">
        <w:rPr>
          <w:rFonts w:ascii="Arial" w:hAnsi="Arial" w:cs="Arial"/>
          <w:i/>
          <w:lang w:val="en-GB"/>
        </w:rPr>
        <w:t>Jones ODNB.</w:t>
      </w:r>
    </w:p>
  </w:footnote>
  <w:footnote w:id="116">
    <w:p w:rsidR="00C713A2" w:rsidRPr="00CF5D67" w:rsidRDefault="00C713A2" w:rsidP="00CF5D67">
      <w:pPr>
        <w:pStyle w:val="FootnoteText"/>
        <w:jc w:val="both"/>
        <w:rPr>
          <w:rFonts w:ascii="Arial" w:hAnsi="Arial" w:cs="Arial"/>
          <w:lang w:val="en-GB"/>
        </w:rPr>
      </w:pPr>
      <w:r w:rsidRPr="00CF5D67">
        <w:rPr>
          <w:rStyle w:val="FootnoteReference"/>
          <w:rFonts w:ascii="Arial" w:hAnsi="Arial" w:cs="Arial"/>
        </w:rPr>
        <w:footnoteRef/>
      </w:r>
      <w:r w:rsidRPr="00CF5D67">
        <w:rPr>
          <w:rFonts w:ascii="Arial" w:hAnsi="Arial" w:cs="Arial"/>
        </w:rPr>
        <w:t xml:space="preserve"> </w:t>
      </w:r>
      <w:r w:rsidRPr="00CF5D67">
        <w:rPr>
          <w:rFonts w:ascii="Arial" w:hAnsi="Arial" w:cs="Arial"/>
          <w:i/>
          <w:lang w:val="en-GB"/>
        </w:rPr>
        <w:t>Campbell Lives</w:t>
      </w:r>
      <w:r w:rsidRPr="00CF5D67">
        <w:rPr>
          <w:rFonts w:ascii="Arial" w:hAnsi="Arial" w:cs="Arial"/>
          <w:lang w:val="en-GB"/>
        </w:rPr>
        <w:t>, p.451.</w:t>
      </w:r>
    </w:p>
  </w:footnote>
  <w:footnote w:id="117">
    <w:p w:rsidR="00C713A2" w:rsidRPr="00CF5D67" w:rsidRDefault="00C713A2" w:rsidP="00CF5D67">
      <w:pPr>
        <w:pStyle w:val="FootnoteText"/>
        <w:jc w:val="both"/>
        <w:rPr>
          <w:rFonts w:ascii="Arial" w:hAnsi="Arial" w:cs="Arial"/>
          <w:lang w:val="en-GB"/>
        </w:rPr>
      </w:pPr>
      <w:r w:rsidRPr="00CF5D67">
        <w:rPr>
          <w:rStyle w:val="FootnoteReference"/>
          <w:rFonts w:ascii="Arial" w:hAnsi="Arial" w:cs="Arial"/>
        </w:rPr>
        <w:footnoteRef/>
      </w:r>
      <w:r w:rsidRPr="00CF5D67">
        <w:rPr>
          <w:rFonts w:ascii="Arial" w:hAnsi="Arial" w:cs="Arial"/>
        </w:rPr>
        <w:t xml:space="preserve"> Fletcher’s work with Professor Bob Wessels on the III/ALI Global Principles for Cooperation in International Insolvency Cases project is an important recent example (see &lt;http://iiiglobal.org/component/jdownloads/viewdownload/36/5897.html&gt;). See also I. Fletcher and B. Wessels, “A Final Step in Shaping Rules for Cooperation in International Insolvency Cases” (2012) 9(5) International Corporate Rescue 283-286; I. Fletcher and B. Wessels, “Shaping Rules for Cooperation in International Corporate Insolvency Cases through Dialogue” (2010) 7(4) European Corporate Law 149-153; I. Fletcher and B. Wessels, “A First Step in Shaping Rules for Cooperation in International Insolvency Cases” (2010) 7(3) International Corporate Rescue 149-153; I. Fletcher, “The Quest for Global Insolvency Law: a Challenge for Our Time” (2002) 55 Current Legal Problems 427-445; I. Fletcher, “Bridges to the Future - Building Tomorrow’s Solutions for International Insolvency Problems” (2000) 2(Sep) Company Financial and Insolvency Law Review 161-179; I. Fletcher, “International Insolvency Issues: Recent Cases” (1997) (Sep) Journal of Business Law 471-485; and I. Fletcher, “International Insolvency: the Way Ahead” (1993) 2(1) International Insolvency Review 7-28. See also I. Fletcher, “Towards a Next step in Cross-Border Judicial Cooperation” (2014) 27(7) Insolvency Intelligence 100-105; I. Fletcher, “Rowing Back from Rubin: the Court of Appeal Reaffirms the Policy of Modified Universalism in the Granting of Judicial Assistance” (2014) 27(3) Insolvency Intelligence 43-47.</w:t>
      </w:r>
    </w:p>
  </w:footnote>
  <w:footnote w:id="118">
    <w:p w:rsidR="00C713A2" w:rsidRPr="00CF5D67" w:rsidRDefault="00C713A2" w:rsidP="00CF5D67">
      <w:pPr>
        <w:pStyle w:val="FootnoteText"/>
        <w:jc w:val="both"/>
        <w:rPr>
          <w:rFonts w:ascii="Arial" w:hAnsi="Arial" w:cs="Arial"/>
          <w:lang w:val="en-GB"/>
        </w:rPr>
      </w:pPr>
      <w:r w:rsidRPr="00CF5D67">
        <w:rPr>
          <w:rStyle w:val="FootnoteReference"/>
          <w:rFonts w:ascii="Arial" w:hAnsi="Arial" w:cs="Arial"/>
        </w:rPr>
        <w:footnoteRef/>
      </w:r>
      <w:r w:rsidRPr="00CF5D67">
        <w:rPr>
          <w:rFonts w:ascii="Arial" w:hAnsi="Arial" w:cs="Arial"/>
        </w:rPr>
        <w:t xml:space="preserve"> </w:t>
      </w:r>
      <w:r w:rsidRPr="00CF5D67">
        <w:rPr>
          <w:rFonts w:ascii="Arial" w:hAnsi="Arial" w:cs="Arial"/>
          <w:lang w:val="en-GB"/>
        </w:rPr>
        <w:t xml:space="preserve">He also contributed on other subjects, see: Fletcher, IF. </w:t>
      </w:r>
      <w:r w:rsidRPr="00CF5D67">
        <w:rPr>
          <w:rFonts w:ascii="Arial" w:hAnsi="Arial" w:cs="Arial"/>
          <w:i/>
          <w:lang w:val="en-GB"/>
        </w:rPr>
        <w:t>Latin Redaction A of the Law of Hywel</w:t>
      </w:r>
      <w:r w:rsidRPr="00CF5D67">
        <w:rPr>
          <w:rFonts w:ascii="Arial" w:hAnsi="Arial" w:cs="Arial"/>
          <w:lang w:val="en-GB"/>
        </w:rPr>
        <w:t xml:space="preserve"> (1986), reviewed by </w:t>
      </w:r>
      <w:proofErr w:type="spellStart"/>
      <w:r w:rsidRPr="00CF5D67">
        <w:rPr>
          <w:rFonts w:ascii="Arial" w:hAnsi="Arial" w:cs="Arial"/>
          <w:lang w:val="en-GB"/>
        </w:rPr>
        <w:t>Dafydd</w:t>
      </w:r>
      <w:proofErr w:type="spellEnd"/>
      <w:r w:rsidRPr="00CF5D67">
        <w:rPr>
          <w:rFonts w:ascii="Arial" w:hAnsi="Arial" w:cs="Arial"/>
          <w:lang w:val="en-GB"/>
        </w:rPr>
        <w:t xml:space="preserve"> Walters (1987) 18 Cambrian Law Review 100-103.</w:t>
      </w:r>
    </w:p>
  </w:footnote>
  <w:footnote w:id="119">
    <w:p w:rsidR="00C713A2" w:rsidRPr="00CF5D67" w:rsidRDefault="00C713A2" w:rsidP="00CF5D67">
      <w:pPr>
        <w:pStyle w:val="FootnoteText"/>
        <w:jc w:val="both"/>
        <w:rPr>
          <w:rFonts w:ascii="Arial" w:hAnsi="Arial" w:cs="Arial"/>
        </w:rPr>
      </w:pPr>
      <w:r w:rsidRPr="00CF5D67">
        <w:rPr>
          <w:rStyle w:val="FootnoteReference"/>
          <w:rFonts w:ascii="Arial" w:hAnsi="Arial" w:cs="Arial"/>
        </w:rPr>
        <w:footnoteRef/>
      </w:r>
      <w:r w:rsidRPr="00CF5D67">
        <w:rPr>
          <w:rFonts w:ascii="Arial" w:hAnsi="Arial" w:cs="Arial"/>
        </w:rPr>
        <w:t xml:space="preserve"> See: Cambridge Gas Transportation Corp v. Official Committee of Unsecured Creditors of Navigator Holdings Plc [2007] 1 A.C. 508 PC (Isle of Man). Lord Hoffmann, para 18. See also: In re HIH Casualty and General Insurance Ltd [2008] 1 W.L.R. 852paragraph 7. </w:t>
      </w:r>
    </w:p>
  </w:footnote>
  <w:footnote w:id="120">
    <w:p w:rsidR="00C713A2" w:rsidRPr="00CF5D67" w:rsidRDefault="00C713A2" w:rsidP="00CF5D67">
      <w:pPr>
        <w:spacing w:line="360" w:lineRule="auto"/>
        <w:jc w:val="both"/>
        <w:rPr>
          <w:rFonts w:ascii="Arial" w:hAnsi="Arial" w:cs="Arial"/>
          <w:sz w:val="20"/>
          <w:szCs w:val="20"/>
          <w:lang w:val="en-GB"/>
        </w:rPr>
      </w:pPr>
      <w:r w:rsidRPr="00CF5D67">
        <w:rPr>
          <w:rStyle w:val="FootnoteReference"/>
          <w:rFonts w:ascii="Arial" w:hAnsi="Arial" w:cs="Arial"/>
          <w:sz w:val="20"/>
          <w:szCs w:val="20"/>
        </w:rPr>
        <w:footnoteRef/>
      </w:r>
      <w:r w:rsidRPr="00CF5D67">
        <w:rPr>
          <w:rFonts w:ascii="Arial" w:hAnsi="Arial" w:cs="Arial"/>
          <w:sz w:val="20"/>
          <w:szCs w:val="20"/>
        </w:rPr>
        <w:t xml:space="preserve"> </w:t>
      </w:r>
      <w:r w:rsidRPr="00CF5D67">
        <w:rPr>
          <w:rFonts w:ascii="Arial" w:hAnsi="Arial" w:cs="Arial"/>
          <w:sz w:val="20"/>
          <w:szCs w:val="20"/>
          <w:lang w:val="en-GB"/>
        </w:rPr>
        <w:t xml:space="preserve">Fletcher made written submissions for the Madoff intervenors. See: Rubin v. </w:t>
      </w:r>
      <w:proofErr w:type="spellStart"/>
      <w:r w:rsidRPr="00CF5D67">
        <w:rPr>
          <w:rFonts w:ascii="Arial" w:hAnsi="Arial" w:cs="Arial"/>
          <w:sz w:val="20"/>
          <w:szCs w:val="20"/>
          <w:lang w:val="en-GB"/>
        </w:rPr>
        <w:t>Eurofinance</w:t>
      </w:r>
      <w:proofErr w:type="spellEnd"/>
      <w:r w:rsidRPr="00CF5D67">
        <w:rPr>
          <w:rFonts w:ascii="Arial" w:hAnsi="Arial" w:cs="Arial"/>
          <w:sz w:val="20"/>
          <w:szCs w:val="20"/>
          <w:lang w:val="en-GB"/>
        </w:rPr>
        <w:t xml:space="preserve"> SA [2012] UKSC 46; [2013] 1 A.C. 236 (SC)</w:t>
      </w:r>
    </w:p>
    <w:p w:rsidR="00C713A2" w:rsidRPr="00CF5D67" w:rsidRDefault="00C713A2" w:rsidP="00CF5D67">
      <w:pPr>
        <w:pStyle w:val="FootnoteText"/>
        <w:jc w:val="both"/>
        <w:rPr>
          <w:rFonts w:ascii="Arial" w:hAnsi="Arial" w:cs="Arial"/>
          <w:lang w:val="en-GB"/>
        </w:rPr>
      </w:pPr>
    </w:p>
  </w:footnote>
  <w:footnote w:id="121">
    <w:p w:rsidR="00C713A2" w:rsidRPr="00CF5D67" w:rsidRDefault="00C713A2" w:rsidP="00CF5D67">
      <w:pPr>
        <w:pStyle w:val="FootnoteText"/>
        <w:jc w:val="both"/>
        <w:rPr>
          <w:rFonts w:ascii="Arial" w:hAnsi="Arial" w:cs="Arial"/>
          <w:lang w:val="en-GB"/>
        </w:rPr>
      </w:pPr>
      <w:r w:rsidRPr="00CF5D67">
        <w:rPr>
          <w:rStyle w:val="FootnoteReference"/>
          <w:rFonts w:ascii="Arial" w:hAnsi="Arial" w:cs="Arial"/>
        </w:rPr>
        <w:footnoteRef/>
      </w:r>
      <w:r w:rsidRPr="00CF5D67">
        <w:rPr>
          <w:rFonts w:ascii="Arial" w:hAnsi="Arial" w:cs="Arial"/>
        </w:rPr>
        <w:t xml:space="preserve"> </w:t>
      </w:r>
      <w:r w:rsidRPr="00CF5D67">
        <w:rPr>
          <w:rFonts w:ascii="Arial" w:hAnsi="Arial" w:cs="Arial"/>
          <w:lang w:val="en-GB"/>
        </w:rPr>
        <w:t xml:space="preserve">On group company cross-border insolvency issues see: </w:t>
      </w:r>
      <w:proofErr w:type="spellStart"/>
      <w:r w:rsidRPr="00CF5D67">
        <w:rPr>
          <w:rFonts w:ascii="Arial" w:hAnsi="Arial" w:cs="Arial"/>
          <w:lang w:val="en-GB"/>
        </w:rPr>
        <w:t>Mevorach</w:t>
      </w:r>
      <w:proofErr w:type="spellEnd"/>
      <w:r w:rsidRPr="00CF5D67">
        <w:rPr>
          <w:rFonts w:ascii="Arial" w:hAnsi="Arial" w:cs="Arial"/>
          <w:lang w:val="en-GB"/>
        </w:rPr>
        <w:t xml:space="preserve">, I. </w:t>
      </w:r>
      <w:r w:rsidRPr="00CF5D67">
        <w:rPr>
          <w:rFonts w:ascii="Arial" w:hAnsi="Arial" w:cs="Arial"/>
          <w:i/>
          <w:lang w:val="en-GB"/>
        </w:rPr>
        <w:t xml:space="preserve">Cross-border insolvency of groups: the choice of law challenge </w:t>
      </w:r>
      <w:r w:rsidRPr="00CF5D67">
        <w:rPr>
          <w:rFonts w:ascii="Arial" w:hAnsi="Arial" w:cs="Arial"/>
          <w:lang w:val="en-GB"/>
        </w:rPr>
        <w:t xml:space="preserve">(2014) BJCFCL. 9(1), 226-249. See also: </w:t>
      </w:r>
      <w:proofErr w:type="spellStart"/>
      <w:r w:rsidRPr="00CF5D67">
        <w:rPr>
          <w:rFonts w:ascii="Arial" w:hAnsi="Arial" w:cs="Arial"/>
          <w:lang w:val="en-GB"/>
        </w:rPr>
        <w:t>Mevorach</w:t>
      </w:r>
      <w:proofErr w:type="spellEnd"/>
      <w:r w:rsidRPr="00CF5D67">
        <w:rPr>
          <w:rFonts w:ascii="Arial" w:hAnsi="Arial" w:cs="Arial"/>
          <w:lang w:val="en-GB"/>
        </w:rPr>
        <w:t xml:space="preserve">, I. </w:t>
      </w:r>
      <w:r w:rsidRPr="00CF5D67">
        <w:rPr>
          <w:rFonts w:ascii="Arial" w:hAnsi="Arial" w:cs="Arial"/>
          <w:i/>
          <w:lang w:val="en-GB"/>
        </w:rPr>
        <w:t>Insolvency within multinational enterprise groups</w:t>
      </w:r>
      <w:r w:rsidRPr="00CF5D67">
        <w:rPr>
          <w:rFonts w:ascii="Arial" w:hAnsi="Arial" w:cs="Arial"/>
          <w:lang w:val="en-GB"/>
        </w:rPr>
        <w:t xml:space="preserve">. Oxford University Press, Oxford, 2009. See also: </w:t>
      </w:r>
      <w:proofErr w:type="spellStart"/>
      <w:r w:rsidRPr="00CF5D67">
        <w:rPr>
          <w:rFonts w:ascii="Arial" w:hAnsi="Arial" w:cs="Arial"/>
          <w:lang w:val="en-GB"/>
        </w:rPr>
        <w:t>Mevorach</w:t>
      </w:r>
      <w:proofErr w:type="spellEnd"/>
      <w:r w:rsidRPr="00CF5D67">
        <w:rPr>
          <w:rFonts w:ascii="Arial" w:hAnsi="Arial" w:cs="Arial"/>
          <w:lang w:val="en-GB"/>
        </w:rPr>
        <w:t xml:space="preserve">, I. </w:t>
      </w:r>
      <w:r w:rsidRPr="00CF5D67">
        <w:rPr>
          <w:rFonts w:ascii="Arial" w:hAnsi="Arial" w:cs="Arial"/>
          <w:i/>
          <w:lang w:val="en-GB"/>
        </w:rPr>
        <w:t xml:space="preserve">Centralising Insolvencies of Pan-European Corporate Groups: a Creditor's Dream or Nightmare? </w:t>
      </w:r>
      <w:r w:rsidRPr="00CF5D67">
        <w:rPr>
          <w:rFonts w:ascii="Arial" w:hAnsi="Arial" w:cs="Arial"/>
          <w:lang w:val="en-GB"/>
        </w:rPr>
        <w:t>(2006) JBL pp.468-486.</w:t>
      </w:r>
    </w:p>
  </w:footnote>
  <w:footnote w:id="122">
    <w:p w:rsidR="00C713A2" w:rsidRPr="00CF5D67" w:rsidRDefault="00C713A2" w:rsidP="00CF5D67">
      <w:pPr>
        <w:pStyle w:val="FootnoteText"/>
        <w:jc w:val="both"/>
        <w:rPr>
          <w:rFonts w:ascii="Arial" w:hAnsi="Arial" w:cs="Arial"/>
        </w:rPr>
      </w:pPr>
      <w:r w:rsidRPr="00CF5D67">
        <w:rPr>
          <w:rStyle w:val="FootnoteReference"/>
          <w:rFonts w:ascii="Arial" w:hAnsi="Arial" w:cs="Arial"/>
        </w:rPr>
        <w:footnoteRef/>
      </w:r>
      <w:r w:rsidRPr="00CF5D67">
        <w:rPr>
          <w:rFonts w:ascii="Arial" w:hAnsi="Arial" w:cs="Arial"/>
        </w:rPr>
        <w:t xml:space="preserve"> See: Omar, P. </w:t>
      </w:r>
      <w:r w:rsidRPr="00CF5D67">
        <w:rPr>
          <w:rFonts w:ascii="Arial" w:hAnsi="Arial" w:cs="Arial"/>
          <w:i/>
        </w:rPr>
        <w:t xml:space="preserve">The "Empire" strikes back: lessons for the mother country in insolvency co-operation (Case Comment) </w:t>
      </w:r>
      <w:r w:rsidRPr="00CF5D67">
        <w:rPr>
          <w:rFonts w:ascii="Arial" w:hAnsi="Arial" w:cs="Arial"/>
        </w:rPr>
        <w:t xml:space="preserve">(2013) I.C.C.L.R., 24(11), 411-418; Omar, P. </w:t>
      </w:r>
      <w:r w:rsidRPr="00CF5D67">
        <w:rPr>
          <w:rFonts w:ascii="Arial" w:hAnsi="Arial" w:cs="Arial"/>
          <w:i/>
        </w:rPr>
        <w:t>The resurgence of cross-border recognition and enforcement of insolvency judgments: the Re Phoenix case</w:t>
      </w:r>
      <w:r w:rsidRPr="00CF5D67">
        <w:rPr>
          <w:rFonts w:ascii="Arial" w:hAnsi="Arial" w:cs="Arial"/>
        </w:rPr>
        <w:t xml:space="preserve"> (2013) I.C.C.L.R, 24(9), 329-335. Omar, P. “Passporting” Rescue: Section 426 of the United Kingdom Insolvency Act and Assistance to Other Countries, Chapter 8 in R. Parry (</w:t>
      </w:r>
      <w:proofErr w:type="spellStart"/>
      <w:r w:rsidRPr="00CF5D67">
        <w:rPr>
          <w:rFonts w:ascii="Arial" w:hAnsi="Arial" w:cs="Arial"/>
        </w:rPr>
        <w:t>ed</w:t>
      </w:r>
      <w:proofErr w:type="spellEnd"/>
      <w:r w:rsidRPr="00CF5D67">
        <w:rPr>
          <w:rFonts w:ascii="Arial" w:hAnsi="Arial" w:cs="Arial"/>
        </w:rPr>
        <w:t xml:space="preserve">), Substantive </w:t>
      </w:r>
      <w:proofErr w:type="spellStart"/>
      <w:r w:rsidRPr="00CF5D67">
        <w:rPr>
          <w:rFonts w:ascii="Arial" w:hAnsi="Arial" w:cs="Arial"/>
        </w:rPr>
        <w:t>Harmonisation</w:t>
      </w:r>
      <w:proofErr w:type="spellEnd"/>
      <w:r w:rsidRPr="00CF5D67">
        <w:rPr>
          <w:rFonts w:ascii="Arial" w:hAnsi="Arial" w:cs="Arial"/>
        </w:rPr>
        <w:t xml:space="preserve"> and Convergence of Laws in Europe (2012) INSOL Europe (99-114). See also: Omar, P. Passport renewed: extension of rescue proceedings to foreign companies under section 426 of the Insolvency Act 1986 (2103) Int. C.R. 2013, 10(5), 310-317. See also: Omar, P. UK cross-border cooperation: extending rescue to Jersey debtors on a "passporting" basis (2103) I.I.R, 22(3), 119-143. See also: Omar, P. Visa denied: an end to the Jersey practice of insolvency "passporting" (2013) J.G.L.R, 17(2), 182-194. Omar, P. Cross-border assistance in insolvency under Jersey law (2011) I.I.R, 20(2), 107-129; Omar, P. Cross-border assistance in the common law and international insolvency texts: an update (2009) I.C.C.L.R, 20(11), 379-386; </w:t>
      </w:r>
    </w:p>
  </w:footnote>
  <w:footnote w:id="123">
    <w:p w:rsidR="00C713A2" w:rsidRPr="00CF5D67" w:rsidRDefault="00C713A2" w:rsidP="00CF5D67">
      <w:pPr>
        <w:pStyle w:val="FootnoteText"/>
        <w:jc w:val="both"/>
        <w:rPr>
          <w:rFonts w:ascii="Arial" w:hAnsi="Arial" w:cs="Arial"/>
          <w:lang w:val="en-GB"/>
        </w:rPr>
      </w:pPr>
      <w:r w:rsidRPr="00CF5D67">
        <w:rPr>
          <w:rStyle w:val="FootnoteReference"/>
          <w:rFonts w:ascii="Arial" w:hAnsi="Arial" w:cs="Arial"/>
        </w:rPr>
        <w:footnoteRef/>
      </w:r>
      <w:r w:rsidRPr="00CF5D67">
        <w:rPr>
          <w:rFonts w:ascii="Arial" w:hAnsi="Arial" w:cs="Arial"/>
        </w:rPr>
        <w:t xml:space="preserve"> </w:t>
      </w:r>
      <w:r w:rsidRPr="00CF5D67">
        <w:rPr>
          <w:rFonts w:ascii="Arial" w:hAnsi="Arial" w:cs="Arial"/>
          <w:lang w:val="en-GB"/>
        </w:rPr>
        <w:t xml:space="preserve">Nottingham citation and Brexit piece in </w:t>
      </w:r>
      <w:proofErr w:type="spellStart"/>
      <w:r w:rsidRPr="00CF5D67">
        <w:rPr>
          <w:rFonts w:ascii="Arial" w:hAnsi="Arial" w:cs="Arial"/>
          <w:lang w:val="en-GB"/>
        </w:rPr>
        <w:t>insol</w:t>
      </w:r>
      <w:proofErr w:type="spellEnd"/>
      <w:r w:rsidRPr="00CF5D67">
        <w:rPr>
          <w:rFonts w:ascii="Arial" w:hAnsi="Arial" w:cs="Arial"/>
          <w:lang w:val="en-GB"/>
        </w:rPr>
        <w:t xml:space="preserve"> </w:t>
      </w:r>
      <w:proofErr w:type="spellStart"/>
      <w:r w:rsidRPr="00CF5D67">
        <w:rPr>
          <w:rFonts w:ascii="Arial" w:hAnsi="Arial" w:cs="Arial"/>
          <w:lang w:val="en-GB"/>
        </w:rPr>
        <w:t>int</w:t>
      </w:r>
      <w:proofErr w:type="spellEnd"/>
      <w:r w:rsidRPr="00CF5D67">
        <w:rPr>
          <w:rFonts w:ascii="Arial" w:hAnsi="Arial" w:cs="Arial"/>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3A2" w:rsidRPr="004338FD" w:rsidRDefault="00C713A2">
    <w:pPr>
      <w:pStyle w:val="Header"/>
      <w:rPr>
        <w:sz w:val="16"/>
        <w:szCs w:val="16"/>
        <w:lang w:val="en-GB"/>
      </w:rPr>
    </w:pPr>
    <w:r w:rsidRPr="004338FD">
      <w:rPr>
        <w:sz w:val="16"/>
        <w:szCs w:val="16"/>
        <w:lang w:val="en-GB"/>
      </w:rPr>
      <w:t>Insolvency Intelligence Tribute Edition for Profes</w:t>
    </w:r>
    <w:r w:rsidR="00DD47EB">
      <w:rPr>
        <w:sz w:val="16"/>
        <w:szCs w:val="16"/>
        <w:lang w:val="en-GB"/>
      </w:rPr>
      <w:t>sor Ian F. Fletcher QC (Hon) – SB &amp; J</w:t>
    </w:r>
    <w:r w:rsidRPr="004338FD">
      <w:rPr>
        <w:sz w:val="16"/>
        <w:szCs w:val="16"/>
        <w:lang w:val="en-GB"/>
      </w:rPr>
      <w:t xml:space="preserve">PT’s contribution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A116F"/>
    <w:multiLevelType w:val="hybridMultilevel"/>
    <w:tmpl w:val="B2AAB11C"/>
    <w:lvl w:ilvl="0" w:tplc="1F960C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5B3D32"/>
    <w:multiLevelType w:val="hybridMultilevel"/>
    <w:tmpl w:val="F00CC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0D25B0"/>
    <w:multiLevelType w:val="hybridMultilevel"/>
    <w:tmpl w:val="B4E2D310"/>
    <w:lvl w:ilvl="0" w:tplc="1F960C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7E2B2A"/>
    <w:multiLevelType w:val="hybridMultilevel"/>
    <w:tmpl w:val="56B60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8D4D9D"/>
    <w:multiLevelType w:val="hybridMultilevel"/>
    <w:tmpl w:val="8AE29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CFE"/>
    <w:rsid w:val="000028CF"/>
    <w:rsid w:val="00004CAD"/>
    <w:rsid w:val="00005BAC"/>
    <w:rsid w:val="00014CF1"/>
    <w:rsid w:val="00020606"/>
    <w:rsid w:val="000245E3"/>
    <w:rsid w:val="000302D2"/>
    <w:rsid w:val="000318FB"/>
    <w:rsid w:val="00042F08"/>
    <w:rsid w:val="0004377A"/>
    <w:rsid w:val="000457A4"/>
    <w:rsid w:val="00050EB1"/>
    <w:rsid w:val="000549BB"/>
    <w:rsid w:val="00072686"/>
    <w:rsid w:val="00074180"/>
    <w:rsid w:val="00081765"/>
    <w:rsid w:val="000929A2"/>
    <w:rsid w:val="00092B45"/>
    <w:rsid w:val="000A19DB"/>
    <w:rsid w:val="000B07C7"/>
    <w:rsid w:val="000B26F5"/>
    <w:rsid w:val="000B4A73"/>
    <w:rsid w:val="000B6443"/>
    <w:rsid w:val="000B728A"/>
    <w:rsid w:val="000C1AD1"/>
    <w:rsid w:val="000C27B7"/>
    <w:rsid w:val="000C49C4"/>
    <w:rsid w:val="000D1D31"/>
    <w:rsid w:val="000E3449"/>
    <w:rsid w:val="000E4CA9"/>
    <w:rsid w:val="000F079E"/>
    <w:rsid w:val="000F3239"/>
    <w:rsid w:val="000F3DE6"/>
    <w:rsid w:val="000F52CD"/>
    <w:rsid w:val="001048EB"/>
    <w:rsid w:val="001145B1"/>
    <w:rsid w:val="001165C7"/>
    <w:rsid w:val="00120037"/>
    <w:rsid w:val="00122D5F"/>
    <w:rsid w:val="00125B87"/>
    <w:rsid w:val="001320A9"/>
    <w:rsid w:val="0013542A"/>
    <w:rsid w:val="001438A1"/>
    <w:rsid w:val="00145FAD"/>
    <w:rsid w:val="00147574"/>
    <w:rsid w:val="001508C6"/>
    <w:rsid w:val="00171DF4"/>
    <w:rsid w:val="00177E37"/>
    <w:rsid w:val="00194EEF"/>
    <w:rsid w:val="00196D79"/>
    <w:rsid w:val="001B1F70"/>
    <w:rsid w:val="001B2A45"/>
    <w:rsid w:val="001B4CF0"/>
    <w:rsid w:val="001C00C9"/>
    <w:rsid w:val="001C2D16"/>
    <w:rsid w:val="001C427F"/>
    <w:rsid w:val="001C4420"/>
    <w:rsid w:val="001C5C95"/>
    <w:rsid w:val="001D12D9"/>
    <w:rsid w:val="001D7C49"/>
    <w:rsid w:val="001E5058"/>
    <w:rsid w:val="00200792"/>
    <w:rsid w:val="00201307"/>
    <w:rsid w:val="0020360B"/>
    <w:rsid w:val="0020377F"/>
    <w:rsid w:val="0020462E"/>
    <w:rsid w:val="00206B0E"/>
    <w:rsid w:val="00210300"/>
    <w:rsid w:val="00211064"/>
    <w:rsid w:val="00214B8B"/>
    <w:rsid w:val="0022429D"/>
    <w:rsid w:val="00226503"/>
    <w:rsid w:val="0022791E"/>
    <w:rsid w:val="00231B1B"/>
    <w:rsid w:val="002349D5"/>
    <w:rsid w:val="00242484"/>
    <w:rsid w:val="00244FA0"/>
    <w:rsid w:val="00253C16"/>
    <w:rsid w:val="00262DB9"/>
    <w:rsid w:val="002668FF"/>
    <w:rsid w:val="00270CE3"/>
    <w:rsid w:val="002768E4"/>
    <w:rsid w:val="00287CBB"/>
    <w:rsid w:val="0029118E"/>
    <w:rsid w:val="00293384"/>
    <w:rsid w:val="002977E2"/>
    <w:rsid w:val="002A0FF3"/>
    <w:rsid w:val="002A2B09"/>
    <w:rsid w:val="002A3E6F"/>
    <w:rsid w:val="002A4C55"/>
    <w:rsid w:val="002B1503"/>
    <w:rsid w:val="002B2E12"/>
    <w:rsid w:val="002C3D2A"/>
    <w:rsid w:val="002C6D60"/>
    <w:rsid w:val="002D3B33"/>
    <w:rsid w:val="002E2905"/>
    <w:rsid w:val="002F35AC"/>
    <w:rsid w:val="002F5BA8"/>
    <w:rsid w:val="00306DFC"/>
    <w:rsid w:val="003252C4"/>
    <w:rsid w:val="0033109B"/>
    <w:rsid w:val="00334FBF"/>
    <w:rsid w:val="003505D3"/>
    <w:rsid w:val="00352FBF"/>
    <w:rsid w:val="00354B2C"/>
    <w:rsid w:val="00361E4B"/>
    <w:rsid w:val="00363DB3"/>
    <w:rsid w:val="00365E45"/>
    <w:rsid w:val="00380546"/>
    <w:rsid w:val="00381158"/>
    <w:rsid w:val="0038763C"/>
    <w:rsid w:val="00387F09"/>
    <w:rsid w:val="0039510B"/>
    <w:rsid w:val="00396CF3"/>
    <w:rsid w:val="003A09CE"/>
    <w:rsid w:val="003C11A3"/>
    <w:rsid w:val="003C26EA"/>
    <w:rsid w:val="003C3394"/>
    <w:rsid w:val="003F49C8"/>
    <w:rsid w:val="00415FE8"/>
    <w:rsid w:val="004239BE"/>
    <w:rsid w:val="00423BD3"/>
    <w:rsid w:val="00430B96"/>
    <w:rsid w:val="004338FD"/>
    <w:rsid w:val="00442469"/>
    <w:rsid w:val="00446C9B"/>
    <w:rsid w:val="0045234D"/>
    <w:rsid w:val="004525AC"/>
    <w:rsid w:val="004526D9"/>
    <w:rsid w:val="00453763"/>
    <w:rsid w:val="00460964"/>
    <w:rsid w:val="0046147E"/>
    <w:rsid w:val="00464617"/>
    <w:rsid w:val="004657FF"/>
    <w:rsid w:val="00484FE6"/>
    <w:rsid w:val="00485B7E"/>
    <w:rsid w:val="00491472"/>
    <w:rsid w:val="00491593"/>
    <w:rsid w:val="00492439"/>
    <w:rsid w:val="004A6EC4"/>
    <w:rsid w:val="004A72DC"/>
    <w:rsid w:val="004C006E"/>
    <w:rsid w:val="004C54E2"/>
    <w:rsid w:val="004C5B47"/>
    <w:rsid w:val="004D0357"/>
    <w:rsid w:val="004D4E44"/>
    <w:rsid w:val="004E12B7"/>
    <w:rsid w:val="004E2C06"/>
    <w:rsid w:val="004E7A5B"/>
    <w:rsid w:val="004F40F7"/>
    <w:rsid w:val="004F585D"/>
    <w:rsid w:val="004F7F52"/>
    <w:rsid w:val="0051391A"/>
    <w:rsid w:val="00513BBE"/>
    <w:rsid w:val="00516A68"/>
    <w:rsid w:val="00521DA5"/>
    <w:rsid w:val="00530113"/>
    <w:rsid w:val="0053458D"/>
    <w:rsid w:val="00534DA8"/>
    <w:rsid w:val="005407FD"/>
    <w:rsid w:val="00542215"/>
    <w:rsid w:val="005438FF"/>
    <w:rsid w:val="005467A6"/>
    <w:rsid w:val="00553BB7"/>
    <w:rsid w:val="00553D95"/>
    <w:rsid w:val="005739B7"/>
    <w:rsid w:val="00577AE7"/>
    <w:rsid w:val="00585D17"/>
    <w:rsid w:val="005927DD"/>
    <w:rsid w:val="005929FF"/>
    <w:rsid w:val="00593E6C"/>
    <w:rsid w:val="005A43B1"/>
    <w:rsid w:val="005D0539"/>
    <w:rsid w:val="005F0D78"/>
    <w:rsid w:val="005F297E"/>
    <w:rsid w:val="005F2AAB"/>
    <w:rsid w:val="005F2E95"/>
    <w:rsid w:val="006057CE"/>
    <w:rsid w:val="00606021"/>
    <w:rsid w:val="00637D55"/>
    <w:rsid w:val="00642BED"/>
    <w:rsid w:val="00663D1E"/>
    <w:rsid w:val="00685811"/>
    <w:rsid w:val="0069427E"/>
    <w:rsid w:val="00694AE7"/>
    <w:rsid w:val="006A6323"/>
    <w:rsid w:val="006B5EA8"/>
    <w:rsid w:val="006C15A2"/>
    <w:rsid w:val="006D229C"/>
    <w:rsid w:val="006D60DE"/>
    <w:rsid w:val="006D7D37"/>
    <w:rsid w:val="006E3E64"/>
    <w:rsid w:val="006E511C"/>
    <w:rsid w:val="006E7422"/>
    <w:rsid w:val="006F2995"/>
    <w:rsid w:val="00701B26"/>
    <w:rsid w:val="00702765"/>
    <w:rsid w:val="00722ACE"/>
    <w:rsid w:val="00741FB0"/>
    <w:rsid w:val="00745BDF"/>
    <w:rsid w:val="00746F04"/>
    <w:rsid w:val="00750BB3"/>
    <w:rsid w:val="00750D03"/>
    <w:rsid w:val="0075779C"/>
    <w:rsid w:val="007634A5"/>
    <w:rsid w:val="00773554"/>
    <w:rsid w:val="00775892"/>
    <w:rsid w:val="00782959"/>
    <w:rsid w:val="0078704C"/>
    <w:rsid w:val="007946B5"/>
    <w:rsid w:val="007A0860"/>
    <w:rsid w:val="007A13CD"/>
    <w:rsid w:val="007A1497"/>
    <w:rsid w:val="007A5FFB"/>
    <w:rsid w:val="007A642F"/>
    <w:rsid w:val="007B0BF2"/>
    <w:rsid w:val="007B7781"/>
    <w:rsid w:val="007C1942"/>
    <w:rsid w:val="007E3091"/>
    <w:rsid w:val="007E504B"/>
    <w:rsid w:val="007F1E54"/>
    <w:rsid w:val="00800321"/>
    <w:rsid w:val="00804DB8"/>
    <w:rsid w:val="008076EA"/>
    <w:rsid w:val="00823683"/>
    <w:rsid w:val="008250C7"/>
    <w:rsid w:val="00826448"/>
    <w:rsid w:val="00830CB5"/>
    <w:rsid w:val="0084220D"/>
    <w:rsid w:val="00847238"/>
    <w:rsid w:val="00852361"/>
    <w:rsid w:val="008527B0"/>
    <w:rsid w:val="00855464"/>
    <w:rsid w:val="00855524"/>
    <w:rsid w:val="00871B30"/>
    <w:rsid w:val="00876ACC"/>
    <w:rsid w:val="00876ACD"/>
    <w:rsid w:val="0089041D"/>
    <w:rsid w:val="0089674E"/>
    <w:rsid w:val="008970FF"/>
    <w:rsid w:val="008B2736"/>
    <w:rsid w:val="008B43E6"/>
    <w:rsid w:val="008B4D75"/>
    <w:rsid w:val="008B5076"/>
    <w:rsid w:val="008C64C8"/>
    <w:rsid w:val="008D4265"/>
    <w:rsid w:val="008D6E0C"/>
    <w:rsid w:val="008E069B"/>
    <w:rsid w:val="008E556F"/>
    <w:rsid w:val="008E601B"/>
    <w:rsid w:val="008F4985"/>
    <w:rsid w:val="00911ED3"/>
    <w:rsid w:val="00916DFE"/>
    <w:rsid w:val="00922BAA"/>
    <w:rsid w:val="009230E7"/>
    <w:rsid w:val="00924F85"/>
    <w:rsid w:val="009300E3"/>
    <w:rsid w:val="00932036"/>
    <w:rsid w:val="009334F0"/>
    <w:rsid w:val="00937C23"/>
    <w:rsid w:val="00941B72"/>
    <w:rsid w:val="00950D00"/>
    <w:rsid w:val="00950FDF"/>
    <w:rsid w:val="0095220B"/>
    <w:rsid w:val="00954510"/>
    <w:rsid w:val="0096221E"/>
    <w:rsid w:val="00963BD7"/>
    <w:rsid w:val="00966919"/>
    <w:rsid w:val="00967C5D"/>
    <w:rsid w:val="00970363"/>
    <w:rsid w:val="009A40F5"/>
    <w:rsid w:val="009B0051"/>
    <w:rsid w:val="009B3132"/>
    <w:rsid w:val="009C167B"/>
    <w:rsid w:val="009D1BFC"/>
    <w:rsid w:val="009D316A"/>
    <w:rsid w:val="009D6CAE"/>
    <w:rsid w:val="009E69F9"/>
    <w:rsid w:val="009E7B4C"/>
    <w:rsid w:val="009F71FD"/>
    <w:rsid w:val="009F75C4"/>
    <w:rsid w:val="00A10D96"/>
    <w:rsid w:val="00A139C5"/>
    <w:rsid w:val="00A13AE5"/>
    <w:rsid w:val="00A16BDB"/>
    <w:rsid w:val="00A17A17"/>
    <w:rsid w:val="00A20380"/>
    <w:rsid w:val="00A20BDA"/>
    <w:rsid w:val="00A23961"/>
    <w:rsid w:val="00A262AC"/>
    <w:rsid w:val="00A2631F"/>
    <w:rsid w:val="00A3000D"/>
    <w:rsid w:val="00A332D6"/>
    <w:rsid w:val="00A44A3D"/>
    <w:rsid w:val="00A44B21"/>
    <w:rsid w:val="00A56187"/>
    <w:rsid w:val="00A57685"/>
    <w:rsid w:val="00A610D8"/>
    <w:rsid w:val="00A61EAC"/>
    <w:rsid w:val="00A75DF0"/>
    <w:rsid w:val="00A808DE"/>
    <w:rsid w:val="00A83526"/>
    <w:rsid w:val="00A846C6"/>
    <w:rsid w:val="00AA112D"/>
    <w:rsid w:val="00AA3B1B"/>
    <w:rsid w:val="00AB0E9E"/>
    <w:rsid w:val="00AB15F2"/>
    <w:rsid w:val="00AB5ADB"/>
    <w:rsid w:val="00AB76A6"/>
    <w:rsid w:val="00AC47FF"/>
    <w:rsid w:val="00AD00D8"/>
    <w:rsid w:val="00AD33C8"/>
    <w:rsid w:val="00AD517B"/>
    <w:rsid w:val="00AD751C"/>
    <w:rsid w:val="00AE53EE"/>
    <w:rsid w:val="00AF1FB5"/>
    <w:rsid w:val="00B01565"/>
    <w:rsid w:val="00B04683"/>
    <w:rsid w:val="00B06D80"/>
    <w:rsid w:val="00B07C59"/>
    <w:rsid w:val="00B1094F"/>
    <w:rsid w:val="00B1509A"/>
    <w:rsid w:val="00B25770"/>
    <w:rsid w:val="00B333B3"/>
    <w:rsid w:val="00B51052"/>
    <w:rsid w:val="00B547D4"/>
    <w:rsid w:val="00B577AB"/>
    <w:rsid w:val="00B641D0"/>
    <w:rsid w:val="00B67AE5"/>
    <w:rsid w:val="00B67B19"/>
    <w:rsid w:val="00B803E7"/>
    <w:rsid w:val="00B8129F"/>
    <w:rsid w:val="00B8335E"/>
    <w:rsid w:val="00B85808"/>
    <w:rsid w:val="00B95F67"/>
    <w:rsid w:val="00BA16B9"/>
    <w:rsid w:val="00BA4385"/>
    <w:rsid w:val="00BB5CD3"/>
    <w:rsid w:val="00BB662F"/>
    <w:rsid w:val="00BB7C5E"/>
    <w:rsid w:val="00BC1C86"/>
    <w:rsid w:val="00BD085A"/>
    <w:rsid w:val="00BD4B6F"/>
    <w:rsid w:val="00BD5FC4"/>
    <w:rsid w:val="00BE4F68"/>
    <w:rsid w:val="00BE6013"/>
    <w:rsid w:val="00BF0EAE"/>
    <w:rsid w:val="00BF1112"/>
    <w:rsid w:val="00BF3ED0"/>
    <w:rsid w:val="00BF4772"/>
    <w:rsid w:val="00C009A7"/>
    <w:rsid w:val="00C01223"/>
    <w:rsid w:val="00C03083"/>
    <w:rsid w:val="00C050BF"/>
    <w:rsid w:val="00C05B93"/>
    <w:rsid w:val="00C116D4"/>
    <w:rsid w:val="00C13063"/>
    <w:rsid w:val="00C13D39"/>
    <w:rsid w:val="00C17683"/>
    <w:rsid w:val="00C25446"/>
    <w:rsid w:val="00C37392"/>
    <w:rsid w:val="00C44CFE"/>
    <w:rsid w:val="00C5096A"/>
    <w:rsid w:val="00C51BF9"/>
    <w:rsid w:val="00C65011"/>
    <w:rsid w:val="00C66ABE"/>
    <w:rsid w:val="00C713A2"/>
    <w:rsid w:val="00C8035A"/>
    <w:rsid w:val="00C81A19"/>
    <w:rsid w:val="00C81F43"/>
    <w:rsid w:val="00C85CD0"/>
    <w:rsid w:val="00C94C76"/>
    <w:rsid w:val="00CE0535"/>
    <w:rsid w:val="00CF172E"/>
    <w:rsid w:val="00CF34C3"/>
    <w:rsid w:val="00CF5D67"/>
    <w:rsid w:val="00CF7288"/>
    <w:rsid w:val="00D1339A"/>
    <w:rsid w:val="00D237E6"/>
    <w:rsid w:val="00D23F4C"/>
    <w:rsid w:val="00D25238"/>
    <w:rsid w:val="00D350A1"/>
    <w:rsid w:val="00D41352"/>
    <w:rsid w:val="00D428CE"/>
    <w:rsid w:val="00D44ACB"/>
    <w:rsid w:val="00D56DEB"/>
    <w:rsid w:val="00D62A2E"/>
    <w:rsid w:val="00D675E8"/>
    <w:rsid w:val="00D70407"/>
    <w:rsid w:val="00D720FB"/>
    <w:rsid w:val="00D87FE4"/>
    <w:rsid w:val="00D92A6C"/>
    <w:rsid w:val="00D93B26"/>
    <w:rsid w:val="00D97DCB"/>
    <w:rsid w:val="00DA4B8D"/>
    <w:rsid w:val="00DA4D1F"/>
    <w:rsid w:val="00DA6AD4"/>
    <w:rsid w:val="00DA6BCF"/>
    <w:rsid w:val="00DB77E9"/>
    <w:rsid w:val="00DC11EA"/>
    <w:rsid w:val="00DC28CE"/>
    <w:rsid w:val="00DC74A9"/>
    <w:rsid w:val="00DC7969"/>
    <w:rsid w:val="00DD47EB"/>
    <w:rsid w:val="00DD4868"/>
    <w:rsid w:val="00DD77F1"/>
    <w:rsid w:val="00DE47EF"/>
    <w:rsid w:val="00DF6266"/>
    <w:rsid w:val="00E04326"/>
    <w:rsid w:val="00E145CE"/>
    <w:rsid w:val="00E169A3"/>
    <w:rsid w:val="00E242D8"/>
    <w:rsid w:val="00E41A04"/>
    <w:rsid w:val="00E54EAF"/>
    <w:rsid w:val="00E57353"/>
    <w:rsid w:val="00E63568"/>
    <w:rsid w:val="00E6645B"/>
    <w:rsid w:val="00E7136D"/>
    <w:rsid w:val="00E74F1B"/>
    <w:rsid w:val="00E80CF0"/>
    <w:rsid w:val="00E80D00"/>
    <w:rsid w:val="00E921B8"/>
    <w:rsid w:val="00E9377A"/>
    <w:rsid w:val="00E951FE"/>
    <w:rsid w:val="00EA5E1B"/>
    <w:rsid w:val="00EB06D1"/>
    <w:rsid w:val="00EB09FE"/>
    <w:rsid w:val="00EC3E40"/>
    <w:rsid w:val="00ED2EBE"/>
    <w:rsid w:val="00EF2183"/>
    <w:rsid w:val="00EF4DA4"/>
    <w:rsid w:val="00EF5E97"/>
    <w:rsid w:val="00F002A3"/>
    <w:rsid w:val="00F00CCF"/>
    <w:rsid w:val="00F02730"/>
    <w:rsid w:val="00F12F79"/>
    <w:rsid w:val="00F12F7C"/>
    <w:rsid w:val="00F16907"/>
    <w:rsid w:val="00F17B0A"/>
    <w:rsid w:val="00F32316"/>
    <w:rsid w:val="00F41D9D"/>
    <w:rsid w:val="00F65F67"/>
    <w:rsid w:val="00F77050"/>
    <w:rsid w:val="00F8327F"/>
    <w:rsid w:val="00F90D45"/>
    <w:rsid w:val="00F92107"/>
    <w:rsid w:val="00F92F23"/>
    <w:rsid w:val="00F93EAD"/>
    <w:rsid w:val="00FA3E59"/>
    <w:rsid w:val="00FE1BF0"/>
    <w:rsid w:val="00FE2865"/>
    <w:rsid w:val="00FE3B27"/>
    <w:rsid w:val="00FE5A49"/>
    <w:rsid w:val="00FE6377"/>
    <w:rsid w:val="00FF59D5"/>
    <w:rsid w:val="00FF7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6DABD3"/>
  <w15:chartTrackingRefBased/>
  <w15:docId w15:val="{68A82D73-A559-3340-80CC-FA283002F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4CFE"/>
    <w:rPr>
      <w:lang w:val="en-US"/>
    </w:rPr>
  </w:style>
  <w:style w:type="paragraph" w:styleId="Heading2">
    <w:name w:val="heading 2"/>
    <w:basedOn w:val="Normal"/>
    <w:link w:val="Heading2Char"/>
    <w:uiPriority w:val="9"/>
    <w:qFormat/>
    <w:rsid w:val="000B6443"/>
    <w:pPr>
      <w:spacing w:before="100" w:beforeAutospacing="1" w:after="100" w:afterAutospacing="1"/>
      <w:outlineLvl w:val="1"/>
    </w:pPr>
    <w:rPr>
      <w:rFonts w:ascii="Times New Roman" w:eastAsia="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C44CFE"/>
    <w:rPr>
      <w:sz w:val="20"/>
      <w:szCs w:val="20"/>
    </w:rPr>
  </w:style>
  <w:style w:type="character" w:customStyle="1" w:styleId="FootnoteTextChar">
    <w:name w:val="Footnote Text Char"/>
    <w:basedOn w:val="DefaultParagraphFont"/>
    <w:link w:val="FootnoteText"/>
    <w:uiPriority w:val="99"/>
    <w:rsid w:val="00C44CFE"/>
    <w:rPr>
      <w:sz w:val="20"/>
      <w:szCs w:val="20"/>
      <w:lang w:val="en-US"/>
    </w:rPr>
  </w:style>
  <w:style w:type="character" w:styleId="FootnoteReference">
    <w:name w:val="footnote reference"/>
    <w:basedOn w:val="DefaultParagraphFont"/>
    <w:unhideWhenUsed/>
    <w:rsid w:val="00C44CFE"/>
    <w:rPr>
      <w:vertAlign w:val="superscript"/>
    </w:rPr>
  </w:style>
  <w:style w:type="character" w:styleId="Hyperlink">
    <w:name w:val="Hyperlink"/>
    <w:basedOn w:val="DefaultParagraphFont"/>
    <w:uiPriority w:val="99"/>
    <w:unhideWhenUsed/>
    <w:rsid w:val="00C44CFE"/>
    <w:rPr>
      <w:color w:val="0563C1" w:themeColor="hyperlink"/>
      <w:u w:val="single"/>
    </w:rPr>
  </w:style>
  <w:style w:type="paragraph" w:styleId="Header">
    <w:name w:val="header"/>
    <w:basedOn w:val="Normal"/>
    <w:link w:val="HeaderChar"/>
    <w:uiPriority w:val="99"/>
    <w:unhideWhenUsed/>
    <w:rsid w:val="004338FD"/>
    <w:pPr>
      <w:tabs>
        <w:tab w:val="center" w:pos="4680"/>
        <w:tab w:val="right" w:pos="9360"/>
      </w:tabs>
    </w:pPr>
  </w:style>
  <w:style w:type="character" w:customStyle="1" w:styleId="HeaderChar">
    <w:name w:val="Header Char"/>
    <w:basedOn w:val="DefaultParagraphFont"/>
    <w:link w:val="Header"/>
    <w:uiPriority w:val="99"/>
    <w:rsid w:val="004338FD"/>
    <w:rPr>
      <w:lang w:val="en-US"/>
    </w:rPr>
  </w:style>
  <w:style w:type="paragraph" w:styleId="Footer">
    <w:name w:val="footer"/>
    <w:basedOn w:val="Normal"/>
    <w:link w:val="FooterChar"/>
    <w:uiPriority w:val="99"/>
    <w:unhideWhenUsed/>
    <w:rsid w:val="004338FD"/>
    <w:pPr>
      <w:tabs>
        <w:tab w:val="center" w:pos="4680"/>
        <w:tab w:val="right" w:pos="9360"/>
      </w:tabs>
    </w:pPr>
  </w:style>
  <w:style w:type="character" w:customStyle="1" w:styleId="FooterChar">
    <w:name w:val="Footer Char"/>
    <w:basedOn w:val="DefaultParagraphFont"/>
    <w:link w:val="Footer"/>
    <w:uiPriority w:val="99"/>
    <w:rsid w:val="004338FD"/>
    <w:rPr>
      <w:lang w:val="en-US"/>
    </w:rPr>
  </w:style>
  <w:style w:type="character" w:styleId="PageNumber">
    <w:name w:val="page number"/>
    <w:basedOn w:val="DefaultParagraphFont"/>
    <w:uiPriority w:val="99"/>
    <w:semiHidden/>
    <w:unhideWhenUsed/>
    <w:rsid w:val="004338FD"/>
  </w:style>
  <w:style w:type="paragraph" w:styleId="ListParagraph">
    <w:name w:val="List Paragraph"/>
    <w:basedOn w:val="Normal"/>
    <w:uiPriority w:val="34"/>
    <w:qFormat/>
    <w:rsid w:val="00491472"/>
    <w:pPr>
      <w:ind w:left="720"/>
      <w:contextualSpacing/>
    </w:pPr>
  </w:style>
  <w:style w:type="character" w:styleId="UnresolvedMention">
    <w:name w:val="Unresolved Mention"/>
    <w:basedOn w:val="DefaultParagraphFont"/>
    <w:uiPriority w:val="99"/>
    <w:semiHidden/>
    <w:unhideWhenUsed/>
    <w:rsid w:val="0039510B"/>
    <w:rPr>
      <w:color w:val="808080"/>
      <w:shd w:val="clear" w:color="auto" w:fill="E6E6E6"/>
    </w:rPr>
  </w:style>
  <w:style w:type="character" w:styleId="FollowedHyperlink">
    <w:name w:val="FollowedHyperlink"/>
    <w:basedOn w:val="DefaultParagraphFont"/>
    <w:uiPriority w:val="99"/>
    <w:semiHidden/>
    <w:unhideWhenUsed/>
    <w:rsid w:val="0039510B"/>
    <w:rPr>
      <w:color w:val="954F72" w:themeColor="followedHyperlink"/>
      <w:u w:val="single"/>
    </w:rPr>
  </w:style>
  <w:style w:type="character" w:customStyle="1" w:styleId="Heading2Char">
    <w:name w:val="Heading 2 Char"/>
    <w:basedOn w:val="DefaultParagraphFont"/>
    <w:link w:val="Heading2"/>
    <w:uiPriority w:val="9"/>
    <w:rsid w:val="000B6443"/>
    <w:rPr>
      <w:rFonts w:ascii="Times New Roman" w:eastAsia="Times New Roman" w:hAnsi="Times New Roman" w:cs="Times New Roman"/>
      <w:b/>
      <w:bCs/>
      <w:sz w:val="36"/>
      <w:szCs w:val="36"/>
    </w:rPr>
  </w:style>
  <w:style w:type="character" w:customStyle="1" w:styleId="searchterm">
    <w:name w:val="searchterm"/>
    <w:basedOn w:val="DefaultParagraphFont"/>
    <w:rsid w:val="000B6443"/>
  </w:style>
  <w:style w:type="paragraph" w:customStyle="1" w:styleId="center">
    <w:name w:val="center"/>
    <w:basedOn w:val="Normal"/>
    <w:rsid w:val="000B6443"/>
    <w:pPr>
      <w:spacing w:before="100" w:beforeAutospacing="1" w:after="100" w:afterAutospacing="1"/>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93427">
      <w:bodyDiv w:val="1"/>
      <w:marLeft w:val="0"/>
      <w:marRight w:val="0"/>
      <w:marTop w:val="0"/>
      <w:marBottom w:val="0"/>
      <w:divBdr>
        <w:top w:val="none" w:sz="0" w:space="0" w:color="auto"/>
        <w:left w:val="none" w:sz="0" w:space="0" w:color="auto"/>
        <w:bottom w:val="none" w:sz="0" w:space="0" w:color="auto"/>
        <w:right w:val="none" w:sz="0" w:space="0" w:color="auto"/>
      </w:divBdr>
    </w:div>
    <w:div w:id="527987306">
      <w:bodyDiv w:val="1"/>
      <w:marLeft w:val="0"/>
      <w:marRight w:val="0"/>
      <w:marTop w:val="0"/>
      <w:marBottom w:val="0"/>
      <w:divBdr>
        <w:top w:val="none" w:sz="0" w:space="0" w:color="auto"/>
        <w:left w:val="none" w:sz="0" w:space="0" w:color="auto"/>
        <w:bottom w:val="none" w:sz="0" w:space="0" w:color="auto"/>
        <w:right w:val="none" w:sz="0" w:space="0" w:color="auto"/>
      </w:divBdr>
    </w:div>
    <w:div w:id="867448930">
      <w:bodyDiv w:val="1"/>
      <w:marLeft w:val="0"/>
      <w:marRight w:val="0"/>
      <w:marTop w:val="0"/>
      <w:marBottom w:val="0"/>
      <w:divBdr>
        <w:top w:val="none" w:sz="0" w:space="0" w:color="auto"/>
        <w:left w:val="none" w:sz="0" w:space="0" w:color="auto"/>
        <w:bottom w:val="none" w:sz="0" w:space="0" w:color="auto"/>
        <w:right w:val="none" w:sz="0" w:space="0" w:color="auto"/>
      </w:divBdr>
    </w:div>
    <w:div w:id="1432507620">
      <w:bodyDiv w:val="1"/>
      <w:marLeft w:val="0"/>
      <w:marRight w:val="0"/>
      <w:marTop w:val="0"/>
      <w:marBottom w:val="0"/>
      <w:divBdr>
        <w:top w:val="none" w:sz="0" w:space="0" w:color="auto"/>
        <w:left w:val="none" w:sz="0" w:space="0" w:color="auto"/>
        <w:bottom w:val="none" w:sz="0" w:space="0" w:color="auto"/>
        <w:right w:val="none" w:sz="0" w:space="0" w:color="auto"/>
      </w:divBdr>
    </w:div>
    <w:div w:id="1617634290">
      <w:bodyDiv w:val="1"/>
      <w:marLeft w:val="0"/>
      <w:marRight w:val="0"/>
      <w:marTop w:val="0"/>
      <w:marBottom w:val="0"/>
      <w:divBdr>
        <w:top w:val="none" w:sz="0" w:space="0" w:color="auto"/>
        <w:left w:val="none" w:sz="0" w:space="0" w:color="auto"/>
        <w:bottom w:val="none" w:sz="0" w:space="0" w:color="auto"/>
        <w:right w:val="none" w:sz="0" w:space="0" w:color="auto"/>
      </w:divBdr>
      <w:divsChild>
        <w:div w:id="171650234">
          <w:marLeft w:val="0"/>
          <w:marRight w:val="0"/>
          <w:marTop w:val="0"/>
          <w:marBottom w:val="0"/>
          <w:divBdr>
            <w:top w:val="none" w:sz="0" w:space="0" w:color="auto"/>
            <w:left w:val="none" w:sz="0" w:space="0" w:color="auto"/>
            <w:bottom w:val="none" w:sz="0" w:space="0" w:color="auto"/>
            <w:right w:val="none" w:sz="0" w:space="0" w:color="auto"/>
          </w:divBdr>
          <w:divsChild>
            <w:div w:id="443307348">
              <w:marLeft w:val="0"/>
              <w:marRight w:val="0"/>
              <w:marTop w:val="0"/>
              <w:marBottom w:val="0"/>
              <w:divBdr>
                <w:top w:val="none" w:sz="0" w:space="0" w:color="auto"/>
                <w:left w:val="none" w:sz="0" w:space="0" w:color="auto"/>
                <w:bottom w:val="none" w:sz="0" w:space="0" w:color="auto"/>
                <w:right w:val="none" w:sz="0" w:space="0" w:color="auto"/>
              </w:divBdr>
              <w:divsChild>
                <w:div w:id="135326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history.ac.uk/library/collections/economic-history" TargetMode="External"/><Relationship Id="rId2" Type="http://schemas.openxmlformats.org/officeDocument/2006/relationships/hyperlink" Target="https://youtu.be/_ckWY9Vi6zE" TargetMode="External"/><Relationship Id="rId1" Type="http://schemas.openxmlformats.org/officeDocument/2006/relationships/hyperlink" Target="mailto:j.tribe@liverpo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DD6DC-24F9-A947-80A1-2826C4AFB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1243</TotalTime>
  <Pages>38</Pages>
  <Words>8210</Words>
  <Characters>42036</Characters>
  <Application>Microsoft Office Word</Application>
  <DocSecurity>0</DocSecurity>
  <Lines>977</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Tribe</dc:creator>
  <cp:keywords/>
  <dc:description/>
  <cp:lastModifiedBy>John Tribe</cp:lastModifiedBy>
  <cp:revision>324</cp:revision>
  <cp:lastPrinted>2018-09-17T12:11:00Z</cp:lastPrinted>
  <dcterms:created xsi:type="dcterms:W3CDTF">2018-07-27T18:39:00Z</dcterms:created>
  <dcterms:modified xsi:type="dcterms:W3CDTF">2018-12-13T14:20:00Z</dcterms:modified>
</cp:coreProperties>
</file>